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23CCCA" w14:textId="77777777" w:rsidR="00A63CB2" w:rsidRPr="00A63CB2" w:rsidRDefault="00C6411C" w:rsidP="00D845F9">
      <w:pPr>
        <w:jc w:val="center"/>
        <w:rPr>
          <w:rFonts w:ascii="TitilliumMaps29L" w:hAnsi="TitilliumMaps29L"/>
          <w:sz w:val="48"/>
          <w:szCs w:val="48"/>
        </w:rPr>
      </w:pPr>
      <w:bookmarkStart w:id="0" w:name="_GoBack"/>
      <w:bookmarkEnd w:id="0"/>
      <w:r w:rsidRPr="00A63CB2">
        <w:rPr>
          <w:rFonts w:ascii="TitilliumMaps29L" w:hAnsi="TitilliumMaps29L"/>
          <w:sz w:val="48"/>
          <w:szCs w:val="48"/>
        </w:rPr>
        <w:t>Against the de</w:t>
      </w:r>
      <w:r w:rsidR="00D327DC" w:rsidRPr="00A63CB2">
        <w:rPr>
          <w:rFonts w:ascii="TitilliumMaps29L" w:hAnsi="TitilliumMaps29L"/>
          <w:sz w:val="48"/>
          <w:szCs w:val="48"/>
        </w:rPr>
        <w:t>humanis</w:t>
      </w:r>
      <w:r w:rsidR="0029345D" w:rsidRPr="00A63CB2">
        <w:rPr>
          <w:rFonts w:ascii="TitilliumMaps29L" w:hAnsi="TitilliumMaps29L"/>
          <w:sz w:val="48"/>
          <w:szCs w:val="48"/>
        </w:rPr>
        <w:t xml:space="preserve">ation of </w:t>
      </w:r>
      <w:r w:rsidR="00D327DC" w:rsidRPr="00A63CB2">
        <w:rPr>
          <w:rFonts w:ascii="TitilliumMaps29L" w:hAnsi="TitilliumMaps29L"/>
          <w:sz w:val="48"/>
          <w:szCs w:val="48"/>
        </w:rPr>
        <w:t>decision-making</w:t>
      </w:r>
    </w:p>
    <w:p w14:paraId="37C33727" w14:textId="44DDEDA2" w:rsidR="00BB3F51" w:rsidRPr="00887F4A" w:rsidRDefault="003F321E" w:rsidP="00887F4A">
      <w:pPr>
        <w:pStyle w:val="NormalWeb"/>
        <w:rPr>
          <w:rFonts w:ascii="TitilliumMaps29L" w:hAnsi="TitilliumMaps29L"/>
          <w:sz w:val="36"/>
          <w:szCs w:val="36"/>
        </w:rPr>
      </w:pPr>
      <w:r w:rsidRPr="00A63CB2">
        <w:rPr>
          <w:rFonts w:ascii="TitilliumMaps29L" w:hAnsi="TitilliumMaps29L"/>
          <w:sz w:val="36"/>
          <w:szCs w:val="36"/>
        </w:rPr>
        <w:t>Algorithmic</w:t>
      </w:r>
      <w:r w:rsidR="00FD0416" w:rsidRPr="00A63CB2">
        <w:rPr>
          <w:rFonts w:ascii="TitilliumMaps29L" w:hAnsi="TitilliumMaps29L"/>
          <w:sz w:val="36"/>
          <w:szCs w:val="36"/>
        </w:rPr>
        <w:t xml:space="preserve"> decision</w:t>
      </w:r>
      <w:r w:rsidR="00C6411C" w:rsidRPr="00A63CB2">
        <w:rPr>
          <w:rFonts w:ascii="TitilliumMaps29L" w:hAnsi="TitilliumMaps29L"/>
          <w:sz w:val="36"/>
          <w:szCs w:val="36"/>
        </w:rPr>
        <w:t>s</w:t>
      </w:r>
      <w:r w:rsidR="00FD0416" w:rsidRPr="00A63CB2">
        <w:rPr>
          <w:rFonts w:ascii="TitilliumMaps29L" w:hAnsi="TitilliumMaps29L"/>
          <w:sz w:val="36"/>
          <w:szCs w:val="36"/>
        </w:rPr>
        <w:t xml:space="preserve"> </w:t>
      </w:r>
      <w:r w:rsidR="004B63BD" w:rsidRPr="00A63CB2">
        <w:rPr>
          <w:rFonts w:ascii="TitilliumMaps29L" w:hAnsi="TitilliumMaps29L"/>
          <w:sz w:val="36"/>
          <w:szCs w:val="36"/>
        </w:rPr>
        <w:t xml:space="preserve">at the crossroads of </w:t>
      </w:r>
      <w:r w:rsidR="002C0279" w:rsidRPr="00A63CB2">
        <w:rPr>
          <w:rFonts w:ascii="TitilliumMaps29L" w:hAnsi="TitilliumMaps29L"/>
          <w:sz w:val="36"/>
          <w:szCs w:val="36"/>
        </w:rPr>
        <w:t xml:space="preserve">intellectual property, </w:t>
      </w:r>
      <w:r w:rsidR="00D845F9">
        <w:rPr>
          <w:rFonts w:ascii="TitilliumMaps29L" w:hAnsi="TitilliumMaps29L"/>
          <w:sz w:val="36"/>
          <w:szCs w:val="36"/>
        </w:rPr>
        <w:t xml:space="preserve">data protection, </w:t>
      </w:r>
      <w:r w:rsidR="004B63BD" w:rsidRPr="00A63CB2">
        <w:rPr>
          <w:rFonts w:ascii="TitilliumMaps29L" w:hAnsi="TitilliumMaps29L"/>
          <w:sz w:val="36"/>
          <w:szCs w:val="36"/>
        </w:rPr>
        <w:t>and freedom of information</w:t>
      </w:r>
    </w:p>
    <w:p w14:paraId="5727ACDB" w14:textId="01243E25" w:rsidR="00FD0416" w:rsidRDefault="00A63CB2" w:rsidP="00D845F9">
      <w:pPr>
        <w:outlineLvl w:val="0"/>
        <w:rPr>
          <w:sz w:val="22"/>
          <w:szCs w:val="22"/>
        </w:rPr>
      </w:pPr>
      <w:r>
        <w:rPr>
          <w:rFonts w:ascii="TitilliumMaps29L" w:hAnsi="TitilliumMaps29L"/>
          <w:sz w:val="20"/>
          <w:szCs w:val="20"/>
        </w:rPr>
        <w:t xml:space="preserve">by </w:t>
      </w:r>
      <w:r w:rsidR="00FD0416" w:rsidRPr="00A63CB2">
        <w:rPr>
          <w:rFonts w:ascii="TitilliumMaps29L" w:hAnsi="TitilliumMaps29L"/>
          <w:b/>
          <w:sz w:val="20"/>
          <w:szCs w:val="20"/>
        </w:rPr>
        <w:t xml:space="preserve">Guido </w:t>
      </w:r>
      <w:r w:rsidR="003F321E" w:rsidRPr="00A63CB2">
        <w:rPr>
          <w:rFonts w:ascii="TitilliumMaps29L" w:hAnsi="TitilliumMaps29L"/>
          <w:b/>
          <w:sz w:val="20"/>
          <w:szCs w:val="20"/>
        </w:rPr>
        <w:t>Noto La Diega</w:t>
      </w:r>
      <w:r w:rsidR="0029345D" w:rsidRPr="0081673D">
        <w:rPr>
          <w:rStyle w:val="FootnoteReference"/>
          <w:sz w:val="22"/>
          <w:szCs w:val="22"/>
        </w:rPr>
        <w:footnoteReference w:customMarkFollows="1" w:id="1"/>
        <w:t>*</w:t>
      </w:r>
    </w:p>
    <w:p w14:paraId="7E58EBF5" w14:textId="0538BBD8" w:rsidR="002C0279" w:rsidRDefault="002C0279" w:rsidP="00D845F9">
      <w:pPr>
        <w:rPr>
          <w:sz w:val="22"/>
          <w:szCs w:val="22"/>
        </w:rPr>
      </w:pPr>
    </w:p>
    <w:p w14:paraId="5AEE4EB7" w14:textId="77777777" w:rsidR="00A63CB2" w:rsidRDefault="00A63CB2" w:rsidP="00D845F9">
      <w:pPr>
        <w:pStyle w:val="NormalWeb"/>
        <w:jc w:val="both"/>
        <w:rPr>
          <w:rFonts w:ascii="TitilliumMaps29L" w:hAnsi="TitilliumMaps29L"/>
          <w:b/>
          <w:sz w:val="20"/>
          <w:szCs w:val="20"/>
        </w:rPr>
        <w:sectPr w:rsidR="00A63CB2" w:rsidSect="007E446A">
          <w:pgSz w:w="11906" w:h="16838"/>
          <w:pgMar w:top="1440" w:right="1080" w:bottom="1440" w:left="1080" w:header="708" w:footer="708" w:gutter="0"/>
          <w:cols w:space="708"/>
          <w:docGrid w:linePitch="360"/>
        </w:sectPr>
      </w:pPr>
    </w:p>
    <w:p w14:paraId="7973CB99" w14:textId="6810AB04" w:rsidR="00A63CB2" w:rsidRPr="00C67E9D" w:rsidRDefault="00A63CB2" w:rsidP="00C67E9D">
      <w:pPr>
        <w:pStyle w:val="NormalWeb"/>
        <w:jc w:val="both"/>
        <w:rPr>
          <w:rFonts w:ascii="TitilliumMaps29L" w:hAnsi="TitilliumMaps29L"/>
          <w:sz w:val="20"/>
          <w:szCs w:val="20"/>
        </w:rPr>
        <w:sectPr w:rsidR="00A63CB2" w:rsidRPr="00C67E9D" w:rsidSect="00A63CB2">
          <w:type w:val="continuous"/>
          <w:pgSz w:w="11906" w:h="16838"/>
          <w:pgMar w:top="1440" w:right="1080" w:bottom="1440" w:left="1080" w:header="708" w:footer="708" w:gutter="0"/>
          <w:cols w:num="2" w:space="708"/>
          <w:docGrid w:linePitch="360"/>
        </w:sectPr>
      </w:pPr>
      <w:r w:rsidRPr="005B68DF">
        <w:rPr>
          <w:rFonts w:ascii="TitilliumMaps29L" w:hAnsi="TitilliumMaps29L"/>
          <w:b/>
          <w:sz w:val="20"/>
          <w:szCs w:val="20"/>
        </w:rPr>
        <w:t>Abstract</w:t>
      </w:r>
      <w:r w:rsidRPr="005B68DF">
        <w:rPr>
          <w:rFonts w:ascii="TitilliumMaps29L" w:hAnsi="TitilliumMaps29L"/>
          <w:sz w:val="20"/>
          <w:szCs w:val="20"/>
        </w:rPr>
        <w:t xml:space="preserve">: </w:t>
      </w:r>
      <w:r w:rsidRPr="005B68DF">
        <w:rPr>
          <w:rFonts w:ascii="TitilliumMaps29L" w:hAnsi="TitilliumMaps29L"/>
          <w:sz w:val="20"/>
          <w:szCs w:val="20"/>
        </w:rPr>
        <w:tab/>
      </w:r>
      <w:r w:rsidR="005B68DF" w:rsidRPr="005B68DF">
        <w:rPr>
          <w:rFonts w:ascii="TitilliumMaps29L" w:hAnsi="TitilliumMaps29L"/>
          <w:sz w:val="20"/>
          <w:szCs w:val="20"/>
        </w:rPr>
        <w:t>This work presents ten arguments against algorithmic decision-making</w:t>
      </w:r>
      <w:r w:rsidR="002C0279" w:rsidRPr="005B68DF">
        <w:rPr>
          <w:rFonts w:ascii="TitilliumMaps29L" w:hAnsi="TitilliumMaps29L"/>
          <w:sz w:val="20"/>
          <w:szCs w:val="20"/>
        </w:rPr>
        <w:t xml:space="preserve">. </w:t>
      </w:r>
      <w:r w:rsidR="00672748">
        <w:rPr>
          <w:rFonts w:ascii="TitilliumMaps29L" w:hAnsi="TitilliumMaps29L"/>
          <w:sz w:val="20"/>
          <w:szCs w:val="20"/>
        </w:rPr>
        <w:t xml:space="preserve">These revolve around at the concepts of ubiquitous discretionary interpretation, holistic intuition, algorithmic bias, </w:t>
      </w:r>
      <w:r w:rsidR="00C67E9D">
        <w:rPr>
          <w:rFonts w:ascii="TitilliumMaps29L" w:hAnsi="TitilliumMaps29L"/>
          <w:sz w:val="20"/>
          <w:szCs w:val="20"/>
        </w:rPr>
        <w:t>the three black boxes, psychology of conformity, power of sanctions, civilising force of hypocrisy, pluralism, empathy, and technocracy.</w:t>
      </w:r>
      <w:r w:rsidR="00672748">
        <w:rPr>
          <w:rFonts w:ascii="TitilliumMaps29L" w:hAnsi="TitilliumMaps29L"/>
          <w:sz w:val="20"/>
          <w:szCs w:val="20"/>
        </w:rPr>
        <w:t xml:space="preserve"> </w:t>
      </w:r>
      <w:r w:rsidR="002C0279" w:rsidRPr="005B68DF">
        <w:rPr>
          <w:rFonts w:ascii="TitilliumMaps29L" w:hAnsi="TitilliumMaps29L"/>
          <w:sz w:val="20"/>
          <w:szCs w:val="20"/>
        </w:rPr>
        <w:t xml:space="preserve">Nowadays algorithms can decide if one can get a loan, </w:t>
      </w:r>
      <w:r w:rsidR="005B68DF" w:rsidRPr="005B68DF">
        <w:rPr>
          <w:rFonts w:ascii="TitilliumMaps29L" w:hAnsi="TitilliumMaps29L"/>
          <w:sz w:val="20"/>
          <w:szCs w:val="20"/>
        </w:rPr>
        <w:t>is allowed to cross a border,</w:t>
      </w:r>
      <w:r w:rsidR="002C0279" w:rsidRPr="005B68DF">
        <w:rPr>
          <w:rFonts w:ascii="TitilliumMaps29L" w:hAnsi="TitilliumMaps29L"/>
          <w:sz w:val="20"/>
          <w:szCs w:val="20"/>
        </w:rPr>
        <w:t xml:space="preserve"> must go to prison. Artificial intelligence techniques (natural language processing and machine learning in the first place) enable private and public decision-makers to </w:t>
      </w:r>
      <w:r w:rsidR="005B68DF" w:rsidRPr="005B68DF">
        <w:rPr>
          <w:rFonts w:ascii="TitilliumMaps29L" w:hAnsi="TitilliumMaps29L"/>
          <w:sz w:val="20"/>
          <w:szCs w:val="20"/>
        </w:rPr>
        <w:t>analyse</w:t>
      </w:r>
      <w:r w:rsidR="002C0279" w:rsidRPr="005B68DF">
        <w:rPr>
          <w:rFonts w:ascii="TitilliumMaps29L" w:hAnsi="TitilliumMaps29L"/>
          <w:sz w:val="20"/>
          <w:szCs w:val="20"/>
        </w:rPr>
        <w:t xml:space="preserve"> big data in order to build pr</w:t>
      </w:r>
      <w:r w:rsidR="005B68DF" w:rsidRPr="005B68DF">
        <w:rPr>
          <w:rFonts w:ascii="TitilliumMaps29L" w:hAnsi="TitilliumMaps29L"/>
          <w:sz w:val="20"/>
          <w:szCs w:val="20"/>
        </w:rPr>
        <w:t>ofiles, which are used to m</w:t>
      </w:r>
      <w:r w:rsidR="002C0279" w:rsidRPr="005B68DF">
        <w:rPr>
          <w:rFonts w:ascii="TitilliumMaps29L" w:hAnsi="TitilliumMaps29L"/>
          <w:sz w:val="20"/>
          <w:szCs w:val="20"/>
        </w:rPr>
        <w:t>ake decisions in an automated way. The lack of transparency of the algorithmic decisions does not stem merely from the characteristics of the relevant techniques used, which can make it impossible to access the rationale of the decision. It depends also on the abuse of and overlap between intellectual property rights (the “legal black box”). In the US, nearly half million patented inventions concern algorithms; more than 67% of the algorithm-related patents were issued over the last ten years and the trend is upward. To counter the increased monopol</w:t>
      </w:r>
      <w:r w:rsidR="004F4403" w:rsidRPr="005B68DF">
        <w:rPr>
          <w:rFonts w:ascii="TitilliumMaps29L" w:hAnsi="TitilliumMaps29L"/>
          <w:sz w:val="20"/>
          <w:szCs w:val="20"/>
        </w:rPr>
        <w:t>isation</w:t>
      </w:r>
      <w:r w:rsidR="002C0279" w:rsidRPr="005B68DF">
        <w:rPr>
          <w:rFonts w:ascii="TitilliumMaps29L" w:hAnsi="TitilliumMaps29L"/>
          <w:sz w:val="20"/>
          <w:szCs w:val="20"/>
        </w:rPr>
        <w:t xml:space="preserve"> of algorithms by means of intellectual property rights (with trade secrets </w:t>
      </w:r>
      <w:r w:rsidR="002C0279" w:rsidRPr="005B68DF">
        <w:rPr>
          <w:rFonts w:ascii="TitilliumMaps29L" w:hAnsi="TitilliumMaps29L"/>
          <w:sz w:val="20"/>
          <w:szCs w:val="20"/>
        </w:rPr>
        <w:t xml:space="preserve">leading the way), this paper presents three legal routes that enable citizens to </w:t>
      </w:r>
      <w:r w:rsidR="005B68DF" w:rsidRPr="005B68DF">
        <w:rPr>
          <w:rFonts w:ascii="TitilliumMaps29L" w:hAnsi="TitilliumMaps29L"/>
          <w:sz w:val="20"/>
          <w:szCs w:val="20"/>
        </w:rPr>
        <w:t>‘open’ the algorithms</w:t>
      </w:r>
      <w:r w:rsidR="002C0279" w:rsidRPr="005B68DF">
        <w:rPr>
          <w:rFonts w:ascii="TitilliumMaps29L" w:hAnsi="TitilliumMaps29L"/>
          <w:sz w:val="20"/>
          <w:szCs w:val="20"/>
        </w:rPr>
        <w:t xml:space="preserve">. </w:t>
      </w:r>
      <w:r w:rsidR="005B68DF" w:rsidRPr="005B68DF">
        <w:rPr>
          <w:rFonts w:ascii="TitilliumMaps29L" w:hAnsi="TitilliumMaps29L"/>
          <w:sz w:val="20"/>
          <w:szCs w:val="20"/>
        </w:rPr>
        <w:t xml:space="preserve">First, </w:t>
      </w:r>
      <w:r w:rsidR="002C0279" w:rsidRPr="005B68DF">
        <w:rPr>
          <w:rFonts w:ascii="TitilliumMaps29L" w:hAnsi="TitilliumMaps29L"/>
          <w:sz w:val="20"/>
          <w:szCs w:val="20"/>
        </w:rPr>
        <w:t xml:space="preserve">copyright </w:t>
      </w:r>
      <w:r w:rsidR="005B68DF" w:rsidRPr="005B68DF">
        <w:rPr>
          <w:rFonts w:ascii="TitilliumMaps29L" w:hAnsi="TitilliumMaps29L"/>
          <w:sz w:val="20"/>
          <w:szCs w:val="20"/>
        </w:rPr>
        <w:t xml:space="preserve">and patent </w:t>
      </w:r>
      <w:r w:rsidR="002C0279" w:rsidRPr="005B68DF">
        <w:rPr>
          <w:rFonts w:ascii="TitilliumMaps29L" w:hAnsi="TitilliumMaps29L"/>
          <w:sz w:val="20"/>
          <w:szCs w:val="20"/>
        </w:rPr>
        <w:t>exceptions,</w:t>
      </w:r>
      <w:r w:rsidR="005B68DF" w:rsidRPr="005B68DF">
        <w:rPr>
          <w:rFonts w:ascii="TitilliumMaps29L" w:hAnsi="TitilliumMaps29L"/>
          <w:sz w:val="20"/>
          <w:szCs w:val="20"/>
        </w:rPr>
        <w:t xml:space="preserve"> as well as</w:t>
      </w:r>
      <w:r w:rsidR="002C0279" w:rsidRPr="005B68DF">
        <w:rPr>
          <w:rFonts w:ascii="TitilliumMaps29L" w:hAnsi="TitilliumMaps29L"/>
          <w:sz w:val="20"/>
          <w:szCs w:val="20"/>
        </w:rPr>
        <w:t xml:space="preserve"> trade secrets </w:t>
      </w:r>
      <w:r w:rsidR="005B68DF" w:rsidRPr="005B68DF">
        <w:rPr>
          <w:rFonts w:ascii="TitilliumMaps29L" w:hAnsi="TitilliumMaps29L"/>
          <w:sz w:val="20"/>
          <w:szCs w:val="20"/>
        </w:rPr>
        <w:t>are discussed</w:t>
      </w:r>
      <w:r w:rsidR="002C0279" w:rsidRPr="005B68DF">
        <w:rPr>
          <w:rFonts w:ascii="TitilliumMaps29L" w:hAnsi="TitilliumMaps29L"/>
          <w:sz w:val="20"/>
          <w:szCs w:val="20"/>
        </w:rPr>
        <w:t>. Second, the EU General Data Protection Regulation</w:t>
      </w:r>
      <w:r w:rsidR="00940984" w:rsidRPr="005B68DF">
        <w:rPr>
          <w:rFonts w:ascii="TitilliumMaps29L" w:hAnsi="TitilliumMaps29L"/>
          <w:sz w:val="20"/>
          <w:szCs w:val="20"/>
        </w:rPr>
        <w:t xml:space="preserve"> </w:t>
      </w:r>
      <w:r w:rsidR="005B68DF" w:rsidRPr="005B68DF">
        <w:rPr>
          <w:rFonts w:ascii="TitilliumMaps29L" w:hAnsi="TitilliumMaps29L"/>
          <w:sz w:val="20"/>
          <w:szCs w:val="20"/>
        </w:rPr>
        <w:t>is</w:t>
      </w:r>
      <w:r w:rsidR="002C0279" w:rsidRPr="005B68DF">
        <w:rPr>
          <w:rFonts w:ascii="TitilliumMaps29L" w:hAnsi="TitilliumMaps29L"/>
          <w:sz w:val="20"/>
          <w:szCs w:val="20"/>
        </w:rPr>
        <w:t xml:space="preserve"> </w:t>
      </w:r>
      <w:r w:rsidR="005B68DF" w:rsidRPr="005B68DF">
        <w:rPr>
          <w:rFonts w:ascii="TitilliumMaps29L" w:hAnsi="TitilliumMaps29L"/>
          <w:sz w:val="20"/>
          <w:szCs w:val="20"/>
        </w:rPr>
        <w:t xml:space="preserve">critically </w:t>
      </w:r>
      <w:r w:rsidR="002C0279" w:rsidRPr="005B68DF">
        <w:rPr>
          <w:rFonts w:ascii="TitilliumMaps29L" w:hAnsi="TitilliumMaps29L"/>
          <w:sz w:val="20"/>
          <w:szCs w:val="20"/>
        </w:rPr>
        <w:t xml:space="preserve">assessed. In principle, algorithms </w:t>
      </w:r>
      <w:r w:rsidR="005B68DF" w:rsidRPr="005B68DF">
        <w:rPr>
          <w:rFonts w:ascii="TitilliumMaps29L" w:hAnsi="TitilliumMaps29L"/>
          <w:sz w:val="20"/>
          <w:szCs w:val="20"/>
        </w:rPr>
        <w:t>are not</w:t>
      </w:r>
      <w:r w:rsidR="002C0279" w:rsidRPr="005B68DF">
        <w:rPr>
          <w:rFonts w:ascii="TitilliumMaps29L" w:hAnsi="TitilliumMaps29L"/>
          <w:sz w:val="20"/>
          <w:szCs w:val="20"/>
        </w:rPr>
        <w:t xml:space="preserve"> allowed to process personal data to take decisions that have legal effects on the data subject’s life or similarly significantly affect them. However, when they are allowed to do so, the data subject has still the rights to obtain human intervention, to express their point of view, as well as to contest the decision. Additionally, the data control</w:t>
      </w:r>
      <w:r w:rsidR="005B68DF" w:rsidRPr="005B68DF">
        <w:rPr>
          <w:rFonts w:ascii="TitilliumMaps29L" w:hAnsi="TitilliumMaps29L"/>
          <w:sz w:val="20"/>
          <w:szCs w:val="20"/>
        </w:rPr>
        <w:t>ler</w:t>
      </w:r>
      <w:r w:rsidR="002C0279" w:rsidRPr="005B68DF">
        <w:rPr>
          <w:rFonts w:ascii="TitilliumMaps29L" w:hAnsi="TitilliumMaps29L"/>
          <w:sz w:val="20"/>
          <w:szCs w:val="20"/>
        </w:rPr>
        <w:t xml:space="preserve"> shall provide meaningful information about the logic involved in the algorithmic decision. Third, this paper critically </w:t>
      </w:r>
      <w:r w:rsidR="00425FAB" w:rsidRPr="005B68DF">
        <w:rPr>
          <w:rFonts w:ascii="TitilliumMaps29L" w:hAnsi="TitilliumMaps29L"/>
          <w:sz w:val="20"/>
          <w:szCs w:val="20"/>
        </w:rPr>
        <w:t>analys</w:t>
      </w:r>
      <w:r w:rsidR="002C0279" w:rsidRPr="005B68DF">
        <w:rPr>
          <w:rFonts w:ascii="TitilliumMaps29L" w:hAnsi="TitilliumMaps29L"/>
          <w:sz w:val="20"/>
          <w:szCs w:val="20"/>
        </w:rPr>
        <w:t>es the first known case of a court using the access right under the freedom of information regime to grant an injunction to release the source code of the computer program that implements an algorithm.</w:t>
      </w:r>
      <w:r w:rsidR="00687C21">
        <w:rPr>
          <w:rFonts w:ascii="TitilliumMaps29L" w:hAnsi="TitilliumMaps29L"/>
          <w:sz w:val="20"/>
          <w:szCs w:val="20"/>
        </w:rPr>
        <w:t xml:space="preserve"> </w:t>
      </w:r>
      <w:r w:rsidR="00C67E9D">
        <w:rPr>
          <w:rFonts w:ascii="TitilliumMaps29L" w:hAnsi="TitilliumMaps29L"/>
          <w:sz w:val="20"/>
          <w:szCs w:val="20"/>
        </w:rPr>
        <w:t>Only an integrated approach – which takes into account intellectual property, data protection, and freedom of information – may provide the citizen affected by an algorithmic decision of an effective remedy as required by the Charter of Fundamental Rights of the EU.</w:t>
      </w:r>
    </w:p>
    <w:p w14:paraId="0A926D1B" w14:textId="6A5696C1" w:rsidR="002C0279" w:rsidRDefault="002C0279" w:rsidP="00D845F9">
      <w:pPr>
        <w:jc w:val="both"/>
        <w:rPr>
          <w:sz w:val="22"/>
          <w:szCs w:val="22"/>
        </w:rPr>
      </w:pPr>
    </w:p>
    <w:p w14:paraId="1FE5D753" w14:textId="26BDD880" w:rsidR="00A63CB2" w:rsidRDefault="00A63CB2" w:rsidP="00D845F9">
      <w:pPr>
        <w:pStyle w:val="NormalWeb"/>
        <w:shd w:val="clear" w:color="auto" w:fill="337293"/>
      </w:pPr>
      <w:r>
        <w:rPr>
          <w:rFonts w:ascii="TitilliumMaps29L" w:hAnsi="TitilliumMaps29L"/>
          <w:color w:val="FFFFFF"/>
          <w:sz w:val="20"/>
          <w:szCs w:val="20"/>
        </w:rPr>
        <w:t xml:space="preserve">Keywords: algorithmic decision-making, algorithmic bias, right not to be subject to an algorithmic decision, </w:t>
      </w:r>
      <w:r w:rsidR="007977F6">
        <w:rPr>
          <w:rFonts w:ascii="TitilliumMaps29L" w:hAnsi="TitilliumMaps29L"/>
          <w:color w:val="FFFFFF"/>
          <w:sz w:val="20"/>
          <w:szCs w:val="20"/>
        </w:rPr>
        <w:t xml:space="preserve">GDPR, </w:t>
      </w:r>
      <w:r>
        <w:rPr>
          <w:rFonts w:ascii="TitilliumMaps29L" w:hAnsi="TitilliumMaps29L"/>
          <w:color w:val="FFFFFF"/>
          <w:sz w:val="20"/>
          <w:szCs w:val="20"/>
        </w:rPr>
        <w:t>software copyright exceptions, patent infringement defences, freedom of information r</w:t>
      </w:r>
      <w:r w:rsidR="00D845F9">
        <w:rPr>
          <w:rFonts w:ascii="TitilliumMaps29L" w:hAnsi="TitilliumMaps29L"/>
          <w:color w:val="FFFFFF"/>
          <w:sz w:val="20"/>
          <w:szCs w:val="20"/>
        </w:rPr>
        <w:t xml:space="preserve">equest, </w:t>
      </w:r>
      <w:r w:rsidR="007977F6">
        <w:rPr>
          <w:rFonts w:ascii="TitilliumMaps29L" w:hAnsi="TitilliumMaps29L"/>
          <w:color w:val="FFFFFF"/>
          <w:sz w:val="20"/>
          <w:szCs w:val="20"/>
        </w:rPr>
        <w:t xml:space="preserve">algorithmic </w:t>
      </w:r>
      <w:r w:rsidR="00D845F9">
        <w:rPr>
          <w:rFonts w:ascii="TitilliumMaps29L" w:hAnsi="TitilliumMaps29L"/>
          <w:color w:val="FFFFFF"/>
          <w:sz w:val="20"/>
          <w:szCs w:val="20"/>
        </w:rPr>
        <w:t>transparency</w:t>
      </w:r>
      <w:r w:rsidR="007977F6">
        <w:rPr>
          <w:rFonts w:ascii="TitilliumMaps29L" w:hAnsi="TitilliumMaps29L"/>
          <w:color w:val="FFFFFF"/>
          <w:sz w:val="20"/>
          <w:szCs w:val="20"/>
        </w:rPr>
        <w:t>, algorithmic accountability, algorithmic governance, Data Protection Act 2018</w:t>
      </w:r>
    </w:p>
    <w:p w14:paraId="47E1077C" w14:textId="1745EA2C" w:rsidR="00D845F9" w:rsidRDefault="00D845F9" w:rsidP="00D845F9">
      <w:pPr>
        <w:pStyle w:val="NormalWeb"/>
      </w:pPr>
      <w:r>
        <w:rPr>
          <w:rFonts w:ascii="TitilliumMaps29L" w:hAnsi="TitilliumMaps29L"/>
          <w:sz w:val="18"/>
          <w:szCs w:val="18"/>
        </w:rPr>
        <w:t xml:space="preserve">© 2018 Guido Noto La Diega </w:t>
      </w:r>
    </w:p>
    <w:p w14:paraId="1EE90A4C" w14:textId="77777777" w:rsidR="00D845F9" w:rsidRDefault="00D845F9" w:rsidP="00D845F9">
      <w:pPr>
        <w:pStyle w:val="NormalWeb"/>
      </w:pPr>
      <w:r>
        <w:rPr>
          <w:rFonts w:ascii="TitilliumMaps29L" w:hAnsi="TitilliumMaps29L"/>
          <w:sz w:val="18"/>
          <w:szCs w:val="18"/>
        </w:rPr>
        <w:lastRenderedPageBreak/>
        <w:t xml:space="preserve">Everybody may disseminate this article by electronic means and make it available for download under the terms and conditions of the Digital Peer Publishing Licence (DPPL). A copy of the license text may be obtained at http://nbn-resolving. de/urn:nbn:de:0009-dppl-v3-en8. </w:t>
      </w:r>
    </w:p>
    <w:p w14:paraId="2ED039C2" w14:textId="47953913" w:rsidR="003F321E" w:rsidRDefault="00D845F9" w:rsidP="00D845F9">
      <w:pPr>
        <w:pStyle w:val="NormalWeb"/>
        <w:rPr>
          <w:rFonts w:ascii="TitilliumMaps29L" w:hAnsi="TitilliumMaps29L"/>
          <w:sz w:val="18"/>
          <w:szCs w:val="18"/>
        </w:rPr>
      </w:pPr>
      <w:r>
        <w:rPr>
          <w:rFonts w:ascii="TitilliumMaps29L" w:hAnsi="TitilliumMaps29L"/>
          <w:sz w:val="18"/>
          <w:szCs w:val="18"/>
        </w:rPr>
        <w:t xml:space="preserve">Recommended citation: Guido Noto La Diega, </w:t>
      </w:r>
      <w:r w:rsidRPr="00D845F9">
        <w:rPr>
          <w:rFonts w:ascii="TitilliumMaps29L" w:hAnsi="TitilliumMaps29L"/>
          <w:sz w:val="18"/>
          <w:szCs w:val="18"/>
        </w:rPr>
        <w:t>Against the dehumanisation of decision-makin</w:t>
      </w:r>
      <w:r>
        <w:rPr>
          <w:rFonts w:ascii="TitilliumMaps29L" w:hAnsi="TitilliumMaps29L"/>
          <w:sz w:val="18"/>
          <w:szCs w:val="18"/>
        </w:rPr>
        <w:t xml:space="preserve">g. </w:t>
      </w:r>
      <w:r w:rsidRPr="00D845F9">
        <w:rPr>
          <w:rFonts w:ascii="TitilliumMaps29L" w:hAnsi="TitilliumMaps29L"/>
          <w:sz w:val="18"/>
          <w:szCs w:val="18"/>
        </w:rPr>
        <w:t>Algorithmic decisions at the crossroads of intellectual property, data protection, and freedom of information</w:t>
      </w:r>
    </w:p>
    <w:p w14:paraId="42BB70E2" w14:textId="77777777" w:rsidR="00D845F9" w:rsidRPr="00D845F9" w:rsidRDefault="00D845F9" w:rsidP="00D845F9">
      <w:pPr>
        <w:pStyle w:val="NormalWeb"/>
        <w:rPr>
          <w:rFonts w:ascii="TitilliumMaps29L" w:hAnsi="TitilliumMaps29L"/>
          <w:sz w:val="18"/>
          <w:szCs w:val="18"/>
        </w:rPr>
      </w:pPr>
    </w:p>
    <w:p w14:paraId="159FA4ED" w14:textId="77777777" w:rsidR="00D845F9" w:rsidRDefault="00D845F9" w:rsidP="00D845F9">
      <w:pPr>
        <w:pStyle w:val="NormalWeb"/>
        <w:numPr>
          <w:ilvl w:val="0"/>
          <w:numId w:val="15"/>
        </w:numPr>
        <w:ind w:firstLine="0"/>
        <w:rPr>
          <w:rFonts w:ascii="TitilliumMaps29L" w:hAnsi="TitilliumMaps29L"/>
          <w:sz w:val="28"/>
          <w:szCs w:val="28"/>
        </w:rPr>
        <w:sectPr w:rsidR="00D845F9" w:rsidSect="00A63CB2">
          <w:type w:val="continuous"/>
          <w:pgSz w:w="11906" w:h="16838"/>
          <w:pgMar w:top="1440" w:right="1080" w:bottom="1440" w:left="1080" w:header="708" w:footer="708" w:gutter="0"/>
          <w:cols w:space="708"/>
          <w:docGrid w:linePitch="360"/>
        </w:sectPr>
      </w:pPr>
    </w:p>
    <w:p w14:paraId="42A28292" w14:textId="5CD8DCAA" w:rsidR="00D845F9" w:rsidRPr="004672E2" w:rsidRDefault="006C1301" w:rsidP="00E405AF">
      <w:pPr>
        <w:pStyle w:val="NormalWeb"/>
        <w:numPr>
          <w:ilvl w:val="0"/>
          <w:numId w:val="15"/>
        </w:numPr>
        <w:ind w:firstLine="0"/>
        <w:rPr>
          <w:rFonts w:ascii="TitilliumMaps29L" w:hAnsi="TitilliumMaps29L"/>
          <w:sz w:val="28"/>
          <w:szCs w:val="28"/>
        </w:rPr>
      </w:pPr>
      <w:r w:rsidRPr="004672E2">
        <w:rPr>
          <w:rFonts w:ascii="TitilliumMaps29L" w:hAnsi="TitilliumMaps29L"/>
          <w:sz w:val="28"/>
          <w:szCs w:val="28"/>
        </w:rPr>
        <w:t>Context and scope of the resea</w:t>
      </w:r>
      <w:r w:rsidR="004672E2" w:rsidRPr="004672E2">
        <w:rPr>
          <w:rFonts w:ascii="TitilliumMaps29L" w:hAnsi="TitilliumMaps29L"/>
          <w:sz w:val="28"/>
          <w:szCs w:val="28"/>
        </w:rPr>
        <w:t>rch</w:t>
      </w:r>
    </w:p>
    <w:p w14:paraId="725B870F" w14:textId="77777777" w:rsidR="00D845F9" w:rsidRPr="00D845F9" w:rsidRDefault="00D845F9" w:rsidP="00D845F9">
      <w:pPr>
        <w:jc w:val="both"/>
        <w:rPr>
          <w:color w:val="000000" w:themeColor="text1"/>
        </w:rPr>
      </w:pPr>
    </w:p>
    <w:p w14:paraId="00BB7367" w14:textId="09CD6138" w:rsidR="00C57477" w:rsidRPr="00D845F9" w:rsidRDefault="00CD360E" w:rsidP="00D845F9">
      <w:pPr>
        <w:pStyle w:val="ListParagraph"/>
        <w:contextualSpacing w:val="0"/>
        <w:jc w:val="both"/>
        <w:rPr>
          <w:color w:val="000000" w:themeColor="text1"/>
        </w:rPr>
      </w:pPr>
      <w:r w:rsidRPr="00D845F9">
        <w:rPr>
          <w:color w:val="000000" w:themeColor="text1"/>
        </w:rPr>
        <w:t xml:space="preserve">This work argues that algorithms cannot and should not replace human beings in decision-making, but it takes account of the increase of algorithmic decisions and, accordingly, it presents three European legal routes available to those affected by such decisions. </w:t>
      </w:r>
    </w:p>
    <w:p w14:paraId="5F243D9A" w14:textId="0FFE1B72" w:rsidR="00643ABB" w:rsidRPr="00D845F9" w:rsidRDefault="00414705" w:rsidP="00D845F9">
      <w:pPr>
        <w:pStyle w:val="ListParagraph"/>
        <w:contextualSpacing w:val="0"/>
        <w:jc w:val="both"/>
        <w:rPr>
          <w:color w:val="000000" w:themeColor="text1"/>
        </w:rPr>
      </w:pPr>
      <w:r w:rsidRPr="00D845F9">
        <w:rPr>
          <w:color w:val="000000" w:themeColor="text1"/>
        </w:rPr>
        <w:t>Algorithms have been used in the legal domain for decades, for instance in order to analyse legislation</w:t>
      </w:r>
      <w:r w:rsidR="00B96756">
        <w:rPr>
          <w:color w:val="000000" w:themeColor="text1"/>
        </w:rPr>
        <w:t>.</w:t>
      </w:r>
      <w:r w:rsidRPr="00D845F9">
        <w:rPr>
          <w:rStyle w:val="FootnoteReference"/>
          <w:color w:val="000000" w:themeColor="text1"/>
        </w:rPr>
        <w:footnoteReference w:id="2"/>
      </w:r>
      <w:r w:rsidRPr="00D845F9">
        <w:rPr>
          <w:color w:val="000000" w:themeColor="text1"/>
        </w:rPr>
        <w:t xml:space="preserve"> These processes or sets of rules followed in calculations or other problem-solving operations</w:t>
      </w:r>
      <w:r w:rsidR="004F5EF6" w:rsidRPr="00D845F9">
        <w:rPr>
          <w:color w:val="000000" w:themeColor="text1"/>
        </w:rPr>
        <w:t xml:space="preserve"> did not raise concerns when they merely made our lives easier by ensuring that search engines showed us only relevant results</w:t>
      </w:r>
      <w:r w:rsidR="00431ED8" w:rsidRPr="00D845F9">
        <w:rPr>
          <w:color w:val="000000" w:themeColor="text1"/>
        </w:rPr>
        <w:t>.</w:t>
      </w:r>
      <w:r w:rsidR="00395BD2" w:rsidRPr="00D845F9">
        <w:rPr>
          <w:rStyle w:val="FootnoteReference"/>
          <w:color w:val="000000" w:themeColor="text1"/>
        </w:rPr>
        <w:footnoteReference w:id="3"/>
      </w:r>
      <w:r w:rsidR="00395BD2" w:rsidRPr="00D845F9">
        <w:rPr>
          <w:color w:val="000000" w:themeColor="text1"/>
        </w:rPr>
        <w:t xml:space="preserve"> </w:t>
      </w:r>
      <w:r w:rsidR="00431ED8" w:rsidRPr="00D845F9">
        <w:rPr>
          <w:color w:val="000000" w:themeColor="text1"/>
        </w:rPr>
        <w:t>However,</w:t>
      </w:r>
      <w:r w:rsidR="00395BD2" w:rsidRPr="00D845F9">
        <w:rPr>
          <w:color w:val="000000" w:themeColor="text1"/>
        </w:rPr>
        <w:t xml:space="preserve"> </w:t>
      </w:r>
      <w:r w:rsidR="005E4470" w:rsidRPr="00D845F9">
        <w:rPr>
          <w:color w:val="000000" w:themeColor="text1"/>
        </w:rPr>
        <w:t xml:space="preserve">nowadays </w:t>
      </w:r>
      <w:r w:rsidR="00395BD2" w:rsidRPr="00D845F9">
        <w:rPr>
          <w:color w:val="000000" w:themeColor="text1"/>
        </w:rPr>
        <w:t xml:space="preserve">algorithms can decide if one </w:t>
      </w:r>
      <w:r w:rsidR="0036379C" w:rsidRPr="00D845F9">
        <w:rPr>
          <w:color w:val="000000" w:themeColor="text1"/>
        </w:rPr>
        <w:t>can get</w:t>
      </w:r>
      <w:r w:rsidR="00395BD2" w:rsidRPr="00D845F9">
        <w:rPr>
          <w:color w:val="000000" w:themeColor="text1"/>
        </w:rPr>
        <w:t xml:space="preserve"> a l</w:t>
      </w:r>
      <w:r w:rsidR="0036379C" w:rsidRPr="00D845F9">
        <w:rPr>
          <w:color w:val="000000" w:themeColor="text1"/>
        </w:rPr>
        <w:t>oan</w:t>
      </w:r>
      <w:r w:rsidR="00DE601E" w:rsidRPr="00D845F9">
        <w:rPr>
          <w:color w:val="000000" w:themeColor="text1"/>
        </w:rPr>
        <w:t>,</w:t>
      </w:r>
      <w:r w:rsidR="00643E4B" w:rsidRPr="00D845F9">
        <w:rPr>
          <w:rStyle w:val="FootnoteReference"/>
          <w:color w:val="000000" w:themeColor="text1"/>
        </w:rPr>
        <w:footnoteReference w:id="4"/>
      </w:r>
      <w:r w:rsidR="0036379C" w:rsidRPr="00D845F9">
        <w:rPr>
          <w:color w:val="000000" w:themeColor="text1"/>
        </w:rPr>
        <w:t xml:space="preserve"> </w:t>
      </w:r>
      <w:r w:rsidR="00B76DBB" w:rsidRPr="00D845F9">
        <w:rPr>
          <w:color w:val="000000" w:themeColor="text1"/>
        </w:rPr>
        <w:t>is hired,</w:t>
      </w:r>
      <w:r w:rsidR="00B76DBB" w:rsidRPr="00D845F9">
        <w:rPr>
          <w:rStyle w:val="FootnoteReference"/>
          <w:color w:val="000000" w:themeColor="text1"/>
        </w:rPr>
        <w:footnoteReference w:id="5"/>
      </w:r>
      <w:r w:rsidR="00B76DBB" w:rsidRPr="00D845F9">
        <w:rPr>
          <w:color w:val="000000" w:themeColor="text1"/>
        </w:rPr>
        <w:t xml:space="preserve"> </w:t>
      </w:r>
      <w:r w:rsidR="0036379C" w:rsidRPr="00D845F9">
        <w:rPr>
          <w:color w:val="000000" w:themeColor="text1"/>
        </w:rPr>
        <w:t>is allowed to cross a border</w:t>
      </w:r>
      <w:r w:rsidR="00DE601E" w:rsidRPr="00D845F9">
        <w:rPr>
          <w:color w:val="000000" w:themeColor="text1"/>
        </w:rPr>
        <w:t>,</w:t>
      </w:r>
      <w:r w:rsidR="005E4470" w:rsidRPr="00D845F9">
        <w:rPr>
          <w:rStyle w:val="FootnoteReference"/>
          <w:color w:val="000000" w:themeColor="text1"/>
        </w:rPr>
        <w:footnoteReference w:id="6"/>
      </w:r>
      <w:r w:rsidR="0036379C" w:rsidRPr="00D845F9">
        <w:rPr>
          <w:color w:val="000000" w:themeColor="text1"/>
        </w:rPr>
        <w:t xml:space="preserve"> </w:t>
      </w:r>
      <w:r w:rsidR="00643E4B" w:rsidRPr="00D845F9">
        <w:rPr>
          <w:color w:val="000000" w:themeColor="text1"/>
        </w:rPr>
        <w:t xml:space="preserve">or </w:t>
      </w:r>
      <w:r w:rsidR="0036379C" w:rsidRPr="00D845F9">
        <w:rPr>
          <w:color w:val="000000" w:themeColor="text1"/>
        </w:rPr>
        <w:t>must go</w:t>
      </w:r>
      <w:r w:rsidR="00395BD2" w:rsidRPr="00D845F9">
        <w:rPr>
          <w:color w:val="000000" w:themeColor="text1"/>
        </w:rPr>
        <w:t xml:space="preserve"> to prison</w:t>
      </w:r>
      <w:r w:rsidR="00643E4B" w:rsidRPr="00D845F9">
        <w:rPr>
          <w:color w:val="000000" w:themeColor="text1"/>
        </w:rPr>
        <w:t>.</w:t>
      </w:r>
      <w:r w:rsidR="0036379C" w:rsidRPr="00D845F9">
        <w:rPr>
          <w:rStyle w:val="FootnoteReference"/>
          <w:color w:val="000000" w:themeColor="text1"/>
        </w:rPr>
        <w:footnoteReference w:id="7"/>
      </w:r>
      <w:r w:rsidR="00395BD2" w:rsidRPr="00D845F9">
        <w:rPr>
          <w:color w:val="000000" w:themeColor="text1"/>
        </w:rPr>
        <w:t xml:space="preserve"> </w:t>
      </w:r>
      <w:r w:rsidR="00643ABB" w:rsidRPr="00D845F9">
        <w:rPr>
          <w:color w:val="000000" w:themeColor="text1"/>
        </w:rPr>
        <w:t xml:space="preserve">Particularly striking is the episode concerning a young man sentenced in Wisconsin to a six-year imprisonment for merely attempting to flee a traffic officer and operating a vehicle without its owner’s consent. The reason for such a harsh sanction was that </w:t>
      </w:r>
      <w:r w:rsidR="00FA57BE" w:rsidRPr="00D845F9">
        <w:rPr>
          <w:color w:val="000000" w:themeColor="text1"/>
        </w:rPr>
        <w:t xml:space="preserve">Compas, </w:t>
      </w:r>
      <w:r w:rsidR="00643ABB" w:rsidRPr="00D845F9">
        <w:rPr>
          <w:color w:val="000000" w:themeColor="text1"/>
        </w:rPr>
        <w:t>an algorithmic risk assessment system</w:t>
      </w:r>
      <w:r w:rsidR="00FA57BE" w:rsidRPr="00D845F9">
        <w:rPr>
          <w:color w:val="000000" w:themeColor="text1"/>
        </w:rPr>
        <w:t>,</w:t>
      </w:r>
      <w:r w:rsidR="00643ABB" w:rsidRPr="00D845F9">
        <w:rPr>
          <w:color w:val="000000" w:themeColor="text1"/>
        </w:rPr>
        <w:t xml:space="preserve"> concluded that he was a threat to the community. The proprietary nature of the algorithm </w:t>
      </w:r>
      <w:r w:rsidR="00FA57BE" w:rsidRPr="00D845F9">
        <w:rPr>
          <w:color w:val="000000" w:themeColor="text1"/>
        </w:rPr>
        <w:t xml:space="preserve">did not allow the defendant to challenge the Compas report. </w:t>
      </w:r>
      <w:r w:rsidR="00643ABB" w:rsidRPr="00D845F9">
        <w:rPr>
          <w:color w:val="000000" w:themeColor="text1"/>
        </w:rPr>
        <w:t xml:space="preserve">The Supreme Court found </w:t>
      </w:r>
      <w:r w:rsidR="00FA57BE" w:rsidRPr="00D845F9">
        <w:rPr>
          <w:color w:val="000000" w:themeColor="text1"/>
        </w:rPr>
        <w:t>no violation of the right to due process.</w:t>
      </w:r>
      <w:r w:rsidR="00FA57BE" w:rsidRPr="00D845F9">
        <w:rPr>
          <w:rStyle w:val="FootnoteReference"/>
          <w:color w:val="000000" w:themeColor="text1"/>
        </w:rPr>
        <w:footnoteReference w:id="8"/>
      </w:r>
      <w:r w:rsidR="00643ABB" w:rsidRPr="00D845F9">
        <w:rPr>
          <w:color w:val="000000" w:themeColor="text1"/>
        </w:rPr>
        <w:t xml:space="preserve"> </w:t>
      </w:r>
    </w:p>
    <w:p w14:paraId="515E9840" w14:textId="776BBA32" w:rsidR="00C52DEA" w:rsidRPr="00D845F9" w:rsidRDefault="002C1B47" w:rsidP="00D845F9">
      <w:pPr>
        <w:pStyle w:val="ListParagraph"/>
        <w:contextualSpacing w:val="0"/>
        <w:jc w:val="both"/>
        <w:rPr>
          <w:color w:val="000000" w:themeColor="text1"/>
        </w:rPr>
      </w:pPr>
      <w:r w:rsidRPr="00D845F9">
        <w:rPr>
          <w:color w:val="000000" w:themeColor="text1"/>
        </w:rPr>
        <w:t xml:space="preserve">Artificial intelligence techniques </w:t>
      </w:r>
      <w:r w:rsidR="00FF6F66" w:rsidRPr="00D845F9">
        <w:rPr>
          <w:color w:val="000000" w:themeColor="text1"/>
        </w:rPr>
        <w:t>(natural language processing, machine learning, etc.)</w:t>
      </w:r>
      <w:r w:rsidR="00A621D9" w:rsidRPr="00D845F9">
        <w:rPr>
          <w:color w:val="000000" w:themeColor="text1"/>
        </w:rPr>
        <w:t xml:space="preserve"> and predictive analytics</w:t>
      </w:r>
      <w:r w:rsidR="00FF6F66" w:rsidRPr="00D845F9">
        <w:rPr>
          <w:color w:val="000000" w:themeColor="text1"/>
        </w:rPr>
        <w:t xml:space="preserve"> </w:t>
      </w:r>
      <w:r w:rsidRPr="00D845F9">
        <w:rPr>
          <w:color w:val="000000" w:themeColor="text1"/>
        </w:rPr>
        <w:t>enable</w:t>
      </w:r>
      <w:r w:rsidR="00C52DEA" w:rsidRPr="00D845F9">
        <w:rPr>
          <w:color w:val="000000" w:themeColor="text1"/>
        </w:rPr>
        <w:t xml:space="preserve"> private and public decision-makers</w:t>
      </w:r>
      <w:r w:rsidRPr="00D845F9">
        <w:rPr>
          <w:color w:val="000000" w:themeColor="text1"/>
        </w:rPr>
        <w:t xml:space="preserve"> to </w:t>
      </w:r>
      <w:r w:rsidR="00431ED8" w:rsidRPr="00D845F9">
        <w:rPr>
          <w:color w:val="000000" w:themeColor="text1"/>
        </w:rPr>
        <w:t>extract value from</w:t>
      </w:r>
      <w:r w:rsidRPr="00D845F9">
        <w:rPr>
          <w:color w:val="000000" w:themeColor="text1"/>
        </w:rPr>
        <w:t xml:space="preserve"> big data</w:t>
      </w:r>
      <w:r w:rsidRPr="00D845F9">
        <w:rPr>
          <w:rStyle w:val="FootnoteReference"/>
          <w:color w:val="000000" w:themeColor="text1"/>
        </w:rPr>
        <w:footnoteReference w:id="9"/>
      </w:r>
      <w:r w:rsidRPr="00D845F9">
        <w:rPr>
          <w:color w:val="000000" w:themeColor="text1"/>
        </w:rPr>
        <w:t xml:space="preserve"> </w:t>
      </w:r>
      <w:r w:rsidR="00431ED8" w:rsidRPr="00D845F9">
        <w:rPr>
          <w:color w:val="000000" w:themeColor="text1"/>
        </w:rPr>
        <w:t>and</w:t>
      </w:r>
      <w:r w:rsidRPr="00D845F9">
        <w:rPr>
          <w:color w:val="000000" w:themeColor="text1"/>
        </w:rPr>
        <w:t xml:space="preserve"> to build profiles, which are used to </w:t>
      </w:r>
      <w:r w:rsidR="005B68DF">
        <w:rPr>
          <w:color w:val="000000" w:themeColor="text1"/>
        </w:rPr>
        <w:t>m</w:t>
      </w:r>
      <w:r w:rsidRPr="00D845F9">
        <w:rPr>
          <w:color w:val="000000" w:themeColor="text1"/>
        </w:rPr>
        <w:t>ake</w:t>
      </w:r>
      <w:r w:rsidR="00DB15C9" w:rsidRPr="00D845F9">
        <w:rPr>
          <w:color w:val="000000" w:themeColor="text1"/>
        </w:rPr>
        <w:t xml:space="preserve"> decisions in an automated way.</w:t>
      </w:r>
      <w:r w:rsidR="00643ABB" w:rsidRPr="00D845F9">
        <w:rPr>
          <w:color w:val="000000" w:themeColor="text1"/>
        </w:rPr>
        <w:t xml:space="preserve"> The accu</w:t>
      </w:r>
      <w:r w:rsidR="005B68DF">
        <w:rPr>
          <w:color w:val="000000" w:themeColor="text1"/>
        </w:rPr>
        <w:t xml:space="preserve">racy of the profiles is further </w:t>
      </w:r>
      <w:r w:rsidR="00643ABB" w:rsidRPr="00D845F9">
        <w:rPr>
          <w:color w:val="000000" w:themeColor="text1"/>
        </w:rPr>
        <w:t>enhanced by the linking capabilities of the Internet of Things.</w:t>
      </w:r>
      <w:r w:rsidR="00643ABB" w:rsidRPr="00D845F9">
        <w:rPr>
          <w:rStyle w:val="FootnoteReference"/>
          <w:color w:val="000000" w:themeColor="text1"/>
        </w:rPr>
        <w:footnoteReference w:id="10"/>
      </w:r>
      <w:r w:rsidR="00DB15C9" w:rsidRPr="00D845F9">
        <w:rPr>
          <w:color w:val="000000" w:themeColor="text1"/>
        </w:rPr>
        <w:t xml:space="preserve"> These </w:t>
      </w:r>
      <w:r w:rsidRPr="00D845F9">
        <w:rPr>
          <w:color w:val="000000" w:themeColor="text1"/>
        </w:rPr>
        <w:t>d</w:t>
      </w:r>
      <w:r w:rsidR="00DB15C9" w:rsidRPr="00D845F9">
        <w:rPr>
          <w:color w:val="000000" w:themeColor="text1"/>
        </w:rPr>
        <w:t>ecisions may profoundly affect</w:t>
      </w:r>
      <w:r w:rsidRPr="00D845F9">
        <w:rPr>
          <w:color w:val="000000" w:themeColor="text1"/>
        </w:rPr>
        <w:t xml:space="preserve"> people’s lives </w:t>
      </w:r>
      <w:r w:rsidR="002F11D1" w:rsidRPr="00D845F9">
        <w:rPr>
          <w:color w:val="000000" w:themeColor="text1"/>
        </w:rPr>
        <w:t>in terms of, for instance, discrimination, de-</w:t>
      </w:r>
      <w:r w:rsidR="009A2423" w:rsidRPr="00D845F9">
        <w:rPr>
          <w:color w:val="000000" w:themeColor="text1"/>
        </w:rPr>
        <w:t>individual</w:t>
      </w:r>
      <w:r w:rsidR="004F4403" w:rsidRPr="00D845F9">
        <w:rPr>
          <w:color w:val="000000" w:themeColor="text1"/>
        </w:rPr>
        <w:t>isation</w:t>
      </w:r>
      <w:r w:rsidR="00643ABB" w:rsidRPr="00D845F9">
        <w:rPr>
          <w:color w:val="000000" w:themeColor="text1"/>
        </w:rPr>
        <w:t>,</w:t>
      </w:r>
      <w:r w:rsidR="002F11D1" w:rsidRPr="00D845F9">
        <w:rPr>
          <w:color w:val="000000" w:themeColor="text1"/>
        </w:rPr>
        <w:t xml:space="preserve"> information asymmetries</w:t>
      </w:r>
      <w:r w:rsidR="00643ABB" w:rsidRPr="00D845F9">
        <w:rPr>
          <w:color w:val="000000" w:themeColor="text1"/>
        </w:rPr>
        <w:t>, and social segregation</w:t>
      </w:r>
      <w:r w:rsidR="00DE601E" w:rsidRPr="00D845F9">
        <w:rPr>
          <w:color w:val="000000" w:themeColor="text1"/>
        </w:rPr>
        <w:t>.</w:t>
      </w:r>
      <w:r w:rsidR="002F11D1" w:rsidRPr="00D845F9">
        <w:rPr>
          <w:rStyle w:val="FootnoteReference"/>
          <w:color w:val="000000" w:themeColor="text1"/>
        </w:rPr>
        <w:footnoteReference w:id="11"/>
      </w:r>
      <w:r w:rsidRPr="00D845F9">
        <w:rPr>
          <w:color w:val="000000" w:themeColor="text1"/>
        </w:rPr>
        <w:t xml:space="preserve"> </w:t>
      </w:r>
    </w:p>
    <w:p w14:paraId="3503B2AF" w14:textId="224C3D9E" w:rsidR="004F5EF6" w:rsidRPr="00D845F9" w:rsidRDefault="005B68DF" w:rsidP="00D845F9">
      <w:pPr>
        <w:pStyle w:val="ListParagraph"/>
        <w:contextualSpacing w:val="0"/>
        <w:jc w:val="both"/>
        <w:rPr>
          <w:color w:val="000000" w:themeColor="text1"/>
        </w:rPr>
      </w:pPr>
      <w:r>
        <w:rPr>
          <w:color w:val="000000" w:themeColor="text1"/>
        </w:rPr>
        <w:t>In light of the</w:t>
      </w:r>
      <w:r w:rsidR="00395BD2" w:rsidRPr="00D845F9">
        <w:rPr>
          <w:color w:val="000000" w:themeColor="text1"/>
        </w:rPr>
        <w:t xml:space="preserve"> confusion as to</w:t>
      </w:r>
      <w:r>
        <w:rPr>
          <w:color w:val="000000" w:themeColor="text1"/>
        </w:rPr>
        <w:t xml:space="preserve"> the actual role of algorithms, it is worrying that in “</w:t>
      </w:r>
      <w:r w:rsidR="00395BD2" w:rsidRPr="00D845F9">
        <w:rPr>
          <w:color w:val="000000" w:themeColor="text1"/>
        </w:rPr>
        <w:t>the models of game theory, decision theory, artificial intelligence, and military strategy, the algorithmic rules of rationality replaced the self-critical judgments of reason</w:t>
      </w:r>
      <w:r w:rsidR="00AE45A9" w:rsidRPr="00D845F9">
        <w:rPr>
          <w:color w:val="000000" w:themeColor="text1"/>
        </w:rPr>
        <w:t>.”</w:t>
      </w:r>
      <w:r w:rsidR="00395BD2" w:rsidRPr="00D845F9">
        <w:rPr>
          <w:rStyle w:val="FootnoteReference"/>
          <w:color w:val="000000" w:themeColor="text1"/>
        </w:rPr>
        <w:footnoteReference w:id="12"/>
      </w:r>
    </w:p>
    <w:p w14:paraId="4014A704" w14:textId="75D0ADD3" w:rsidR="00297D03" w:rsidRPr="00D845F9" w:rsidRDefault="00F815A3" w:rsidP="00D845F9">
      <w:pPr>
        <w:pStyle w:val="ListParagraph"/>
        <w:contextualSpacing w:val="0"/>
        <w:jc w:val="both"/>
        <w:rPr>
          <w:color w:val="000000" w:themeColor="text1"/>
        </w:rPr>
      </w:pPr>
      <w:r w:rsidRPr="00D845F9">
        <w:rPr>
          <w:color w:val="000000" w:themeColor="text1"/>
        </w:rPr>
        <w:t>A paper</w:t>
      </w:r>
      <w:r w:rsidRPr="00D845F9">
        <w:rPr>
          <w:rStyle w:val="FootnoteReference"/>
          <w:color w:val="000000" w:themeColor="text1"/>
        </w:rPr>
        <w:footnoteReference w:id="13"/>
      </w:r>
      <w:r w:rsidRPr="00D845F9">
        <w:rPr>
          <w:color w:val="000000" w:themeColor="text1"/>
        </w:rPr>
        <w:t xml:space="preserve"> concluded by asking whether and how algorithms</w:t>
      </w:r>
      <w:r w:rsidR="00D8794E" w:rsidRPr="00D845F9">
        <w:rPr>
          <w:color w:val="000000" w:themeColor="text1"/>
        </w:rPr>
        <w:t xml:space="preserve"> should be regulated</w:t>
      </w:r>
      <w:r w:rsidRPr="00D845F9">
        <w:rPr>
          <w:color w:val="000000" w:themeColor="text1"/>
        </w:rPr>
        <w:t>. This work aims to constitute an attempt to answer those questions with a focus on the existing rules on intellectual property, data protection, and freedom of information. In particular, it will be critically assessed whether “the tools currently available to policym</w:t>
      </w:r>
      <w:r w:rsidR="005B68DF">
        <w:rPr>
          <w:color w:val="000000" w:themeColor="text1"/>
        </w:rPr>
        <w:t>akers, legislators, and courts (which)</w:t>
      </w:r>
      <w:r w:rsidRPr="00D845F9">
        <w:rPr>
          <w:color w:val="000000" w:themeColor="text1"/>
        </w:rPr>
        <w:t xml:space="preserve"> were developed to</w:t>
      </w:r>
      <w:r w:rsidR="005B68DF">
        <w:rPr>
          <w:color w:val="000000" w:themeColor="text1"/>
        </w:rPr>
        <w:t xml:space="preserve"> oversee human decision-makers (…)</w:t>
      </w:r>
      <w:r w:rsidRPr="00D845F9">
        <w:rPr>
          <w:color w:val="000000" w:themeColor="text1"/>
        </w:rPr>
        <w:t xml:space="preserve"> fail when applied to computers instead</w:t>
      </w:r>
      <w:r w:rsidR="00AE45A9" w:rsidRPr="00D845F9">
        <w:rPr>
          <w:color w:val="000000" w:themeColor="text1"/>
        </w:rPr>
        <w:t>.</w:t>
      </w:r>
      <w:r w:rsidRPr="00D845F9">
        <w:rPr>
          <w:color w:val="000000" w:themeColor="text1"/>
        </w:rPr>
        <w:t>”</w:t>
      </w:r>
      <w:r w:rsidRPr="00D845F9">
        <w:rPr>
          <w:rStyle w:val="FootnoteReference"/>
          <w:color w:val="000000" w:themeColor="text1"/>
        </w:rPr>
        <w:footnoteReference w:id="14"/>
      </w:r>
      <w:r w:rsidR="00431ED8" w:rsidRPr="00D845F9">
        <w:rPr>
          <w:color w:val="000000" w:themeColor="text1"/>
        </w:rPr>
        <w:t xml:space="preserve"> </w:t>
      </w:r>
    </w:p>
    <w:p w14:paraId="6A7A6AC1" w14:textId="353C8EAC" w:rsidR="00D85664" w:rsidRPr="00D845F9" w:rsidRDefault="005B68DF" w:rsidP="00D845F9">
      <w:pPr>
        <w:pStyle w:val="ListParagraph"/>
        <w:contextualSpacing w:val="0"/>
        <w:jc w:val="both"/>
        <w:rPr>
          <w:color w:val="000000" w:themeColor="text1"/>
        </w:rPr>
      </w:pPr>
      <w:r>
        <w:rPr>
          <w:color w:val="000000" w:themeColor="text1"/>
        </w:rPr>
        <w:t xml:space="preserve">First, the paper </w:t>
      </w:r>
      <w:r w:rsidR="006C1301" w:rsidRPr="00D845F9">
        <w:rPr>
          <w:color w:val="000000" w:themeColor="text1"/>
        </w:rPr>
        <w:t>present</w:t>
      </w:r>
      <w:r>
        <w:rPr>
          <w:color w:val="000000" w:themeColor="text1"/>
        </w:rPr>
        <w:t>s</w:t>
      </w:r>
      <w:r w:rsidR="006C1301" w:rsidRPr="00D845F9">
        <w:rPr>
          <w:color w:val="000000" w:themeColor="text1"/>
        </w:rPr>
        <w:t xml:space="preserve"> </w:t>
      </w:r>
      <w:r>
        <w:rPr>
          <w:color w:val="000000" w:themeColor="text1"/>
        </w:rPr>
        <w:t xml:space="preserve">ten </w:t>
      </w:r>
      <w:r w:rsidR="006C1301" w:rsidRPr="00D845F9">
        <w:rPr>
          <w:color w:val="000000" w:themeColor="text1"/>
        </w:rPr>
        <w:t>arguments why algorithms cannot and should not replace human decision-m</w:t>
      </w:r>
      <w:r w:rsidR="00CD360E" w:rsidRPr="00D845F9">
        <w:rPr>
          <w:color w:val="000000" w:themeColor="text1"/>
        </w:rPr>
        <w:t xml:space="preserve">akers. </w:t>
      </w:r>
      <w:r w:rsidR="00D85664" w:rsidRPr="00D845F9">
        <w:rPr>
          <w:color w:val="000000" w:themeColor="text1"/>
        </w:rPr>
        <w:t xml:space="preserve">Then, three legal routes </w:t>
      </w:r>
      <w:r>
        <w:rPr>
          <w:color w:val="000000" w:themeColor="text1"/>
        </w:rPr>
        <w:t>are</w:t>
      </w:r>
      <w:r w:rsidR="00D85664" w:rsidRPr="00D845F9">
        <w:rPr>
          <w:color w:val="000000" w:themeColor="text1"/>
        </w:rPr>
        <w:t xml:space="preserve"> presented.</w:t>
      </w:r>
      <w:r w:rsidR="00D85664" w:rsidRPr="00D845F9">
        <w:rPr>
          <w:rStyle w:val="FootnoteReference"/>
          <w:color w:val="000000" w:themeColor="text1"/>
          <w:lang w:val="fr-FR"/>
        </w:rPr>
        <w:footnoteReference w:id="15"/>
      </w:r>
      <w:r w:rsidR="00D85664" w:rsidRPr="00D845F9">
        <w:rPr>
          <w:color w:val="000000" w:themeColor="text1"/>
        </w:rPr>
        <w:t xml:space="preserve"> The General Data Protection Regulation (GDPR)</w:t>
      </w:r>
      <w:r>
        <w:rPr>
          <w:rStyle w:val="FootnoteReference"/>
          <w:color w:val="000000" w:themeColor="text1"/>
        </w:rPr>
        <w:footnoteReference w:id="16"/>
      </w:r>
      <w:r w:rsidR="00D85664" w:rsidRPr="00D845F9">
        <w:rPr>
          <w:color w:val="000000" w:themeColor="text1"/>
        </w:rPr>
        <w:t xml:space="preserve"> </w:t>
      </w:r>
      <w:r w:rsidR="00253E22">
        <w:rPr>
          <w:color w:val="000000" w:themeColor="text1"/>
        </w:rPr>
        <w:t>bans solely automated decisions having</w:t>
      </w:r>
      <w:r w:rsidR="00D85664" w:rsidRPr="00D845F9">
        <w:rPr>
          <w:color w:val="000000" w:themeColor="text1"/>
        </w:rPr>
        <w:t xml:space="preserve"> legal effects on the data subject’s life “or similarly significantly affects him or her</w:t>
      </w:r>
      <w:r w:rsidR="00253E22">
        <w:rPr>
          <w:color w:val="000000" w:themeColor="text1"/>
        </w:rPr>
        <w:t>.”</w:t>
      </w:r>
      <w:r w:rsidR="00D85664" w:rsidRPr="00D845F9">
        <w:rPr>
          <w:rStyle w:val="FootnoteReference"/>
          <w:color w:val="000000" w:themeColor="text1"/>
        </w:rPr>
        <w:footnoteReference w:id="17"/>
      </w:r>
      <w:r w:rsidR="00253E22">
        <w:rPr>
          <w:color w:val="000000" w:themeColor="text1"/>
        </w:rPr>
        <w:t xml:space="preserve"> However, when such decisions are allowed, the data controller shall ensure the transparency of the decision, and give the data subject</w:t>
      </w:r>
      <w:r w:rsidR="00D85664" w:rsidRPr="00D845F9">
        <w:rPr>
          <w:color w:val="000000" w:themeColor="text1"/>
        </w:rPr>
        <w:t xml:space="preserve"> the rights to obtain human intervention, to express their point of view, as well as to contest the decision. Data protection is the most studied </w:t>
      </w:r>
      <w:r w:rsidR="00643ABB" w:rsidRPr="00D845F9">
        <w:rPr>
          <w:color w:val="000000" w:themeColor="text1"/>
        </w:rPr>
        <w:t>perspective but</w:t>
      </w:r>
      <w:r w:rsidR="00D85664" w:rsidRPr="00D845F9">
        <w:rPr>
          <w:color w:val="000000" w:themeColor="text1"/>
        </w:rPr>
        <w:t xml:space="preserve"> invoking it by itself is a strategy that “is no longer viable.”</w:t>
      </w:r>
      <w:r w:rsidR="00D85664" w:rsidRPr="00D845F9">
        <w:rPr>
          <w:rStyle w:val="FootnoteReference"/>
          <w:color w:val="000000" w:themeColor="text1"/>
        </w:rPr>
        <w:footnoteReference w:id="18"/>
      </w:r>
      <w:r w:rsidR="00253E22">
        <w:rPr>
          <w:color w:val="000000" w:themeColor="text1"/>
        </w:rPr>
        <w:t xml:space="preserve"> </w:t>
      </w:r>
      <w:r w:rsidR="00D85664" w:rsidRPr="00D845F9">
        <w:rPr>
          <w:color w:val="000000" w:themeColor="text1"/>
        </w:rPr>
        <w:t xml:space="preserve">Therefore, </w:t>
      </w:r>
      <w:r w:rsidR="00253E22">
        <w:rPr>
          <w:color w:val="000000" w:themeColor="text1"/>
        </w:rPr>
        <w:t xml:space="preserve">this paper has an approach integrating data protection, </w:t>
      </w:r>
      <w:r w:rsidR="00D85664" w:rsidRPr="00D845F9">
        <w:rPr>
          <w:color w:val="000000" w:themeColor="text1"/>
        </w:rPr>
        <w:t>intellectual prop</w:t>
      </w:r>
      <w:r w:rsidR="00253E22">
        <w:rPr>
          <w:color w:val="000000" w:themeColor="text1"/>
        </w:rPr>
        <w:t>erty and freedom of information.</w:t>
      </w:r>
    </w:p>
    <w:p w14:paraId="1DEDCEF4" w14:textId="2B1E14F0" w:rsidR="00D85664" w:rsidRPr="00D845F9" w:rsidRDefault="00D85664" w:rsidP="00D845F9">
      <w:pPr>
        <w:pStyle w:val="ListParagraph"/>
        <w:contextualSpacing w:val="0"/>
        <w:jc w:val="both"/>
        <w:rPr>
          <w:color w:val="000000" w:themeColor="text1"/>
        </w:rPr>
      </w:pPr>
      <w:r w:rsidRPr="00D845F9">
        <w:rPr>
          <w:color w:val="000000" w:themeColor="text1"/>
        </w:rPr>
        <w:t>As to the intellectual property route,</w:t>
      </w:r>
      <w:r w:rsidR="00CD360E" w:rsidRPr="00D845F9">
        <w:rPr>
          <w:color w:val="000000" w:themeColor="text1"/>
        </w:rPr>
        <w:t xml:space="preserve"> some</w:t>
      </w:r>
      <w:r w:rsidR="006C1301" w:rsidRPr="00D845F9">
        <w:rPr>
          <w:color w:val="000000" w:themeColor="text1"/>
        </w:rPr>
        <w:t xml:space="preserve"> copyright </w:t>
      </w:r>
      <w:r w:rsidR="00253E22">
        <w:rPr>
          <w:color w:val="000000" w:themeColor="text1"/>
        </w:rPr>
        <w:t xml:space="preserve">and patent </w:t>
      </w:r>
      <w:r w:rsidR="00253E22" w:rsidRPr="00D845F9">
        <w:rPr>
          <w:color w:val="000000" w:themeColor="text1"/>
        </w:rPr>
        <w:t>exceptions</w:t>
      </w:r>
      <w:r w:rsidR="00253E22">
        <w:rPr>
          <w:color w:val="000000" w:themeColor="text1"/>
        </w:rPr>
        <w:t xml:space="preserve"> </w:t>
      </w:r>
      <w:r w:rsidR="007E446A" w:rsidRPr="00D845F9">
        <w:rPr>
          <w:color w:val="000000" w:themeColor="text1"/>
        </w:rPr>
        <w:t xml:space="preserve">may </w:t>
      </w:r>
      <w:r w:rsidR="00CD360E" w:rsidRPr="00D845F9">
        <w:rPr>
          <w:color w:val="000000" w:themeColor="text1"/>
        </w:rPr>
        <w:t>allow</w:t>
      </w:r>
      <w:r w:rsidR="007E446A" w:rsidRPr="00D845F9">
        <w:rPr>
          <w:color w:val="000000" w:themeColor="text1"/>
        </w:rPr>
        <w:t xml:space="preserve"> t</w:t>
      </w:r>
      <w:r w:rsidR="00DE601E" w:rsidRPr="00D845F9">
        <w:rPr>
          <w:color w:val="000000" w:themeColor="text1"/>
        </w:rPr>
        <w:t xml:space="preserve">he </w:t>
      </w:r>
      <w:r w:rsidR="007E446A" w:rsidRPr="00D845F9">
        <w:rPr>
          <w:color w:val="000000" w:themeColor="text1"/>
        </w:rPr>
        <w:t xml:space="preserve">access </w:t>
      </w:r>
      <w:r w:rsidR="00DE601E" w:rsidRPr="00D845F9">
        <w:rPr>
          <w:color w:val="000000" w:themeColor="text1"/>
        </w:rPr>
        <w:t xml:space="preserve">to </w:t>
      </w:r>
      <w:r w:rsidR="007E446A" w:rsidRPr="00D845F9">
        <w:rPr>
          <w:color w:val="000000" w:themeColor="text1"/>
        </w:rPr>
        <w:t>a computer pro</w:t>
      </w:r>
      <w:r w:rsidR="00253E22">
        <w:rPr>
          <w:color w:val="000000" w:themeColor="text1"/>
        </w:rPr>
        <w:t>gram implementing an algorithm</w:t>
      </w:r>
      <w:r w:rsidR="007E446A" w:rsidRPr="00D845F9">
        <w:rPr>
          <w:color w:val="000000" w:themeColor="text1"/>
        </w:rPr>
        <w:t xml:space="preserve">, notwithstanding its proprietary nature. </w:t>
      </w:r>
    </w:p>
    <w:p w14:paraId="69A00926" w14:textId="7E241160" w:rsidR="007E446A" w:rsidRPr="00D845F9" w:rsidRDefault="00D85664" w:rsidP="00D845F9">
      <w:pPr>
        <w:pStyle w:val="ListParagraph"/>
        <w:contextualSpacing w:val="0"/>
        <w:jc w:val="both"/>
        <w:rPr>
          <w:color w:val="000000" w:themeColor="text1"/>
          <w:lang w:val="fr-FR"/>
        </w:rPr>
      </w:pPr>
      <w:r w:rsidRPr="00D845F9">
        <w:rPr>
          <w:color w:val="000000" w:themeColor="text1"/>
        </w:rPr>
        <w:t>In turn, when it come</w:t>
      </w:r>
      <w:r w:rsidR="007E446A" w:rsidRPr="00D845F9">
        <w:rPr>
          <w:color w:val="000000" w:themeColor="text1"/>
        </w:rPr>
        <w:t xml:space="preserve">s to the freedom of information, </w:t>
      </w:r>
      <w:r w:rsidR="00253E22">
        <w:rPr>
          <w:color w:val="000000" w:themeColor="text1"/>
        </w:rPr>
        <w:t xml:space="preserve">an Italian </w:t>
      </w:r>
      <w:r w:rsidR="00253E22">
        <w:rPr>
          <w:color w:val="000000" w:themeColor="text1"/>
          <w:lang w:val="fr-FR"/>
        </w:rPr>
        <w:t xml:space="preserve">court </w:t>
      </w:r>
      <w:r w:rsidR="007E446A" w:rsidRPr="00D845F9">
        <w:rPr>
          <w:color w:val="000000" w:themeColor="text1"/>
          <w:lang w:val="fr-FR"/>
        </w:rPr>
        <w:t>stated that an algorithm is a digital administrative act and therefore, under the freedom of information regime, the citizens have the right to access it</w:t>
      </w:r>
      <w:r w:rsidR="00F916C1" w:rsidRPr="00D845F9">
        <w:rPr>
          <w:color w:val="000000" w:themeColor="text1"/>
          <w:lang w:val="fr-FR"/>
        </w:rPr>
        <w:t>.</w:t>
      </w:r>
      <w:r w:rsidR="007E446A" w:rsidRPr="00D845F9">
        <w:rPr>
          <w:rStyle w:val="FootnoteReference"/>
          <w:color w:val="000000" w:themeColor="text1"/>
          <w:lang w:val="fr-FR"/>
        </w:rPr>
        <w:footnoteReference w:id="19"/>
      </w:r>
    </w:p>
    <w:p w14:paraId="3083FF8D" w14:textId="406DAAF1" w:rsidR="003929F4" w:rsidRPr="00D845F9" w:rsidRDefault="00297D03" w:rsidP="00D845F9">
      <w:pPr>
        <w:pStyle w:val="ListParagraph"/>
        <w:contextualSpacing w:val="0"/>
        <w:jc w:val="both"/>
        <w:rPr>
          <w:color w:val="000000" w:themeColor="text1"/>
        </w:rPr>
      </w:pPr>
      <w:r w:rsidRPr="00D845F9">
        <w:rPr>
          <w:color w:val="000000" w:themeColor="text1"/>
        </w:rPr>
        <w:t xml:space="preserve">In terms of method, the main focus </w:t>
      </w:r>
      <w:r w:rsidR="00253E22">
        <w:rPr>
          <w:color w:val="000000" w:themeColor="text1"/>
        </w:rPr>
        <w:t>is a</w:t>
      </w:r>
      <w:r w:rsidRPr="00D845F9">
        <w:rPr>
          <w:color w:val="000000" w:themeColor="text1"/>
        </w:rPr>
        <w:t xml:space="preserve"> desk-based research of EU laws, </w:t>
      </w:r>
      <w:r w:rsidR="00253E22">
        <w:rPr>
          <w:color w:val="000000" w:themeColor="text1"/>
        </w:rPr>
        <w:t>and of</w:t>
      </w:r>
      <w:r w:rsidRPr="00D845F9">
        <w:rPr>
          <w:color w:val="000000" w:themeColor="text1"/>
        </w:rPr>
        <w:t xml:space="preserve"> </w:t>
      </w:r>
      <w:r w:rsidR="00C67E9D">
        <w:rPr>
          <w:color w:val="000000" w:themeColor="text1"/>
        </w:rPr>
        <w:t>the</w:t>
      </w:r>
      <w:r w:rsidRPr="00D845F9">
        <w:rPr>
          <w:color w:val="000000" w:themeColor="text1"/>
        </w:rPr>
        <w:t xml:space="preserve"> UK and Italian implementations. </w:t>
      </w:r>
      <w:r w:rsidR="006F3E4B" w:rsidRPr="00D845F9">
        <w:rPr>
          <w:color w:val="000000" w:themeColor="text1"/>
        </w:rPr>
        <w:t xml:space="preserve">The paper is both positive and normative. </w:t>
      </w:r>
      <w:r w:rsidRPr="00D845F9">
        <w:rPr>
          <w:color w:val="000000" w:themeColor="text1"/>
        </w:rPr>
        <w:t>Whilst advocati</w:t>
      </w:r>
      <w:r w:rsidR="00253E22">
        <w:rPr>
          <w:color w:val="000000" w:themeColor="text1"/>
        </w:rPr>
        <w:t>ng against algorithmic decision-</w:t>
      </w:r>
      <w:r w:rsidRPr="00D845F9">
        <w:rPr>
          <w:color w:val="000000" w:themeColor="text1"/>
        </w:rPr>
        <w:t xml:space="preserve">making, this research takes a pragmatic approach whereby one should take </w:t>
      </w:r>
      <w:r w:rsidR="00253E22">
        <w:rPr>
          <w:color w:val="000000" w:themeColor="text1"/>
        </w:rPr>
        <w:t xml:space="preserve">into </w:t>
      </w:r>
      <w:r w:rsidRPr="00D845F9">
        <w:rPr>
          <w:color w:val="000000" w:themeColor="text1"/>
        </w:rPr>
        <w:t xml:space="preserve">account </w:t>
      </w:r>
      <w:r w:rsidR="00253E22">
        <w:rPr>
          <w:color w:val="000000" w:themeColor="text1"/>
        </w:rPr>
        <w:t>that</w:t>
      </w:r>
      <w:r w:rsidRPr="00D845F9">
        <w:rPr>
          <w:color w:val="000000" w:themeColor="text1"/>
        </w:rPr>
        <w:t xml:space="preserve"> the replacement of human decision-makers with algori</w:t>
      </w:r>
      <w:r w:rsidR="00253E22">
        <w:rPr>
          <w:color w:val="000000" w:themeColor="text1"/>
        </w:rPr>
        <w:t>thms is already happening. T</w:t>
      </w:r>
      <w:r w:rsidRPr="00D845F9">
        <w:rPr>
          <w:color w:val="000000" w:themeColor="text1"/>
        </w:rPr>
        <w:t xml:space="preserve">herefore, it is important to understand how to solve the relevant legal issues using existing laws. </w:t>
      </w:r>
      <w:r w:rsidR="000723F0" w:rsidRPr="00D845F9">
        <w:rPr>
          <w:color w:val="000000" w:themeColor="text1"/>
          <w:lang w:val="fr-FR"/>
        </w:rPr>
        <w:t xml:space="preserve">If algorithms are becoming </w:t>
      </w:r>
      <w:r w:rsidR="000723F0" w:rsidRPr="00D845F9">
        <w:rPr>
          <w:color w:val="000000" w:themeColor="text1"/>
        </w:rPr>
        <w:t>“</w:t>
      </w:r>
      <w:r w:rsidR="003929F4" w:rsidRPr="00D845F9">
        <w:rPr>
          <w:color w:val="000000" w:themeColor="text1"/>
          <w:lang w:val="fr-FR"/>
        </w:rPr>
        <w:t>weapons of math destruction</w:t>
      </w:r>
      <w:r w:rsidR="00525EAC" w:rsidRPr="00D845F9">
        <w:rPr>
          <w:color w:val="000000" w:themeColor="text1"/>
          <w:lang w:val="fr-FR"/>
        </w:rPr>
        <w:t>,</w:t>
      </w:r>
      <w:r w:rsidR="000723F0" w:rsidRPr="00D845F9">
        <w:rPr>
          <w:color w:val="000000" w:themeColor="text1"/>
        </w:rPr>
        <w:t>”</w:t>
      </w:r>
      <w:r w:rsidR="003929F4" w:rsidRPr="00D845F9">
        <w:rPr>
          <w:rStyle w:val="FootnoteReference"/>
          <w:color w:val="000000" w:themeColor="text1"/>
          <w:lang w:val="fr-FR"/>
        </w:rPr>
        <w:footnoteReference w:id="20"/>
      </w:r>
      <w:r w:rsidR="003929F4" w:rsidRPr="00D845F9">
        <w:rPr>
          <w:color w:val="000000" w:themeColor="text1"/>
          <w:lang w:val="fr-FR"/>
        </w:rPr>
        <w:t xml:space="preserve">it is </w:t>
      </w:r>
      <w:r w:rsidR="00D85664" w:rsidRPr="00D845F9">
        <w:rPr>
          <w:color w:val="000000" w:themeColor="text1"/>
          <w:lang w:val="fr-FR"/>
        </w:rPr>
        <w:t>crucial</w:t>
      </w:r>
      <w:r w:rsidR="003929F4" w:rsidRPr="00D845F9">
        <w:rPr>
          <w:color w:val="000000" w:themeColor="text1"/>
          <w:lang w:val="fr-FR"/>
        </w:rPr>
        <w:t xml:space="preserve"> that awareness is raised on the pervasivity of algorithmic decision-making and that light is shed on the existing legal tools, in anticipation of better regulations and more responsible modelers.</w:t>
      </w:r>
      <w:r w:rsidR="00525EAC" w:rsidRPr="00D845F9">
        <w:rPr>
          <w:color w:val="000000" w:themeColor="text1"/>
          <w:lang w:val="fr-FR"/>
        </w:rPr>
        <w:t xml:space="preserve"> </w:t>
      </w:r>
      <w:r w:rsidR="003929F4" w:rsidRPr="00D845F9">
        <w:rPr>
          <w:color w:val="000000" w:themeColor="text1"/>
          <w:lang w:val="fr-FR"/>
        </w:rPr>
        <w:t xml:space="preserve">Without clarity on the nature of the phenomenon and on the relevant legal tools, it is unlikely that citizens </w:t>
      </w:r>
      <w:r w:rsidR="00D85664" w:rsidRPr="00D845F9">
        <w:rPr>
          <w:color w:val="000000" w:themeColor="text1"/>
          <w:lang w:val="fr-FR"/>
        </w:rPr>
        <w:t>will</w:t>
      </w:r>
      <w:r w:rsidR="003929F4" w:rsidRPr="00D845F9">
        <w:rPr>
          <w:color w:val="000000" w:themeColor="text1"/>
          <w:lang w:val="fr-FR"/>
        </w:rPr>
        <w:t xml:space="preserve"> trust algorithms. </w:t>
      </w:r>
    </w:p>
    <w:p w14:paraId="758547C0" w14:textId="77777777" w:rsidR="004B55BA" w:rsidRPr="00D845F9" w:rsidRDefault="004B55BA" w:rsidP="00D845F9">
      <w:pPr>
        <w:pStyle w:val="ListParagraph"/>
        <w:contextualSpacing w:val="0"/>
        <w:jc w:val="both"/>
        <w:rPr>
          <w:smallCaps/>
          <w:color w:val="000000" w:themeColor="text1"/>
          <w:lang w:val="fr-FR"/>
        </w:rPr>
      </w:pPr>
    </w:p>
    <w:p w14:paraId="027D9AF9" w14:textId="36FFD9D1" w:rsidR="006C1301" w:rsidRPr="004672E2" w:rsidRDefault="006A46C9" w:rsidP="004672E2">
      <w:pPr>
        <w:pStyle w:val="NormalWeb"/>
        <w:numPr>
          <w:ilvl w:val="0"/>
          <w:numId w:val="15"/>
        </w:numPr>
        <w:ind w:firstLine="0"/>
        <w:rPr>
          <w:rFonts w:ascii="TitilliumMaps29L" w:hAnsi="TitilliumMaps29L"/>
          <w:sz w:val="28"/>
          <w:szCs w:val="28"/>
        </w:rPr>
      </w:pPr>
      <w:r w:rsidRPr="004672E2">
        <w:rPr>
          <w:rFonts w:ascii="TitilliumMaps29L" w:hAnsi="TitilliumMaps29L"/>
          <w:sz w:val="28"/>
          <w:szCs w:val="28"/>
        </w:rPr>
        <w:t>Positive</w:t>
      </w:r>
      <w:r w:rsidR="003929F4" w:rsidRPr="004672E2">
        <w:rPr>
          <w:rFonts w:ascii="TitilliumMaps29L" w:hAnsi="TitilliumMaps29L"/>
          <w:sz w:val="28"/>
          <w:szCs w:val="28"/>
        </w:rPr>
        <w:t xml:space="preserve"> and </w:t>
      </w:r>
      <w:r w:rsidRPr="004672E2">
        <w:rPr>
          <w:rFonts w:ascii="TitilliumMaps29L" w:hAnsi="TitilliumMaps29L"/>
          <w:sz w:val="28"/>
          <w:szCs w:val="28"/>
        </w:rPr>
        <w:t>normative</w:t>
      </w:r>
      <w:r w:rsidR="003929F4" w:rsidRPr="004672E2">
        <w:rPr>
          <w:rFonts w:ascii="TitilliumMaps29L" w:hAnsi="TitilliumMaps29L"/>
          <w:sz w:val="28"/>
          <w:szCs w:val="28"/>
        </w:rPr>
        <w:t xml:space="preserve"> arguments against algorithms as a replacement for human decision-makers.</w:t>
      </w:r>
    </w:p>
    <w:p w14:paraId="7574431B" w14:textId="6965A1CB" w:rsidR="003929F4" w:rsidRPr="004672E2" w:rsidRDefault="004672E2" w:rsidP="004672E2">
      <w:pPr>
        <w:pStyle w:val="ListParagraph"/>
        <w:contextualSpacing w:val="0"/>
        <w:jc w:val="both"/>
        <w:rPr>
          <w:color w:val="000000" w:themeColor="text1"/>
        </w:rPr>
      </w:pPr>
      <w:r w:rsidRPr="00D845F9">
        <w:rPr>
          <w:color w:val="000000" w:themeColor="text1"/>
        </w:rPr>
        <w:t xml:space="preserve">The first part of this section is dedicated to presenting the main reasons why algorithms cannot replace human decision-makers. </w:t>
      </w:r>
      <w:r>
        <w:rPr>
          <w:color w:val="000000" w:themeColor="text1"/>
        </w:rPr>
        <w:t xml:space="preserve">The second part discusses the reasons why such a replacement is not desirable. </w:t>
      </w:r>
      <w:r w:rsidRPr="00D845F9">
        <w:rPr>
          <w:color w:val="000000" w:themeColor="text1"/>
        </w:rPr>
        <w:t>The analysis is carried out with the judge as the model of a decision-maker.</w:t>
      </w:r>
    </w:p>
    <w:p w14:paraId="09392BAF" w14:textId="4B6AAA6F" w:rsidR="00D85664" w:rsidRPr="004672E2" w:rsidRDefault="00D85664" w:rsidP="004672E2">
      <w:pPr>
        <w:pStyle w:val="NormalWeb"/>
        <w:ind w:left="720"/>
        <w:rPr>
          <w:rFonts w:ascii="TitilliumMaps29L" w:hAnsi="TitilliumMaps29L"/>
          <w:sz w:val="28"/>
          <w:szCs w:val="28"/>
        </w:rPr>
      </w:pPr>
      <w:r w:rsidRPr="004672E2">
        <w:rPr>
          <w:rFonts w:ascii="TitilliumMaps29L" w:hAnsi="TitilliumMaps29L"/>
          <w:sz w:val="28"/>
          <w:szCs w:val="28"/>
        </w:rPr>
        <w:t>B.I. The unfeasibility of the replacement</w:t>
      </w:r>
    </w:p>
    <w:p w14:paraId="4908091E" w14:textId="77777777" w:rsidR="00D85664" w:rsidRPr="00D845F9" w:rsidRDefault="00D85664" w:rsidP="00D845F9">
      <w:pPr>
        <w:pStyle w:val="ListParagraph"/>
        <w:contextualSpacing w:val="0"/>
        <w:jc w:val="both"/>
        <w:rPr>
          <w:color w:val="000000" w:themeColor="text1"/>
        </w:rPr>
      </w:pPr>
    </w:p>
    <w:p w14:paraId="7B105DD3" w14:textId="03481E38" w:rsidR="004E7873" w:rsidRPr="00D845F9" w:rsidRDefault="007446C5" w:rsidP="00D845F9">
      <w:pPr>
        <w:pStyle w:val="ListParagraph"/>
        <w:contextualSpacing w:val="0"/>
        <w:jc w:val="both"/>
        <w:rPr>
          <w:color w:val="000000" w:themeColor="text1"/>
        </w:rPr>
      </w:pPr>
      <w:r w:rsidRPr="00D845F9">
        <w:rPr>
          <w:color w:val="000000" w:themeColor="text1"/>
        </w:rPr>
        <w:t>The untenability of the replacement is mainly related to</w:t>
      </w:r>
      <w:r w:rsidR="004B55BA" w:rsidRPr="00D845F9">
        <w:rPr>
          <w:color w:val="000000" w:themeColor="text1"/>
        </w:rPr>
        <w:t xml:space="preserve"> the role and characteristics of legal interpretation. </w:t>
      </w:r>
      <w:r w:rsidRPr="00D845F9">
        <w:rPr>
          <w:color w:val="000000" w:themeColor="text1"/>
        </w:rPr>
        <w:t xml:space="preserve">Algorithms could replace human decision-makers if interpretation were a straightforward </w:t>
      </w:r>
      <w:r w:rsidR="004E7873" w:rsidRPr="00D845F9">
        <w:rPr>
          <w:color w:val="000000" w:themeColor="text1"/>
        </w:rPr>
        <w:t xml:space="preserve">mechanical </w:t>
      </w:r>
      <w:r w:rsidRPr="00D845F9">
        <w:rPr>
          <w:color w:val="000000" w:themeColor="text1"/>
        </w:rPr>
        <w:t xml:space="preserve">operation of </w:t>
      </w:r>
      <w:r w:rsidR="0007743A" w:rsidRPr="00D845F9">
        <w:rPr>
          <w:color w:val="000000" w:themeColor="text1"/>
        </w:rPr>
        <w:t>textual analysis;</w:t>
      </w:r>
      <w:r w:rsidRPr="00D845F9">
        <w:rPr>
          <w:color w:val="000000" w:themeColor="text1"/>
        </w:rPr>
        <w:t xml:space="preserve"> where the meaning is easily found by putting together the facts and the norms. The said model of interpretation, which seems flawed, is accompanied by the conviction that there is a clear distinction, on the one hand, between interpretation and application and, on the other hand, between easy cases and hard cases.</w:t>
      </w:r>
      <w:r w:rsidR="004E7873" w:rsidRPr="00D845F9">
        <w:rPr>
          <w:color w:val="000000" w:themeColor="text1"/>
        </w:rPr>
        <w:t xml:space="preserve"> However, legal interpretation seems to have the opposite characteristics. Indeed, i</w:t>
      </w:r>
      <w:r w:rsidR="004B55BA" w:rsidRPr="00D845F9">
        <w:rPr>
          <w:color w:val="000000" w:themeColor="text1"/>
        </w:rPr>
        <w:t>t is ubiquitous</w:t>
      </w:r>
      <w:r w:rsidR="006304A3" w:rsidRPr="00D845F9">
        <w:rPr>
          <w:rStyle w:val="FootnoteReference"/>
          <w:color w:val="000000" w:themeColor="text1"/>
        </w:rPr>
        <w:footnoteReference w:id="21"/>
      </w:r>
      <w:r w:rsidR="004B55BA" w:rsidRPr="00D845F9">
        <w:rPr>
          <w:color w:val="000000" w:themeColor="text1"/>
        </w:rPr>
        <w:t xml:space="preserve"> </w:t>
      </w:r>
      <w:r w:rsidR="004E7873" w:rsidRPr="00D845F9">
        <w:rPr>
          <w:color w:val="000000" w:themeColor="text1"/>
        </w:rPr>
        <w:t>and its extreme complexity relates</w:t>
      </w:r>
      <w:r w:rsidR="004B55BA" w:rsidRPr="00D845F9">
        <w:rPr>
          <w:color w:val="000000" w:themeColor="text1"/>
        </w:rPr>
        <w:t xml:space="preserve"> to several factors</w:t>
      </w:r>
      <w:r w:rsidR="00525EAC" w:rsidRPr="00D845F9">
        <w:rPr>
          <w:color w:val="000000" w:themeColor="text1"/>
        </w:rPr>
        <w:t>,</w:t>
      </w:r>
      <w:r w:rsidR="004B55BA" w:rsidRPr="00D845F9">
        <w:rPr>
          <w:rStyle w:val="FootnoteReference"/>
          <w:color w:val="000000" w:themeColor="text1"/>
        </w:rPr>
        <w:footnoteReference w:id="22"/>
      </w:r>
      <w:r w:rsidR="004B55BA" w:rsidRPr="00D845F9">
        <w:rPr>
          <w:color w:val="000000" w:themeColor="text1"/>
        </w:rPr>
        <w:t xml:space="preserve"> such as the psychological (and not merely cognitive) nature of the process</w:t>
      </w:r>
      <w:r w:rsidR="004E7873" w:rsidRPr="00D845F9">
        <w:rPr>
          <w:color w:val="000000" w:themeColor="text1"/>
        </w:rPr>
        <w:t>.</w:t>
      </w:r>
      <w:r w:rsidR="004B55BA" w:rsidRPr="00D845F9">
        <w:rPr>
          <w:rStyle w:val="FootnoteReference"/>
          <w:color w:val="000000" w:themeColor="text1"/>
        </w:rPr>
        <w:footnoteReference w:id="23"/>
      </w:r>
      <w:r w:rsidR="004B55BA" w:rsidRPr="00D845F9">
        <w:rPr>
          <w:color w:val="000000" w:themeColor="text1"/>
        </w:rPr>
        <w:t xml:space="preserve"> </w:t>
      </w:r>
      <w:r w:rsidR="004E7873" w:rsidRPr="00D845F9">
        <w:rPr>
          <w:color w:val="000000" w:themeColor="text1"/>
        </w:rPr>
        <w:t>This contributes to making</w:t>
      </w:r>
      <w:r w:rsidR="004B55BA" w:rsidRPr="00D845F9">
        <w:rPr>
          <w:color w:val="000000" w:themeColor="text1"/>
        </w:rPr>
        <w:t xml:space="preserve"> it currently impossible to develop an algorithm capable of interpreting the law as a human judge would do</w:t>
      </w:r>
      <w:r w:rsidR="00525EAC" w:rsidRPr="00D845F9">
        <w:rPr>
          <w:color w:val="000000" w:themeColor="text1"/>
        </w:rPr>
        <w:t>.</w:t>
      </w:r>
      <w:r w:rsidR="004B55BA" w:rsidRPr="00D845F9">
        <w:rPr>
          <w:rStyle w:val="FootnoteReference"/>
          <w:color w:val="000000" w:themeColor="text1"/>
        </w:rPr>
        <w:footnoteReference w:id="24"/>
      </w:r>
      <w:r w:rsidR="004B55BA" w:rsidRPr="00D845F9">
        <w:rPr>
          <w:color w:val="000000" w:themeColor="text1"/>
        </w:rPr>
        <w:t xml:space="preserve"> </w:t>
      </w:r>
      <w:r w:rsidR="004E7873" w:rsidRPr="00D845F9">
        <w:rPr>
          <w:color w:val="000000" w:themeColor="text1"/>
        </w:rPr>
        <w:t xml:space="preserve">The high degree of discretion of the relevant process seems to be the main reason for the impossibility of replacement. </w:t>
      </w:r>
      <w:r w:rsidR="004B55BA" w:rsidRPr="00D845F9">
        <w:rPr>
          <w:color w:val="000000" w:themeColor="text1"/>
        </w:rPr>
        <w:t>Dworkin’s view whereby there is only one right answer to legal questions</w:t>
      </w:r>
      <w:r w:rsidR="004B55BA" w:rsidRPr="00D845F9">
        <w:rPr>
          <w:rStyle w:val="FootnoteReference"/>
          <w:color w:val="000000" w:themeColor="text1"/>
        </w:rPr>
        <w:footnoteReference w:id="25"/>
      </w:r>
      <w:r w:rsidR="004B55BA" w:rsidRPr="00D845F9">
        <w:rPr>
          <w:color w:val="000000" w:themeColor="text1"/>
        </w:rPr>
        <w:t xml:space="preserve"> </w:t>
      </w:r>
      <w:r w:rsidR="0007743A" w:rsidRPr="00D845F9">
        <w:rPr>
          <w:color w:val="000000" w:themeColor="text1"/>
        </w:rPr>
        <w:t>has very few defenders indeed.</w:t>
      </w:r>
      <w:r w:rsidR="004B55BA" w:rsidRPr="00D845F9">
        <w:rPr>
          <w:rStyle w:val="FootnoteReference"/>
          <w:color w:val="000000" w:themeColor="text1"/>
        </w:rPr>
        <w:footnoteReference w:id="26"/>
      </w:r>
      <w:r w:rsidR="004B55BA" w:rsidRPr="00D845F9">
        <w:rPr>
          <w:color w:val="000000" w:themeColor="text1"/>
        </w:rPr>
        <w:t xml:space="preserve"> Hart</w:t>
      </w:r>
      <w:r w:rsidR="004B55BA" w:rsidRPr="00D845F9">
        <w:rPr>
          <w:rStyle w:val="FootnoteReference"/>
          <w:color w:val="000000" w:themeColor="text1"/>
        </w:rPr>
        <w:footnoteReference w:id="27"/>
      </w:r>
      <w:r w:rsidR="004B55BA" w:rsidRPr="00D845F9">
        <w:rPr>
          <w:color w:val="000000" w:themeColor="text1"/>
        </w:rPr>
        <w:t xml:space="preserve"> clearly proved his doctrine of strong discretion in judicial interpretation, as a “a necessary byproduct of the inherent indeterminacy of social guidance</w:t>
      </w:r>
      <w:r w:rsidR="00525EAC" w:rsidRPr="00D845F9">
        <w:rPr>
          <w:color w:val="000000" w:themeColor="text1"/>
        </w:rPr>
        <w:t>.</w:t>
      </w:r>
      <w:r w:rsidR="004B55BA" w:rsidRPr="00D845F9">
        <w:rPr>
          <w:color w:val="000000" w:themeColor="text1"/>
        </w:rPr>
        <w:t>”</w:t>
      </w:r>
      <w:r w:rsidR="004B55BA" w:rsidRPr="00D845F9">
        <w:rPr>
          <w:rStyle w:val="FootnoteReference"/>
          <w:color w:val="000000" w:themeColor="text1"/>
        </w:rPr>
        <w:footnoteReference w:id="28"/>
      </w:r>
      <w:r w:rsidR="004B55BA" w:rsidRPr="00D845F9">
        <w:rPr>
          <w:color w:val="000000" w:themeColor="text1"/>
        </w:rPr>
        <w:t xml:space="preserve"> </w:t>
      </w:r>
      <w:r w:rsidR="005063CB" w:rsidRPr="00D845F9">
        <w:rPr>
          <w:color w:val="000000" w:themeColor="text1"/>
        </w:rPr>
        <w:t>A factor that increases the hermeneutical discretion is that interpreting and applying the law requires value judgements and choices, which are very hard to formal</w:t>
      </w:r>
      <w:r w:rsidR="004F4403" w:rsidRPr="00D845F9">
        <w:rPr>
          <w:color w:val="000000" w:themeColor="text1"/>
        </w:rPr>
        <w:t xml:space="preserve">ise </w:t>
      </w:r>
      <w:r w:rsidR="005063CB" w:rsidRPr="00D845F9">
        <w:rPr>
          <w:color w:val="000000" w:themeColor="text1"/>
        </w:rPr>
        <w:t>and compute because of their indeterminacy.</w:t>
      </w:r>
      <w:r w:rsidR="005B1F8D" w:rsidRPr="00D845F9">
        <w:rPr>
          <w:rStyle w:val="FootnoteReference"/>
          <w:color w:val="000000" w:themeColor="text1"/>
        </w:rPr>
        <w:footnoteReference w:id="29"/>
      </w:r>
      <w:r w:rsidR="005063CB" w:rsidRPr="00D845F9">
        <w:rPr>
          <w:color w:val="000000" w:themeColor="text1"/>
        </w:rPr>
        <w:t xml:space="preserve"> </w:t>
      </w:r>
      <w:r w:rsidR="004B55BA" w:rsidRPr="00D845F9">
        <w:rPr>
          <w:color w:val="000000" w:themeColor="text1"/>
        </w:rPr>
        <w:t xml:space="preserve">One may object that AI may </w:t>
      </w:r>
      <w:r w:rsidR="004E7873" w:rsidRPr="00D845F9">
        <w:rPr>
          <w:color w:val="000000" w:themeColor="text1"/>
        </w:rPr>
        <w:t>replace</w:t>
      </w:r>
      <w:r w:rsidR="004B55BA" w:rsidRPr="00D845F9">
        <w:rPr>
          <w:color w:val="000000" w:themeColor="text1"/>
        </w:rPr>
        <w:t xml:space="preserve"> humans at least in the legal interpretation</w:t>
      </w:r>
      <w:r w:rsidR="004E7873" w:rsidRPr="00D845F9">
        <w:rPr>
          <w:color w:val="000000" w:themeColor="text1"/>
        </w:rPr>
        <w:t xml:space="preserve"> of easy cases</w:t>
      </w:r>
      <w:r w:rsidR="004B55BA" w:rsidRPr="00D845F9">
        <w:rPr>
          <w:color w:val="000000" w:themeColor="text1"/>
        </w:rPr>
        <w:t xml:space="preserve"> (for instance, because there is a robust body of case law on the exact issue at hand). However, it has been shown that it is impossible to determine </w:t>
      </w:r>
      <w:r w:rsidR="00525EAC" w:rsidRPr="00D845F9">
        <w:rPr>
          <w:i/>
          <w:color w:val="000000" w:themeColor="text1"/>
        </w:rPr>
        <w:t>ex ante</w:t>
      </w:r>
      <w:r w:rsidR="00525EAC" w:rsidRPr="00D845F9">
        <w:rPr>
          <w:color w:val="000000" w:themeColor="text1"/>
        </w:rPr>
        <w:t xml:space="preserve"> </w:t>
      </w:r>
      <w:r w:rsidR="004B55BA" w:rsidRPr="00D845F9">
        <w:rPr>
          <w:color w:val="000000" w:themeColor="text1"/>
        </w:rPr>
        <w:t>whether a case is easy or difficult: the complexity of the legal experience tells us that the factual and normative circumstances make a case easy or difficult</w:t>
      </w:r>
      <w:r w:rsidR="004E7873" w:rsidRPr="00D845F9">
        <w:rPr>
          <w:color w:val="000000" w:themeColor="text1"/>
        </w:rPr>
        <w:t>. The similar suggestion to limit the use of algorithms to the application of the law is based, finally, on the wrong assumption that there is an interpretation-application dichotomy and that there is no room for interpretation when one applies t</w:t>
      </w:r>
      <w:r w:rsidR="00525EAC" w:rsidRPr="00D845F9">
        <w:rPr>
          <w:color w:val="000000" w:themeColor="text1"/>
        </w:rPr>
        <w:t>he law. Conversely, application</w:t>
      </w:r>
      <w:r w:rsidR="004E7873" w:rsidRPr="00D845F9">
        <w:rPr>
          <w:color w:val="000000" w:themeColor="text1"/>
        </w:rPr>
        <w:t xml:space="preserve"> seems the last (and most important) phase of the interpretive process.</w:t>
      </w:r>
      <w:r w:rsidR="004B55BA" w:rsidRPr="00D845F9">
        <w:rPr>
          <w:rStyle w:val="FootnoteReference"/>
          <w:color w:val="000000" w:themeColor="text1"/>
        </w:rPr>
        <w:footnoteReference w:id="30"/>
      </w:r>
    </w:p>
    <w:p w14:paraId="0EB4E5F6" w14:textId="6E7A24DC" w:rsidR="003F654E" w:rsidRPr="00D845F9" w:rsidRDefault="004B55BA" w:rsidP="00D845F9">
      <w:pPr>
        <w:pStyle w:val="ListParagraph"/>
        <w:contextualSpacing w:val="0"/>
        <w:jc w:val="both"/>
        <w:rPr>
          <w:color w:val="000000" w:themeColor="text1"/>
        </w:rPr>
      </w:pPr>
      <w:r w:rsidRPr="00D845F9">
        <w:rPr>
          <w:color w:val="000000" w:themeColor="text1"/>
        </w:rPr>
        <w:t xml:space="preserve">Even leaving the philosophy of law aside, </w:t>
      </w:r>
      <w:r w:rsidR="003F654E" w:rsidRPr="00D845F9">
        <w:rPr>
          <w:color w:val="000000" w:themeColor="text1"/>
        </w:rPr>
        <w:t>the actual development of statutory interpretation shows that increasing discretion of this activity. Indeed, i</w:t>
      </w:r>
      <w:r w:rsidRPr="00D845F9">
        <w:rPr>
          <w:color w:val="000000" w:themeColor="text1"/>
        </w:rPr>
        <w:t xml:space="preserve">t seems clear that </w:t>
      </w:r>
      <w:r w:rsidR="003F654E" w:rsidRPr="00D845F9">
        <w:rPr>
          <w:color w:val="000000" w:themeColor="text1"/>
        </w:rPr>
        <w:t xml:space="preserve">nowadays </w:t>
      </w:r>
      <w:r w:rsidRPr="00D845F9">
        <w:rPr>
          <w:color w:val="000000" w:themeColor="text1"/>
        </w:rPr>
        <w:t xml:space="preserve">the literal rule of interpretation plays a small and often rhetoric role, whereas a purposive approach to statutory interpretation </w:t>
      </w:r>
      <w:r w:rsidR="003F654E" w:rsidRPr="00D845F9">
        <w:rPr>
          <w:color w:val="000000" w:themeColor="text1"/>
        </w:rPr>
        <w:t>has become</w:t>
      </w:r>
      <w:r w:rsidRPr="00D845F9">
        <w:rPr>
          <w:color w:val="000000" w:themeColor="text1"/>
        </w:rPr>
        <w:t xml:space="preserve"> commonplace</w:t>
      </w:r>
      <w:r w:rsidR="003F654E" w:rsidRPr="00D845F9">
        <w:rPr>
          <w:color w:val="000000" w:themeColor="text1"/>
        </w:rPr>
        <w:t>,</w:t>
      </w:r>
      <w:r w:rsidRPr="00D845F9">
        <w:rPr>
          <w:rStyle w:val="FootnoteReference"/>
          <w:color w:val="000000" w:themeColor="text1"/>
        </w:rPr>
        <w:footnoteReference w:id="31"/>
      </w:r>
      <w:r w:rsidRPr="00D845F9">
        <w:rPr>
          <w:color w:val="000000" w:themeColor="text1"/>
        </w:rPr>
        <w:t xml:space="preserve"> </w:t>
      </w:r>
      <w:r w:rsidR="000723F0" w:rsidRPr="00D845F9">
        <w:rPr>
          <w:color w:val="000000" w:themeColor="text1"/>
        </w:rPr>
        <w:t>in part</w:t>
      </w:r>
      <w:r w:rsidRPr="00D845F9">
        <w:rPr>
          <w:color w:val="000000" w:themeColor="text1"/>
        </w:rPr>
        <w:t xml:space="preserve"> as a consequence of the EU’s influence. It has been noted that, whatever the philosophical view one adopts, the discretional power of courts is never expressed in a pure mechanical operation</w:t>
      </w:r>
      <w:r w:rsidR="00525EAC" w:rsidRPr="00D845F9">
        <w:rPr>
          <w:color w:val="000000" w:themeColor="text1"/>
        </w:rPr>
        <w:t>.</w:t>
      </w:r>
      <w:r w:rsidRPr="00D845F9">
        <w:rPr>
          <w:rStyle w:val="FootnoteReference"/>
          <w:color w:val="000000" w:themeColor="text1"/>
        </w:rPr>
        <w:footnoteReference w:id="32"/>
      </w:r>
      <w:r w:rsidRPr="00D845F9">
        <w:rPr>
          <w:color w:val="000000" w:themeColor="text1"/>
        </w:rPr>
        <w:t xml:space="preserve"> </w:t>
      </w:r>
      <w:r w:rsidR="003F654E" w:rsidRPr="00D845F9">
        <w:rPr>
          <w:color w:val="000000" w:themeColor="text1"/>
        </w:rPr>
        <w:t>A good example of the new face of legal interpretation is provided by the case of the Psychoactive Substances Act 2016</w:t>
      </w:r>
      <w:r w:rsidR="00525EAC" w:rsidRPr="00D845F9">
        <w:rPr>
          <w:color w:val="000000" w:themeColor="text1"/>
        </w:rPr>
        <w:t>.</w:t>
      </w:r>
      <w:r w:rsidR="00DC09EA" w:rsidRPr="00D845F9">
        <w:rPr>
          <w:rStyle w:val="FootnoteReference"/>
          <w:color w:val="000000" w:themeColor="text1"/>
        </w:rPr>
        <w:footnoteReference w:id="33"/>
      </w:r>
      <w:r w:rsidR="003F654E" w:rsidRPr="00D845F9">
        <w:rPr>
          <w:color w:val="000000" w:themeColor="text1"/>
        </w:rPr>
        <w:t xml:space="preserve"> The parliamentary debate</w:t>
      </w:r>
      <w:r w:rsidR="003F654E" w:rsidRPr="00D845F9">
        <w:rPr>
          <w:rStyle w:val="FootnoteReference"/>
          <w:color w:val="000000" w:themeColor="text1"/>
        </w:rPr>
        <w:footnoteReference w:id="34"/>
      </w:r>
      <w:r w:rsidR="003F654E" w:rsidRPr="00D845F9">
        <w:rPr>
          <w:color w:val="000000" w:themeColor="text1"/>
        </w:rPr>
        <w:t xml:space="preserve"> clearly shows that the intention of the legislator was to ban the so-called poppers (of the class ‘alkyl nitrites’), a recreational drug used traditionally by men who have sex with men due to its effects on the relaxation of muscles (including the sphincter).</w:t>
      </w:r>
      <w:r w:rsidR="00DC09EA" w:rsidRPr="00D845F9">
        <w:rPr>
          <w:color w:val="000000" w:themeColor="text1"/>
        </w:rPr>
        <w:t xml:space="preserve"> The broad definition of psychoactive substance seemed to allow the interpretation whereby popper</w:t>
      </w:r>
      <w:r w:rsidR="00525EAC" w:rsidRPr="00D845F9">
        <w:rPr>
          <w:color w:val="000000" w:themeColor="text1"/>
        </w:rPr>
        <w:t>s</w:t>
      </w:r>
      <w:r w:rsidR="00DC09EA" w:rsidRPr="00D845F9">
        <w:rPr>
          <w:color w:val="000000" w:themeColor="text1"/>
        </w:rPr>
        <w:t xml:space="preserve"> were banned</w:t>
      </w:r>
      <w:r w:rsidR="00DC09EA" w:rsidRPr="00D845F9">
        <w:rPr>
          <w:rStyle w:val="FootnoteReference"/>
          <w:color w:val="000000" w:themeColor="text1"/>
        </w:rPr>
        <w:footnoteReference w:id="35"/>
      </w:r>
      <w:r w:rsidR="00346DD1" w:rsidRPr="00D845F9">
        <w:rPr>
          <w:color w:val="000000" w:themeColor="text1"/>
        </w:rPr>
        <w:t xml:space="preserve"> and some law enforcement agencies applied it consistently</w:t>
      </w:r>
      <w:r w:rsidR="00525EAC" w:rsidRPr="00D845F9">
        <w:rPr>
          <w:color w:val="000000" w:themeColor="text1"/>
        </w:rPr>
        <w:t>.</w:t>
      </w:r>
      <w:r w:rsidR="00346DD1" w:rsidRPr="00D845F9">
        <w:rPr>
          <w:rStyle w:val="FootnoteReference"/>
          <w:color w:val="000000" w:themeColor="text1"/>
        </w:rPr>
        <w:footnoteReference w:id="36"/>
      </w:r>
      <w:r w:rsidR="00346DD1" w:rsidRPr="00D845F9">
        <w:rPr>
          <w:color w:val="000000" w:themeColor="text1"/>
        </w:rPr>
        <w:t xml:space="preserve"> However, the final result is that poppers </w:t>
      </w:r>
      <w:r w:rsidR="00346DD1" w:rsidRPr="00D845F9">
        <w:rPr>
          <w:i/>
          <w:color w:val="000000" w:themeColor="text1"/>
        </w:rPr>
        <w:t xml:space="preserve">are not </w:t>
      </w:r>
      <w:r w:rsidR="00346DD1" w:rsidRPr="00D845F9">
        <w:rPr>
          <w:color w:val="000000" w:themeColor="text1"/>
        </w:rPr>
        <w:t>banned, because the UK Advisory Council on the Misuse of Drugs explained that since popper have a merely indirect effect on the nervous system, they do not technically qualify as psychoactive substances and, therefore, fall outside the scope of the Act.</w:t>
      </w:r>
      <w:r w:rsidR="00346DD1" w:rsidRPr="00D845F9">
        <w:rPr>
          <w:rStyle w:val="FootnoteReference"/>
          <w:color w:val="000000" w:themeColor="text1"/>
        </w:rPr>
        <w:footnoteReference w:id="37"/>
      </w:r>
      <w:r w:rsidR="00346DD1" w:rsidRPr="00D845F9">
        <w:rPr>
          <w:color w:val="000000" w:themeColor="text1"/>
        </w:rPr>
        <w:t xml:space="preserve"> </w:t>
      </w:r>
      <w:r w:rsidR="00715A82" w:rsidRPr="00D845F9">
        <w:rPr>
          <w:color w:val="000000" w:themeColor="text1"/>
          <w:shd w:val="clear" w:color="auto" w:fill="FFFFFF"/>
        </w:rPr>
        <w:t>Sectoral empirical studies</w:t>
      </w:r>
      <w:r w:rsidR="00525EAC" w:rsidRPr="00D845F9">
        <w:rPr>
          <w:color w:val="000000" w:themeColor="text1"/>
          <w:shd w:val="clear" w:color="auto" w:fill="FFFFFF"/>
        </w:rPr>
        <w:t>,</w:t>
      </w:r>
      <w:r w:rsidR="00715A82" w:rsidRPr="00D845F9">
        <w:rPr>
          <w:rStyle w:val="FootnoteReference"/>
          <w:color w:val="000000" w:themeColor="text1"/>
          <w:shd w:val="clear" w:color="auto" w:fill="FFFFFF"/>
        </w:rPr>
        <w:footnoteReference w:id="38"/>
      </w:r>
      <w:r w:rsidR="00715A82" w:rsidRPr="00D845F9">
        <w:rPr>
          <w:color w:val="000000" w:themeColor="text1"/>
          <w:shd w:val="clear" w:color="auto" w:fill="FFFFFF"/>
        </w:rPr>
        <w:t xml:space="preserve"> finally, are showing that algorithms cannot cope with legal interpretation in a satisfactory way. For instance, it has been shown</w:t>
      </w:r>
      <w:r w:rsidR="00715A82" w:rsidRPr="00D845F9">
        <w:rPr>
          <w:rStyle w:val="FootnoteReference"/>
          <w:color w:val="000000" w:themeColor="text1"/>
          <w:shd w:val="clear" w:color="auto" w:fill="FFFFFF"/>
        </w:rPr>
        <w:footnoteReference w:id="39"/>
      </w:r>
      <w:r w:rsidR="00715A82" w:rsidRPr="00D845F9">
        <w:rPr>
          <w:color w:val="000000" w:themeColor="text1"/>
          <w:shd w:val="clear" w:color="auto" w:fill="FFFFFF"/>
        </w:rPr>
        <w:t xml:space="preserve"> that </w:t>
      </w:r>
      <w:r w:rsidR="00715A82" w:rsidRPr="00D845F9">
        <w:rPr>
          <w:color w:val="000000" w:themeColor="text1"/>
        </w:rPr>
        <w:t>algorithms often reflect a wrong interpretation of the law they enforce</w:t>
      </w:r>
      <w:r w:rsidR="00525EAC" w:rsidRPr="00D845F9">
        <w:rPr>
          <w:color w:val="000000" w:themeColor="text1"/>
        </w:rPr>
        <w:t>,</w:t>
      </w:r>
      <w:r w:rsidR="00715A82" w:rsidRPr="00D845F9">
        <w:rPr>
          <w:rStyle w:val="FootnoteReference"/>
          <w:color w:val="000000" w:themeColor="text1"/>
        </w:rPr>
        <w:footnoteReference w:id="40"/>
      </w:r>
      <w:r w:rsidR="00715A82" w:rsidRPr="00D845F9">
        <w:rPr>
          <w:color w:val="000000" w:themeColor="text1"/>
        </w:rPr>
        <w:t xml:space="preserve"> in particular with regards to the fair use analysis in online infringement cases.</w:t>
      </w:r>
      <w:r w:rsidR="00715A82" w:rsidRPr="00D845F9">
        <w:rPr>
          <w:rStyle w:val="FootnoteReference"/>
          <w:color w:val="000000" w:themeColor="text1"/>
        </w:rPr>
        <w:footnoteReference w:id="41"/>
      </w:r>
      <w:r w:rsidR="00715A82" w:rsidRPr="00D845F9">
        <w:rPr>
          <w:color w:val="000000" w:themeColor="text1"/>
        </w:rPr>
        <w:t xml:space="preserve"> These are</w:t>
      </w:r>
      <w:r w:rsidR="00346DD1" w:rsidRPr="00D845F9">
        <w:rPr>
          <w:color w:val="000000" w:themeColor="text1"/>
        </w:rPr>
        <w:t xml:space="preserve"> just </w:t>
      </w:r>
      <w:r w:rsidR="00715A82" w:rsidRPr="00D845F9">
        <w:rPr>
          <w:color w:val="000000" w:themeColor="text1"/>
        </w:rPr>
        <w:t xml:space="preserve">a couple of </w:t>
      </w:r>
      <w:r w:rsidR="00346DD1" w:rsidRPr="00D845F9">
        <w:rPr>
          <w:color w:val="000000" w:themeColor="text1"/>
        </w:rPr>
        <w:t>example</w:t>
      </w:r>
      <w:r w:rsidR="00715A82" w:rsidRPr="00D845F9">
        <w:rPr>
          <w:color w:val="000000" w:themeColor="text1"/>
        </w:rPr>
        <w:t>s</w:t>
      </w:r>
      <w:r w:rsidR="00346DD1" w:rsidRPr="00D845F9">
        <w:rPr>
          <w:color w:val="000000" w:themeColor="text1"/>
        </w:rPr>
        <w:t xml:space="preserve"> of how discretionary</w:t>
      </w:r>
      <w:r w:rsidR="00715A82" w:rsidRPr="00D845F9">
        <w:rPr>
          <w:color w:val="000000" w:themeColor="text1"/>
        </w:rPr>
        <w:t>, complex</w:t>
      </w:r>
      <w:r w:rsidR="00346DD1" w:rsidRPr="00D845F9">
        <w:rPr>
          <w:color w:val="000000" w:themeColor="text1"/>
        </w:rPr>
        <w:t xml:space="preserve"> and unpredictable</w:t>
      </w:r>
      <w:r w:rsidR="00BC2F20" w:rsidRPr="00D845F9">
        <w:rPr>
          <w:rStyle w:val="FootnoteReference"/>
          <w:color w:val="000000" w:themeColor="text1"/>
        </w:rPr>
        <w:footnoteReference w:id="42"/>
      </w:r>
      <w:r w:rsidR="00346DD1" w:rsidRPr="00D845F9">
        <w:rPr>
          <w:color w:val="000000" w:themeColor="text1"/>
        </w:rPr>
        <w:t xml:space="preserve"> is interpretation. Therefore, to design an interpretive algorithm seems currently impossible.</w:t>
      </w:r>
    </w:p>
    <w:p w14:paraId="3311FC98" w14:textId="6BA9C4E8" w:rsidR="004B55BA" w:rsidRPr="00D845F9" w:rsidRDefault="004B55BA" w:rsidP="00D845F9">
      <w:pPr>
        <w:pStyle w:val="ListParagraph"/>
        <w:contextualSpacing w:val="0"/>
        <w:jc w:val="both"/>
        <w:rPr>
          <w:color w:val="000000" w:themeColor="text1"/>
        </w:rPr>
      </w:pPr>
      <w:r w:rsidRPr="00D845F9">
        <w:rPr>
          <w:color w:val="000000" w:themeColor="text1"/>
        </w:rPr>
        <w:t>This study itself confirms this view, in as much as from an apparently simple provision, such as Article 22 of the GDPR, stem a number of complicated interpretative problems for which there is no easy answer.</w:t>
      </w:r>
      <w:r w:rsidR="001A7A0A" w:rsidRPr="00D845F9">
        <w:rPr>
          <w:color w:val="000000" w:themeColor="text1"/>
        </w:rPr>
        <w:t xml:space="preserve"> The relevant difficulties will be explained in section 4 below. Here suffice it to say that there is a meta-problem. Even if algorithms could perfectly replace human decision-makers, </w:t>
      </w:r>
      <w:r w:rsidR="00D126FC">
        <w:rPr>
          <w:color w:val="000000" w:themeColor="text1"/>
        </w:rPr>
        <w:t xml:space="preserve">arguably it </w:t>
      </w:r>
      <w:r w:rsidR="001A7A0A" w:rsidRPr="00D845F9">
        <w:rPr>
          <w:color w:val="000000" w:themeColor="text1"/>
        </w:rPr>
        <w:t xml:space="preserve">would </w:t>
      </w:r>
      <w:r w:rsidR="00D126FC">
        <w:rPr>
          <w:color w:val="000000" w:themeColor="text1"/>
        </w:rPr>
        <w:t>not</w:t>
      </w:r>
      <w:r w:rsidR="001A7A0A" w:rsidRPr="00D845F9">
        <w:rPr>
          <w:color w:val="000000" w:themeColor="text1"/>
        </w:rPr>
        <w:t xml:space="preserve"> be fair to let them interpret a provision – Article 22 – which has the aim of protecting citizen</w:t>
      </w:r>
      <w:r w:rsidR="00D126FC">
        <w:rPr>
          <w:color w:val="000000" w:themeColor="text1"/>
        </w:rPr>
        <w:t>s from algorithmic decisions.</w:t>
      </w:r>
    </w:p>
    <w:p w14:paraId="54141C0C" w14:textId="7C9070A2" w:rsidR="004B55BA" w:rsidRPr="00D845F9" w:rsidRDefault="001A7A0A" w:rsidP="00D845F9">
      <w:pPr>
        <w:pStyle w:val="ListParagraph"/>
        <w:contextualSpacing w:val="0"/>
        <w:jc w:val="both"/>
        <w:rPr>
          <w:color w:val="000000" w:themeColor="text1"/>
          <w:shd w:val="clear" w:color="auto" w:fill="FFFFFF"/>
        </w:rPr>
      </w:pPr>
      <w:r w:rsidRPr="00D845F9">
        <w:rPr>
          <w:color w:val="000000" w:themeColor="text1"/>
        </w:rPr>
        <w:t xml:space="preserve">The above considerations regard the current progress in algorithms-related technologies. However, </w:t>
      </w:r>
      <w:r w:rsidR="004B55BA" w:rsidRPr="00D845F9">
        <w:rPr>
          <w:color w:val="000000" w:themeColor="text1"/>
        </w:rPr>
        <w:t xml:space="preserve">AI’s growth is exponential, therefore the considerations above may prove to be wrong soon, especially in fields where the issues arising are often similar and there is a lot of precedent. Less so where there is no established case law and/or </w:t>
      </w:r>
      <w:r w:rsidR="000723F0" w:rsidRPr="00D845F9">
        <w:rPr>
          <w:color w:val="000000" w:themeColor="text1"/>
        </w:rPr>
        <w:t>the field is</w:t>
      </w:r>
      <w:r w:rsidR="004B55BA" w:rsidRPr="00D845F9">
        <w:rPr>
          <w:color w:val="000000" w:themeColor="text1"/>
        </w:rPr>
        <w:t xml:space="preserve"> </w:t>
      </w:r>
      <w:r w:rsidR="000723F0" w:rsidRPr="00D845F9">
        <w:rPr>
          <w:color w:val="000000" w:themeColor="text1"/>
        </w:rPr>
        <w:t>fast</w:t>
      </w:r>
      <w:r w:rsidR="004B55BA" w:rsidRPr="00D845F9">
        <w:rPr>
          <w:color w:val="000000" w:themeColor="text1"/>
        </w:rPr>
        <w:t xml:space="preserve"> evolving</w:t>
      </w:r>
      <w:r w:rsidR="000723F0" w:rsidRPr="00D845F9">
        <w:rPr>
          <w:color w:val="000000" w:themeColor="text1"/>
        </w:rPr>
        <w:t>.</w:t>
      </w:r>
      <w:r w:rsidRPr="00D845F9">
        <w:rPr>
          <w:rStyle w:val="FootnoteReference"/>
          <w:color w:val="000000" w:themeColor="text1"/>
        </w:rPr>
        <w:footnoteReference w:id="43"/>
      </w:r>
      <w:r w:rsidR="004B55BA" w:rsidRPr="00D845F9">
        <w:rPr>
          <w:color w:val="000000" w:themeColor="text1"/>
        </w:rPr>
        <w:t xml:space="preserve"> For example, predicting the outcome of succession cases involving only land may prove easier than cyber law cases with cross-border elements. This said, alongside the technologies, the scholarship is evolving. Recently, the first systematic study on predicting the outcome of cases tried by the European Court of Human Rights based solely on textual content was presented.</w:t>
      </w:r>
      <w:r w:rsidR="004B55BA" w:rsidRPr="00D845F9">
        <w:rPr>
          <w:rStyle w:val="FootnoteReference"/>
          <w:color w:val="000000" w:themeColor="text1"/>
        </w:rPr>
        <w:footnoteReference w:id="44"/>
      </w:r>
      <w:r w:rsidR="004B55BA" w:rsidRPr="00D845F9">
        <w:rPr>
          <w:color w:val="000000" w:themeColor="text1"/>
        </w:rPr>
        <w:t xml:space="preserve"> The model is quite accurate, being able of predicting the outcome in the 79% of cases. However, there are some considerations to be made. Especially in matters as important as human rights, reaching a wrong decision in 21% of the cases would be utterly unacceptable. Secondly, the reasons for this margin of error should be better </w:t>
      </w:r>
      <w:r w:rsidR="00425FAB" w:rsidRPr="00D845F9">
        <w:rPr>
          <w:color w:val="000000" w:themeColor="text1"/>
        </w:rPr>
        <w:t>analys</w:t>
      </w:r>
      <w:r w:rsidR="009A2423" w:rsidRPr="00D845F9">
        <w:rPr>
          <w:color w:val="000000" w:themeColor="text1"/>
        </w:rPr>
        <w:t>e</w:t>
      </w:r>
      <w:r w:rsidR="004B55BA" w:rsidRPr="00D845F9">
        <w:rPr>
          <w:color w:val="000000" w:themeColor="text1"/>
        </w:rPr>
        <w:t>d; they might stem from the fact that interpretation is not a mere mechanical operation of text analysis. Thirdly, the authors themselves point out that the model would not be a substitute for the human decision-maker, because its role would be as an “assisting tool”</w:t>
      </w:r>
      <w:r w:rsidR="004B55BA" w:rsidRPr="00D845F9">
        <w:rPr>
          <w:rStyle w:val="FootnoteReference"/>
          <w:color w:val="000000" w:themeColor="text1"/>
        </w:rPr>
        <w:footnoteReference w:id="45"/>
      </w:r>
      <w:r w:rsidR="004B55BA" w:rsidRPr="00D845F9">
        <w:rPr>
          <w:color w:val="000000" w:themeColor="text1"/>
        </w:rPr>
        <w:t xml:space="preserve"> to identify cases and extract patterns. Lastly, this study did not predict the outcome using the documents filed by the applicants, but only </w:t>
      </w:r>
      <w:r w:rsidR="00425FAB" w:rsidRPr="00D845F9">
        <w:rPr>
          <w:color w:val="000000" w:themeColor="text1"/>
        </w:rPr>
        <w:t>analys</w:t>
      </w:r>
      <w:r w:rsidR="009A2423" w:rsidRPr="00D845F9">
        <w:rPr>
          <w:color w:val="000000" w:themeColor="text1"/>
        </w:rPr>
        <w:t>ing</w:t>
      </w:r>
      <w:r w:rsidR="004B55BA" w:rsidRPr="00D845F9">
        <w:rPr>
          <w:color w:val="000000" w:themeColor="text1"/>
        </w:rPr>
        <w:t xml:space="preserve"> the published rulings. This means that a human judge had already selected the materials and interpreted them, which affects the results of the study</w:t>
      </w:r>
      <w:r w:rsidR="00525EAC" w:rsidRPr="00D845F9">
        <w:rPr>
          <w:color w:val="000000" w:themeColor="text1"/>
        </w:rPr>
        <w:t>.</w:t>
      </w:r>
      <w:r w:rsidR="004B55BA" w:rsidRPr="00D845F9">
        <w:rPr>
          <w:rStyle w:val="FootnoteReference"/>
          <w:color w:val="000000" w:themeColor="text1"/>
        </w:rPr>
        <w:footnoteReference w:id="46"/>
      </w:r>
      <w:r w:rsidR="004B55BA" w:rsidRPr="00D845F9">
        <w:rPr>
          <w:color w:val="000000" w:themeColor="text1"/>
        </w:rPr>
        <w:t xml:space="preserve"> More generally, it still holds true that “</w:t>
      </w:r>
      <w:r w:rsidR="004B55BA" w:rsidRPr="00D845F9">
        <w:rPr>
          <w:color w:val="000000" w:themeColor="text1"/>
          <w:shd w:val="clear" w:color="auto" w:fill="FFFFFF"/>
        </w:rPr>
        <w:t>[j]ustification, persuasion and discretion are the main limits of the Artificial Intelligence application in Law</w:t>
      </w:r>
      <w:r w:rsidR="00525EAC" w:rsidRPr="00D845F9">
        <w:rPr>
          <w:color w:val="000000" w:themeColor="text1"/>
          <w:shd w:val="clear" w:color="auto" w:fill="FFFFFF"/>
        </w:rPr>
        <w:t>.</w:t>
      </w:r>
      <w:r w:rsidR="004B55BA" w:rsidRPr="00D845F9">
        <w:rPr>
          <w:color w:val="000000" w:themeColor="text1"/>
          <w:shd w:val="clear" w:color="auto" w:fill="FFFFFF"/>
        </w:rPr>
        <w:t>”</w:t>
      </w:r>
      <w:r w:rsidR="004B55BA" w:rsidRPr="00D845F9">
        <w:rPr>
          <w:rStyle w:val="FootnoteReference"/>
          <w:color w:val="000000" w:themeColor="text1"/>
          <w:shd w:val="clear" w:color="auto" w:fill="FFFFFF"/>
        </w:rPr>
        <w:footnoteReference w:id="47"/>
      </w:r>
    </w:p>
    <w:p w14:paraId="314B56EF" w14:textId="7BAA4E0A" w:rsidR="00096E0B" w:rsidRPr="00D845F9" w:rsidRDefault="00096E0B" w:rsidP="00D845F9">
      <w:pPr>
        <w:pStyle w:val="ListParagraph"/>
        <w:contextualSpacing w:val="0"/>
        <w:jc w:val="both"/>
        <w:rPr>
          <w:color w:val="000000" w:themeColor="text1"/>
          <w:shd w:val="clear" w:color="auto" w:fill="FFFFFF"/>
        </w:rPr>
      </w:pPr>
      <w:r w:rsidRPr="00D845F9">
        <w:rPr>
          <w:color w:val="000000" w:themeColor="text1"/>
          <w:shd w:val="clear" w:color="auto" w:fill="FFFFFF"/>
        </w:rPr>
        <w:t xml:space="preserve">Second, human learning is </w:t>
      </w:r>
      <w:r w:rsidR="008F1C3E" w:rsidRPr="00D845F9">
        <w:rPr>
          <w:color w:val="000000" w:themeColor="text1"/>
          <w:shd w:val="clear" w:color="auto" w:fill="FFFFFF"/>
        </w:rPr>
        <w:t>much</w:t>
      </w:r>
      <w:r w:rsidRPr="00D845F9">
        <w:rPr>
          <w:color w:val="000000" w:themeColor="text1"/>
          <w:shd w:val="clear" w:color="auto" w:fill="FFFFFF"/>
        </w:rPr>
        <w:t xml:space="preserve"> more complex than machine learning. According to the seminal </w:t>
      </w:r>
      <w:r w:rsidRPr="00D845F9">
        <w:rPr>
          <w:i/>
          <w:color w:val="000000" w:themeColor="text1"/>
          <w:shd w:val="clear" w:color="auto" w:fill="FFFFFF"/>
        </w:rPr>
        <w:t>Mind over Machine</w:t>
      </w:r>
      <w:r w:rsidRPr="00D845F9">
        <w:rPr>
          <w:color w:val="000000" w:themeColor="text1"/>
          <w:shd w:val="clear" w:color="auto" w:fill="FFFFFF"/>
        </w:rPr>
        <w:t>,</w:t>
      </w:r>
      <w:r w:rsidRPr="00D845F9">
        <w:rPr>
          <w:rStyle w:val="FootnoteReference"/>
          <w:color w:val="000000" w:themeColor="text1"/>
          <w:shd w:val="clear" w:color="auto" w:fill="FFFFFF"/>
        </w:rPr>
        <w:footnoteReference w:id="48"/>
      </w:r>
      <w:r w:rsidRPr="00D845F9">
        <w:rPr>
          <w:color w:val="000000" w:themeColor="text1"/>
          <w:shd w:val="clear" w:color="auto" w:fill="FFFFFF"/>
        </w:rPr>
        <w:t xml:space="preserve"> the characteristics of human learning would explain why prophecies about real machine intelligence have all proven wrong,</w:t>
      </w:r>
      <w:r w:rsidRPr="00D845F9">
        <w:rPr>
          <w:rStyle w:val="FootnoteReference"/>
          <w:color w:val="000000" w:themeColor="text1"/>
          <w:shd w:val="clear" w:color="auto" w:fill="FFFFFF"/>
        </w:rPr>
        <w:footnoteReference w:id="49"/>
      </w:r>
      <w:r w:rsidRPr="00D845F9">
        <w:rPr>
          <w:color w:val="000000" w:themeColor="text1"/>
          <w:shd w:val="clear" w:color="auto" w:fill="FFFFFF"/>
        </w:rPr>
        <w:t xml:space="preserve"> and why small scale successful experiments conducted in laboratories were not as successful once extended to larger systems and the real world. In particular, machines will not be able to replace human beings when cognitive tasks require intuition and holistic thinking.</w:t>
      </w:r>
      <w:r w:rsidRPr="00D845F9">
        <w:rPr>
          <w:rStyle w:val="FootnoteReference"/>
          <w:color w:val="000000" w:themeColor="text1"/>
          <w:shd w:val="clear" w:color="auto" w:fill="FFFFFF"/>
        </w:rPr>
        <w:footnoteReference w:id="50"/>
      </w:r>
      <w:r w:rsidRPr="00D845F9">
        <w:rPr>
          <w:color w:val="000000" w:themeColor="text1"/>
          <w:shd w:val="clear" w:color="auto" w:fill="FFFFFF"/>
        </w:rPr>
        <w:t xml:space="preserve"> By presenting a five-stage model of acquisition of expertise (novice, advanced beginner, competent, proficient, </w:t>
      </w:r>
      <w:r w:rsidR="00C67E9D" w:rsidRPr="00D845F9">
        <w:rPr>
          <w:color w:val="000000" w:themeColor="text1"/>
          <w:shd w:val="clear" w:color="auto" w:fill="FFFFFF"/>
        </w:rPr>
        <w:t>and expert</w:t>
      </w:r>
      <w:r w:rsidRPr="00D845F9">
        <w:rPr>
          <w:color w:val="000000" w:themeColor="text1"/>
          <w:shd w:val="clear" w:color="auto" w:fill="FFFFFF"/>
        </w:rPr>
        <w:t xml:space="preserve">), these authors show that there is more to human intelligence than the computer’s calculative rationality. Only the human brain, at least currently, is capable to property learn and understand through holistic intuition a </w:t>
      </w:r>
      <w:r w:rsidR="00C67E9D" w:rsidRPr="00D845F9">
        <w:rPr>
          <w:color w:val="000000" w:themeColor="text1"/>
          <w:shd w:val="clear" w:color="auto" w:fill="FFFFFF"/>
        </w:rPr>
        <w:t>world that</w:t>
      </w:r>
      <w:r w:rsidRPr="00D845F9">
        <w:rPr>
          <w:color w:val="000000" w:themeColor="text1"/>
          <w:shd w:val="clear" w:color="auto" w:fill="FFFFFF"/>
        </w:rPr>
        <w:t xml:space="preserve"> is – unlike the laboratory – incomplete, imprecise, and unreliable. It seems, indeed, unlikely that training a machine with millions of legal provisions and case law can lead to the same results to the learning of a judge, who is immersed in the real world and learns in </w:t>
      </w:r>
      <w:r w:rsidR="008F1C3E" w:rsidRPr="00D845F9">
        <w:rPr>
          <w:color w:val="000000" w:themeColor="text1"/>
          <w:shd w:val="clear" w:color="auto" w:fill="FFFFFF"/>
        </w:rPr>
        <w:t>ways, which</w:t>
      </w:r>
      <w:r w:rsidRPr="00D845F9">
        <w:rPr>
          <w:color w:val="000000" w:themeColor="text1"/>
          <w:shd w:val="clear" w:color="auto" w:fill="FFFFFF"/>
        </w:rPr>
        <w:t xml:space="preserve"> cannot be coded.</w:t>
      </w:r>
    </w:p>
    <w:p w14:paraId="5B6982BA" w14:textId="77777777" w:rsidR="00096E0B" w:rsidRPr="00D845F9" w:rsidRDefault="00096E0B" w:rsidP="00D845F9">
      <w:pPr>
        <w:pStyle w:val="ListParagraph"/>
        <w:contextualSpacing w:val="0"/>
        <w:jc w:val="both"/>
        <w:rPr>
          <w:color w:val="000000" w:themeColor="text1"/>
          <w:shd w:val="clear" w:color="auto" w:fill="FFFFFF"/>
        </w:rPr>
      </w:pPr>
    </w:p>
    <w:p w14:paraId="2EE03405" w14:textId="13A41CD9" w:rsidR="00096E0B" w:rsidRPr="004672E2" w:rsidRDefault="00096E0B" w:rsidP="004672E2">
      <w:pPr>
        <w:pStyle w:val="NormalWeb"/>
        <w:ind w:left="720"/>
        <w:rPr>
          <w:rFonts w:ascii="TitilliumMaps29L" w:hAnsi="TitilliumMaps29L"/>
          <w:sz w:val="28"/>
          <w:szCs w:val="28"/>
        </w:rPr>
      </w:pPr>
      <w:r w:rsidRPr="004672E2">
        <w:rPr>
          <w:rFonts w:ascii="TitilliumMaps29L" w:hAnsi="TitilliumMaps29L"/>
          <w:sz w:val="28"/>
          <w:szCs w:val="28"/>
        </w:rPr>
        <w:t>B.II. Eight arguments against the desirability of algorithms replacing human decision-makers</w:t>
      </w:r>
    </w:p>
    <w:p w14:paraId="29E717CA" w14:textId="77777777" w:rsidR="00096E0B" w:rsidRPr="00D845F9" w:rsidRDefault="00096E0B" w:rsidP="00D845F9">
      <w:pPr>
        <w:pStyle w:val="ListParagraph"/>
        <w:contextualSpacing w:val="0"/>
        <w:jc w:val="both"/>
        <w:rPr>
          <w:color w:val="000000" w:themeColor="text1"/>
          <w:shd w:val="clear" w:color="auto" w:fill="FFFFFF"/>
        </w:rPr>
      </w:pPr>
    </w:p>
    <w:p w14:paraId="53D1E60C" w14:textId="2C474614" w:rsidR="004B55BA" w:rsidRPr="00D845F9" w:rsidRDefault="004B55BA" w:rsidP="00D845F9">
      <w:pPr>
        <w:pStyle w:val="ListParagraph"/>
        <w:contextualSpacing w:val="0"/>
        <w:jc w:val="both"/>
        <w:rPr>
          <w:color w:val="000000" w:themeColor="text1"/>
        </w:rPr>
      </w:pPr>
      <w:r w:rsidRPr="00D845F9">
        <w:rPr>
          <w:color w:val="000000" w:themeColor="text1"/>
        </w:rPr>
        <w:t xml:space="preserve">Let us assume that the thesis of this paper is wrong. Let us say, for the sake of argument, that either interpretation is not </w:t>
      </w:r>
      <w:r w:rsidR="004874B2" w:rsidRPr="00D845F9">
        <w:rPr>
          <w:color w:val="000000" w:themeColor="text1"/>
        </w:rPr>
        <w:t>ubiquitous,</w:t>
      </w:r>
      <w:r w:rsidRPr="00D845F9">
        <w:rPr>
          <w:color w:val="000000" w:themeColor="text1"/>
        </w:rPr>
        <w:t xml:space="preserve"> or it is not discretionary (or that algorithms can cope well with strongly discretionary processes). Nonetheless, there are at least </w:t>
      </w:r>
      <w:r w:rsidR="00096E0B" w:rsidRPr="00D845F9">
        <w:rPr>
          <w:color w:val="000000" w:themeColor="text1"/>
        </w:rPr>
        <w:t>eight</w:t>
      </w:r>
      <w:r w:rsidRPr="00D845F9">
        <w:rPr>
          <w:color w:val="000000" w:themeColor="text1"/>
        </w:rPr>
        <w:t xml:space="preserve"> reasons why they </w:t>
      </w:r>
      <w:r w:rsidRPr="00D845F9">
        <w:rPr>
          <w:i/>
          <w:color w:val="000000" w:themeColor="text1"/>
        </w:rPr>
        <w:t xml:space="preserve">should </w:t>
      </w:r>
      <w:r w:rsidRPr="00D845F9">
        <w:rPr>
          <w:color w:val="000000" w:themeColor="text1"/>
        </w:rPr>
        <w:t>not replace human decision-makers.</w:t>
      </w:r>
      <w:r w:rsidR="00672748">
        <w:rPr>
          <w:color w:val="000000" w:themeColor="text1"/>
        </w:rPr>
        <w:t xml:space="preserve"> Two reasons refer to why one should not trust algorithms. S</w:t>
      </w:r>
      <w:r w:rsidR="001A7A0A" w:rsidRPr="00D845F9">
        <w:rPr>
          <w:color w:val="000000" w:themeColor="text1"/>
        </w:rPr>
        <w:t xml:space="preserve">ix arguments are, in turn, presented to show why we </w:t>
      </w:r>
      <w:r w:rsidR="00672748">
        <w:rPr>
          <w:color w:val="000000" w:themeColor="text1"/>
        </w:rPr>
        <w:t>should trust humans.</w:t>
      </w:r>
    </w:p>
    <w:p w14:paraId="6C9D9D65" w14:textId="75AC16E9" w:rsidR="00096E0B" w:rsidRPr="00D845F9" w:rsidRDefault="00096E0B" w:rsidP="00D845F9">
      <w:pPr>
        <w:pStyle w:val="ListParagraph"/>
        <w:contextualSpacing w:val="0"/>
        <w:jc w:val="both"/>
        <w:rPr>
          <w:color w:val="000000" w:themeColor="text1"/>
        </w:rPr>
      </w:pPr>
    </w:p>
    <w:p w14:paraId="65F7E626" w14:textId="6769888F" w:rsidR="00096E0B" w:rsidRPr="00D845F9" w:rsidRDefault="00096E0B" w:rsidP="00D845F9">
      <w:pPr>
        <w:pStyle w:val="ListParagraph"/>
        <w:contextualSpacing w:val="0"/>
        <w:jc w:val="both"/>
        <w:outlineLvl w:val="0"/>
        <w:rPr>
          <w:i/>
          <w:color w:val="000000" w:themeColor="text1"/>
        </w:rPr>
      </w:pPr>
      <w:r w:rsidRPr="00D845F9">
        <w:rPr>
          <w:i/>
          <w:color w:val="000000" w:themeColor="text1"/>
        </w:rPr>
        <w:t>B.II.1. The replacement is undesirable because there are good reasons not to trust the algorithms</w:t>
      </w:r>
    </w:p>
    <w:p w14:paraId="56A8D3C1" w14:textId="77777777" w:rsidR="00096E0B" w:rsidRPr="00D845F9" w:rsidRDefault="00096E0B" w:rsidP="00D845F9">
      <w:pPr>
        <w:pStyle w:val="ListParagraph"/>
        <w:contextualSpacing w:val="0"/>
        <w:jc w:val="both"/>
        <w:rPr>
          <w:color w:val="000000" w:themeColor="text1"/>
        </w:rPr>
      </w:pPr>
    </w:p>
    <w:p w14:paraId="3B8BE447" w14:textId="7C856C06" w:rsidR="00F3302E" w:rsidRPr="00D845F9" w:rsidRDefault="001A7A0A" w:rsidP="00D845F9">
      <w:pPr>
        <w:pStyle w:val="ListParagraph"/>
        <w:contextualSpacing w:val="0"/>
        <w:jc w:val="both"/>
        <w:rPr>
          <w:color w:val="000000" w:themeColor="text1"/>
          <w:shd w:val="clear" w:color="auto" w:fill="FFFFFF"/>
        </w:rPr>
      </w:pPr>
      <w:r w:rsidRPr="00D845F9">
        <w:rPr>
          <w:color w:val="000000" w:themeColor="text1"/>
        </w:rPr>
        <w:t xml:space="preserve">Let us start with what is not to like in algorithms. </w:t>
      </w:r>
      <w:r w:rsidR="00A43EA6" w:rsidRPr="00D845F9">
        <w:rPr>
          <w:color w:val="000000" w:themeColor="text1"/>
        </w:rPr>
        <w:t xml:space="preserve">One of the strong arguments in favor of the algorithms is that they are more reliable than human </w:t>
      </w:r>
      <w:r w:rsidR="00C67E9D" w:rsidRPr="00D845F9">
        <w:rPr>
          <w:color w:val="000000" w:themeColor="text1"/>
        </w:rPr>
        <w:t>beings are</w:t>
      </w:r>
      <w:r w:rsidR="00A43EA6" w:rsidRPr="00D845F9">
        <w:rPr>
          <w:color w:val="000000" w:themeColor="text1"/>
        </w:rPr>
        <w:t>. However, there is evidence that algorithms can make mistakes and</w:t>
      </w:r>
      <w:r w:rsidR="008F1C3E">
        <w:rPr>
          <w:color w:val="000000" w:themeColor="text1"/>
        </w:rPr>
        <w:t>,</w:t>
      </w:r>
      <w:r w:rsidR="00A43EA6" w:rsidRPr="00D845F9">
        <w:rPr>
          <w:color w:val="000000" w:themeColor="text1"/>
        </w:rPr>
        <w:t xml:space="preserve"> when they do so</w:t>
      </w:r>
      <w:r w:rsidR="008F1C3E">
        <w:rPr>
          <w:color w:val="000000" w:themeColor="text1"/>
        </w:rPr>
        <w:t>,</w:t>
      </w:r>
      <w:r w:rsidR="00A43EA6" w:rsidRPr="00D845F9">
        <w:rPr>
          <w:color w:val="000000" w:themeColor="text1"/>
        </w:rPr>
        <w:t xml:space="preserve"> the effects are on a larger scale than an error made by a human judge in a ruling</w:t>
      </w:r>
      <w:r w:rsidR="00525EAC" w:rsidRPr="00D845F9">
        <w:rPr>
          <w:color w:val="000000" w:themeColor="text1"/>
        </w:rPr>
        <w:t>.</w:t>
      </w:r>
      <w:r w:rsidR="00A43EA6" w:rsidRPr="00D845F9">
        <w:rPr>
          <w:rStyle w:val="FootnoteReference"/>
          <w:color w:val="000000" w:themeColor="text1"/>
        </w:rPr>
        <w:footnoteReference w:id="51"/>
      </w:r>
      <w:r w:rsidR="00A43EA6" w:rsidRPr="00D845F9">
        <w:rPr>
          <w:color w:val="000000" w:themeColor="text1"/>
        </w:rPr>
        <w:t xml:space="preserve"> More importantly, algorithms are not more reliable than human beings, because of the</w:t>
      </w:r>
      <w:r w:rsidR="00F3302E" w:rsidRPr="00D845F9">
        <w:rPr>
          <w:color w:val="000000" w:themeColor="text1"/>
        </w:rPr>
        <w:t xml:space="preserve"> emerging problem of algorithmic</w:t>
      </w:r>
      <w:r w:rsidR="00A43EA6" w:rsidRPr="00D845F9">
        <w:rPr>
          <w:color w:val="000000" w:themeColor="text1"/>
        </w:rPr>
        <w:t xml:space="preserve"> (or machine)</w:t>
      </w:r>
      <w:r w:rsidR="00F3302E" w:rsidRPr="00D845F9">
        <w:rPr>
          <w:color w:val="000000" w:themeColor="text1"/>
        </w:rPr>
        <w:t xml:space="preserve"> bias</w:t>
      </w:r>
      <w:r w:rsidR="00525EAC" w:rsidRPr="00D845F9">
        <w:rPr>
          <w:color w:val="000000" w:themeColor="text1"/>
        </w:rPr>
        <w:t>.</w:t>
      </w:r>
      <w:r w:rsidR="00A43EA6" w:rsidRPr="00D845F9">
        <w:rPr>
          <w:rStyle w:val="FootnoteReference"/>
          <w:color w:val="000000" w:themeColor="text1"/>
        </w:rPr>
        <w:footnoteReference w:id="52"/>
      </w:r>
      <w:r w:rsidR="00F3302E" w:rsidRPr="00D845F9">
        <w:rPr>
          <w:color w:val="000000" w:themeColor="text1"/>
        </w:rPr>
        <w:t xml:space="preserve"> The founder of the </w:t>
      </w:r>
      <w:r w:rsidR="00FD1AB7" w:rsidRPr="00D845F9">
        <w:rPr>
          <w:color w:val="000000" w:themeColor="text1"/>
        </w:rPr>
        <w:t>Algorithmic Justice L</w:t>
      </w:r>
      <w:r w:rsidR="00F3302E" w:rsidRPr="00D845F9">
        <w:rPr>
          <w:color w:val="000000" w:themeColor="text1"/>
        </w:rPr>
        <w:t xml:space="preserve">eague, for instance, </w:t>
      </w:r>
      <w:r w:rsidR="0007743A" w:rsidRPr="00D845F9">
        <w:rPr>
          <w:color w:val="000000" w:themeColor="text1"/>
        </w:rPr>
        <w:t>stated</w:t>
      </w:r>
      <w:r w:rsidR="00F3302E" w:rsidRPr="00D845F9">
        <w:rPr>
          <w:color w:val="000000" w:themeColor="text1"/>
        </w:rPr>
        <w:t xml:space="preserve"> that a facial recognition machine could not see her because she is black and, probably, the machine learning algorithm were trained only using white faces</w:t>
      </w:r>
      <w:r w:rsidR="00F916C1" w:rsidRPr="00D845F9">
        <w:rPr>
          <w:color w:val="000000" w:themeColor="text1"/>
        </w:rPr>
        <w:t>.</w:t>
      </w:r>
      <w:r w:rsidR="00F3302E" w:rsidRPr="00D845F9">
        <w:rPr>
          <w:rStyle w:val="FootnoteReference"/>
          <w:color w:val="000000" w:themeColor="text1"/>
        </w:rPr>
        <w:footnoteReference w:id="53"/>
      </w:r>
      <w:r w:rsidR="00F916C1" w:rsidRPr="00D845F9">
        <w:rPr>
          <w:color w:val="000000" w:themeColor="text1"/>
        </w:rPr>
        <w:t xml:space="preserve"> Contrary </w:t>
      </w:r>
      <w:r w:rsidR="00810305" w:rsidRPr="00D845F9">
        <w:rPr>
          <w:color w:val="000000" w:themeColor="text1"/>
        </w:rPr>
        <w:t xml:space="preserve">to popular belief, algorithms do not eliminate bias, because the relevant models are opaque, unregulated, and </w:t>
      </w:r>
      <w:r w:rsidR="00C52DEA" w:rsidRPr="00D845F9">
        <w:rPr>
          <w:color w:val="000000" w:themeColor="text1"/>
        </w:rPr>
        <w:t>incontestable</w:t>
      </w:r>
      <w:r w:rsidR="00F916C1" w:rsidRPr="00D845F9">
        <w:rPr>
          <w:color w:val="000000" w:themeColor="text1"/>
        </w:rPr>
        <w:t>.</w:t>
      </w:r>
      <w:r w:rsidR="00810305" w:rsidRPr="00D845F9">
        <w:rPr>
          <w:rStyle w:val="FootnoteReference"/>
          <w:color w:val="000000" w:themeColor="text1"/>
        </w:rPr>
        <w:footnoteReference w:id="54"/>
      </w:r>
      <w:r w:rsidR="00593E82" w:rsidRPr="00D845F9">
        <w:rPr>
          <w:color w:val="000000" w:themeColor="text1"/>
        </w:rPr>
        <w:t xml:space="preserve"> Even those who believe that AI should be used (in combination with law and self-regulation) for the governance of the Internet, admit that </w:t>
      </w:r>
      <w:r w:rsidR="00C67E9D">
        <w:rPr>
          <w:color w:val="000000" w:themeColor="text1"/>
        </w:rPr>
        <w:t xml:space="preserve">the </w:t>
      </w:r>
      <w:r w:rsidR="00593E82" w:rsidRPr="00D845F9">
        <w:rPr>
          <w:color w:val="000000" w:themeColor="text1"/>
        </w:rPr>
        <w:t>“[l]</w:t>
      </w:r>
      <w:r w:rsidR="00593E82" w:rsidRPr="00D845F9">
        <w:rPr>
          <w:color w:val="000000" w:themeColor="text1"/>
          <w:shd w:val="clear" w:color="auto" w:fill="FFFFFF"/>
        </w:rPr>
        <w:t>ack of transparency on how algorithms operate is a real issue, as well as the problem that artificial intelligence tends to share the biases of the humans it learns from</w:t>
      </w:r>
      <w:r w:rsidR="00525EAC" w:rsidRPr="00D845F9">
        <w:rPr>
          <w:color w:val="000000" w:themeColor="text1"/>
          <w:shd w:val="clear" w:color="auto" w:fill="FFFFFF"/>
        </w:rPr>
        <w:t>.</w:t>
      </w:r>
      <w:r w:rsidR="00593E82" w:rsidRPr="00D845F9">
        <w:rPr>
          <w:color w:val="000000" w:themeColor="text1"/>
          <w:shd w:val="clear" w:color="auto" w:fill="FFFFFF"/>
        </w:rPr>
        <w:t>”</w:t>
      </w:r>
      <w:r w:rsidR="00593E82" w:rsidRPr="00D845F9">
        <w:rPr>
          <w:rStyle w:val="FootnoteReference"/>
          <w:color w:val="000000" w:themeColor="text1"/>
          <w:shd w:val="clear" w:color="auto" w:fill="FFFFFF"/>
        </w:rPr>
        <w:footnoteReference w:id="55"/>
      </w:r>
    </w:p>
    <w:p w14:paraId="00C139BC" w14:textId="19CA3D30" w:rsidR="00BE6856" w:rsidRPr="00D845F9" w:rsidRDefault="00BE6856" w:rsidP="00D845F9">
      <w:pPr>
        <w:pStyle w:val="ListParagraph"/>
        <w:contextualSpacing w:val="0"/>
        <w:jc w:val="both"/>
        <w:rPr>
          <w:color w:val="000000" w:themeColor="text1"/>
        </w:rPr>
      </w:pPr>
      <w:r w:rsidRPr="00D845F9">
        <w:rPr>
          <w:color w:val="000000" w:themeColor="text1"/>
          <w:shd w:val="clear" w:color="auto" w:fill="FFFFFF"/>
        </w:rPr>
        <w:t>In the context of the UK inquiry on algorithms in decision-making</w:t>
      </w:r>
      <w:r w:rsidR="00F916C1" w:rsidRPr="00D845F9">
        <w:rPr>
          <w:color w:val="000000" w:themeColor="text1"/>
          <w:shd w:val="clear" w:color="auto" w:fill="FFFFFF"/>
        </w:rPr>
        <w:t>,</w:t>
      </w:r>
      <w:r w:rsidRPr="00D845F9">
        <w:rPr>
          <w:rStyle w:val="FootnoteReference"/>
          <w:color w:val="000000" w:themeColor="text1"/>
          <w:shd w:val="clear" w:color="auto" w:fill="FFFFFF"/>
        </w:rPr>
        <w:footnoteReference w:id="56"/>
      </w:r>
      <w:r w:rsidRPr="00D845F9">
        <w:rPr>
          <w:color w:val="000000" w:themeColor="text1"/>
          <w:shd w:val="clear" w:color="auto" w:fill="FFFFFF"/>
        </w:rPr>
        <w:t xml:space="preserve"> six reasons why algorithmic systems can produce biased outcomes</w:t>
      </w:r>
      <w:r w:rsidR="00096E0B" w:rsidRPr="00D845F9">
        <w:rPr>
          <w:color w:val="000000" w:themeColor="text1"/>
          <w:shd w:val="clear" w:color="auto" w:fill="FFFFFF"/>
        </w:rPr>
        <w:t xml:space="preserve"> have been presented</w:t>
      </w:r>
      <w:r w:rsidR="00F916C1" w:rsidRPr="00D845F9">
        <w:rPr>
          <w:color w:val="000000" w:themeColor="text1"/>
          <w:shd w:val="clear" w:color="auto" w:fill="FFFFFF"/>
        </w:rPr>
        <w:t>.</w:t>
      </w:r>
      <w:r w:rsidRPr="00D845F9">
        <w:rPr>
          <w:rStyle w:val="FootnoteReference"/>
          <w:color w:val="000000" w:themeColor="text1"/>
          <w:shd w:val="clear" w:color="auto" w:fill="FFFFFF"/>
        </w:rPr>
        <w:footnoteReference w:id="57"/>
      </w:r>
      <w:r w:rsidR="00851892" w:rsidRPr="00D845F9">
        <w:rPr>
          <w:color w:val="000000" w:themeColor="text1"/>
          <w:shd w:val="clear" w:color="auto" w:fill="FFFFFF"/>
        </w:rPr>
        <w:t xml:space="preserve"> First, design choices make the decision-making process or the factors it considers too opaque; these choice</w:t>
      </w:r>
      <w:r w:rsidR="0007743A" w:rsidRPr="00D845F9">
        <w:rPr>
          <w:color w:val="000000" w:themeColor="text1"/>
          <w:shd w:val="clear" w:color="auto" w:fill="FFFFFF"/>
        </w:rPr>
        <w:t>s</w:t>
      </w:r>
      <w:r w:rsidR="00851892" w:rsidRPr="00D845F9">
        <w:rPr>
          <w:color w:val="000000" w:themeColor="text1"/>
          <w:shd w:val="clear" w:color="auto" w:fill="FFFFFF"/>
        </w:rPr>
        <w:t xml:space="preserve"> may </w:t>
      </w:r>
      <w:r w:rsidR="0007743A" w:rsidRPr="00D845F9">
        <w:rPr>
          <w:color w:val="000000" w:themeColor="text1"/>
          <w:shd w:val="clear" w:color="auto" w:fill="FFFFFF"/>
        </w:rPr>
        <w:t>also limit</w:t>
      </w:r>
      <w:r w:rsidR="00851892" w:rsidRPr="00D845F9">
        <w:rPr>
          <w:color w:val="000000" w:themeColor="text1"/>
          <w:shd w:val="clear" w:color="auto" w:fill="FFFFFF"/>
        </w:rPr>
        <w:t xml:space="preserve"> the control of the designer</w:t>
      </w:r>
      <w:r w:rsidR="00F916C1" w:rsidRPr="00D845F9">
        <w:rPr>
          <w:color w:val="000000" w:themeColor="text1"/>
          <w:shd w:val="clear" w:color="auto" w:fill="FFFFFF"/>
        </w:rPr>
        <w:t>.</w:t>
      </w:r>
      <w:r w:rsidR="00851892" w:rsidRPr="00D845F9">
        <w:rPr>
          <w:rStyle w:val="FootnoteReference"/>
          <w:color w:val="000000" w:themeColor="text1"/>
          <w:shd w:val="clear" w:color="auto" w:fill="FFFFFF"/>
        </w:rPr>
        <w:footnoteReference w:id="58"/>
      </w:r>
      <w:r w:rsidR="00851892" w:rsidRPr="00D845F9">
        <w:rPr>
          <w:color w:val="000000" w:themeColor="text1"/>
          <w:shd w:val="clear" w:color="auto" w:fill="FFFFFF"/>
        </w:rPr>
        <w:t xml:space="preserve"> Second, the output of the system may be affected </w:t>
      </w:r>
      <w:r w:rsidR="00F916C1" w:rsidRPr="00D845F9">
        <w:rPr>
          <w:color w:val="000000" w:themeColor="text1"/>
          <w:shd w:val="clear" w:color="auto" w:fill="FFFFFF"/>
        </w:rPr>
        <w:t>b</w:t>
      </w:r>
      <w:r w:rsidR="00525EAC" w:rsidRPr="00D845F9">
        <w:rPr>
          <w:color w:val="000000" w:themeColor="text1"/>
          <w:shd w:val="clear" w:color="auto" w:fill="FFFFFF"/>
        </w:rPr>
        <w:t>y the biases in data collection.</w:t>
      </w:r>
      <w:r w:rsidR="00851892" w:rsidRPr="00D845F9">
        <w:rPr>
          <w:rStyle w:val="FootnoteReference"/>
          <w:color w:val="000000" w:themeColor="text1"/>
          <w:shd w:val="clear" w:color="auto" w:fill="FFFFFF"/>
        </w:rPr>
        <w:footnoteReference w:id="59"/>
      </w:r>
      <w:r w:rsidR="00F916C1" w:rsidRPr="00D845F9">
        <w:rPr>
          <w:color w:val="000000" w:themeColor="text1"/>
          <w:shd w:val="clear" w:color="auto" w:fill="FFFFFF"/>
        </w:rPr>
        <w:t xml:space="preserve"> </w:t>
      </w:r>
      <w:r w:rsidR="00851892" w:rsidRPr="00D845F9">
        <w:rPr>
          <w:color w:val="000000" w:themeColor="text1"/>
          <w:shd w:val="clear" w:color="auto" w:fill="FFFFFF"/>
        </w:rPr>
        <w:t>Third, unlike human beings, algorithms cannot balance biases in interpretation of data by a conscious attention to the redress of the bias</w:t>
      </w:r>
      <w:r w:rsidR="00F916C1" w:rsidRPr="00D845F9">
        <w:rPr>
          <w:color w:val="000000" w:themeColor="text1"/>
          <w:shd w:val="clear" w:color="auto" w:fill="FFFFFF"/>
        </w:rPr>
        <w:t>.</w:t>
      </w:r>
      <w:r w:rsidR="00851892" w:rsidRPr="00D845F9">
        <w:rPr>
          <w:rStyle w:val="FootnoteReference"/>
          <w:color w:val="000000" w:themeColor="text1"/>
          <w:shd w:val="clear" w:color="auto" w:fill="FFFFFF"/>
        </w:rPr>
        <w:footnoteReference w:id="60"/>
      </w:r>
      <w:r w:rsidR="00851892" w:rsidRPr="00D845F9">
        <w:rPr>
          <w:color w:val="000000" w:themeColor="text1"/>
          <w:shd w:val="clear" w:color="auto" w:fill="FFFFFF"/>
        </w:rPr>
        <w:t xml:space="preserve"> Fourth, </w:t>
      </w:r>
      <w:r w:rsidR="00F916C1" w:rsidRPr="00D845F9">
        <w:rPr>
          <w:color w:val="000000" w:themeColor="text1"/>
          <w:shd w:val="clear" w:color="auto" w:fill="FFFFFF"/>
        </w:rPr>
        <w:t xml:space="preserve">there are </w:t>
      </w:r>
      <w:r w:rsidR="00851892" w:rsidRPr="00D845F9">
        <w:rPr>
          <w:color w:val="000000" w:themeColor="text1"/>
          <w:shd w:val="clear" w:color="auto" w:fill="FFFFFF"/>
        </w:rPr>
        <w:t>b</w:t>
      </w:r>
      <w:r w:rsidRPr="00D845F9">
        <w:rPr>
          <w:color w:val="000000" w:themeColor="text1"/>
        </w:rPr>
        <w:t>iases in the way</w:t>
      </w:r>
      <w:r w:rsidR="00851892" w:rsidRPr="00D845F9">
        <w:rPr>
          <w:color w:val="000000" w:themeColor="text1"/>
        </w:rPr>
        <w:t>s that learning algorithms are tuned</w:t>
      </w:r>
      <w:r w:rsidRPr="00D845F9">
        <w:rPr>
          <w:color w:val="000000" w:themeColor="text1"/>
        </w:rPr>
        <w:t xml:space="preserve"> based on the </w:t>
      </w:r>
      <w:r w:rsidR="00851892" w:rsidRPr="00D845F9">
        <w:rPr>
          <w:color w:val="000000" w:themeColor="text1"/>
        </w:rPr>
        <w:t xml:space="preserve">testing users’ </w:t>
      </w:r>
      <w:r w:rsidR="00D1698F" w:rsidRPr="00D845F9">
        <w:rPr>
          <w:color w:val="000000" w:themeColor="text1"/>
        </w:rPr>
        <w:t>behavior</w:t>
      </w:r>
      <w:bookmarkStart w:id="1" w:name="_ftnref4"/>
      <w:bookmarkEnd w:id="1"/>
      <w:r w:rsidR="00F916C1" w:rsidRPr="00D845F9">
        <w:rPr>
          <w:color w:val="000000" w:themeColor="text1"/>
        </w:rPr>
        <w:t>.</w:t>
      </w:r>
      <w:r w:rsidR="00851892" w:rsidRPr="00D845F9">
        <w:rPr>
          <w:rStyle w:val="FootnoteReference"/>
          <w:color w:val="000000" w:themeColor="text1"/>
        </w:rPr>
        <w:footnoteReference w:id="61"/>
      </w:r>
      <w:r w:rsidR="00851892" w:rsidRPr="00D845F9">
        <w:rPr>
          <w:color w:val="000000" w:themeColor="text1"/>
        </w:rPr>
        <w:t xml:space="preserve"> Fifth, algorithms may be designed for a purpose, but then inserted into systems designed for other purposes</w:t>
      </w:r>
      <w:r w:rsidR="00F916C1" w:rsidRPr="00D845F9">
        <w:rPr>
          <w:color w:val="000000" w:themeColor="text1"/>
        </w:rPr>
        <w:t>.</w:t>
      </w:r>
      <w:r w:rsidR="00851892" w:rsidRPr="00D845F9">
        <w:rPr>
          <w:rStyle w:val="FootnoteReference"/>
          <w:color w:val="000000" w:themeColor="text1"/>
        </w:rPr>
        <w:footnoteReference w:id="62"/>
      </w:r>
      <w:r w:rsidR="00851892" w:rsidRPr="00D845F9">
        <w:rPr>
          <w:color w:val="000000" w:themeColor="text1"/>
        </w:rPr>
        <w:t xml:space="preserve"> Lastly, </w:t>
      </w:r>
      <w:r w:rsidR="003159F9" w:rsidRPr="00D845F9">
        <w:rPr>
          <w:color w:val="000000" w:themeColor="text1"/>
        </w:rPr>
        <w:t>as already said with regard to the Algorithmic Justice League, another factor is the b</w:t>
      </w:r>
      <w:r w:rsidRPr="00D845F9">
        <w:rPr>
          <w:color w:val="000000" w:themeColor="text1"/>
        </w:rPr>
        <w:t>iases in</w:t>
      </w:r>
      <w:r w:rsidR="00F916C1" w:rsidRPr="00D845F9">
        <w:rPr>
          <w:color w:val="000000" w:themeColor="text1"/>
        </w:rPr>
        <w:t xml:space="preserve"> the</w:t>
      </w:r>
      <w:r w:rsidRPr="00D845F9">
        <w:rPr>
          <w:color w:val="000000" w:themeColor="text1"/>
        </w:rPr>
        <w:t xml:space="preserve"> data used to train the decision-making systems</w:t>
      </w:r>
      <w:r w:rsidR="00F916C1" w:rsidRPr="00D845F9">
        <w:rPr>
          <w:color w:val="000000" w:themeColor="text1"/>
        </w:rPr>
        <w:t>.</w:t>
      </w:r>
      <w:r w:rsidR="003159F9" w:rsidRPr="00D845F9">
        <w:rPr>
          <w:rStyle w:val="FootnoteReference"/>
          <w:color w:val="000000" w:themeColor="text1"/>
        </w:rPr>
        <w:footnoteReference w:id="63"/>
      </w:r>
    </w:p>
    <w:p w14:paraId="5404A365" w14:textId="287E8442" w:rsidR="000A433F" w:rsidRPr="00D845F9" w:rsidRDefault="00F3302E" w:rsidP="00D845F9">
      <w:pPr>
        <w:pStyle w:val="ListParagraph"/>
        <w:contextualSpacing w:val="0"/>
        <w:jc w:val="both"/>
        <w:rPr>
          <w:color w:val="000000" w:themeColor="text1"/>
        </w:rPr>
      </w:pPr>
      <w:r w:rsidRPr="00D845F9">
        <w:rPr>
          <w:color w:val="000000" w:themeColor="text1"/>
        </w:rPr>
        <w:t>Algorithmic bias is the main problem regarding automated decision-making with legal effects</w:t>
      </w:r>
      <w:r w:rsidR="00F916C1" w:rsidRPr="00D845F9">
        <w:rPr>
          <w:color w:val="000000" w:themeColor="text1"/>
        </w:rPr>
        <w:t>.</w:t>
      </w:r>
      <w:r w:rsidR="00304DD7" w:rsidRPr="00D845F9">
        <w:rPr>
          <w:rStyle w:val="FootnoteReference"/>
          <w:color w:val="000000" w:themeColor="text1"/>
        </w:rPr>
        <w:footnoteReference w:id="64"/>
      </w:r>
      <w:r w:rsidR="004958F3" w:rsidRPr="00D845F9">
        <w:rPr>
          <w:color w:val="000000" w:themeColor="text1"/>
        </w:rPr>
        <w:t xml:space="preserve"> It has been submitted that</w:t>
      </w:r>
      <w:r w:rsidRPr="00D845F9">
        <w:rPr>
          <w:color w:val="000000" w:themeColor="text1"/>
        </w:rPr>
        <w:t xml:space="preserve"> </w:t>
      </w:r>
      <w:r w:rsidR="004958F3" w:rsidRPr="00D845F9">
        <w:rPr>
          <w:color w:val="000000" w:themeColor="text1"/>
        </w:rPr>
        <w:t>“while persistent inequities stem from a complex set of factors, digitally automated systems may be adding to these problems in new ways</w:t>
      </w:r>
      <w:r w:rsidR="00525EAC" w:rsidRPr="00D845F9">
        <w:rPr>
          <w:color w:val="000000" w:themeColor="text1"/>
        </w:rPr>
        <w:t>.</w:t>
      </w:r>
      <w:r w:rsidR="004958F3" w:rsidRPr="00D845F9">
        <w:rPr>
          <w:color w:val="000000" w:themeColor="text1"/>
        </w:rPr>
        <w:t>”</w:t>
      </w:r>
      <w:r w:rsidR="004958F3" w:rsidRPr="00D845F9">
        <w:rPr>
          <w:rStyle w:val="FootnoteReference"/>
          <w:color w:val="000000" w:themeColor="text1"/>
        </w:rPr>
        <w:footnoteReference w:id="65"/>
      </w:r>
      <w:r w:rsidR="004958F3" w:rsidRPr="00D845F9">
        <w:rPr>
          <w:color w:val="000000" w:themeColor="text1"/>
        </w:rPr>
        <w:t xml:space="preserve"> </w:t>
      </w:r>
      <w:r w:rsidRPr="00D845F9">
        <w:rPr>
          <w:color w:val="000000" w:themeColor="text1"/>
        </w:rPr>
        <w:t>It is true that</w:t>
      </w:r>
      <w:r w:rsidR="0006188F" w:rsidRPr="00D845F9">
        <w:rPr>
          <w:color w:val="000000" w:themeColor="text1"/>
        </w:rPr>
        <w:t xml:space="preserve"> </w:t>
      </w:r>
      <w:r w:rsidRPr="00D845F9">
        <w:rPr>
          <w:color w:val="000000" w:themeColor="text1"/>
        </w:rPr>
        <w:t>even if the automated decision (e.g. a ruling) is biased, the move to algorithms “may at least have the salutary effect of making bias more evident</w:t>
      </w:r>
      <w:r w:rsidR="00525EAC" w:rsidRPr="00D845F9">
        <w:rPr>
          <w:color w:val="000000" w:themeColor="text1"/>
        </w:rPr>
        <w:t>.</w:t>
      </w:r>
      <w:r w:rsidRPr="00D845F9">
        <w:rPr>
          <w:color w:val="000000" w:themeColor="text1"/>
        </w:rPr>
        <w:t>”</w:t>
      </w:r>
      <w:r w:rsidR="00770DDF" w:rsidRPr="00D845F9">
        <w:rPr>
          <w:rStyle w:val="FootnoteReference"/>
          <w:color w:val="000000" w:themeColor="text1"/>
        </w:rPr>
        <w:footnoteReference w:id="66"/>
      </w:r>
      <w:r w:rsidRPr="00D845F9">
        <w:rPr>
          <w:color w:val="000000" w:themeColor="text1"/>
        </w:rPr>
        <w:t xml:space="preserve"> </w:t>
      </w:r>
      <w:r w:rsidR="006642E4" w:rsidRPr="00D845F9">
        <w:rPr>
          <w:color w:val="000000" w:themeColor="text1"/>
          <w:shd w:val="clear" w:color="auto" w:fill="FFFFFF"/>
        </w:rPr>
        <w:t>Algorithmic bias is dealt with in a recital of the GDPR,</w:t>
      </w:r>
      <w:r w:rsidR="006642E4" w:rsidRPr="00D845F9">
        <w:rPr>
          <w:rStyle w:val="FootnoteReference"/>
          <w:color w:val="000000" w:themeColor="text1"/>
          <w:shd w:val="clear" w:color="auto" w:fill="FFFFFF"/>
        </w:rPr>
        <w:footnoteReference w:id="67"/>
      </w:r>
      <w:r w:rsidR="006642E4" w:rsidRPr="00D845F9">
        <w:rPr>
          <w:color w:val="000000" w:themeColor="text1"/>
          <w:shd w:val="clear" w:color="auto" w:fill="FFFFFF"/>
        </w:rPr>
        <w:t xml:space="preserve"> in a way which is not entirely satisfactory. Indeed, the GDPR calls on the data controller to “use appropriate mathematical or statistical procedures for the profiling, implement technical and organ</w:t>
      </w:r>
      <w:r w:rsidR="004F4403" w:rsidRPr="00D845F9">
        <w:rPr>
          <w:color w:val="000000" w:themeColor="text1"/>
          <w:shd w:val="clear" w:color="auto" w:fill="FFFFFF"/>
        </w:rPr>
        <w:t>isation</w:t>
      </w:r>
      <w:r w:rsidR="006642E4" w:rsidRPr="00D845F9">
        <w:rPr>
          <w:color w:val="000000" w:themeColor="text1"/>
          <w:shd w:val="clear" w:color="auto" w:fill="FFFFFF"/>
        </w:rPr>
        <w:t>al measures appropriate to ensure, in particular, that factors which result in inaccuracies in personal</w:t>
      </w:r>
      <w:r w:rsidR="006642E4" w:rsidRPr="00D845F9">
        <w:rPr>
          <w:color w:val="000000" w:themeColor="text1"/>
        </w:rPr>
        <w:t> </w:t>
      </w:r>
      <w:r w:rsidR="006642E4" w:rsidRPr="00D845F9">
        <w:rPr>
          <w:color w:val="000000" w:themeColor="text1"/>
          <w:shd w:val="clear" w:color="auto" w:fill="FFFFFF"/>
        </w:rPr>
        <w:t>data</w:t>
      </w:r>
      <w:r w:rsidR="006642E4" w:rsidRPr="00D845F9">
        <w:rPr>
          <w:color w:val="000000" w:themeColor="text1"/>
        </w:rPr>
        <w:t> </w:t>
      </w:r>
      <w:r w:rsidR="006642E4" w:rsidRPr="00D845F9">
        <w:rPr>
          <w:color w:val="000000" w:themeColor="text1"/>
          <w:shd w:val="clear" w:color="auto" w:fill="FFFFFF"/>
        </w:rPr>
        <w:t>are corrected and the risk of errors is minim</w:t>
      </w:r>
      <w:r w:rsidR="00255DC4" w:rsidRPr="00D845F9">
        <w:rPr>
          <w:color w:val="000000" w:themeColor="text1"/>
          <w:shd w:val="clear" w:color="auto" w:fill="FFFFFF"/>
        </w:rPr>
        <w:t>ised</w:t>
      </w:r>
      <w:r w:rsidR="006642E4" w:rsidRPr="00D845F9">
        <w:rPr>
          <w:color w:val="000000" w:themeColor="text1"/>
          <w:shd w:val="clear" w:color="auto" w:fill="FFFFFF"/>
        </w:rPr>
        <w:t>, secure personal</w:t>
      </w:r>
      <w:r w:rsidR="006642E4" w:rsidRPr="00D845F9">
        <w:rPr>
          <w:color w:val="000000" w:themeColor="text1"/>
        </w:rPr>
        <w:t> </w:t>
      </w:r>
      <w:r w:rsidR="006642E4" w:rsidRPr="00D845F9">
        <w:rPr>
          <w:color w:val="000000" w:themeColor="text1"/>
          <w:shd w:val="clear" w:color="auto" w:fill="FFFFFF"/>
        </w:rPr>
        <w:t>data</w:t>
      </w:r>
      <w:r w:rsidR="006642E4" w:rsidRPr="00D845F9">
        <w:rPr>
          <w:color w:val="000000" w:themeColor="text1"/>
        </w:rPr>
        <w:t> </w:t>
      </w:r>
      <w:r w:rsidR="006642E4" w:rsidRPr="00D845F9">
        <w:rPr>
          <w:color w:val="000000" w:themeColor="text1"/>
          <w:shd w:val="clear" w:color="auto" w:fill="FFFFFF"/>
        </w:rPr>
        <w:t>in a manner that takes account of the potential risks involved for the interests and rights of the</w:t>
      </w:r>
      <w:r w:rsidR="006642E4" w:rsidRPr="00D845F9">
        <w:rPr>
          <w:color w:val="000000" w:themeColor="text1"/>
        </w:rPr>
        <w:t> </w:t>
      </w:r>
      <w:r w:rsidR="006642E4" w:rsidRPr="00D845F9">
        <w:rPr>
          <w:color w:val="000000" w:themeColor="text1"/>
          <w:shd w:val="clear" w:color="auto" w:fill="FFFFFF"/>
        </w:rPr>
        <w:t>data</w:t>
      </w:r>
      <w:r w:rsidR="006642E4" w:rsidRPr="00D845F9">
        <w:rPr>
          <w:color w:val="000000" w:themeColor="text1"/>
        </w:rPr>
        <w:t> </w:t>
      </w:r>
      <w:r w:rsidR="006642E4" w:rsidRPr="00D845F9">
        <w:rPr>
          <w:color w:val="000000" w:themeColor="text1"/>
          <w:shd w:val="clear" w:color="auto" w:fill="FFFFFF"/>
        </w:rPr>
        <w:t>subject and that prevents, inter alia, discriminatory effects”</w:t>
      </w:r>
      <w:r w:rsidR="006642E4" w:rsidRPr="00D845F9">
        <w:rPr>
          <w:rStyle w:val="FootnoteReference"/>
          <w:color w:val="000000" w:themeColor="text1"/>
          <w:shd w:val="clear" w:color="auto" w:fill="FFFFFF"/>
        </w:rPr>
        <w:footnoteReference w:id="68"/>
      </w:r>
      <w:r w:rsidR="006642E4" w:rsidRPr="00D845F9">
        <w:rPr>
          <w:color w:val="000000" w:themeColor="text1"/>
          <w:shd w:val="clear" w:color="auto" w:fill="FFFFFF"/>
        </w:rPr>
        <w:t xml:space="preserve"> on the basis of sensitive data. Now, it would seem that the GDPR’s focus is misplaced. The point with discrimination is not that the data are inaccurate or that they are not secure. The problem is that these data should never be used to discriminate in the first place,</w:t>
      </w:r>
      <w:r w:rsidR="006642E4" w:rsidRPr="00D845F9">
        <w:rPr>
          <w:rStyle w:val="FootnoteReference"/>
          <w:color w:val="000000" w:themeColor="text1"/>
          <w:shd w:val="clear" w:color="auto" w:fill="FFFFFF"/>
        </w:rPr>
        <w:footnoteReference w:id="69"/>
      </w:r>
      <w:r w:rsidR="006642E4" w:rsidRPr="00D845F9">
        <w:rPr>
          <w:color w:val="000000" w:themeColor="text1"/>
          <w:shd w:val="clear" w:color="auto" w:fill="FFFFFF"/>
        </w:rPr>
        <w:t xml:space="preserve"> regardless of their being accurate or not, or that independency constraints should be put in place.</w:t>
      </w:r>
      <w:r w:rsidR="006642E4" w:rsidRPr="00D845F9">
        <w:rPr>
          <w:rStyle w:val="FootnoteReference"/>
          <w:color w:val="000000" w:themeColor="text1"/>
          <w:shd w:val="clear" w:color="auto" w:fill="FFFFFF"/>
        </w:rPr>
        <w:footnoteReference w:id="70"/>
      </w:r>
    </w:p>
    <w:p w14:paraId="63654251" w14:textId="03AC3992" w:rsidR="000A433F" w:rsidRPr="00D845F9" w:rsidRDefault="000A433F" w:rsidP="00D845F9">
      <w:pPr>
        <w:pStyle w:val="ListParagraph"/>
        <w:contextualSpacing w:val="0"/>
        <w:jc w:val="both"/>
        <w:rPr>
          <w:color w:val="000000" w:themeColor="text1"/>
        </w:rPr>
      </w:pPr>
      <w:r w:rsidRPr="00D845F9">
        <w:rPr>
          <w:color w:val="000000" w:themeColor="text1"/>
        </w:rPr>
        <w:t>The second argument revolves around transparency. Indeed,</w:t>
      </w:r>
      <w:r w:rsidR="00F3302E" w:rsidRPr="00D845F9">
        <w:rPr>
          <w:color w:val="000000" w:themeColor="text1"/>
        </w:rPr>
        <w:t xml:space="preserve"> </w:t>
      </w:r>
      <w:r w:rsidR="0006188F" w:rsidRPr="00D845F9">
        <w:rPr>
          <w:color w:val="000000" w:themeColor="text1"/>
        </w:rPr>
        <w:t xml:space="preserve">making bias evident would mean ensuring transparency, which seems a chimera </w:t>
      </w:r>
      <w:r w:rsidR="00F916C1" w:rsidRPr="00D845F9">
        <w:rPr>
          <w:color w:val="000000" w:themeColor="text1"/>
        </w:rPr>
        <w:t>for a number of reasons, including</w:t>
      </w:r>
      <w:r w:rsidR="00F815A3" w:rsidRPr="00D845F9">
        <w:rPr>
          <w:color w:val="000000" w:themeColor="text1"/>
        </w:rPr>
        <w:t xml:space="preserve"> the fact that</w:t>
      </w:r>
      <w:r w:rsidR="0006188F" w:rsidRPr="00D845F9">
        <w:rPr>
          <w:color w:val="000000" w:themeColor="text1"/>
        </w:rPr>
        <w:t xml:space="preserve"> </w:t>
      </w:r>
      <w:r w:rsidR="00F3302E" w:rsidRPr="00D845F9">
        <w:rPr>
          <w:color w:val="000000" w:themeColor="text1"/>
        </w:rPr>
        <w:t>the more accurate an algorithm is, the less transparent</w:t>
      </w:r>
      <w:r w:rsidR="0006188F" w:rsidRPr="00D845F9">
        <w:rPr>
          <w:color w:val="000000" w:themeColor="text1"/>
        </w:rPr>
        <w:t>.</w:t>
      </w:r>
      <w:r w:rsidR="00770DDF" w:rsidRPr="00D845F9">
        <w:rPr>
          <w:rStyle w:val="FootnoteReference"/>
          <w:color w:val="000000" w:themeColor="text1"/>
        </w:rPr>
        <w:footnoteReference w:id="71"/>
      </w:r>
      <w:r w:rsidR="0006188F" w:rsidRPr="00D845F9">
        <w:rPr>
          <w:color w:val="000000" w:themeColor="text1"/>
        </w:rPr>
        <w:t xml:space="preserve"> </w:t>
      </w:r>
      <w:r w:rsidR="00720150" w:rsidRPr="00D845F9">
        <w:rPr>
          <w:color w:val="000000" w:themeColor="text1"/>
        </w:rPr>
        <w:t xml:space="preserve">The trade-off accuracy-transparency is easily explained. On the one hand, </w:t>
      </w:r>
      <w:r w:rsidR="00F815A3" w:rsidRPr="00D845F9">
        <w:rPr>
          <w:color w:val="000000" w:themeColor="text1"/>
          <w:shd w:val="clear" w:color="auto" w:fill="FFFFFF"/>
        </w:rPr>
        <w:t xml:space="preserve">modelers </w:t>
      </w:r>
      <w:r w:rsidR="00720150" w:rsidRPr="00D845F9">
        <w:rPr>
          <w:color w:val="000000" w:themeColor="text1"/>
          <w:shd w:val="clear" w:color="auto" w:fill="FFFFFF"/>
        </w:rPr>
        <w:t>tend to develop more accurate models “with increasingly complex, data-mining-based black-box models</w:t>
      </w:r>
      <w:r w:rsidR="00525EAC" w:rsidRPr="00D845F9">
        <w:rPr>
          <w:color w:val="000000" w:themeColor="text1"/>
          <w:shd w:val="clear" w:color="auto" w:fill="FFFFFF"/>
        </w:rPr>
        <w:t>.</w:t>
      </w:r>
      <w:r w:rsidR="00720150" w:rsidRPr="00D845F9">
        <w:rPr>
          <w:color w:val="000000" w:themeColor="text1"/>
          <w:shd w:val="clear" w:color="auto" w:fill="FFFFFF"/>
        </w:rPr>
        <w:t>”</w:t>
      </w:r>
      <w:r w:rsidR="00720150" w:rsidRPr="00D845F9">
        <w:rPr>
          <w:rStyle w:val="FootnoteReference"/>
          <w:color w:val="000000" w:themeColor="text1"/>
          <w:shd w:val="clear" w:color="auto" w:fill="FFFFFF"/>
        </w:rPr>
        <w:footnoteReference w:id="72"/>
      </w:r>
      <w:r w:rsidR="00720150" w:rsidRPr="00D845F9">
        <w:rPr>
          <w:color w:val="000000" w:themeColor="text1"/>
          <w:shd w:val="clear" w:color="auto" w:fill="FFFFFF"/>
        </w:rPr>
        <w:t xml:space="preserve"> </w:t>
      </w:r>
      <w:r w:rsidR="00F815A3" w:rsidRPr="00D845F9">
        <w:rPr>
          <w:color w:val="000000" w:themeColor="text1"/>
          <w:shd w:val="clear" w:color="auto" w:fill="FFFFFF"/>
        </w:rPr>
        <w:t xml:space="preserve">On the other hand, model users </w:t>
      </w:r>
      <w:r w:rsidR="00720150" w:rsidRPr="00D845F9">
        <w:rPr>
          <w:color w:val="000000" w:themeColor="text1"/>
          <w:shd w:val="clear" w:color="auto" w:fill="FFFFFF"/>
        </w:rPr>
        <w:t xml:space="preserve">tend to </w:t>
      </w:r>
      <w:r w:rsidR="00D622B8" w:rsidRPr="00D845F9">
        <w:rPr>
          <w:color w:val="000000" w:themeColor="text1"/>
          <w:shd w:val="clear" w:color="auto" w:fill="FFFFFF"/>
        </w:rPr>
        <w:t>favor</w:t>
      </w:r>
      <w:r w:rsidR="00720150" w:rsidRPr="00D845F9">
        <w:rPr>
          <w:color w:val="000000" w:themeColor="text1"/>
          <w:shd w:val="clear" w:color="auto" w:fill="FFFFFF"/>
        </w:rPr>
        <w:t xml:space="preserve"> “transparent, interpretable models not only for predictive decision-making but also for after-the-fact auditing and forensic purposes</w:t>
      </w:r>
      <w:r w:rsidR="00525EAC" w:rsidRPr="00D845F9">
        <w:rPr>
          <w:color w:val="000000" w:themeColor="text1"/>
          <w:shd w:val="clear" w:color="auto" w:fill="FFFFFF"/>
        </w:rPr>
        <w:t>.</w:t>
      </w:r>
      <w:r w:rsidR="00720150" w:rsidRPr="00D845F9">
        <w:rPr>
          <w:color w:val="000000" w:themeColor="text1"/>
          <w:shd w:val="clear" w:color="auto" w:fill="FFFFFF"/>
        </w:rPr>
        <w:t>”</w:t>
      </w:r>
      <w:r w:rsidR="00720150" w:rsidRPr="00D845F9">
        <w:rPr>
          <w:rStyle w:val="FootnoteReference"/>
          <w:color w:val="000000" w:themeColor="text1"/>
          <w:shd w:val="clear" w:color="auto" w:fill="FFFFFF"/>
        </w:rPr>
        <w:footnoteReference w:id="73"/>
      </w:r>
      <w:r w:rsidR="00720150" w:rsidRPr="00D845F9">
        <w:rPr>
          <w:color w:val="000000" w:themeColor="text1"/>
        </w:rPr>
        <w:t xml:space="preserve"> </w:t>
      </w:r>
      <w:r w:rsidR="0006188F" w:rsidRPr="00D845F9">
        <w:rPr>
          <w:color w:val="000000" w:themeColor="text1"/>
        </w:rPr>
        <w:t>A</w:t>
      </w:r>
      <w:r w:rsidR="007113EF" w:rsidRPr="00D845F9">
        <w:rPr>
          <w:color w:val="000000" w:themeColor="text1"/>
        </w:rPr>
        <w:t xml:space="preserve">gainst the dominant idea that transparency will solve all the </w:t>
      </w:r>
      <w:r w:rsidR="0007743A" w:rsidRPr="00D845F9">
        <w:rPr>
          <w:color w:val="000000" w:themeColor="text1"/>
        </w:rPr>
        <w:t>problems, some scholars point</w:t>
      </w:r>
      <w:r w:rsidR="007113EF" w:rsidRPr="00D845F9">
        <w:rPr>
          <w:color w:val="000000" w:themeColor="text1"/>
        </w:rPr>
        <w:t xml:space="preserve"> out that “[d]isclosure of source code is often neither necessary (because of alternative techniques from computer science) nor sufficient (because of the </w:t>
      </w:r>
      <w:r w:rsidR="00C73D69" w:rsidRPr="00D845F9">
        <w:rPr>
          <w:color w:val="000000" w:themeColor="text1"/>
        </w:rPr>
        <w:t xml:space="preserve">issues </w:t>
      </w:r>
      <w:r w:rsidR="00425FAB" w:rsidRPr="00D845F9">
        <w:rPr>
          <w:color w:val="000000" w:themeColor="text1"/>
        </w:rPr>
        <w:t>analys</w:t>
      </w:r>
      <w:r w:rsidR="00C73D69" w:rsidRPr="00D845F9">
        <w:rPr>
          <w:color w:val="000000" w:themeColor="text1"/>
        </w:rPr>
        <w:t>ing</w:t>
      </w:r>
      <w:r w:rsidR="007113EF" w:rsidRPr="00D845F9">
        <w:rPr>
          <w:color w:val="000000" w:themeColor="text1"/>
        </w:rPr>
        <w:t xml:space="preserve"> code) to demonstrate the fairness of a process</w:t>
      </w:r>
      <w:r w:rsidR="00525EAC" w:rsidRPr="00D845F9">
        <w:rPr>
          <w:color w:val="000000" w:themeColor="text1"/>
        </w:rPr>
        <w:t>.</w:t>
      </w:r>
      <w:r w:rsidR="007113EF" w:rsidRPr="00D845F9">
        <w:rPr>
          <w:color w:val="000000" w:themeColor="text1"/>
        </w:rPr>
        <w:t>”</w:t>
      </w:r>
      <w:r w:rsidR="007113EF" w:rsidRPr="00D845F9">
        <w:rPr>
          <w:rStyle w:val="FootnoteReference"/>
          <w:color w:val="000000" w:themeColor="text1"/>
        </w:rPr>
        <w:footnoteReference w:id="74"/>
      </w:r>
      <w:r w:rsidR="007113EF" w:rsidRPr="00D845F9">
        <w:rPr>
          <w:color w:val="000000" w:themeColor="text1"/>
        </w:rPr>
        <w:t> </w:t>
      </w:r>
    </w:p>
    <w:p w14:paraId="3E00D36F" w14:textId="34C532AE" w:rsidR="00B51739" w:rsidRDefault="00672748" w:rsidP="00D845F9">
      <w:pPr>
        <w:pStyle w:val="ListParagraph"/>
        <w:contextualSpacing w:val="0"/>
        <w:jc w:val="both"/>
        <w:rPr>
          <w:color w:val="000000" w:themeColor="text1"/>
          <w:shd w:val="clear" w:color="auto" w:fill="FFFFFF"/>
        </w:rPr>
      </w:pPr>
      <w:r>
        <w:rPr>
          <w:color w:val="000000" w:themeColor="text1"/>
        </w:rPr>
        <w:t xml:space="preserve">The lack of transparency is related to </w:t>
      </w:r>
      <w:r w:rsidR="00D25A81" w:rsidRPr="00D845F9">
        <w:rPr>
          <w:color w:val="000000" w:themeColor="text1"/>
        </w:rPr>
        <w:t xml:space="preserve">the so-called black box (better said, black </w:t>
      </w:r>
      <w:r w:rsidR="00D25A81" w:rsidRPr="00D845F9">
        <w:rPr>
          <w:i/>
          <w:color w:val="000000" w:themeColor="text1"/>
        </w:rPr>
        <w:t>boxes</w:t>
      </w:r>
      <w:r w:rsidR="00D25A81" w:rsidRPr="00D845F9">
        <w:rPr>
          <w:color w:val="000000" w:themeColor="text1"/>
        </w:rPr>
        <w:t>).</w:t>
      </w:r>
      <w:r w:rsidR="00B51739" w:rsidRPr="00D845F9">
        <w:rPr>
          <w:color w:val="000000" w:themeColor="text1"/>
        </w:rPr>
        <w:t xml:space="preserve"> Arguably, three different black boxes may be distinguished: the organ</w:t>
      </w:r>
      <w:r w:rsidR="004F4403" w:rsidRPr="00D845F9">
        <w:rPr>
          <w:color w:val="000000" w:themeColor="text1"/>
        </w:rPr>
        <w:t>isation</w:t>
      </w:r>
      <w:r w:rsidR="00B51739" w:rsidRPr="00D845F9">
        <w:rPr>
          <w:color w:val="000000" w:themeColor="text1"/>
        </w:rPr>
        <w:t>, the technical and the legal one. The organ</w:t>
      </w:r>
      <w:r w:rsidR="004F4403" w:rsidRPr="00D845F9">
        <w:rPr>
          <w:color w:val="000000" w:themeColor="text1"/>
        </w:rPr>
        <w:t>isation</w:t>
      </w:r>
      <w:r w:rsidR="00B51739" w:rsidRPr="00D845F9">
        <w:rPr>
          <w:color w:val="000000" w:themeColor="text1"/>
        </w:rPr>
        <w:t xml:space="preserve">al black box will not be the subject of specific analysis. Suffice it to say that </w:t>
      </w:r>
      <w:r w:rsidR="00C67E9D">
        <w:rPr>
          <w:color w:val="000000" w:themeColor="text1"/>
        </w:rPr>
        <w:t xml:space="preserve">algorithms </w:t>
      </w:r>
      <w:r w:rsidR="00B51739" w:rsidRPr="00D845F9">
        <w:rPr>
          <w:color w:val="000000" w:themeColor="text1"/>
        </w:rPr>
        <w:t>are mostly implemented by “private, profit-maxim</w:t>
      </w:r>
      <w:r w:rsidR="004F4403" w:rsidRPr="00D845F9">
        <w:rPr>
          <w:color w:val="000000" w:themeColor="text1"/>
        </w:rPr>
        <w:t>ising</w:t>
      </w:r>
      <w:r w:rsidR="00B51739" w:rsidRPr="00D845F9">
        <w:rPr>
          <w:color w:val="000000" w:themeColor="text1"/>
        </w:rPr>
        <w:t xml:space="preserve"> entities, operating under minimal transparency obligations.”</w:t>
      </w:r>
      <w:r w:rsidR="00B51739" w:rsidRPr="00D845F9">
        <w:rPr>
          <w:rStyle w:val="FootnoteReference"/>
          <w:color w:val="000000" w:themeColor="text1"/>
        </w:rPr>
        <w:footnoteReference w:id="75"/>
      </w:r>
      <w:r w:rsidR="00B51739" w:rsidRPr="00D845F9">
        <w:rPr>
          <w:color w:val="000000" w:themeColor="text1"/>
        </w:rPr>
        <w:t xml:space="preserve"> As to the technical black box, artificial intelligence makes the rationale of decisions intrinsically difficult to access. This is particularly evident with the so-called neural networks that, being modelled on the brain, are at least as opaque. One need only imagine a</w:t>
      </w:r>
      <w:r w:rsidR="00B51739" w:rsidRPr="00D845F9">
        <w:rPr>
          <w:rStyle w:val="apple-converted-space"/>
          <w:color w:val="000000" w:themeColor="text1"/>
          <w:shd w:val="clear" w:color="auto" w:fill="FFFFFF"/>
        </w:rPr>
        <w:t> </w:t>
      </w:r>
      <w:r w:rsidR="00B51739" w:rsidRPr="00D845F9">
        <w:rPr>
          <w:color w:val="000000" w:themeColor="text1"/>
          <w:shd w:val="clear" w:color="auto" w:fill="FFFFFF"/>
        </w:rPr>
        <w:t>deep-learning neural network which is trained using old mammograms that have been labelled according to which women went on to develop breast cancer</w:t>
      </w:r>
      <w:r w:rsidR="00525EAC" w:rsidRPr="00D845F9">
        <w:rPr>
          <w:color w:val="000000" w:themeColor="text1"/>
          <w:shd w:val="clear" w:color="auto" w:fill="FFFFFF"/>
        </w:rPr>
        <w:t>.</w:t>
      </w:r>
      <w:r w:rsidR="00B51739" w:rsidRPr="00D845F9">
        <w:rPr>
          <w:rStyle w:val="FootnoteReference"/>
          <w:color w:val="000000" w:themeColor="text1"/>
          <w:shd w:val="clear" w:color="auto" w:fill="FFFFFF"/>
        </w:rPr>
        <w:footnoteReference w:id="76"/>
      </w:r>
      <w:r w:rsidR="00B51739" w:rsidRPr="00D845F9">
        <w:rPr>
          <w:color w:val="000000" w:themeColor="text1"/>
          <w:shd w:val="clear" w:color="auto" w:fill="FFFFFF"/>
        </w:rPr>
        <w:t xml:space="preserve"> It could help us making predictions on which breasts are likely to develop cancer, but without knowing the risk factors (the rationale), it is unlikely that the patient would undergo therapy and, more generally, the development of cancer research would not be substantive. The legal black box relates to intellectual property and will be presented in the following section.</w:t>
      </w:r>
    </w:p>
    <w:p w14:paraId="1CF1A39B" w14:textId="7D1E31BE" w:rsidR="00672748" w:rsidRDefault="00672748" w:rsidP="00D845F9">
      <w:pPr>
        <w:pStyle w:val="ListParagraph"/>
        <w:contextualSpacing w:val="0"/>
        <w:jc w:val="both"/>
        <w:rPr>
          <w:color w:val="000000" w:themeColor="text1"/>
          <w:shd w:val="clear" w:color="auto" w:fill="FFFFFF"/>
        </w:rPr>
      </w:pPr>
    </w:p>
    <w:p w14:paraId="0A674E52" w14:textId="020FF811" w:rsidR="00672748" w:rsidRPr="00672748" w:rsidRDefault="00672748" w:rsidP="00672748">
      <w:pPr>
        <w:pStyle w:val="ListParagraph"/>
        <w:contextualSpacing w:val="0"/>
        <w:jc w:val="both"/>
        <w:rPr>
          <w:color w:val="000000" w:themeColor="text1"/>
        </w:rPr>
      </w:pPr>
      <w:r w:rsidRPr="00D845F9">
        <w:rPr>
          <w:color w:val="000000" w:themeColor="text1"/>
        </w:rPr>
        <w:t>The lack of transparency has obvious repercussion on the accountability issue. For instance, ensuring fair, lawful, and transparent processing may be difficult “due to the way in which machine learning works and / or the way machine learning is integrated into a broader workflow that might involve the use of data of different origins and reliability, specific interventions by human operators, and the deployment of machine learning products and services.”</w:t>
      </w:r>
      <w:r w:rsidRPr="00D845F9">
        <w:rPr>
          <w:rStyle w:val="FootnoteReference"/>
          <w:color w:val="000000" w:themeColor="text1"/>
        </w:rPr>
        <w:footnoteReference w:id="77"/>
      </w:r>
      <w:r w:rsidRPr="00D845F9">
        <w:rPr>
          <w:color w:val="000000" w:themeColor="text1"/>
        </w:rPr>
        <w:t xml:space="preserve"> Some technical tools to ensure accountability in algorithmic scenarios have been presented,</w:t>
      </w:r>
      <w:r w:rsidRPr="00D845F9">
        <w:rPr>
          <w:rStyle w:val="FootnoteReference"/>
          <w:color w:val="000000" w:themeColor="text1"/>
        </w:rPr>
        <w:footnoteReference w:id="78"/>
      </w:r>
      <w:r w:rsidRPr="00D845F9">
        <w:rPr>
          <w:color w:val="000000" w:themeColor="text1"/>
        </w:rPr>
        <w:t xml:space="preserve"> but they do not seem sufficient the inherent problems in algorithmic decision-making.</w:t>
      </w:r>
    </w:p>
    <w:p w14:paraId="46DE0402" w14:textId="4E4CACC6" w:rsidR="00096E0B" w:rsidRPr="00D845F9" w:rsidRDefault="00096E0B" w:rsidP="00D845F9">
      <w:pPr>
        <w:pStyle w:val="ListParagraph"/>
        <w:contextualSpacing w:val="0"/>
        <w:jc w:val="both"/>
        <w:rPr>
          <w:color w:val="000000" w:themeColor="text1"/>
          <w:shd w:val="clear" w:color="auto" w:fill="FFFFFF"/>
        </w:rPr>
      </w:pPr>
    </w:p>
    <w:p w14:paraId="321C7927" w14:textId="590942EC" w:rsidR="00096E0B" w:rsidRPr="004672E2" w:rsidRDefault="00096E0B" w:rsidP="004672E2">
      <w:pPr>
        <w:pStyle w:val="NormalWeb"/>
        <w:ind w:left="720"/>
        <w:rPr>
          <w:rFonts w:ascii="TitilliumMaps29L" w:hAnsi="TitilliumMaps29L"/>
          <w:sz w:val="28"/>
          <w:szCs w:val="28"/>
        </w:rPr>
      </w:pPr>
      <w:r w:rsidRPr="004672E2">
        <w:rPr>
          <w:rFonts w:ascii="TitilliumMaps29L" w:hAnsi="TitilliumMaps29L"/>
          <w:sz w:val="28"/>
          <w:szCs w:val="28"/>
        </w:rPr>
        <w:t>B.II.2. The replacement is undesirable because there are good reasons to trust the human beings</w:t>
      </w:r>
    </w:p>
    <w:p w14:paraId="6E8CFEEB" w14:textId="77777777" w:rsidR="00096E0B" w:rsidRPr="00D845F9" w:rsidRDefault="00096E0B" w:rsidP="00D845F9">
      <w:pPr>
        <w:pStyle w:val="ListParagraph"/>
        <w:contextualSpacing w:val="0"/>
        <w:jc w:val="both"/>
        <w:rPr>
          <w:color w:val="000000" w:themeColor="text1"/>
          <w:shd w:val="clear" w:color="auto" w:fill="FFFFFF"/>
        </w:rPr>
      </w:pPr>
    </w:p>
    <w:p w14:paraId="35E993D7" w14:textId="578D7A20" w:rsidR="00715A82" w:rsidRPr="00D845F9" w:rsidRDefault="00715A82" w:rsidP="00D845F9">
      <w:pPr>
        <w:pStyle w:val="ListParagraph"/>
        <w:contextualSpacing w:val="0"/>
        <w:jc w:val="both"/>
        <w:rPr>
          <w:color w:val="000000" w:themeColor="text1"/>
          <w:shd w:val="clear" w:color="auto" w:fill="FFFFFF"/>
        </w:rPr>
      </w:pPr>
      <w:r w:rsidRPr="00D845F9">
        <w:rPr>
          <w:color w:val="000000" w:themeColor="text1"/>
          <w:shd w:val="clear" w:color="auto" w:fill="FFFFFF"/>
        </w:rPr>
        <w:t>The second part of this sections is dedicated to the reasons why one should trust humans over algorithms and, more generally, over non-human agents.</w:t>
      </w:r>
    </w:p>
    <w:p w14:paraId="5A16D059" w14:textId="2EF4E2C4" w:rsidR="001F5133" w:rsidRPr="00D845F9" w:rsidRDefault="00715A82" w:rsidP="00D845F9">
      <w:pPr>
        <w:pStyle w:val="ListParagraph"/>
        <w:contextualSpacing w:val="0"/>
        <w:jc w:val="both"/>
        <w:rPr>
          <w:color w:val="000000" w:themeColor="text1"/>
          <w:shd w:val="clear" w:color="auto" w:fill="FFFFFF"/>
        </w:rPr>
      </w:pPr>
      <w:r w:rsidRPr="00D845F9">
        <w:rPr>
          <w:color w:val="000000" w:themeColor="text1"/>
          <w:shd w:val="clear" w:color="auto" w:fill="FFFFFF"/>
        </w:rPr>
        <w:t xml:space="preserve">First, </w:t>
      </w:r>
      <w:r w:rsidR="001F5133" w:rsidRPr="00D845F9">
        <w:rPr>
          <w:color w:val="000000" w:themeColor="text1"/>
          <w:shd w:val="clear" w:color="auto" w:fill="FFFFFF"/>
        </w:rPr>
        <w:t xml:space="preserve">human beings tend to emulate the behavior of the majority of fellow human beings. This should ensure consistency and predictability in societal behaviors. This phenomenon was observed with particular clarity by Solomon Asch, who developed the so-called psychology of </w:t>
      </w:r>
      <w:r w:rsidR="0053525F" w:rsidRPr="00D845F9">
        <w:rPr>
          <w:color w:val="000000" w:themeColor="text1"/>
          <w:shd w:val="clear" w:color="auto" w:fill="FFFFFF"/>
        </w:rPr>
        <w:t>conformity</w:t>
      </w:r>
      <w:r w:rsidR="006D6CCF" w:rsidRPr="00D845F9">
        <w:rPr>
          <w:color w:val="000000" w:themeColor="text1"/>
          <w:shd w:val="clear" w:color="auto" w:fill="FFFFFF"/>
        </w:rPr>
        <w:t>.</w:t>
      </w:r>
      <w:r w:rsidR="001F5133" w:rsidRPr="00D845F9">
        <w:rPr>
          <w:rStyle w:val="FootnoteReference"/>
          <w:color w:val="000000" w:themeColor="text1"/>
          <w:shd w:val="clear" w:color="auto" w:fill="FFFFFF"/>
        </w:rPr>
        <w:footnoteReference w:id="79"/>
      </w:r>
      <w:r w:rsidR="0053525F" w:rsidRPr="00D845F9">
        <w:rPr>
          <w:color w:val="000000" w:themeColor="text1"/>
          <w:shd w:val="clear" w:color="auto" w:fill="FFFFFF"/>
        </w:rPr>
        <w:t xml:space="preserve"> Needless to </w:t>
      </w:r>
      <w:r w:rsidR="00672748">
        <w:rPr>
          <w:color w:val="000000" w:themeColor="text1"/>
          <w:shd w:val="clear" w:color="auto" w:fill="FFFFFF"/>
        </w:rPr>
        <w:t xml:space="preserve">say </w:t>
      </w:r>
      <w:r w:rsidR="0053525F" w:rsidRPr="00D845F9">
        <w:rPr>
          <w:color w:val="000000" w:themeColor="text1"/>
          <w:shd w:val="clear" w:color="auto" w:fill="FFFFFF"/>
        </w:rPr>
        <w:t>that non-human agents do not have a consciousness</w:t>
      </w:r>
      <w:r w:rsidR="00096E0B" w:rsidRPr="00D845F9">
        <w:rPr>
          <w:rStyle w:val="FootnoteReference"/>
          <w:color w:val="000000" w:themeColor="text1"/>
          <w:shd w:val="clear" w:color="auto" w:fill="FFFFFF"/>
        </w:rPr>
        <w:footnoteReference w:id="80"/>
      </w:r>
      <w:r w:rsidR="0053525F" w:rsidRPr="00D845F9">
        <w:rPr>
          <w:color w:val="000000" w:themeColor="text1"/>
          <w:shd w:val="clear" w:color="auto" w:fill="FFFFFF"/>
        </w:rPr>
        <w:t xml:space="preserve"> and, therefore, psychology do not apply to them.</w:t>
      </w:r>
      <w:r w:rsidR="004F4403" w:rsidRPr="00D845F9">
        <w:rPr>
          <w:color w:val="000000" w:themeColor="text1"/>
          <w:shd w:val="clear" w:color="auto" w:fill="FFFFFF"/>
        </w:rPr>
        <w:t xml:space="preserve"> One could object, however, that conforming to the majority does not equal pursuing the common good, because it could lead to the oppression of the minorities.</w:t>
      </w:r>
    </w:p>
    <w:p w14:paraId="290E38CD" w14:textId="0593C710" w:rsidR="004F4403" w:rsidRPr="00D845F9" w:rsidRDefault="004F4403" w:rsidP="00D845F9">
      <w:pPr>
        <w:pStyle w:val="ListParagraph"/>
        <w:contextualSpacing w:val="0"/>
        <w:jc w:val="both"/>
        <w:rPr>
          <w:color w:val="000000" w:themeColor="text1"/>
          <w:shd w:val="clear" w:color="auto" w:fill="FFFFFF"/>
        </w:rPr>
      </w:pPr>
      <w:r w:rsidRPr="00D845F9">
        <w:rPr>
          <w:color w:val="000000" w:themeColor="text1"/>
          <w:shd w:val="clear" w:color="auto" w:fill="FFFFFF"/>
        </w:rPr>
        <w:t>The argument can be put forward that, despite the different characteristics of human beings, humans tend to act consistently towards the common good. This may be explained with the power of sanctions</w:t>
      </w:r>
      <w:r w:rsidRPr="00D845F9">
        <w:rPr>
          <w:color w:val="000000" w:themeColor="text1"/>
        </w:rPr>
        <w:t>.</w:t>
      </w:r>
      <w:r w:rsidRPr="00D845F9">
        <w:rPr>
          <w:rStyle w:val="FootnoteReference"/>
          <w:color w:val="000000" w:themeColor="text1"/>
          <w:shd w:val="clear" w:color="auto" w:fill="FFFFFF"/>
        </w:rPr>
        <w:footnoteReference w:id="81"/>
      </w:r>
      <w:r w:rsidRPr="00D845F9">
        <w:rPr>
          <w:color w:val="000000" w:themeColor="text1"/>
        </w:rPr>
        <w:t xml:space="preserve"> </w:t>
      </w:r>
      <w:r w:rsidRPr="00D845F9">
        <w:rPr>
          <w:color w:val="000000" w:themeColor="text1"/>
          <w:shd w:val="clear" w:color="auto" w:fill="FFFFFF"/>
        </w:rPr>
        <w:t>Second, the sanction does not perform its typical function against non-human agents. Human beings comply with the law not for a natural disposition, but because they do not wish to be sanctioned. However, it is hardly arguable that non-human agents share this fear. Indeed, neither they can be imprisoned (criminal sanctions), nor they own assets that can be used to execute civil and administrative sanctions.</w:t>
      </w:r>
    </w:p>
    <w:p w14:paraId="608AD05D" w14:textId="77136923" w:rsidR="0053525F" w:rsidRPr="00D845F9" w:rsidRDefault="0053525F" w:rsidP="00D845F9">
      <w:pPr>
        <w:pStyle w:val="ListParagraph"/>
        <w:contextualSpacing w:val="0"/>
        <w:jc w:val="both"/>
        <w:rPr>
          <w:color w:val="000000" w:themeColor="text1"/>
          <w:shd w:val="clear" w:color="auto" w:fill="FFFFFF"/>
        </w:rPr>
      </w:pPr>
      <w:r w:rsidRPr="00D845F9">
        <w:rPr>
          <w:color w:val="000000" w:themeColor="text1"/>
          <w:shd w:val="clear" w:color="auto" w:fill="FFFFFF"/>
        </w:rPr>
        <w:t>The third argument refers, like the previous one, to the effects of group pressure, but in a different setting. It can be sum up by saying that hypocrisy has a civil</w:t>
      </w:r>
      <w:r w:rsidR="004F4403" w:rsidRPr="00D845F9">
        <w:rPr>
          <w:color w:val="000000" w:themeColor="text1"/>
          <w:shd w:val="clear" w:color="auto" w:fill="FFFFFF"/>
        </w:rPr>
        <w:t>ising</w:t>
      </w:r>
      <w:r w:rsidRPr="00D845F9">
        <w:rPr>
          <w:color w:val="000000" w:themeColor="text1"/>
          <w:shd w:val="clear" w:color="auto" w:fill="FFFFFF"/>
        </w:rPr>
        <w:t xml:space="preserve"> force</w:t>
      </w:r>
      <w:r w:rsidR="00525EAC" w:rsidRPr="00D845F9">
        <w:rPr>
          <w:color w:val="000000" w:themeColor="text1"/>
          <w:shd w:val="clear" w:color="auto" w:fill="FFFFFF"/>
        </w:rPr>
        <w:t>.</w:t>
      </w:r>
      <w:r w:rsidRPr="00D845F9">
        <w:rPr>
          <w:rStyle w:val="FootnoteReference"/>
          <w:color w:val="000000" w:themeColor="text1"/>
          <w:shd w:val="clear" w:color="auto" w:fill="FFFFFF"/>
        </w:rPr>
        <w:footnoteReference w:id="82"/>
      </w:r>
      <w:r w:rsidRPr="00D845F9">
        <w:rPr>
          <w:color w:val="000000" w:themeColor="text1"/>
          <w:shd w:val="clear" w:color="auto" w:fill="FFFFFF"/>
        </w:rPr>
        <w:t xml:space="preserve"> Indeed, with regards to the relationship between deliberation and publicity, it has been observed that “the effect of an audience is to replace the language of interest by the language of reason and to replace impartial motives by passionate ones</w:t>
      </w:r>
      <w:r w:rsidR="006D6CCF" w:rsidRPr="00D845F9">
        <w:rPr>
          <w:color w:val="000000" w:themeColor="text1"/>
          <w:shd w:val="clear" w:color="auto" w:fill="FFFFFF"/>
        </w:rPr>
        <w:t>.”</w:t>
      </w:r>
      <w:r w:rsidR="006D6CCF" w:rsidRPr="00D845F9">
        <w:rPr>
          <w:rStyle w:val="FootnoteReference"/>
          <w:color w:val="000000" w:themeColor="text1"/>
          <w:shd w:val="clear" w:color="auto" w:fill="FFFFFF"/>
        </w:rPr>
        <w:footnoteReference w:id="83"/>
      </w:r>
      <w:r w:rsidRPr="00D845F9">
        <w:rPr>
          <w:color w:val="000000" w:themeColor="text1"/>
          <w:shd w:val="clear" w:color="auto" w:fill="FFFFFF"/>
        </w:rPr>
        <w:t xml:space="preserve"> </w:t>
      </w:r>
      <w:r w:rsidR="006D6CCF" w:rsidRPr="00D845F9">
        <w:rPr>
          <w:color w:val="000000" w:themeColor="text1"/>
          <w:shd w:val="clear" w:color="auto" w:fill="FFFFFF"/>
        </w:rPr>
        <w:t>These considerations, rooted in the human psychology, do not apply to non-human agents. Therefore, hypocrisy cannot civili</w:t>
      </w:r>
      <w:r w:rsidR="004F4403" w:rsidRPr="00D845F9">
        <w:rPr>
          <w:color w:val="000000" w:themeColor="text1"/>
          <w:shd w:val="clear" w:color="auto" w:fill="FFFFFF"/>
        </w:rPr>
        <w:t>s</w:t>
      </w:r>
      <w:r w:rsidR="006D6CCF" w:rsidRPr="00D845F9">
        <w:rPr>
          <w:color w:val="000000" w:themeColor="text1"/>
          <w:shd w:val="clear" w:color="auto" w:fill="FFFFFF"/>
        </w:rPr>
        <w:t>e algorithmic decision-makers.</w:t>
      </w:r>
      <w:r w:rsidRPr="00D845F9">
        <w:rPr>
          <w:color w:val="000000" w:themeColor="text1"/>
          <w:shd w:val="clear" w:color="auto" w:fill="FFFFFF"/>
        </w:rPr>
        <w:t xml:space="preserve"> </w:t>
      </w:r>
    </w:p>
    <w:p w14:paraId="72C62E53" w14:textId="61119D3A" w:rsidR="00FB4529" w:rsidRPr="00D845F9" w:rsidRDefault="00715A82" w:rsidP="00D845F9">
      <w:pPr>
        <w:pStyle w:val="ListParagraph"/>
        <w:contextualSpacing w:val="0"/>
        <w:jc w:val="both"/>
        <w:rPr>
          <w:color w:val="000000" w:themeColor="text1"/>
          <w:shd w:val="clear" w:color="auto" w:fill="FFFFFF"/>
        </w:rPr>
      </w:pPr>
      <w:r w:rsidRPr="00D845F9">
        <w:rPr>
          <w:color w:val="000000" w:themeColor="text1"/>
          <w:shd w:val="clear" w:color="auto" w:fill="FFFFFF"/>
        </w:rPr>
        <w:t xml:space="preserve"> </w:t>
      </w:r>
      <w:r w:rsidR="00FB4529" w:rsidRPr="00D845F9">
        <w:rPr>
          <w:color w:val="000000" w:themeColor="text1"/>
          <w:shd w:val="clear" w:color="auto" w:fill="FFFFFF"/>
        </w:rPr>
        <w:t>Let us say that it is possible</w:t>
      </w:r>
      <w:r w:rsidR="00096E0B" w:rsidRPr="00D845F9">
        <w:rPr>
          <w:color w:val="000000" w:themeColor="text1"/>
          <w:shd w:val="clear" w:color="auto" w:fill="FFFFFF"/>
        </w:rPr>
        <w:t xml:space="preserve"> for an algorithm to learn and decide like </w:t>
      </w:r>
      <w:r w:rsidR="00FB4529" w:rsidRPr="00D845F9">
        <w:rPr>
          <w:color w:val="000000" w:themeColor="text1"/>
          <w:shd w:val="clear" w:color="auto" w:fill="FFFFFF"/>
        </w:rPr>
        <w:t>a huma</w:t>
      </w:r>
      <w:r w:rsidR="00096E0B" w:rsidRPr="00D845F9">
        <w:rPr>
          <w:color w:val="000000" w:themeColor="text1"/>
          <w:shd w:val="clear" w:color="auto" w:fill="FFFFFF"/>
        </w:rPr>
        <w:t xml:space="preserve">n judge. At this point, one may argue, it would </w:t>
      </w:r>
      <w:r w:rsidR="00FB4529" w:rsidRPr="00D845F9">
        <w:rPr>
          <w:color w:val="000000" w:themeColor="text1"/>
          <w:shd w:val="clear" w:color="auto" w:fill="FFFFFF"/>
        </w:rPr>
        <w:t>be sufficient to find the best lawyer / judge in the world and create a large number of non-human clones that will gradually replace all human judges. However, this scenario raises some issues. Pluralism seems the main one.</w:t>
      </w:r>
      <w:r w:rsidR="007659F9" w:rsidRPr="00D845F9">
        <w:rPr>
          <w:rStyle w:val="FootnoteReference"/>
          <w:color w:val="000000" w:themeColor="text1"/>
          <w:shd w:val="clear" w:color="auto" w:fill="FFFFFF"/>
        </w:rPr>
        <w:footnoteReference w:id="84"/>
      </w:r>
      <w:r w:rsidR="00FB4529" w:rsidRPr="00D845F9">
        <w:rPr>
          <w:color w:val="000000" w:themeColor="text1"/>
          <w:shd w:val="clear" w:color="auto" w:fill="FFFFFF"/>
        </w:rPr>
        <w:t xml:space="preserve"> Indeed, </w:t>
      </w:r>
      <w:r w:rsidR="007659F9" w:rsidRPr="00D845F9">
        <w:rPr>
          <w:color w:val="000000" w:themeColor="text1"/>
          <w:shd w:val="clear" w:color="auto" w:fill="FFFFFF"/>
        </w:rPr>
        <w:t>if pluralism is rooted in the respect for the minorities and in the belief that a multiplicity of viewpoints enriches the understanding of the world, then erasing this by cloning the perfect judge would be at least problematic. Even before that, how does one find the perfect judge to clone? What does it mean to be the best judge?</w:t>
      </w:r>
      <w:r w:rsidR="00BF71B2" w:rsidRPr="00D845F9">
        <w:rPr>
          <w:color w:val="000000" w:themeColor="text1"/>
          <w:shd w:val="clear" w:color="auto" w:fill="FFFFFF"/>
        </w:rPr>
        <w:t xml:space="preserve"> Is it possible to entirely eliminate the human bias?</w:t>
      </w:r>
      <w:r w:rsidR="00BF71B2" w:rsidRPr="00D845F9">
        <w:rPr>
          <w:rStyle w:val="FootnoteReference"/>
          <w:color w:val="000000" w:themeColor="text1"/>
          <w:shd w:val="clear" w:color="auto" w:fill="FFFFFF"/>
        </w:rPr>
        <w:footnoteReference w:id="85"/>
      </w:r>
      <w:r w:rsidR="00BF71B2" w:rsidRPr="00D845F9">
        <w:rPr>
          <w:color w:val="000000" w:themeColor="text1"/>
          <w:shd w:val="clear" w:color="auto" w:fill="FFFFFF"/>
        </w:rPr>
        <w:t xml:space="preserve"> </w:t>
      </w:r>
    </w:p>
    <w:p w14:paraId="0D52C6F1" w14:textId="69612E31" w:rsidR="007659F9" w:rsidRPr="00D845F9" w:rsidRDefault="007659F9" w:rsidP="00D845F9">
      <w:pPr>
        <w:pStyle w:val="ListParagraph"/>
        <w:contextualSpacing w:val="0"/>
        <w:jc w:val="both"/>
        <w:rPr>
          <w:color w:val="000000" w:themeColor="text1"/>
          <w:shd w:val="clear" w:color="auto" w:fill="FFFFFF"/>
        </w:rPr>
      </w:pPr>
      <w:r w:rsidRPr="00D845F9">
        <w:rPr>
          <w:color w:val="000000" w:themeColor="text1"/>
          <w:shd w:val="clear" w:color="auto" w:fill="FFFFFF"/>
        </w:rPr>
        <w:t xml:space="preserve">A </w:t>
      </w:r>
      <w:r w:rsidR="00297D03" w:rsidRPr="00D845F9">
        <w:rPr>
          <w:color w:val="000000" w:themeColor="text1"/>
          <w:shd w:val="clear" w:color="auto" w:fill="FFFFFF"/>
        </w:rPr>
        <w:t>fifth</w:t>
      </w:r>
      <w:r w:rsidRPr="00D845F9">
        <w:rPr>
          <w:color w:val="000000" w:themeColor="text1"/>
          <w:shd w:val="clear" w:color="auto" w:fill="FFFFFF"/>
        </w:rPr>
        <w:t xml:space="preserve"> reason why this paper take</w:t>
      </w:r>
      <w:r w:rsidR="002D6C9B" w:rsidRPr="00D845F9">
        <w:rPr>
          <w:color w:val="000000" w:themeColor="text1"/>
          <w:shd w:val="clear" w:color="auto" w:fill="FFFFFF"/>
        </w:rPr>
        <w:t>s a humanist stance is empathy, which is the “</w:t>
      </w:r>
      <w:r w:rsidR="002D6C9B" w:rsidRPr="00D845F9">
        <w:rPr>
          <w:color w:val="000000" w:themeColor="text1"/>
        </w:rPr>
        <w:t>cognitive ability to understand a situation from the perspective of other people, combined with the emotional capacity to comprehend and feel those people’s emotions in that situation.”</w:t>
      </w:r>
      <w:r w:rsidR="002D6C9B" w:rsidRPr="00D845F9">
        <w:rPr>
          <w:rStyle w:val="FootnoteReference"/>
          <w:color w:val="000000" w:themeColor="text1"/>
        </w:rPr>
        <w:footnoteReference w:id="86"/>
      </w:r>
      <w:r w:rsidR="002D6C9B" w:rsidRPr="00D845F9">
        <w:rPr>
          <w:color w:val="000000" w:themeColor="text1"/>
        </w:rPr>
        <w:t xml:space="preserve"> </w:t>
      </w:r>
      <w:r w:rsidRPr="00D845F9">
        <w:rPr>
          <w:color w:val="000000" w:themeColor="text1"/>
          <w:shd w:val="clear" w:color="auto" w:fill="FFFFFF"/>
        </w:rPr>
        <w:t>This could come as a surprise, since usually empathy is seen as a bias</w:t>
      </w:r>
      <w:r w:rsidRPr="00D845F9">
        <w:rPr>
          <w:rStyle w:val="FootnoteReference"/>
          <w:color w:val="000000" w:themeColor="text1"/>
          <w:shd w:val="clear" w:color="auto" w:fill="FFFFFF"/>
        </w:rPr>
        <w:footnoteReference w:id="87"/>
      </w:r>
      <w:r w:rsidRPr="00D845F9">
        <w:rPr>
          <w:color w:val="000000" w:themeColor="text1"/>
          <w:shd w:val="clear" w:color="auto" w:fill="FFFFFF"/>
        </w:rPr>
        <w:t xml:space="preserve"> and, therefore, as an argument in </w:t>
      </w:r>
      <w:r w:rsidR="009A2423" w:rsidRPr="00D845F9">
        <w:rPr>
          <w:color w:val="000000" w:themeColor="text1"/>
          <w:shd w:val="clear" w:color="auto" w:fill="FFFFFF"/>
        </w:rPr>
        <w:t>favor</w:t>
      </w:r>
      <w:r w:rsidRPr="00D845F9">
        <w:rPr>
          <w:color w:val="000000" w:themeColor="text1"/>
          <w:shd w:val="clear" w:color="auto" w:fill="FFFFFF"/>
        </w:rPr>
        <w:t xml:space="preserve"> of non-human agents. </w:t>
      </w:r>
      <w:r w:rsidR="00583DCC" w:rsidRPr="00D845F9">
        <w:rPr>
          <w:color w:val="000000" w:themeColor="text1"/>
          <w:shd w:val="clear" w:color="auto" w:fill="FFFFFF"/>
        </w:rPr>
        <w:t>Conversely, empathy is “a requirement of judicial neutrality.”</w:t>
      </w:r>
      <w:r w:rsidR="00583DCC" w:rsidRPr="00D845F9">
        <w:rPr>
          <w:rStyle w:val="FootnoteReference"/>
          <w:color w:val="000000" w:themeColor="text1"/>
          <w:shd w:val="clear" w:color="auto" w:fill="FFFFFF"/>
        </w:rPr>
        <w:footnoteReference w:id="88"/>
      </w:r>
      <w:r w:rsidR="00583DCC" w:rsidRPr="00D845F9">
        <w:rPr>
          <w:color w:val="000000" w:themeColor="text1"/>
          <w:shd w:val="clear" w:color="auto" w:fill="FFFFFF"/>
        </w:rPr>
        <w:t xml:space="preserve"> </w:t>
      </w:r>
      <w:r w:rsidR="002D6C9B" w:rsidRPr="00D845F9">
        <w:rPr>
          <w:color w:val="000000" w:themeColor="text1"/>
          <w:shd w:val="clear" w:color="auto" w:fill="FFFFFF"/>
        </w:rPr>
        <w:t>It has been shown that arguments in favor of judicial empathy are rooted, perhaps unexpectedly, in “</w:t>
      </w:r>
      <w:r w:rsidR="002D6C9B" w:rsidRPr="00D845F9">
        <w:rPr>
          <w:color w:val="000000" w:themeColor="text1"/>
        </w:rPr>
        <w:t>a firm commitment to the rule of law and a deep-seated appreciation of—rather than rejection of— legal doctrine.”</w:t>
      </w:r>
      <w:r w:rsidR="002D6C9B" w:rsidRPr="00D845F9">
        <w:rPr>
          <w:rStyle w:val="FootnoteReference"/>
          <w:color w:val="000000" w:themeColor="text1"/>
        </w:rPr>
        <w:footnoteReference w:id="89"/>
      </w:r>
      <w:r w:rsidR="002D6C9B" w:rsidRPr="00D845F9">
        <w:rPr>
          <w:color w:val="000000" w:themeColor="text1"/>
        </w:rPr>
        <w:t xml:space="preserve"> </w:t>
      </w:r>
      <w:r w:rsidR="00697545" w:rsidRPr="00D845F9">
        <w:rPr>
          <w:color w:val="000000" w:themeColor="text1"/>
          <w:shd w:val="clear" w:color="auto" w:fill="FFFFFF"/>
        </w:rPr>
        <w:t>A recent study shed light on the shortcomings of the anti-empathic consensus; indeed, it descends of XIX century formalism, but it has “drifted from its source such that it would almost certainly be condemned by the very formalist scholars from whom it is descended.”</w:t>
      </w:r>
      <w:r w:rsidR="00697545" w:rsidRPr="00D845F9">
        <w:rPr>
          <w:rStyle w:val="FootnoteReference"/>
          <w:color w:val="000000" w:themeColor="text1"/>
          <w:shd w:val="clear" w:color="auto" w:fill="FFFFFF"/>
        </w:rPr>
        <w:footnoteReference w:id="90"/>
      </w:r>
      <w:r w:rsidR="00697545" w:rsidRPr="00D845F9">
        <w:rPr>
          <w:color w:val="000000" w:themeColor="text1"/>
          <w:shd w:val="clear" w:color="auto" w:fill="FFFFFF"/>
        </w:rPr>
        <w:t xml:space="preserve"> Not only empathy is not a defect in human decision-making, it serves a positive function. </w:t>
      </w:r>
      <w:r w:rsidR="00C67E9D">
        <w:rPr>
          <w:color w:val="000000" w:themeColor="text1"/>
          <w:shd w:val="clear" w:color="auto" w:fill="FFFFFF"/>
        </w:rPr>
        <w:t>This</w:t>
      </w:r>
      <w:r w:rsidR="002D6C9B" w:rsidRPr="00D845F9">
        <w:rPr>
          <w:color w:val="000000" w:themeColor="text1"/>
          <w:shd w:val="clear" w:color="auto" w:fill="FFFFFF"/>
        </w:rPr>
        <w:t xml:space="preserve"> is, indeed, required by the paramount function of concepts such as </w:t>
      </w:r>
      <w:r w:rsidR="002D6C9B" w:rsidRPr="00D845F9">
        <w:rPr>
          <w:color w:val="000000" w:themeColor="text1"/>
        </w:rPr>
        <w:t>reasonableness and balancing tests.</w:t>
      </w:r>
      <w:r w:rsidR="002D6C9B" w:rsidRPr="00D845F9">
        <w:rPr>
          <w:rStyle w:val="FootnoteReference"/>
          <w:color w:val="000000" w:themeColor="text1"/>
        </w:rPr>
        <w:footnoteReference w:id="91"/>
      </w:r>
      <w:r w:rsidR="002D6C9B" w:rsidRPr="00D845F9">
        <w:rPr>
          <w:color w:val="000000" w:themeColor="text1"/>
        </w:rPr>
        <w:t xml:space="preserve"> </w:t>
      </w:r>
      <w:r w:rsidR="002D6C9B" w:rsidRPr="00D845F9">
        <w:rPr>
          <w:color w:val="000000" w:themeColor="text1"/>
          <w:shd w:val="clear" w:color="auto" w:fill="FFFFFF"/>
        </w:rPr>
        <w:t>More generally, it can be argued that</w:t>
      </w:r>
      <w:r w:rsidR="00697545" w:rsidRPr="00D845F9">
        <w:rPr>
          <w:color w:val="000000" w:themeColor="text1"/>
          <w:shd w:val="clear" w:color="auto" w:fill="FFFFFF"/>
        </w:rPr>
        <w:t xml:space="preserve"> e</w:t>
      </w:r>
      <w:r w:rsidRPr="00D845F9">
        <w:rPr>
          <w:color w:val="000000" w:themeColor="text1"/>
          <w:shd w:val="clear" w:color="auto" w:fill="FFFFFF"/>
        </w:rPr>
        <w:t>mpathy is the way justice (as opposed to law) enters the decision</w:t>
      </w:r>
      <w:r w:rsidR="00C62713" w:rsidRPr="00D845F9">
        <w:rPr>
          <w:color w:val="000000" w:themeColor="text1"/>
          <w:shd w:val="clear" w:color="auto" w:fill="FFFFFF"/>
        </w:rPr>
        <w:t xml:space="preserve">. When Cicero wrote that </w:t>
      </w:r>
      <w:r w:rsidR="00C62713" w:rsidRPr="00D845F9">
        <w:rPr>
          <w:i/>
          <w:color w:val="000000" w:themeColor="text1"/>
          <w:shd w:val="clear" w:color="auto" w:fill="FFFFFF"/>
        </w:rPr>
        <w:t>“summum ius summa iniuria</w:t>
      </w:r>
      <w:r w:rsidR="00525EAC" w:rsidRPr="00D845F9">
        <w:rPr>
          <w:i/>
          <w:color w:val="000000" w:themeColor="text1"/>
          <w:shd w:val="clear" w:color="auto" w:fill="FFFFFF"/>
        </w:rPr>
        <w:t>.</w:t>
      </w:r>
      <w:r w:rsidR="00C62713" w:rsidRPr="00D845F9">
        <w:rPr>
          <w:i/>
          <w:color w:val="000000" w:themeColor="text1"/>
          <w:shd w:val="clear" w:color="auto" w:fill="FFFFFF"/>
        </w:rPr>
        <w:t>”</w:t>
      </w:r>
      <w:r w:rsidR="00C62713" w:rsidRPr="00D845F9">
        <w:rPr>
          <w:rStyle w:val="FootnoteReference"/>
          <w:color w:val="000000" w:themeColor="text1"/>
          <w:shd w:val="clear" w:color="auto" w:fill="FFFFFF"/>
        </w:rPr>
        <w:footnoteReference w:id="92"/>
      </w:r>
      <w:r w:rsidR="00770D80" w:rsidRPr="00D845F9">
        <w:rPr>
          <w:color w:val="000000" w:themeColor="text1"/>
          <w:shd w:val="clear" w:color="auto" w:fill="FFFFFF"/>
        </w:rPr>
        <w:t xml:space="preserve"> he</w:t>
      </w:r>
      <w:r w:rsidR="00C62713" w:rsidRPr="00D845F9">
        <w:rPr>
          <w:i/>
          <w:color w:val="000000" w:themeColor="text1"/>
          <w:shd w:val="clear" w:color="auto" w:fill="FFFFFF"/>
        </w:rPr>
        <w:t xml:space="preserve"> </w:t>
      </w:r>
      <w:r w:rsidR="00C62713" w:rsidRPr="00D845F9">
        <w:rPr>
          <w:color w:val="000000" w:themeColor="text1"/>
          <w:shd w:val="clear" w:color="auto" w:fill="FFFFFF"/>
        </w:rPr>
        <w:t xml:space="preserve">meant that the </w:t>
      </w:r>
      <w:r w:rsidR="00697545" w:rsidRPr="00D845F9">
        <w:rPr>
          <w:color w:val="000000" w:themeColor="text1"/>
          <w:shd w:val="clear" w:color="auto" w:fill="FFFFFF"/>
        </w:rPr>
        <w:t>mechanical</w:t>
      </w:r>
      <w:r w:rsidR="00C62713" w:rsidRPr="00D845F9">
        <w:rPr>
          <w:color w:val="000000" w:themeColor="text1"/>
          <w:shd w:val="clear" w:color="auto" w:fill="FFFFFF"/>
        </w:rPr>
        <w:t xml:space="preserve"> application of the law leads to unjust results. Empathy tempers legalistic excesses and algorithms are not capable of it. </w:t>
      </w:r>
    </w:p>
    <w:p w14:paraId="40F0F168" w14:textId="26EEB6D4" w:rsidR="00A96F6A" w:rsidRPr="00D845F9" w:rsidRDefault="007659F9" w:rsidP="00D845F9">
      <w:pPr>
        <w:pStyle w:val="ListParagraph"/>
        <w:contextualSpacing w:val="0"/>
        <w:jc w:val="both"/>
        <w:rPr>
          <w:color w:val="000000" w:themeColor="text1"/>
          <w:shd w:val="clear" w:color="auto" w:fill="FFFFFF"/>
        </w:rPr>
      </w:pPr>
      <w:r w:rsidRPr="00D845F9">
        <w:rPr>
          <w:color w:val="000000" w:themeColor="text1"/>
          <w:shd w:val="clear" w:color="auto" w:fill="FFFFFF"/>
        </w:rPr>
        <w:t xml:space="preserve"> </w:t>
      </w:r>
      <w:r w:rsidR="00697545" w:rsidRPr="00D845F9">
        <w:rPr>
          <w:color w:val="000000" w:themeColor="text1"/>
          <w:shd w:val="clear" w:color="auto" w:fill="FFFFFF"/>
        </w:rPr>
        <w:t xml:space="preserve">Lastly, one need to choose between democracy and technocracy. In a democratic context, laws are the product of a debate between politicians. This debate is </w:t>
      </w:r>
      <w:r w:rsidR="004874B2" w:rsidRPr="00D845F9">
        <w:rPr>
          <w:color w:val="000000" w:themeColor="text1"/>
          <w:shd w:val="clear" w:color="auto" w:fill="FFFFFF"/>
        </w:rPr>
        <w:t>public,</w:t>
      </w:r>
      <w:r w:rsidR="00697545" w:rsidRPr="00D845F9">
        <w:rPr>
          <w:color w:val="000000" w:themeColor="text1"/>
          <w:shd w:val="clear" w:color="auto" w:fill="FFFFFF"/>
        </w:rPr>
        <w:t xml:space="preserve"> and the politicians are democratically elected and accountable both politically and legally. </w:t>
      </w:r>
      <w:r w:rsidR="00BF71B2" w:rsidRPr="00D845F9">
        <w:rPr>
          <w:color w:val="000000" w:themeColor="text1"/>
          <w:shd w:val="clear" w:color="auto" w:fill="FFFFFF"/>
        </w:rPr>
        <w:t xml:space="preserve">Human judges are either democratically elected or receive a specific legal training. Conversely, algorithmic law (as in Lessig’s </w:t>
      </w:r>
      <w:r w:rsidR="00770D80" w:rsidRPr="00D845F9">
        <w:rPr>
          <w:color w:val="000000" w:themeColor="text1"/>
          <w:shd w:val="clear" w:color="auto" w:fill="FFFFFF"/>
        </w:rPr>
        <w:t>“</w:t>
      </w:r>
      <w:r w:rsidR="00BF71B2" w:rsidRPr="00D845F9">
        <w:rPr>
          <w:color w:val="000000" w:themeColor="text1"/>
          <w:shd w:val="clear" w:color="auto" w:fill="FFFFFF"/>
        </w:rPr>
        <w:t>code is law</w:t>
      </w:r>
      <w:r w:rsidR="00770D80" w:rsidRPr="00D845F9">
        <w:rPr>
          <w:color w:val="000000" w:themeColor="text1"/>
          <w:shd w:val="clear" w:color="auto" w:fill="FFFFFF"/>
        </w:rPr>
        <w:t>”</w:t>
      </w:r>
      <w:r w:rsidR="00BF71B2" w:rsidRPr="00D845F9">
        <w:rPr>
          <w:rStyle w:val="FootnoteReference"/>
          <w:color w:val="000000" w:themeColor="text1"/>
          <w:shd w:val="clear" w:color="auto" w:fill="FFFFFF"/>
        </w:rPr>
        <w:footnoteReference w:id="93"/>
      </w:r>
      <w:r w:rsidR="00BF71B2" w:rsidRPr="00D845F9">
        <w:rPr>
          <w:color w:val="000000" w:themeColor="text1"/>
          <w:shd w:val="clear" w:color="auto" w:fill="FFFFFF"/>
        </w:rPr>
        <w:t>) is more problematic. Indeed, “</w:t>
      </w:r>
      <w:r w:rsidR="00A96F6A" w:rsidRPr="00D845F9">
        <w:rPr>
          <w:color w:val="000000" w:themeColor="text1"/>
          <w:shd w:val="clear" w:color="auto" w:fill="FFFFFF"/>
        </w:rPr>
        <w:t>software development, even open source, is opaque, and concentrated in a small programming community, many of whom are in the pay of a few oligopolistic corporations directly accountable to no external party</w:t>
      </w:r>
      <w:r w:rsidR="00BF71B2" w:rsidRPr="00D845F9">
        <w:rPr>
          <w:color w:val="000000" w:themeColor="text1"/>
          <w:shd w:val="clear" w:color="auto" w:fill="FFFFFF"/>
        </w:rPr>
        <w:t>.”</w:t>
      </w:r>
      <w:r w:rsidR="00BF71B2" w:rsidRPr="00D845F9">
        <w:rPr>
          <w:rStyle w:val="FootnoteReference"/>
          <w:color w:val="000000" w:themeColor="text1"/>
          <w:shd w:val="clear" w:color="auto" w:fill="FFFFFF"/>
        </w:rPr>
        <w:footnoteReference w:id="94"/>
      </w:r>
      <w:r w:rsidR="00770D80" w:rsidRPr="00D845F9">
        <w:rPr>
          <w:color w:val="000000" w:themeColor="text1"/>
          <w:shd w:val="clear" w:color="auto" w:fill="FFFFFF"/>
        </w:rPr>
        <w:t xml:space="preserve"> Algorithms could be suitable to apply algorithmic </w:t>
      </w:r>
      <w:r w:rsidR="004874B2" w:rsidRPr="00D845F9">
        <w:rPr>
          <w:color w:val="000000" w:themeColor="text1"/>
          <w:shd w:val="clear" w:color="auto" w:fill="FFFFFF"/>
        </w:rPr>
        <w:t>laws but</w:t>
      </w:r>
      <w:r w:rsidR="00770D80" w:rsidRPr="00D845F9">
        <w:rPr>
          <w:color w:val="000000" w:themeColor="text1"/>
          <w:shd w:val="clear" w:color="auto" w:fill="FFFFFF"/>
        </w:rPr>
        <w:t xml:space="preserve"> given the said characteristics it is to be hoped that their role and scope remains limited.</w:t>
      </w:r>
    </w:p>
    <w:p w14:paraId="0CB18699" w14:textId="08059EEE" w:rsidR="00D25A81" w:rsidRPr="00D845F9" w:rsidRDefault="00324D74" w:rsidP="00D845F9">
      <w:pPr>
        <w:pStyle w:val="ListParagraph"/>
        <w:contextualSpacing w:val="0"/>
        <w:jc w:val="both"/>
        <w:rPr>
          <w:color w:val="000000" w:themeColor="text1"/>
        </w:rPr>
      </w:pPr>
      <w:r w:rsidRPr="00D845F9">
        <w:rPr>
          <w:color w:val="000000" w:themeColor="text1"/>
          <w:shd w:val="clear" w:color="auto" w:fill="FFFFFF"/>
        </w:rPr>
        <w:t xml:space="preserve">For the reasons above, the replacement of algorithms to human beings seems both unfeasible and undesirable. </w:t>
      </w:r>
    </w:p>
    <w:p w14:paraId="13EF8B52" w14:textId="77777777" w:rsidR="000A433F" w:rsidRPr="00D845F9" w:rsidRDefault="000A433F" w:rsidP="00D845F9">
      <w:pPr>
        <w:pStyle w:val="ListParagraph"/>
        <w:contextualSpacing w:val="0"/>
        <w:jc w:val="both"/>
        <w:rPr>
          <w:color w:val="000000" w:themeColor="text1"/>
        </w:rPr>
      </w:pPr>
    </w:p>
    <w:p w14:paraId="02F76585" w14:textId="4D9FB39B" w:rsidR="00E07258" w:rsidRPr="004672E2" w:rsidRDefault="006D6CCF" w:rsidP="004672E2">
      <w:pPr>
        <w:pStyle w:val="NormalWeb"/>
        <w:numPr>
          <w:ilvl w:val="0"/>
          <w:numId w:val="15"/>
        </w:numPr>
        <w:rPr>
          <w:rFonts w:ascii="TitilliumMaps29L" w:hAnsi="TitilliumMaps29L"/>
          <w:sz w:val="28"/>
          <w:szCs w:val="28"/>
        </w:rPr>
      </w:pPr>
      <w:r w:rsidRPr="004672E2">
        <w:rPr>
          <w:rFonts w:ascii="TitilliumMaps29L" w:hAnsi="TitilliumMaps29L"/>
          <w:sz w:val="28"/>
          <w:szCs w:val="28"/>
        </w:rPr>
        <w:t>Intellectual property</w:t>
      </w:r>
      <w:r w:rsidR="00297D03" w:rsidRPr="004672E2">
        <w:rPr>
          <w:rFonts w:ascii="TitilliumMaps29L" w:hAnsi="TitilliumMaps29L"/>
          <w:sz w:val="28"/>
          <w:szCs w:val="28"/>
        </w:rPr>
        <w:t xml:space="preserve"> rights</w:t>
      </w:r>
      <w:r w:rsidRPr="004672E2">
        <w:rPr>
          <w:rFonts w:ascii="TitilliumMaps29L" w:hAnsi="TitilliumMaps29L"/>
          <w:sz w:val="28"/>
          <w:szCs w:val="28"/>
        </w:rPr>
        <w:t>: more a problem, than a solution.</w:t>
      </w:r>
    </w:p>
    <w:p w14:paraId="67FE3E7C" w14:textId="77777777" w:rsidR="007E446A" w:rsidRPr="00D845F9" w:rsidRDefault="007E446A" w:rsidP="00D845F9">
      <w:pPr>
        <w:pStyle w:val="ListParagraph"/>
        <w:ind w:left="1440"/>
        <w:contextualSpacing w:val="0"/>
        <w:jc w:val="both"/>
        <w:rPr>
          <w:b/>
          <w:color w:val="000000" w:themeColor="text1"/>
        </w:rPr>
      </w:pPr>
    </w:p>
    <w:p w14:paraId="491117A6" w14:textId="77E4F82F" w:rsidR="006D6CCF" w:rsidRPr="00D845F9" w:rsidRDefault="006D6CCF" w:rsidP="00D845F9">
      <w:pPr>
        <w:pStyle w:val="ListParagraph"/>
        <w:contextualSpacing w:val="0"/>
        <w:jc w:val="both"/>
        <w:rPr>
          <w:color w:val="000000" w:themeColor="text1"/>
        </w:rPr>
      </w:pPr>
      <w:r w:rsidRPr="00D845F9">
        <w:rPr>
          <w:color w:val="000000" w:themeColor="text1"/>
        </w:rPr>
        <w:t xml:space="preserve">Even though there are good reasons to believe that algorithms cannot and should not replace human decision-makers, it is becoming obvious that </w:t>
      </w:r>
      <w:r w:rsidR="00297D03" w:rsidRPr="00D845F9">
        <w:rPr>
          <w:color w:val="000000" w:themeColor="text1"/>
        </w:rPr>
        <w:t>the</w:t>
      </w:r>
      <w:r w:rsidR="00713EE1" w:rsidRPr="00D845F9">
        <w:rPr>
          <w:color w:val="000000" w:themeColor="text1"/>
        </w:rPr>
        <w:t xml:space="preserve"> </w:t>
      </w:r>
      <w:r w:rsidRPr="00D845F9">
        <w:rPr>
          <w:color w:val="000000" w:themeColor="text1"/>
        </w:rPr>
        <w:t xml:space="preserve">replacement is already </w:t>
      </w:r>
      <w:r w:rsidR="00297D03" w:rsidRPr="00D845F9">
        <w:rPr>
          <w:color w:val="000000" w:themeColor="text1"/>
        </w:rPr>
        <w:t>being attempted</w:t>
      </w:r>
      <w:r w:rsidRPr="00D845F9">
        <w:rPr>
          <w:color w:val="000000" w:themeColor="text1"/>
        </w:rPr>
        <w:t>, regardless</w:t>
      </w:r>
      <w:r w:rsidR="0045242C" w:rsidRPr="00D845F9">
        <w:rPr>
          <w:color w:val="000000" w:themeColor="text1"/>
        </w:rPr>
        <w:t xml:space="preserve"> of</w:t>
      </w:r>
      <w:r w:rsidRPr="00D845F9">
        <w:rPr>
          <w:color w:val="000000" w:themeColor="text1"/>
        </w:rPr>
        <w:t xml:space="preserve"> </w:t>
      </w:r>
      <w:r w:rsidR="00A96F6A" w:rsidRPr="00D845F9">
        <w:rPr>
          <w:color w:val="000000" w:themeColor="text1"/>
        </w:rPr>
        <w:t xml:space="preserve">the relevant pitfalls. Therefore, a lawyer should be able to provide a sufficiently clear answer to a client subject of an algorithmic decision. </w:t>
      </w:r>
    </w:p>
    <w:p w14:paraId="55CE02E9" w14:textId="2F2A5131" w:rsidR="00E07258" w:rsidRPr="007515A2" w:rsidRDefault="00E07258" w:rsidP="007515A2">
      <w:pPr>
        <w:pStyle w:val="ListParagraph"/>
        <w:contextualSpacing w:val="0"/>
        <w:jc w:val="both"/>
        <w:rPr>
          <w:rFonts w:eastAsiaTheme="minorEastAsia"/>
          <w:sz w:val="23"/>
          <w:szCs w:val="23"/>
          <w:lang w:eastAsia="en-US"/>
        </w:rPr>
      </w:pPr>
      <w:r w:rsidRPr="00D845F9">
        <w:rPr>
          <w:color w:val="000000" w:themeColor="text1"/>
        </w:rPr>
        <w:t xml:space="preserve">There are at least three routes that can be taken, should the relevant requirements be met. </w:t>
      </w:r>
      <w:r w:rsidR="003C440E" w:rsidRPr="00D845F9">
        <w:rPr>
          <w:color w:val="000000" w:themeColor="text1"/>
        </w:rPr>
        <w:t>In this section, the focus will be on intellectual property and the releva</w:t>
      </w:r>
      <w:r w:rsidR="006D46F7" w:rsidRPr="00D845F9">
        <w:rPr>
          <w:color w:val="000000" w:themeColor="text1"/>
        </w:rPr>
        <w:t>nt exceptions that may enable</w:t>
      </w:r>
      <w:r w:rsidR="003C440E" w:rsidRPr="00D845F9">
        <w:rPr>
          <w:color w:val="000000" w:themeColor="text1"/>
        </w:rPr>
        <w:t xml:space="preserve"> access </w:t>
      </w:r>
      <w:r w:rsidR="006D46F7" w:rsidRPr="00D845F9">
        <w:rPr>
          <w:color w:val="000000" w:themeColor="text1"/>
        </w:rPr>
        <w:t xml:space="preserve">to </w:t>
      </w:r>
      <w:r w:rsidR="003C440E" w:rsidRPr="00D845F9">
        <w:rPr>
          <w:color w:val="000000" w:themeColor="text1"/>
        </w:rPr>
        <w:t>a computer program implementing an algorithm,</w:t>
      </w:r>
      <w:r w:rsidR="005805C5">
        <w:rPr>
          <w:color w:val="000000" w:themeColor="text1"/>
        </w:rPr>
        <w:t xml:space="preserve"> or the relevant invention,</w:t>
      </w:r>
      <w:r w:rsidR="003C440E" w:rsidRPr="00D845F9">
        <w:rPr>
          <w:color w:val="000000" w:themeColor="text1"/>
        </w:rPr>
        <w:t xml:space="preserve"> notwithstanding its proprietary nature. </w:t>
      </w:r>
      <w:r w:rsidR="007515A2" w:rsidRPr="00F87CF3">
        <w:rPr>
          <w:color w:val="000000" w:themeColor="text1"/>
        </w:rPr>
        <w:t>The features of the analysed exceptions made scholars talk of “the advent of a more active approach to copyright exceptions,”</w:t>
      </w:r>
      <w:r w:rsidR="007515A2">
        <w:rPr>
          <w:rStyle w:val="FootnoteReference"/>
          <w:color w:val="000000" w:themeColor="text1"/>
        </w:rPr>
        <w:footnoteReference w:id="95"/>
      </w:r>
      <w:r w:rsidR="007515A2" w:rsidRPr="00F87CF3">
        <w:rPr>
          <w:color w:val="000000" w:themeColor="text1"/>
        </w:rPr>
        <w:t xml:space="preserve"> which creates quasi-rights, “legal hybrids between exceptions and rights.”</w:t>
      </w:r>
      <w:r w:rsidR="007515A2">
        <w:rPr>
          <w:rStyle w:val="FootnoteReference"/>
          <w:color w:val="000000" w:themeColor="text1"/>
        </w:rPr>
        <w:footnoteReference w:id="96"/>
      </w:r>
      <w:r w:rsidR="007515A2">
        <w:rPr>
          <w:color w:val="000000" w:themeColor="text1"/>
        </w:rPr>
        <w:t xml:space="preserve"> This must be take into account when interpreting the relevant provisions and striking a balance with the restricted acts.</w:t>
      </w:r>
      <w:r w:rsidR="005805C5">
        <w:rPr>
          <w:color w:val="000000" w:themeColor="text1"/>
        </w:rPr>
        <w:t xml:space="preserve"> Equally, defences to patent infringement will dealt with, though there is not enough evidence to claim their nature as quasi-rights.</w:t>
      </w:r>
    </w:p>
    <w:p w14:paraId="14CC04BC" w14:textId="637D657A" w:rsidR="0041035E" w:rsidRPr="00D845F9" w:rsidRDefault="00E07258" w:rsidP="00D845F9">
      <w:pPr>
        <w:pStyle w:val="ListParagraph"/>
        <w:contextualSpacing w:val="0"/>
        <w:jc w:val="both"/>
        <w:rPr>
          <w:color w:val="000000" w:themeColor="text1"/>
          <w:shd w:val="clear" w:color="auto" w:fill="FFFFFF"/>
        </w:rPr>
      </w:pPr>
      <w:r w:rsidRPr="00D845F9">
        <w:rPr>
          <w:color w:val="000000" w:themeColor="text1"/>
        </w:rPr>
        <w:t xml:space="preserve">A major issue is understanding the rationale of algorithmic decisions. This is </w:t>
      </w:r>
      <w:r w:rsidR="00925F91" w:rsidRPr="00D845F9">
        <w:rPr>
          <w:color w:val="000000" w:themeColor="text1"/>
        </w:rPr>
        <w:t>made</w:t>
      </w:r>
      <w:r w:rsidRPr="00D845F9">
        <w:rPr>
          <w:color w:val="000000" w:themeColor="text1"/>
        </w:rPr>
        <w:t xml:space="preserve"> hard by the so-called black boxes.</w:t>
      </w:r>
      <w:r w:rsidR="008068D7" w:rsidRPr="00D845F9">
        <w:rPr>
          <w:color w:val="000000" w:themeColor="text1"/>
        </w:rPr>
        <w:t xml:space="preserve"> </w:t>
      </w:r>
      <w:r w:rsidR="00B51739" w:rsidRPr="00D845F9">
        <w:rPr>
          <w:color w:val="000000" w:themeColor="text1"/>
        </w:rPr>
        <w:t>The organ</w:t>
      </w:r>
      <w:r w:rsidR="004F4403" w:rsidRPr="00D845F9">
        <w:rPr>
          <w:color w:val="000000" w:themeColor="text1"/>
        </w:rPr>
        <w:t>isation</w:t>
      </w:r>
      <w:r w:rsidR="00B51739" w:rsidRPr="00D845F9">
        <w:rPr>
          <w:color w:val="000000" w:themeColor="text1"/>
        </w:rPr>
        <w:t xml:space="preserve">al black box and the technical one have been presented </w:t>
      </w:r>
      <w:r w:rsidR="007515A2" w:rsidRPr="007515A2">
        <w:rPr>
          <w:color w:val="000000" w:themeColor="text1"/>
        </w:rPr>
        <w:t>above</w:t>
      </w:r>
      <w:r w:rsidR="00B51739" w:rsidRPr="00D845F9">
        <w:rPr>
          <w:color w:val="000000" w:themeColor="text1"/>
        </w:rPr>
        <w:t xml:space="preserve">. It remains to </w:t>
      </w:r>
      <w:r w:rsidR="00425FAB" w:rsidRPr="00D845F9">
        <w:rPr>
          <w:color w:val="000000" w:themeColor="text1"/>
        </w:rPr>
        <w:t>analys</w:t>
      </w:r>
      <w:r w:rsidR="00B51739" w:rsidRPr="00D845F9">
        <w:rPr>
          <w:color w:val="000000" w:themeColor="text1"/>
        </w:rPr>
        <w:t xml:space="preserve">e </w:t>
      </w:r>
      <w:r w:rsidR="00501BFD" w:rsidRPr="00D845F9">
        <w:rPr>
          <w:color w:val="000000" w:themeColor="text1"/>
        </w:rPr>
        <w:t xml:space="preserve">the legal black box. </w:t>
      </w:r>
      <w:r w:rsidR="006D46F7" w:rsidRPr="00D845F9">
        <w:rPr>
          <w:color w:val="000000" w:themeColor="text1"/>
        </w:rPr>
        <w:t>This</w:t>
      </w:r>
      <w:r w:rsidR="00501BFD" w:rsidRPr="00D845F9">
        <w:rPr>
          <w:color w:val="000000" w:themeColor="text1"/>
        </w:rPr>
        <w:t xml:space="preserve"> depends primarily on the (ab)use of intellectual property rights (</w:t>
      </w:r>
      <w:r w:rsidR="0041035E" w:rsidRPr="00D845F9">
        <w:rPr>
          <w:color w:val="000000" w:themeColor="text1"/>
        </w:rPr>
        <w:t>trade secrets</w:t>
      </w:r>
      <w:r w:rsidR="00501BFD" w:rsidRPr="00D845F9">
        <w:rPr>
          <w:color w:val="000000" w:themeColor="text1"/>
        </w:rPr>
        <w:t>,</w:t>
      </w:r>
      <w:r w:rsidR="0041035E" w:rsidRPr="00D845F9">
        <w:rPr>
          <w:color w:val="000000" w:themeColor="text1"/>
        </w:rPr>
        <w:t xml:space="preserve"> database rights,</w:t>
      </w:r>
      <w:r w:rsidR="00501BFD" w:rsidRPr="00D845F9">
        <w:rPr>
          <w:color w:val="000000" w:themeColor="text1"/>
        </w:rPr>
        <w:t xml:space="preserve"> etc.) and the kindred rights that companies are collecting on the users’ data, that do not fit easily in the traditional intellectual property categories and are leading to the datafication of the digital economy</w:t>
      </w:r>
      <w:r w:rsidR="00525EAC" w:rsidRPr="00D845F9">
        <w:rPr>
          <w:color w:val="000000" w:themeColor="text1"/>
        </w:rPr>
        <w:t>.</w:t>
      </w:r>
      <w:r w:rsidR="00951FF1" w:rsidRPr="00D845F9">
        <w:rPr>
          <w:color w:val="000000" w:themeColor="text1"/>
        </w:rPr>
        <w:t xml:space="preserve"> Along the same lines, it has been noted that “</w:t>
      </w:r>
      <w:r w:rsidR="00951FF1" w:rsidRPr="00D845F9">
        <w:rPr>
          <w:color w:val="000000" w:themeColor="text1"/>
          <w:shd w:val="clear" w:color="auto" w:fill="FFFFFF"/>
        </w:rPr>
        <w:t>data, originating from users, from devices, sent through the 4G and 5G networks to the client servers and the Cloud are heavily boxed in by intellectual property rights</w:t>
      </w:r>
      <w:r w:rsidR="00525EAC" w:rsidRPr="00D845F9">
        <w:rPr>
          <w:color w:val="000000" w:themeColor="text1"/>
          <w:shd w:val="clear" w:color="auto" w:fill="FFFFFF"/>
        </w:rPr>
        <w:t>.</w:t>
      </w:r>
      <w:r w:rsidR="00951FF1" w:rsidRPr="00D845F9">
        <w:rPr>
          <w:color w:val="000000" w:themeColor="text1"/>
          <w:shd w:val="clear" w:color="auto" w:fill="FFFFFF"/>
        </w:rPr>
        <w:t>”</w:t>
      </w:r>
      <w:r w:rsidR="00951FF1" w:rsidRPr="00D845F9">
        <w:rPr>
          <w:rStyle w:val="FootnoteReference"/>
          <w:color w:val="000000" w:themeColor="text1"/>
          <w:shd w:val="clear" w:color="auto" w:fill="FFFFFF"/>
        </w:rPr>
        <w:footnoteReference w:id="97"/>
      </w:r>
      <w:r w:rsidR="009F6902" w:rsidRPr="00D845F9">
        <w:rPr>
          <w:color w:val="000000" w:themeColor="text1"/>
          <w:shd w:val="clear" w:color="auto" w:fill="FFFFFF"/>
        </w:rPr>
        <w:t xml:space="preserve"> </w:t>
      </w:r>
    </w:p>
    <w:p w14:paraId="0DF06004" w14:textId="3C76D27C" w:rsidR="00BC14B6" w:rsidRDefault="0041035E" w:rsidP="00F87CF3">
      <w:pPr>
        <w:pStyle w:val="ListParagraph"/>
        <w:contextualSpacing w:val="0"/>
        <w:jc w:val="both"/>
        <w:rPr>
          <w:rStyle w:val="legaddition5"/>
          <w:color w:val="000000" w:themeColor="text1"/>
          <w:lang w:val="en"/>
        </w:rPr>
      </w:pPr>
      <w:r w:rsidRPr="00D845F9">
        <w:rPr>
          <w:color w:val="000000" w:themeColor="text1"/>
          <w:shd w:val="clear" w:color="auto" w:fill="FFFFFF"/>
        </w:rPr>
        <w:t>Even though there are many open-</w:t>
      </w:r>
      <w:r w:rsidR="009F6902" w:rsidRPr="00D845F9">
        <w:rPr>
          <w:color w:val="000000" w:themeColor="text1"/>
          <w:shd w:val="clear" w:color="auto" w:fill="FFFFFF"/>
        </w:rPr>
        <w:t xml:space="preserve">source machine </w:t>
      </w:r>
      <w:r w:rsidR="009F6902" w:rsidRPr="00F87CF3">
        <w:rPr>
          <w:color w:val="000000" w:themeColor="text1"/>
        </w:rPr>
        <w:t>learning</w:t>
      </w:r>
      <w:r w:rsidR="009F6902" w:rsidRPr="00D845F9">
        <w:rPr>
          <w:color w:val="000000" w:themeColor="text1"/>
          <w:shd w:val="clear" w:color="auto" w:fill="FFFFFF"/>
        </w:rPr>
        <w:t xml:space="preserve"> frameworks (e.g.</w:t>
      </w:r>
      <w:r w:rsidR="000A7147" w:rsidRPr="00D845F9">
        <w:rPr>
          <w:color w:val="000000" w:themeColor="text1"/>
          <w:shd w:val="clear" w:color="auto" w:fill="FFFFFF"/>
        </w:rPr>
        <w:t xml:space="preserve"> </w:t>
      </w:r>
      <w:r w:rsidR="009F6902" w:rsidRPr="00D845F9">
        <w:rPr>
          <w:color w:val="000000" w:themeColor="text1"/>
          <w:shd w:val="clear" w:color="auto" w:fill="FFFFFF"/>
        </w:rPr>
        <w:t>Apache</w:t>
      </w:r>
      <w:r w:rsidRPr="00D845F9">
        <w:rPr>
          <w:color w:val="000000" w:themeColor="text1"/>
          <w:shd w:val="clear" w:color="auto" w:fill="FFFFFF"/>
        </w:rPr>
        <w:t xml:space="preserve"> Singa, Shogun, and TensorFlow,</w:t>
      </w:r>
      <w:r w:rsidR="009F6902" w:rsidRPr="00D845F9">
        <w:rPr>
          <w:color w:val="000000" w:themeColor="text1"/>
          <w:shd w:val="clear" w:color="auto" w:fill="FFFFFF"/>
        </w:rPr>
        <w:t>), most AI algorithms are proprietary (Google search and Facebook news feed are the classical examples) i.e. covered primarily by trade secrets</w:t>
      </w:r>
      <w:r w:rsidR="001007EA" w:rsidRPr="00D845F9">
        <w:rPr>
          <w:color w:val="000000" w:themeColor="text1"/>
          <w:shd w:val="clear" w:color="auto" w:fill="FFFFFF"/>
        </w:rPr>
        <w:t>,</w:t>
      </w:r>
      <w:r w:rsidR="00643E4B" w:rsidRPr="00D845F9">
        <w:rPr>
          <w:rStyle w:val="FootnoteReference"/>
          <w:color w:val="000000" w:themeColor="text1"/>
          <w:shd w:val="clear" w:color="auto" w:fill="FFFFFF"/>
        </w:rPr>
        <w:footnoteReference w:id="98"/>
      </w:r>
      <w:r w:rsidR="001007EA" w:rsidRPr="00D845F9">
        <w:rPr>
          <w:color w:val="000000" w:themeColor="text1"/>
          <w:shd w:val="clear" w:color="auto" w:fill="FFFFFF"/>
        </w:rPr>
        <w:t xml:space="preserve"> which i</w:t>
      </w:r>
      <w:r w:rsidR="006D46F7" w:rsidRPr="00D845F9">
        <w:rPr>
          <w:color w:val="000000" w:themeColor="text1"/>
          <w:shd w:val="clear" w:color="auto" w:fill="FFFFFF"/>
        </w:rPr>
        <w:t xml:space="preserve">s </w:t>
      </w:r>
      <w:r w:rsidR="001007EA" w:rsidRPr="00D845F9">
        <w:rPr>
          <w:color w:val="000000" w:themeColor="text1"/>
          <w:shd w:val="clear" w:color="auto" w:fill="FFFFFF"/>
        </w:rPr>
        <w:t>the “most common form of protection used by business</w:t>
      </w:r>
      <w:r w:rsidR="00525EAC" w:rsidRPr="00D845F9">
        <w:rPr>
          <w:color w:val="000000" w:themeColor="text1"/>
          <w:shd w:val="clear" w:color="auto" w:fill="FFFFFF"/>
        </w:rPr>
        <w:t>.</w:t>
      </w:r>
      <w:r w:rsidR="001007EA" w:rsidRPr="00D845F9">
        <w:rPr>
          <w:color w:val="000000" w:themeColor="text1"/>
          <w:shd w:val="clear" w:color="auto" w:fill="FFFFFF"/>
        </w:rPr>
        <w:t>”</w:t>
      </w:r>
      <w:r w:rsidR="001007EA" w:rsidRPr="00D845F9">
        <w:rPr>
          <w:rStyle w:val="FootnoteReference"/>
          <w:color w:val="000000" w:themeColor="text1"/>
          <w:shd w:val="clear" w:color="auto" w:fill="FFFFFF"/>
        </w:rPr>
        <w:footnoteReference w:id="99"/>
      </w:r>
      <w:r w:rsidR="009F6902" w:rsidRPr="00D845F9">
        <w:rPr>
          <w:color w:val="000000" w:themeColor="text1"/>
          <w:shd w:val="clear" w:color="auto" w:fill="FFFFFF"/>
        </w:rPr>
        <w:t xml:space="preserve"> </w:t>
      </w:r>
      <w:r w:rsidR="00764862" w:rsidRPr="00D845F9">
        <w:rPr>
          <w:color w:val="000000" w:themeColor="text1"/>
          <w:shd w:val="clear" w:color="auto" w:fill="FFFFFF"/>
        </w:rPr>
        <w:t>Under the new Trade Secrets Directive</w:t>
      </w:r>
      <w:r w:rsidR="00525EAC" w:rsidRPr="00D845F9">
        <w:rPr>
          <w:color w:val="000000" w:themeColor="text1"/>
          <w:shd w:val="clear" w:color="auto" w:fill="FFFFFF"/>
        </w:rPr>
        <w:t>,</w:t>
      </w:r>
      <w:r w:rsidR="00764862" w:rsidRPr="00D845F9">
        <w:rPr>
          <w:rStyle w:val="FootnoteReference"/>
          <w:color w:val="000000" w:themeColor="text1"/>
          <w:shd w:val="clear" w:color="auto" w:fill="FFFFFF"/>
        </w:rPr>
        <w:footnoteReference w:id="100"/>
      </w:r>
      <w:r w:rsidR="00764862" w:rsidRPr="00D845F9">
        <w:rPr>
          <w:color w:val="000000" w:themeColor="text1"/>
          <w:shd w:val="clear" w:color="auto" w:fill="FFFFFF"/>
        </w:rPr>
        <w:t xml:space="preserve"> algorithms can be </w:t>
      </w:r>
      <w:r w:rsidR="00F87CF3">
        <w:rPr>
          <w:color w:val="000000" w:themeColor="text1"/>
          <w:shd w:val="clear" w:color="auto" w:fill="FFFFFF"/>
        </w:rPr>
        <w:t xml:space="preserve">covered by </w:t>
      </w:r>
      <w:r w:rsidR="00764862" w:rsidRPr="00D845F9">
        <w:rPr>
          <w:color w:val="000000" w:themeColor="text1"/>
          <w:shd w:val="clear" w:color="auto" w:fill="FFFFFF"/>
        </w:rPr>
        <w:t>trade secrets because they are not generally known or easily accessible and they have commercial value</w:t>
      </w:r>
      <w:r w:rsidR="006D46F7" w:rsidRPr="00D845F9">
        <w:rPr>
          <w:color w:val="000000" w:themeColor="text1"/>
          <w:shd w:val="clear" w:color="auto" w:fill="FFFFFF"/>
        </w:rPr>
        <w:t>.</w:t>
      </w:r>
      <w:r w:rsidR="000A7147" w:rsidRPr="00D845F9">
        <w:rPr>
          <w:rStyle w:val="FootnoteReference"/>
          <w:color w:val="000000" w:themeColor="text1"/>
          <w:shd w:val="clear" w:color="auto" w:fill="FFFFFF"/>
        </w:rPr>
        <w:footnoteReference w:id="101"/>
      </w:r>
      <w:r w:rsidR="00764862" w:rsidRPr="00D845F9">
        <w:rPr>
          <w:color w:val="000000" w:themeColor="text1"/>
          <w:shd w:val="clear" w:color="auto" w:fill="FFFFFF"/>
        </w:rPr>
        <w:t xml:space="preserve"> This </w:t>
      </w:r>
      <w:r w:rsidR="006D46F7" w:rsidRPr="00D845F9">
        <w:rPr>
          <w:color w:val="000000" w:themeColor="text1"/>
          <w:shd w:val="clear" w:color="auto" w:fill="FFFFFF"/>
        </w:rPr>
        <w:t>is true as long as</w:t>
      </w:r>
      <w:r w:rsidR="00764862" w:rsidRPr="00D845F9">
        <w:rPr>
          <w:color w:val="000000" w:themeColor="text1"/>
          <w:shd w:val="clear" w:color="auto" w:fill="FFFFFF"/>
        </w:rPr>
        <w:t xml:space="preserve"> the person who has control of the algorithm takes steps to keep it secret</w:t>
      </w:r>
      <w:r w:rsidR="00525EAC" w:rsidRPr="00D845F9">
        <w:rPr>
          <w:color w:val="000000" w:themeColor="text1"/>
          <w:shd w:val="clear" w:color="auto" w:fill="FFFFFF"/>
        </w:rPr>
        <w:t>.</w:t>
      </w:r>
      <w:r w:rsidR="000A7147" w:rsidRPr="00D845F9">
        <w:rPr>
          <w:rStyle w:val="FootnoteReference"/>
          <w:color w:val="000000" w:themeColor="text1"/>
          <w:shd w:val="clear" w:color="auto" w:fill="FFFFFF"/>
        </w:rPr>
        <w:footnoteReference w:id="102"/>
      </w:r>
      <w:r w:rsidR="000A7147" w:rsidRPr="00D845F9">
        <w:rPr>
          <w:color w:val="000000" w:themeColor="text1"/>
          <w:shd w:val="clear" w:color="auto" w:fill="FFFFFF"/>
        </w:rPr>
        <w:t xml:space="preserve"> The general rule is that the un</w:t>
      </w:r>
      <w:r w:rsidR="002C5C3F" w:rsidRPr="00D845F9">
        <w:rPr>
          <w:color w:val="000000" w:themeColor="text1"/>
          <w:shd w:val="clear" w:color="auto" w:fill="FFFFFF"/>
        </w:rPr>
        <w:t>authoris</w:t>
      </w:r>
      <w:r w:rsidR="000A7147" w:rsidRPr="00D845F9">
        <w:rPr>
          <w:color w:val="000000" w:themeColor="text1"/>
          <w:shd w:val="clear" w:color="auto" w:fill="FFFFFF"/>
        </w:rPr>
        <w:t>ed acquisition, use, or disclosure of algorithms covered by trade secrets is unlawful</w:t>
      </w:r>
      <w:r w:rsidR="00525EAC" w:rsidRPr="00D845F9">
        <w:rPr>
          <w:color w:val="000000" w:themeColor="text1"/>
          <w:shd w:val="clear" w:color="auto" w:fill="FFFFFF"/>
        </w:rPr>
        <w:t>.</w:t>
      </w:r>
      <w:r w:rsidR="000A7147" w:rsidRPr="00D845F9">
        <w:rPr>
          <w:rStyle w:val="FootnoteReference"/>
          <w:color w:val="000000" w:themeColor="text1"/>
          <w:shd w:val="clear" w:color="auto" w:fill="FFFFFF"/>
        </w:rPr>
        <w:footnoteReference w:id="103"/>
      </w:r>
      <w:r w:rsidR="000A7147" w:rsidRPr="00D845F9">
        <w:rPr>
          <w:color w:val="000000" w:themeColor="text1"/>
          <w:shd w:val="clear" w:color="auto" w:fill="FFFFFF"/>
        </w:rPr>
        <w:t xml:space="preserve"> However, the acquisition shall be lawful in a limited number of circumstance, the most relevant of which seems the “observation, study, disassembly or testing of a product or object that has been made available to the public or that is lawfully in the possession of the acquirer of the information who is free from any legally valid duty to limit the acquisition of the trade secret</w:t>
      </w:r>
      <w:r w:rsidR="00525EAC" w:rsidRPr="00D845F9">
        <w:rPr>
          <w:color w:val="000000" w:themeColor="text1"/>
          <w:shd w:val="clear" w:color="auto" w:fill="FFFFFF"/>
        </w:rPr>
        <w:t>.</w:t>
      </w:r>
      <w:r w:rsidR="000A7147" w:rsidRPr="00D845F9">
        <w:rPr>
          <w:color w:val="000000" w:themeColor="text1"/>
          <w:shd w:val="clear" w:color="auto" w:fill="FFFFFF"/>
        </w:rPr>
        <w:t>”</w:t>
      </w:r>
      <w:r w:rsidR="000A7147" w:rsidRPr="00D845F9">
        <w:rPr>
          <w:rStyle w:val="FootnoteReference"/>
          <w:color w:val="000000" w:themeColor="text1"/>
          <w:shd w:val="clear" w:color="auto" w:fill="FFFFFF"/>
        </w:rPr>
        <w:footnoteReference w:id="104"/>
      </w:r>
      <w:r w:rsidR="000A7147" w:rsidRPr="00D845F9">
        <w:rPr>
          <w:color w:val="000000" w:themeColor="text1"/>
          <w:shd w:val="clear" w:color="auto" w:fill="FFFFFF"/>
        </w:rPr>
        <w:t xml:space="preserve"> This seems a reference to one </w:t>
      </w:r>
      <w:r w:rsidR="00F87CF3">
        <w:rPr>
          <w:color w:val="000000" w:themeColor="text1"/>
          <w:shd w:val="clear" w:color="auto" w:fill="FFFFFF"/>
        </w:rPr>
        <w:t>of the</w:t>
      </w:r>
      <w:r w:rsidR="000F5DD7" w:rsidRPr="00D845F9">
        <w:rPr>
          <w:color w:val="000000" w:themeColor="text1"/>
          <w:shd w:val="clear" w:color="auto" w:fill="FFFFFF"/>
        </w:rPr>
        <w:t xml:space="preserve"> permitted uses of computer programs under the Software Directive</w:t>
      </w:r>
      <w:r w:rsidR="00525EAC" w:rsidRPr="00D845F9">
        <w:rPr>
          <w:color w:val="000000" w:themeColor="text1"/>
          <w:shd w:val="clear" w:color="auto" w:fill="FFFFFF"/>
        </w:rPr>
        <w:t>.</w:t>
      </w:r>
      <w:r w:rsidR="000F5DD7" w:rsidRPr="00D845F9">
        <w:rPr>
          <w:rStyle w:val="FootnoteReference"/>
          <w:color w:val="000000" w:themeColor="text1"/>
          <w:shd w:val="clear" w:color="auto" w:fill="FFFFFF"/>
        </w:rPr>
        <w:footnoteReference w:id="105"/>
      </w:r>
      <w:r w:rsidR="000F5DD7" w:rsidRPr="00D845F9">
        <w:rPr>
          <w:color w:val="000000" w:themeColor="text1"/>
          <w:shd w:val="clear" w:color="auto" w:fill="FFFFFF"/>
        </w:rPr>
        <w:t xml:space="preserve"> </w:t>
      </w:r>
      <w:r w:rsidR="00F87CF3">
        <w:rPr>
          <w:color w:val="000000" w:themeColor="text1"/>
          <w:shd w:val="clear" w:color="auto" w:fill="FFFFFF"/>
        </w:rPr>
        <w:t>There is a</w:t>
      </w:r>
      <w:r w:rsidR="000F5DD7" w:rsidRPr="00D845F9">
        <w:rPr>
          <w:color w:val="000000" w:themeColor="text1"/>
          <w:shd w:val="clear" w:color="auto" w:fill="FFFFFF"/>
        </w:rPr>
        <w:t xml:space="preserve"> potential contrast between the two regimes. </w:t>
      </w:r>
      <w:r w:rsidR="00A57FE8" w:rsidRPr="00D845F9">
        <w:rPr>
          <w:color w:val="000000" w:themeColor="text1"/>
          <w:shd w:val="clear" w:color="auto" w:fill="FFFFFF"/>
        </w:rPr>
        <w:t>To say that the acquisition is legal only if “free from any legally valid duty to limit</w:t>
      </w:r>
      <w:r w:rsidRPr="00D845F9">
        <w:rPr>
          <w:color w:val="000000" w:themeColor="text1"/>
          <w:shd w:val="clear" w:color="auto" w:fill="FFFFFF"/>
        </w:rPr>
        <w:t xml:space="preserve"> [it],</w:t>
      </w:r>
      <w:r w:rsidR="00A57FE8" w:rsidRPr="00D845F9">
        <w:rPr>
          <w:color w:val="000000" w:themeColor="text1"/>
          <w:shd w:val="clear" w:color="auto" w:fill="FFFFFF"/>
        </w:rPr>
        <w:t>”</w:t>
      </w:r>
      <w:r w:rsidR="00A57FE8" w:rsidRPr="00D845F9">
        <w:rPr>
          <w:rStyle w:val="FootnoteReference"/>
          <w:color w:val="000000" w:themeColor="text1"/>
          <w:shd w:val="clear" w:color="auto" w:fill="FFFFFF"/>
        </w:rPr>
        <w:footnoteReference w:id="106"/>
      </w:r>
      <w:r w:rsidR="00A57FE8" w:rsidRPr="00D845F9">
        <w:rPr>
          <w:color w:val="000000" w:themeColor="text1"/>
          <w:shd w:val="clear" w:color="auto" w:fill="FFFFFF"/>
        </w:rPr>
        <w:t xml:space="preserve"> m</w:t>
      </w:r>
      <w:r w:rsidR="00F87CF3">
        <w:rPr>
          <w:color w:val="000000" w:themeColor="text1"/>
          <w:shd w:val="clear" w:color="auto" w:fill="FFFFFF"/>
        </w:rPr>
        <w:t>ay be construed as meaning</w:t>
      </w:r>
      <w:r w:rsidR="00A57FE8" w:rsidRPr="00D845F9">
        <w:rPr>
          <w:color w:val="000000" w:themeColor="text1"/>
          <w:shd w:val="clear" w:color="auto" w:fill="FFFFFF"/>
        </w:rPr>
        <w:t xml:space="preserve"> that if the owner of the algorithm contractually restricts the said exception, then no observation, study, disassembling or testing of the algorithm would be allowed. However, under the Software Directive, there is a right to “observe, study or test the functioning of the program in order to determine the ideas and principles which underlie any element of the program</w:t>
      </w:r>
      <w:r w:rsidR="00D50BF5" w:rsidRPr="00D845F9">
        <w:rPr>
          <w:color w:val="000000" w:themeColor="text1"/>
          <w:shd w:val="clear" w:color="auto" w:fill="FFFFFF"/>
        </w:rPr>
        <w:t>.</w:t>
      </w:r>
      <w:r w:rsidR="00A57FE8" w:rsidRPr="00D845F9">
        <w:rPr>
          <w:color w:val="000000" w:themeColor="text1"/>
          <w:shd w:val="clear" w:color="auto" w:fill="FFFFFF"/>
        </w:rPr>
        <w:t>”</w:t>
      </w:r>
      <w:r w:rsidR="00A57FE8" w:rsidRPr="00D845F9">
        <w:rPr>
          <w:rStyle w:val="FootnoteReference"/>
          <w:color w:val="000000" w:themeColor="text1"/>
          <w:shd w:val="clear" w:color="auto" w:fill="FFFFFF"/>
        </w:rPr>
        <w:footnoteReference w:id="107"/>
      </w:r>
      <w:r w:rsidR="00A57FE8" w:rsidRPr="00D845F9">
        <w:rPr>
          <w:color w:val="000000" w:themeColor="text1"/>
          <w:shd w:val="clear" w:color="auto" w:fill="FFFFFF"/>
        </w:rPr>
        <w:t xml:space="preserve"> </w:t>
      </w:r>
      <w:r w:rsidR="00F87CF3">
        <w:rPr>
          <w:rFonts w:eastAsiaTheme="minorEastAsia"/>
          <w:sz w:val="23"/>
          <w:szCs w:val="23"/>
          <w:lang w:eastAsia="en-US"/>
        </w:rPr>
        <w:t xml:space="preserve">This Directive goes on pointing out that any contractual provisions contrary to said exception “shall be null </w:t>
      </w:r>
      <w:r w:rsidR="00F87CF3" w:rsidRPr="00F87CF3">
        <w:rPr>
          <w:rFonts w:eastAsiaTheme="minorEastAsia"/>
          <w:sz w:val="23"/>
          <w:szCs w:val="23"/>
          <w:lang w:eastAsia="en-US"/>
        </w:rPr>
        <w:t>and void.”</w:t>
      </w:r>
      <w:r w:rsidR="00F87CF3">
        <w:rPr>
          <w:rStyle w:val="FootnoteReference"/>
          <w:rFonts w:eastAsiaTheme="minorEastAsia"/>
          <w:sz w:val="23"/>
          <w:szCs w:val="23"/>
          <w:lang w:eastAsia="en-US"/>
        </w:rPr>
        <w:footnoteReference w:id="108"/>
      </w:r>
      <w:r w:rsidR="00A57FE8" w:rsidRPr="00F87CF3">
        <w:rPr>
          <w:color w:val="000000" w:themeColor="text1"/>
          <w:shd w:val="clear" w:color="auto" w:fill="FFFFFF"/>
        </w:rPr>
        <w:t xml:space="preserve"> In the UK</w:t>
      </w:r>
      <w:r w:rsidR="00D8794E" w:rsidRPr="00F87CF3">
        <w:rPr>
          <w:color w:val="000000" w:themeColor="text1"/>
          <w:shd w:val="clear" w:color="auto" w:fill="FFFFFF"/>
        </w:rPr>
        <w:t>, the Copyright</w:t>
      </w:r>
      <w:r w:rsidR="00A57FE8" w:rsidRPr="00F87CF3">
        <w:rPr>
          <w:color w:val="000000" w:themeColor="text1"/>
          <w:shd w:val="clear" w:color="auto" w:fill="FFFFFF"/>
        </w:rPr>
        <w:t>, Designs</w:t>
      </w:r>
      <w:r w:rsidR="00D8794E" w:rsidRPr="00F87CF3">
        <w:rPr>
          <w:color w:val="000000" w:themeColor="text1"/>
          <w:shd w:val="clear" w:color="auto" w:fill="FFFFFF"/>
        </w:rPr>
        <w:t xml:space="preserve"> and Patents </w:t>
      </w:r>
      <w:r w:rsidR="00A57FE8" w:rsidRPr="00F87CF3">
        <w:rPr>
          <w:color w:val="000000" w:themeColor="text1"/>
          <w:shd w:val="clear" w:color="auto" w:fill="FFFFFF"/>
        </w:rPr>
        <w:t>Act 1988 is clear</w:t>
      </w:r>
      <w:r w:rsidR="00097344" w:rsidRPr="00F87CF3">
        <w:rPr>
          <w:color w:val="000000" w:themeColor="text1"/>
          <w:shd w:val="clear" w:color="auto" w:fill="FFFFFF"/>
        </w:rPr>
        <w:t xml:space="preserve"> where it provides that “</w:t>
      </w:r>
      <w:r w:rsidR="00097344" w:rsidRPr="00F87CF3">
        <w:rPr>
          <w:rStyle w:val="legaddition5"/>
          <w:color w:val="000000" w:themeColor="text1"/>
          <w:lang w:val="en"/>
        </w:rPr>
        <w:t>it is irrelevant whether or not there exists any term or condition in an agreement which purports to prohibit or restrict the act (such terms being […] void)</w:t>
      </w:r>
      <w:r w:rsidR="00D50BF5" w:rsidRPr="00F87CF3">
        <w:rPr>
          <w:rStyle w:val="legaddition5"/>
          <w:color w:val="000000" w:themeColor="text1"/>
          <w:lang w:val="en"/>
        </w:rPr>
        <w:t>.</w:t>
      </w:r>
      <w:r w:rsidR="00097344" w:rsidRPr="00F87CF3">
        <w:rPr>
          <w:rStyle w:val="legaddition5"/>
          <w:color w:val="000000" w:themeColor="text1"/>
          <w:lang w:val="en"/>
        </w:rPr>
        <w:t>”</w:t>
      </w:r>
      <w:r w:rsidR="00097344" w:rsidRPr="00D845F9">
        <w:rPr>
          <w:rStyle w:val="FootnoteReference"/>
          <w:color w:val="000000" w:themeColor="text1"/>
          <w:lang w:val="en"/>
        </w:rPr>
        <w:footnoteReference w:id="109"/>
      </w:r>
      <w:r w:rsidR="00A955A6">
        <w:rPr>
          <w:rStyle w:val="legaddition5"/>
          <w:color w:val="000000" w:themeColor="text1"/>
          <w:lang w:val="en"/>
        </w:rPr>
        <w:t xml:space="preserve"> </w:t>
      </w:r>
      <w:r w:rsidR="00C67E9D">
        <w:rPr>
          <w:rStyle w:val="legaddition5"/>
          <w:color w:val="000000" w:themeColor="text1"/>
          <w:lang w:val="en"/>
        </w:rPr>
        <w:t>The</w:t>
      </w:r>
      <w:r w:rsidR="00A955A6">
        <w:rPr>
          <w:rStyle w:val="legaddition5"/>
          <w:color w:val="000000" w:themeColor="text1"/>
          <w:lang w:val="en"/>
        </w:rPr>
        <w:t xml:space="preserve"> leading case on the matter is </w:t>
      </w:r>
      <w:r w:rsidR="00A955A6">
        <w:rPr>
          <w:rStyle w:val="legaddition5"/>
          <w:i/>
          <w:color w:val="000000" w:themeColor="text1"/>
          <w:lang w:val="en"/>
        </w:rPr>
        <w:t>SAS Institute v World Programming</w:t>
      </w:r>
      <w:r w:rsidR="00A955A6">
        <w:rPr>
          <w:rStyle w:val="legaddition5"/>
          <w:color w:val="000000" w:themeColor="text1"/>
          <w:lang w:val="en"/>
        </w:rPr>
        <w:t>, where it was found that copyright owners cannot restrict the purposes for which the analysed permitt</w:t>
      </w:r>
      <w:r w:rsidR="00BC14B6">
        <w:rPr>
          <w:rStyle w:val="legaddition5"/>
          <w:color w:val="000000" w:themeColor="text1"/>
          <w:lang w:val="en"/>
        </w:rPr>
        <w:t>ed acts are carried out. Additionally,</w:t>
      </w:r>
      <w:r w:rsidR="00A955A6">
        <w:rPr>
          <w:rStyle w:val="legaddition5"/>
          <w:color w:val="000000" w:themeColor="text1"/>
          <w:lang w:val="en"/>
        </w:rPr>
        <w:t xml:space="preserve"> even though only lawful users can avail themselves of the</w:t>
      </w:r>
      <w:r w:rsidR="00A955A6" w:rsidRPr="00C67E9D">
        <w:rPr>
          <w:rStyle w:val="legaddition5"/>
          <w:color w:val="000000" w:themeColor="text1"/>
        </w:rPr>
        <w:t xml:space="preserve"> defence</w:t>
      </w:r>
      <w:r w:rsidR="00A955A6">
        <w:rPr>
          <w:rStyle w:val="legaddition5"/>
          <w:color w:val="000000" w:themeColor="text1"/>
          <w:lang w:val="en"/>
        </w:rPr>
        <w:t xml:space="preserve">, these are not </w:t>
      </w:r>
      <w:r w:rsidR="00BC14B6">
        <w:rPr>
          <w:rStyle w:val="legaddition5"/>
          <w:color w:val="000000" w:themeColor="text1"/>
          <w:lang w:val="en"/>
        </w:rPr>
        <w:t>limited to</w:t>
      </w:r>
      <w:r w:rsidR="00A955A6">
        <w:rPr>
          <w:rStyle w:val="legaddition5"/>
          <w:color w:val="000000" w:themeColor="text1"/>
          <w:lang w:val="en"/>
        </w:rPr>
        <w:t xml:space="preserve"> those who click through the licence.</w:t>
      </w:r>
      <w:r w:rsidR="00A955A6">
        <w:rPr>
          <w:rStyle w:val="FootnoteReference"/>
          <w:color w:val="000000" w:themeColor="text1"/>
          <w:lang w:val="en"/>
        </w:rPr>
        <w:footnoteReference w:id="110"/>
      </w:r>
    </w:p>
    <w:p w14:paraId="17F64A4D" w14:textId="1372C413" w:rsidR="00097344" w:rsidRPr="00F87CF3" w:rsidRDefault="00097344" w:rsidP="00F87CF3">
      <w:pPr>
        <w:pStyle w:val="ListParagraph"/>
        <w:contextualSpacing w:val="0"/>
        <w:jc w:val="both"/>
        <w:rPr>
          <w:rFonts w:eastAsiaTheme="minorEastAsia"/>
          <w:sz w:val="23"/>
          <w:szCs w:val="23"/>
          <w:lang w:eastAsia="en-US"/>
        </w:rPr>
      </w:pPr>
      <w:r w:rsidRPr="00F87CF3">
        <w:rPr>
          <w:color w:val="000000" w:themeColor="text1"/>
          <w:shd w:val="clear" w:color="auto" w:fill="FFFFFF"/>
        </w:rPr>
        <w:t xml:space="preserve">Arguably, even when the national implementation measure </w:t>
      </w:r>
      <w:r w:rsidR="000723F0" w:rsidRPr="00F87CF3">
        <w:rPr>
          <w:color w:val="000000" w:themeColor="text1"/>
          <w:shd w:val="clear" w:color="auto" w:fill="FFFFFF"/>
        </w:rPr>
        <w:t>makes no provision</w:t>
      </w:r>
      <w:r w:rsidRPr="00F87CF3">
        <w:rPr>
          <w:color w:val="000000" w:themeColor="text1"/>
          <w:shd w:val="clear" w:color="auto" w:fill="FFFFFF"/>
        </w:rPr>
        <w:t xml:space="preserve"> as to enforceability of </w:t>
      </w:r>
      <w:r w:rsidR="003F4CE9" w:rsidRPr="00F87CF3">
        <w:rPr>
          <w:color w:val="000000" w:themeColor="text1"/>
          <w:shd w:val="clear" w:color="auto" w:fill="FFFFFF"/>
        </w:rPr>
        <w:t>restrictive</w:t>
      </w:r>
      <w:r w:rsidRPr="00F87CF3">
        <w:rPr>
          <w:color w:val="000000" w:themeColor="text1"/>
          <w:shd w:val="clear" w:color="auto" w:fill="FFFFFF"/>
        </w:rPr>
        <w:t xml:space="preserve"> contractual </w:t>
      </w:r>
      <w:r w:rsidR="006D46F7" w:rsidRPr="00F87CF3">
        <w:rPr>
          <w:color w:val="000000" w:themeColor="text1"/>
          <w:shd w:val="clear" w:color="auto" w:fill="FFFFFF"/>
        </w:rPr>
        <w:t>terms</w:t>
      </w:r>
      <w:r w:rsidRPr="00F87CF3">
        <w:rPr>
          <w:color w:val="000000" w:themeColor="text1"/>
          <w:shd w:val="clear" w:color="auto" w:fill="FFFFFF"/>
        </w:rPr>
        <w:t xml:space="preserve">, it </w:t>
      </w:r>
      <w:r w:rsidR="00B9647C" w:rsidRPr="00F87CF3">
        <w:rPr>
          <w:color w:val="000000" w:themeColor="text1"/>
          <w:shd w:val="clear" w:color="auto" w:fill="FFFFFF"/>
        </w:rPr>
        <w:t>is believed</w:t>
      </w:r>
      <w:r w:rsidRPr="00F87CF3">
        <w:rPr>
          <w:color w:val="000000" w:themeColor="text1"/>
          <w:shd w:val="clear" w:color="auto" w:fill="FFFFFF"/>
        </w:rPr>
        <w:t xml:space="preserve"> that the</w:t>
      </w:r>
      <w:r w:rsidR="003F4CE9" w:rsidRPr="00F87CF3">
        <w:rPr>
          <w:color w:val="000000" w:themeColor="text1"/>
          <w:shd w:val="clear" w:color="auto" w:fill="FFFFFF"/>
        </w:rPr>
        <w:t xml:space="preserve"> interpretation that best complies with the EU law prevents the contracts restricting the analysed exceptions. It co</w:t>
      </w:r>
      <w:r w:rsidR="008523FD" w:rsidRPr="00F87CF3">
        <w:rPr>
          <w:color w:val="000000" w:themeColor="text1"/>
          <w:shd w:val="clear" w:color="auto" w:fill="FFFFFF"/>
        </w:rPr>
        <w:t>uld be objected that this interpretation would be in breach of the Trade Secrets Directive. However, arguably,</w:t>
      </w:r>
      <w:r w:rsidR="003F4CE9" w:rsidRPr="00F87CF3">
        <w:rPr>
          <w:color w:val="000000" w:themeColor="text1"/>
          <w:shd w:val="clear" w:color="auto" w:fill="FFFFFF"/>
        </w:rPr>
        <w:t xml:space="preserve"> the</w:t>
      </w:r>
      <w:r w:rsidRPr="00F87CF3">
        <w:rPr>
          <w:color w:val="000000" w:themeColor="text1"/>
          <w:shd w:val="clear" w:color="auto" w:fill="FFFFFF"/>
        </w:rPr>
        <w:t xml:space="preserve"> Software </w:t>
      </w:r>
      <w:r w:rsidR="003F4CE9" w:rsidRPr="00F87CF3">
        <w:rPr>
          <w:color w:val="000000" w:themeColor="text1"/>
          <w:shd w:val="clear" w:color="auto" w:fill="FFFFFF"/>
        </w:rPr>
        <w:t xml:space="preserve">Directive </w:t>
      </w:r>
      <w:r w:rsidRPr="00F87CF3">
        <w:rPr>
          <w:color w:val="000000" w:themeColor="text1"/>
          <w:shd w:val="clear" w:color="auto" w:fill="FFFFFF"/>
        </w:rPr>
        <w:t>shall take precedence o</w:t>
      </w:r>
      <w:r w:rsidR="006D46F7" w:rsidRPr="00F87CF3">
        <w:rPr>
          <w:color w:val="000000" w:themeColor="text1"/>
          <w:shd w:val="clear" w:color="auto" w:fill="FFFFFF"/>
        </w:rPr>
        <w:t>ver</w:t>
      </w:r>
      <w:r w:rsidRPr="00F87CF3">
        <w:rPr>
          <w:color w:val="000000" w:themeColor="text1"/>
          <w:shd w:val="clear" w:color="auto" w:fill="FFFFFF"/>
        </w:rPr>
        <w:t xml:space="preserve"> the Trade Secret Directive, becau</w:t>
      </w:r>
      <w:r w:rsidR="00604CF6" w:rsidRPr="00F87CF3">
        <w:rPr>
          <w:color w:val="000000" w:themeColor="text1"/>
          <w:shd w:val="clear" w:color="auto" w:fill="FFFFFF"/>
        </w:rPr>
        <w:t xml:space="preserve">se the former’s provision is a </w:t>
      </w:r>
      <w:r w:rsidRPr="00F87CF3">
        <w:rPr>
          <w:i/>
          <w:color w:val="000000" w:themeColor="text1"/>
          <w:shd w:val="clear" w:color="auto" w:fill="FFFFFF"/>
        </w:rPr>
        <w:t>lex specialis</w:t>
      </w:r>
      <w:r w:rsidR="008523FD" w:rsidRPr="00F87CF3">
        <w:rPr>
          <w:i/>
          <w:color w:val="000000" w:themeColor="text1"/>
          <w:shd w:val="clear" w:color="auto" w:fill="FFFFFF"/>
        </w:rPr>
        <w:t>.</w:t>
      </w:r>
      <w:r w:rsidRPr="00D845F9">
        <w:rPr>
          <w:rStyle w:val="FootnoteReference"/>
          <w:color w:val="000000" w:themeColor="text1"/>
          <w:shd w:val="clear" w:color="auto" w:fill="FFFFFF"/>
        </w:rPr>
        <w:footnoteReference w:id="111"/>
      </w:r>
      <w:r w:rsidR="00BC4F85" w:rsidRPr="00F87CF3">
        <w:rPr>
          <w:color w:val="000000" w:themeColor="text1"/>
          <w:shd w:val="clear" w:color="auto" w:fill="FFFFFF"/>
        </w:rPr>
        <w:t xml:space="preserve"> </w:t>
      </w:r>
      <w:r w:rsidR="008523FD" w:rsidRPr="00F87CF3">
        <w:rPr>
          <w:color w:val="000000" w:themeColor="text1"/>
          <w:shd w:val="clear" w:color="auto" w:fill="FFFFFF"/>
        </w:rPr>
        <w:t>Notably,</w:t>
      </w:r>
      <w:r w:rsidR="00BC4F85" w:rsidRPr="00F87CF3">
        <w:rPr>
          <w:color w:val="000000" w:themeColor="text1"/>
          <w:shd w:val="clear" w:color="auto" w:fill="FFFFFF"/>
        </w:rPr>
        <w:t xml:space="preserve"> </w:t>
      </w:r>
      <w:r w:rsidR="0016026E" w:rsidRPr="00F87CF3">
        <w:rPr>
          <w:color w:val="000000" w:themeColor="text1"/>
          <w:shd w:val="clear" w:color="auto" w:fill="FFFFFF"/>
        </w:rPr>
        <w:t>the Software Directive</w:t>
      </w:r>
      <w:r w:rsidR="00BC4F85" w:rsidRPr="00F87CF3">
        <w:rPr>
          <w:color w:val="000000" w:themeColor="text1"/>
          <w:shd w:val="clear" w:color="auto" w:fill="FFFFFF"/>
        </w:rPr>
        <w:t xml:space="preserve"> provides that “any contractual provisions contrary to the provisions of this Directive laid down in respect of decompilation or to the exceptions […] should be null and void</w:t>
      </w:r>
      <w:r w:rsidR="00D50BF5" w:rsidRPr="00F87CF3">
        <w:rPr>
          <w:color w:val="000000" w:themeColor="text1"/>
          <w:shd w:val="clear" w:color="auto" w:fill="FFFFFF"/>
        </w:rPr>
        <w:t>.</w:t>
      </w:r>
      <w:r w:rsidR="00BC4F85" w:rsidRPr="00F87CF3">
        <w:rPr>
          <w:color w:val="000000" w:themeColor="text1"/>
          <w:shd w:val="clear" w:color="auto" w:fill="FFFFFF"/>
        </w:rPr>
        <w:t>”</w:t>
      </w:r>
      <w:r w:rsidR="00BC4F85" w:rsidRPr="00D845F9">
        <w:rPr>
          <w:rStyle w:val="FootnoteReference"/>
          <w:color w:val="000000" w:themeColor="text1"/>
          <w:shd w:val="clear" w:color="auto" w:fill="FFFFFF"/>
        </w:rPr>
        <w:footnoteReference w:id="112"/>
      </w:r>
      <w:r w:rsidR="00BC4F85" w:rsidRPr="00F87CF3">
        <w:rPr>
          <w:color w:val="000000" w:themeColor="text1"/>
          <w:shd w:val="clear" w:color="auto" w:fill="FFFFFF"/>
        </w:rPr>
        <w:t xml:space="preserve"> </w:t>
      </w:r>
      <w:r w:rsidR="0016026E" w:rsidRPr="00F87CF3">
        <w:rPr>
          <w:color w:val="000000" w:themeColor="text1"/>
          <w:shd w:val="clear" w:color="auto" w:fill="FFFFFF"/>
        </w:rPr>
        <w:t xml:space="preserve">Moreover, the Trade Secrets Directive itself </w:t>
      </w:r>
      <w:r w:rsidR="007925E4" w:rsidRPr="00F87CF3">
        <w:rPr>
          <w:color w:val="000000" w:themeColor="text1"/>
          <w:shd w:val="clear" w:color="auto" w:fill="FFFFFF"/>
        </w:rPr>
        <w:t>recogn</w:t>
      </w:r>
      <w:r w:rsidR="00255DC4" w:rsidRPr="00F87CF3">
        <w:rPr>
          <w:color w:val="000000" w:themeColor="text1"/>
          <w:shd w:val="clear" w:color="auto" w:fill="FFFFFF"/>
        </w:rPr>
        <w:t>ises</w:t>
      </w:r>
      <w:r w:rsidR="0016026E" w:rsidRPr="00F87CF3">
        <w:rPr>
          <w:color w:val="000000" w:themeColor="text1"/>
          <w:shd w:val="clear" w:color="auto" w:fill="FFFFFF"/>
        </w:rPr>
        <w:t xml:space="preserve"> the legality of the acquisition, use or disclosure of trade secrets for purposes of freedom of expression and information</w:t>
      </w:r>
      <w:r w:rsidR="00D50BF5" w:rsidRPr="00F87CF3">
        <w:rPr>
          <w:color w:val="000000" w:themeColor="text1"/>
          <w:shd w:val="clear" w:color="auto" w:fill="FFFFFF"/>
        </w:rPr>
        <w:t>.</w:t>
      </w:r>
      <w:r w:rsidR="0016026E" w:rsidRPr="00D845F9">
        <w:rPr>
          <w:rStyle w:val="FootnoteReference"/>
          <w:color w:val="000000" w:themeColor="text1"/>
          <w:shd w:val="clear" w:color="auto" w:fill="FFFFFF"/>
        </w:rPr>
        <w:footnoteReference w:id="113"/>
      </w:r>
      <w:r w:rsidR="0016026E" w:rsidRPr="00F87CF3">
        <w:rPr>
          <w:color w:val="000000" w:themeColor="text1"/>
          <w:shd w:val="clear" w:color="auto" w:fill="FFFFFF"/>
        </w:rPr>
        <w:t xml:space="preserve"> </w:t>
      </w:r>
      <w:r w:rsidR="006F690B" w:rsidRPr="00F87CF3">
        <w:rPr>
          <w:color w:val="000000" w:themeColor="text1"/>
          <w:shd w:val="clear" w:color="auto" w:fill="FFFFFF"/>
        </w:rPr>
        <w:t>Arguably, t</w:t>
      </w:r>
      <w:r w:rsidR="006D46F7" w:rsidRPr="00F87CF3">
        <w:rPr>
          <w:color w:val="000000" w:themeColor="text1"/>
          <w:shd w:val="clear" w:color="auto" w:fill="FFFFFF"/>
        </w:rPr>
        <w:t>here is not an actual</w:t>
      </w:r>
      <w:r w:rsidR="00BC4F85" w:rsidRPr="00F87CF3">
        <w:rPr>
          <w:color w:val="000000" w:themeColor="text1"/>
          <w:shd w:val="clear" w:color="auto" w:fill="FFFFFF"/>
        </w:rPr>
        <w:t xml:space="preserve"> </w:t>
      </w:r>
      <w:r w:rsidR="006D46F7" w:rsidRPr="00F87CF3">
        <w:rPr>
          <w:color w:val="000000" w:themeColor="text1"/>
          <w:shd w:val="clear" w:color="auto" w:fill="FFFFFF"/>
        </w:rPr>
        <w:t>conflict here.</w:t>
      </w:r>
      <w:r w:rsidR="0041035E" w:rsidRPr="00F87CF3">
        <w:rPr>
          <w:color w:val="000000" w:themeColor="text1"/>
          <w:shd w:val="clear" w:color="auto" w:fill="FFFFFF"/>
        </w:rPr>
        <w:t xml:space="preserve"> </w:t>
      </w:r>
      <w:r w:rsidRPr="00F87CF3">
        <w:rPr>
          <w:color w:val="000000" w:themeColor="text1"/>
          <w:shd w:val="clear" w:color="auto" w:fill="FFFFFF"/>
        </w:rPr>
        <w:t xml:space="preserve">To make an example, let us imagine </w:t>
      </w:r>
      <w:r w:rsidR="00B9647C" w:rsidRPr="00F87CF3">
        <w:rPr>
          <w:color w:val="000000" w:themeColor="text1"/>
          <w:shd w:val="clear" w:color="auto" w:fill="FFFFFF"/>
        </w:rPr>
        <w:t>one</w:t>
      </w:r>
      <w:r w:rsidRPr="00F87CF3">
        <w:rPr>
          <w:color w:val="000000" w:themeColor="text1"/>
          <w:shd w:val="clear" w:color="auto" w:fill="FFFFFF"/>
        </w:rPr>
        <w:t xml:space="preserve"> buy</w:t>
      </w:r>
      <w:r w:rsidR="00B9647C" w:rsidRPr="00F87CF3">
        <w:rPr>
          <w:color w:val="000000" w:themeColor="text1"/>
          <w:shd w:val="clear" w:color="auto" w:fill="FFFFFF"/>
        </w:rPr>
        <w:t xml:space="preserve">s </w:t>
      </w:r>
      <w:r w:rsidRPr="00F87CF3">
        <w:rPr>
          <w:color w:val="000000" w:themeColor="text1"/>
          <w:shd w:val="clear" w:color="auto" w:fill="FFFFFF"/>
        </w:rPr>
        <w:t xml:space="preserve">Amazon Echo. Under one of the several contracts that </w:t>
      </w:r>
      <w:r w:rsidR="00B9647C" w:rsidRPr="00F87CF3">
        <w:rPr>
          <w:color w:val="000000" w:themeColor="text1"/>
          <w:shd w:val="clear" w:color="auto" w:fill="FFFFFF"/>
        </w:rPr>
        <w:t>one has</w:t>
      </w:r>
      <w:r w:rsidRPr="00F87CF3">
        <w:rPr>
          <w:color w:val="000000" w:themeColor="text1"/>
          <w:shd w:val="clear" w:color="auto" w:fill="FFFFFF"/>
        </w:rPr>
        <w:t xml:space="preserve"> to accept, </w:t>
      </w:r>
      <w:r w:rsidR="00B9647C" w:rsidRPr="00F87CF3">
        <w:rPr>
          <w:color w:val="000000" w:themeColor="text1"/>
          <w:shd w:val="clear" w:color="auto" w:fill="FFFFFF"/>
        </w:rPr>
        <w:t>one agrees that</w:t>
      </w:r>
      <w:r w:rsidRPr="00F87CF3">
        <w:rPr>
          <w:color w:val="000000" w:themeColor="text1"/>
          <w:shd w:val="clear" w:color="auto" w:fill="FFFFFF"/>
        </w:rPr>
        <w:t xml:space="preserve"> “all Confidential Information will remain [Amazon’s] exclusive property”</w:t>
      </w:r>
      <w:r w:rsidR="00BC4F85" w:rsidRPr="00D845F9">
        <w:rPr>
          <w:rStyle w:val="FootnoteReference"/>
          <w:color w:val="000000" w:themeColor="text1"/>
          <w:shd w:val="clear" w:color="auto" w:fill="FFFFFF"/>
        </w:rPr>
        <w:footnoteReference w:id="114"/>
      </w:r>
      <w:r w:rsidR="00BC4F85" w:rsidRPr="00F87CF3">
        <w:rPr>
          <w:color w:val="000000" w:themeColor="text1"/>
          <w:shd w:val="clear" w:color="auto" w:fill="FFFFFF"/>
        </w:rPr>
        <w:t xml:space="preserve"> and </w:t>
      </w:r>
      <w:r w:rsidR="00B9647C" w:rsidRPr="00F87CF3">
        <w:rPr>
          <w:color w:val="000000" w:themeColor="text1"/>
          <w:shd w:val="clear" w:color="auto" w:fill="FFFFFF"/>
        </w:rPr>
        <w:t>one</w:t>
      </w:r>
      <w:r w:rsidR="00BC4F85" w:rsidRPr="00F87CF3">
        <w:rPr>
          <w:color w:val="000000" w:themeColor="text1"/>
          <w:shd w:val="clear" w:color="auto" w:fill="FFFFFF"/>
        </w:rPr>
        <w:t xml:space="preserve"> may not “reverse engineer, decompile, or disassemble”</w:t>
      </w:r>
      <w:r w:rsidR="00BC4F85" w:rsidRPr="00D845F9">
        <w:rPr>
          <w:rStyle w:val="FootnoteReference"/>
          <w:color w:val="000000" w:themeColor="text1"/>
          <w:shd w:val="clear" w:color="auto" w:fill="FFFFFF"/>
        </w:rPr>
        <w:footnoteReference w:id="115"/>
      </w:r>
      <w:r w:rsidR="00BC4F85" w:rsidRPr="00F87CF3">
        <w:rPr>
          <w:rStyle w:val="apple-converted-space"/>
          <w:color w:val="000000" w:themeColor="text1"/>
          <w:shd w:val="clear" w:color="auto" w:fill="FFFFFF"/>
        </w:rPr>
        <w:t> </w:t>
      </w:r>
      <w:r w:rsidR="00BC4F85" w:rsidRPr="00F87CF3">
        <w:rPr>
          <w:color w:val="000000" w:themeColor="text1"/>
          <w:shd w:val="clear" w:color="auto" w:fill="FFFFFF"/>
        </w:rPr>
        <w:t>Alexa</w:t>
      </w:r>
      <w:r w:rsidR="00BC4F85" w:rsidRPr="00D845F9">
        <w:rPr>
          <w:rStyle w:val="FootnoteReference"/>
          <w:color w:val="000000" w:themeColor="text1"/>
          <w:shd w:val="clear" w:color="auto" w:fill="FFFFFF"/>
        </w:rPr>
        <w:footnoteReference w:id="116"/>
      </w:r>
      <w:r w:rsidR="00BC4F85" w:rsidRPr="00F87CF3">
        <w:rPr>
          <w:color w:val="000000" w:themeColor="text1"/>
          <w:shd w:val="clear" w:color="auto" w:fill="FFFFFF"/>
        </w:rPr>
        <w:t xml:space="preserve"> Service or the Alexa Materials</w:t>
      </w:r>
      <w:r w:rsidR="00D50BF5" w:rsidRPr="00F87CF3">
        <w:rPr>
          <w:color w:val="000000" w:themeColor="text1"/>
          <w:shd w:val="clear" w:color="auto" w:fill="FFFFFF"/>
        </w:rPr>
        <w:t>.</w:t>
      </w:r>
      <w:r w:rsidR="00BC4F85" w:rsidRPr="00D845F9">
        <w:rPr>
          <w:rStyle w:val="FootnoteReference"/>
          <w:color w:val="000000" w:themeColor="text1"/>
          <w:shd w:val="clear" w:color="auto" w:fill="FFFFFF"/>
        </w:rPr>
        <w:footnoteReference w:id="117"/>
      </w:r>
      <w:r w:rsidR="00BC4F85" w:rsidRPr="00F87CF3">
        <w:rPr>
          <w:color w:val="000000" w:themeColor="text1"/>
          <w:shd w:val="clear" w:color="auto" w:fill="FFFFFF"/>
        </w:rPr>
        <w:t xml:space="preserve"> Under the Trade Secrets Directive this section would</w:t>
      </w:r>
      <w:r w:rsidR="006D46F7" w:rsidRPr="00F87CF3">
        <w:rPr>
          <w:color w:val="000000" w:themeColor="text1"/>
          <w:shd w:val="clear" w:color="auto" w:fill="FFFFFF"/>
        </w:rPr>
        <w:t xml:space="preserve"> be</w:t>
      </w:r>
      <w:r w:rsidR="00BC4F85" w:rsidRPr="00F87CF3">
        <w:rPr>
          <w:color w:val="000000" w:themeColor="text1"/>
          <w:shd w:val="clear" w:color="auto" w:fill="FFFFFF"/>
        </w:rPr>
        <w:t xml:space="preserve"> enforceable; however, since the Software Directive will prevail, the section would be unenforceable</w:t>
      </w:r>
      <w:r w:rsidR="00D50BF5" w:rsidRPr="00F87CF3">
        <w:rPr>
          <w:color w:val="000000" w:themeColor="text1"/>
          <w:shd w:val="clear" w:color="auto" w:fill="FFFFFF"/>
        </w:rPr>
        <w:t>.</w:t>
      </w:r>
      <w:r w:rsidR="002D33F5" w:rsidRPr="00D845F9">
        <w:rPr>
          <w:rStyle w:val="FootnoteReference"/>
          <w:color w:val="000000" w:themeColor="text1"/>
          <w:shd w:val="clear" w:color="auto" w:fill="FFFFFF"/>
        </w:rPr>
        <w:footnoteReference w:id="118"/>
      </w:r>
      <w:r w:rsidR="006D46F7" w:rsidRPr="00F87CF3">
        <w:rPr>
          <w:color w:val="000000" w:themeColor="text1"/>
          <w:shd w:val="clear" w:color="auto" w:fill="FFFFFF"/>
        </w:rPr>
        <w:t xml:space="preserve"> Indeed, the conflict is merely ostensible. </w:t>
      </w:r>
    </w:p>
    <w:p w14:paraId="5E8D345A" w14:textId="02ACFFE5" w:rsidR="00EF5C0F" w:rsidRPr="00D845F9" w:rsidRDefault="0041035E" w:rsidP="00D845F9">
      <w:pPr>
        <w:pStyle w:val="ListParagraph"/>
        <w:contextualSpacing w:val="0"/>
        <w:jc w:val="both"/>
        <w:rPr>
          <w:color w:val="000000" w:themeColor="text1"/>
          <w:shd w:val="clear" w:color="auto" w:fill="FFFFFF"/>
        </w:rPr>
      </w:pPr>
      <w:r w:rsidRPr="00D845F9">
        <w:rPr>
          <w:color w:val="000000" w:themeColor="text1"/>
          <w:shd w:val="clear" w:color="auto" w:fill="FFFFFF"/>
        </w:rPr>
        <w:t>I</w:t>
      </w:r>
      <w:r w:rsidR="00EF5C0F" w:rsidRPr="00D845F9">
        <w:rPr>
          <w:color w:val="000000" w:themeColor="text1"/>
          <w:shd w:val="clear" w:color="auto" w:fill="FFFFFF"/>
        </w:rPr>
        <w:t>n the event that trade secrets were deemed to prevail o</w:t>
      </w:r>
      <w:r w:rsidR="006D46F7" w:rsidRPr="00D845F9">
        <w:rPr>
          <w:color w:val="000000" w:themeColor="text1"/>
          <w:shd w:val="clear" w:color="auto" w:fill="FFFFFF"/>
        </w:rPr>
        <w:t>ver t</w:t>
      </w:r>
      <w:r w:rsidR="00EF5C0F" w:rsidRPr="00D845F9">
        <w:rPr>
          <w:color w:val="000000" w:themeColor="text1"/>
          <w:shd w:val="clear" w:color="auto" w:fill="FFFFFF"/>
        </w:rPr>
        <w:t xml:space="preserve">he exceptions provided by the Software Directive, it may be worth it to take account of the relevant </w:t>
      </w:r>
      <w:r w:rsidR="00565BBD">
        <w:rPr>
          <w:color w:val="000000" w:themeColor="text1"/>
          <w:shd w:val="clear" w:color="auto" w:fill="FFFFFF"/>
        </w:rPr>
        <w:t>defenc</w:t>
      </w:r>
      <w:r w:rsidR="007925E4" w:rsidRPr="00D845F9">
        <w:rPr>
          <w:color w:val="000000" w:themeColor="text1"/>
          <w:shd w:val="clear" w:color="auto" w:fill="FFFFFF"/>
        </w:rPr>
        <w:t>es</w:t>
      </w:r>
      <w:r w:rsidR="00EF5C0F" w:rsidRPr="00D845F9">
        <w:rPr>
          <w:color w:val="000000" w:themeColor="text1"/>
          <w:shd w:val="clear" w:color="auto" w:fill="FFFFFF"/>
        </w:rPr>
        <w:t xml:space="preserve">. The most relevant and flexible </w:t>
      </w:r>
      <w:r w:rsidR="00565BBD">
        <w:rPr>
          <w:color w:val="000000" w:themeColor="text1"/>
          <w:shd w:val="clear" w:color="auto" w:fill="FFFFFF"/>
        </w:rPr>
        <w:t>defenc</w:t>
      </w:r>
      <w:r w:rsidR="007925E4" w:rsidRPr="00D845F9">
        <w:rPr>
          <w:color w:val="000000" w:themeColor="text1"/>
          <w:shd w:val="clear" w:color="auto" w:fill="FFFFFF"/>
        </w:rPr>
        <w:t>e</w:t>
      </w:r>
      <w:r w:rsidR="00EF5C0F" w:rsidRPr="00D845F9">
        <w:rPr>
          <w:color w:val="000000" w:themeColor="text1"/>
          <w:shd w:val="clear" w:color="auto" w:fill="FFFFFF"/>
        </w:rPr>
        <w:t xml:space="preserve"> seems the public interest one</w:t>
      </w:r>
      <w:r w:rsidR="00D50BF5" w:rsidRPr="00D845F9">
        <w:rPr>
          <w:color w:val="000000" w:themeColor="text1"/>
          <w:shd w:val="clear" w:color="auto" w:fill="FFFFFF"/>
        </w:rPr>
        <w:t>.</w:t>
      </w:r>
      <w:r w:rsidR="00EF5C0F" w:rsidRPr="00D845F9">
        <w:rPr>
          <w:color w:val="000000" w:themeColor="text1"/>
          <w:shd w:val="clear" w:color="auto" w:fill="FFFFFF"/>
        </w:rPr>
        <w:t xml:space="preserve"> It has been stated that “the right of confidentiality, whether or not founded in contract, is not absolute. That right must give way where it is in the public interest that the confidential information shall be made public</w:t>
      </w:r>
      <w:r w:rsidR="00D50BF5" w:rsidRPr="00D845F9">
        <w:rPr>
          <w:color w:val="000000" w:themeColor="text1"/>
          <w:shd w:val="clear" w:color="auto" w:fill="FFFFFF"/>
        </w:rPr>
        <w:t>.</w:t>
      </w:r>
      <w:r w:rsidR="00EF5C0F" w:rsidRPr="00D845F9">
        <w:rPr>
          <w:color w:val="000000" w:themeColor="text1"/>
          <w:shd w:val="clear" w:color="auto" w:fill="FFFFFF"/>
        </w:rPr>
        <w:t>”</w:t>
      </w:r>
      <w:r w:rsidR="00EF5C0F" w:rsidRPr="00D845F9">
        <w:rPr>
          <w:rStyle w:val="FootnoteReference"/>
          <w:color w:val="000000" w:themeColor="text1"/>
          <w:shd w:val="clear" w:color="auto" w:fill="FFFFFF"/>
        </w:rPr>
        <w:footnoteReference w:id="119"/>
      </w:r>
      <w:r w:rsidR="00EF5C0F" w:rsidRPr="00D845F9">
        <w:rPr>
          <w:color w:val="000000" w:themeColor="text1"/>
          <w:shd w:val="clear" w:color="auto" w:fill="FFFFFF"/>
        </w:rPr>
        <w:t xml:space="preserve"> It </w:t>
      </w:r>
      <w:r w:rsidR="006D46F7" w:rsidRPr="00D845F9">
        <w:rPr>
          <w:color w:val="000000" w:themeColor="text1"/>
          <w:shd w:val="clear" w:color="auto" w:fill="FFFFFF"/>
        </w:rPr>
        <w:t>is noteworthy</w:t>
      </w:r>
      <w:r w:rsidR="00EF5C0F" w:rsidRPr="00D845F9">
        <w:rPr>
          <w:color w:val="000000" w:themeColor="text1"/>
          <w:shd w:val="clear" w:color="auto" w:fill="FFFFFF"/>
        </w:rPr>
        <w:t xml:space="preserve"> </w:t>
      </w:r>
      <w:r w:rsidR="00D8794E" w:rsidRPr="00D845F9">
        <w:rPr>
          <w:color w:val="000000" w:themeColor="text1"/>
          <w:shd w:val="clear" w:color="auto" w:fill="FFFFFF"/>
        </w:rPr>
        <w:t xml:space="preserve">that </w:t>
      </w:r>
      <w:r w:rsidR="00EF5C0F" w:rsidRPr="00D845F9">
        <w:rPr>
          <w:color w:val="000000" w:themeColor="text1"/>
          <w:shd w:val="clear" w:color="auto" w:fill="FFFFFF"/>
        </w:rPr>
        <w:t>the disclosure may be seen as in the public interest if there has been non-compliance with a legal obligation</w:t>
      </w:r>
      <w:r w:rsidR="00D50BF5" w:rsidRPr="00D845F9">
        <w:rPr>
          <w:color w:val="000000" w:themeColor="text1"/>
          <w:shd w:val="clear" w:color="auto" w:fill="FFFFFF"/>
        </w:rPr>
        <w:t>.</w:t>
      </w:r>
      <w:r w:rsidR="00EF5C0F" w:rsidRPr="00D845F9">
        <w:rPr>
          <w:rStyle w:val="FootnoteReference"/>
          <w:color w:val="000000" w:themeColor="text1"/>
          <w:shd w:val="clear" w:color="auto" w:fill="FFFFFF"/>
        </w:rPr>
        <w:footnoteReference w:id="120"/>
      </w:r>
      <w:r w:rsidR="00EF5C0F" w:rsidRPr="00D845F9">
        <w:rPr>
          <w:color w:val="000000" w:themeColor="text1"/>
          <w:shd w:val="clear" w:color="auto" w:fill="FFFFFF"/>
        </w:rPr>
        <w:t xml:space="preserve"> One may argue that the circumvention of the Software Directive</w:t>
      </w:r>
      <w:r w:rsidR="00A25A1D" w:rsidRPr="00D845F9">
        <w:rPr>
          <w:color w:val="000000" w:themeColor="text1"/>
          <w:shd w:val="clear" w:color="auto" w:fill="FFFFFF"/>
        </w:rPr>
        <w:t xml:space="preserve"> consisting in secreting an algorithm in an absolute way</w:t>
      </w:r>
      <w:r w:rsidR="00EF5C0F" w:rsidRPr="00D845F9">
        <w:rPr>
          <w:color w:val="000000" w:themeColor="text1"/>
          <w:shd w:val="clear" w:color="auto" w:fill="FFFFFF"/>
        </w:rPr>
        <w:t xml:space="preserve"> falls within this scenario.</w:t>
      </w:r>
      <w:r w:rsidR="00A25A1D" w:rsidRPr="00D845F9">
        <w:rPr>
          <w:color w:val="000000" w:themeColor="text1"/>
          <w:shd w:val="clear" w:color="auto" w:fill="FFFFFF"/>
        </w:rPr>
        <w:t xml:space="preserve"> However, the defendant in the relevant infringement proceedings </w:t>
      </w:r>
      <w:r w:rsidR="006D46F7" w:rsidRPr="00D845F9">
        <w:rPr>
          <w:color w:val="000000" w:themeColor="text1"/>
          <w:shd w:val="clear" w:color="auto" w:fill="FFFFFF"/>
        </w:rPr>
        <w:t>would need to</w:t>
      </w:r>
      <w:r w:rsidR="00A25A1D" w:rsidRPr="00D845F9">
        <w:rPr>
          <w:color w:val="000000" w:themeColor="text1"/>
          <w:shd w:val="clear" w:color="auto" w:fill="FFFFFF"/>
        </w:rPr>
        <w:t xml:space="preserve"> prove that the disclosure </w:t>
      </w:r>
      <w:r w:rsidR="00D8794E" w:rsidRPr="00D845F9">
        <w:rPr>
          <w:color w:val="000000" w:themeColor="text1"/>
          <w:shd w:val="clear" w:color="auto" w:fill="FFFFFF"/>
        </w:rPr>
        <w:t xml:space="preserve">be </w:t>
      </w:r>
      <w:r w:rsidR="00A25A1D" w:rsidRPr="00D845F9">
        <w:rPr>
          <w:color w:val="000000" w:themeColor="text1"/>
          <w:shd w:val="clear" w:color="auto" w:fill="FFFFFF"/>
        </w:rPr>
        <w:t xml:space="preserve">in the public interest and not merely interesting to the public, which may </w:t>
      </w:r>
      <w:r w:rsidR="00D8794E" w:rsidRPr="00D845F9">
        <w:rPr>
          <w:color w:val="000000" w:themeColor="text1"/>
          <w:shd w:val="clear" w:color="auto" w:fill="FFFFFF"/>
        </w:rPr>
        <w:t xml:space="preserve">be </w:t>
      </w:r>
      <w:r w:rsidR="00A25A1D" w:rsidRPr="00D845F9">
        <w:rPr>
          <w:color w:val="000000" w:themeColor="text1"/>
          <w:shd w:val="clear" w:color="auto" w:fill="FFFFFF"/>
        </w:rPr>
        <w:t>difficult</w:t>
      </w:r>
      <w:r w:rsidR="00D50BF5" w:rsidRPr="00D845F9">
        <w:rPr>
          <w:color w:val="000000" w:themeColor="text1"/>
          <w:shd w:val="clear" w:color="auto" w:fill="FFFFFF"/>
        </w:rPr>
        <w:t>.</w:t>
      </w:r>
      <w:r w:rsidR="00A25A1D" w:rsidRPr="00D845F9">
        <w:rPr>
          <w:rStyle w:val="FootnoteReference"/>
          <w:color w:val="000000" w:themeColor="text1"/>
          <w:shd w:val="clear" w:color="auto" w:fill="FFFFFF"/>
        </w:rPr>
        <w:footnoteReference w:id="121"/>
      </w:r>
      <w:r w:rsidR="00A25A1D" w:rsidRPr="00D845F9">
        <w:rPr>
          <w:color w:val="000000" w:themeColor="text1"/>
          <w:shd w:val="clear" w:color="auto" w:fill="FFFFFF"/>
        </w:rPr>
        <w:t xml:space="preserve"> Unfortunately, the Trade Secrets Directive does not leave much room </w:t>
      </w:r>
      <w:r w:rsidR="00A9641D" w:rsidRPr="00D845F9">
        <w:rPr>
          <w:color w:val="000000" w:themeColor="text1"/>
          <w:shd w:val="clear" w:color="auto" w:fill="FFFFFF"/>
        </w:rPr>
        <w:t xml:space="preserve">for the public interest or </w:t>
      </w:r>
      <w:r w:rsidR="00A25A1D" w:rsidRPr="00D845F9">
        <w:rPr>
          <w:color w:val="000000" w:themeColor="text1"/>
          <w:shd w:val="clear" w:color="auto" w:fill="FFFFFF"/>
        </w:rPr>
        <w:t xml:space="preserve">other </w:t>
      </w:r>
      <w:r w:rsidR="00565BBD">
        <w:rPr>
          <w:color w:val="000000" w:themeColor="text1"/>
          <w:shd w:val="clear" w:color="auto" w:fill="FFFFFF"/>
        </w:rPr>
        <w:t>defenc</w:t>
      </w:r>
      <w:r w:rsidR="007925E4" w:rsidRPr="00D845F9">
        <w:rPr>
          <w:color w:val="000000" w:themeColor="text1"/>
          <w:shd w:val="clear" w:color="auto" w:fill="FFFFFF"/>
        </w:rPr>
        <w:t>es</w:t>
      </w:r>
      <w:r w:rsidR="00A25A1D" w:rsidRPr="00D845F9">
        <w:rPr>
          <w:color w:val="000000" w:themeColor="text1"/>
          <w:shd w:val="clear" w:color="auto" w:fill="FFFFFF"/>
        </w:rPr>
        <w:t xml:space="preserve">. </w:t>
      </w:r>
      <w:r w:rsidR="00935ACC" w:rsidRPr="00D845F9">
        <w:rPr>
          <w:color w:val="000000" w:themeColor="text1"/>
          <w:shd w:val="clear" w:color="auto" w:fill="FFFFFF"/>
        </w:rPr>
        <w:t xml:space="preserve">However, it </w:t>
      </w:r>
      <w:r w:rsidR="007925E4" w:rsidRPr="00D845F9">
        <w:rPr>
          <w:color w:val="000000" w:themeColor="text1"/>
          <w:shd w:val="clear" w:color="auto" w:fill="FFFFFF"/>
        </w:rPr>
        <w:t>recogn</w:t>
      </w:r>
      <w:r w:rsidR="00255DC4" w:rsidRPr="00D845F9">
        <w:rPr>
          <w:color w:val="000000" w:themeColor="text1"/>
          <w:shd w:val="clear" w:color="auto" w:fill="FFFFFF"/>
        </w:rPr>
        <w:t>ises</w:t>
      </w:r>
      <w:r w:rsidR="00935ACC" w:rsidRPr="00D845F9">
        <w:rPr>
          <w:color w:val="000000" w:themeColor="text1"/>
          <w:shd w:val="clear" w:color="auto" w:fill="FFFFFF"/>
        </w:rPr>
        <w:t xml:space="preserve"> that the Directive shall not affect “the application of</w:t>
      </w:r>
      <w:r w:rsidRPr="00D845F9">
        <w:rPr>
          <w:color w:val="000000" w:themeColor="text1"/>
          <w:shd w:val="clear" w:color="auto" w:fill="FFFFFF"/>
        </w:rPr>
        <w:t xml:space="preserve"> [EU]</w:t>
      </w:r>
      <w:r w:rsidR="00935ACC" w:rsidRPr="00D845F9">
        <w:rPr>
          <w:color w:val="000000" w:themeColor="text1"/>
          <w:shd w:val="clear" w:color="auto" w:fill="FFFFFF"/>
        </w:rPr>
        <w:t xml:space="preserve"> or national rules requiring trade secret holders to disclose, for reasons of public interest, information, including trade secrets, to the public or to administrative or judicial authorities for the performance of the duties of those authorities</w:t>
      </w:r>
      <w:r w:rsidR="00D50BF5" w:rsidRPr="00D845F9">
        <w:rPr>
          <w:color w:val="000000" w:themeColor="text1"/>
          <w:shd w:val="clear" w:color="auto" w:fill="FFFFFF"/>
        </w:rPr>
        <w:t>.</w:t>
      </w:r>
      <w:r w:rsidR="00935ACC" w:rsidRPr="00D845F9">
        <w:rPr>
          <w:color w:val="000000" w:themeColor="text1"/>
          <w:shd w:val="clear" w:color="auto" w:fill="FFFFFF"/>
        </w:rPr>
        <w:t>”</w:t>
      </w:r>
      <w:r w:rsidR="00935ACC" w:rsidRPr="00D845F9">
        <w:rPr>
          <w:rStyle w:val="FootnoteReference"/>
          <w:color w:val="000000" w:themeColor="text1"/>
          <w:shd w:val="clear" w:color="auto" w:fill="FFFFFF"/>
        </w:rPr>
        <w:footnoteReference w:id="122"/>
      </w:r>
      <w:r w:rsidR="00935ACC" w:rsidRPr="00D845F9">
        <w:rPr>
          <w:color w:val="000000" w:themeColor="text1"/>
          <w:shd w:val="clear" w:color="auto" w:fill="FFFFFF"/>
        </w:rPr>
        <w:t xml:space="preserve"> Since </w:t>
      </w:r>
      <w:r w:rsidR="001007EA" w:rsidRPr="00D845F9">
        <w:rPr>
          <w:color w:val="000000" w:themeColor="text1"/>
          <w:shd w:val="clear" w:color="auto" w:fill="FFFFFF"/>
        </w:rPr>
        <w:t>the transposition deadline is in</w:t>
      </w:r>
      <w:r w:rsidR="00935ACC" w:rsidRPr="00D845F9">
        <w:rPr>
          <w:color w:val="000000" w:themeColor="text1"/>
          <w:shd w:val="clear" w:color="auto" w:fill="FFFFFF"/>
        </w:rPr>
        <w:t xml:space="preserve"> June 2018, </w:t>
      </w:r>
      <w:r w:rsidR="00B9647C" w:rsidRPr="00D845F9">
        <w:rPr>
          <w:color w:val="000000" w:themeColor="text1"/>
          <w:shd w:val="clear" w:color="auto" w:fill="FFFFFF"/>
        </w:rPr>
        <w:t>one needs to wait and</w:t>
      </w:r>
      <w:r w:rsidR="00935ACC" w:rsidRPr="00D845F9">
        <w:rPr>
          <w:color w:val="000000" w:themeColor="text1"/>
          <w:shd w:val="clear" w:color="auto" w:fill="FFFFFF"/>
        </w:rPr>
        <w:t xml:space="preserve"> see how this provision will be interpreted</w:t>
      </w:r>
      <w:r w:rsidR="00D50BF5" w:rsidRPr="00D845F9">
        <w:rPr>
          <w:color w:val="000000" w:themeColor="text1"/>
          <w:shd w:val="clear" w:color="auto" w:fill="FFFFFF"/>
        </w:rPr>
        <w:t>.</w:t>
      </w:r>
      <w:r w:rsidR="00935ACC" w:rsidRPr="00D845F9">
        <w:rPr>
          <w:rStyle w:val="FootnoteReference"/>
          <w:color w:val="000000" w:themeColor="text1"/>
          <w:shd w:val="clear" w:color="auto" w:fill="FFFFFF"/>
        </w:rPr>
        <w:footnoteReference w:id="123"/>
      </w:r>
      <w:r w:rsidR="00092CB9" w:rsidRPr="00D845F9">
        <w:rPr>
          <w:color w:val="000000" w:themeColor="text1"/>
          <w:shd w:val="clear" w:color="auto" w:fill="FFFFFF"/>
        </w:rPr>
        <w:t xml:space="preserve"> </w:t>
      </w:r>
    </w:p>
    <w:p w14:paraId="32DEF582" w14:textId="2CE3C50C" w:rsidR="004672E2" w:rsidRDefault="00A9641D" w:rsidP="00D845F9">
      <w:pPr>
        <w:pStyle w:val="ListParagraph"/>
        <w:contextualSpacing w:val="0"/>
        <w:jc w:val="both"/>
        <w:rPr>
          <w:color w:val="000000" w:themeColor="text1"/>
          <w:shd w:val="clear" w:color="auto" w:fill="FFFFFF"/>
        </w:rPr>
      </w:pPr>
      <w:r w:rsidRPr="00D845F9">
        <w:rPr>
          <w:color w:val="000000" w:themeColor="text1"/>
          <w:shd w:val="clear" w:color="auto" w:fill="FFFFFF"/>
        </w:rPr>
        <w:t>Additionally</w:t>
      </w:r>
      <w:r w:rsidR="005A0E28" w:rsidRPr="00D845F9">
        <w:rPr>
          <w:color w:val="000000" w:themeColor="text1"/>
          <w:shd w:val="clear" w:color="auto" w:fill="FFFFFF"/>
        </w:rPr>
        <w:t>, one should remember that copyright protection</w:t>
      </w:r>
      <w:r w:rsidR="009F6902" w:rsidRPr="00D845F9">
        <w:rPr>
          <w:color w:val="000000" w:themeColor="text1"/>
          <w:shd w:val="clear" w:color="auto" w:fill="FFFFFF"/>
        </w:rPr>
        <w:t xml:space="preserve"> covers both source code and object code</w:t>
      </w:r>
      <w:r w:rsidR="00774EF7" w:rsidRPr="00D845F9">
        <w:rPr>
          <w:rStyle w:val="FootnoteReference"/>
          <w:color w:val="000000" w:themeColor="text1"/>
          <w:shd w:val="clear" w:color="auto" w:fill="FFFFFF"/>
        </w:rPr>
        <w:footnoteReference w:id="124"/>
      </w:r>
      <w:r w:rsidR="009F6902" w:rsidRPr="00D845F9">
        <w:rPr>
          <w:color w:val="000000" w:themeColor="text1"/>
          <w:shd w:val="clear" w:color="auto" w:fill="FFFFFF"/>
        </w:rPr>
        <w:t xml:space="preserve"> of the computer program implementing the algorithm. However, it leaves out some aspects such as functionalities</w:t>
      </w:r>
      <w:r w:rsidR="00774EF7" w:rsidRPr="00D845F9">
        <w:rPr>
          <w:color w:val="000000" w:themeColor="text1"/>
          <w:shd w:val="clear" w:color="auto" w:fill="FFFFFF"/>
        </w:rPr>
        <w:t>, data file formats,</w:t>
      </w:r>
      <w:r w:rsidR="009F6902" w:rsidRPr="00D845F9">
        <w:rPr>
          <w:color w:val="000000" w:themeColor="text1"/>
          <w:shd w:val="clear" w:color="auto" w:fill="FFFFFF"/>
        </w:rPr>
        <w:t xml:space="preserve"> programming language, </w:t>
      </w:r>
      <w:r w:rsidR="00774EF7" w:rsidRPr="00D845F9">
        <w:rPr>
          <w:color w:val="000000" w:themeColor="text1"/>
          <w:shd w:val="clear" w:color="auto" w:fill="FFFFFF"/>
        </w:rPr>
        <w:t xml:space="preserve">and graphic user interface. They are </w:t>
      </w:r>
      <w:r w:rsidR="009F6902" w:rsidRPr="00D845F9">
        <w:rPr>
          <w:color w:val="000000" w:themeColor="text1"/>
          <w:shd w:val="clear" w:color="auto" w:fill="FFFFFF"/>
        </w:rPr>
        <w:t>treated as “ideas” and therefore not copyrightable due to the idea-expression dichotomy</w:t>
      </w:r>
      <w:r w:rsidR="00D50BF5" w:rsidRPr="00D845F9">
        <w:rPr>
          <w:color w:val="000000" w:themeColor="text1"/>
          <w:shd w:val="clear" w:color="auto" w:fill="FFFFFF"/>
        </w:rPr>
        <w:t>.</w:t>
      </w:r>
      <w:r w:rsidR="009F6902" w:rsidRPr="00D845F9">
        <w:rPr>
          <w:rStyle w:val="FootnoteReference"/>
          <w:color w:val="000000" w:themeColor="text1"/>
          <w:shd w:val="clear" w:color="auto" w:fill="FFFFFF"/>
        </w:rPr>
        <w:footnoteReference w:id="125"/>
      </w:r>
      <w:r w:rsidR="009F6902" w:rsidRPr="00D845F9">
        <w:rPr>
          <w:color w:val="000000" w:themeColor="text1"/>
          <w:shd w:val="clear" w:color="auto" w:fill="FFFFFF"/>
        </w:rPr>
        <w:t xml:space="preserve"> </w:t>
      </w:r>
      <w:r w:rsidR="000B67AF" w:rsidRPr="00D845F9">
        <w:rPr>
          <w:color w:val="000000" w:themeColor="text1"/>
          <w:shd w:val="clear" w:color="auto" w:fill="FFFFFF"/>
        </w:rPr>
        <w:t>The dichotomy is also one of the alleged reasons of the patentability of computer-implemented inventions. It has been noted, indeed</w:t>
      </w:r>
      <w:r w:rsidR="00C67E9D" w:rsidRPr="00D845F9">
        <w:rPr>
          <w:color w:val="000000" w:themeColor="text1"/>
          <w:shd w:val="clear" w:color="auto" w:fill="FFFFFF"/>
        </w:rPr>
        <w:t>,</w:t>
      </w:r>
      <w:r w:rsidR="000B67AF" w:rsidRPr="00D845F9">
        <w:rPr>
          <w:color w:val="000000" w:themeColor="text1"/>
          <w:shd w:val="clear" w:color="auto" w:fill="FFFFFF"/>
        </w:rPr>
        <w:t xml:space="preserve"> “copyright is not a sufficient form of protection where it is the</w:t>
      </w:r>
      <w:r w:rsidR="000B67AF" w:rsidRPr="00D845F9">
        <w:rPr>
          <w:rStyle w:val="apple-converted-space"/>
          <w:color w:val="000000" w:themeColor="text1"/>
          <w:shd w:val="clear" w:color="auto" w:fill="FFFFFF"/>
        </w:rPr>
        <w:t> </w:t>
      </w:r>
      <w:r w:rsidR="000B67AF" w:rsidRPr="00D845F9">
        <w:rPr>
          <w:rStyle w:val="Emphasis"/>
          <w:color w:val="000000" w:themeColor="text1"/>
          <w:shd w:val="clear" w:color="auto" w:fill="FFFFFF"/>
        </w:rPr>
        <w:t>idea</w:t>
      </w:r>
      <w:r w:rsidR="000B67AF" w:rsidRPr="00D845F9">
        <w:rPr>
          <w:rStyle w:val="apple-converted-space"/>
          <w:color w:val="000000" w:themeColor="text1"/>
          <w:shd w:val="clear" w:color="auto" w:fill="FFFFFF"/>
        </w:rPr>
        <w:t> </w:t>
      </w:r>
      <w:r w:rsidR="000B67AF" w:rsidRPr="00D845F9">
        <w:rPr>
          <w:color w:val="000000" w:themeColor="text1"/>
          <w:shd w:val="clear" w:color="auto" w:fill="FFFFFF"/>
        </w:rPr>
        <w:t>behind the program which is its commercially valuable element</w:t>
      </w:r>
      <w:r w:rsidR="00D50BF5" w:rsidRPr="00D845F9">
        <w:rPr>
          <w:color w:val="000000" w:themeColor="text1"/>
          <w:shd w:val="clear" w:color="auto" w:fill="FFFFFF"/>
        </w:rPr>
        <w:t>.</w:t>
      </w:r>
      <w:r w:rsidR="000B67AF" w:rsidRPr="00D845F9">
        <w:rPr>
          <w:color w:val="000000" w:themeColor="text1"/>
          <w:shd w:val="clear" w:color="auto" w:fill="FFFFFF"/>
        </w:rPr>
        <w:t>”</w:t>
      </w:r>
      <w:r w:rsidR="000B67AF" w:rsidRPr="00D845F9">
        <w:rPr>
          <w:rStyle w:val="FootnoteReference"/>
          <w:color w:val="000000" w:themeColor="text1"/>
          <w:shd w:val="clear" w:color="auto" w:fill="FFFFFF"/>
        </w:rPr>
        <w:footnoteReference w:id="126"/>
      </w:r>
      <w:r w:rsidR="000B67AF" w:rsidRPr="00D845F9">
        <w:rPr>
          <w:color w:val="000000" w:themeColor="text1"/>
          <w:shd w:val="clear" w:color="auto" w:fill="FFFFFF"/>
        </w:rPr>
        <w:t xml:space="preserve"> C</w:t>
      </w:r>
      <w:r w:rsidR="00774EF7" w:rsidRPr="00D845F9">
        <w:rPr>
          <w:color w:val="000000" w:themeColor="text1"/>
          <w:shd w:val="clear" w:color="auto" w:fill="FFFFFF"/>
        </w:rPr>
        <w:t>omputer-relate</w:t>
      </w:r>
      <w:r w:rsidR="000B67AF" w:rsidRPr="00D845F9">
        <w:rPr>
          <w:color w:val="000000" w:themeColor="text1"/>
          <w:shd w:val="clear" w:color="auto" w:fill="FFFFFF"/>
        </w:rPr>
        <w:t xml:space="preserve">d inventions are </w:t>
      </w:r>
      <w:r w:rsidR="00774EF7" w:rsidRPr="00D845F9">
        <w:rPr>
          <w:color w:val="000000" w:themeColor="text1"/>
          <w:shd w:val="clear" w:color="auto" w:fill="FFFFFF"/>
        </w:rPr>
        <w:t>growing significantly also in connection to the Internet of Things</w:t>
      </w:r>
      <w:r w:rsidR="00D50BF5" w:rsidRPr="00D845F9">
        <w:rPr>
          <w:color w:val="000000" w:themeColor="text1"/>
          <w:shd w:val="clear" w:color="auto" w:fill="FFFFFF"/>
        </w:rPr>
        <w:t>,</w:t>
      </w:r>
      <w:r w:rsidR="00774EF7" w:rsidRPr="00D845F9">
        <w:rPr>
          <w:rStyle w:val="FootnoteReference"/>
          <w:color w:val="000000" w:themeColor="text1"/>
          <w:shd w:val="clear" w:color="auto" w:fill="FFFFFF"/>
        </w:rPr>
        <w:footnoteReference w:id="127"/>
      </w:r>
      <w:r w:rsidR="00D50BF5" w:rsidRPr="00D845F9">
        <w:rPr>
          <w:color w:val="000000" w:themeColor="text1"/>
          <w:shd w:val="clear" w:color="auto" w:fill="FFFFFF"/>
        </w:rPr>
        <w:t xml:space="preserve"> </w:t>
      </w:r>
      <w:r w:rsidR="000B67AF" w:rsidRPr="00D845F9">
        <w:rPr>
          <w:color w:val="000000" w:themeColor="text1"/>
          <w:shd w:val="clear" w:color="auto" w:fill="FFFFFF"/>
        </w:rPr>
        <w:t xml:space="preserve">despite the fact that </w:t>
      </w:r>
      <w:r w:rsidR="008A22C0" w:rsidRPr="00D845F9">
        <w:rPr>
          <w:color w:val="000000" w:themeColor="text1"/>
          <w:shd w:val="clear" w:color="auto" w:fill="FFFFFF"/>
        </w:rPr>
        <w:t>the relevant patents can stifle</w:t>
      </w:r>
      <w:r w:rsidR="000B67AF" w:rsidRPr="00D845F9">
        <w:rPr>
          <w:color w:val="000000" w:themeColor="text1"/>
          <w:shd w:val="clear" w:color="auto" w:fill="FFFFFF"/>
        </w:rPr>
        <w:t xml:space="preserve"> innovation</w:t>
      </w:r>
      <w:r w:rsidR="00D50BF5" w:rsidRPr="00D845F9">
        <w:rPr>
          <w:color w:val="000000" w:themeColor="text1"/>
          <w:shd w:val="clear" w:color="auto" w:fill="FFFFFF"/>
        </w:rPr>
        <w:t>.</w:t>
      </w:r>
      <w:r w:rsidR="000B67AF" w:rsidRPr="00D845F9">
        <w:rPr>
          <w:rStyle w:val="FootnoteReference"/>
          <w:color w:val="000000" w:themeColor="text1"/>
          <w:shd w:val="clear" w:color="auto" w:fill="FFFFFF"/>
        </w:rPr>
        <w:footnoteReference w:id="128"/>
      </w:r>
      <w:r w:rsidR="00430B6F" w:rsidRPr="00D845F9">
        <w:rPr>
          <w:color w:val="000000" w:themeColor="text1"/>
          <w:shd w:val="clear" w:color="auto" w:fill="FFFFFF"/>
        </w:rPr>
        <w:t xml:space="preserve"> </w:t>
      </w:r>
      <w:r w:rsidR="00BB4FB6" w:rsidRPr="00D845F9">
        <w:rPr>
          <w:color w:val="000000" w:themeColor="text1"/>
          <w:shd w:val="clear" w:color="auto" w:fill="FFFFFF"/>
        </w:rPr>
        <w:t>In</w:t>
      </w:r>
      <w:r w:rsidR="004941EB" w:rsidRPr="00D845F9">
        <w:rPr>
          <w:color w:val="000000" w:themeColor="text1"/>
          <w:shd w:val="clear" w:color="auto" w:fill="FFFFFF"/>
        </w:rPr>
        <w:t xml:space="preserve"> the US,</w:t>
      </w:r>
      <w:r w:rsidR="00D958B9" w:rsidRPr="00D845F9">
        <w:rPr>
          <w:rStyle w:val="FootnoteReference"/>
          <w:color w:val="000000" w:themeColor="text1"/>
          <w:shd w:val="clear" w:color="auto" w:fill="FFFFFF"/>
        </w:rPr>
        <w:footnoteReference w:id="129"/>
      </w:r>
      <w:r w:rsidR="004941EB" w:rsidRPr="00D845F9">
        <w:rPr>
          <w:color w:val="000000" w:themeColor="text1"/>
          <w:shd w:val="clear" w:color="auto" w:fill="FFFFFF"/>
        </w:rPr>
        <w:t xml:space="preserve"> in</w:t>
      </w:r>
      <w:r w:rsidR="00BB4FB6" w:rsidRPr="00D845F9">
        <w:rPr>
          <w:color w:val="000000" w:themeColor="text1"/>
          <w:shd w:val="clear" w:color="auto" w:fill="FFFFFF"/>
        </w:rPr>
        <w:t xml:space="preserve"> September 2017, there were </w:t>
      </w:r>
      <w:r w:rsidR="00BB4FB6" w:rsidRPr="00D845F9">
        <w:rPr>
          <w:bCs/>
          <w:color w:val="000000" w:themeColor="text1"/>
          <w:shd w:val="clear" w:color="auto" w:fill="FFFFFF"/>
        </w:rPr>
        <w:t>481.608 patent specifi</w:t>
      </w:r>
      <w:r w:rsidR="005048CF" w:rsidRPr="00D845F9">
        <w:rPr>
          <w:bCs/>
          <w:color w:val="000000" w:themeColor="text1"/>
          <w:shd w:val="clear" w:color="auto" w:fill="FFFFFF"/>
        </w:rPr>
        <w:t>cations referring to algorithms.</w:t>
      </w:r>
      <w:r w:rsidR="00492335" w:rsidRPr="00D845F9">
        <w:rPr>
          <w:rStyle w:val="FootnoteReference"/>
          <w:bCs/>
          <w:color w:val="000000" w:themeColor="text1"/>
          <w:shd w:val="clear" w:color="auto" w:fill="FFFFFF"/>
        </w:rPr>
        <w:footnoteReference w:id="130"/>
      </w:r>
      <w:r w:rsidR="005048CF" w:rsidRPr="00D845F9">
        <w:rPr>
          <w:bCs/>
          <w:color w:val="000000" w:themeColor="text1"/>
          <w:shd w:val="clear" w:color="auto" w:fill="FFFFFF"/>
        </w:rPr>
        <w:t xml:space="preserve"> More than 67% of the algorithm-related patents (</w:t>
      </w:r>
      <w:r w:rsidR="005048CF" w:rsidRPr="00D845F9">
        <w:rPr>
          <w:color w:val="000000" w:themeColor="text1"/>
          <w:shd w:val="clear" w:color="auto" w:fill="FFFFFF"/>
        </w:rPr>
        <w:t>325.805</w:t>
      </w:r>
      <w:r w:rsidR="005048CF" w:rsidRPr="00D845F9">
        <w:rPr>
          <w:bCs/>
          <w:color w:val="000000" w:themeColor="text1"/>
          <w:shd w:val="clear" w:color="auto" w:fill="FFFFFF"/>
        </w:rPr>
        <w:t>) were issued o</w:t>
      </w:r>
      <w:r w:rsidR="004941EB" w:rsidRPr="00D845F9">
        <w:rPr>
          <w:color w:val="000000" w:themeColor="text1"/>
          <w:shd w:val="clear" w:color="auto" w:fill="FFFFFF"/>
        </w:rPr>
        <w:t>ver the last ten years</w:t>
      </w:r>
      <w:r w:rsidR="00492335" w:rsidRPr="00D845F9">
        <w:rPr>
          <w:color w:val="000000" w:themeColor="text1"/>
          <w:shd w:val="clear" w:color="auto" w:fill="FFFFFF"/>
        </w:rPr>
        <w:t xml:space="preserve"> with a growing trend</w:t>
      </w:r>
      <w:r w:rsidR="00120A69" w:rsidRPr="00D845F9">
        <w:rPr>
          <w:color w:val="000000" w:themeColor="text1"/>
          <w:shd w:val="clear" w:color="auto" w:fill="FFFFFF"/>
        </w:rPr>
        <w:t xml:space="preserve"> reflecting the general increase in patents as</w:t>
      </w:r>
      <w:r w:rsidR="00492335" w:rsidRPr="00D845F9">
        <w:rPr>
          <w:color w:val="000000" w:themeColor="text1"/>
          <w:shd w:val="clear" w:color="auto" w:fill="FFFFFF"/>
        </w:rPr>
        <w:t xml:space="preserve"> show</w:t>
      </w:r>
      <w:r w:rsidR="0031284E" w:rsidRPr="00D845F9">
        <w:rPr>
          <w:color w:val="000000" w:themeColor="text1"/>
          <w:shd w:val="clear" w:color="auto" w:fill="FFFFFF"/>
        </w:rPr>
        <w:t>n</w:t>
      </w:r>
      <w:r w:rsidR="00492335" w:rsidRPr="00D845F9">
        <w:rPr>
          <w:color w:val="000000" w:themeColor="text1"/>
          <w:shd w:val="clear" w:color="auto" w:fill="FFFFFF"/>
        </w:rPr>
        <w:t xml:space="preserve"> by Table 1</w:t>
      </w:r>
      <w:r w:rsidR="00120A69" w:rsidRPr="00D845F9">
        <w:rPr>
          <w:color w:val="000000" w:themeColor="text1"/>
          <w:shd w:val="clear" w:color="auto" w:fill="FFFFFF"/>
        </w:rPr>
        <w:t xml:space="preserve"> and Graph 1</w:t>
      </w:r>
      <w:r w:rsidR="005048CF" w:rsidRPr="00D845F9">
        <w:rPr>
          <w:color w:val="000000" w:themeColor="text1"/>
          <w:shd w:val="clear" w:color="auto" w:fill="FFFFFF"/>
        </w:rPr>
        <w:t>.</w:t>
      </w:r>
      <w:r w:rsidR="0091291C" w:rsidRPr="00D845F9">
        <w:rPr>
          <w:rStyle w:val="FootnoteReference"/>
          <w:color w:val="000000" w:themeColor="text1"/>
          <w:shd w:val="clear" w:color="auto" w:fill="FFFFFF"/>
        </w:rPr>
        <w:footnoteReference w:id="131"/>
      </w:r>
      <w:r w:rsidR="0091291C" w:rsidRPr="00D845F9">
        <w:rPr>
          <w:color w:val="000000" w:themeColor="text1"/>
          <w:shd w:val="clear" w:color="auto" w:fill="FFFFFF"/>
        </w:rPr>
        <w:t xml:space="preserve"> Nearly 13% of all patents granted over the last 12 months </w:t>
      </w:r>
      <w:r w:rsidR="00D958B9" w:rsidRPr="00D845F9">
        <w:rPr>
          <w:color w:val="000000" w:themeColor="text1"/>
          <w:shd w:val="clear" w:color="auto" w:fill="FFFFFF"/>
        </w:rPr>
        <w:t xml:space="preserve">concern </w:t>
      </w:r>
      <w:r w:rsidR="0091291C" w:rsidRPr="00D845F9">
        <w:rPr>
          <w:color w:val="000000" w:themeColor="text1"/>
          <w:shd w:val="clear" w:color="auto" w:fill="FFFFFF"/>
        </w:rPr>
        <w:t>algorithms</w:t>
      </w:r>
      <w:r w:rsidR="00BE37DC" w:rsidRPr="00D845F9">
        <w:rPr>
          <w:color w:val="000000" w:themeColor="text1"/>
          <w:shd w:val="clear" w:color="auto" w:fill="FFFFFF"/>
        </w:rPr>
        <w:t xml:space="preserve"> (ten years ago </w:t>
      </w:r>
      <w:r w:rsidR="00D958B9" w:rsidRPr="00D845F9">
        <w:rPr>
          <w:color w:val="000000" w:themeColor="text1"/>
          <w:shd w:val="clear" w:color="auto" w:fill="FFFFFF"/>
        </w:rPr>
        <w:t>only</w:t>
      </w:r>
      <w:r w:rsidR="00BE37DC" w:rsidRPr="00D845F9">
        <w:rPr>
          <w:color w:val="000000" w:themeColor="text1"/>
          <w:shd w:val="clear" w:color="auto" w:fill="FFFFFF"/>
        </w:rPr>
        <w:t xml:space="preserve"> 9%</w:t>
      </w:r>
      <w:r w:rsidR="00D958B9" w:rsidRPr="00D845F9">
        <w:rPr>
          <w:color w:val="000000" w:themeColor="text1"/>
          <w:shd w:val="clear" w:color="auto" w:fill="FFFFFF"/>
        </w:rPr>
        <w:t xml:space="preserve"> of patents were algorithm-related</w:t>
      </w:r>
      <w:r w:rsidR="00BE37DC" w:rsidRPr="00D845F9">
        <w:rPr>
          <w:color w:val="000000" w:themeColor="text1"/>
          <w:shd w:val="clear" w:color="auto" w:fill="FFFFFF"/>
        </w:rPr>
        <w:t>).</w:t>
      </w:r>
    </w:p>
    <w:p w14:paraId="390B3A6C" w14:textId="77777777" w:rsidR="00CF0BA7" w:rsidRDefault="00CF0BA7" w:rsidP="00D845F9">
      <w:pPr>
        <w:pStyle w:val="ListParagraph"/>
        <w:contextualSpacing w:val="0"/>
        <w:jc w:val="both"/>
        <w:rPr>
          <w:color w:val="000000" w:themeColor="text1"/>
          <w:shd w:val="clear" w:color="auto" w:fill="FFFFFF"/>
        </w:rPr>
        <w:sectPr w:rsidR="00CF0BA7" w:rsidSect="00D845F9">
          <w:type w:val="continuous"/>
          <w:pgSz w:w="11906" w:h="16838"/>
          <w:pgMar w:top="1440" w:right="1080" w:bottom="1440" w:left="1080" w:header="708" w:footer="708" w:gutter="0"/>
          <w:cols w:num="2" w:space="708"/>
          <w:docGrid w:linePitch="360"/>
        </w:sectPr>
      </w:pPr>
    </w:p>
    <w:p w14:paraId="5E2F87C8" w14:textId="77777777" w:rsidR="00492335" w:rsidRPr="00D845F9" w:rsidRDefault="00492335" w:rsidP="00D845F9">
      <w:pPr>
        <w:pStyle w:val="ListParagraph"/>
        <w:contextualSpacing w:val="0"/>
        <w:jc w:val="both"/>
        <w:rPr>
          <w:color w:val="000000" w:themeColor="text1"/>
          <w:shd w:val="clear" w:color="auto" w:fill="FFFFFF"/>
        </w:rPr>
      </w:pPr>
    </w:p>
    <w:p w14:paraId="218F9832" w14:textId="3B08DDBE" w:rsidR="00C3158F" w:rsidRPr="00D845F9" w:rsidRDefault="005048CF" w:rsidP="00D845F9">
      <w:pPr>
        <w:pStyle w:val="ListParagraph"/>
        <w:contextualSpacing w:val="0"/>
        <w:jc w:val="both"/>
        <w:rPr>
          <w:rStyle w:val="Strong"/>
          <w:i/>
          <w:iCs/>
          <w:color w:val="000000" w:themeColor="text1"/>
        </w:rPr>
      </w:pPr>
      <w:r w:rsidRPr="00D845F9">
        <w:rPr>
          <w:rStyle w:val="Strong"/>
          <w:i/>
          <w:iCs/>
          <w:color w:val="000000" w:themeColor="text1"/>
        </w:rPr>
        <w:t xml:space="preserve"> </w:t>
      </w:r>
    </w:p>
    <w:tbl>
      <w:tblPr>
        <w:tblStyle w:val="TableGrid"/>
        <w:tblW w:w="0" w:type="auto"/>
        <w:tblInd w:w="720" w:type="dxa"/>
        <w:tblLook w:val="04A0" w:firstRow="1" w:lastRow="0" w:firstColumn="1" w:lastColumn="0" w:noHBand="0" w:noVBand="1"/>
      </w:tblPr>
      <w:tblGrid>
        <w:gridCol w:w="2226"/>
        <w:gridCol w:w="2225"/>
        <w:gridCol w:w="2265"/>
        <w:gridCol w:w="2300"/>
      </w:tblGrid>
      <w:tr w:rsidR="00D845F9" w:rsidRPr="00D845F9" w14:paraId="08F9D1C2" w14:textId="77777777" w:rsidTr="00492335">
        <w:tc>
          <w:tcPr>
            <w:tcW w:w="2226" w:type="dxa"/>
          </w:tcPr>
          <w:p w14:paraId="5E65F046" w14:textId="1124EB1D" w:rsidR="00C3158F" w:rsidRPr="00D845F9" w:rsidRDefault="00C3158F" w:rsidP="007604EA">
            <w:pPr>
              <w:pStyle w:val="ListParagraph"/>
              <w:spacing w:after="120"/>
              <w:contextualSpacing w:val="0"/>
              <w:rPr>
                <w:color w:val="000000" w:themeColor="text1"/>
                <w:shd w:val="clear" w:color="auto" w:fill="FFFFFF"/>
              </w:rPr>
            </w:pPr>
            <w:r w:rsidRPr="00D845F9">
              <w:rPr>
                <w:color w:val="000000" w:themeColor="text1"/>
                <w:shd w:val="clear" w:color="auto" w:fill="FFFFFF"/>
              </w:rPr>
              <w:t>Period</w:t>
            </w:r>
          </w:p>
        </w:tc>
        <w:tc>
          <w:tcPr>
            <w:tcW w:w="2225" w:type="dxa"/>
          </w:tcPr>
          <w:p w14:paraId="07BFA28C" w14:textId="5AB37F54" w:rsidR="00C3158F" w:rsidRPr="007604EA" w:rsidRDefault="007604EA" w:rsidP="007604EA">
            <w:pPr>
              <w:spacing w:after="120"/>
              <w:rPr>
                <w:color w:val="000000" w:themeColor="text1"/>
                <w:shd w:val="clear" w:color="auto" w:fill="FFFFFF"/>
              </w:rPr>
            </w:pPr>
            <w:r>
              <w:rPr>
                <w:color w:val="000000" w:themeColor="text1"/>
                <w:shd w:val="clear" w:color="auto" w:fill="FFFFFF"/>
              </w:rPr>
              <w:t xml:space="preserve"> </w:t>
            </w:r>
            <w:r w:rsidR="00C3158F" w:rsidRPr="007604EA">
              <w:rPr>
                <w:color w:val="000000" w:themeColor="text1"/>
                <w:shd w:val="clear" w:color="auto" w:fill="FFFFFF"/>
              </w:rPr>
              <w:t>All patents granted</w:t>
            </w:r>
          </w:p>
        </w:tc>
        <w:tc>
          <w:tcPr>
            <w:tcW w:w="2265" w:type="dxa"/>
          </w:tcPr>
          <w:p w14:paraId="5DCB84AA" w14:textId="793B61A9" w:rsidR="00C3158F" w:rsidRPr="007604EA" w:rsidRDefault="007604EA" w:rsidP="007604EA">
            <w:pPr>
              <w:spacing w:after="120"/>
              <w:rPr>
                <w:color w:val="000000" w:themeColor="text1"/>
                <w:shd w:val="clear" w:color="auto" w:fill="FFFFFF"/>
              </w:rPr>
            </w:pPr>
            <w:r>
              <w:rPr>
                <w:color w:val="000000" w:themeColor="text1"/>
                <w:shd w:val="clear" w:color="auto" w:fill="FFFFFF"/>
              </w:rPr>
              <w:t xml:space="preserve">    </w:t>
            </w:r>
            <w:r w:rsidR="00C3158F" w:rsidRPr="007604EA">
              <w:rPr>
                <w:color w:val="000000" w:themeColor="text1"/>
                <w:shd w:val="clear" w:color="auto" w:fill="FFFFFF"/>
              </w:rPr>
              <w:t>Software patents</w:t>
            </w:r>
          </w:p>
        </w:tc>
        <w:tc>
          <w:tcPr>
            <w:tcW w:w="2300" w:type="dxa"/>
          </w:tcPr>
          <w:p w14:paraId="63AD4340" w14:textId="771A1611" w:rsidR="00C3158F" w:rsidRPr="007604EA" w:rsidRDefault="007604EA" w:rsidP="007604EA">
            <w:pPr>
              <w:spacing w:after="120"/>
              <w:rPr>
                <w:color w:val="000000" w:themeColor="text1"/>
                <w:shd w:val="clear" w:color="auto" w:fill="FFFFFF"/>
              </w:rPr>
            </w:pPr>
            <w:r>
              <w:rPr>
                <w:color w:val="000000" w:themeColor="text1"/>
                <w:shd w:val="clear" w:color="auto" w:fill="FFFFFF"/>
              </w:rPr>
              <w:t xml:space="preserve">  </w:t>
            </w:r>
            <w:r w:rsidR="00C3158F" w:rsidRPr="007604EA">
              <w:rPr>
                <w:color w:val="000000" w:themeColor="text1"/>
                <w:shd w:val="clear" w:color="auto" w:fill="FFFFFF"/>
              </w:rPr>
              <w:t>Algorithm patents</w:t>
            </w:r>
          </w:p>
        </w:tc>
      </w:tr>
      <w:tr w:rsidR="00D845F9" w:rsidRPr="00D845F9" w14:paraId="4A41A102" w14:textId="77777777" w:rsidTr="00492335">
        <w:tc>
          <w:tcPr>
            <w:tcW w:w="2226" w:type="dxa"/>
          </w:tcPr>
          <w:p w14:paraId="72F0BB57" w14:textId="6026873A" w:rsidR="00C3158F" w:rsidRPr="00D845F9" w:rsidRDefault="00C3158F" w:rsidP="007604EA">
            <w:pPr>
              <w:pStyle w:val="ListParagraph"/>
              <w:spacing w:after="120"/>
              <w:contextualSpacing w:val="0"/>
              <w:jc w:val="center"/>
              <w:rPr>
                <w:color w:val="000000" w:themeColor="text1"/>
                <w:shd w:val="clear" w:color="auto" w:fill="FFFFFF"/>
              </w:rPr>
            </w:pPr>
            <w:r w:rsidRPr="00D845F9">
              <w:rPr>
                <w:color w:val="000000" w:themeColor="text1"/>
                <w:shd w:val="clear" w:color="auto" w:fill="FFFFFF"/>
              </w:rPr>
              <w:t>2016-2017</w:t>
            </w:r>
            <w:r w:rsidR="00492335" w:rsidRPr="00D845F9">
              <w:rPr>
                <w:rStyle w:val="FootnoteReference"/>
                <w:color w:val="000000" w:themeColor="text1"/>
                <w:shd w:val="clear" w:color="auto" w:fill="FFFFFF"/>
              </w:rPr>
              <w:footnoteReference w:id="132"/>
            </w:r>
          </w:p>
        </w:tc>
        <w:tc>
          <w:tcPr>
            <w:tcW w:w="2225" w:type="dxa"/>
          </w:tcPr>
          <w:p w14:paraId="184FFDD5" w14:textId="4A8C6E0D" w:rsidR="00C3158F" w:rsidRPr="00D845F9" w:rsidRDefault="00E7760C" w:rsidP="007604EA">
            <w:pPr>
              <w:pStyle w:val="ListParagraph"/>
              <w:spacing w:after="120"/>
              <w:ind w:left="0"/>
              <w:contextualSpacing w:val="0"/>
              <w:jc w:val="center"/>
              <w:rPr>
                <w:color w:val="000000" w:themeColor="text1"/>
                <w:shd w:val="clear" w:color="auto" w:fill="FFFFFF"/>
              </w:rPr>
            </w:pPr>
            <w:r w:rsidRPr="00D845F9">
              <w:rPr>
                <w:color w:val="000000" w:themeColor="text1"/>
                <w:shd w:val="clear" w:color="auto" w:fill="FFFFFF"/>
              </w:rPr>
              <w:t>346.543</w:t>
            </w:r>
          </w:p>
        </w:tc>
        <w:tc>
          <w:tcPr>
            <w:tcW w:w="2265" w:type="dxa"/>
          </w:tcPr>
          <w:p w14:paraId="4FC9865B" w14:textId="0866D693" w:rsidR="00C3158F" w:rsidRPr="00D845F9" w:rsidRDefault="00E7760C" w:rsidP="007604EA">
            <w:pPr>
              <w:pStyle w:val="ListParagraph"/>
              <w:spacing w:after="120"/>
              <w:ind w:left="0"/>
              <w:contextualSpacing w:val="0"/>
              <w:jc w:val="center"/>
              <w:rPr>
                <w:color w:val="000000" w:themeColor="text1"/>
                <w:shd w:val="clear" w:color="auto" w:fill="FFFFFF"/>
              </w:rPr>
            </w:pPr>
            <w:r w:rsidRPr="00D845F9">
              <w:rPr>
                <w:color w:val="000000" w:themeColor="text1"/>
                <w:shd w:val="clear" w:color="auto" w:fill="FFFFFF"/>
              </w:rPr>
              <w:t>115.896</w:t>
            </w:r>
          </w:p>
        </w:tc>
        <w:tc>
          <w:tcPr>
            <w:tcW w:w="2300" w:type="dxa"/>
          </w:tcPr>
          <w:p w14:paraId="013430D2" w14:textId="0512A063" w:rsidR="00C3158F" w:rsidRPr="00D845F9" w:rsidRDefault="00C3158F" w:rsidP="007604EA">
            <w:pPr>
              <w:pStyle w:val="ListParagraph"/>
              <w:spacing w:after="120"/>
              <w:ind w:left="0"/>
              <w:contextualSpacing w:val="0"/>
              <w:jc w:val="center"/>
              <w:rPr>
                <w:color w:val="000000" w:themeColor="text1"/>
                <w:shd w:val="clear" w:color="auto" w:fill="FFFFFF"/>
              </w:rPr>
            </w:pPr>
            <w:r w:rsidRPr="00D845F9">
              <w:rPr>
                <w:color w:val="000000" w:themeColor="text1"/>
                <w:shd w:val="clear" w:color="auto" w:fill="FFFFFF"/>
              </w:rPr>
              <w:t>44</w:t>
            </w:r>
            <w:r w:rsidR="00E7760C" w:rsidRPr="00D845F9">
              <w:rPr>
                <w:color w:val="000000" w:themeColor="text1"/>
                <w:shd w:val="clear" w:color="auto" w:fill="FFFFFF"/>
              </w:rPr>
              <w:t>.</w:t>
            </w:r>
            <w:r w:rsidRPr="00D845F9">
              <w:rPr>
                <w:color w:val="000000" w:themeColor="text1"/>
                <w:shd w:val="clear" w:color="auto" w:fill="FFFFFF"/>
              </w:rPr>
              <w:t>110</w:t>
            </w:r>
          </w:p>
        </w:tc>
      </w:tr>
      <w:tr w:rsidR="00D845F9" w:rsidRPr="00D845F9" w14:paraId="324753EF" w14:textId="77777777" w:rsidTr="00492335">
        <w:tc>
          <w:tcPr>
            <w:tcW w:w="2226" w:type="dxa"/>
          </w:tcPr>
          <w:p w14:paraId="54122285" w14:textId="77777777" w:rsidR="00C3158F" w:rsidRPr="00D845F9" w:rsidRDefault="00C3158F" w:rsidP="007604EA">
            <w:pPr>
              <w:pStyle w:val="ListParagraph"/>
              <w:spacing w:after="120"/>
              <w:contextualSpacing w:val="0"/>
              <w:rPr>
                <w:color w:val="000000" w:themeColor="text1"/>
                <w:shd w:val="clear" w:color="auto" w:fill="FFFFFF"/>
              </w:rPr>
            </w:pPr>
            <w:r w:rsidRPr="00D845F9">
              <w:rPr>
                <w:color w:val="000000" w:themeColor="text1"/>
                <w:shd w:val="clear" w:color="auto" w:fill="FFFFFF"/>
              </w:rPr>
              <w:t>2015-2016</w:t>
            </w:r>
          </w:p>
          <w:p w14:paraId="52CAB6D3" w14:textId="77777777" w:rsidR="00C3158F" w:rsidRPr="00D845F9" w:rsidRDefault="00C3158F" w:rsidP="007604EA">
            <w:pPr>
              <w:pStyle w:val="ListParagraph"/>
              <w:spacing w:after="120"/>
              <w:ind w:left="0"/>
              <w:contextualSpacing w:val="0"/>
              <w:jc w:val="center"/>
              <w:rPr>
                <w:color w:val="000000" w:themeColor="text1"/>
                <w:shd w:val="clear" w:color="auto" w:fill="FFFFFF"/>
              </w:rPr>
            </w:pPr>
          </w:p>
        </w:tc>
        <w:tc>
          <w:tcPr>
            <w:tcW w:w="2225" w:type="dxa"/>
          </w:tcPr>
          <w:p w14:paraId="45D48D93" w14:textId="369F9F07" w:rsidR="00C3158F" w:rsidRPr="00D845F9" w:rsidRDefault="00E7760C" w:rsidP="007604EA">
            <w:pPr>
              <w:pStyle w:val="ListParagraph"/>
              <w:spacing w:after="120"/>
              <w:ind w:left="0"/>
              <w:contextualSpacing w:val="0"/>
              <w:jc w:val="center"/>
              <w:rPr>
                <w:color w:val="000000" w:themeColor="text1"/>
                <w:shd w:val="clear" w:color="auto" w:fill="FFFFFF"/>
              </w:rPr>
            </w:pPr>
            <w:r w:rsidRPr="00D845F9">
              <w:rPr>
                <w:color w:val="000000" w:themeColor="text1"/>
                <w:shd w:val="clear" w:color="auto" w:fill="FFFFFF"/>
              </w:rPr>
              <w:t>333.767</w:t>
            </w:r>
          </w:p>
        </w:tc>
        <w:tc>
          <w:tcPr>
            <w:tcW w:w="2265" w:type="dxa"/>
          </w:tcPr>
          <w:p w14:paraId="064820D7" w14:textId="6C427474" w:rsidR="00C3158F" w:rsidRPr="00D845F9" w:rsidRDefault="00E7760C" w:rsidP="007604EA">
            <w:pPr>
              <w:pStyle w:val="ListParagraph"/>
              <w:spacing w:after="120"/>
              <w:ind w:left="0"/>
              <w:contextualSpacing w:val="0"/>
              <w:jc w:val="center"/>
              <w:rPr>
                <w:color w:val="000000" w:themeColor="text1"/>
                <w:shd w:val="clear" w:color="auto" w:fill="FFFFFF"/>
              </w:rPr>
            </w:pPr>
            <w:r w:rsidRPr="00D845F9">
              <w:rPr>
                <w:color w:val="000000" w:themeColor="text1"/>
                <w:shd w:val="clear" w:color="auto" w:fill="FFFFFF"/>
              </w:rPr>
              <w:t>108.305</w:t>
            </w:r>
          </w:p>
        </w:tc>
        <w:tc>
          <w:tcPr>
            <w:tcW w:w="2300" w:type="dxa"/>
          </w:tcPr>
          <w:p w14:paraId="182082D1" w14:textId="662DC605" w:rsidR="00C3158F" w:rsidRPr="00D845F9" w:rsidRDefault="00C3158F" w:rsidP="007604EA">
            <w:pPr>
              <w:pStyle w:val="ListParagraph"/>
              <w:spacing w:after="120"/>
              <w:ind w:left="0"/>
              <w:contextualSpacing w:val="0"/>
              <w:jc w:val="center"/>
              <w:rPr>
                <w:color w:val="000000" w:themeColor="text1"/>
                <w:shd w:val="clear" w:color="auto" w:fill="FFFFFF"/>
              </w:rPr>
            </w:pPr>
            <w:r w:rsidRPr="00D845F9">
              <w:rPr>
                <w:color w:val="000000" w:themeColor="text1"/>
                <w:shd w:val="clear" w:color="auto" w:fill="FFFFFF"/>
              </w:rPr>
              <w:t>42</w:t>
            </w:r>
            <w:r w:rsidR="00E7760C" w:rsidRPr="00D845F9">
              <w:rPr>
                <w:color w:val="000000" w:themeColor="text1"/>
                <w:shd w:val="clear" w:color="auto" w:fill="FFFFFF"/>
              </w:rPr>
              <w:t>.</w:t>
            </w:r>
            <w:r w:rsidRPr="00D845F9">
              <w:rPr>
                <w:color w:val="000000" w:themeColor="text1"/>
                <w:shd w:val="clear" w:color="auto" w:fill="FFFFFF"/>
              </w:rPr>
              <w:t>481</w:t>
            </w:r>
          </w:p>
        </w:tc>
      </w:tr>
      <w:tr w:rsidR="00D845F9" w:rsidRPr="00D845F9" w14:paraId="669D519D" w14:textId="77777777" w:rsidTr="00492335">
        <w:tc>
          <w:tcPr>
            <w:tcW w:w="2226" w:type="dxa"/>
          </w:tcPr>
          <w:p w14:paraId="18D6B520" w14:textId="77777777" w:rsidR="00C3158F" w:rsidRPr="00D845F9" w:rsidRDefault="00C3158F" w:rsidP="007604EA">
            <w:pPr>
              <w:pStyle w:val="ListParagraph"/>
              <w:spacing w:after="120"/>
              <w:contextualSpacing w:val="0"/>
              <w:rPr>
                <w:color w:val="000000" w:themeColor="text1"/>
                <w:shd w:val="clear" w:color="auto" w:fill="FFFFFF"/>
              </w:rPr>
            </w:pPr>
            <w:r w:rsidRPr="00D845F9">
              <w:rPr>
                <w:color w:val="000000" w:themeColor="text1"/>
                <w:shd w:val="clear" w:color="auto" w:fill="FFFFFF"/>
              </w:rPr>
              <w:t>2014-2015</w:t>
            </w:r>
          </w:p>
          <w:p w14:paraId="756BC0A7" w14:textId="77777777" w:rsidR="00C3158F" w:rsidRPr="00D845F9" w:rsidRDefault="00C3158F" w:rsidP="007604EA">
            <w:pPr>
              <w:pStyle w:val="ListParagraph"/>
              <w:spacing w:after="120"/>
              <w:ind w:left="0"/>
              <w:contextualSpacing w:val="0"/>
              <w:jc w:val="center"/>
              <w:rPr>
                <w:color w:val="000000" w:themeColor="text1"/>
                <w:shd w:val="clear" w:color="auto" w:fill="FFFFFF"/>
              </w:rPr>
            </w:pPr>
          </w:p>
        </w:tc>
        <w:tc>
          <w:tcPr>
            <w:tcW w:w="2225" w:type="dxa"/>
          </w:tcPr>
          <w:p w14:paraId="41CAB5C9" w14:textId="24A497B3" w:rsidR="00C3158F" w:rsidRPr="00D845F9" w:rsidRDefault="00E7760C" w:rsidP="007604EA">
            <w:pPr>
              <w:pStyle w:val="ListParagraph"/>
              <w:spacing w:after="120"/>
              <w:ind w:left="0"/>
              <w:contextualSpacing w:val="0"/>
              <w:jc w:val="center"/>
              <w:rPr>
                <w:color w:val="000000" w:themeColor="text1"/>
                <w:shd w:val="clear" w:color="auto" w:fill="FFFFFF"/>
              </w:rPr>
            </w:pPr>
            <w:r w:rsidRPr="00D845F9">
              <w:rPr>
                <w:color w:val="000000" w:themeColor="text1"/>
                <w:shd w:val="clear" w:color="auto" w:fill="FFFFFF"/>
              </w:rPr>
              <w:t>329.722</w:t>
            </w:r>
          </w:p>
        </w:tc>
        <w:tc>
          <w:tcPr>
            <w:tcW w:w="2265" w:type="dxa"/>
          </w:tcPr>
          <w:p w14:paraId="18ACC83F" w14:textId="4C7A890A" w:rsidR="00C3158F" w:rsidRPr="00D845F9" w:rsidRDefault="00E7760C" w:rsidP="007604EA">
            <w:pPr>
              <w:pStyle w:val="ListParagraph"/>
              <w:spacing w:after="120"/>
              <w:ind w:left="0"/>
              <w:contextualSpacing w:val="0"/>
              <w:jc w:val="center"/>
              <w:rPr>
                <w:color w:val="000000" w:themeColor="text1"/>
                <w:shd w:val="clear" w:color="auto" w:fill="FFFFFF"/>
              </w:rPr>
            </w:pPr>
            <w:r w:rsidRPr="00D845F9">
              <w:rPr>
                <w:color w:val="000000" w:themeColor="text1"/>
                <w:shd w:val="clear" w:color="auto" w:fill="FFFFFF"/>
              </w:rPr>
              <w:t>104.212</w:t>
            </w:r>
          </w:p>
        </w:tc>
        <w:tc>
          <w:tcPr>
            <w:tcW w:w="2300" w:type="dxa"/>
          </w:tcPr>
          <w:p w14:paraId="378AE5C4" w14:textId="7A95F6E6" w:rsidR="00C3158F" w:rsidRPr="00D845F9" w:rsidRDefault="00C3158F" w:rsidP="007604EA">
            <w:pPr>
              <w:pStyle w:val="ListParagraph"/>
              <w:spacing w:after="120"/>
              <w:ind w:left="0"/>
              <w:contextualSpacing w:val="0"/>
              <w:jc w:val="center"/>
              <w:rPr>
                <w:color w:val="000000" w:themeColor="text1"/>
                <w:shd w:val="clear" w:color="auto" w:fill="FFFFFF"/>
              </w:rPr>
            </w:pPr>
            <w:r w:rsidRPr="00D845F9">
              <w:rPr>
                <w:color w:val="000000" w:themeColor="text1"/>
                <w:shd w:val="clear" w:color="auto" w:fill="FFFFFF"/>
              </w:rPr>
              <w:t>41</w:t>
            </w:r>
            <w:r w:rsidR="00E7760C" w:rsidRPr="00D845F9">
              <w:rPr>
                <w:color w:val="000000" w:themeColor="text1"/>
                <w:shd w:val="clear" w:color="auto" w:fill="FFFFFF"/>
              </w:rPr>
              <w:t>.</w:t>
            </w:r>
            <w:r w:rsidRPr="00D845F9">
              <w:rPr>
                <w:color w:val="000000" w:themeColor="text1"/>
                <w:shd w:val="clear" w:color="auto" w:fill="FFFFFF"/>
              </w:rPr>
              <w:t>125</w:t>
            </w:r>
          </w:p>
        </w:tc>
      </w:tr>
      <w:tr w:rsidR="00D845F9" w:rsidRPr="00D845F9" w14:paraId="233801B1" w14:textId="77777777" w:rsidTr="00492335">
        <w:tc>
          <w:tcPr>
            <w:tcW w:w="2226" w:type="dxa"/>
          </w:tcPr>
          <w:p w14:paraId="1B3B376F" w14:textId="77777777" w:rsidR="00C3158F" w:rsidRPr="00D845F9" w:rsidRDefault="00C3158F" w:rsidP="007604EA">
            <w:pPr>
              <w:pStyle w:val="ListParagraph"/>
              <w:spacing w:after="120"/>
              <w:contextualSpacing w:val="0"/>
              <w:rPr>
                <w:color w:val="000000" w:themeColor="text1"/>
                <w:shd w:val="clear" w:color="auto" w:fill="FFFFFF"/>
              </w:rPr>
            </w:pPr>
            <w:r w:rsidRPr="00D845F9">
              <w:rPr>
                <w:color w:val="000000" w:themeColor="text1"/>
                <w:shd w:val="clear" w:color="auto" w:fill="FFFFFF"/>
              </w:rPr>
              <w:t>2013-2014</w:t>
            </w:r>
          </w:p>
          <w:p w14:paraId="3C50E3D4" w14:textId="77777777" w:rsidR="00C3158F" w:rsidRPr="00D845F9" w:rsidRDefault="00C3158F" w:rsidP="007604EA">
            <w:pPr>
              <w:pStyle w:val="ListParagraph"/>
              <w:spacing w:after="120"/>
              <w:ind w:left="0"/>
              <w:contextualSpacing w:val="0"/>
              <w:jc w:val="center"/>
              <w:rPr>
                <w:color w:val="000000" w:themeColor="text1"/>
                <w:shd w:val="clear" w:color="auto" w:fill="FFFFFF"/>
              </w:rPr>
            </w:pPr>
          </w:p>
        </w:tc>
        <w:tc>
          <w:tcPr>
            <w:tcW w:w="2225" w:type="dxa"/>
          </w:tcPr>
          <w:p w14:paraId="06411629" w14:textId="595C84CB" w:rsidR="00C3158F" w:rsidRPr="00D845F9" w:rsidRDefault="00E7760C" w:rsidP="007604EA">
            <w:pPr>
              <w:pStyle w:val="ListParagraph"/>
              <w:spacing w:after="120"/>
              <w:ind w:left="0"/>
              <w:contextualSpacing w:val="0"/>
              <w:jc w:val="center"/>
              <w:rPr>
                <w:color w:val="000000" w:themeColor="text1"/>
                <w:shd w:val="clear" w:color="auto" w:fill="FFFFFF"/>
              </w:rPr>
            </w:pPr>
            <w:r w:rsidRPr="00D845F9">
              <w:rPr>
                <w:color w:val="000000" w:themeColor="text1"/>
                <w:shd w:val="clear" w:color="auto" w:fill="FFFFFF"/>
              </w:rPr>
              <w:t>327.729</w:t>
            </w:r>
          </w:p>
        </w:tc>
        <w:tc>
          <w:tcPr>
            <w:tcW w:w="2265" w:type="dxa"/>
          </w:tcPr>
          <w:p w14:paraId="09FBC3B7" w14:textId="13E82B10" w:rsidR="00C3158F" w:rsidRPr="00D845F9" w:rsidRDefault="00E7760C" w:rsidP="007604EA">
            <w:pPr>
              <w:pStyle w:val="ListParagraph"/>
              <w:spacing w:after="120"/>
              <w:ind w:left="0"/>
              <w:contextualSpacing w:val="0"/>
              <w:jc w:val="center"/>
              <w:rPr>
                <w:color w:val="000000" w:themeColor="text1"/>
                <w:shd w:val="clear" w:color="auto" w:fill="FFFFFF"/>
              </w:rPr>
            </w:pPr>
            <w:r w:rsidRPr="00D845F9">
              <w:rPr>
                <w:color w:val="000000" w:themeColor="text1"/>
                <w:shd w:val="clear" w:color="auto" w:fill="FFFFFF"/>
              </w:rPr>
              <w:t>103.918</w:t>
            </w:r>
          </w:p>
        </w:tc>
        <w:tc>
          <w:tcPr>
            <w:tcW w:w="2300" w:type="dxa"/>
          </w:tcPr>
          <w:p w14:paraId="1A900C63" w14:textId="27D39208" w:rsidR="00C3158F" w:rsidRPr="00D845F9" w:rsidRDefault="00C3158F" w:rsidP="007604EA">
            <w:pPr>
              <w:pStyle w:val="ListParagraph"/>
              <w:spacing w:after="120"/>
              <w:ind w:left="0"/>
              <w:contextualSpacing w:val="0"/>
              <w:jc w:val="center"/>
              <w:rPr>
                <w:color w:val="000000" w:themeColor="text1"/>
                <w:shd w:val="clear" w:color="auto" w:fill="FFFFFF"/>
              </w:rPr>
            </w:pPr>
            <w:r w:rsidRPr="00D845F9">
              <w:rPr>
                <w:color w:val="000000" w:themeColor="text1"/>
                <w:shd w:val="clear" w:color="auto" w:fill="FFFFFF"/>
              </w:rPr>
              <w:t>42</w:t>
            </w:r>
            <w:r w:rsidR="00E7760C" w:rsidRPr="00D845F9">
              <w:rPr>
                <w:color w:val="000000" w:themeColor="text1"/>
                <w:shd w:val="clear" w:color="auto" w:fill="FFFFFF"/>
              </w:rPr>
              <w:t>.</w:t>
            </w:r>
            <w:r w:rsidRPr="00D845F9">
              <w:rPr>
                <w:color w:val="000000" w:themeColor="text1"/>
                <w:shd w:val="clear" w:color="auto" w:fill="FFFFFF"/>
              </w:rPr>
              <w:t>215</w:t>
            </w:r>
          </w:p>
        </w:tc>
      </w:tr>
      <w:tr w:rsidR="00D845F9" w:rsidRPr="00D845F9" w14:paraId="4700E259" w14:textId="77777777" w:rsidTr="00492335">
        <w:tc>
          <w:tcPr>
            <w:tcW w:w="2226" w:type="dxa"/>
          </w:tcPr>
          <w:p w14:paraId="75676DA7" w14:textId="77777777" w:rsidR="00C3158F" w:rsidRPr="00D845F9" w:rsidRDefault="00C3158F" w:rsidP="007604EA">
            <w:pPr>
              <w:pStyle w:val="ListParagraph"/>
              <w:spacing w:after="120"/>
              <w:contextualSpacing w:val="0"/>
              <w:rPr>
                <w:color w:val="000000" w:themeColor="text1"/>
                <w:shd w:val="clear" w:color="auto" w:fill="FFFFFF"/>
              </w:rPr>
            </w:pPr>
            <w:r w:rsidRPr="00D845F9">
              <w:rPr>
                <w:color w:val="000000" w:themeColor="text1"/>
                <w:shd w:val="clear" w:color="auto" w:fill="FFFFFF"/>
              </w:rPr>
              <w:t>2012-2013</w:t>
            </w:r>
          </w:p>
          <w:p w14:paraId="36A5A0F8" w14:textId="77777777" w:rsidR="00C3158F" w:rsidRPr="00D845F9" w:rsidRDefault="00C3158F" w:rsidP="007604EA">
            <w:pPr>
              <w:pStyle w:val="ListParagraph"/>
              <w:spacing w:after="120"/>
              <w:ind w:left="0"/>
              <w:contextualSpacing w:val="0"/>
              <w:jc w:val="center"/>
              <w:rPr>
                <w:color w:val="000000" w:themeColor="text1"/>
                <w:shd w:val="clear" w:color="auto" w:fill="FFFFFF"/>
              </w:rPr>
            </w:pPr>
          </w:p>
        </w:tc>
        <w:tc>
          <w:tcPr>
            <w:tcW w:w="2225" w:type="dxa"/>
          </w:tcPr>
          <w:p w14:paraId="0B1D1061" w14:textId="4D5F469F" w:rsidR="00C3158F" w:rsidRPr="00D845F9" w:rsidRDefault="00E7760C" w:rsidP="007604EA">
            <w:pPr>
              <w:pStyle w:val="ListParagraph"/>
              <w:spacing w:after="120"/>
              <w:ind w:left="0"/>
              <w:contextualSpacing w:val="0"/>
              <w:jc w:val="center"/>
              <w:rPr>
                <w:color w:val="000000" w:themeColor="text1"/>
                <w:shd w:val="clear" w:color="auto" w:fill="FFFFFF"/>
              </w:rPr>
            </w:pPr>
            <w:r w:rsidRPr="00D845F9">
              <w:rPr>
                <w:color w:val="000000" w:themeColor="text1"/>
                <w:shd w:val="clear" w:color="auto" w:fill="FFFFFF"/>
              </w:rPr>
              <w:t>288.989</w:t>
            </w:r>
          </w:p>
        </w:tc>
        <w:tc>
          <w:tcPr>
            <w:tcW w:w="2265" w:type="dxa"/>
          </w:tcPr>
          <w:p w14:paraId="750A1B3F" w14:textId="4CC8C3E7" w:rsidR="00C3158F" w:rsidRPr="00D845F9" w:rsidRDefault="00E7760C" w:rsidP="007604EA">
            <w:pPr>
              <w:pStyle w:val="ListParagraph"/>
              <w:spacing w:after="120"/>
              <w:ind w:left="0"/>
              <w:contextualSpacing w:val="0"/>
              <w:jc w:val="center"/>
              <w:rPr>
                <w:color w:val="000000" w:themeColor="text1"/>
                <w:shd w:val="clear" w:color="auto" w:fill="FFFFFF"/>
              </w:rPr>
            </w:pPr>
            <w:r w:rsidRPr="00D845F9">
              <w:rPr>
                <w:color w:val="000000" w:themeColor="text1"/>
                <w:shd w:val="clear" w:color="auto" w:fill="FFFFFF"/>
              </w:rPr>
              <w:t>84.891</w:t>
            </w:r>
          </w:p>
        </w:tc>
        <w:tc>
          <w:tcPr>
            <w:tcW w:w="2300" w:type="dxa"/>
          </w:tcPr>
          <w:p w14:paraId="1FC44111" w14:textId="257C2CE8" w:rsidR="00C3158F" w:rsidRPr="00D845F9" w:rsidRDefault="00C3158F" w:rsidP="007604EA">
            <w:pPr>
              <w:pStyle w:val="ListParagraph"/>
              <w:spacing w:after="120"/>
              <w:ind w:left="0"/>
              <w:contextualSpacing w:val="0"/>
              <w:jc w:val="center"/>
              <w:rPr>
                <w:color w:val="000000" w:themeColor="text1"/>
                <w:shd w:val="clear" w:color="auto" w:fill="FFFFFF"/>
              </w:rPr>
            </w:pPr>
            <w:r w:rsidRPr="00D845F9">
              <w:rPr>
                <w:color w:val="000000" w:themeColor="text1"/>
                <w:shd w:val="clear" w:color="auto" w:fill="FFFFFF"/>
              </w:rPr>
              <w:t>35</w:t>
            </w:r>
            <w:r w:rsidR="00E7760C" w:rsidRPr="00D845F9">
              <w:rPr>
                <w:color w:val="000000" w:themeColor="text1"/>
                <w:shd w:val="clear" w:color="auto" w:fill="FFFFFF"/>
              </w:rPr>
              <w:t>.</w:t>
            </w:r>
            <w:r w:rsidRPr="00D845F9">
              <w:rPr>
                <w:color w:val="000000" w:themeColor="text1"/>
                <w:shd w:val="clear" w:color="auto" w:fill="FFFFFF"/>
              </w:rPr>
              <w:t>427</w:t>
            </w:r>
          </w:p>
        </w:tc>
      </w:tr>
      <w:tr w:rsidR="00D845F9" w:rsidRPr="00D845F9" w14:paraId="1A10BC81" w14:textId="77777777" w:rsidTr="00492335">
        <w:tc>
          <w:tcPr>
            <w:tcW w:w="2226" w:type="dxa"/>
          </w:tcPr>
          <w:p w14:paraId="79C3BD6D" w14:textId="77777777" w:rsidR="00C3158F" w:rsidRPr="00D845F9" w:rsidRDefault="00C3158F" w:rsidP="007604EA">
            <w:pPr>
              <w:pStyle w:val="ListParagraph"/>
              <w:spacing w:after="120"/>
              <w:contextualSpacing w:val="0"/>
              <w:rPr>
                <w:color w:val="000000" w:themeColor="text1"/>
                <w:shd w:val="clear" w:color="auto" w:fill="FFFFFF"/>
              </w:rPr>
            </w:pPr>
            <w:r w:rsidRPr="00D845F9">
              <w:rPr>
                <w:color w:val="000000" w:themeColor="text1"/>
                <w:shd w:val="clear" w:color="auto" w:fill="FFFFFF"/>
              </w:rPr>
              <w:t>2011-2012</w:t>
            </w:r>
          </w:p>
          <w:p w14:paraId="07F83A84" w14:textId="77777777" w:rsidR="00C3158F" w:rsidRPr="00D845F9" w:rsidRDefault="00C3158F" w:rsidP="007604EA">
            <w:pPr>
              <w:pStyle w:val="ListParagraph"/>
              <w:spacing w:after="120"/>
              <w:ind w:left="0"/>
              <w:contextualSpacing w:val="0"/>
              <w:jc w:val="center"/>
              <w:rPr>
                <w:color w:val="000000" w:themeColor="text1"/>
                <w:shd w:val="clear" w:color="auto" w:fill="FFFFFF"/>
              </w:rPr>
            </w:pPr>
          </w:p>
        </w:tc>
        <w:tc>
          <w:tcPr>
            <w:tcW w:w="2225" w:type="dxa"/>
          </w:tcPr>
          <w:p w14:paraId="58E986AF" w14:textId="5B252AA9" w:rsidR="00C3158F" w:rsidRPr="00D845F9" w:rsidRDefault="00E7760C" w:rsidP="007604EA">
            <w:pPr>
              <w:pStyle w:val="ListParagraph"/>
              <w:spacing w:after="120"/>
              <w:ind w:left="0"/>
              <w:contextualSpacing w:val="0"/>
              <w:jc w:val="center"/>
              <w:rPr>
                <w:color w:val="000000" w:themeColor="text1"/>
                <w:shd w:val="clear" w:color="auto" w:fill="FFFFFF"/>
              </w:rPr>
            </w:pPr>
            <w:r w:rsidRPr="00D845F9">
              <w:rPr>
                <w:color w:val="000000" w:themeColor="text1"/>
                <w:shd w:val="clear" w:color="auto" w:fill="FFFFFF"/>
              </w:rPr>
              <w:t>268.157</w:t>
            </w:r>
          </w:p>
        </w:tc>
        <w:tc>
          <w:tcPr>
            <w:tcW w:w="2265" w:type="dxa"/>
          </w:tcPr>
          <w:p w14:paraId="11E0D246" w14:textId="4D104C82" w:rsidR="00C3158F" w:rsidRPr="00D845F9" w:rsidRDefault="00E7760C" w:rsidP="007604EA">
            <w:pPr>
              <w:pStyle w:val="ListParagraph"/>
              <w:spacing w:after="120"/>
              <w:ind w:left="0"/>
              <w:contextualSpacing w:val="0"/>
              <w:jc w:val="center"/>
              <w:rPr>
                <w:color w:val="000000" w:themeColor="text1"/>
                <w:shd w:val="clear" w:color="auto" w:fill="FFFFFF"/>
              </w:rPr>
            </w:pPr>
            <w:r w:rsidRPr="00D845F9">
              <w:rPr>
                <w:color w:val="000000" w:themeColor="text1"/>
                <w:shd w:val="clear" w:color="auto" w:fill="FFFFFF"/>
              </w:rPr>
              <w:t>74.689</w:t>
            </w:r>
          </w:p>
        </w:tc>
        <w:tc>
          <w:tcPr>
            <w:tcW w:w="2300" w:type="dxa"/>
          </w:tcPr>
          <w:p w14:paraId="78EF9414" w14:textId="3F5B1D34" w:rsidR="00C3158F" w:rsidRPr="00D845F9" w:rsidRDefault="00C3158F" w:rsidP="007604EA">
            <w:pPr>
              <w:pStyle w:val="ListParagraph"/>
              <w:spacing w:after="120"/>
              <w:ind w:left="0"/>
              <w:contextualSpacing w:val="0"/>
              <w:jc w:val="center"/>
              <w:rPr>
                <w:color w:val="000000" w:themeColor="text1"/>
                <w:shd w:val="clear" w:color="auto" w:fill="FFFFFF"/>
              </w:rPr>
            </w:pPr>
            <w:r w:rsidRPr="00D845F9">
              <w:rPr>
                <w:color w:val="000000" w:themeColor="text1"/>
                <w:shd w:val="clear" w:color="auto" w:fill="FFFFFF"/>
              </w:rPr>
              <w:t>32</w:t>
            </w:r>
            <w:r w:rsidR="00E7760C" w:rsidRPr="00D845F9">
              <w:rPr>
                <w:color w:val="000000" w:themeColor="text1"/>
                <w:shd w:val="clear" w:color="auto" w:fill="FFFFFF"/>
              </w:rPr>
              <w:t>.</w:t>
            </w:r>
            <w:r w:rsidRPr="00D845F9">
              <w:rPr>
                <w:color w:val="000000" w:themeColor="text1"/>
                <w:shd w:val="clear" w:color="auto" w:fill="FFFFFF"/>
              </w:rPr>
              <w:t>070</w:t>
            </w:r>
          </w:p>
        </w:tc>
      </w:tr>
      <w:tr w:rsidR="00D845F9" w:rsidRPr="00D845F9" w14:paraId="62186B89" w14:textId="77777777" w:rsidTr="00492335">
        <w:tc>
          <w:tcPr>
            <w:tcW w:w="2226" w:type="dxa"/>
          </w:tcPr>
          <w:p w14:paraId="7105A07E" w14:textId="77777777" w:rsidR="00C3158F" w:rsidRPr="00D845F9" w:rsidRDefault="00C3158F" w:rsidP="007604EA">
            <w:pPr>
              <w:pStyle w:val="ListParagraph"/>
              <w:spacing w:after="120"/>
              <w:contextualSpacing w:val="0"/>
              <w:rPr>
                <w:color w:val="000000" w:themeColor="text1"/>
                <w:shd w:val="clear" w:color="auto" w:fill="FFFFFF"/>
              </w:rPr>
            </w:pPr>
            <w:r w:rsidRPr="00D845F9">
              <w:rPr>
                <w:color w:val="000000" w:themeColor="text1"/>
                <w:shd w:val="clear" w:color="auto" w:fill="FFFFFF"/>
              </w:rPr>
              <w:t>2010-2011</w:t>
            </w:r>
          </w:p>
          <w:p w14:paraId="0F1C5072" w14:textId="77777777" w:rsidR="00C3158F" w:rsidRPr="00D845F9" w:rsidRDefault="00C3158F" w:rsidP="007604EA">
            <w:pPr>
              <w:pStyle w:val="ListParagraph"/>
              <w:spacing w:after="120"/>
              <w:ind w:left="0"/>
              <w:contextualSpacing w:val="0"/>
              <w:jc w:val="center"/>
              <w:rPr>
                <w:color w:val="000000" w:themeColor="text1"/>
                <w:shd w:val="clear" w:color="auto" w:fill="FFFFFF"/>
              </w:rPr>
            </w:pPr>
          </w:p>
        </w:tc>
        <w:tc>
          <w:tcPr>
            <w:tcW w:w="2225" w:type="dxa"/>
          </w:tcPr>
          <w:p w14:paraId="4C46E600" w14:textId="3BE27AA0" w:rsidR="00C3158F" w:rsidRPr="00D845F9" w:rsidRDefault="00E7760C" w:rsidP="007604EA">
            <w:pPr>
              <w:pStyle w:val="ListParagraph"/>
              <w:spacing w:after="120"/>
              <w:ind w:left="0"/>
              <w:contextualSpacing w:val="0"/>
              <w:jc w:val="center"/>
              <w:rPr>
                <w:color w:val="000000" w:themeColor="text1"/>
                <w:shd w:val="clear" w:color="auto" w:fill="FFFFFF"/>
              </w:rPr>
            </w:pPr>
            <w:r w:rsidRPr="00D845F9">
              <w:rPr>
                <w:color w:val="000000" w:themeColor="text1"/>
                <w:shd w:val="clear" w:color="auto" w:fill="FFFFFF"/>
              </w:rPr>
              <w:t>244.338</w:t>
            </w:r>
          </w:p>
        </w:tc>
        <w:tc>
          <w:tcPr>
            <w:tcW w:w="2265" w:type="dxa"/>
          </w:tcPr>
          <w:p w14:paraId="56F27DDE" w14:textId="0553FE08" w:rsidR="00C3158F" w:rsidRPr="00D845F9" w:rsidRDefault="00E7760C" w:rsidP="007604EA">
            <w:pPr>
              <w:pStyle w:val="ListParagraph"/>
              <w:spacing w:after="120"/>
              <w:ind w:left="0"/>
              <w:contextualSpacing w:val="0"/>
              <w:jc w:val="center"/>
              <w:rPr>
                <w:color w:val="000000" w:themeColor="text1"/>
                <w:shd w:val="clear" w:color="auto" w:fill="FFFFFF"/>
              </w:rPr>
            </w:pPr>
            <w:r w:rsidRPr="00D845F9">
              <w:rPr>
                <w:color w:val="000000" w:themeColor="text1"/>
                <w:shd w:val="clear" w:color="auto" w:fill="FFFFFF"/>
              </w:rPr>
              <w:t>63.638</w:t>
            </w:r>
          </w:p>
        </w:tc>
        <w:tc>
          <w:tcPr>
            <w:tcW w:w="2300" w:type="dxa"/>
          </w:tcPr>
          <w:p w14:paraId="2FD38EC2" w14:textId="20D8FC7D" w:rsidR="00C3158F" w:rsidRPr="00D845F9" w:rsidRDefault="00C3158F" w:rsidP="007604EA">
            <w:pPr>
              <w:pStyle w:val="ListParagraph"/>
              <w:spacing w:after="120"/>
              <w:ind w:left="0"/>
              <w:contextualSpacing w:val="0"/>
              <w:jc w:val="center"/>
              <w:rPr>
                <w:color w:val="000000" w:themeColor="text1"/>
                <w:shd w:val="clear" w:color="auto" w:fill="FFFFFF"/>
              </w:rPr>
            </w:pPr>
            <w:r w:rsidRPr="00D845F9">
              <w:rPr>
                <w:color w:val="000000" w:themeColor="text1"/>
                <w:shd w:val="clear" w:color="auto" w:fill="FFFFFF"/>
              </w:rPr>
              <w:t>27</w:t>
            </w:r>
            <w:r w:rsidR="00E7760C" w:rsidRPr="00D845F9">
              <w:rPr>
                <w:color w:val="000000" w:themeColor="text1"/>
                <w:shd w:val="clear" w:color="auto" w:fill="FFFFFF"/>
              </w:rPr>
              <w:t>.</w:t>
            </w:r>
            <w:r w:rsidRPr="00D845F9">
              <w:rPr>
                <w:color w:val="000000" w:themeColor="text1"/>
                <w:shd w:val="clear" w:color="auto" w:fill="FFFFFF"/>
              </w:rPr>
              <w:t>377</w:t>
            </w:r>
          </w:p>
        </w:tc>
      </w:tr>
      <w:tr w:rsidR="00D845F9" w:rsidRPr="00D845F9" w14:paraId="585EA26F" w14:textId="77777777" w:rsidTr="00492335">
        <w:tc>
          <w:tcPr>
            <w:tcW w:w="2226" w:type="dxa"/>
          </w:tcPr>
          <w:p w14:paraId="75A94649" w14:textId="77777777" w:rsidR="00C3158F" w:rsidRPr="00D845F9" w:rsidRDefault="00C3158F" w:rsidP="007604EA">
            <w:pPr>
              <w:pStyle w:val="ListParagraph"/>
              <w:spacing w:after="120"/>
              <w:contextualSpacing w:val="0"/>
              <w:rPr>
                <w:color w:val="000000" w:themeColor="text1"/>
                <w:shd w:val="clear" w:color="auto" w:fill="FFFFFF"/>
              </w:rPr>
            </w:pPr>
            <w:r w:rsidRPr="00D845F9">
              <w:rPr>
                <w:color w:val="000000" w:themeColor="text1"/>
                <w:shd w:val="clear" w:color="auto" w:fill="FFFFFF"/>
              </w:rPr>
              <w:t>2009-2010</w:t>
            </w:r>
          </w:p>
          <w:p w14:paraId="5DE25669" w14:textId="77777777" w:rsidR="00C3158F" w:rsidRPr="00D845F9" w:rsidRDefault="00C3158F" w:rsidP="007604EA">
            <w:pPr>
              <w:pStyle w:val="ListParagraph"/>
              <w:spacing w:after="120"/>
              <w:ind w:left="0"/>
              <w:contextualSpacing w:val="0"/>
              <w:jc w:val="center"/>
              <w:rPr>
                <w:color w:val="000000" w:themeColor="text1"/>
                <w:shd w:val="clear" w:color="auto" w:fill="FFFFFF"/>
              </w:rPr>
            </w:pPr>
          </w:p>
        </w:tc>
        <w:tc>
          <w:tcPr>
            <w:tcW w:w="2225" w:type="dxa"/>
          </w:tcPr>
          <w:p w14:paraId="4F19ECB6" w14:textId="7A870ECF" w:rsidR="00C3158F" w:rsidRPr="00D845F9" w:rsidRDefault="00E7760C" w:rsidP="007604EA">
            <w:pPr>
              <w:pStyle w:val="ListParagraph"/>
              <w:spacing w:after="120"/>
              <w:ind w:left="0"/>
              <w:contextualSpacing w:val="0"/>
              <w:jc w:val="center"/>
              <w:rPr>
                <w:color w:val="000000" w:themeColor="text1"/>
                <w:shd w:val="clear" w:color="auto" w:fill="FFFFFF"/>
              </w:rPr>
            </w:pPr>
            <w:r w:rsidRPr="00D845F9">
              <w:rPr>
                <w:color w:val="000000" w:themeColor="text1"/>
                <w:shd w:val="clear" w:color="auto" w:fill="FFFFFF"/>
              </w:rPr>
              <w:t>229.694</w:t>
            </w:r>
          </w:p>
        </w:tc>
        <w:tc>
          <w:tcPr>
            <w:tcW w:w="2265" w:type="dxa"/>
          </w:tcPr>
          <w:p w14:paraId="309AD18B" w14:textId="0245347A" w:rsidR="00C3158F" w:rsidRPr="00D845F9" w:rsidRDefault="00E7760C" w:rsidP="007604EA">
            <w:pPr>
              <w:pStyle w:val="ListParagraph"/>
              <w:spacing w:after="120"/>
              <w:ind w:left="0"/>
              <w:contextualSpacing w:val="0"/>
              <w:jc w:val="center"/>
              <w:rPr>
                <w:color w:val="000000" w:themeColor="text1"/>
                <w:shd w:val="clear" w:color="auto" w:fill="FFFFFF"/>
              </w:rPr>
            </w:pPr>
            <w:r w:rsidRPr="00D845F9">
              <w:rPr>
                <w:color w:val="000000" w:themeColor="text1"/>
                <w:shd w:val="clear" w:color="auto" w:fill="FFFFFF"/>
              </w:rPr>
              <w:t>56.367</w:t>
            </w:r>
          </w:p>
        </w:tc>
        <w:tc>
          <w:tcPr>
            <w:tcW w:w="2300" w:type="dxa"/>
          </w:tcPr>
          <w:p w14:paraId="3E6589A7" w14:textId="1A2F3A36" w:rsidR="00C3158F" w:rsidRPr="00D845F9" w:rsidRDefault="00C3158F" w:rsidP="007604EA">
            <w:pPr>
              <w:pStyle w:val="ListParagraph"/>
              <w:spacing w:after="120"/>
              <w:ind w:left="0"/>
              <w:contextualSpacing w:val="0"/>
              <w:jc w:val="center"/>
              <w:rPr>
                <w:color w:val="000000" w:themeColor="text1"/>
                <w:shd w:val="clear" w:color="auto" w:fill="FFFFFF"/>
              </w:rPr>
            </w:pPr>
            <w:r w:rsidRPr="00D845F9">
              <w:rPr>
                <w:color w:val="000000" w:themeColor="text1"/>
                <w:shd w:val="clear" w:color="auto" w:fill="FFFFFF"/>
              </w:rPr>
              <w:t>24</w:t>
            </w:r>
            <w:r w:rsidR="00E7760C" w:rsidRPr="00D845F9">
              <w:rPr>
                <w:color w:val="000000" w:themeColor="text1"/>
                <w:shd w:val="clear" w:color="auto" w:fill="FFFFFF"/>
              </w:rPr>
              <w:t>.</w:t>
            </w:r>
            <w:r w:rsidRPr="00D845F9">
              <w:rPr>
                <w:color w:val="000000" w:themeColor="text1"/>
                <w:shd w:val="clear" w:color="auto" w:fill="FFFFFF"/>
              </w:rPr>
              <w:t>920</w:t>
            </w:r>
          </w:p>
        </w:tc>
      </w:tr>
      <w:tr w:rsidR="00D845F9" w:rsidRPr="00D845F9" w14:paraId="1684CF24" w14:textId="77777777" w:rsidTr="00492335">
        <w:tc>
          <w:tcPr>
            <w:tcW w:w="2226" w:type="dxa"/>
          </w:tcPr>
          <w:p w14:paraId="418A6333" w14:textId="1CFA3733" w:rsidR="00C3158F" w:rsidRPr="00D845F9" w:rsidRDefault="00C3158F" w:rsidP="007604EA">
            <w:pPr>
              <w:pStyle w:val="ListParagraph"/>
              <w:spacing w:after="120"/>
              <w:contextualSpacing w:val="0"/>
              <w:rPr>
                <w:color w:val="000000" w:themeColor="text1"/>
                <w:shd w:val="clear" w:color="auto" w:fill="FFFFFF"/>
              </w:rPr>
            </w:pPr>
            <w:r w:rsidRPr="00D845F9">
              <w:rPr>
                <w:color w:val="000000" w:themeColor="text1"/>
                <w:shd w:val="clear" w:color="auto" w:fill="FFFFFF"/>
              </w:rPr>
              <w:t>2008-2009</w:t>
            </w:r>
          </w:p>
        </w:tc>
        <w:tc>
          <w:tcPr>
            <w:tcW w:w="2225" w:type="dxa"/>
          </w:tcPr>
          <w:p w14:paraId="750C846D" w14:textId="2A500E5E" w:rsidR="00C3158F" w:rsidRPr="00D845F9" w:rsidRDefault="00E7760C" w:rsidP="007604EA">
            <w:pPr>
              <w:pStyle w:val="ListParagraph"/>
              <w:spacing w:after="120"/>
              <w:ind w:left="0"/>
              <w:contextualSpacing w:val="0"/>
              <w:jc w:val="center"/>
              <w:rPr>
                <w:color w:val="000000" w:themeColor="text1"/>
                <w:shd w:val="clear" w:color="auto" w:fill="FFFFFF"/>
              </w:rPr>
            </w:pPr>
            <w:r w:rsidRPr="00D845F9">
              <w:rPr>
                <w:color w:val="000000" w:themeColor="text1"/>
                <w:shd w:val="clear" w:color="auto" w:fill="FFFFFF"/>
              </w:rPr>
              <w:t>190.285</w:t>
            </w:r>
          </w:p>
        </w:tc>
        <w:tc>
          <w:tcPr>
            <w:tcW w:w="2265" w:type="dxa"/>
          </w:tcPr>
          <w:p w14:paraId="7C412ED3" w14:textId="33FAEF4F" w:rsidR="00C3158F" w:rsidRPr="00D845F9" w:rsidRDefault="00E7760C" w:rsidP="007604EA">
            <w:pPr>
              <w:pStyle w:val="ListParagraph"/>
              <w:spacing w:after="120"/>
              <w:ind w:left="0"/>
              <w:contextualSpacing w:val="0"/>
              <w:jc w:val="center"/>
              <w:rPr>
                <w:color w:val="000000" w:themeColor="text1"/>
                <w:shd w:val="clear" w:color="auto" w:fill="FFFFFF"/>
              </w:rPr>
            </w:pPr>
            <w:r w:rsidRPr="00D845F9">
              <w:rPr>
                <w:color w:val="000000" w:themeColor="text1"/>
                <w:shd w:val="clear" w:color="auto" w:fill="FFFFFF"/>
              </w:rPr>
              <w:t>42.947</w:t>
            </w:r>
          </w:p>
        </w:tc>
        <w:tc>
          <w:tcPr>
            <w:tcW w:w="2300" w:type="dxa"/>
          </w:tcPr>
          <w:p w14:paraId="6BAE3DC6" w14:textId="0C364CDC" w:rsidR="00C3158F" w:rsidRPr="00D845F9" w:rsidRDefault="00C3158F" w:rsidP="007604EA">
            <w:pPr>
              <w:pStyle w:val="ListParagraph"/>
              <w:spacing w:after="120"/>
              <w:ind w:left="0"/>
              <w:contextualSpacing w:val="0"/>
              <w:jc w:val="center"/>
              <w:rPr>
                <w:color w:val="000000" w:themeColor="text1"/>
                <w:shd w:val="clear" w:color="auto" w:fill="FFFFFF"/>
              </w:rPr>
            </w:pPr>
            <w:r w:rsidRPr="00D845F9">
              <w:rPr>
                <w:color w:val="000000" w:themeColor="text1"/>
                <w:shd w:val="clear" w:color="auto" w:fill="FFFFFF"/>
              </w:rPr>
              <w:t>19</w:t>
            </w:r>
            <w:r w:rsidR="00E7760C" w:rsidRPr="00D845F9">
              <w:rPr>
                <w:color w:val="000000" w:themeColor="text1"/>
                <w:shd w:val="clear" w:color="auto" w:fill="FFFFFF"/>
              </w:rPr>
              <w:t>.</w:t>
            </w:r>
            <w:r w:rsidRPr="00D845F9">
              <w:rPr>
                <w:color w:val="000000" w:themeColor="text1"/>
                <w:shd w:val="clear" w:color="auto" w:fill="FFFFFF"/>
              </w:rPr>
              <w:t>426</w:t>
            </w:r>
          </w:p>
        </w:tc>
      </w:tr>
      <w:tr w:rsidR="00D845F9" w:rsidRPr="00D845F9" w14:paraId="2AAD54CD" w14:textId="77777777" w:rsidTr="00492335">
        <w:tc>
          <w:tcPr>
            <w:tcW w:w="2226" w:type="dxa"/>
          </w:tcPr>
          <w:p w14:paraId="000B5573" w14:textId="36020716" w:rsidR="00C3158F" w:rsidRPr="00D845F9" w:rsidRDefault="00C3158F" w:rsidP="007604EA">
            <w:pPr>
              <w:pStyle w:val="ListParagraph"/>
              <w:spacing w:after="120"/>
              <w:contextualSpacing w:val="0"/>
              <w:rPr>
                <w:color w:val="000000" w:themeColor="text1"/>
                <w:shd w:val="clear" w:color="auto" w:fill="FFFFFF"/>
              </w:rPr>
            </w:pPr>
            <w:r w:rsidRPr="00D845F9">
              <w:rPr>
                <w:color w:val="000000" w:themeColor="text1"/>
                <w:shd w:val="clear" w:color="auto" w:fill="FFFFFF"/>
              </w:rPr>
              <w:t>2007-2008</w:t>
            </w:r>
          </w:p>
        </w:tc>
        <w:tc>
          <w:tcPr>
            <w:tcW w:w="2225" w:type="dxa"/>
          </w:tcPr>
          <w:p w14:paraId="4DD9C730" w14:textId="60EDAF67" w:rsidR="00C3158F" w:rsidRPr="00D845F9" w:rsidRDefault="00E7760C" w:rsidP="007604EA">
            <w:pPr>
              <w:pStyle w:val="ListParagraph"/>
              <w:spacing w:after="120"/>
              <w:ind w:left="0"/>
              <w:contextualSpacing w:val="0"/>
              <w:jc w:val="center"/>
              <w:rPr>
                <w:color w:val="000000" w:themeColor="text1"/>
                <w:shd w:val="clear" w:color="auto" w:fill="FFFFFF"/>
              </w:rPr>
            </w:pPr>
            <w:r w:rsidRPr="00D845F9">
              <w:rPr>
                <w:color w:val="000000" w:themeColor="text1"/>
                <w:shd w:val="clear" w:color="auto" w:fill="FFFFFF"/>
              </w:rPr>
              <w:t>185</w:t>
            </w:r>
            <w:r w:rsidR="0091291C" w:rsidRPr="00D845F9">
              <w:rPr>
                <w:color w:val="000000" w:themeColor="text1"/>
                <w:shd w:val="clear" w:color="auto" w:fill="FFFFFF"/>
              </w:rPr>
              <w:t>.</w:t>
            </w:r>
            <w:r w:rsidRPr="00D845F9">
              <w:rPr>
                <w:color w:val="000000" w:themeColor="text1"/>
                <w:shd w:val="clear" w:color="auto" w:fill="FFFFFF"/>
              </w:rPr>
              <w:t>340</w:t>
            </w:r>
          </w:p>
        </w:tc>
        <w:tc>
          <w:tcPr>
            <w:tcW w:w="2265" w:type="dxa"/>
          </w:tcPr>
          <w:p w14:paraId="36BB4EF0" w14:textId="3CBB6C03" w:rsidR="00C3158F" w:rsidRPr="00D845F9" w:rsidRDefault="00E7760C" w:rsidP="007604EA">
            <w:pPr>
              <w:pStyle w:val="ListParagraph"/>
              <w:spacing w:after="120"/>
              <w:ind w:left="0"/>
              <w:contextualSpacing w:val="0"/>
              <w:jc w:val="center"/>
              <w:rPr>
                <w:color w:val="000000" w:themeColor="text1"/>
                <w:shd w:val="clear" w:color="auto" w:fill="FFFFFF"/>
              </w:rPr>
            </w:pPr>
            <w:r w:rsidRPr="00D845F9">
              <w:rPr>
                <w:color w:val="000000" w:themeColor="text1"/>
                <w:shd w:val="clear" w:color="auto" w:fill="FFFFFF"/>
              </w:rPr>
              <w:t>38.225</w:t>
            </w:r>
          </w:p>
        </w:tc>
        <w:tc>
          <w:tcPr>
            <w:tcW w:w="2300" w:type="dxa"/>
          </w:tcPr>
          <w:p w14:paraId="4AD00DC6" w14:textId="7D2B966A" w:rsidR="00C3158F" w:rsidRPr="00D845F9" w:rsidRDefault="00C3158F" w:rsidP="007604EA">
            <w:pPr>
              <w:pStyle w:val="ListParagraph"/>
              <w:spacing w:after="120"/>
              <w:ind w:left="0"/>
              <w:contextualSpacing w:val="0"/>
              <w:jc w:val="center"/>
              <w:rPr>
                <w:color w:val="000000" w:themeColor="text1"/>
                <w:shd w:val="clear" w:color="auto" w:fill="FFFFFF"/>
              </w:rPr>
            </w:pPr>
            <w:r w:rsidRPr="00D845F9">
              <w:rPr>
                <w:color w:val="000000" w:themeColor="text1"/>
                <w:shd w:val="clear" w:color="auto" w:fill="FFFFFF"/>
              </w:rPr>
              <w:t>17</w:t>
            </w:r>
            <w:r w:rsidR="00E7760C" w:rsidRPr="00D845F9">
              <w:rPr>
                <w:color w:val="000000" w:themeColor="text1"/>
                <w:shd w:val="clear" w:color="auto" w:fill="FFFFFF"/>
              </w:rPr>
              <w:t>.</w:t>
            </w:r>
            <w:r w:rsidRPr="00D845F9">
              <w:rPr>
                <w:color w:val="000000" w:themeColor="text1"/>
                <w:shd w:val="clear" w:color="auto" w:fill="FFFFFF"/>
              </w:rPr>
              <w:t>871</w:t>
            </w:r>
          </w:p>
        </w:tc>
      </w:tr>
    </w:tbl>
    <w:p w14:paraId="5A07F2CE" w14:textId="39AE80AF" w:rsidR="005048CF" w:rsidRPr="00D845F9" w:rsidRDefault="00492335" w:rsidP="00D845F9">
      <w:pPr>
        <w:pStyle w:val="ListParagraph"/>
        <w:contextualSpacing w:val="0"/>
        <w:jc w:val="both"/>
        <w:rPr>
          <w:rStyle w:val="Strong"/>
          <w:b w:val="0"/>
          <w:iCs/>
          <w:color w:val="000000" w:themeColor="text1"/>
        </w:rPr>
      </w:pPr>
      <w:r w:rsidRPr="00D845F9">
        <w:rPr>
          <w:rStyle w:val="Strong"/>
          <w:b w:val="0"/>
          <w:iCs/>
          <w:color w:val="000000" w:themeColor="text1"/>
        </w:rPr>
        <w:t>Table 1. Software and algorithm patent trends in the US (2007-2017).</w:t>
      </w:r>
    </w:p>
    <w:p w14:paraId="768B7DC2" w14:textId="77777777" w:rsidR="002C0279" w:rsidRPr="00D845F9" w:rsidRDefault="002C0279" w:rsidP="00D845F9">
      <w:pPr>
        <w:pStyle w:val="ListParagraph"/>
        <w:contextualSpacing w:val="0"/>
        <w:jc w:val="both"/>
        <w:rPr>
          <w:rStyle w:val="Strong"/>
          <w:b w:val="0"/>
          <w:iCs/>
          <w:color w:val="000000" w:themeColor="text1"/>
        </w:rPr>
      </w:pPr>
    </w:p>
    <w:p w14:paraId="50C78ADD" w14:textId="02ABDD95" w:rsidR="0081673D" w:rsidRPr="00D845F9" w:rsidRDefault="0081673D" w:rsidP="00D845F9">
      <w:pPr>
        <w:pStyle w:val="ListParagraph"/>
        <w:contextualSpacing w:val="0"/>
        <w:jc w:val="center"/>
        <w:rPr>
          <w:rStyle w:val="Strong"/>
          <w:b w:val="0"/>
          <w:iCs/>
          <w:color w:val="000000" w:themeColor="text1"/>
        </w:rPr>
      </w:pPr>
      <w:r w:rsidRPr="00D845F9">
        <w:rPr>
          <w:bCs/>
          <w:iCs/>
          <w:noProof/>
          <w:color w:val="000000" w:themeColor="text1"/>
        </w:rPr>
        <w:drawing>
          <wp:inline distT="0" distB="0" distL="0" distR="0" wp14:anchorId="16605B06" wp14:editId="309DA240">
            <wp:extent cx="5486400" cy="3200400"/>
            <wp:effectExtent l="0" t="0" r="12700" b="1270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199DB8E0" w14:textId="77777777" w:rsidR="004672E2" w:rsidRDefault="004672E2" w:rsidP="00D845F9">
      <w:pPr>
        <w:pStyle w:val="ListParagraph"/>
        <w:contextualSpacing w:val="0"/>
        <w:jc w:val="both"/>
        <w:rPr>
          <w:color w:val="000000" w:themeColor="text1"/>
          <w:shd w:val="clear" w:color="auto" w:fill="FFFFFF"/>
        </w:rPr>
        <w:sectPr w:rsidR="004672E2" w:rsidSect="004672E2">
          <w:type w:val="continuous"/>
          <w:pgSz w:w="11906" w:h="16838"/>
          <w:pgMar w:top="1440" w:right="1080" w:bottom="1440" w:left="1080" w:header="708" w:footer="708" w:gutter="0"/>
          <w:cols w:space="708"/>
          <w:docGrid w:linePitch="360"/>
        </w:sectPr>
      </w:pPr>
    </w:p>
    <w:p w14:paraId="38F7DAEF" w14:textId="2E7D57CA" w:rsidR="00BB4FB6" w:rsidRPr="00D845F9" w:rsidRDefault="00BB4FB6" w:rsidP="00D845F9">
      <w:pPr>
        <w:pStyle w:val="ListParagraph"/>
        <w:contextualSpacing w:val="0"/>
        <w:jc w:val="both"/>
        <w:rPr>
          <w:color w:val="000000" w:themeColor="text1"/>
          <w:shd w:val="clear" w:color="auto" w:fill="FFFFFF"/>
        </w:rPr>
      </w:pPr>
    </w:p>
    <w:p w14:paraId="2C6CCF5E" w14:textId="77777777" w:rsidR="00CF0BA7" w:rsidRDefault="00CF0BA7" w:rsidP="00CF0BA7">
      <w:pPr>
        <w:pStyle w:val="ListParagraph"/>
        <w:contextualSpacing w:val="0"/>
        <w:jc w:val="both"/>
        <w:rPr>
          <w:color w:val="000000" w:themeColor="text1"/>
          <w:shd w:val="clear" w:color="auto" w:fill="FFFFFF"/>
        </w:rPr>
      </w:pPr>
    </w:p>
    <w:p w14:paraId="27648CAA" w14:textId="3FAA7C12" w:rsidR="00501BFD" w:rsidRPr="00E315C1" w:rsidRDefault="00430B6F" w:rsidP="00E315C1">
      <w:pPr>
        <w:pStyle w:val="ListParagraph"/>
        <w:contextualSpacing w:val="0"/>
        <w:jc w:val="both"/>
        <w:rPr>
          <w:color w:val="000000" w:themeColor="text1"/>
        </w:rPr>
      </w:pPr>
      <w:r w:rsidRPr="00CF0BA7">
        <w:rPr>
          <w:color w:val="000000" w:themeColor="text1"/>
          <w:shd w:val="clear" w:color="auto" w:fill="FFFFFF"/>
        </w:rPr>
        <w:t xml:space="preserve">In </w:t>
      </w:r>
      <w:r w:rsidRPr="00CF0BA7">
        <w:rPr>
          <w:color w:val="000000" w:themeColor="text1"/>
        </w:rPr>
        <w:t>theory</w:t>
      </w:r>
      <w:r w:rsidR="00C67E9D" w:rsidRPr="00CF0BA7">
        <w:rPr>
          <w:color w:val="000000" w:themeColor="text1"/>
          <w:shd w:val="clear" w:color="auto" w:fill="FFFFFF"/>
        </w:rPr>
        <w:t>,</w:t>
      </w:r>
      <w:r w:rsidRPr="00CF0BA7">
        <w:rPr>
          <w:color w:val="000000" w:themeColor="text1"/>
          <w:shd w:val="clear" w:color="auto" w:fill="FFFFFF"/>
        </w:rPr>
        <w:t xml:space="preserve"> in the countries that signed the European Patent Convention (and in the others wh</w:t>
      </w:r>
      <w:r w:rsidR="008A22C0" w:rsidRPr="00CF0BA7">
        <w:rPr>
          <w:color w:val="000000" w:themeColor="text1"/>
          <w:shd w:val="clear" w:color="auto" w:fill="FFFFFF"/>
        </w:rPr>
        <w:t>ich</w:t>
      </w:r>
      <w:r w:rsidRPr="00CF0BA7">
        <w:rPr>
          <w:color w:val="000000" w:themeColor="text1"/>
          <w:shd w:val="clear" w:color="auto" w:fill="FFFFFF"/>
        </w:rPr>
        <w:t xml:space="preserve"> adopted a hybrid system</w:t>
      </w:r>
      <w:r w:rsidR="00D50BF5" w:rsidRPr="00CF0BA7">
        <w:rPr>
          <w:color w:val="000000" w:themeColor="text1"/>
          <w:shd w:val="clear" w:color="auto" w:fill="FFFFFF"/>
        </w:rPr>
        <w:t>,</w:t>
      </w:r>
      <w:r w:rsidRPr="00D845F9">
        <w:rPr>
          <w:rStyle w:val="FootnoteReference"/>
          <w:color w:val="000000" w:themeColor="text1"/>
          <w:shd w:val="clear" w:color="auto" w:fill="FFFFFF"/>
        </w:rPr>
        <w:footnoteReference w:id="133"/>
      </w:r>
      <w:r w:rsidRPr="00CF0BA7">
        <w:rPr>
          <w:color w:val="000000" w:themeColor="text1"/>
          <w:shd w:val="clear" w:color="auto" w:fill="FFFFFF"/>
        </w:rPr>
        <w:t xml:space="preserve"> such as India), computer programs are not patentable “as such”</w:t>
      </w:r>
      <w:r w:rsidRPr="00D845F9">
        <w:rPr>
          <w:rStyle w:val="FootnoteReference"/>
          <w:color w:val="000000" w:themeColor="text1"/>
          <w:shd w:val="clear" w:color="auto" w:fill="FFFFFF"/>
        </w:rPr>
        <w:footnoteReference w:id="134"/>
      </w:r>
      <w:r w:rsidRPr="00CF0BA7">
        <w:rPr>
          <w:color w:val="000000" w:themeColor="text1"/>
          <w:shd w:val="clear" w:color="auto" w:fill="FFFFFF"/>
        </w:rPr>
        <w:t xml:space="preserve"> </w:t>
      </w:r>
      <w:r w:rsidRPr="00CF0BA7">
        <w:rPr>
          <w:color w:val="000000" w:themeColor="text1"/>
        </w:rPr>
        <w:t>Features of the computer program</w:t>
      </w:r>
      <w:r w:rsidR="00D50BF5" w:rsidRPr="00CF0BA7">
        <w:rPr>
          <w:color w:val="000000" w:themeColor="text1"/>
        </w:rPr>
        <w:t>,</w:t>
      </w:r>
      <w:r w:rsidRPr="00D845F9">
        <w:rPr>
          <w:rStyle w:val="FootnoteReference"/>
          <w:color w:val="000000" w:themeColor="text1"/>
        </w:rPr>
        <w:footnoteReference w:id="135"/>
      </w:r>
      <w:r w:rsidRPr="00CF0BA7">
        <w:rPr>
          <w:color w:val="000000" w:themeColor="text1"/>
        </w:rPr>
        <w:t xml:space="preserve"> as well as the presence of a device defined in the claim</w:t>
      </w:r>
      <w:r w:rsidRPr="00D845F9">
        <w:rPr>
          <w:rStyle w:val="FootnoteReference"/>
          <w:color w:val="000000" w:themeColor="text1"/>
        </w:rPr>
        <w:footnoteReference w:id="136"/>
      </w:r>
      <w:r w:rsidRPr="00CF0BA7">
        <w:rPr>
          <w:color w:val="000000" w:themeColor="text1"/>
        </w:rPr>
        <w:t xml:space="preserve"> may lend technical character. Moreover, a computer program by itself can be patented if it brings about a further technical effect going beyond the normal physical interactions between the said program and </w:t>
      </w:r>
      <w:r w:rsidRPr="00E315C1">
        <w:rPr>
          <w:color w:val="000000" w:themeColor="text1"/>
        </w:rPr>
        <w:t>the computer</w:t>
      </w:r>
      <w:r w:rsidR="00D50BF5" w:rsidRPr="00E315C1">
        <w:rPr>
          <w:color w:val="000000" w:themeColor="text1"/>
        </w:rPr>
        <w:t>.</w:t>
      </w:r>
      <w:r w:rsidRPr="00D845F9">
        <w:rPr>
          <w:rStyle w:val="FootnoteReference"/>
          <w:color w:val="000000" w:themeColor="text1"/>
        </w:rPr>
        <w:footnoteReference w:id="137"/>
      </w:r>
      <w:r w:rsidR="005A0E28" w:rsidRPr="00E315C1">
        <w:rPr>
          <w:color w:val="000000" w:themeColor="text1"/>
        </w:rPr>
        <w:t xml:space="preserve"> In the UK, after </w:t>
      </w:r>
      <w:r w:rsidR="005A0E28" w:rsidRPr="00E315C1">
        <w:rPr>
          <w:i/>
          <w:color w:val="000000" w:themeColor="text1"/>
        </w:rPr>
        <w:t>Symbian v Comptroller-General of Patents</w:t>
      </w:r>
      <w:r w:rsidR="0041035E" w:rsidRPr="00E315C1">
        <w:rPr>
          <w:i/>
          <w:color w:val="000000" w:themeColor="text1"/>
        </w:rPr>
        <w:t>,</w:t>
      </w:r>
      <w:r w:rsidR="005A0E28" w:rsidRPr="00D845F9">
        <w:rPr>
          <w:rStyle w:val="FootnoteReference"/>
          <w:i/>
          <w:color w:val="000000" w:themeColor="text1"/>
        </w:rPr>
        <w:footnoteReference w:id="138"/>
      </w:r>
      <w:r w:rsidR="005A0E28" w:rsidRPr="00E315C1">
        <w:rPr>
          <w:i/>
          <w:color w:val="000000" w:themeColor="text1"/>
        </w:rPr>
        <w:t xml:space="preserve"> </w:t>
      </w:r>
      <w:r w:rsidR="005A0E28" w:rsidRPr="00E315C1">
        <w:rPr>
          <w:color w:val="000000" w:themeColor="text1"/>
        </w:rPr>
        <w:t xml:space="preserve">the focus is not on the question whether the contribution falls within </w:t>
      </w:r>
      <w:r w:rsidR="00FF1C39" w:rsidRPr="00E315C1">
        <w:rPr>
          <w:color w:val="000000" w:themeColor="text1"/>
        </w:rPr>
        <w:t>the excluded subject matter</w:t>
      </w:r>
      <w:r w:rsidR="00D50BF5" w:rsidRPr="00E315C1">
        <w:rPr>
          <w:color w:val="000000" w:themeColor="text1"/>
        </w:rPr>
        <w:t>,</w:t>
      </w:r>
      <w:r w:rsidR="00FF1C39" w:rsidRPr="00D845F9">
        <w:rPr>
          <w:rStyle w:val="FootnoteReference"/>
          <w:color w:val="000000" w:themeColor="text1"/>
        </w:rPr>
        <w:footnoteReference w:id="139"/>
      </w:r>
      <w:r w:rsidR="00FF1C39" w:rsidRPr="00E315C1">
        <w:rPr>
          <w:color w:val="000000" w:themeColor="text1"/>
        </w:rPr>
        <w:t xml:space="preserve"> but on whether the invention makes a technical contribution to the known art, even if the computer program does not bring any novel effect outside of a computer.</w:t>
      </w:r>
      <w:r w:rsidR="00D50D69" w:rsidRPr="00D845F9">
        <w:rPr>
          <w:rStyle w:val="FootnoteReference"/>
          <w:color w:val="000000" w:themeColor="text1"/>
        </w:rPr>
        <w:footnoteReference w:id="140"/>
      </w:r>
      <w:r w:rsidR="0041035E" w:rsidRPr="00E315C1">
        <w:rPr>
          <w:color w:val="000000" w:themeColor="text1"/>
        </w:rPr>
        <w:t xml:space="preserve"> </w:t>
      </w:r>
    </w:p>
    <w:p w14:paraId="29E8B4B2" w14:textId="77777777" w:rsidR="005805C5" w:rsidRDefault="00FF1C39" w:rsidP="005805C5">
      <w:pPr>
        <w:pStyle w:val="ListParagraph"/>
        <w:contextualSpacing w:val="0"/>
        <w:jc w:val="both"/>
        <w:rPr>
          <w:color w:val="000000" w:themeColor="text1"/>
        </w:rPr>
      </w:pPr>
      <w:r w:rsidRPr="00D845F9">
        <w:rPr>
          <w:color w:val="000000" w:themeColor="text1"/>
        </w:rPr>
        <w:t>Even though some courts or examiners may consider algorithms as computer programs, they should probably be more precisely seen as mathematical methods</w:t>
      </w:r>
      <w:r w:rsidR="00D958B9" w:rsidRPr="00D845F9">
        <w:rPr>
          <w:color w:val="000000" w:themeColor="text1"/>
        </w:rPr>
        <w:t>. T</w:t>
      </w:r>
      <w:r w:rsidRPr="00D845F9">
        <w:rPr>
          <w:color w:val="000000" w:themeColor="text1"/>
        </w:rPr>
        <w:t xml:space="preserve">he European Patent Office’s Board of Appeals </w:t>
      </w:r>
      <w:r w:rsidR="005F3EE2" w:rsidRPr="00D845F9">
        <w:rPr>
          <w:color w:val="000000" w:themeColor="text1"/>
          <w:shd w:val="clear" w:color="auto" w:fill="FFFFFF"/>
        </w:rPr>
        <w:t xml:space="preserve">stated that algorithms are </w:t>
      </w:r>
      <w:r w:rsidRPr="00D845F9">
        <w:rPr>
          <w:color w:val="000000" w:themeColor="text1"/>
          <w:shd w:val="clear" w:color="auto" w:fill="FFFFFF"/>
        </w:rPr>
        <w:t>mathematical methods, as such deemed to be non-inventions; therefore</w:t>
      </w:r>
      <w:r w:rsidR="00D50BF5" w:rsidRPr="00D845F9">
        <w:rPr>
          <w:color w:val="000000" w:themeColor="text1"/>
          <w:shd w:val="clear" w:color="auto" w:fill="FFFFFF"/>
        </w:rPr>
        <w:t>,</w:t>
      </w:r>
      <w:r w:rsidRPr="00D845F9">
        <w:rPr>
          <w:color w:val="000000" w:themeColor="text1"/>
          <w:shd w:val="clear" w:color="auto" w:fill="FFFFFF"/>
        </w:rPr>
        <w:t xml:space="preserve"> a technical character of the algorithm can be </w:t>
      </w:r>
      <w:r w:rsidR="007925E4" w:rsidRPr="00D845F9">
        <w:rPr>
          <w:color w:val="000000" w:themeColor="text1"/>
          <w:shd w:val="clear" w:color="auto" w:fill="FFFFFF"/>
        </w:rPr>
        <w:t>recogn</w:t>
      </w:r>
      <w:r w:rsidR="00255DC4" w:rsidRPr="00D845F9">
        <w:rPr>
          <w:color w:val="000000" w:themeColor="text1"/>
          <w:shd w:val="clear" w:color="auto" w:fill="FFFFFF"/>
        </w:rPr>
        <w:t>ised</w:t>
      </w:r>
      <w:r w:rsidRPr="00D845F9">
        <w:rPr>
          <w:color w:val="000000" w:themeColor="text1"/>
          <w:shd w:val="clear" w:color="auto" w:fill="FFFFFF"/>
        </w:rPr>
        <w:t xml:space="preserve"> only if it serves a technical purpose</w:t>
      </w:r>
      <w:r w:rsidR="00D50BF5" w:rsidRPr="00D845F9">
        <w:rPr>
          <w:color w:val="000000" w:themeColor="text1"/>
          <w:shd w:val="clear" w:color="auto" w:fill="FFFFFF"/>
        </w:rPr>
        <w:t>.</w:t>
      </w:r>
      <w:r w:rsidRPr="00D845F9">
        <w:rPr>
          <w:rStyle w:val="FootnoteReference"/>
          <w:color w:val="000000" w:themeColor="text1"/>
          <w:shd w:val="clear" w:color="auto" w:fill="FFFFFF"/>
        </w:rPr>
        <w:footnoteReference w:id="141"/>
      </w:r>
      <w:r w:rsidRPr="00D845F9">
        <w:rPr>
          <w:color w:val="000000" w:themeColor="text1"/>
          <w:shd w:val="clear" w:color="auto" w:fill="FFFFFF"/>
        </w:rPr>
        <w:t xml:space="preserve"> The fact that a computer-implemented invention includes an algorithm can make the former patentable. Indeed, it has been </w:t>
      </w:r>
      <w:r w:rsidR="007925E4" w:rsidRPr="00D845F9">
        <w:rPr>
          <w:color w:val="000000" w:themeColor="text1"/>
          <w:shd w:val="clear" w:color="auto" w:fill="FFFFFF"/>
        </w:rPr>
        <w:t>recogn</w:t>
      </w:r>
      <w:r w:rsidR="00255DC4" w:rsidRPr="00D845F9">
        <w:rPr>
          <w:color w:val="000000" w:themeColor="text1"/>
          <w:shd w:val="clear" w:color="auto" w:fill="FFFFFF"/>
        </w:rPr>
        <w:t>ised</w:t>
      </w:r>
      <w:r w:rsidRPr="00D845F9">
        <w:rPr>
          <w:color w:val="000000" w:themeColor="text1"/>
          <w:shd w:val="clear" w:color="auto" w:fill="FFFFFF"/>
        </w:rPr>
        <w:t xml:space="preserve"> that mathematical algorithms may contribute to the technical character of an invention</w:t>
      </w:r>
      <w:r w:rsidR="008A22C0" w:rsidRPr="00D845F9">
        <w:rPr>
          <w:color w:val="000000" w:themeColor="text1"/>
          <w:shd w:val="clear" w:color="auto" w:fill="FFFFFF"/>
        </w:rPr>
        <w:t xml:space="preserve">, </w:t>
      </w:r>
      <w:r w:rsidR="005A01EC" w:rsidRPr="00D845F9">
        <w:rPr>
          <w:color w:val="000000" w:themeColor="text1"/>
          <w:shd w:val="clear" w:color="auto" w:fill="FFFFFF"/>
        </w:rPr>
        <w:t>inasmuch as</w:t>
      </w:r>
      <w:r w:rsidRPr="00D845F9">
        <w:rPr>
          <w:color w:val="000000" w:themeColor="text1"/>
          <w:shd w:val="clear" w:color="auto" w:fill="FFFFFF"/>
        </w:rPr>
        <w:t xml:space="preserve"> </w:t>
      </w:r>
      <w:r w:rsidR="005A01EC" w:rsidRPr="00D845F9">
        <w:rPr>
          <w:color w:val="000000" w:themeColor="text1"/>
          <w:shd w:val="clear" w:color="auto" w:fill="FFFFFF"/>
        </w:rPr>
        <w:t>they serve a technical purpose</w:t>
      </w:r>
      <w:r w:rsidR="00D50BF5" w:rsidRPr="00D845F9">
        <w:rPr>
          <w:color w:val="000000" w:themeColor="text1"/>
          <w:shd w:val="clear" w:color="auto" w:fill="FFFFFF"/>
        </w:rPr>
        <w:t>.</w:t>
      </w:r>
      <w:r w:rsidR="005A01EC" w:rsidRPr="00D845F9">
        <w:rPr>
          <w:rStyle w:val="FootnoteReference"/>
          <w:color w:val="000000" w:themeColor="text1"/>
          <w:shd w:val="clear" w:color="auto" w:fill="FFFFFF"/>
        </w:rPr>
        <w:footnoteReference w:id="142"/>
      </w:r>
      <w:r w:rsidR="005A01EC" w:rsidRPr="00D845F9">
        <w:rPr>
          <w:color w:val="000000" w:themeColor="text1"/>
          <w:shd w:val="clear" w:color="auto" w:fill="FFFFFF"/>
        </w:rPr>
        <w:t xml:space="preserve"> For example, text classification does not qualify as technical purpose</w:t>
      </w:r>
      <w:r w:rsidR="00D50BF5" w:rsidRPr="00D845F9">
        <w:rPr>
          <w:color w:val="000000" w:themeColor="text1"/>
          <w:shd w:val="clear" w:color="auto" w:fill="FFFFFF"/>
        </w:rPr>
        <w:t>.</w:t>
      </w:r>
      <w:r w:rsidR="005A01EC" w:rsidRPr="00D845F9">
        <w:rPr>
          <w:rStyle w:val="FootnoteReference"/>
          <w:color w:val="000000" w:themeColor="text1"/>
          <w:shd w:val="clear" w:color="auto" w:fill="FFFFFF"/>
        </w:rPr>
        <w:footnoteReference w:id="143"/>
      </w:r>
      <w:r w:rsidR="00E26641" w:rsidRPr="00D845F9">
        <w:rPr>
          <w:color w:val="000000" w:themeColor="text1"/>
          <w:shd w:val="clear" w:color="auto" w:fill="FFFFFF"/>
        </w:rPr>
        <w:t xml:space="preserve"> </w:t>
      </w:r>
      <w:r w:rsidR="00A650B1" w:rsidRPr="00D845F9">
        <w:rPr>
          <w:color w:val="000000" w:themeColor="text1"/>
          <w:shd w:val="clear" w:color="auto" w:fill="FFFFFF"/>
        </w:rPr>
        <w:t>A technical effect may arise either from the provision of data about a technical process, or from the provision of data that is applied directly in a technical process</w:t>
      </w:r>
      <w:r w:rsidR="00D50BF5" w:rsidRPr="00D845F9">
        <w:rPr>
          <w:color w:val="000000" w:themeColor="text1"/>
          <w:shd w:val="clear" w:color="auto" w:fill="FFFFFF"/>
        </w:rPr>
        <w:t>.</w:t>
      </w:r>
      <w:r w:rsidR="00A650B1" w:rsidRPr="00D845F9">
        <w:rPr>
          <w:rStyle w:val="FootnoteReference"/>
          <w:color w:val="000000" w:themeColor="text1"/>
          <w:shd w:val="clear" w:color="auto" w:fill="FFFFFF"/>
        </w:rPr>
        <w:footnoteReference w:id="144"/>
      </w:r>
      <w:r w:rsidR="00A650B1" w:rsidRPr="00D845F9">
        <w:rPr>
          <w:color w:val="000000" w:themeColor="text1"/>
          <w:shd w:val="clear" w:color="auto" w:fill="FFFFFF"/>
        </w:rPr>
        <w:t xml:space="preserve"> </w:t>
      </w:r>
      <w:r w:rsidR="005A01EC" w:rsidRPr="00D845F9">
        <w:rPr>
          <w:color w:val="000000" w:themeColor="text1"/>
          <w:shd w:val="clear" w:color="auto" w:fill="FFFFFF"/>
        </w:rPr>
        <w:t>However, the inclusion of an algorithm in a patent application for a computer-implemented invention does not</w:t>
      </w:r>
      <w:r w:rsidR="000723F0" w:rsidRPr="00D845F9">
        <w:rPr>
          <w:color w:val="000000" w:themeColor="text1"/>
          <w:shd w:val="clear" w:color="auto" w:fill="FFFFFF"/>
        </w:rPr>
        <w:t>, in itself, ensure</w:t>
      </w:r>
      <w:r w:rsidR="005A01EC" w:rsidRPr="00D845F9">
        <w:rPr>
          <w:color w:val="000000" w:themeColor="text1"/>
          <w:shd w:val="clear" w:color="auto" w:fill="FFFFFF"/>
        </w:rPr>
        <w:t xml:space="preserve"> patentability. Indeed, not all efficiency aspects of an algorithm are by definition without relevance for the question of whether the algorithm provi</w:t>
      </w:r>
      <w:r w:rsidR="008A22C0" w:rsidRPr="00D845F9">
        <w:rPr>
          <w:color w:val="000000" w:themeColor="text1"/>
          <w:shd w:val="clear" w:color="auto" w:fill="FFFFFF"/>
        </w:rPr>
        <w:t>des a technical contribution. However,</w:t>
      </w:r>
      <w:r w:rsidR="005A01EC" w:rsidRPr="00D845F9">
        <w:rPr>
          <w:color w:val="000000" w:themeColor="text1"/>
          <w:shd w:val="clear" w:color="auto" w:fill="FFFFFF"/>
        </w:rPr>
        <w:t xml:space="preserve"> such technical considerations must go beyond merely finding a computer algorithm to carry out some procedure</w:t>
      </w:r>
      <w:r w:rsidR="00D50BF5" w:rsidRPr="00D845F9">
        <w:rPr>
          <w:color w:val="000000" w:themeColor="text1"/>
          <w:shd w:val="clear" w:color="auto" w:fill="FFFFFF"/>
        </w:rPr>
        <w:t>.</w:t>
      </w:r>
      <w:r w:rsidR="005A01EC" w:rsidRPr="00D845F9">
        <w:rPr>
          <w:rStyle w:val="FootnoteReference"/>
          <w:color w:val="000000" w:themeColor="text1"/>
          <w:shd w:val="clear" w:color="auto" w:fill="FFFFFF"/>
        </w:rPr>
        <w:footnoteReference w:id="145"/>
      </w:r>
      <w:r w:rsidR="001D5068" w:rsidRPr="00D845F9">
        <w:rPr>
          <w:color w:val="000000" w:themeColor="text1"/>
          <w:shd w:val="clear" w:color="auto" w:fill="FFFFFF"/>
        </w:rPr>
        <w:t xml:space="preserve"> </w:t>
      </w:r>
      <w:r w:rsidR="005805C5" w:rsidRPr="00D845F9">
        <w:rPr>
          <w:color w:val="000000" w:themeColor="text1"/>
          <w:shd w:val="clear" w:color="auto" w:fill="FFFFFF"/>
        </w:rPr>
        <w:t>In the US, legal scholars</w:t>
      </w:r>
      <w:r w:rsidR="005805C5" w:rsidRPr="00D845F9">
        <w:rPr>
          <w:rStyle w:val="FootnoteReference"/>
          <w:color w:val="000000" w:themeColor="text1"/>
          <w:shd w:val="clear" w:color="auto" w:fill="FFFFFF"/>
        </w:rPr>
        <w:footnoteReference w:id="146"/>
      </w:r>
      <w:r w:rsidR="005805C5" w:rsidRPr="00D845F9">
        <w:rPr>
          <w:color w:val="000000" w:themeColor="text1"/>
          <w:shd w:val="clear" w:color="auto" w:fill="FFFFFF"/>
        </w:rPr>
        <w:t xml:space="preserve"> have focused on how to </w:t>
      </w:r>
      <w:r w:rsidR="005805C5">
        <w:rPr>
          <w:color w:val="000000" w:themeColor="text1"/>
          <w:shd w:val="clear" w:color="auto" w:fill="FFFFFF"/>
        </w:rPr>
        <w:t>evidence</w:t>
      </w:r>
      <w:r w:rsidR="005805C5" w:rsidRPr="00D845F9">
        <w:rPr>
          <w:color w:val="000000" w:themeColor="text1"/>
          <w:shd w:val="clear" w:color="auto" w:fill="FFFFFF"/>
        </w:rPr>
        <w:t xml:space="preserve"> an improvement in algorithmic technique. It has been suggested to run the algorithm on test problems with known solutions and compare the results with those of algorithms in the prior art, with particular regards to speed, performance, memory usage, and ease of implementation</w:t>
      </w:r>
      <w:r w:rsidR="005805C5" w:rsidRPr="00D845F9">
        <w:rPr>
          <w:color w:val="000000" w:themeColor="text1"/>
        </w:rPr>
        <w:t>.</w:t>
      </w:r>
      <w:r w:rsidR="005805C5" w:rsidRPr="00D845F9">
        <w:rPr>
          <w:rStyle w:val="FootnoteReference"/>
          <w:color w:val="000000" w:themeColor="text1"/>
        </w:rPr>
        <w:footnoteReference w:id="147"/>
      </w:r>
    </w:p>
    <w:p w14:paraId="5775196B" w14:textId="73B60B9E" w:rsidR="00FF1C39" w:rsidRPr="005805C5" w:rsidRDefault="001D5068" w:rsidP="005805C5">
      <w:pPr>
        <w:pStyle w:val="ListParagraph"/>
        <w:contextualSpacing w:val="0"/>
        <w:jc w:val="both"/>
        <w:rPr>
          <w:color w:val="000000" w:themeColor="text1"/>
          <w:shd w:val="clear" w:color="auto" w:fill="FFFFFF"/>
        </w:rPr>
      </w:pPr>
      <w:r w:rsidRPr="005805C5">
        <w:rPr>
          <w:color w:val="000000" w:themeColor="text1"/>
          <w:shd w:val="clear" w:color="auto" w:fill="FFFFFF"/>
        </w:rPr>
        <w:t xml:space="preserve">Unlike copyright, most uses of a computer-implemented invention are prohibited if not </w:t>
      </w:r>
      <w:r w:rsidR="00D50D69" w:rsidRPr="005805C5">
        <w:rPr>
          <w:color w:val="000000" w:themeColor="text1"/>
          <w:shd w:val="clear" w:color="auto" w:fill="FFFFFF"/>
        </w:rPr>
        <w:t>authoris</w:t>
      </w:r>
      <w:r w:rsidRPr="005805C5">
        <w:rPr>
          <w:color w:val="000000" w:themeColor="text1"/>
          <w:shd w:val="clear" w:color="auto" w:fill="FFFFFF"/>
        </w:rPr>
        <w:t>ed and maybe that is why scholars tend to overlook patent exceptions</w:t>
      </w:r>
      <w:r w:rsidR="00D50BF5" w:rsidRPr="005805C5">
        <w:rPr>
          <w:color w:val="000000" w:themeColor="text1"/>
          <w:shd w:val="clear" w:color="auto" w:fill="FFFFFF"/>
        </w:rPr>
        <w:t>.</w:t>
      </w:r>
      <w:r w:rsidRPr="00D845F9">
        <w:rPr>
          <w:rStyle w:val="FootnoteReference"/>
          <w:color w:val="000000" w:themeColor="text1"/>
          <w:shd w:val="clear" w:color="auto" w:fill="FFFFFF"/>
        </w:rPr>
        <w:footnoteReference w:id="148"/>
      </w:r>
      <w:r w:rsidRPr="005805C5">
        <w:rPr>
          <w:color w:val="000000" w:themeColor="text1"/>
          <w:shd w:val="clear" w:color="auto" w:fill="FFFFFF"/>
        </w:rPr>
        <w:t xml:space="preserve"> However, in proceedings for infringement </w:t>
      </w:r>
      <w:r w:rsidR="00D836DC" w:rsidRPr="005805C5">
        <w:rPr>
          <w:color w:val="000000" w:themeColor="text1"/>
          <w:shd w:val="clear" w:color="auto" w:fill="FFFFFF"/>
        </w:rPr>
        <w:t>defendants may avail themselves of the private non-commercial use</w:t>
      </w:r>
      <w:r w:rsidR="00D836DC" w:rsidRPr="00D845F9">
        <w:rPr>
          <w:rStyle w:val="FootnoteReference"/>
          <w:color w:val="000000" w:themeColor="text1"/>
          <w:shd w:val="clear" w:color="auto" w:fill="FFFFFF"/>
        </w:rPr>
        <w:footnoteReference w:id="149"/>
      </w:r>
      <w:r w:rsidR="00D836DC" w:rsidRPr="005805C5">
        <w:rPr>
          <w:color w:val="000000" w:themeColor="text1"/>
          <w:shd w:val="clear" w:color="auto" w:fill="FFFFFF"/>
        </w:rPr>
        <w:t xml:space="preserve"> and experimental use</w:t>
      </w:r>
      <w:r w:rsidR="00570107" w:rsidRPr="00D845F9">
        <w:rPr>
          <w:rStyle w:val="FootnoteReference"/>
          <w:color w:val="000000" w:themeColor="text1"/>
          <w:shd w:val="clear" w:color="auto" w:fill="FFFFFF"/>
        </w:rPr>
        <w:footnoteReference w:id="150"/>
      </w:r>
      <w:r w:rsidR="00D836DC" w:rsidRPr="005805C5">
        <w:rPr>
          <w:color w:val="000000" w:themeColor="text1"/>
          <w:shd w:val="clear" w:color="auto" w:fill="FFFFFF"/>
        </w:rPr>
        <w:t xml:space="preserve"> </w:t>
      </w:r>
      <w:r w:rsidR="007515A2" w:rsidRPr="005805C5">
        <w:rPr>
          <w:color w:val="000000" w:themeColor="text1"/>
          <w:shd w:val="clear" w:color="auto" w:fill="FFFFFF"/>
        </w:rPr>
        <w:t>defenc</w:t>
      </w:r>
      <w:r w:rsidR="007925E4" w:rsidRPr="005805C5">
        <w:rPr>
          <w:color w:val="000000" w:themeColor="text1"/>
          <w:shd w:val="clear" w:color="auto" w:fill="FFFFFF"/>
        </w:rPr>
        <w:t>es</w:t>
      </w:r>
      <w:r w:rsidR="00D836DC" w:rsidRPr="005805C5">
        <w:rPr>
          <w:color w:val="000000" w:themeColor="text1"/>
          <w:shd w:val="clear" w:color="auto" w:fill="FFFFFF"/>
        </w:rPr>
        <w:t>. One can qualify for the first immunity even when the resulting informati</w:t>
      </w:r>
      <w:r w:rsidR="00D7177C" w:rsidRPr="005805C5">
        <w:rPr>
          <w:color w:val="000000" w:themeColor="text1"/>
          <w:shd w:val="clear" w:color="auto" w:fill="FFFFFF"/>
        </w:rPr>
        <w:t xml:space="preserve">on has a commercial benefit, or </w:t>
      </w:r>
      <w:r w:rsidR="00D836DC" w:rsidRPr="005805C5">
        <w:rPr>
          <w:color w:val="000000" w:themeColor="text1"/>
          <w:shd w:val="clear" w:color="auto" w:fill="FFFFFF"/>
        </w:rPr>
        <w:t>the subjective intention was not commercial</w:t>
      </w:r>
      <w:r w:rsidR="00D50BF5" w:rsidRPr="005805C5">
        <w:rPr>
          <w:color w:val="000000" w:themeColor="text1"/>
          <w:shd w:val="clear" w:color="auto" w:fill="FFFFFF"/>
        </w:rPr>
        <w:t>.</w:t>
      </w:r>
      <w:r w:rsidR="00D836DC" w:rsidRPr="00D845F9">
        <w:rPr>
          <w:rStyle w:val="FootnoteReference"/>
          <w:color w:val="000000" w:themeColor="text1"/>
          <w:shd w:val="clear" w:color="auto" w:fill="FFFFFF"/>
        </w:rPr>
        <w:footnoteReference w:id="151"/>
      </w:r>
      <w:r w:rsidR="00D836DC" w:rsidRPr="005805C5">
        <w:rPr>
          <w:color w:val="000000" w:themeColor="text1"/>
          <w:shd w:val="clear" w:color="auto" w:fill="FFFFFF"/>
        </w:rPr>
        <w:t xml:space="preserve"> This is particularly interesting because in the UK there is no private copy exception</w:t>
      </w:r>
      <w:r w:rsidR="007515A2" w:rsidRPr="005805C5">
        <w:rPr>
          <w:color w:val="000000" w:themeColor="text1"/>
          <w:shd w:val="clear" w:color="auto" w:fill="FFFFFF"/>
        </w:rPr>
        <w:t xml:space="preserve"> to copyright</w:t>
      </w:r>
      <w:r w:rsidR="00D50BF5" w:rsidRPr="005805C5">
        <w:rPr>
          <w:color w:val="000000" w:themeColor="text1"/>
          <w:shd w:val="clear" w:color="auto" w:fill="FFFFFF"/>
        </w:rPr>
        <w:t>.</w:t>
      </w:r>
      <w:r w:rsidR="00D836DC" w:rsidRPr="00D845F9">
        <w:rPr>
          <w:rStyle w:val="FootnoteReference"/>
          <w:color w:val="000000" w:themeColor="text1"/>
          <w:shd w:val="clear" w:color="auto" w:fill="FFFFFF"/>
        </w:rPr>
        <w:footnoteReference w:id="152"/>
      </w:r>
      <w:r w:rsidR="00570107" w:rsidRPr="005805C5">
        <w:rPr>
          <w:color w:val="000000" w:themeColor="text1"/>
          <w:shd w:val="clear" w:color="auto" w:fill="FFFFFF"/>
        </w:rPr>
        <w:t xml:space="preserve"> As to the second </w:t>
      </w:r>
      <w:r w:rsidR="007515A2" w:rsidRPr="005805C5">
        <w:rPr>
          <w:color w:val="000000" w:themeColor="text1"/>
          <w:shd w:val="clear" w:color="auto" w:fill="FFFFFF"/>
        </w:rPr>
        <w:t>defenc</w:t>
      </w:r>
      <w:r w:rsidR="007925E4" w:rsidRPr="005805C5">
        <w:rPr>
          <w:color w:val="000000" w:themeColor="text1"/>
          <w:shd w:val="clear" w:color="auto" w:fill="FFFFFF"/>
        </w:rPr>
        <w:t>e</w:t>
      </w:r>
      <w:r w:rsidR="00570107" w:rsidRPr="005805C5">
        <w:rPr>
          <w:color w:val="000000" w:themeColor="text1"/>
          <w:shd w:val="clear" w:color="auto" w:fill="FFFFFF"/>
        </w:rPr>
        <w:t>, activities to discover something unknown, to test a hypothesis or to assess whether an invention works are considered as experiments</w:t>
      </w:r>
      <w:r w:rsidR="007515A2" w:rsidRPr="005805C5">
        <w:rPr>
          <w:color w:val="000000" w:themeColor="text1"/>
          <w:shd w:val="clear" w:color="auto" w:fill="FFFFFF"/>
        </w:rPr>
        <w:t xml:space="preserve"> and non-infringing</w:t>
      </w:r>
      <w:r w:rsidR="00D50BF5" w:rsidRPr="005805C5">
        <w:rPr>
          <w:color w:val="000000" w:themeColor="text1"/>
          <w:shd w:val="clear" w:color="auto" w:fill="FFFFFF"/>
        </w:rPr>
        <w:t>.</w:t>
      </w:r>
      <w:r w:rsidR="00570107" w:rsidRPr="00D845F9">
        <w:rPr>
          <w:rStyle w:val="FootnoteReference"/>
          <w:color w:val="000000" w:themeColor="text1"/>
          <w:shd w:val="clear" w:color="auto" w:fill="FFFFFF"/>
        </w:rPr>
        <w:footnoteReference w:id="153"/>
      </w:r>
      <w:r w:rsidR="000E36C9" w:rsidRPr="005805C5">
        <w:rPr>
          <w:color w:val="000000" w:themeColor="text1"/>
          <w:shd w:val="clear" w:color="auto" w:fill="FFFFFF"/>
        </w:rPr>
        <w:t xml:space="preserve"> However, this </w:t>
      </w:r>
      <w:r w:rsidR="007515A2" w:rsidRPr="005805C5">
        <w:rPr>
          <w:color w:val="000000" w:themeColor="text1"/>
          <w:shd w:val="clear" w:color="auto" w:fill="FFFFFF"/>
        </w:rPr>
        <w:t>defenc</w:t>
      </w:r>
      <w:r w:rsidR="007925E4" w:rsidRPr="005805C5">
        <w:rPr>
          <w:color w:val="000000" w:themeColor="text1"/>
          <w:shd w:val="clear" w:color="auto" w:fill="FFFFFF"/>
        </w:rPr>
        <w:t>e</w:t>
      </w:r>
      <w:r w:rsidR="000E36C9" w:rsidRPr="005805C5">
        <w:rPr>
          <w:color w:val="000000" w:themeColor="text1"/>
          <w:shd w:val="clear" w:color="auto" w:fill="FFFFFF"/>
        </w:rPr>
        <w:t xml:space="preserve"> </w:t>
      </w:r>
      <w:r w:rsidR="007515A2" w:rsidRPr="005805C5">
        <w:rPr>
          <w:color w:val="000000" w:themeColor="text1"/>
          <w:shd w:val="clear" w:color="auto" w:fill="FFFFFF"/>
        </w:rPr>
        <w:t>may be</w:t>
      </w:r>
      <w:r w:rsidR="000E36C9" w:rsidRPr="005805C5">
        <w:rPr>
          <w:color w:val="000000" w:themeColor="text1"/>
          <w:shd w:val="clear" w:color="auto" w:fill="FFFFFF"/>
        </w:rPr>
        <w:t xml:space="preserve"> of limited use in the context of accessing algorithms, because it cannot be invoked to show that a product works in the way claimed by the maker</w:t>
      </w:r>
      <w:r w:rsidR="00D50BF5" w:rsidRPr="005805C5">
        <w:rPr>
          <w:color w:val="000000" w:themeColor="text1"/>
          <w:shd w:val="clear" w:color="auto" w:fill="FFFFFF"/>
        </w:rPr>
        <w:t>.</w:t>
      </w:r>
      <w:r w:rsidR="000E36C9" w:rsidRPr="00D845F9">
        <w:rPr>
          <w:rStyle w:val="FootnoteReference"/>
          <w:color w:val="000000" w:themeColor="text1"/>
          <w:shd w:val="clear" w:color="auto" w:fill="FFFFFF"/>
        </w:rPr>
        <w:footnoteReference w:id="154"/>
      </w:r>
      <w:r w:rsidR="007515A2" w:rsidRPr="005805C5">
        <w:rPr>
          <w:color w:val="000000" w:themeColor="text1"/>
          <w:shd w:val="clear" w:color="auto" w:fill="FFFFFF"/>
        </w:rPr>
        <w:t xml:space="preserve"> Yet, arguably, when accessing the algorithm, the affected individual would have an interest to show that the algorithm-related invention does </w:t>
      </w:r>
      <w:r w:rsidR="007515A2" w:rsidRPr="005805C5">
        <w:rPr>
          <w:i/>
          <w:color w:val="000000" w:themeColor="text1"/>
          <w:shd w:val="clear" w:color="auto" w:fill="FFFFFF"/>
        </w:rPr>
        <w:t xml:space="preserve">not </w:t>
      </w:r>
      <w:r w:rsidR="007515A2" w:rsidRPr="005805C5">
        <w:rPr>
          <w:color w:val="000000" w:themeColor="text1"/>
          <w:shd w:val="clear" w:color="auto" w:fill="FFFFFF"/>
        </w:rPr>
        <w:t>work in the way claimed by the maker. Thus, this defence co</w:t>
      </w:r>
      <w:r w:rsidR="005805C5" w:rsidRPr="005805C5">
        <w:rPr>
          <w:color w:val="000000" w:themeColor="text1"/>
          <w:shd w:val="clear" w:color="auto" w:fill="FFFFFF"/>
        </w:rPr>
        <w:t>uld be usefully invoked when an algorithm-related invention</w:t>
      </w:r>
      <w:r w:rsidR="007515A2" w:rsidRPr="005805C5">
        <w:rPr>
          <w:color w:val="000000" w:themeColor="text1"/>
          <w:shd w:val="clear" w:color="auto" w:fill="FFFFFF"/>
        </w:rPr>
        <w:t xml:space="preserve"> is used to take decisions whose rationale </w:t>
      </w:r>
      <w:r w:rsidR="005805C5" w:rsidRPr="005805C5">
        <w:rPr>
          <w:color w:val="000000" w:themeColor="text1"/>
          <w:shd w:val="clear" w:color="auto" w:fill="FFFFFF"/>
        </w:rPr>
        <w:t xml:space="preserve">one wants to contest. </w:t>
      </w:r>
    </w:p>
    <w:p w14:paraId="6DD802F4" w14:textId="2B8EF323" w:rsidR="00297D03" w:rsidRPr="00A977D5" w:rsidRDefault="00EF5C0F" w:rsidP="00D845F9">
      <w:pPr>
        <w:pStyle w:val="ListParagraph"/>
        <w:contextualSpacing w:val="0"/>
        <w:jc w:val="both"/>
        <w:rPr>
          <w:color w:val="000000" w:themeColor="text1"/>
          <w:shd w:val="clear" w:color="auto" w:fill="FFFFFF"/>
        </w:rPr>
      </w:pPr>
      <w:r w:rsidRPr="00D845F9">
        <w:rPr>
          <w:color w:val="000000" w:themeColor="text1"/>
        </w:rPr>
        <w:t xml:space="preserve">Intellectual property </w:t>
      </w:r>
      <w:r w:rsidR="0041035E" w:rsidRPr="00D845F9">
        <w:rPr>
          <w:color w:val="000000" w:themeColor="text1"/>
          <w:shd w:val="clear" w:color="auto" w:fill="FFFFFF"/>
        </w:rPr>
        <w:t>seems</w:t>
      </w:r>
      <w:r w:rsidR="0041035E" w:rsidRPr="00D845F9">
        <w:rPr>
          <w:color w:val="000000" w:themeColor="text1"/>
        </w:rPr>
        <w:t xml:space="preserve"> to create more problems than solutions to the issue at hand.</w:t>
      </w:r>
      <w:r w:rsidR="00297D03" w:rsidRPr="00D845F9">
        <w:rPr>
          <w:color w:val="000000" w:themeColor="text1"/>
        </w:rPr>
        <w:t xml:space="preserve"> The route </w:t>
      </w:r>
      <w:r w:rsidR="00EC06CC" w:rsidRPr="00D845F9">
        <w:rPr>
          <w:color w:val="000000" w:themeColor="text1"/>
        </w:rPr>
        <w:t>above is weak for at least four</w:t>
      </w:r>
      <w:r w:rsidR="00297D03" w:rsidRPr="00D845F9">
        <w:rPr>
          <w:color w:val="000000" w:themeColor="text1"/>
        </w:rPr>
        <w:t xml:space="preserve"> reasons. First, the overlap between, if not abuse of, intellectual property rights</w:t>
      </w:r>
      <w:r w:rsidR="005805C5">
        <w:rPr>
          <w:rStyle w:val="FootnoteReference"/>
          <w:color w:val="000000" w:themeColor="text1"/>
        </w:rPr>
        <w:footnoteReference w:id="155"/>
      </w:r>
      <w:r w:rsidR="00297D03" w:rsidRPr="00D845F9">
        <w:rPr>
          <w:color w:val="000000" w:themeColor="text1"/>
        </w:rPr>
        <w:t xml:space="preserve"> create a legal black box which is very difficult to open. Second, the application of the study and observation exception </w:t>
      </w:r>
      <w:r w:rsidR="0022047B" w:rsidRPr="00D845F9">
        <w:rPr>
          <w:color w:val="000000" w:themeColor="text1"/>
        </w:rPr>
        <w:t xml:space="preserve">presupposes the lawful </w:t>
      </w:r>
      <w:r w:rsidR="002D5D67" w:rsidRPr="00D845F9">
        <w:rPr>
          <w:color w:val="000000" w:themeColor="text1"/>
        </w:rPr>
        <w:t xml:space="preserve">use of </w:t>
      </w:r>
      <w:r w:rsidR="00621249" w:rsidRPr="00D845F9">
        <w:rPr>
          <w:color w:val="000000" w:themeColor="text1"/>
        </w:rPr>
        <w:t xml:space="preserve">a </w:t>
      </w:r>
      <w:r w:rsidR="0022047B" w:rsidRPr="00D845F9">
        <w:rPr>
          <w:color w:val="000000" w:themeColor="text1"/>
        </w:rPr>
        <w:t>copy of the software,</w:t>
      </w:r>
      <w:r w:rsidR="002D5D67" w:rsidRPr="00D845F9">
        <w:rPr>
          <w:rStyle w:val="FootnoteReference"/>
          <w:color w:val="000000" w:themeColor="text1"/>
        </w:rPr>
        <w:footnoteReference w:id="156"/>
      </w:r>
      <w:r w:rsidR="0022047B" w:rsidRPr="00D845F9">
        <w:rPr>
          <w:color w:val="000000" w:themeColor="text1"/>
        </w:rPr>
        <w:t xml:space="preserve"> which is rarely the case in the event of algorithmic decisions.</w:t>
      </w:r>
      <w:r w:rsidR="00621249" w:rsidRPr="00D845F9">
        <w:rPr>
          <w:color w:val="000000" w:themeColor="text1"/>
        </w:rPr>
        <w:t xml:space="preserve"> </w:t>
      </w:r>
      <w:r w:rsidR="0022047B" w:rsidRPr="00D845F9">
        <w:rPr>
          <w:color w:val="000000" w:themeColor="text1"/>
        </w:rPr>
        <w:t xml:space="preserve">Third, </w:t>
      </w:r>
      <w:r w:rsidR="005805C5">
        <w:rPr>
          <w:color w:val="000000" w:themeColor="text1"/>
        </w:rPr>
        <w:t xml:space="preserve">even though the analysed copyright </w:t>
      </w:r>
      <w:r w:rsidR="0022047B" w:rsidRPr="00D845F9">
        <w:rPr>
          <w:color w:val="000000" w:themeColor="text1"/>
        </w:rPr>
        <w:t xml:space="preserve">exceptions </w:t>
      </w:r>
      <w:r w:rsidR="005805C5">
        <w:rPr>
          <w:color w:val="000000" w:themeColor="text1"/>
        </w:rPr>
        <w:t>have been qualified as quasi-rights,</w:t>
      </w:r>
      <w:r w:rsidR="0022047B" w:rsidRPr="00D845F9">
        <w:rPr>
          <w:color w:val="000000" w:themeColor="text1"/>
        </w:rPr>
        <w:t xml:space="preserve"> there is no precedent interpreting said exceptions to open the algorithmic black box.</w:t>
      </w:r>
      <w:r w:rsidR="00EC06CC" w:rsidRPr="00D845F9">
        <w:rPr>
          <w:color w:val="000000" w:themeColor="text1"/>
        </w:rPr>
        <w:t xml:space="preserve"> Lastly, it requires considerable skills to open an algorithm by observing </w:t>
      </w:r>
      <w:r w:rsidR="00A977D5">
        <w:rPr>
          <w:color w:val="000000" w:themeColor="text1"/>
        </w:rPr>
        <w:t>and studying</w:t>
      </w:r>
      <w:r w:rsidR="00EC06CC" w:rsidRPr="00D845F9">
        <w:rPr>
          <w:color w:val="000000" w:themeColor="text1"/>
        </w:rPr>
        <w:t xml:space="preserve"> the software that implements it.</w:t>
      </w:r>
      <w:r w:rsidR="00A977D5">
        <w:rPr>
          <w:color w:val="000000" w:themeColor="text1"/>
        </w:rPr>
        <w:t xml:space="preserve"> In most cases, there would be the need to ask an expert third party to carry out such activities on behalf of the lawful user of the software. However, applying </w:t>
      </w:r>
      <w:r w:rsidR="00A977D5">
        <w:rPr>
          <w:i/>
          <w:color w:val="000000" w:themeColor="text1"/>
        </w:rPr>
        <w:t>SAS Institute</w:t>
      </w:r>
      <w:r w:rsidR="00A977D5">
        <w:rPr>
          <w:color w:val="000000" w:themeColor="text1"/>
        </w:rPr>
        <w:t>,</w:t>
      </w:r>
      <w:r w:rsidR="00A977D5">
        <w:rPr>
          <w:rStyle w:val="FootnoteReference"/>
          <w:color w:val="000000" w:themeColor="text1"/>
        </w:rPr>
        <w:footnoteReference w:id="157"/>
      </w:r>
      <w:r w:rsidR="00A977D5">
        <w:rPr>
          <w:color w:val="000000" w:themeColor="text1"/>
        </w:rPr>
        <w:t xml:space="preserve"> it is unclear whether said third parties would qualify as lawful user. In the negative, this exception would be a little use in the majority of cases.</w:t>
      </w:r>
    </w:p>
    <w:p w14:paraId="425CF889" w14:textId="4F8C8847" w:rsidR="000F10B1" w:rsidRPr="00D845F9" w:rsidRDefault="0041035E" w:rsidP="00D845F9">
      <w:pPr>
        <w:pStyle w:val="ListParagraph"/>
        <w:contextualSpacing w:val="0"/>
        <w:jc w:val="both"/>
        <w:rPr>
          <w:color w:val="000000" w:themeColor="text1"/>
        </w:rPr>
      </w:pPr>
      <w:r w:rsidRPr="00D845F9">
        <w:rPr>
          <w:color w:val="000000" w:themeColor="text1"/>
        </w:rPr>
        <w:t xml:space="preserve"> To add to the complexity, intellectual property </w:t>
      </w:r>
      <w:r w:rsidR="00EC4827" w:rsidRPr="00D845F9">
        <w:rPr>
          <w:color w:val="000000" w:themeColor="text1"/>
        </w:rPr>
        <w:t>will</w:t>
      </w:r>
      <w:r w:rsidR="000F10B1" w:rsidRPr="00D845F9">
        <w:rPr>
          <w:color w:val="000000" w:themeColor="text1"/>
        </w:rPr>
        <w:t xml:space="preserve"> always be balanced with competing interests, such as data protection. As correctly pointed out</w:t>
      </w:r>
      <w:r w:rsidR="00A977D5">
        <w:rPr>
          <w:color w:val="000000" w:themeColor="text1"/>
        </w:rPr>
        <w:t>, for instance, “trade secrecy (…)</w:t>
      </w:r>
      <w:r w:rsidR="000F10B1" w:rsidRPr="00D845F9">
        <w:rPr>
          <w:color w:val="000000" w:themeColor="text1"/>
        </w:rPr>
        <w:t xml:space="preserve"> may make it difficult for data controllers to comply with their obligation of transparent processing</w:t>
      </w:r>
      <w:r w:rsidR="00D50BF5" w:rsidRPr="00D845F9">
        <w:rPr>
          <w:color w:val="000000" w:themeColor="text1"/>
        </w:rPr>
        <w:t>.</w:t>
      </w:r>
      <w:r w:rsidR="000F10B1" w:rsidRPr="00D845F9">
        <w:rPr>
          <w:color w:val="000000" w:themeColor="text1"/>
        </w:rPr>
        <w:t>”</w:t>
      </w:r>
      <w:r w:rsidR="000F10B1" w:rsidRPr="00D845F9">
        <w:rPr>
          <w:rStyle w:val="FootnoteReference"/>
          <w:color w:val="000000" w:themeColor="text1"/>
        </w:rPr>
        <w:footnoteReference w:id="158"/>
      </w:r>
      <w:r w:rsidR="000F10B1" w:rsidRPr="00D845F9">
        <w:rPr>
          <w:color w:val="000000" w:themeColor="text1"/>
        </w:rPr>
        <w:t xml:space="preserve"> Let us have a look, therefore, </w:t>
      </w:r>
      <w:r w:rsidR="008A22C0" w:rsidRPr="00D845F9">
        <w:rPr>
          <w:color w:val="000000" w:themeColor="text1"/>
        </w:rPr>
        <w:t>at</w:t>
      </w:r>
      <w:r w:rsidR="000F10B1" w:rsidRPr="00D845F9">
        <w:rPr>
          <w:color w:val="000000" w:themeColor="text1"/>
        </w:rPr>
        <w:t xml:space="preserve"> the </w:t>
      </w:r>
      <w:r w:rsidRPr="00D845F9">
        <w:rPr>
          <w:color w:val="000000" w:themeColor="text1"/>
        </w:rPr>
        <w:t>relevant data protection regime</w:t>
      </w:r>
      <w:r w:rsidR="000F10B1" w:rsidRPr="00D845F9">
        <w:rPr>
          <w:color w:val="000000" w:themeColor="text1"/>
        </w:rPr>
        <w:t>.</w:t>
      </w:r>
    </w:p>
    <w:p w14:paraId="39C5C061" w14:textId="77777777" w:rsidR="000723F0" w:rsidRPr="00D845F9" w:rsidRDefault="000723F0" w:rsidP="00D845F9">
      <w:pPr>
        <w:pStyle w:val="ListParagraph"/>
        <w:contextualSpacing w:val="0"/>
        <w:jc w:val="both"/>
        <w:rPr>
          <w:color w:val="000000" w:themeColor="text1"/>
        </w:rPr>
      </w:pPr>
    </w:p>
    <w:p w14:paraId="03B7715F" w14:textId="5D54E302" w:rsidR="000824E7" w:rsidRDefault="00604CF6" w:rsidP="00D845F9">
      <w:pPr>
        <w:pStyle w:val="ListParagraph"/>
        <w:contextualSpacing w:val="0"/>
        <w:jc w:val="both"/>
        <w:rPr>
          <w:color w:val="000000" w:themeColor="text1"/>
        </w:rPr>
      </w:pPr>
      <w:r w:rsidRPr="00D845F9">
        <w:rPr>
          <w:color w:val="000000" w:themeColor="text1"/>
        </w:rPr>
        <w:t xml:space="preserve"> </w:t>
      </w:r>
    </w:p>
    <w:p w14:paraId="1C95AE0D" w14:textId="77777777" w:rsidR="00A977D5" w:rsidRPr="00D845F9" w:rsidRDefault="00A977D5" w:rsidP="00D845F9">
      <w:pPr>
        <w:pStyle w:val="ListParagraph"/>
        <w:contextualSpacing w:val="0"/>
        <w:jc w:val="both"/>
        <w:rPr>
          <w:color w:val="000000" w:themeColor="text1"/>
        </w:rPr>
      </w:pPr>
    </w:p>
    <w:p w14:paraId="2F84F592" w14:textId="2C5DF16E" w:rsidR="00604CF6" w:rsidRPr="004672E2" w:rsidRDefault="00604CF6" w:rsidP="004672E2">
      <w:pPr>
        <w:pStyle w:val="NormalWeb"/>
        <w:numPr>
          <w:ilvl w:val="0"/>
          <w:numId w:val="15"/>
        </w:numPr>
        <w:rPr>
          <w:rFonts w:ascii="TitilliumMaps29L" w:hAnsi="TitilliumMaps29L"/>
          <w:sz w:val="28"/>
          <w:szCs w:val="28"/>
        </w:rPr>
      </w:pPr>
      <w:r w:rsidRPr="004672E2">
        <w:rPr>
          <w:rFonts w:ascii="TitilliumMaps29L" w:hAnsi="TitilliumMaps29L"/>
          <w:sz w:val="28"/>
          <w:szCs w:val="28"/>
        </w:rPr>
        <w:t>Algorithmic decision-making and EU data protection</w:t>
      </w:r>
    </w:p>
    <w:p w14:paraId="1ACDB463" w14:textId="77777777" w:rsidR="00D363D0" w:rsidRPr="00D845F9" w:rsidRDefault="00D363D0" w:rsidP="00D845F9">
      <w:pPr>
        <w:pStyle w:val="ListParagraph"/>
        <w:ind w:left="1440"/>
        <w:contextualSpacing w:val="0"/>
        <w:jc w:val="both"/>
        <w:rPr>
          <w:b/>
          <w:color w:val="000000" w:themeColor="text1"/>
        </w:rPr>
      </w:pPr>
    </w:p>
    <w:p w14:paraId="608E0557" w14:textId="35F1ADC2" w:rsidR="00D87319" w:rsidRPr="00D845F9" w:rsidRDefault="00D87319" w:rsidP="00D845F9">
      <w:pPr>
        <w:pStyle w:val="ListParagraph"/>
        <w:contextualSpacing w:val="0"/>
        <w:jc w:val="both"/>
        <w:rPr>
          <w:color w:val="000000" w:themeColor="text1"/>
        </w:rPr>
      </w:pPr>
      <w:r w:rsidRPr="00D845F9">
        <w:rPr>
          <w:color w:val="000000" w:themeColor="text1"/>
        </w:rPr>
        <w:t xml:space="preserve">The use of algorithms is under the lens of </w:t>
      </w:r>
      <w:r w:rsidR="0022047B" w:rsidRPr="00D845F9">
        <w:rPr>
          <w:color w:val="000000" w:themeColor="text1"/>
        </w:rPr>
        <w:t xml:space="preserve">the </w:t>
      </w:r>
      <w:r w:rsidRPr="00D845F9">
        <w:rPr>
          <w:color w:val="000000" w:themeColor="text1"/>
        </w:rPr>
        <w:t>data protection authorities</w:t>
      </w:r>
      <w:r w:rsidR="0022047B" w:rsidRPr="00D845F9">
        <w:rPr>
          <w:color w:val="000000" w:themeColor="text1"/>
        </w:rPr>
        <w:t>,</w:t>
      </w:r>
      <w:r w:rsidRPr="00D845F9">
        <w:rPr>
          <w:color w:val="000000" w:themeColor="text1"/>
        </w:rPr>
        <w:t xml:space="preserve"> especially with regards to profiling. </w:t>
      </w:r>
      <w:r w:rsidRPr="00D845F9">
        <w:rPr>
          <w:rStyle w:val="apple-converted-space"/>
          <w:color w:val="000000" w:themeColor="text1"/>
        </w:rPr>
        <w:t>The European Data Protection Supervisor</w:t>
      </w:r>
      <w:r w:rsidR="00177FA2">
        <w:rPr>
          <w:rStyle w:val="FootnoteReference"/>
          <w:color w:val="000000" w:themeColor="text1"/>
        </w:rPr>
        <w:footnoteReference w:id="159"/>
      </w:r>
      <w:r w:rsidRPr="00D845F9">
        <w:rPr>
          <w:rStyle w:val="apple-converted-space"/>
          <w:color w:val="000000" w:themeColor="text1"/>
        </w:rPr>
        <w:t xml:space="preserve"> has pointed out that the problem is not profiling </w:t>
      </w:r>
      <w:r w:rsidR="0022047B" w:rsidRPr="00D845F9">
        <w:rPr>
          <w:rStyle w:val="apple-converted-space"/>
          <w:color w:val="000000" w:themeColor="text1"/>
        </w:rPr>
        <w:t>as such</w:t>
      </w:r>
      <w:r w:rsidRPr="00D845F9">
        <w:rPr>
          <w:rStyle w:val="apple-converted-space"/>
          <w:color w:val="000000" w:themeColor="text1"/>
        </w:rPr>
        <w:t>, but “the lack of meaningful information about the algorithmic logic which develops these profiles and has an effect on the data subject</w:t>
      </w:r>
      <w:r w:rsidR="00D50BF5" w:rsidRPr="00D845F9">
        <w:rPr>
          <w:rStyle w:val="apple-converted-space"/>
          <w:color w:val="000000" w:themeColor="text1"/>
        </w:rPr>
        <w:t>.</w:t>
      </w:r>
      <w:r w:rsidRPr="00D845F9">
        <w:rPr>
          <w:color w:val="000000" w:themeColor="text1"/>
          <w:shd w:val="clear" w:color="auto" w:fill="FFFFFF"/>
        </w:rPr>
        <w:t>”</w:t>
      </w:r>
      <w:r w:rsidRPr="00D845F9">
        <w:rPr>
          <w:rStyle w:val="FootnoteReference"/>
          <w:color w:val="000000" w:themeColor="text1"/>
          <w:shd w:val="clear" w:color="auto" w:fill="FFFFFF"/>
        </w:rPr>
        <w:footnoteReference w:id="160"/>
      </w:r>
      <w:r w:rsidRPr="00D845F9">
        <w:rPr>
          <w:color w:val="000000" w:themeColor="text1"/>
        </w:rPr>
        <w:t xml:space="preserve"> </w:t>
      </w:r>
    </w:p>
    <w:p w14:paraId="5BED8307" w14:textId="6148E09D" w:rsidR="0001559F" w:rsidRPr="00D845F9" w:rsidRDefault="0001559F" w:rsidP="00D845F9">
      <w:pPr>
        <w:pStyle w:val="ListParagraph"/>
        <w:contextualSpacing w:val="0"/>
        <w:jc w:val="both"/>
        <w:rPr>
          <w:color w:val="000000" w:themeColor="text1"/>
        </w:rPr>
      </w:pPr>
      <w:r w:rsidRPr="00D845F9">
        <w:rPr>
          <w:rStyle w:val="apple-converted-space"/>
          <w:color w:val="000000" w:themeColor="text1"/>
          <w:shd w:val="clear" w:color="auto" w:fill="FFFFFF"/>
        </w:rPr>
        <w:t>Under t</w:t>
      </w:r>
      <w:r w:rsidRPr="00D845F9">
        <w:rPr>
          <w:rStyle w:val="apple-converted-space"/>
          <w:color w:val="000000" w:themeColor="text1"/>
        </w:rPr>
        <w:t>he Data Protection Directive,</w:t>
      </w:r>
      <w:r w:rsidRPr="00D845F9">
        <w:rPr>
          <w:rStyle w:val="FootnoteReference"/>
          <w:color w:val="000000" w:themeColor="text1"/>
        </w:rPr>
        <w:footnoteReference w:id="161"/>
      </w:r>
      <w:r w:rsidRPr="00D845F9">
        <w:rPr>
          <w:rStyle w:val="apple-converted-space"/>
          <w:color w:val="000000" w:themeColor="text1"/>
        </w:rPr>
        <w:t xml:space="preserve"> there is a </w:t>
      </w:r>
      <w:r w:rsidRPr="00D845F9">
        <w:rPr>
          <w:rStyle w:val="apple-converted-space"/>
          <w:color w:val="000000" w:themeColor="text1"/>
          <w:shd w:val="clear" w:color="auto" w:fill="FFFFFF"/>
        </w:rPr>
        <w:t xml:space="preserve">right not to be subject to a decision which produces legal effects or significantly affects the data subjects, if the decision is based solely on automated processing of data aimed at evaluating certain personal aspects concerning them (e.g. creditworthiness). </w:t>
      </w:r>
      <w:r w:rsidR="00EC06CC" w:rsidRPr="00D845F9">
        <w:rPr>
          <w:rStyle w:val="apple-converted-space"/>
          <w:color w:val="000000" w:themeColor="text1"/>
          <w:shd w:val="clear" w:color="auto" w:fill="FFFFFF"/>
        </w:rPr>
        <w:t xml:space="preserve">Moreover, there is a right to know </w:t>
      </w:r>
      <w:r w:rsidR="00EC06CC" w:rsidRPr="00D845F9">
        <w:rPr>
          <w:rStyle w:val="apple-converted-space"/>
          <w:color w:val="000000" w:themeColor="text1"/>
        </w:rPr>
        <w:t>the logic involved in any automated processing of data.</w:t>
      </w:r>
      <w:r w:rsidR="00EC06CC" w:rsidRPr="00D845F9">
        <w:rPr>
          <w:rStyle w:val="FootnoteReference"/>
          <w:color w:val="000000" w:themeColor="text1"/>
        </w:rPr>
        <w:footnoteReference w:id="162"/>
      </w:r>
      <w:r w:rsidR="00EC06CC" w:rsidRPr="00D845F9">
        <w:rPr>
          <w:rStyle w:val="apple-converted-space"/>
          <w:color w:val="000000" w:themeColor="text1"/>
        </w:rPr>
        <w:t xml:space="preserve"> </w:t>
      </w:r>
      <w:r w:rsidRPr="00D845F9">
        <w:rPr>
          <w:rStyle w:val="apple-converted-space"/>
          <w:color w:val="000000" w:themeColor="text1"/>
          <w:shd w:val="clear" w:color="auto" w:fill="FFFFFF"/>
        </w:rPr>
        <w:t>Nonetheless, one may be subject to an algorithmic decision in two scenarios.</w:t>
      </w:r>
      <w:r w:rsidRPr="00D845F9">
        <w:rPr>
          <w:rStyle w:val="FootnoteReference"/>
          <w:color w:val="000000" w:themeColor="text1"/>
          <w:shd w:val="clear" w:color="auto" w:fill="FFFFFF"/>
        </w:rPr>
        <w:footnoteReference w:id="163"/>
      </w:r>
      <w:r w:rsidRPr="00D845F9">
        <w:rPr>
          <w:rStyle w:val="apple-converted-space"/>
          <w:color w:val="000000" w:themeColor="text1"/>
          <w:shd w:val="clear" w:color="auto" w:fill="FFFFFF"/>
        </w:rPr>
        <w:t xml:space="preserve"> Firstly, </w:t>
      </w:r>
      <w:r w:rsidRPr="00D845F9">
        <w:rPr>
          <w:rStyle w:val="apple-converted-space"/>
          <w:color w:val="000000" w:themeColor="text1"/>
        </w:rPr>
        <w:t>in the course of the entering into a contract (or of the performance thereof), provided the request for the entering into the contract (or the performance thereof), lodged by the data subject, has been satisfied or that there are suitable measures to safeguard his legitimate interests (e.g. the data subject could express their viewpoint). For instance, some law firms</w:t>
      </w:r>
      <w:r w:rsidRPr="00D845F9">
        <w:rPr>
          <w:rStyle w:val="FootnoteReference"/>
          <w:color w:val="000000" w:themeColor="text1"/>
        </w:rPr>
        <w:footnoteReference w:id="164"/>
      </w:r>
      <w:r w:rsidRPr="00D845F9">
        <w:rPr>
          <w:rStyle w:val="apple-converted-space"/>
          <w:color w:val="000000" w:themeColor="text1"/>
        </w:rPr>
        <w:t xml:space="preserve"> are using</w:t>
      </w:r>
      <w:r w:rsidRPr="00D845F9">
        <w:rPr>
          <w:color w:val="000000" w:themeColor="text1"/>
        </w:rPr>
        <w:t xml:space="preserve"> AI-enabled computer programs to assess the merits of personal injury cases and decide, therefore, whether to accept the case or to draft contingency fee agreements.</w:t>
      </w:r>
      <w:r w:rsidRPr="00D845F9">
        <w:rPr>
          <w:rStyle w:val="apple-converted-space"/>
          <w:color w:val="000000" w:themeColor="text1"/>
        </w:rPr>
        <w:t xml:space="preserve"> Secondly, and more generally, algorithmic</w:t>
      </w:r>
      <w:r w:rsidR="00EC06CC" w:rsidRPr="00D845F9">
        <w:rPr>
          <w:rStyle w:val="apple-converted-space"/>
          <w:color w:val="000000" w:themeColor="text1"/>
        </w:rPr>
        <w:t xml:space="preserve"> decision-making may be authoris</w:t>
      </w:r>
      <w:r w:rsidRPr="00D845F9">
        <w:rPr>
          <w:rStyle w:val="apple-converted-space"/>
          <w:color w:val="000000" w:themeColor="text1"/>
        </w:rPr>
        <w:t>ed by a law, if there are measures to safeguard the data subject's legitimate interests.</w:t>
      </w:r>
      <w:r w:rsidRPr="00D845F9">
        <w:rPr>
          <w:rStyle w:val="FootnoteReference"/>
          <w:color w:val="000000" w:themeColor="text1"/>
        </w:rPr>
        <w:footnoteReference w:id="165"/>
      </w:r>
      <w:r w:rsidRPr="00D845F9">
        <w:rPr>
          <w:rStyle w:val="apple-converted-space"/>
          <w:color w:val="000000" w:themeColor="text1"/>
        </w:rPr>
        <w:t xml:space="preserve"> </w:t>
      </w:r>
    </w:p>
    <w:p w14:paraId="436FD078" w14:textId="4AB074FE" w:rsidR="000824E7" w:rsidRDefault="00260686" w:rsidP="00D845F9">
      <w:pPr>
        <w:pStyle w:val="ListParagraph"/>
        <w:contextualSpacing w:val="0"/>
        <w:jc w:val="both"/>
        <w:rPr>
          <w:color w:val="000000" w:themeColor="text1"/>
          <w:shd w:val="clear" w:color="auto" w:fill="FFFFFF"/>
        </w:rPr>
      </w:pPr>
      <w:r w:rsidRPr="00D845F9">
        <w:rPr>
          <w:color w:val="000000" w:themeColor="text1"/>
        </w:rPr>
        <w:t>The rules on algorithmic decision-making</w:t>
      </w:r>
      <w:r w:rsidR="0001559F" w:rsidRPr="00D845F9">
        <w:rPr>
          <w:color w:val="000000" w:themeColor="text1"/>
        </w:rPr>
        <w:t xml:space="preserve"> </w:t>
      </w:r>
      <w:r w:rsidRPr="00D845F9">
        <w:rPr>
          <w:color w:val="000000" w:themeColor="text1"/>
        </w:rPr>
        <w:t xml:space="preserve">have been </w:t>
      </w:r>
      <w:r w:rsidR="00D50BF5" w:rsidRPr="00D845F9">
        <w:rPr>
          <w:color w:val="000000" w:themeColor="text1"/>
        </w:rPr>
        <w:t>amended</w:t>
      </w:r>
      <w:r w:rsidR="009F6A7D" w:rsidRPr="00D845F9">
        <w:rPr>
          <w:color w:val="000000" w:themeColor="text1"/>
        </w:rPr>
        <w:t xml:space="preserve"> </w:t>
      </w:r>
      <w:r w:rsidRPr="00D845F9">
        <w:rPr>
          <w:color w:val="000000" w:themeColor="text1"/>
        </w:rPr>
        <w:t>by the</w:t>
      </w:r>
      <w:r w:rsidR="00604CF6" w:rsidRPr="00D845F9">
        <w:rPr>
          <w:color w:val="000000" w:themeColor="text1"/>
        </w:rPr>
        <w:t xml:space="preserve"> GDPR</w:t>
      </w:r>
      <w:r w:rsidR="0022047B" w:rsidRPr="00D845F9">
        <w:rPr>
          <w:color w:val="000000" w:themeColor="text1"/>
        </w:rPr>
        <w:t>,</w:t>
      </w:r>
      <w:r w:rsidR="00BF32CB" w:rsidRPr="00D845F9">
        <w:rPr>
          <w:rStyle w:val="FootnoteReference"/>
          <w:color w:val="000000" w:themeColor="text1"/>
        </w:rPr>
        <w:footnoteReference w:id="166"/>
      </w:r>
      <w:r w:rsidR="0022047B" w:rsidRPr="00D845F9">
        <w:rPr>
          <w:color w:val="000000" w:themeColor="text1"/>
        </w:rPr>
        <w:t xml:space="preserve"> which</w:t>
      </w:r>
      <w:r w:rsidR="00604CF6" w:rsidRPr="00D845F9">
        <w:rPr>
          <w:color w:val="000000" w:themeColor="text1"/>
        </w:rPr>
        <w:t xml:space="preserve"> is set to come into effec</w:t>
      </w:r>
      <w:r w:rsidR="0001559F" w:rsidRPr="00D845F9">
        <w:rPr>
          <w:color w:val="000000" w:themeColor="text1"/>
        </w:rPr>
        <w:t xml:space="preserve">t on 25 May 2018 also in the UK, </w:t>
      </w:r>
      <w:r w:rsidR="00604CF6" w:rsidRPr="00D845F9">
        <w:rPr>
          <w:color w:val="000000" w:themeColor="text1"/>
        </w:rPr>
        <w:t>regardless</w:t>
      </w:r>
      <w:r w:rsidR="0045242C" w:rsidRPr="00D845F9">
        <w:rPr>
          <w:color w:val="000000" w:themeColor="text1"/>
        </w:rPr>
        <w:t xml:space="preserve"> of</w:t>
      </w:r>
      <w:r w:rsidR="00604CF6" w:rsidRPr="00D845F9">
        <w:rPr>
          <w:color w:val="000000" w:themeColor="text1"/>
        </w:rPr>
        <w:t xml:space="preserve"> Brexit</w:t>
      </w:r>
      <w:r w:rsidR="00D50BF5" w:rsidRPr="00D845F9">
        <w:rPr>
          <w:color w:val="000000" w:themeColor="text1"/>
        </w:rPr>
        <w:t>.</w:t>
      </w:r>
      <w:r w:rsidR="002117EF" w:rsidRPr="00D845F9">
        <w:rPr>
          <w:rStyle w:val="FootnoteReference"/>
          <w:color w:val="000000" w:themeColor="text1"/>
        </w:rPr>
        <w:footnoteReference w:id="167"/>
      </w:r>
      <w:r w:rsidR="00604CF6" w:rsidRPr="00D845F9">
        <w:rPr>
          <w:color w:val="000000" w:themeColor="text1"/>
        </w:rPr>
        <w:t xml:space="preserve"> </w:t>
      </w:r>
      <w:r w:rsidR="0001559F" w:rsidRPr="00D845F9">
        <w:rPr>
          <w:color w:val="000000" w:themeColor="text1"/>
        </w:rPr>
        <w:t>The general principle is that data subjects should not be subject to algorithmic decisions. However, w</w:t>
      </w:r>
      <w:r w:rsidR="00604CF6" w:rsidRPr="00D845F9">
        <w:rPr>
          <w:color w:val="000000" w:themeColor="text1"/>
        </w:rPr>
        <w:t xml:space="preserve">hen </w:t>
      </w:r>
      <w:r w:rsidR="009121B6" w:rsidRPr="00D845F9">
        <w:rPr>
          <w:color w:val="000000" w:themeColor="text1"/>
        </w:rPr>
        <w:t>non-human agents</w:t>
      </w:r>
      <w:r w:rsidR="00604CF6" w:rsidRPr="00D845F9">
        <w:rPr>
          <w:color w:val="000000" w:themeColor="text1"/>
        </w:rPr>
        <w:t xml:space="preserve"> take decisions that have legal effects on the data subject’s life “or similarly significantly affects him or her</w:t>
      </w:r>
      <w:r w:rsidR="00D50BF5" w:rsidRPr="00D845F9">
        <w:rPr>
          <w:color w:val="000000" w:themeColor="text1"/>
        </w:rPr>
        <w:t>,</w:t>
      </w:r>
      <w:r w:rsidR="00604CF6" w:rsidRPr="00D845F9">
        <w:rPr>
          <w:color w:val="000000" w:themeColor="text1"/>
        </w:rPr>
        <w:t>”</w:t>
      </w:r>
      <w:r w:rsidR="00604CF6" w:rsidRPr="00D845F9">
        <w:rPr>
          <w:rStyle w:val="FootnoteReference"/>
          <w:color w:val="000000" w:themeColor="text1"/>
        </w:rPr>
        <w:footnoteReference w:id="168"/>
      </w:r>
      <w:r w:rsidR="00604CF6" w:rsidRPr="00D845F9">
        <w:rPr>
          <w:color w:val="000000" w:themeColor="text1"/>
        </w:rPr>
        <w:t xml:space="preserve"> the data subject has the rights to obtain human intervention, to express their point of view, as well as to contest the decision</w:t>
      </w:r>
      <w:r w:rsidR="00D50BF5" w:rsidRPr="00D845F9">
        <w:rPr>
          <w:color w:val="000000" w:themeColor="text1"/>
        </w:rPr>
        <w:t>.</w:t>
      </w:r>
      <w:r w:rsidR="00AF2D26" w:rsidRPr="00D845F9">
        <w:rPr>
          <w:rStyle w:val="FootnoteReference"/>
          <w:color w:val="000000" w:themeColor="text1"/>
        </w:rPr>
        <w:footnoteReference w:id="169"/>
      </w:r>
      <w:r w:rsidR="00604CF6" w:rsidRPr="00D845F9">
        <w:rPr>
          <w:color w:val="000000" w:themeColor="text1"/>
        </w:rPr>
        <w:t xml:space="preserve"> Correspondingly, the data control</w:t>
      </w:r>
      <w:r w:rsidR="0001559F" w:rsidRPr="00D845F9">
        <w:rPr>
          <w:color w:val="000000" w:themeColor="text1"/>
        </w:rPr>
        <w:t>ler</w:t>
      </w:r>
      <w:r w:rsidR="00604CF6" w:rsidRPr="00D845F9">
        <w:rPr>
          <w:color w:val="000000" w:themeColor="text1"/>
        </w:rPr>
        <w:t xml:space="preserve"> shall provide “meaningful information about the logic involve</w:t>
      </w:r>
      <w:r w:rsidR="00D87319" w:rsidRPr="00D845F9">
        <w:rPr>
          <w:color w:val="000000" w:themeColor="text1"/>
        </w:rPr>
        <w:t>d”</w:t>
      </w:r>
      <w:r w:rsidR="00D87319" w:rsidRPr="00D845F9">
        <w:rPr>
          <w:rStyle w:val="FootnoteReference"/>
          <w:color w:val="000000" w:themeColor="text1"/>
        </w:rPr>
        <w:footnoteReference w:id="170"/>
      </w:r>
      <w:r w:rsidR="00D87319" w:rsidRPr="00D845F9">
        <w:rPr>
          <w:color w:val="000000" w:themeColor="text1"/>
        </w:rPr>
        <w:t xml:space="preserve"> in the algorithmic decision</w:t>
      </w:r>
      <w:r w:rsidR="004874B2">
        <w:rPr>
          <w:color w:val="000000" w:themeColor="text1"/>
        </w:rPr>
        <w:t>.</w:t>
      </w:r>
      <w:r w:rsidR="004874B2">
        <w:rPr>
          <w:color w:val="000000" w:themeColor="text1"/>
          <w:shd w:val="clear" w:color="auto" w:fill="FFFFFF"/>
        </w:rPr>
        <w:t xml:space="preserve"> I</w:t>
      </w:r>
      <w:r w:rsidR="005A6D6B" w:rsidRPr="00D845F9">
        <w:rPr>
          <w:color w:val="000000" w:themeColor="text1"/>
          <w:shd w:val="clear" w:color="auto" w:fill="FFFFFF"/>
        </w:rPr>
        <w:t>t is likely that</w:t>
      </w:r>
      <w:r w:rsidR="00092CB9" w:rsidRPr="00D845F9">
        <w:rPr>
          <w:color w:val="000000" w:themeColor="text1"/>
          <w:shd w:val="clear" w:color="auto" w:fill="FFFFFF"/>
        </w:rPr>
        <w:t xml:space="preserve"> the national implementing measures of the Data Protection Directive will be amended </w:t>
      </w:r>
      <w:r w:rsidR="005A6D6B" w:rsidRPr="00D845F9">
        <w:rPr>
          <w:color w:val="000000" w:themeColor="text1"/>
          <w:shd w:val="clear" w:color="auto" w:fill="FFFFFF"/>
        </w:rPr>
        <w:t xml:space="preserve">or replaced </w:t>
      </w:r>
      <w:r w:rsidR="00092CB9" w:rsidRPr="00D845F9">
        <w:rPr>
          <w:color w:val="000000" w:themeColor="text1"/>
          <w:shd w:val="clear" w:color="auto" w:fill="FFFFFF"/>
        </w:rPr>
        <w:t>to recogn</w:t>
      </w:r>
      <w:r w:rsidR="004F4403" w:rsidRPr="00D845F9">
        <w:rPr>
          <w:color w:val="000000" w:themeColor="text1"/>
          <w:shd w:val="clear" w:color="auto" w:fill="FFFFFF"/>
        </w:rPr>
        <w:t xml:space="preserve">ise </w:t>
      </w:r>
      <w:r w:rsidR="00092CB9" w:rsidRPr="00D845F9">
        <w:rPr>
          <w:color w:val="000000" w:themeColor="text1"/>
          <w:shd w:val="clear" w:color="auto" w:fill="FFFFFF"/>
        </w:rPr>
        <w:t>a stronger protection to data subjects against algorithmic decisions.</w:t>
      </w:r>
      <w:r w:rsidR="00092CB9" w:rsidRPr="00D845F9">
        <w:rPr>
          <w:rStyle w:val="FootnoteReference"/>
          <w:color w:val="000000" w:themeColor="text1"/>
          <w:shd w:val="clear" w:color="auto" w:fill="FFFFFF"/>
        </w:rPr>
        <w:footnoteReference w:id="171"/>
      </w:r>
    </w:p>
    <w:p w14:paraId="59011AFB" w14:textId="77777777" w:rsidR="004672E2" w:rsidRPr="00D845F9" w:rsidRDefault="004672E2" w:rsidP="00D845F9">
      <w:pPr>
        <w:pStyle w:val="ListParagraph"/>
        <w:contextualSpacing w:val="0"/>
        <w:jc w:val="both"/>
        <w:rPr>
          <w:color w:val="000000" w:themeColor="text1"/>
        </w:rPr>
      </w:pPr>
    </w:p>
    <w:p w14:paraId="799C0E77" w14:textId="6616D003" w:rsidR="00017E49" w:rsidRPr="004672E2" w:rsidRDefault="00BC6306" w:rsidP="004672E2">
      <w:pPr>
        <w:pStyle w:val="NormalWeb"/>
        <w:ind w:left="720"/>
        <w:rPr>
          <w:rFonts w:ascii="TitilliumMaps29L" w:hAnsi="TitilliumMaps29L"/>
          <w:sz w:val="28"/>
          <w:szCs w:val="28"/>
        </w:rPr>
      </w:pPr>
      <w:r w:rsidRPr="004672E2">
        <w:rPr>
          <w:rFonts w:ascii="TitilliumMaps29L" w:hAnsi="TitilliumMaps29L"/>
          <w:sz w:val="28"/>
          <w:szCs w:val="28"/>
        </w:rPr>
        <w:t>D.I</w:t>
      </w:r>
      <w:r w:rsidR="00017E49" w:rsidRPr="004672E2">
        <w:rPr>
          <w:rFonts w:ascii="TitilliumMaps29L" w:hAnsi="TitilliumMaps29L"/>
          <w:sz w:val="28"/>
          <w:szCs w:val="28"/>
        </w:rPr>
        <w:t>. The general p</w:t>
      </w:r>
      <w:r w:rsidR="002E235B" w:rsidRPr="004672E2">
        <w:rPr>
          <w:rFonts w:ascii="TitilliumMaps29L" w:hAnsi="TitilliumMaps29L"/>
          <w:sz w:val="28"/>
          <w:szCs w:val="28"/>
        </w:rPr>
        <w:t xml:space="preserve">rohibition on solely automated </w:t>
      </w:r>
      <w:r w:rsidR="00017E49" w:rsidRPr="004672E2">
        <w:rPr>
          <w:rFonts w:ascii="TitilliumMaps29L" w:hAnsi="TitilliumMaps29L"/>
          <w:sz w:val="28"/>
          <w:szCs w:val="28"/>
        </w:rPr>
        <w:t>decisions with a significant effect</w:t>
      </w:r>
    </w:p>
    <w:p w14:paraId="29C0D60C" w14:textId="77777777" w:rsidR="00017E49" w:rsidRPr="00D845F9" w:rsidRDefault="00017E49" w:rsidP="00D845F9">
      <w:pPr>
        <w:pStyle w:val="ListParagraph"/>
        <w:contextualSpacing w:val="0"/>
        <w:jc w:val="both"/>
        <w:rPr>
          <w:rStyle w:val="apple-converted-space"/>
          <w:color w:val="000000" w:themeColor="text1"/>
          <w:shd w:val="clear" w:color="auto" w:fill="FFFFFF"/>
        </w:rPr>
      </w:pPr>
    </w:p>
    <w:p w14:paraId="160B464B" w14:textId="52EF67F1" w:rsidR="0054420D" w:rsidRPr="00F248D8" w:rsidRDefault="006642E4" w:rsidP="00F248D8">
      <w:pPr>
        <w:pStyle w:val="ListParagraph"/>
        <w:contextualSpacing w:val="0"/>
        <w:jc w:val="both"/>
        <w:rPr>
          <w:rStyle w:val="apple-converted-space"/>
          <w:color w:val="000000" w:themeColor="text1"/>
        </w:rPr>
      </w:pPr>
      <w:r w:rsidRPr="00D845F9">
        <w:rPr>
          <w:rStyle w:val="apple-converted-space"/>
          <w:color w:val="000000" w:themeColor="text1"/>
          <w:shd w:val="clear" w:color="auto" w:fill="FFFFFF"/>
        </w:rPr>
        <w:t>Let us start with the</w:t>
      </w:r>
      <w:r w:rsidR="00D87319" w:rsidRPr="00D845F9">
        <w:rPr>
          <w:rStyle w:val="apple-converted-space"/>
          <w:color w:val="000000" w:themeColor="text1"/>
          <w:shd w:val="clear" w:color="auto" w:fill="FFFFFF"/>
        </w:rPr>
        <w:t xml:space="preserve"> </w:t>
      </w:r>
      <w:r w:rsidR="0001559F" w:rsidRPr="00D845F9">
        <w:rPr>
          <w:rStyle w:val="apple-converted-space"/>
          <w:color w:val="000000" w:themeColor="text1"/>
          <w:shd w:val="clear" w:color="auto" w:fill="FFFFFF"/>
        </w:rPr>
        <w:t>provisions directly dealing with algorithmic decision-</w:t>
      </w:r>
      <w:r w:rsidR="00A1060F" w:rsidRPr="00D845F9">
        <w:rPr>
          <w:rStyle w:val="apple-converted-space"/>
          <w:color w:val="000000" w:themeColor="text1"/>
          <w:shd w:val="clear" w:color="auto" w:fill="FFFFFF"/>
        </w:rPr>
        <w:t>making</w:t>
      </w:r>
      <w:r w:rsidR="00A1060F" w:rsidRPr="00D845F9">
        <w:rPr>
          <w:rStyle w:val="apple-converted-space"/>
          <w:color w:val="000000" w:themeColor="text1"/>
        </w:rPr>
        <w:t>;</w:t>
      </w:r>
      <w:r w:rsidR="005A6D6B" w:rsidRPr="00D845F9">
        <w:rPr>
          <w:rStyle w:val="FootnoteReference"/>
          <w:color w:val="000000" w:themeColor="text1"/>
        </w:rPr>
        <w:footnoteReference w:id="172"/>
      </w:r>
      <w:r w:rsidR="00C33C58" w:rsidRPr="00D845F9">
        <w:rPr>
          <w:rStyle w:val="apple-converted-space"/>
          <w:color w:val="000000" w:themeColor="text1"/>
        </w:rPr>
        <w:t xml:space="preserve"> it is </w:t>
      </w:r>
      <w:r w:rsidR="009121B6" w:rsidRPr="00D845F9">
        <w:rPr>
          <w:rStyle w:val="apple-converted-space"/>
          <w:color w:val="000000" w:themeColor="text1"/>
        </w:rPr>
        <w:t>open to debate whether</w:t>
      </w:r>
      <w:r w:rsidR="0001559F" w:rsidRPr="00D845F9">
        <w:rPr>
          <w:rStyle w:val="apple-converted-space"/>
          <w:color w:val="000000" w:themeColor="text1"/>
        </w:rPr>
        <w:t xml:space="preserve"> they constitute</w:t>
      </w:r>
      <w:r w:rsidR="00C33C58" w:rsidRPr="00D845F9">
        <w:rPr>
          <w:rStyle w:val="apple-converted-space"/>
          <w:color w:val="000000" w:themeColor="text1"/>
        </w:rPr>
        <w:t xml:space="preserve"> a </w:t>
      </w:r>
      <w:r w:rsidR="009121B6" w:rsidRPr="00D845F9">
        <w:rPr>
          <w:rStyle w:val="apple-converted-space"/>
          <w:color w:val="000000" w:themeColor="text1"/>
        </w:rPr>
        <w:t xml:space="preserve">considerable </w:t>
      </w:r>
      <w:r w:rsidR="00C33C58" w:rsidRPr="00D845F9">
        <w:rPr>
          <w:rStyle w:val="apple-converted-space"/>
          <w:color w:val="000000" w:themeColor="text1"/>
        </w:rPr>
        <w:t xml:space="preserve">step forward. </w:t>
      </w:r>
      <w:r w:rsidRPr="00D845F9">
        <w:rPr>
          <w:rStyle w:val="apple-converted-space"/>
          <w:color w:val="000000" w:themeColor="text1"/>
        </w:rPr>
        <w:t>T</w:t>
      </w:r>
      <w:r w:rsidR="009F6A7D" w:rsidRPr="00D845F9">
        <w:rPr>
          <w:rStyle w:val="apple-converted-space"/>
          <w:color w:val="000000" w:themeColor="text1"/>
        </w:rPr>
        <w:t xml:space="preserve">he </w:t>
      </w:r>
      <w:r w:rsidRPr="00D845F9">
        <w:rPr>
          <w:rStyle w:val="apple-converted-space"/>
          <w:color w:val="000000" w:themeColor="text1"/>
        </w:rPr>
        <w:t xml:space="preserve">main </w:t>
      </w:r>
      <w:r w:rsidR="009F6A7D" w:rsidRPr="00D845F9">
        <w:rPr>
          <w:rStyle w:val="apple-converted-space"/>
          <w:color w:val="000000" w:themeColor="text1"/>
        </w:rPr>
        <w:t xml:space="preserve">right </w:t>
      </w:r>
      <w:r w:rsidRPr="00D845F9">
        <w:rPr>
          <w:rStyle w:val="apple-converted-space"/>
          <w:color w:val="000000" w:themeColor="text1"/>
        </w:rPr>
        <w:t xml:space="preserve">available to the data subject is the right not </w:t>
      </w:r>
      <w:r w:rsidR="009F6A7D" w:rsidRPr="00D845F9">
        <w:rPr>
          <w:rStyle w:val="apple-converted-space"/>
          <w:color w:val="000000" w:themeColor="text1"/>
        </w:rPr>
        <w:t>to</w:t>
      </w:r>
      <w:r w:rsidR="002E235B" w:rsidRPr="00D845F9">
        <w:rPr>
          <w:rStyle w:val="apple-converted-space"/>
          <w:color w:val="000000" w:themeColor="text1"/>
        </w:rPr>
        <w:t xml:space="preserve"> be subject to a solely automated</w:t>
      </w:r>
      <w:r w:rsidRPr="00D845F9">
        <w:rPr>
          <w:rStyle w:val="apple-converted-space"/>
          <w:color w:val="000000" w:themeColor="text1"/>
        </w:rPr>
        <w:t xml:space="preserve"> decision</w:t>
      </w:r>
      <w:r w:rsidR="002E235B" w:rsidRPr="00D845F9">
        <w:rPr>
          <w:rStyle w:val="apple-converted-space"/>
          <w:color w:val="000000" w:themeColor="text1"/>
        </w:rPr>
        <w:t xml:space="preserve"> with legal effects of similarly significantly affecting them</w:t>
      </w:r>
      <w:r w:rsidRPr="00D845F9">
        <w:rPr>
          <w:rStyle w:val="apple-converted-space"/>
          <w:color w:val="000000" w:themeColor="text1"/>
        </w:rPr>
        <w:t>.</w:t>
      </w:r>
      <w:r w:rsidR="009F6A7D" w:rsidRPr="00D845F9">
        <w:rPr>
          <w:rStyle w:val="FootnoteReference"/>
          <w:color w:val="000000" w:themeColor="text1"/>
        </w:rPr>
        <w:footnoteReference w:id="173"/>
      </w:r>
      <w:r w:rsidRPr="00D845F9">
        <w:rPr>
          <w:rStyle w:val="apple-converted-space"/>
          <w:color w:val="000000" w:themeColor="text1"/>
        </w:rPr>
        <w:t xml:space="preserve"> This can be interpreted as a general prohibition </w:t>
      </w:r>
      <w:r w:rsidR="008E6E26" w:rsidRPr="00D845F9">
        <w:rPr>
          <w:rStyle w:val="apple-converted-space"/>
          <w:color w:val="000000" w:themeColor="text1"/>
        </w:rPr>
        <w:t xml:space="preserve">to make algorithmic decisions using personal data </w:t>
      </w:r>
      <w:r w:rsidRPr="00D845F9">
        <w:rPr>
          <w:rStyle w:val="apple-converted-space"/>
          <w:color w:val="000000" w:themeColor="text1"/>
        </w:rPr>
        <w:t>or as a mere right to be oppose (</w:t>
      </w:r>
      <w:r w:rsidR="00EC06CC" w:rsidRPr="00D845F9">
        <w:rPr>
          <w:rStyle w:val="apple-converted-space"/>
          <w:color w:val="000000" w:themeColor="text1"/>
        </w:rPr>
        <w:t>after being</w:t>
      </w:r>
      <w:r w:rsidRPr="00D845F9">
        <w:rPr>
          <w:rStyle w:val="apple-converted-space"/>
          <w:color w:val="000000" w:themeColor="text1"/>
        </w:rPr>
        <w:t xml:space="preserve"> informed about) the algorithmic decision.</w:t>
      </w:r>
      <w:r w:rsidR="008E6E26" w:rsidRPr="00D845F9">
        <w:rPr>
          <w:rStyle w:val="FootnoteReference"/>
          <w:color w:val="000000" w:themeColor="text1"/>
        </w:rPr>
        <w:footnoteReference w:id="174"/>
      </w:r>
      <w:r w:rsidRPr="00D845F9">
        <w:rPr>
          <w:rStyle w:val="apple-converted-space"/>
          <w:color w:val="000000" w:themeColor="text1"/>
        </w:rPr>
        <w:t xml:space="preserve"> </w:t>
      </w:r>
      <w:r w:rsidR="0035477F" w:rsidRPr="00D845F9">
        <w:rPr>
          <w:color w:val="000000" w:themeColor="text1"/>
        </w:rPr>
        <w:t>I</w:t>
      </w:r>
      <w:r w:rsidR="0035477F" w:rsidRPr="00D845F9">
        <w:rPr>
          <w:rStyle w:val="apple-converted-space"/>
          <w:color w:val="000000" w:themeColor="text1"/>
        </w:rPr>
        <w:t xml:space="preserve">n the UK, </w:t>
      </w:r>
      <w:r w:rsidR="006A09BC">
        <w:rPr>
          <w:rStyle w:val="apple-converted-space"/>
          <w:color w:val="000000" w:themeColor="text1"/>
        </w:rPr>
        <w:t>dat</w:t>
      </w:r>
      <w:r w:rsidR="0035477F">
        <w:rPr>
          <w:rStyle w:val="apple-converted-space"/>
          <w:color w:val="000000" w:themeColor="text1"/>
        </w:rPr>
        <w:t>a subjects can require that n</w:t>
      </w:r>
      <w:r w:rsidR="00A1060F">
        <w:rPr>
          <w:rStyle w:val="apple-converted-space"/>
          <w:color w:val="000000" w:themeColor="text1"/>
        </w:rPr>
        <w:t>o solely algorithmic decision be</w:t>
      </w:r>
      <w:r w:rsidR="0035477F">
        <w:rPr>
          <w:rStyle w:val="apple-converted-space"/>
          <w:color w:val="000000" w:themeColor="text1"/>
        </w:rPr>
        <w:t xml:space="preserve"> taken against them. However, if no such notice has effect and the decision is taken</w:t>
      </w:r>
      <w:r w:rsidR="0035477F" w:rsidRPr="00D845F9">
        <w:rPr>
          <w:rStyle w:val="apple-converted-space"/>
          <w:color w:val="000000" w:themeColor="text1"/>
        </w:rPr>
        <w:t>, the data controller has 21 days to give a written notice explaining the steps that they will take to comply with the data subject request.</w:t>
      </w:r>
      <w:r w:rsidR="0035477F" w:rsidRPr="00D845F9">
        <w:rPr>
          <w:rStyle w:val="FootnoteReference"/>
          <w:color w:val="000000" w:themeColor="text1"/>
        </w:rPr>
        <w:footnoteReference w:id="175"/>
      </w:r>
      <w:r w:rsidR="00F248D8">
        <w:rPr>
          <w:rStyle w:val="apple-converted-space"/>
          <w:color w:val="000000" w:themeColor="text1"/>
        </w:rPr>
        <w:t xml:space="preserve"> </w:t>
      </w:r>
      <w:r w:rsidR="0054420D" w:rsidRPr="00F248D8">
        <w:rPr>
          <w:rStyle w:val="apple-converted-space"/>
          <w:color w:val="000000" w:themeColor="text1"/>
        </w:rPr>
        <w:t>Positively, in issuing some guidelines on algorithmic decision-making, the Article 29 Working Party</w:t>
      </w:r>
      <w:r w:rsidR="0054420D" w:rsidRPr="00D845F9">
        <w:rPr>
          <w:rStyle w:val="FootnoteReference"/>
          <w:color w:val="000000" w:themeColor="text1"/>
        </w:rPr>
        <w:footnoteReference w:id="176"/>
      </w:r>
      <w:r w:rsidR="0054420D" w:rsidRPr="00F248D8">
        <w:rPr>
          <w:rStyle w:val="apple-converted-space"/>
          <w:color w:val="000000" w:themeColor="text1"/>
        </w:rPr>
        <w:t xml:space="preserve"> recommends treating this right as a general prohibition.</w:t>
      </w:r>
      <w:r w:rsidR="0054420D" w:rsidRPr="00D845F9">
        <w:rPr>
          <w:rStyle w:val="FootnoteReference"/>
          <w:color w:val="000000" w:themeColor="text1"/>
        </w:rPr>
        <w:footnoteReference w:id="177"/>
      </w:r>
      <w:r w:rsidR="00CA3773" w:rsidRPr="00F248D8">
        <w:rPr>
          <w:rStyle w:val="apple-converted-space"/>
          <w:color w:val="000000" w:themeColor="text1"/>
        </w:rPr>
        <w:t xml:space="preserve"> </w:t>
      </w:r>
      <w:r w:rsidR="00EF343A" w:rsidRPr="00F248D8">
        <w:rPr>
          <w:rStyle w:val="apple-converted-space"/>
          <w:color w:val="000000" w:themeColor="text1"/>
        </w:rPr>
        <w:t xml:space="preserve">Regrettably, </w:t>
      </w:r>
      <w:r w:rsidR="00F248D8">
        <w:rPr>
          <w:rStyle w:val="apple-converted-space"/>
          <w:color w:val="000000" w:themeColor="text1"/>
        </w:rPr>
        <w:t xml:space="preserve">however, </w:t>
      </w:r>
      <w:r w:rsidR="00EF343A" w:rsidRPr="00F248D8">
        <w:rPr>
          <w:rStyle w:val="apple-converted-space"/>
          <w:color w:val="000000" w:themeColor="text1"/>
        </w:rPr>
        <w:t>the only amendment introduced by the Data Protection Bill with regards to algorithmic decisions concerns the safeguarding measures that controllers should take when availing themselves of the consent-based exception.</w:t>
      </w:r>
      <w:r w:rsidR="003A5433">
        <w:rPr>
          <w:rStyle w:val="FootnoteReference"/>
          <w:color w:val="000000" w:themeColor="text1"/>
        </w:rPr>
        <w:footnoteReference w:id="178"/>
      </w:r>
      <w:r w:rsidR="00EF343A" w:rsidRPr="00F248D8">
        <w:rPr>
          <w:rStyle w:val="apple-converted-space"/>
          <w:color w:val="000000" w:themeColor="text1"/>
        </w:rPr>
        <w:t xml:space="preserve"> Arguably, by refusing the “general prohibition” approach, the UK will not comply with the GDPR, with practical consequences for instance in terms of the legality of the EU-UK data transfers. If this provision </w:t>
      </w:r>
      <w:r w:rsidR="00EF343A" w:rsidRPr="00F248D8">
        <w:rPr>
          <w:color w:val="000000" w:themeColor="text1"/>
        </w:rPr>
        <w:t>expresses of a core data protection principle</w:t>
      </w:r>
      <w:r w:rsidR="008D219E" w:rsidRPr="00F248D8">
        <w:rPr>
          <w:color w:val="000000" w:themeColor="text1"/>
        </w:rPr>
        <w:t>,</w:t>
      </w:r>
      <w:r w:rsidR="00EF343A">
        <w:rPr>
          <w:rStyle w:val="FootnoteReference"/>
          <w:color w:val="000000" w:themeColor="text1"/>
        </w:rPr>
        <w:footnoteReference w:id="179"/>
      </w:r>
      <w:r w:rsidR="008D219E" w:rsidRPr="00F248D8">
        <w:rPr>
          <w:color w:val="000000" w:themeColor="text1"/>
        </w:rPr>
        <w:t xml:space="preserve"> a partial compliance may cause the EU to deem the UK protection of personal data inadequate, hence hindering cross-border data flows.</w:t>
      </w:r>
    </w:p>
    <w:p w14:paraId="4B87B297" w14:textId="77777777" w:rsidR="00EF343A" w:rsidRPr="00D845F9" w:rsidRDefault="00EF343A" w:rsidP="00D845F9">
      <w:pPr>
        <w:pStyle w:val="ListParagraph"/>
        <w:contextualSpacing w:val="0"/>
        <w:jc w:val="both"/>
        <w:rPr>
          <w:rStyle w:val="apple-converted-space"/>
          <w:color w:val="000000" w:themeColor="text1"/>
        </w:rPr>
      </w:pPr>
    </w:p>
    <w:p w14:paraId="3E6D6A8E" w14:textId="47285FE4" w:rsidR="00D63D45" w:rsidRPr="00D845F9" w:rsidRDefault="0054420D" w:rsidP="00D845F9">
      <w:pPr>
        <w:pStyle w:val="ListParagraph"/>
        <w:contextualSpacing w:val="0"/>
        <w:jc w:val="both"/>
        <w:rPr>
          <w:rStyle w:val="apple-converted-space"/>
          <w:color w:val="000000" w:themeColor="text1"/>
        </w:rPr>
      </w:pPr>
      <w:r w:rsidRPr="00D845F9">
        <w:rPr>
          <w:rStyle w:val="apple-converted-space"/>
          <w:color w:val="000000" w:themeColor="text1"/>
        </w:rPr>
        <w:t xml:space="preserve">Looking at the core of art 22, </w:t>
      </w:r>
      <w:r w:rsidR="006642E4" w:rsidRPr="00D845F9">
        <w:rPr>
          <w:rStyle w:val="apple-converted-space"/>
          <w:color w:val="000000" w:themeColor="text1"/>
        </w:rPr>
        <w:t>t</w:t>
      </w:r>
      <w:r w:rsidR="009F6A7D" w:rsidRPr="00D845F9">
        <w:rPr>
          <w:rStyle w:val="apple-converted-space"/>
          <w:color w:val="000000" w:themeColor="text1"/>
        </w:rPr>
        <w:t>here are two main differences</w:t>
      </w:r>
      <w:r w:rsidR="006642E4" w:rsidRPr="00D845F9">
        <w:rPr>
          <w:rStyle w:val="apple-converted-space"/>
          <w:color w:val="000000" w:themeColor="text1"/>
        </w:rPr>
        <w:t xml:space="preserve"> between the Data Protection Directive and the GDPR</w:t>
      </w:r>
      <w:r w:rsidR="009F6A7D" w:rsidRPr="00D845F9">
        <w:rPr>
          <w:rStyle w:val="apple-converted-space"/>
          <w:color w:val="000000" w:themeColor="text1"/>
        </w:rPr>
        <w:t xml:space="preserve">. </w:t>
      </w:r>
    </w:p>
    <w:p w14:paraId="3203B45A" w14:textId="676D3753" w:rsidR="00D63D45" w:rsidRPr="00D845F9" w:rsidRDefault="00D63D45" w:rsidP="00D845F9">
      <w:pPr>
        <w:pStyle w:val="ListParagraph"/>
        <w:contextualSpacing w:val="0"/>
        <w:jc w:val="both"/>
        <w:rPr>
          <w:rStyle w:val="apple-converted-space"/>
          <w:color w:val="000000" w:themeColor="text1"/>
        </w:rPr>
      </w:pPr>
      <w:r w:rsidRPr="00D845F9">
        <w:rPr>
          <w:rStyle w:val="apple-converted-space"/>
          <w:color w:val="000000" w:themeColor="text1"/>
        </w:rPr>
        <w:t>First</w:t>
      </w:r>
      <w:r w:rsidR="009F6A7D" w:rsidRPr="00D845F9">
        <w:rPr>
          <w:rStyle w:val="apple-converted-space"/>
          <w:color w:val="000000" w:themeColor="text1"/>
        </w:rPr>
        <w:t xml:space="preserve">, </w:t>
      </w:r>
      <w:r w:rsidRPr="00D845F9">
        <w:rPr>
          <w:rStyle w:val="apple-converted-space"/>
          <w:color w:val="000000" w:themeColor="text1"/>
        </w:rPr>
        <w:t xml:space="preserve">in the new provision there is </w:t>
      </w:r>
      <w:r w:rsidR="009F6A7D" w:rsidRPr="00D845F9">
        <w:rPr>
          <w:rStyle w:val="apple-converted-space"/>
          <w:color w:val="000000" w:themeColor="text1"/>
        </w:rPr>
        <w:t xml:space="preserve">an express reference to profiling as </w:t>
      </w:r>
      <w:r w:rsidR="00121456" w:rsidRPr="00D845F9">
        <w:rPr>
          <w:rStyle w:val="apple-converted-space"/>
          <w:color w:val="000000" w:themeColor="text1"/>
        </w:rPr>
        <w:t xml:space="preserve">an </w:t>
      </w:r>
      <w:r w:rsidR="009F6A7D" w:rsidRPr="00D845F9">
        <w:rPr>
          <w:rStyle w:val="apple-converted-space"/>
          <w:color w:val="000000" w:themeColor="text1"/>
        </w:rPr>
        <w:t>example of automated processing. This brings clarity in a field currently perceived as particularly relevant, but it risks to narrow</w:t>
      </w:r>
      <w:r w:rsidR="008A22C0" w:rsidRPr="00D845F9">
        <w:rPr>
          <w:rStyle w:val="apple-converted-space"/>
          <w:color w:val="000000" w:themeColor="text1"/>
        </w:rPr>
        <w:t>ing</w:t>
      </w:r>
      <w:r w:rsidR="009F6A7D" w:rsidRPr="00D845F9">
        <w:rPr>
          <w:rStyle w:val="apple-converted-space"/>
          <w:color w:val="000000" w:themeColor="text1"/>
        </w:rPr>
        <w:t xml:space="preserve"> the interpretation of the provision thus excluding forms of algorithmic decision-making which do not include profiling.</w:t>
      </w:r>
      <w:r w:rsidR="00297C85" w:rsidRPr="00D845F9">
        <w:rPr>
          <w:rStyle w:val="apple-converted-space"/>
          <w:color w:val="000000" w:themeColor="text1"/>
        </w:rPr>
        <w:t xml:space="preserve"> Therefore, it is positive that the Article 29 Working Party has observed that “(a)utomated decisions can be made with or without profiling; profiling can take place without making automated decisions.”</w:t>
      </w:r>
      <w:r w:rsidR="00297C85" w:rsidRPr="00D845F9">
        <w:rPr>
          <w:rStyle w:val="FootnoteReference"/>
          <w:color w:val="000000" w:themeColor="text1"/>
        </w:rPr>
        <w:footnoteReference w:id="180"/>
      </w:r>
      <w:r w:rsidR="009F6A7D" w:rsidRPr="00D845F9">
        <w:rPr>
          <w:rStyle w:val="apple-converted-space"/>
          <w:color w:val="000000" w:themeColor="text1"/>
        </w:rPr>
        <w:t xml:space="preserve"> </w:t>
      </w:r>
    </w:p>
    <w:p w14:paraId="16DBA21A" w14:textId="77777777" w:rsidR="008C73C4" w:rsidRPr="00D845F9" w:rsidRDefault="009F6A7D" w:rsidP="00D845F9">
      <w:pPr>
        <w:pStyle w:val="ListParagraph"/>
        <w:contextualSpacing w:val="0"/>
        <w:jc w:val="both"/>
        <w:rPr>
          <w:color w:val="000000" w:themeColor="text1"/>
        </w:rPr>
      </w:pPr>
      <w:r w:rsidRPr="00D845F9">
        <w:rPr>
          <w:rStyle w:val="apple-converted-space"/>
          <w:color w:val="000000" w:themeColor="text1"/>
        </w:rPr>
        <w:t>Secon</w:t>
      </w:r>
      <w:r w:rsidR="00D63D45" w:rsidRPr="00D845F9">
        <w:rPr>
          <w:rStyle w:val="apple-converted-space"/>
          <w:color w:val="000000" w:themeColor="text1"/>
        </w:rPr>
        <w:t>d</w:t>
      </w:r>
      <w:r w:rsidRPr="00D845F9">
        <w:rPr>
          <w:rStyle w:val="apple-converted-space"/>
          <w:color w:val="000000" w:themeColor="text1"/>
        </w:rPr>
        <w:t xml:space="preserve">, and most importantly, </w:t>
      </w:r>
      <w:r w:rsidR="00A90963" w:rsidRPr="00D845F9">
        <w:rPr>
          <w:rStyle w:val="apple-converted-space"/>
          <w:color w:val="000000" w:themeColor="text1"/>
        </w:rPr>
        <w:t>one has the said right only if the decision</w:t>
      </w:r>
      <w:r w:rsidR="00C33C58" w:rsidRPr="00D845F9">
        <w:rPr>
          <w:rStyle w:val="apple-converted-space"/>
          <w:color w:val="000000" w:themeColor="text1"/>
        </w:rPr>
        <w:t xml:space="preserve"> produces legal effects concerning </w:t>
      </w:r>
      <w:r w:rsidR="00A90963" w:rsidRPr="00D845F9">
        <w:rPr>
          <w:rStyle w:val="apple-converted-space"/>
          <w:color w:val="000000" w:themeColor="text1"/>
        </w:rPr>
        <w:t>one</w:t>
      </w:r>
      <w:r w:rsidR="00C33C58" w:rsidRPr="00D845F9">
        <w:rPr>
          <w:rStyle w:val="apple-converted-space"/>
          <w:color w:val="000000" w:themeColor="text1"/>
        </w:rPr>
        <w:t xml:space="preserve"> </w:t>
      </w:r>
      <w:r w:rsidR="00A90963" w:rsidRPr="00D845F9">
        <w:rPr>
          <w:rStyle w:val="apple-converted-space"/>
          <w:color w:val="000000" w:themeColor="text1"/>
        </w:rPr>
        <w:t>“</w:t>
      </w:r>
      <w:r w:rsidR="00C33C58" w:rsidRPr="00D845F9">
        <w:rPr>
          <w:rStyle w:val="apple-converted-space"/>
          <w:color w:val="000000" w:themeColor="text1"/>
        </w:rPr>
        <w:t xml:space="preserve">or </w:t>
      </w:r>
      <w:r w:rsidR="00C33C58" w:rsidRPr="00D845F9">
        <w:rPr>
          <w:rStyle w:val="apple-converted-space"/>
          <w:i/>
          <w:color w:val="000000" w:themeColor="text1"/>
        </w:rPr>
        <w:t>similarly</w:t>
      </w:r>
      <w:r w:rsidR="00C33C58" w:rsidRPr="00D845F9">
        <w:rPr>
          <w:rStyle w:val="apple-converted-space"/>
          <w:color w:val="000000" w:themeColor="text1"/>
        </w:rPr>
        <w:t xml:space="preserve"> significantly affects him or her</w:t>
      </w:r>
      <w:r w:rsidR="00146EED" w:rsidRPr="00D845F9">
        <w:rPr>
          <w:rStyle w:val="apple-converted-space"/>
          <w:color w:val="000000" w:themeColor="text1"/>
        </w:rPr>
        <w:t>.</w:t>
      </w:r>
      <w:r w:rsidR="00C33C58" w:rsidRPr="00D845F9">
        <w:rPr>
          <w:rStyle w:val="apple-converted-space"/>
          <w:color w:val="000000" w:themeColor="text1"/>
        </w:rPr>
        <w:t>”</w:t>
      </w:r>
      <w:r w:rsidR="00A90963" w:rsidRPr="00D845F9">
        <w:rPr>
          <w:rStyle w:val="FootnoteReference"/>
          <w:color w:val="000000" w:themeColor="text1"/>
        </w:rPr>
        <w:footnoteReference w:id="181"/>
      </w:r>
      <w:r w:rsidR="00D63D45" w:rsidRPr="00D845F9">
        <w:rPr>
          <w:rStyle w:val="apple-converted-space"/>
          <w:color w:val="000000" w:themeColor="text1"/>
        </w:rPr>
        <w:t xml:space="preserve"> This addition goes in the opposite direction to the one taken when the draft GDPR was first published </w:t>
      </w:r>
      <w:r w:rsidR="00D63D45" w:rsidRPr="00D845F9">
        <w:rPr>
          <w:color w:val="000000" w:themeColor="text1"/>
        </w:rPr>
        <w:t>and it had been suggested that art 22 should cover not only decisions producing legal effects or which significantly affect data subjects, but also the “collection of data for the purpose of profiling and the creation of profiles as such.”</w:t>
      </w:r>
      <w:r w:rsidR="00D63D45" w:rsidRPr="00D845F9">
        <w:rPr>
          <w:rStyle w:val="FootnoteReference"/>
          <w:color w:val="000000" w:themeColor="text1"/>
        </w:rPr>
        <w:footnoteReference w:id="182"/>
      </w:r>
      <w:r w:rsidR="00D63D45" w:rsidRPr="00D845F9">
        <w:rPr>
          <w:color w:val="000000" w:themeColor="text1"/>
        </w:rPr>
        <w:t xml:space="preserve"> </w:t>
      </w:r>
    </w:p>
    <w:p w14:paraId="57F9F4F8" w14:textId="62D104B5" w:rsidR="00D63D45" w:rsidRPr="00D845F9" w:rsidRDefault="00D63D45" w:rsidP="00D845F9">
      <w:pPr>
        <w:pStyle w:val="ListParagraph"/>
        <w:contextualSpacing w:val="0"/>
        <w:jc w:val="both"/>
        <w:rPr>
          <w:color w:val="000000" w:themeColor="text1"/>
        </w:rPr>
      </w:pPr>
      <w:r w:rsidRPr="00D845F9">
        <w:rPr>
          <w:color w:val="000000" w:themeColor="text1"/>
        </w:rPr>
        <w:t>Now,</w:t>
      </w:r>
      <w:r w:rsidR="00C33C58" w:rsidRPr="00D845F9">
        <w:rPr>
          <w:rStyle w:val="apple-converted-space"/>
          <w:color w:val="000000" w:themeColor="text1"/>
        </w:rPr>
        <w:t xml:space="preserve"> </w:t>
      </w:r>
      <w:r w:rsidRPr="00D845F9">
        <w:rPr>
          <w:color w:val="000000" w:themeColor="text1"/>
        </w:rPr>
        <w:t>“legal effect” is quite straightforward, including all the scenarios where a decision affects a person’s rights based on laws or contracts.</w:t>
      </w:r>
      <w:r w:rsidRPr="00D845F9">
        <w:rPr>
          <w:rStyle w:val="FootnoteReference"/>
          <w:color w:val="000000" w:themeColor="text1"/>
        </w:rPr>
        <w:footnoteReference w:id="183"/>
      </w:r>
      <w:r w:rsidRPr="00D845F9">
        <w:rPr>
          <w:color w:val="000000" w:themeColor="text1"/>
        </w:rPr>
        <w:t xml:space="preserve"> In turn, </w:t>
      </w:r>
      <w:r w:rsidR="00C33C58" w:rsidRPr="00D845F9">
        <w:rPr>
          <w:rStyle w:val="apple-converted-space"/>
          <w:color w:val="000000" w:themeColor="text1"/>
        </w:rPr>
        <w:t>“similarly” may narrow</w:t>
      </w:r>
      <w:r w:rsidR="00EC06CC" w:rsidRPr="00D845F9">
        <w:rPr>
          <w:rStyle w:val="apple-converted-space"/>
          <w:color w:val="000000" w:themeColor="text1"/>
        </w:rPr>
        <w:t xml:space="preserve"> </w:t>
      </w:r>
      <w:r w:rsidR="00C33C58" w:rsidRPr="00D845F9">
        <w:rPr>
          <w:rStyle w:val="apple-converted-space"/>
          <w:color w:val="000000" w:themeColor="text1"/>
        </w:rPr>
        <w:t>the scope of the provision, if compared with the previous wording</w:t>
      </w:r>
      <w:r w:rsidR="008A22C0" w:rsidRPr="00D845F9">
        <w:rPr>
          <w:rStyle w:val="apple-converted-space"/>
          <w:color w:val="000000" w:themeColor="text1"/>
        </w:rPr>
        <w:t>, where no reference to this adverb was made</w:t>
      </w:r>
      <w:r w:rsidR="00C33C58" w:rsidRPr="00D845F9">
        <w:rPr>
          <w:rStyle w:val="apple-converted-space"/>
          <w:color w:val="000000" w:themeColor="text1"/>
        </w:rPr>
        <w:t xml:space="preserve">. </w:t>
      </w:r>
      <w:r w:rsidR="00A90963" w:rsidRPr="00D845F9">
        <w:rPr>
          <w:rStyle w:val="apple-converted-space"/>
          <w:color w:val="000000" w:themeColor="text1"/>
        </w:rPr>
        <w:t>Indeed, it may be seen as meaning that one does not have the right to object to algorithmic decision-making if the effect is not similar to a legal effect</w:t>
      </w:r>
      <w:r w:rsidR="009121B6" w:rsidRPr="00D845F9">
        <w:rPr>
          <w:rStyle w:val="FootnoteReference"/>
          <w:color w:val="000000" w:themeColor="text1"/>
        </w:rPr>
        <w:footnoteReference w:id="184"/>
      </w:r>
      <w:r w:rsidR="00A90963" w:rsidRPr="00D845F9">
        <w:rPr>
          <w:rStyle w:val="apple-converted-space"/>
          <w:color w:val="000000" w:themeColor="text1"/>
        </w:rPr>
        <w:t xml:space="preserve"> (e.g. significant distress</w:t>
      </w:r>
      <w:r w:rsidR="00CC3C7D" w:rsidRPr="00D845F9">
        <w:rPr>
          <w:rStyle w:val="apple-converted-space"/>
          <w:color w:val="000000" w:themeColor="text1"/>
        </w:rPr>
        <w:t xml:space="preserve"> or missed professional opportunities as a consequence of</w:t>
      </w:r>
      <w:r w:rsidR="00A90963" w:rsidRPr="00D845F9">
        <w:rPr>
          <w:rStyle w:val="apple-converted-space"/>
          <w:color w:val="000000" w:themeColor="text1"/>
        </w:rPr>
        <w:t xml:space="preserve"> being permanently banned from </w:t>
      </w:r>
      <w:r w:rsidR="009121B6" w:rsidRPr="00D845F9">
        <w:rPr>
          <w:rStyle w:val="apple-converted-space"/>
          <w:color w:val="000000" w:themeColor="text1"/>
        </w:rPr>
        <w:t>a popular social network</w:t>
      </w:r>
      <w:r w:rsidR="00A90963" w:rsidRPr="00D845F9">
        <w:rPr>
          <w:rStyle w:val="apple-converted-space"/>
          <w:color w:val="000000" w:themeColor="text1"/>
        </w:rPr>
        <w:t>)</w:t>
      </w:r>
      <w:r w:rsidR="00146EED" w:rsidRPr="00D845F9">
        <w:rPr>
          <w:rStyle w:val="apple-converted-space"/>
          <w:color w:val="000000" w:themeColor="text1"/>
        </w:rPr>
        <w:t>.</w:t>
      </w:r>
      <w:r w:rsidR="009121B6" w:rsidRPr="00D845F9">
        <w:rPr>
          <w:rStyle w:val="FootnoteReference"/>
          <w:color w:val="000000" w:themeColor="text1"/>
        </w:rPr>
        <w:footnoteReference w:id="185"/>
      </w:r>
      <w:r w:rsidR="00CF2C3C" w:rsidRPr="00D845F9">
        <w:rPr>
          <w:rStyle w:val="apple-converted-space"/>
          <w:color w:val="000000" w:themeColor="text1"/>
        </w:rPr>
        <w:t xml:space="preserve"> </w:t>
      </w:r>
      <w:r w:rsidRPr="00D845F9">
        <w:rPr>
          <w:rStyle w:val="apple-converted-space"/>
          <w:color w:val="000000" w:themeColor="text1"/>
        </w:rPr>
        <w:t>If this interpretation were followed, b</w:t>
      </w:r>
      <w:r w:rsidR="00CF2C3C" w:rsidRPr="00D845F9">
        <w:rPr>
          <w:rStyle w:val="apple-converted-space"/>
          <w:color w:val="000000" w:themeColor="text1"/>
        </w:rPr>
        <w:t>roader national implementations may need to be reviewed accordingly. For instance, the UK refers to decisions take for “the purpose of evaluating matters relating to him such as, for example, his performance at work, his creditworthiness, his reliability or his conduct</w:t>
      </w:r>
      <w:r w:rsidR="007B6520" w:rsidRPr="00D845F9">
        <w:rPr>
          <w:rStyle w:val="apple-converted-space"/>
          <w:color w:val="000000" w:themeColor="text1"/>
        </w:rPr>
        <w:t>”</w:t>
      </w:r>
      <w:r w:rsidR="007B6520" w:rsidRPr="00D845F9">
        <w:rPr>
          <w:rStyle w:val="FootnoteReference"/>
          <w:color w:val="000000" w:themeColor="text1"/>
        </w:rPr>
        <w:footnoteReference w:id="186"/>
      </w:r>
      <w:r w:rsidR="00CF2C3C" w:rsidRPr="00D845F9">
        <w:rPr>
          <w:color w:val="000000" w:themeColor="text1"/>
        </w:rPr>
        <w:t>.</w:t>
      </w:r>
      <w:r w:rsidR="00676619" w:rsidRPr="00D845F9">
        <w:rPr>
          <w:rStyle w:val="apple-converted-space"/>
          <w:color w:val="000000" w:themeColor="text1"/>
        </w:rPr>
        <w:t xml:space="preserve"> </w:t>
      </w:r>
      <w:r w:rsidRPr="00D845F9">
        <w:rPr>
          <w:color w:val="000000" w:themeColor="text1"/>
        </w:rPr>
        <w:t>The Information Commissioner’s Office accepts that it is hard to explain what “significant effect” means, but it suggests that it refers to “some consequence that is more than trivial and potentially has an unfavourable outcome.”</w:t>
      </w:r>
      <w:r w:rsidRPr="00D845F9">
        <w:rPr>
          <w:rStyle w:val="FootnoteReference"/>
          <w:color w:val="000000" w:themeColor="text1"/>
        </w:rPr>
        <w:footnoteReference w:id="187"/>
      </w:r>
      <w:r w:rsidRPr="00D845F9">
        <w:rPr>
          <w:color w:val="000000" w:themeColor="text1"/>
        </w:rPr>
        <w:t xml:space="preserve"> Businesses have been asking for more detailed guidance</w:t>
      </w:r>
      <w:r w:rsidRPr="00D845F9">
        <w:rPr>
          <w:rStyle w:val="FootnoteReference"/>
          <w:color w:val="000000" w:themeColor="text1"/>
        </w:rPr>
        <w:footnoteReference w:id="188"/>
      </w:r>
      <w:r w:rsidRPr="00D845F9">
        <w:rPr>
          <w:color w:val="000000" w:themeColor="text1"/>
        </w:rPr>
        <w:t xml:space="preserve"> and this has partly arrived with the Article 29 Working Party’s guidelines that indicated that “similarly” means that “the threshold for </w:t>
      </w:r>
      <w:r w:rsidRPr="00D845F9">
        <w:rPr>
          <w:i/>
          <w:iCs/>
          <w:color w:val="000000" w:themeColor="text1"/>
        </w:rPr>
        <w:t xml:space="preserve">significance </w:t>
      </w:r>
      <w:r w:rsidRPr="00D845F9">
        <w:rPr>
          <w:color w:val="000000" w:themeColor="text1"/>
        </w:rPr>
        <w:t>must be similar.”</w:t>
      </w:r>
      <w:r w:rsidRPr="00D845F9">
        <w:rPr>
          <w:rStyle w:val="FootnoteReference"/>
          <w:color w:val="000000" w:themeColor="text1"/>
        </w:rPr>
        <w:footnoteReference w:id="189"/>
      </w:r>
      <w:r w:rsidR="00C21625" w:rsidRPr="00D845F9">
        <w:rPr>
          <w:color w:val="000000" w:themeColor="text1"/>
        </w:rPr>
        <w:t xml:space="preserve"> Therefore, in order for a decision to fall within the scope of art 22, it must not necessarily be a quasi-legal effect in terms of content, being sufficient a decision which profoundly affects the individual as much as a decision affecting her or his rights would. Adding details to the UK attempt of definition, the EU advisory body point out that a similarly significant effect must be “more than trivial and must be sufficiently great or important to be worthy of attention.”</w:t>
      </w:r>
      <w:r w:rsidR="00C21625" w:rsidRPr="00D845F9">
        <w:rPr>
          <w:rStyle w:val="FootnoteReference"/>
          <w:color w:val="000000" w:themeColor="text1"/>
        </w:rPr>
        <w:footnoteReference w:id="190"/>
      </w:r>
      <w:r w:rsidR="00C21625" w:rsidRPr="00D845F9">
        <w:rPr>
          <w:color w:val="000000" w:themeColor="text1"/>
        </w:rPr>
        <w:t xml:space="preserve"> The concept is broad enough to encompass a vast number of scenarios, from e-recruiting to online behavioural advertising, especially if intrusive and targeted to vulnerable groups.</w:t>
      </w:r>
      <w:r w:rsidR="00687C21">
        <w:rPr>
          <w:rStyle w:val="FootnoteReference"/>
          <w:color w:val="000000" w:themeColor="text1"/>
        </w:rPr>
        <w:footnoteReference w:id="191"/>
      </w:r>
    </w:p>
    <w:p w14:paraId="562EF588" w14:textId="156901B6" w:rsidR="002E235B" w:rsidRPr="00D845F9" w:rsidRDefault="002E235B" w:rsidP="00D845F9">
      <w:pPr>
        <w:pStyle w:val="ListParagraph"/>
        <w:contextualSpacing w:val="0"/>
        <w:jc w:val="both"/>
        <w:rPr>
          <w:color w:val="000000" w:themeColor="text1"/>
        </w:rPr>
      </w:pPr>
      <w:r w:rsidRPr="00D845F9">
        <w:rPr>
          <w:color w:val="000000" w:themeColor="text1"/>
        </w:rPr>
        <w:t>Even before understanding what ‘legal’ means, one should clarify what is a ‘decision’. It has been suggested that this could include “an interim or individual step taken during the automated processing.”</w:t>
      </w:r>
      <w:r w:rsidRPr="00D845F9">
        <w:rPr>
          <w:rStyle w:val="FootnoteReference"/>
          <w:color w:val="000000" w:themeColor="text1"/>
        </w:rPr>
        <w:footnoteReference w:id="192"/>
      </w:r>
      <w:r w:rsidRPr="00D845F9">
        <w:rPr>
          <w:color w:val="000000" w:themeColor="text1"/>
        </w:rPr>
        <w:t xml:space="preserve"> It would seem, however, that only rarely interim measures and individual steps will qualify for the application of art 22 of the GDPR, because the provision requires a decision with legal effect or “similarly significant.”</w:t>
      </w:r>
    </w:p>
    <w:p w14:paraId="485200A3" w14:textId="0FFB51D0" w:rsidR="00C92E7B" w:rsidRDefault="002E235B" w:rsidP="00D845F9">
      <w:pPr>
        <w:pStyle w:val="ListParagraph"/>
        <w:contextualSpacing w:val="0"/>
        <w:jc w:val="both"/>
        <w:rPr>
          <w:rStyle w:val="apple-converted-space"/>
          <w:color w:val="000000" w:themeColor="text1"/>
        </w:rPr>
      </w:pPr>
      <w:r w:rsidRPr="00D845F9">
        <w:rPr>
          <w:rStyle w:val="apple-converted-space"/>
          <w:color w:val="000000" w:themeColor="text1"/>
        </w:rPr>
        <w:t xml:space="preserve">Some aspects of this regime are not clear yet. For instance, it is open to </w:t>
      </w:r>
      <w:r w:rsidR="00A1060F" w:rsidRPr="00D845F9">
        <w:rPr>
          <w:rStyle w:val="apple-converted-space"/>
          <w:color w:val="000000" w:themeColor="text1"/>
        </w:rPr>
        <w:t>debate</w:t>
      </w:r>
      <w:r w:rsidRPr="00D845F9">
        <w:rPr>
          <w:rStyle w:val="apple-converted-space"/>
          <w:color w:val="000000" w:themeColor="text1"/>
        </w:rPr>
        <w:t xml:space="preserve"> what </w:t>
      </w:r>
      <w:r w:rsidRPr="00D845F9">
        <w:rPr>
          <w:rStyle w:val="apple-converted-space"/>
          <w:i/>
          <w:color w:val="000000" w:themeColor="text1"/>
        </w:rPr>
        <w:t xml:space="preserve">solely </w:t>
      </w:r>
      <w:r w:rsidRPr="00D845F9">
        <w:rPr>
          <w:rStyle w:val="apple-converted-space"/>
          <w:color w:val="000000" w:themeColor="text1"/>
        </w:rPr>
        <w:t xml:space="preserve">automated means. </w:t>
      </w:r>
      <w:r w:rsidR="00CE5779">
        <w:rPr>
          <w:rStyle w:val="apple-converted-space"/>
          <w:color w:val="000000" w:themeColor="text1"/>
        </w:rPr>
        <w:t xml:space="preserve">In the past, it was relatively easy to understand what ‘solely’ meant. There was a limited number of organisations taking significant algorithmic decisions and the technologies used were quite </w:t>
      </w:r>
      <w:r w:rsidR="00C92E7B">
        <w:rPr>
          <w:rStyle w:val="apple-converted-space"/>
          <w:color w:val="000000" w:themeColor="text1"/>
        </w:rPr>
        <w:t>rudimental</w:t>
      </w:r>
      <w:r w:rsidR="00CE5779">
        <w:rPr>
          <w:rStyle w:val="apple-converted-space"/>
          <w:color w:val="000000" w:themeColor="text1"/>
        </w:rPr>
        <w:t>; therefore, reviewing the machine-generated data was relatively straightforward and once a human being reviewed the data, the decision was no longer solely automated.</w:t>
      </w:r>
      <w:r w:rsidR="00CE5779">
        <w:rPr>
          <w:rStyle w:val="FootnoteReference"/>
          <w:color w:val="000000" w:themeColor="text1"/>
        </w:rPr>
        <w:footnoteReference w:id="193"/>
      </w:r>
      <w:r w:rsidR="00CE5779">
        <w:rPr>
          <w:rStyle w:val="apple-converted-space"/>
          <w:color w:val="000000" w:themeColor="text1"/>
        </w:rPr>
        <w:t xml:space="preserve"> </w:t>
      </w:r>
      <w:r w:rsidR="00C92E7B">
        <w:rPr>
          <w:rStyle w:val="apple-converted-space"/>
          <w:color w:val="000000" w:themeColor="text1"/>
        </w:rPr>
        <w:t xml:space="preserve">In light of increasingly complex (and accordingly opaque) algorithmic techniques and of the ubiquitous nature of the phenomenon of algorithmic decisions, that approach should be abandoned. </w:t>
      </w:r>
    </w:p>
    <w:p w14:paraId="364D56B2" w14:textId="5003C94C" w:rsidR="00E315C1" w:rsidRDefault="002E235B" w:rsidP="00D845F9">
      <w:pPr>
        <w:pStyle w:val="ListParagraph"/>
        <w:contextualSpacing w:val="0"/>
        <w:jc w:val="both"/>
        <w:rPr>
          <w:color w:val="000000" w:themeColor="text1"/>
        </w:rPr>
      </w:pPr>
      <w:r w:rsidRPr="00D845F9">
        <w:rPr>
          <w:rStyle w:val="apple-converted-space"/>
          <w:color w:val="000000" w:themeColor="text1"/>
        </w:rPr>
        <w:t>The UK Information Commissioner’s Office recently requested feedback on some points of the GDPR</w:t>
      </w:r>
      <w:r w:rsidR="00CE5779">
        <w:rPr>
          <w:rStyle w:val="apple-converted-space"/>
          <w:color w:val="000000" w:themeColor="text1"/>
        </w:rPr>
        <w:t>,</w:t>
      </w:r>
      <w:r w:rsidRPr="00D845F9">
        <w:rPr>
          <w:rStyle w:val="FootnoteReference"/>
          <w:color w:val="000000" w:themeColor="text1"/>
        </w:rPr>
        <w:footnoteReference w:id="194"/>
      </w:r>
      <w:r w:rsidR="00CE5779">
        <w:rPr>
          <w:rStyle w:val="apple-converted-space"/>
          <w:color w:val="000000" w:themeColor="text1"/>
        </w:rPr>
        <w:t xml:space="preserve"> and</w:t>
      </w:r>
      <w:r w:rsidRPr="00D845F9">
        <w:rPr>
          <w:rStyle w:val="apple-converted-space"/>
          <w:color w:val="000000" w:themeColor="text1"/>
        </w:rPr>
        <w:t xml:space="preserve"> they</w:t>
      </w:r>
      <w:r w:rsidR="00CE5779">
        <w:rPr>
          <w:rStyle w:val="apple-converted-space"/>
          <w:color w:val="000000" w:themeColor="text1"/>
        </w:rPr>
        <w:t xml:space="preserve"> have</w:t>
      </w:r>
      <w:r w:rsidRPr="00D845F9">
        <w:rPr>
          <w:rStyle w:val="apple-converted-space"/>
          <w:color w:val="000000" w:themeColor="text1"/>
        </w:rPr>
        <w:t xml:space="preserve"> suggest</w:t>
      </w:r>
      <w:r w:rsidR="00CE5779">
        <w:rPr>
          <w:rStyle w:val="apple-converted-space"/>
          <w:color w:val="000000" w:themeColor="text1"/>
        </w:rPr>
        <w:t>ed</w:t>
      </w:r>
      <w:r w:rsidRPr="00D845F9">
        <w:rPr>
          <w:rStyle w:val="apple-converted-space"/>
          <w:color w:val="000000" w:themeColor="text1"/>
        </w:rPr>
        <w:t xml:space="preserve"> that </w:t>
      </w:r>
      <w:r w:rsidRPr="00D845F9">
        <w:rPr>
          <w:color w:val="000000" w:themeColor="text1"/>
        </w:rPr>
        <w:t>‘solely’ should “cover those automated decision-making processes where a human exercises no real influence on the outcome of the decision, for example where the result of the profiling or process is not assessed by a person before being formal</w:t>
      </w:r>
      <w:r w:rsidR="00255DC4" w:rsidRPr="00D845F9">
        <w:rPr>
          <w:color w:val="000000" w:themeColor="text1"/>
        </w:rPr>
        <w:t>ised</w:t>
      </w:r>
      <w:r w:rsidRPr="00D845F9">
        <w:rPr>
          <w:color w:val="000000" w:themeColor="text1"/>
        </w:rPr>
        <w:t xml:space="preserve"> as a decision.”</w:t>
      </w:r>
      <w:r w:rsidRPr="00D845F9">
        <w:rPr>
          <w:rStyle w:val="FootnoteReference"/>
          <w:color w:val="000000" w:themeColor="text1"/>
        </w:rPr>
        <w:footnoteReference w:id="195"/>
      </w:r>
      <w:r w:rsidRPr="00D845F9">
        <w:rPr>
          <w:color w:val="000000" w:themeColor="text1"/>
        </w:rPr>
        <w:t xml:space="preserve"> The risk of this interpretation is that it is not always easy, especially from the data subject’s perspective, which role the human being played in the decision (was the human being a passive operator? Which discretion had they while assessing the result?). Moreover, “it may not be feasible for a human to conduct a meaningful review of a process that may have involved third-party data and algorithms (which may contain trade secrets), prelearned models, or inherently opaque machine learning technique.”</w:t>
      </w:r>
      <w:r w:rsidRPr="00D845F9">
        <w:rPr>
          <w:rStyle w:val="FootnoteReference"/>
          <w:color w:val="000000" w:themeColor="text1"/>
        </w:rPr>
        <w:footnoteReference w:id="196"/>
      </w:r>
      <w:r w:rsidRPr="00D845F9">
        <w:rPr>
          <w:color w:val="000000" w:themeColor="text1"/>
        </w:rPr>
        <w:t xml:space="preserve"> Therefore, it would seem more appropriate to recognise the right not to be subject to an algorithmic decision every time that there is not a human being clearly taking the final decision.</w:t>
      </w:r>
      <w:r w:rsidRPr="00D845F9">
        <w:rPr>
          <w:rStyle w:val="FootnoteReference"/>
          <w:color w:val="000000" w:themeColor="text1"/>
        </w:rPr>
        <w:footnoteReference w:id="197"/>
      </w:r>
      <w:r w:rsidRPr="00D845F9">
        <w:rPr>
          <w:color w:val="000000" w:themeColor="text1"/>
        </w:rPr>
        <w:t xml:space="preserve"> It would seem that the Article 29 Working Party hold similar views when they</w:t>
      </w:r>
      <w:r w:rsidR="00687C21">
        <w:rPr>
          <w:color w:val="000000" w:themeColor="text1"/>
        </w:rPr>
        <w:t xml:space="preserve"> </w:t>
      </w:r>
      <w:r w:rsidRPr="00D845F9">
        <w:rPr>
          <w:color w:val="000000" w:themeColor="text1"/>
        </w:rPr>
        <w:t xml:space="preserve">state that a decision is not wholly automated when alongside an automated profile, there is “additional meaningful intervention carried out by humans before any decision is applied to an </w:t>
      </w:r>
      <w:r w:rsidRPr="00E315C1">
        <w:rPr>
          <w:color w:val="000000" w:themeColor="text1"/>
        </w:rPr>
        <w:t>individual</w:t>
      </w:r>
      <w:r w:rsidRPr="00D845F9">
        <w:rPr>
          <w:color w:val="000000" w:themeColor="text1"/>
        </w:rPr>
        <w:t>.”</w:t>
      </w:r>
      <w:r w:rsidRPr="00D845F9">
        <w:rPr>
          <w:rStyle w:val="FootnoteReference"/>
          <w:color w:val="000000" w:themeColor="text1"/>
        </w:rPr>
        <w:footnoteReference w:id="198"/>
      </w:r>
      <w:r w:rsidRPr="00D845F9">
        <w:rPr>
          <w:color w:val="000000" w:themeColor="text1"/>
        </w:rPr>
        <w:t xml:space="preserve"> </w:t>
      </w:r>
      <w:r w:rsidR="00E315C1" w:rsidRPr="00E315C1">
        <w:rPr>
          <w:color w:val="000000" w:themeColor="text1"/>
        </w:rPr>
        <w:t>However, there is still a lack of clarity. Indeed, in order to clarify when art 22 GDPR applies or not the Article 29 Working Party makes the following examples. If a human decides whether to agree the loan based on a profile produced by purely automated means, then art 22 will not apply. In turn, if an algorithm decides whether the loan is agreed and the decision is automatically delivered to the individual, without any meaningful human input, then art 22 will apply. The point is that there is a substantial grey area here. For instance, it is unclear whether art 22 applies when the algorithmic system takes the decision, but a human being review it. Arguably, the human review could qualify as “meaningful human input.”</w:t>
      </w:r>
    </w:p>
    <w:p w14:paraId="1B753DB7" w14:textId="7AFF7C37" w:rsidR="002E235B" w:rsidRPr="00D845F9" w:rsidRDefault="002E235B" w:rsidP="00D845F9">
      <w:pPr>
        <w:pStyle w:val="ListParagraph"/>
        <w:contextualSpacing w:val="0"/>
        <w:jc w:val="both"/>
        <w:rPr>
          <w:color w:val="000000" w:themeColor="text1"/>
        </w:rPr>
      </w:pPr>
      <w:r w:rsidRPr="00D845F9">
        <w:rPr>
          <w:color w:val="000000" w:themeColor="text1"/>
        </w:rPr>
        <w:t>Even more importantly, controllers should refrain from “fabricating human involvement”</w:t>
      </w:r>
      <w:r w:rsidRPr="00D845F9">
        <w:rPr>
          <w:rStyle w:val="FootnoteReference"/>
          <w:color w:val="000000" w:themeColor="text1"/>
        </w:rPr>
        <w:footnoteReference w:id="199"/>
      </w:r>
      <w:r w:rsidRPr="00D845F9">
        <w:rPr>
          <w:color w:val="000000" w:themeColor="text1"/>
        </w:rPr>
        <w:t xml:space="preserve"> with the purpose of sidestepping art 22; this provision will apply every time that there is not meaningful and genuine human intervention, for instance in the form of actual oversight by a person with “authority and competence to change the decision.”</w:t>
      </w:r>
      <w:r w:rsidRPr="00D845F9">
        <w:rPr>
          <w:rStyle w:val="FootnoteReference"/>
          <w:color w:val="000000" w:themeColor="text1"/>
        </w:rPr>
        <w:footnoteReference w:id="200"/>
      </w:r>
      <w:r w:rsidRPr="00D845F9">
        <w:rPr>
          <w:color w:val="000000" w:themeColor="text1"/>
        </w:rPr>
        <w:t xml:space="preserve"> It is important to stress that the GDPR applies to every automated profiling carried out on personal data to evaluate a natural person’s personal aspects, not only to the ‘solely’ automated one, which means that the general GDPR rules and standards will apply to profiling even when a human being plays a </w:t>
      </w:r>
      <w:r w:rsidR="00DA6BDD">
        <w:rPr>
          <w:color w:val="000000" w:themeColor="text1"/>
        </w:rPr>
        <w:t xml:space="preserve">substantial </w:t>
      </w:r>
      <w:r w:rsidRPr="00D845F9">
        <w:rPr>
          <w:color w:val="000000" w:themeColor="text1"/>
        </w:rPr>
        <w:t>role in the creation of the relevant profile.</w:t>
      </w:r>
      <w:r w:rsidRPr="00D845F9">
        <w:rPr>
          <w:rStyle w:val="FootnoteReference"/>
          <w:color w:val="000000" w:themeColor="text1"/>
        </w:rPr>
        <w:footnoteReference w:id="201"/>
      </w:r>
      <w:r w:rsidRPr="00D845F9">
        <w:rPr>
          <w:color w:val="000000" w:themeColor="text1"/>
        </w:rPr>
        <w:t xml:space="preserve"> </w:t>
      </w:r>
    </w:p>
    <w:p w14:paraId="0065434C" w14:textId="47D35F53" w:rsidR="008C73C4" w:rsidRPr="00D845F9" w:rsidRDefault="008C73C4" w:rsidP="00D845F9">
      <w:pPr>
        <w:pStyle w:val="ListParagraph"/>
        <w:contextualSpacing w:val="0"/>
        <w:jc w:val="both"/>
        <w:rPr>
          <w:color w:val="000000" w:themeColor="text1"/>
        </w:rPr>
      </w:pPr>
    </w:p>
    <w:p w14:paraId="12FCCD25" w14:textId="52496082" w:rsidR="008C73C4" w:rsidRPr="004672E2" w:rsidRDefault="00BC6306" w:rsidP="004672E2">
      <w:pPr>
        <w:pStyle w:val="NormalWeb"/>
        <w:ind w:left="720"/>
        <w:rPr>
          <w:rFonts w:ascii="TitilliumMaps29L" w:hAnsi="TitilliumMaps29L"/>
          <w:sz w:val="28"/>
          <w:szCs w:val="28"/>
        </w:rPr>
      </w:pPr>
      <w:r w:rsidRPr="004672E2">
        <w:rPr>
          <w:rFonts w:ascii="TitilliumMaps29L" w:hAnsi="TitilliumMaps29L"/>
          <w:sz w:val="28"/>
          <w:szCs w:val="28"/>
        </w:rPr>
        <w:t>D.II</w:t>
      </w:r>
      <w:r w:rsidR="002C5C3F" w:rsidRPr="004672E2">
        <w:rPr>
          <w:rFonts w:ascii="TitilliumMaps29L" w:hAnsi="TitilliumMaps29L"/>
          <w:sz w:val="28"/>
          <w:szCs w:val="28"/>
        </w:rPr>
        <w:t>. Three exceptions: contract, consent, law</w:t>
      </w:r>
    </w:p>
    <w:p w14:paraId="025ECC0A" w14:textId="77777777" w:rsidR="008C73C4" w:rsidRPr="00D845F9" w:rsidRDefault="008C73C4" w:rsidP="00D845F9">
      <w:pPr>
        <w:pStyle w:val="ListParagraph"/>
        <w:contextualSpacing w:val="0"/>
        <w:jc w:val="both"/>
        <w:rPr>
          <w:color w:val="000000" w:themeColor="text1"/>
        </w:rPr>
      </w:pPr>
    </w:p>
    <w:p w14:paraId="24B64129" w14:textId="3C0AC312" w:rsidR="00F248D8" w:rsidRPr="00F248D8" w:rsidRDefault="00085D98" w:rsidP="00F248D8">
      <w:pPr>
        <w:pStyle w:val="ListParagraph"/>
        <w:contextualSpacing w:val="0"/>
        <w:jc w:val="both"/>
        <w:rPr>
          <w:rStyle w:val="apple-converted-space"/>
          <w:color w:val="000000" w:themeColor="text1"/>
        </w:rPr>
      </w:pPr>
      <w:r w:rsidRPr="00D845F9">
        <w:rPr>
          <w:color w:val="000000" w:themeColor="text1"/>
        </w:rPr>
        <w:t>Even though “as a rule, there is a prohibition on fully automated individual decision-making (…) that has a legal or similarly significant effect,”</w:t>
      </w:r>
      <w:r w:rsidRPr="00D845F9">
        <w:rPr>
          <w:rStyle w:val="FootnoteReference"/>
          <w:color w:val="000000" w:themeColor="text1"/>
        </w:rPr>
        <w:footnoteReference w:id="202"/>
      </w:r>
      <w:r w:rsidRPr="00D845F9">
        <w:rPr>
          <w:color w:val="000000" w:themeColor="text1"/>
        </w:rPr>
        <w:t xml:space="preserve"> this rule has some exceptions. </w:t>
      </w:r>
      <w:r w:rsidRPr="00D845F9">
        <w:rPr>
          <w:rStyle w:val="apple-converted-space"/>
          <w:color w:val="000000" w:themeColor="text1"/>
        </w:rPr>
        <w:t xml:space="preserve">The GDPR has innovated the systems of the exceptions not only by adding a consent-based exception, but also by clarifying the scope of the pre-existing ones. </w:t>
      </w:r>
      <w:r w:rsidR="00F248D8">
        <w:rPr>
          <w:rStyle w:val="apple-converted-space"/>
          <w:color w:val="000000" w:themeColor="text1"/>
        </w:rPr>
        <w:t xml:space="preserve">It is unfortunate that the </w:t>
      </w:r>
      <w:r w:rsidR="00DF09D5">
        <w:rPr>
          <w:rStyle w:val="apple-converted-space"/>
          <w:color w:val="000000" w:themeColor="text1"/>
        </w:rPr>
        <w:t xml:space="preserve">UK </w:t>
      </w:r>
      <w:r w:rsidR="00F248D8">
        <w:rPr>
          <w:rStyle w:val="apple-converted-space"/>
          <w:color w:val="000000" w:themeColor="text1"/>
        </w:rPr>
        <w:t>Data Protection Bil</w:t>
      </w:r>
      <w:r w:rsidR="00DF09D5">
        <w:rPr>
          <w:rStyle w:val="apple-converted-space"/>
          <w:color w:val="000000" w:themeColor="text1"/>
        </w:rPr>
        <w:t>l</w:t>
      </w:r>
      <w:r w:rsidR="00DF09D5" w:rsidRPr="00D845F9">
        <w:rPr>
          <w:rStyle w:val="FootnoteReference"/>
          <w:color w:val="000000" w:themeColor="text1"/>
          <w:shd w:val="clear" w:color="auto" w:fill="FFFFFF"/>
        </w:rPr>
        <w:footnoteReference w:id="203"/>
      </w:r>
      <w:r w:rsidR="00F248D8">
        <w:rPr>
          <w:rStyle w:val="apple-converted-space"/>
          <w:color w:val="000000" w:themeColor="text1"/>
        </w:rPr>
        <w:t xml:space="preserve"> is missing </w:t>
      </w:r>
      <w:r w:rsidR="00DF09D5">
        <w:rPr>
          <w:rStyle w:val="apple-converted-space"/>
          <w:color w:val="000000" w:themeColor="text1"/>
        </w:rPr>
        <w:t xml:space="preserve">out on </w:t>
      </w:r>
      <w:r w:rsidR="00F248D8">
        <w:rPr>
          <w:rStyle w:val="apple-converted-space"/>
          <w:color w:val="000000" w:themeColor="text1"/>
        </w:rPr>
        <w:t xml:space="preserve">this opportunity. Indeed, the only innovation that it is being introduced regards algorithmic decision authorised by law. The UK will keep allowing such decisions in circumstances prescribed by the Secretary of State, in relation to a contract, when </w:t>
      </w:r>
      <w:r w:rsidR="00F248D8" w:rsidRPr="00F248D8">
        <w:rPr>
          <w:rStyle w:val="apple-converted-space"/>
          <w:color w:val="000000" w:themeColor="text1"/>
        </w:rPr>
        <w:t>authorised or required by or under any enactment, effect of the decision is to grant a</w:t>
      </w:r>
      <w:r w:rsidR="00F248D8">
        <w:rPr>
          <w:rStyle w:val="apple-converted-space"/>
          <w:color w:val="000000" w:themeColor="text1"/>
        </w:rPr>
        <w:t xml:space="preserve"> request of the data subject, or when </w:t>
      </w:r>
      <w:r w:rsidR="00F248D8" w:rsidRPr="00F248D8">
        <w:rPr>
          <w:rStyle w:val="apple-converted-space"/>
          <w:color w:val="000000" w:themeColor="text1"/>
        </w:rPr>
        <w:t>steps have been taken to safeguard the legitimate interests of the dat</w:t>
      </w:r>
      <w:r w:rsidR="00F248D8">
        <w:rPr>
          <w:rStyle w:val="apple-converted-space"/>
          <w:color w:val="000000" w:themeColor="text1"/>
        </w:rPr>
        <w:t>a subject</w:t>
      </w:r>
      <w:r w:rsidR="00F248D8" w:rsidRPr="00F248D8">
        <w:rPr>
          <w:rStyle w:val="apple-converted-space"/>
          <w:color w:val="000000" w:themeColor="text1"/>
        </w:rPr>
        <w:t>.</w:t>
      </w:r>
      <w:r w:rsidR="00F248D8">
        <w:rPr>
          <w:rStyle w:val="apple-converted-space"/>
          <w:color w:val="000000" w:themeColor="text1"/>
        </w:rPr>
        <w:t xml:space="preserve"> No consent-based exception is provided.</w:t>
      </w:r>
      <w:r w:rsidR="00DF09D5" w:rsidRPr="00DF09D5">
        <w:rPr>
          <w:rStyle w:val="apple-converted-space"/>
          <w:sz w:val="20"/>
          <w:szCs w:val="20"/>
        </w:rPr>
        <w:t xml:space="preserve"> </w:t>
      </w:r>
      <w:r w:rsidR="00DF09D5" w:rsidRPr="00DF09D5">
        <w:rPr>
          <w:rStyle w:val="apple-converted-space"/>
          <w:color w:val="000000" w:themeColor="text1"/>
        </w:rPr>
        <w:t>Unlike the interpretation of the right not to be subject to an algorithmic decision as a general prohibition, the lack of implementation of the consent-</w:t>
      </w:r>
      <w:r w:rsidR="00DF09D5">
        <w:rPr>
          <w:rStyle w:val="apple-converted-space"/>
          <w:color w:val="000000" w:themeColor="text1"/>
        </w:rPr>
        <w:t xml:space="preserve">based </w:t>
      </w:r>
      <w:r w:rsidR="00DF09D5" w:rsidRPr="00DF09D5">
        <w:rPr>
          <w:rStyle w:val="apple-converted-space"/>
          <w:color w:val="000000" w:themeColor="text1"/>
        </w:rPr>
        <w:t>exception is unlikely to put in danger the cross-border data transfers with the EU. Indeed, said lack might ensure a stronger protection to personal data. In turn, the broad wording of the contractual exception may be more problematic.</w:t>
      </w:r>
      <w:r w:rsidR="00DF09D5">
        <w:rPr>
          <w:rStyle w:val="FootnoteReference"/>
          <w:color w:val="000000" w:themeColor="text1"/>
        </w:rPr>
        <w:footnoteReference w:id="204"/>
      </w:r>
    </w:p>
    <w:p w14:paraId="563C7F6E" w14:textId="5C4F0FAB" w:rsidR="00085D98" w:rsidRPr="00F248D8" w:rsidRDefault="00085D98" w:rsidP="00F248D8">
      <w:pPr>
        <w:jc w:val="both"/>
        <w:rPr>
          <w:rStyle w:val="apple-converted-space"/>
          <w:color w:val="000000" w:themeColor="text1"/>
        </w:rPr>
      </w:pPr>
    </w:p>
    <w:p w14:paraId="0A99C8C9" w14:textId="79BF36D5" w:rsidR="00A10590" w:rsidRPr="00D845F9" w:rsidRDefault="00F248D8" w:rsidP="00D845F9">
      <w:pPr>
        <w:pStyle w:val="ListParagraph"/>
        <w:contextualSpacing w:val="0"/>
        <w:jc w:val="both"/>
        <w:rPr>
          <w:rStyle w:val="apple-converted-space"/>
          <w:color w:val="000000" w:themeColor="text1"/>
        </w:rPr>
      </w:pPr>
      <w:r>
        <w:rPr>
          <w:rStyle w:val="apple-converted-space"/>
          <w:color w:val="000000" w:themeColor="text1"/>
        </w:rPr>
        <w:t xml:space="preserve">Art 22 </w:t>
      </w:r>
      <w:r w:rsidR="00A90963" w:rsidRPr="00D845F9">
        <w:rPr>
          <w:rStyle w:val="apple-converted-space"/>
          <w:color w:val="000000" w:themeColor="text1"/>
        </w:rPr>
        <w:t xml:space="preserve">brings clarity to the scenario regarding the entering and performance of the contract by simplifying the language and restricting the </w:t>
      </w:r>
      <w:r w:rsidR="00581F98" w:rsidRPr="00D845F9">
        <w:rPr>
          <w:rStyle w:val="apple-converted-space"/>
          <w:color w:val="000000" w:themeColor="text1"/>
        </w:rPr>
        <w:t xml:space="preserve">contractual </w:t>
      </w:r>
      <w:r w:rsidR="00A90963" w:rsidRPr="00D845F9">
        <w:rPr>
          <w:rStyle w:val="apple-converted-space"/>
          <w:color w:val="000000" w:themeColor="text1"/>
        </w:rPr>
        <w:t xml:space="preserve">exception to the instances when the algorithmic decision-making is </w:t>
      </w:r>
      <w:r w:rsidR="00A90963" w:rsidRPr="00D845F9">
        <w:rPr>
          <w:rStyle w:val="apple-converted-space"/>
          <w:i/>
          <w:color w:val="000000" w:themeColor="text1"/>
        </w:rPr>
        <w:t xml:space="preserve">necessary </w:t>
      </w:r>
      <w:r w:rsidR="00A90963" w:rsidRPr="00D845F9">
        <w:rPr>
          <w:rStyle w:val="apple-converted-space"/>
          <w:color w:val="000000" w:themeColor="text1"/>
        </w:rPr>
        <w:t xml:space="preserve">to enter into a contract or for </w:t>
      </w:r>
      <w:r w:rsidR="00CC3C7D" w:rsidRPr="00D845F9">
        <w:rPr>
          <w:rStyle w:val="apple-converted-space"/>
          <w:color w:val="000000" w:themeColor="text1"/>
        </w:rPr>
        <w:t>its performance</w:t>
      </w:r>
      <w:r w:rsidR="00146EED" w:rsidRPr="00D845F9">
        <w:rPr>
          <w:rStyle w:val="apple-converted-space"/>
          <w:color w:val="000000" w:themeColor="text1"/>
        </w:rPr>
        <w:t>.</w:t>
      </w:r>
      <w:r w:rsidR="00A90963" w:rsidRPr="00D845F9">
        <w:rPr>
          <w:rStyle w:val="FootnoteReference"/>
          <w:color w:val="000000" w:themeColor="text1"/>
        </w:rPr>
        <w:footnoteReference w:id="205"/>
      </w:r>
      <w:r w:rsidR="00A90963" w:rsidRPr="00D845F9">
        <w:rPr>
          <w:rStyle w:val="apple-converted-space"/>
          <w:color w:val="000000" w:themeColor="text1"/>
        </w:rPr>
        <w:t xml:space="preserve"> </w:t>
      </w:r>
      <w:r w:rsidR="00B45F83" w:rsidRPr="00D845F9">
        <w:rPr>
          <w:rStyle w:val="apple-converted-space"/>
          <w:color w:val="000000" w:themeColor="text1"/>
        </w:rPr>
        <w:t>One may argue, going back to the example of the contingency fee agreements, that in that scenario the algorithmic decision would not be necessary</w:t>
      </w:r>
      <w:r w:rsidR="008C73C4" w:rsidRPr="00D845F9">
        <w:rPr>
          <w:rStyle w:val="apple-converted-space"/>
          <w:color w:val="000000" w:themeColor="text1"/>
        </w:rPr>
        <w:t xml:space="preserve"> and, thus, it would not fall within the scope of this exception. Following the European Data Protection Supervisor’s approach, </w:t>
      </w:r>
      <w:r w:rsidR="008C73C4" w:rsidRPr="00D845F9">
        <w:rPr>
          <w:color w:val="000000" w:themeColor="text1"/>
        </w:rPr>
        <w:t>if a less privacy-intrusive method is available, then the algorithmic decision is not necessary and, therefore, it is not allowed.</w:t>
      </w:r>
      <w:r w:rsidR="008C73C4" w:rsidRPr="00D845F9">
        <w:rPr>
          <w:rStyle w:val="FootnoteReference"/>
          <w:color w:val="000000" w:themeColor="text1"/>
        </w:rPr>
        <w:footnoteReference w:id="206"/>
      </w:r>
    </w:p>
    <w:p w14:paraId="210F5298" w14:textId="641F8C96" w:rsidR="00676601" w:rsidRPr="00D845F9" w:rsidRDefault="00A10590" w:rsidP="00D845F9">
      <w:pPr>
        <w:pStyle w:val="ListParagraph"/>
        <w:contextualSpacing w:val="0"/>
        <w:jc w:val="both"/>
        <w:rPr>
          <w:color w:val="000000" w:themeColor="text1"/>
        </w:rPr>
      </w:pPr>
      <w:r w:rsidRPr="00D845F9">
        <w:rPr>
          <w:rStyle w:val="apple-converted-space"/>
          <w:color w:val="000000" w:themeColor="text1"/>
        </w:rPr>
        <w:t>In turn</w:t>
      </w:r>
      <w:r w:rsidR="00A90963" w:rsidRPr="00D845F9">
        <w:rPr>
          <w:rStyle w:val="apple-converted-space"/>
          <w:color w:val="000000" w:themeColor="text1"/>
        </w:rPr>
        <w:t>, the new exception based on the</w:t>
      </w:r>
      <w:r w:rsidR="008A22C0" w:rsidRPr="00D845F9">
        <w:rPr>
          <w:rStyle w:val="apple-converted-space"/>
          <w:color w:val="000000" w:themeColor="text1"/>
        </w:rPr>
        <w:t xml:space="preserve"> data subject’s explicit consent</w:t>
      </w:r>
      <w:r w:rsidR="00684D51" w:rsidRPr="00D845F9">
        <w:rPr>
          <w:rStyle w:val="FootnoteReference"/>
          <w:color w:val="000000" w:themeColor="text1"/>
        </w:rPr>
        <w:footnoteReference w:id="207"/>
      </w:r>
      <w:r w:rsidR="00A90963" w:rsidRPr="00D845F9">
        <w:rPr>
          <w:rStyle w:val="apple-converted-space"/>
          <w:color w:val="000000" w:themeColor="text1"/>
        </w:rPr>
        <w:t xml:space="preserve"> is problematic. </w:t>
      </w:r>
      <w:r w:rsidR="002C5C3F" w:rsidRPr="00D845F9">
        <w:rPr>
          <w:color w:val="000000" w:themeColor="text1"/>
        </w:rPr>
        <w:t>Consent is explicit when there is “an express statement rather than some other affirmative action.”</w:t>
      </w:r>
      <w:r w:rsidR="002C5C3F" w:rsidRPr="00D845F9">
        <w:rPr>
          <w:rStyle w:val="FootnoteReference"/>
          <w:color w:val="000000" w:themeColor="text1"/>
        </w:rPr>
        <w:footnoteReference w:id="208"/>
      </w:r>
      <w:r w:rsidR="002C5C3F" w:rsidRPr="00D845F9">
        <w:rPr>
          <w:color w:val="000000" w:themeColor="text1"/>
        </w:rPr>
        <w:t xml:space="preserve"> </w:t>
      </w:r>
      <w:r w:rsidR="00A90963" w:rsidRPr="00D845F9">
        <w:rPr>
          <w:rStyle w:val="apple-converted-space"/>
          <w:color w:val="000000" w:themeColor="text1"/>
        </w:rPr>
        <w:t xml:space="preserve">Indeed, </w:t>
      </w:r>
      <w:r w:rsidR="00684D51" w:rsidRPr="00D845F9">
        <w:rPr>
          <w:rStyle w:val="apple-converted-space"/>
          <w:color w:val="000000" w:themeColor="text1"/>
        </w:rPr>
        <w:t xml:space="preserve">given the imbalance of bargaining power that </w:t>
      </w:r>
      <w:r w:rsidR="008C73C4" w:rsidRPr="00D845F9">
        <w:rPr>
          <w:rStyle w:val="apple-converted-space"/>
          <w:color w:val="000000" w:themeColor="text1"/>
        </w:rPr>
        <w:t>characteris</w:t>
      </w:r>
      <w:r w:rsidR="007925E4" w:rsidRPr="00D845F9">
        <w:rPr>
          <w:rStyle w:val="apple-converted-space"/>
          <w:color w:val="000000" w:themeColor="text1"/>
        </w:rPr>
        <w:t>es</w:t>
      </w:r>
      <w:r w:rsidR="00684D51" w:rsidRPr="00D845F9">
        <w:rPr>
          <w:rStyle w:val="apple-converted-space"/>
          <w:color w:val="000000" w:themeColor="text1"/>
        </w:rPr>
        <w:t xml:space="preserve"> many transactions, one should not be surprised if, for instance, a bank could force a potential client requesting a loan to consent to a decision taken by an algorithm</w:t>
      </w:r>
      <w:r w:rsidR="00146EED" w:rsidRPr="00D845F9">
        <w:rPr>
          <w:rStyle w:val="apple-converted-space"/>
          <w:color w:val="000000" w:themeColor="text1"/>
        </w:rPr>
        <w:t>.</w:t>
      </w:r>
      <w:r w:rsidR="00684D51" w:rsidRPr="00D845F9">
        <w:rPr>
          <w:rStyle w:val="FootnoteReference"/>
          <w:color w:val="000000" w:themeColor="text1"/>
        </w:rPr>
        <w:footnoteReference w:id="209"/>
      </w:r>
      <w:r w:rsidR="00D0799A" w:rsidRPr="00D845F9">
        <w:rPr>
          <w:rStyle w:val="apple-converted-space"/>
          <w:color w:val="000000" w:themeColor="text1"/>
        </w:rPr>
        <w:t xml:space="preserve"> </w:t>
      </w:r>
      <w:r w:rsidR="002E235B" w:rsidRPr="00D845F9">
        <w:rPr>
          <w:color w:val="000000" w:themeColor="text1"/>
        </w:rPr>
        <w:t xml:space="preserve">However, the growth of artificial intelligence (AI) may have an impact on the analysed regime. Not only because, generally, AI </w:t>
      </w:r>
      <w:r w:rsidR="00676601" w:rsidRPr="00D845F9">
        <w:rPr>
          <w:color w:val="000000" w:themeColor="text1"/>
        </w:rPr>
        <w:t xml:space="preserve">make </w:t>
      </w:r>
      <w:r w:rsidR="002E235B" w:rsidRPr="00D845F9">
        <w:rPr>
          <w:color w:val="000000" w:themeColor="text1"/>
        </w:rPr>
        <w:t>it not</w:t>
      </w:r>
      <w:r w:rsidR="00676601" w:rsidRPr="00D845F9">
        <w:rPr>
          <w:color w:val="000000" w:themeColor="text1"/>
        </w:rPr>
        <w:t xml:space="preserve"> always</w:t>
      </w:r>
      <w:r w:rsidR="002E235B" w:rsidRPr="00D845F9">
        <w:rPr>
          <w:color w:val="000000" w:themeColor="text1"/>
        </w:rPr>
        <w:t xml:space="preserve"> feasible to access the rationale of algorithmic decisions</w:t>
      </w:r>
      <w:r w:rsidR="00676601" w:rsidRPr="00D845F9">
        <w:rPr>
          <w:color w:val="000000" w:themeColor="text1"/>
        </w:rPr>
        <w:t xml:space="preserve">. With specific regards to the consent-based exception, </w:t>
      </w:r>
      <w:r w:rsidR="002E235B" w:rsidRPr="00D845F9">
        <w:rPr>
          <w:color w:val="000000" w:themeColor="text1"/>
        </w:rPr>
        <w:t xml:space="preserve">it is fair to </w:t>
      </w:r>
      <w:r w:rsidR="00A1060F" w:rsidRPr="00D845F9">
        <w:rPr>
          <w:color w:val="000000" w:themeColor="text1"/>
        </w:rPr>
        <w:t>wonder,</w:t>
      </w:r>
      <w:r w:rsidR="002E235B" w:rsidRPr="00D845F9">
        <w:rPr>
          <w:color w:val="000000" w:themeColor="text1"/>
        </w:rPr>
        <w:t xml:space="preserve"> “how can informed consent be obtained in relation to a process that may be inherently non-transparent (a ‘black box’).”</w:t>
      </w:r>
      <w:r w:rsidR="002E235B" w:rsidRPr="00D845F9">
        <w:rPr>
          <w:rStyle w:val="FootnoteReference"/>
          <w:color w:val="000000" w:themeColor="text1"/>
        </w:rPr>
        <w:footnoteReference w:id="210"/>
      </w:r>
    </w:p>
    <w:p w14:paraId="39F3D2FF" w14:textId="0D884F8C" w:rsidR="002C5C3F" w:rsidRPr="00D845F9" w:rsidRDefault="00581F98" w:rsidP="00D845F9">
      <w:pPr>
        <w:pStyle w:val="ListParagraph"/>
        <w:contextualSpacing w:val="0"/>
        <w:jc w:val="both"/>
        <w:rPr>
          <w:color w:val="000000" w:themeColor="text1"/>
        </w:rPr>
      </w:pPr>
      <w:r w:rsidRPr="00D845F9">
        <w:rPr>
          <w:rStyle w:val="apple-converted-space"/>
          <w:color w:val="000000" w:themeColor="text1"/>
        </w:rPr>
        <w:t xml:space="preserve">The third exception regards national and EU laws </w:t>
      </w:r>
      <w:r w:rsidR="00D1698F" w:rsidRPr="00D845F9">
        <w:rPr>
          <w:rStyle w:val="apple-converted-space"/>
          <w:color w:val="000000" w:themeColor="text1"/>
        </w:rPr>
        <w:t>author</w:t>
      </w:r>
      <w:r w:rsidR="004F4403" w:rsidRPr="00D845F9">
        <w:rPr>
          <w:rStyle w:val="apple-converted-space"/>
          <w:color w:val="000000" w:themeColor="text1"/>
        </w:rPr>
        <w:t>ising</w:t>
      </w:r>
      <w:r w:rsidRPr="00D845F9">
        <w:rPr>
          <w:rStyle w:val="apple-converted-space"/>
          <w:color w:val="000000" w:themeColor="text1"/>
        </w:rPr>
        <w:t xml:space="preserve"> algorithmic decisions.</w:t>
      </w:r>
      <w:r w:rsidRPr="00D845F9">
        <w:rPr>
          <w:rStyle w:val="FootnoteReference"/>
          <w:color w:val="000000" w:themeColor="text1"/>
        </w:rPr>
        <w:footnoteReference w:id="211"/>
      </w:r>
      <w:r w:rsidR="00041179" w:rsidRPr="00D845F9">
        <w:rPr>
          <w:rStyle w:val="apple-converted-space"/>
          <w:color w:val="000000" w:themeColor="text1"/>
        </w:rPr>
        <w:t xml:space="preserve"> </w:t>
      </w:r>
      <w:r w:rsidR="002C5C3F" w:rsidRPr="00D845F9">
        <w:rPr>
          <w:rStyle w:val="apple-converted-space"/>
          <w:color w:val="000000" w:themeColor="text1"/>
        </w:rPr>
        <w:t xml:space="preserve">Regrettably, the Article 29 Working Party do not provide any guidance on the matter. </w:t>
      </w:r>
      <w:r w:rsidRPr="00D845F9">
        <w:rPr>
          <w:rStyle w:val="apple-converted-space"/>
          <w:color w:val="000000" w:themeColor="text1"/>
        </w:rPr>
        <w:t xml:space="preserve">Whereas recital 71 refers only to fraud, tax evasion, and reliability of the service, it would seem that EU and national authorities may allow algorithmic decisions for </w:t>
      </w:r>
      <w:r w:rsidR="00317A7F" w:rsidRPr="00D845F9">
        <w:rPr>
          <w:rStyle w:val="apple-converted-space"/>
          <w:color w:val="000000" w:themeColor="text1"/>
        </w:rPr>
        <w:t xml:space="preserve">a </w:t>
      </w:r>
      <w:r w:rsidRPr="00D845F9">
        <w:rPr>
          <w:rStyle w:val="apple-converted-space"/>
          <w:color w:val="000000" w:themeColor="text1"/>
        </w:rPr>
        <w:t xml:space="preserve">potentially infinite </w:t>
      </w:r>
      <w:r w:rsidR="00162BED" w:rsidRPr="00D845F9">
        <w:rPr>
          <w:rStyle w:val="apple-converted-space"/>
          <w:color w:val="000000" w:themeColor="text1"/>
        </w:rPr>
        <w:t xml:space="preserve">number of purposes. Indeed, </w:t>
      </w:r>
      <w:r w:rsidRPr="00D845F9">
        <w:rPr>
          <w:rStyle w:val="apple-converted-space"/>
          <w:color w:val="000000" w:themeColor="text1"/>
        </w:rPr>
        <w:t>recital 73 provides that EU and national laws can impose r</w:t>
      </w:r>
      <w:r w:rsidRPr="00D845F9">
        <w:rPr>
          <w:color w:val="000000" w:themeColor="text1"/>
          <w:shd w:val="clear" w:color="auto" w:fill="FFFFFF"/>
        </w:rPr>
        <w:t>estrictions concerning “decisions based on profiling”</w:t>
      </w:r>
      <w:r w:rsidR="003C7B72" w:rsidRPr="00D845F9">
        <w:rPr>
          <w:color w:val="000000" w:themeColor="text1"/>
          <w:shd w:val="clear" w:color="auto" w:fill="FFFFFF"/>
        </w:rPr>
        <w:t xml:space="preserve"> in order to prevent or react to breaches of ethics for regulated professions or for the keeping of public registers kept for reasons of</w:t>
      </w:r>
      <w:r w:rsidR="003C7B72" w:rsidRPr="00D845F9">
        <w:rPr>
          <w:color w:val="000000" w:themeColor="text1"/>
        </w:rPr>
        <w:t> </w:t>
      </w:r>
      <w:r w:rsidR="003C7B72" w:rsidRPr="00D845F9">
        <w:rPr>
          <w:color w:val="000000" w:themeColor="text1"/>
          <w:shd w:val="clear" w:color="auto" w:fill="FFFFFF"/>
        </w:rPr>
        <w:t>public interest. Therefore, for instance, a Member State could a</w:t>
      </w:r>
      <w:r w:rsidR="00162BED" w:rsidRPr="00D845F9">
        <w:rPr>
          <w:color w:val="000000" w:themeColor="text1"/>
          <w:shd w:val="clear" w:color="auto" w:fill="FFFFFF"/>
        </w:rPr>
        <w:t>llow algorithmic decisions to dis</w:t>
      </w:r>
      <w:r w:rsidR="003C7B72" w:rsidRPr="00D845F9">
        <w:rPr>
          <w:color w:val="000000" w:themeColor="text1"/>
          <w:shd w:val="clear" w:color="auto" w:fill="FFFFFF"/>
        </w:rPr>
        <w:t xml:space="preserve">bar a barrister who behaved unethically. Nor </w:t>
      </w:r>
      <w:r w:rsidR="005878A9" w:rsidRPr="00D845F9">
        <w:rPr>
          <w:color w:val="000000" w:themeColor="text1"/>
          <w:shd w:val="clear" w:color="auto" w:fill="FFFFFF"/>
        </w:rPr>
        <w:t>are there</w:t>
      </w:r>
      <w:r w:rsidR="003C7B72" w:rsidRPr="00D845F9">
        <w:rPr>
          <w:color w:val="000000" w:themeColor="text1"/>
          <w:shd w:val="clear" w:color="auto" w:fill="FFFFFF"/>
        </w:rPr>
        <w:t xml:space="preserve"> limits to which kind of public registers a state may keep, for instance for </w:t>
      </w:r>
      <w:r w:rsidR="007B4C10" w:rsidRPr="00D845F9">
        <w:rPr>
          <w:color w:val="000000" w:themeColor="text1"/>
          <w:shd w:val="clear" w:color="auto" w:fill="FFFFFF"/>
        </w:rPr>
        <w:t>surveillance purposes</w:t>
      </w:r>
      <w:r w:rsidR="00146EED" w:rsidRPr="00D845F9">
        <w:rPr>
          <w:color w:val="000000" w:themeColor="text1"/>
          <w:shd w:val="clear" w:color="auto" w:fill="FFFFFF"/>
        </w:rPr>
        <w:t>.</w:t>
      </w:r>
      <w:r w:rsidR="007B4C10" w:rsidRPr="00D845F9">
        <w:rPr>
          <w:rStyle w:val="FootnoteReference"/>
          <w:color w:val="000000" w:themeColor="text1"/>
          <w:shd w:val="clear" w:color="auto" w:fill="FFFFFF"/>
        </w:rPr>
        <w:footnoteReference w:id="212"/>
      </w:r>
      <w:r w:rsidR="00D0799A" w:rsidRPr="00D845F9">
        <w:rPr>
          <w:color w:val="000000" w:themeColor="text1"/>
          <w:shd w:val="clear" w:color="auto" w:fill="FFFFFF"/>
        </w:rPr>
        <w:t xml:space="preserve"> </w:t>
      </w:r>
      <w:r w:rsidR="007C4D50" w:rsidRPr="00D845F9">
        <w:rPr>
          <w:color w:val="000000" w:themeColor="text1"/>
          <w:shd w:val="clear" w:color="auto" w:fill="FFFFFF"/>
        </w:rPr>
        <w:t>One should not think,</w:t>
      </w:r>
      <w:r w:rsidR="002C5C3F" w:rsidRPr="00D845F9">
        <w:rPr>
          <w:color w:val="000000" w:themeColor="text1"/>
          <w:shd w:val="clear" w:color="auto" w:fill="FFFFFF"/>
        </w:rPr>
        <w:t xml:space="preserve"> however, that if a law authoris</w:t>
      </w:r>
      <w:r w:rsidR="007C4D50" w:rsidRPr="00D845F9">
        <w:rPr>
          <w:color w:val="000000" w:themeColor="text1"/>
          <w:shd w:val="clear" w:color="auto" w:fill="FFFFFF"/>
        </w:rPr>
        <w:t>es the algorithmic-decision making in a specific field, say fraud, data protection legislation can be eluded altogether. Alongside the rights to access, the information rights and right to a human judge, data controllers will still have to comply with all the other data protection principles, including accountability.</w:t>
      </w:r>
      <w:r w:rsidR="007C4D50" w:rsidRPr="00D845F9">
        <w:rPr>
          <w:rStyle w:val="FootnoteReference"/>
          <w:color w:val="000000" w:themeColor="text1"/>
          <w:shd w:val="clear" w:color="auto" w:fill="FFFFFF"/>
        </w:rPr>
        <w:footnoteReference w:id="213"/>
      </w:r>
      <w:r w:rsidR="00687C21">
        <w:rPr>
          <w:color w:val="000000" w:themeColor="text1"/>
          <w:shd w:val="clear" w:color="auto" w:fill="FFFFFF"/>
        </w:rPr>
        <w:t xml:space="preserve"> </w:t>
      </w:r>
    </w:p>
    <w:p w14:paraId="6C4F4647" w14:textId="0F22B66F" w:rsidR="0019667B" w:rsidRDefault="00A10590" w:rsidP="0019667B">
      <w:pPr>
        <w:pStyle w:val="ListParagraph"/>
        <w:contextualSpacing w:val="0"/>
        <w:jc w:val="both"/>
        <w:rPr>
          <w:rStyle w:val="apple-converted-space"/>
          <w:color w:val="000000" w:themeColor="text1"/>
        </w:rPr>
      </w:pPr>
      <w:r w:rsidRPr="00D845F9">
        <w:rPr>
          <w:color w:val="000000" w:themeColor="text1"/>
          <w:shd w:val="clear" w:color="auto" w:fill="FFFFFF"/>
        </w:rPr>
        <w:t>The UK Data Protection Bill</w:t>
      </w:r>
      <w:r w:rsidRPr="00D845F9">
        <w:rPr>
          <w:rStyle w:val="FootnoteReference"/>
          <w:color w:val="000000" w:themeColor="text1"/>
          <w:shd w:val="clear" w:color="auto" w:fill="FFFFFF"/>
        </w:rPr>
        <w:footnoteReference w:id="214"/>
      </w:r>
      <w:r w:rsidR="001E4012" w:rsidRPr="00D845F9">
        <w:rPr>
          <w:color w:val="000000" w:themeColor="text1"/>
          <w:shd w:val="clear" w:color="auto" w:fill="FFFFFF"/>
        </w:rPr>
        <w:t xml:space="preserve"> provides</w:t>
      </w:r>
      <w:r w:rsidRPr="00D845F9">
        <w:rPr>
          <w:color w:val="000000" w:themeColor="text1"/>
          <w:shd w:val="clear" w:color="auto" w:fill="FFFFFF"/>
        </w:rPr>
        <w:t xml:space="preserve"> more detail as to the procedure to follow when an algorithmic decisio</w:t>
      </w:r>
      <w:r w:rsidR="002C5C3F" w:rsidRPr="00D845F9">
        <w:rPr>
          <w:color w:val="000000" w:themeColor="text1"/>
          <w:shd w:val="clear" w:color="auto" w:fill="FFFFFF"/>
        </w:rPr>
        <w:t>n falls under the third</w:t>
      </w:r>
      <w:r w:rsidRPr="00D845F9">
        <w:rPr>
          <w:color w:val="000000" w:themeColor="text1"/>
          <w:shd w:val="clear" w:color="auto" w:fill="FFFFFF"/>
        </w:rPr>
        <w:t xml:space="preserve"> exception. </w:t>
      </w:r>
      <w:r w:rsidRPr="00D845F9">
        <w:rPr>
          <w:rStyle w:val="apple-converted-space"/>
          <w:color w:val="000000" w:themeColor="text1"/>
        </w:rPr>
        <w:t xml:space="preserve">Indeed, the controller must, as soon as reasonably practicable, notify the data subject in writing that a decision has been taken based </w:t>
      </w:r>
      <w:r w:rsidR="00806953">
        <w:rPr>
          <w:rStyle w:val="apple-converted-space"/>
          <w:color w:val="000000" w:themeColor="text1"/>
        </w:rPr>
        <w:t xml:space="preserve">solely on automated processing. </w:t>
      </w:r>
      <w:r w:rsidRPr="00D845F9">
        <w:rPr>
          <w:rStyle w:val="apple-converted-space"/>
          <w:color w:val="000000" w:themeColor="text1"/>
        </w:rPr>
        <w:t xml:space="preserve">Correspondingly, the data subject may, before the end of </w:t>
      </w:r>
      <w:r w:rsidR="00DF09D5">
        <w:rPr>
          <w:rStyle w:val="apple-converted-space"/>
          <w:color w:val="000000" w:themeColor="text1"/>
        </w:rPr>
        <w:t xml:space="preserve">the period of 21 days beginning </w:t>
      </w:r>
      <w:r w:rsidRPr="00D845F9">
        <w:rPr>
          <w:rStyle w:val="apple-converted-space"/>
          <w:color w:val="000000" w:themeColor="text1"/>
        </w:rPr>
        <w:t xml:space="preserve">with receipt of the notification, request the controller to reconsider the decision, or take a new decision that is not based solely on automated processing. The provision goes on pointing out </w:t>
      </w:r>
      <w:r w:rsidR="00373D37">
        <w:rPr>
          <w:rStyle w:val="apple-converted-space"/>
          <w:color w:val="000000" w:themeColor="text1"/>
        </w:rPr>
        <w:t>what the controller must do</w:t>
      </w:r>
      <w:r w:rsidR="0019667B">
        <w:rPr>
          <w:rStyle w:val="apple-converted-space"/>
          <w:color w:val="000000" w:themeColor="text1"/>
        </w:rPr>
        <w:t xml:space="preserve"> if such request is made. </w:t>
      </w:r>
      <w:r w:rsidR="00373D37" w:rsidRPr="0019667B">
        <w:rPr>
          <w:rStyle w:val="apple-converted-space"/>
          <w:color w:val="000000" w:themeColor="text1"/>
        </w:rPr>
        <w:t>The procedure is the same that the Data Protection Act currently provides for non-exempt decisions, but interestingly the new regime is more protective of the data subject if compared to the previous one. Indeed, currently the data controller’s notice must only indicate the steps controller indents to take to comply with the request.</w:t>
      </w:r>
      <w:r w:rsidR="0019667B" w:rsidRPr="0019667B">
        <w:rPr>
          <w:rStyle w:val="apple-converted-space"/>
          <w:color w:val="000000" w:themeColor="text1"/>
        </w:rPr>
        <w:t xml:space="preserve"> This information must be notified before the end of the period of 21 days beginning with receipt of the request.</w:t>
      </w:r>
      <w:r w:rsidR="0019667B">
        <w:rPr>
          <w:rStyle w:val="apple-converted-space"/>
          <w:color w:val="000000" w:themeColor="text1"/>
        </w:rPr>
        <w:t xml:space="preserve"> On top of this, the Data Protection Bill provides that when the law authorises an algorithmic decision, the data controller shall</w:t>
      </w:r>
      <w:r w:rsidR="0019667B" w:rsidRPr="00D845F9">
        <w:rPr>
          <w:rStyle w:val="apple-converted-space"/>
          <w:color w:val="000000" w:themeColor="text1"/>
        </w:rPr>
        <w:t> consider the request, comply with it, and inform the data subject of the steps taken to comply, and of the outcome</w:t>
      </w:r>
      <w:r w:rsidR="0019667B">
        <w:rPr>
          <w:rStyle w:val="apple-converted-space"/>
          <w:color w:val="000000" w:themeColor="text1"/>
        </w:rPr>
        <w:t xml:space="preserve"> of complying with the request. </w:t>
      </w:r>
      <w:r w:rsidRPr="0019667B">
        <w:rPr>
          <w:rStyle w:val="apple-converted-space"/>
          <w:color w:val="000000" w:themeColor="text1"/>
        </w:rPr>
        <w:t xml:space="preserve">The wording suggests that data controllers have some discretion in complying. However, the discretion regards how to comply, not whether to comply. The only reason why a denial could be allowed would be if the algorithmic decision was not taken solely on the </w:t>
      </w:r>
      <w:r w:rsidR="00DA6BDD">
        <w:rPr>
          <w:rStyle w:val="apple-converted-space"/>
          <w:color w:val="000000" w:themeColor="text1"/>
        </w:rPr>
        <w:t xml:space="preserve">base of automated processing, </w:t>
      </w:r>
      <w:r w:rsidRPr="0019667B">
        <w:rPr>
          <w:rStyle w:val="apple-converted-space"/>
          <w:color w:val="000000" w:themeColor="text1"/>
        </w:rPr>
        <w:t>if the decision does not affect significantly the data subject</w:t>
      </w:r>
      <w:r w:rsidR="00DA6BDD">
        <w:rPr>
          <w:rStyle w:val="apple-converted-space"/>
          <w:color w:val="000000" w:themeColor="text1"/>
        </w:rPr>
        <w:t>, of if it is impossible to identify the data subject</w:t>
      </w:r>
      <w:r w:rsidRPr="0019667B">
        <w:rPr>
          <w:rStyle w:val="apple-converted-space"/>
          <w:color w:val="000000" w:themeColor="text1"/>
        </w:rPr>
        <w:t>.</w:t>
      </w:r>
      <w:r w:rsidR="00DA6BDD">
        <w:rPr>
          <w:rStyle w:val="FootnoteReference"/>
          <w:color w:val="000000" w:themeColor="text1"/>
        </w:rPr>
        <w:footnoteReference w:id="215"/>
      </w:r>
      <w:r w:rsidR="006A46C9" w:rsidRPr="0019667B">
        <w:rPr>
          <w:rStyle w:val="apple-converted-space"/>
          <w:color w:val="000000" w:themeColor="text1"/>
        </w:rPr>
        <w:t xml:space="preserve"> If the data controller violated the limits of its discretion, the data subject may appeal the decision judicially.</w:t>
      </w:r>
      <w:r w:rsidR="00806953" w:rsidRPr="0019667B">
        <w:rPr>
          <w:rStyle w:val="apple-converted-space"/>
          <w:color w:val="000000" w:themeColor="text1"/>
        </w:rPr>
        <w:t xml:space="preserve"> </w:t>
      </w:r>
    </w:p>
    <w:p w14:paraId="18A9ED58" w14:textId="1A42B4E1" w:rsidR="0019667B" w:rsidRDefault="0019667B" w:rsidP="0019667B">
      <w:pPr>
        <w:pStyle w:val="ListParagraph"/>
        <w:contextualSpacing w:val="0"/>
        <w:jc w:val="both"/>
        <w:rPr>
          <w:rStyle w:val="apple-converted-space"/>
          <w:color w:val="000000" w:themeColor="text1"/>
        </w:rPr>
      </w:pPr>
      <w:r>
        <w:rPr>
          <w:rStyle w:val="apple-converted-space"/>
          <w:color w:val="000000" w:themeColor="text1"/>
        </w:rPr>
        <w:t xml:space="preserve">Interpreters will need to avoid a visible inconsistency in the new UK regime on algorithmic decision-making. Namely, it not rational to give the data subject </w:t>
      </w:r>
      <w:r w:rsidR="00A1060F">
        <w:rPr>
          <w:rStyle w:val="apple-converted-space"/>
          <w:color w:val="000000" w:themeColor="text1"/>
        </w:rPr>
        <w:t>fewer rights</w:t>
      </w:r>
      <w:r>
        <w:rPr>
          <w:rStyle w:val="apple-converted-space"/>
          <w:color w:val="000000" w:themeColor="text1"/>
        </w:rPr>
        <w:t xml:space="preserve"> when a non-exempt decision is at issue, if compared to a decision authorised by the law. </w:t>
      </w:r>
    </w:p>
    <w:p w14:paraId="47124357" w14:textId="0B8F7AB2" w:rsidR="00A10590" w:rsidRPr="0019667B" w:rsidRDefault="0019667B" w:rsidP="0019667B">
      <w:pPr>
        <w:pStyle w:val="ListParagraph"/>
        <w:contextualSpacing w:val="0"/>
        <w:jc w:val="both"/>
        <w:rPr>
          <w:color w:val="000000" w:themeColor="text1"/>
        </w:rPr>
      </w:pPr>
      <w:r>
        <w:rPr>
          <w:rStyle w:val="apple-converted-space"/>
          <w:color w:val="000000" w:themeColor="text1"/>
        </w:rPr>
        <w:t xml:space="preserve">One may observe a </w:t>
      </w:r>
      <w:r w:rsidR="00806953" w:rsidRPr="0019667B">
        <w:rPr>
          <w:rStyle w:val="apple-converted-space"/>
          <w:color w:val="000000" w:themeColor="text1"/>
        </w:rPr>
        <w:t xml:space="preserve">departure of UK data protection from the GDPR. In the UK, there is a three-layered system. As a rule, data subjects must be informed of non-exempt algorithmic decisions and can request that </w:t>
      </w:r>
      <w:r w:rsidR="00373D37" w:rsidRPr="0019667B">
        <w:rPr>
          <w:rStyle w:val="apple-converted-space"/>
          <w:color w:val="000000" w:themeColor="text1"/>
        </w:rPr>
        <w:t xml:space="preserve">no such decision </w:t>
      </w:r>
      <w:r w:rsidR="00A1060F" w:rsidRPr="0019667B">
        <w:rPr>
          <w:rStyle w:val="apple-converted-space"/>
          <w:color w:val="000000" w:themeColor="text1"/>
        </w:rPr>
        <w:t>be</w:t>
      </w:r>
      <w:r w:rsidR="00373D37" w:rsidRPr="0019667B">
        <w:rPr>
          <w:rStyle w:val="apple-converted-space"/>
          <w:color w:val="000000" w:themeColor="text1"/>
        </w:rPr>
        <w:t xml:space="preserve"> taken. If no request has effect, they still have a right to be informed and to</w:t>
      </w:r>
      <w:r w:rsidR="00806953" w:rsidRPr="0019667B">
        <w:rPr>
          <w:rStyle w:val="apple-converted-space"/>
          <w:color w:val="000000" w:themeColor="text1"/>
        </w:rPr>
        <w:t xml:space="preserve"> request a reconsideration or a human decision. </w:t>
      </w:r>
      <w:r w:rsidR="00373D37" w:rsidRPr="0019667B">
        <w:rPr>
          <w:rStyle w:val="apple-converted-space"/>
          <w:color w:val="000000" w:themeColor="text1"/>
        </w:rPr>
        <w:t xml:space="preserve">Reconsideration and the right to a human judge, after the Data Protection Bill is enacted, will apply also to the algorithmic decisions authorised by law. Obviously, no right to pre-empt such a decision would apply. </w:t>
      </w:r>
      <w:r>
        <w:rPr>
          <w:rStyle w:val="apple-converted-space"/>
          <w:color w:val="000000" w:themeColor="text1"/>
        </w:rPr>
        <w:t>Thirdly</w:t>
      </w:r>
      <w:r w:rsidR="00373D37" w:rsidRPr="0019667B">
        <w:rPr>
          <w:rStyle w:val="apple-converted-space"/>
          <w:color w:val="000000" w:themeColor="text1"/>
        </w:rPr>
        <w:t>, data subjects have no</w:t>
      </w:r>
      <w:r w:rsidR="00806953" w:rsidRPr="0019667B">
        <w:rPr>
          <w:rStyle w:val="apple-converted-space"/>
          <w:color w:val="000000" w:themeColor="text1"/>
        </w:rPr>
        <w:t xml:space="preserve"> rights regarding the </w:t>
      </w:r>
      <w:r w:rsidR="006A09BC">
        <w:rPr>
          <w:rStyle w:val="apple-converted-space"/>
          <w:color w:val="000000" w:themeColor="text1"/>
        </w:rPr>
        <w:t xml:space="preserve">other </w:t>
      </w:r>
      <w:r w:rsidR="00806953" w:rsidRPr="0019667B">
        <w:rPr>
          <w:rStyle w:val="apple-converted-space"/>
          <w:color w:val="000000" w:themeColor="text1"/>
        </w:rPr>
        <w:t>exempt-decision</w:t>
      </w:r>
      <w:r w:rsidR="00373D37" w:rsidRPr="0019667B">
        <w:rPr>
          <w:rStyle w:val="apple-converted-space"/>
          <w:color w:val="000000" w:themeColor="text1"/>
        </w:rPr>
        <w:t>s.</w:t>
      </w:r>
      <w:r w:rsidR="00806953">
        <w:rPr>
          <w:rStyle w:val="FootnoteReference"/>
          <w:color w:val="000000" w:themeColor="text1"/>
        </w:rPr>
        <w:footnoteReference w:id="216"/>
      </w:r>
      <w:r w:rsidR="00806953" w:rsidRPr="0019667B">
        <w:rPr>
          <w:rStyle w:val="apple-converted-space"/>
          <w:color w:val="000000" w:themeColor="text1"/>
        </w:rPr>
        <w:t xml:space="preserve"> </w:t>
      </w:r>
      <w:r w:rsidR="00C92E7B">
        <w:rPr>
          <w:rStyle w:val="apple-converted-space"/>
          <w:color w:val="000000" w:themeColor="text1"/>
        </w:rPr>
        <w:t xml:space="preserve">This may rise concerns in terms of adequacy of the protection of personal data in the UK in the context of cross-border data transfer with the EU. </w:t>
      </w:r>
      <w:r w:rsidR="00373D37" w:rsidRPr="0019667B">
        <w:rPr>
          <w:rStyle w:val="apple-converted-space"/>
          <w:color w:val="000000" w:themeColor="text1"/>
        </w:rPr>
        <w:t>Since consent is not one of exceptions, the rights of the first layer will apply</w:t>
      </w:r>
      <w:r w:rsidR="00806953" w:rsidRPr="0019667B">
        <w:rPr>
          <w:rStyle w:val="apple-converted-space"/>
          <w:color w:val="000000" w:themeColor="text1"/>
        </w:rPr>
        <w:t>.</w:t>
      </w:r>
      <w:r>
        <w:rPr>
          <w:rStyle w:val="apple-converted-space"/>
          <w:color w:val="000000" w:themeColor="text1"/>
        </w:rPr>
        <w:t xml:space="preserve"> In the EU, in turn, there is a clearer and stronger model. The rule is the general prohibition to take solely algorithmic decisions. There are only three justifications that can be used to make some decisions, but all of them are accompanied by strong safeguards for the data subject.</w:t>
      </w:r>
    </w:p>
    <w:p w14:paraId="7EAFC9FF" w14:textId="640839DC" w:rsidR="00A90963" w:rsidRPr="00D845F9" w:rsidRDefault="004918D0" w:rsidP="00D845F9">
      <w:pPr>
        <w:pStyle w:val="ListParagraph"/>
        <w:contextualSpacing w:val="0"/>
        <w:jc w:val="both"/>
        <w:rPr>
          <w:color w:val="000000" w:themeColor="text1"/>
          <w:shd w:val="clear" w:color="auto" w:fill="FFFFFF"/>
        </w:rPr>
      </w:pPr>
      <w:r w:rsidRPr="00D845F9">
        <w:rPr>
          <w:rStyle w:val="apple-converted-space"/>
          <w:color w:val="000000" w:themeColor="text1"/>
        </w:rPr>
        <w:t>Lastly</w:t>
      </w:r>
      <w:r w:rsidR="00041179" w:rsidRPr="00D845F9">
        <w:rPr>
          <w:rStyle w:val="apple-converted-space"/>
          <w:color w:val="000000" w:themeColor="text1"/>
        </w:rPr>
        <w:t>, it is not entirely clear if the list of except</w:t>
      </w:r>
      <w:r w:rsidR="002C5C3F" w:rsidRPr="00D845F9">
        <w:rPr>
          <w:rStyle w:val="apple-converted-space"/>
          <w:color w:val="000000" w:themeColor="text1"/>
        </w:rPr>
        <w:t>ions (contract</w:t>
      </w:r>
      <w:r w:rsidR="00041179" w:rsidRPr="00D845F9">
        <w:rPr>
          <w:rStyle w:val="apple-converted-space"/>
          <w:color w:val="000000" w:themeColor="text1"/>
        </w:rPr>
        <w:t xml:space="preserve">, </w:t>
      </w:r>
      <w:r w:rsidR="002C5C3F" w:rsidRPr="00D845F9">
        <w:rPr>
          <w:rStyle w:val="apple-converted-space"/>
          <w:color w:val="000000" w:themeColor="text1"/>
        </w:rPr>
        <w:t>consent, law) is exhaustive. A</w:t>
      </w:r>
      <w:r w:rsidR="00041179" w:rsidRPr="00D845F9">
        <w:rPr>
          <w:rStyle w:val="apple-converted-space"/>
          <w:color w:val="000000" w:themeColor="text1"/>
        </w:rPr>
        <w:t xml:space="preserve"> recital</w:t>
      </w:r>
      <w:r w:rsidR="008A22C0" w:rsidRPr="00D845F9">
        <w:rPr>
          <w:rStyle w:val="FootnoteReference"/>
          <w:color w:val="000000" w:themeColor="text1"/>
          <w:shd w:val="clear" w:color="auto" w:fill="FFFFFF"/>
        </w:rPr>
        <w:footnoteReference w:id="217"/>
      </w:r>
      <w:r w:rsidR="002C5C3F" w:rsidRPr="00D845F9">
        <w:rPr>
          <w:rStyle w:val="apple-converted-space"/>
          <w:color w:val="000000" w:themeColor="text1"/>
        </w:rPr>
        <w:t xml:space="preserve"> refers</w:t>
      </w:r>
      <w:r w:rsidR="00041179" w:rsidRPr="00D845F9">
        <w:rPr>
          <w:rStyle w:val="apple-converted-space"/>
          <w:color w:val="000000" w:themeColor="text1"/>
        </w:rPr>
        <w:t xml:space="preserve"> to algorithmic decision-making for the purpose of ensuring</w:t>
      </w:r>
      <w:r w:rsidR="00041179" w:rsidRPr="00D845F9">
        <w:rPr>
          <w:color w:val="000000" w:themeColor="text1"/>
          <w:shd w:val="clear" w:color="auto" w:fill="FFFFFF"/>
        </w:rPr>
        <w:t xml:space="preserve"> the security and reliability of a service provided by the controller. </w:t>
      </w:r>
      <w:r w:rsidR="00BC6306" w:rsidRPr="00D845F9">
        <w:rPr>
          <w:color w:val="000000" w:themeColor="text1"/>
          <w:shd w:val="clear" w:color="auto" w:fill="FFFFFF"/>
        </w:rPr>
        <w:t>However, this should not be interpreted as a fourth exception or as proof of the non-exhaustive character of the list of exceptions. It is plausible, indeed</w:t>
      </w:r>
      <w:r w:rsidR="00041179" w:rsidRPr="00D845F9">
        <w:rPr>
          <w:color w:val="000000" w:themeColor="text1"/>
          <w:shd w:val="clear" w:color="auto" w:fill="FFFFFF"/>
        </w:rPr>
        <w:t xml:space="preserve">, that this is only an example of a purpose for which national and EU laws can </w:t>
      </w:r>
      <w:r w:rsidR="00D1698F" w:rsidRPr="00D845F9">
        <w:rPr>
          <w:color w:val="000000" w:themeColor="text1"/>
          <w:shd w:val="clear" w:color="auto" w:fill="FFFFFF"/>
        </w:rPr>
        <w:t>author</w:t>
      </w:r>
      <w:r w:rsidR="004F4403" w:rsidRPr="00D845F9">
        <w:rPr>
          <w:color w:val="000000" w:themeColor="text1"/>
          <w:shd w:val="clear" w:color="auto" w:fill="FFFFFF"/>
        </w:rPr>
        <w:t xml:space="preserve">ise </w:t>
      </w:r>
      <w:r w:rsidR="00041179" w:rsidRPr="00D845F9">
        <w:rPr>
          <w:color w:val="000000" w:themeColor="text1"/>
          <w:shd w:val="clear" w:color="auto" w:fill="FFFFFF"/>
        </w:rPr>
        <w:t>the said decision-making.</w:t>
      </w:r>
      <w:r w:rsidR="002C5C3F" w:rsidRPr="00D845F9">
        <w:rPr>
          <w:rStyle w:val="FootnoteReference"/>
          <w:color w:val="000000" w:themeColor="text1"/>
          <w:shd w:val="clear" w:color="auto" w:fill="FFFFFF"/>
        </w:rPr>
        <w:footnoteReference w:id="218"/>
      </w:r>
    </w:p>
    <w:p w14:paraId="2AA09693" w14:textId="6DBD3D39" w:rsidR="00BC6306" w:rsidRPr="00D845F9" w:rsidRDefault="00BC6306" w:rsidP="00D845F9">
      <w:pPr>
        <w:pStyle w:val="ListParagraph"/>
        <w:contextualSpacing w:val="0"/>
        <w:jc w:val="both"/>
        <w:rPr>
          <w:color w:val="000000" w:themeColor="text1"/>
          <w:shd w:val="clear" w:color="auto" w:fill="FFFFFF"/>
        </w:rPr>
      </w:pPr>
    </w:p>
    <w:p w14:paraId="0FE299EA" w14:textId="11348179" w:rsidR="00BC6306" w:rsidRPr="004672E2" w:rsidRDefault="00BC6306" w:rsidP="004672E2">
      <w:pPr>
        <w:pStyle w:val="NormalWeb"/>
        <w:ind w:left="720"/>
        <w:rPr>
          <w:rFonts w:ascii="TitilliumMaps29L" w:hAnsi="TitilliumMaps29L"/>
          <w:sz w:val="28"/>
          <w:szCs w:val="28"/>
        </w:rPr>
      </w:pPr>
      <w:r w:rsidRPr="004672E2">
        <w:rPr>
          <w:rFonts w:ascii="TitilliumMaps29L" w:hAnsi="TitilliumMaps29L"/>
          <w:sz w:val="28"/>
          <w:szCs w:val="28"/>
        </w:rPr>
        <w:t>D.II.1. Measures to safeguard the data subjects’ rights, freedoms, and legitimate interests</w:t>
      </w:r>
    </w:p>
    <w:p w14:paraId="20B2B77D" w14:textId="77777777" w:rsidR="00BC6306" w:rsidRPr="00D845F9" w:rsidRDefault="00BC6306" w:rsidP="00D845F9">
      <w:pPr>
        <w:pStyle w:val="ListParagraph"/>
        <w:contextualSpacing w:val="0"/>
        <w:jc w:val="both"/>
        <w:rPr>
          <w:rStyle w:val="apple-converted-space"/>
          <w:color w:val="000000" w:themeColor="text1"/>
        </w:rPr>
      </w:pPr>
    </w:p>
    <w:p w14:paraId="2E25D666" w14:textId="77777777" w:rsidR="00BC6306" w:rsidRPr="00D845F9" w:rsidRDefault="00A90963" w:rsidP="00D845F9">
      <w:pPr>
        <w:pStyle w:val="ListParagraph"/>
        <w:contextualSpacing w:val="0"/>
        <w:jc w:val="both"/>
        <w:rPr>
          <w:rStyle w:val="apple-converted-space"/>
          <w:color w:val="000000" w:themeColor="text1"/>
          <w:shd w:val="clear" w:color="auto" w:fill="FFFFFF"/>
        </w:rPr>
      </w:pPr>
      <w:r w:rsidRPr="00D845F9">
        <w:rPr>
          <w:rStyle w:val="apple-converted-space"/>
          <w:color w:val="000000" w:themeColor="text1"/>
        </w:rPr>
        <w:t xml:space="preserve"> </w:t>
      </w:r>
      <w:r w:rsidR="00FE4DBF" w:rsidRPr="00D845F9">
        <w:rPr>
          <w:rStyle w:val="apple-converted-space"/>
          <w:color w:val="000000" w:themeColor="text1"/>
        </w:rPr>
        <w:t xml:space="preserve">The main commendable </w:t>
      </w:r>
      <w:r w:rsidR="00D0799A" w:rsidRPr="00D845F9">
        <w:rPr>
          <w:rStyle w:val="apple-converted-space"/>
          <w:color w:val="000000" w:themeColor="text1"/>
        </w:rPr>
        <w:t>innovation</w:t>
      </w:r>
      <w:r w:rsidR="00FE4DBF" w:rsidRPr="00D845F9">
        <w:rPr>
          <w:rStyle w:val="apple-converted-space"/>
          <w:color w:val="000000" w:themeColor="text1"/>
        </w:rPr>
        <w:t xml:space="preserve"> </w:t>
      </w:r>
      <w:r w:rsidR="00BC6306" w:rsidRPr="00D845F9">
        <w:rPr>
          <w:rStyle w:val="apple-converted-space"/>
          <w:color w:val="000000" w:themeColor="text1"/>
        </w:rPr>
        <w:t xml:space="preserve">in the GDPR </w:t>
      </w:r>
      <w:r w:rsidR="00FE4DBF" w:rsidRPr="00D845F9">
        <w:rPr>
          <w:rStyle w:val="apple-converted-space"/>
          <w:color w:val="000000" w:themeColor="text1"/>
        </w:rPr>
        <w:t>regards the measures to safeguard the data subject’s rights, freedoms</w:t>
      </w:r>
      <w:r w:rsidR="00FE4DBF" w:rsidRPr="00D845F9">
        <w:rPr>
          <w:rStyle w:val="apple-converted-space"/>
          <w:color w:val="000000" w:themeColor="text1"/>
          <w:shd w:val="clear" w:color="auto" w:fill="FFFFFF"/>
        </w:rPr>
        <w:t>, and legitimate interests</w:t>
      </w:r>
      <w:r w:rsidR="00BC6306" w:rsidRPr="00D845F9">
        <w:rPr>
          <w:rStyle w:val="apple-converted-space"/>
          <w:color w:val="000000" w:themeColor="text1"/>
          <w:shd w:val="clear" w:color="auto" w:fill="FFFFFF"/>
        </w:rPr>
        <w:t xml:space="preserve"> affected by an algorithmic decision</w:t>
      </w:r>
      <w:r w:rsidR="00146EED" w:rsidRPr="00D845F9">
        <w:rPr>
          <w:rStyle w:val="apple-converted-space"/>
          <w:color w:val="000000" w:themeColor="text1"/>
          <w:shd w:val="clear" w:color="auto" w:fill="FFFFFF"/>
        </w:rPr>
        <w:t>.</w:t>
      </w:r>
      <w:r w:rsidR="00FE4DBF" w:rsidRPr="00D845F9">
        <w:rPr>
          <w:rStyle w:val="FootnoteReference"/>
          <w:color w:val="000000" w:themeColor="text1"/>
          <w:shd w:val="clear" w:color="auto" w:fill="FFFFFF"/>
        </w:rPr>
        <w:footnoteReference w:id="219"/>
      </w:r>
      <w:r w:rsidR="00FE4DBF" w:rsidRPr="00D845F9">
        <w:rPr>
          <w:rStyle w:val="apple-converted-space"/>
          <w:color w:val="000000" w:themeColor="text1"/>
          <w:shd w:val="clear" w:color="auto" w:fill="FFFFFF"/>
        </w:rPr>
        <w:t xml:space="preserve"> </w:t>
      </w:r>
    </w:p>
    <w:p w14:paraId="400B8BC7" w14:textId="0DA539C5" w:rsidR="00CA3773" w:rsidRPr="00D845F9" w:rsidRDefault="00FE4DBF" w:rsidP="00D845F9">
      <w:pPr>
        <w:pStyle w:val="ListParagraph"/>
        <w:contextualSpacing w:val="0"/>
        <w:jc w:val="both"/>
        <w:rPr>
          <w:rStyle w:val="apple-converted-space"/>
          <w:color w:val="000000" w:themeColor="text1"/>
          <w:shd w:val="clear" w:color="auto" w:fill="FFFFFF"/>
        </w:rPr>
      </w:pPr>
      <w:r w:rsidRPr="00D845F9">
        <w:rPr>
          <w:rStyle w:val="apple-converted-space"/>
          <w:color w:val="000000" w:themeColor="text1"/>
          <w:shd w:val="clear" w:color="auto" w:fill="FFFFFF"/>
        </w:rPr>
        <w:t xml:space="preserve">First, now </w:t>
      </w:r>
      <w:r w:rsidR="00CF36DB" w:rsidRPr="00D845F9">
        <w:rPr>
          <w:rStyle w:val="apple-converted-space"/>
          <w:color w:val="000000" w:themeColor="text1"/>
          <w:shd w:val="clear" w:color="auto" w:fill="FFFFFF"/>
        </w:rPr>
        <w:t xml:space="preserve">these </w:t>
      </w:r>
      <w:r w:rsidRPr="00D845F9">
        <w:rPr>
          <w:rStyle w:val="apple-converted-space"/>
          <w:color w:val="000000" w:themeColor="text1"/>
          <w:shd w:val="clear" w:color="auto" w:fill="FFFFFF"/>
        </w:rPr>
        <w:t xml:space="preserve">measures </w:t>
      </w:r>
      <w:r w:rsidR="00CF36DB" w:rsidRPr="00D845F9">
        <w:rPr>
          <w:rStyle w:val="apple-converted-space"/>
          <w:color w:val="000000" w:themeColor="text1"/>
          <w:shd w:val="clear" w:color="auto" w:fill="FFFFFF"/>
        </w:rPr>
        <w:t xml:space="preserve">refer </w:t>
      </w:r>
      <w:r w:rsidRPr="00D845F9">
        <w:rPr>
          <w:rStyle w:val="apple-converted-space"/>
          <w:color w:val="000000" w:themeColor="text1"/>
          <w:shd w:val="clear" w:color="auto" w:fill="FFFFFF"/>
        </w:rPr>
        <w:t>also to the contractual and co</w:t>
      </w:r>
      <w:r w:rsidR="00BC6306" w:rsidRPr="00D845F9">
        <w:rPr>
          <w:rStyle w:val="apple-converted-space"/>
          <w:color w:val="000000" w:themeColor="text1"/>
          <w:shd w:val="clear" w:color="auto" w:fill="FFFFFF"/>
        </w:rPr>
        <w:t>nsent-based exceptions. Second</w:t>
      </w:r>
      <w:r w:rsidRPr="00D845F9">
        <w:rPr>
          <w:rStyle w:val="apple-converted-space"/>
          <w:color w:val="000000" w:themeColor="text1"/>
          <w:shd w:val="clear" w:color="auto" w:fill="FFFFFF"/>
        </w:rPr>
        <w:t>, it no longer encompasses only the right to express one’s viewpoint. It shall be interpreted as the right to obtain human intervention on the part of the controller</w:t>
      </w:r>
      <w:r w:rsidR="003E089F" w:rsidRPr="00D845F9">
        <w:rPr>
          <w:rStyle w:val="apple-converted-space"/>
          <w:color w:val="000000" w:themeColor="text1"/>
          <w:shd w:val="clear" w:color="auto" w:fill="FFFFFF"/>
        </w:rPr>
        <w:t xml:space="preserve"> and the right to contest the decision. Therefore, if there is a law </w:t>
      </w:r>
      <w:r w:rsidR="00D1698F" w:rsidRPr="00D845F9">
        <w:rPr>
          <w:rStyle w:val="apple-converted-space"/>
          <w:color w:val="000000" w:themeColor="text1"/>
          <w:shd w:val="clear" w:color="auto" w:fill="FFFFFF"/>
        </w:rPr>
        <w:t>author</w:t>
      </w:r>
      <w:r w:rsidR="004F4403" w:rsidRPr="00D845F9">
        <w:rPr>
          <w:rStyle w:val="apple-converted-space"/>
          <w:color w:val="000000" w:themeColor="text1"/>
          <w:shd w:val="clear" w:color="auto" w:fill="FFFFFF"/>
        </w:rPr>
        <w:t>ising</w:t>
      </w:r>
      <w:r w:rsidR="003E089F" w:rsidRPr="00D845F9">
        <w:rPr>
          <w:rStyle w:val="apple-converted-space"/>
          <w:color w:val="000000" w:themeColor="text1"/>
          <w:shd w:val="clear" w:color="auto" w:fill="FFFFFF"/>
        </w:rPr>
        <w:t xml:space="preserve"> algorithmic decision making</w:t>
      </w:r>
      <w:r w:rsidR="00146EED" w:rsidRPr="00D845F9">
        <w:rPr>
          <w:rStyle w:val="apple-converted-space"/>
          <w:color w:val="000000" w:themeColor="text1"/>
          <w:shd w:val="clear" w:color="auto" w:fill="FFFFFF"/>
        </w:rPr>
        <w:t>,</w:t>
      </w:r>
      <w:r w:rsidR="003E089F" w:rsidRPr="00D845F9">
        <w:rPr>
          <w:rStyle w:val="FootnoteReference"/>
          <w:color w:val="000000" w:themeColor="text1"/>
          <w:shd w:val="clear" w:color="auto" w:fill="FFFFFF"/>
        </w:rPr>
        <w:footnoteReference w:id="220"/>
      </w:r>
      <w:r w:rsidR="003E089F" w:rsidRPr="00D845F9">
        <w:rPr>
          <w:rStyle w:val="apple-converted-space"/>
          <w:color w:val="000000" w:themeColor="text1"/>
          <w:shd w:val="clear" w:color="auto" w:fill="FFFFFF"/>
        </w:rPr>
        <w:t xml:space="preserve"> if this is necessary for a contract or if there is the data subject’s explicit consent, a data controller may use algorithms to take decisions having legal effects or similarly affecting the data subject. However, </w:t>
      </w:r>
      <w:r w:rsidR="008A22C0" w:rsidRPr="00D845F9">
        <w:rPr>
          <w:rStyle w:val="apple-converted-space"/>
          <w:color w:val="000000" w:themeColor="text1"/>
          <w:shd w:val="clear" w:color="auto" w:fill="FFFFFF"/>
        </w:rPr>
        <w:t>data controllers</w:t>
      </w:r>
      <w:r w:rsidR="003E089F" w:rsidRPr="00D845F9">
        <w:rPr>
          <w:rStyle w:val="apple-converted-space"/>
          <w:color w:val="000000" w:themeColor="text1"/>
          <w:shd w:val="clear" w:color="auto" w:fill="FFFFFF"/>
        </w:rPr>
        <w:t xml:space="preserve"> shall put in place a procedure to appeal the decision with </w:t>
      </w:r>
      <w:r w:rsidR="00BC6306" w:rsidRPr="00D845F9">
        <w:rPr>
          <w:rStyle w:val="apple-converted-space"/>
          <w:color w:val="000000" w:themeColor="text1"/>
          <w:shd w:val="clear" w:color="auto" w:fill="FFFFFF"/>
        </w:rPr>
        <w:t>meaningful oversight</w:t>
      </w:r>
      <w:r w:rsidR="003E089F" w:rsidRPr="00D845F9">
        <w:rPr>
          <w:rStyle w:val="apple-converted-space"/>
          <w:color w:val="000000" w:themeColor="text1"/>
          <w:shd w:val="clear" w:color="auto" w:fill="FFFFFF"/>
        </w:rPr>
        <w:t xml:space="preserve"> by a human being that shall ensure an effective right of </w:t>
      </w:r>
      <w:r w:rsidR="006C6749">
        <w:rPr>
          <w:rStyle w:val="apple-converted-space"/>
          <w:color w:val="000000" w:themeColor="text1"/>
          <w:shd w:val="clear" w:color="auto" w:fill="FFFFFF"/>
        </w:rPr>
        <w:t>defenc</w:t>
      </w:r>
      <w:r w:rsidR="007925E4" w:rsidRPr="00D845F9">
        <w:rPr>
          <w:rStyle w:val="apple-converted-space"/>
          <w:color w:val="000000" w:themeColor="text1"/>
          <w:shd w:val="clear" w:color="auto" w:fill="FFFFFF"/>
        </w:rPr>
        <w:t>e</w:t>
      </w:r>
      <w:r w:rsidR="003E089F" w:rsidRPr="00D845F9">
        <w:rPr>
          <w:rStyle w:val="apple-converted-space"/>
          <w:color w:val="000000" w:themeColor="text1"/>
          <w:shd w:val="clear" w:color="auto" w:fill="FFFFFF"/>
        </w:rPr>
        <w:t xml:space="preserve"> to the data subject</w:t>
      </w:r>
      <w:r w:rsidR="00146EED" w:rsidRPr="00D845F9">
        <w:rPr>
          <w:rStyle w:val="apple-converted-space"/>
          <w:color w:val="000000" w:themeColor="text1"/>
          <w:shd w:val="clear" w:color="auto" w:fill="FFFFFF"/>
        </w:rPr>
        <w:t>.</w:t>
      </w:r>
      <w:r w:rsidR="003E089F" w:rsidRPr="00D845F9">
        <w:rPr>
          <w:rStyle w:val="FootnoteReference"/>
          <w:color w:val="000000" w:themeColor="text1"/>
          <w:shd w:val="clear" w:color="auto" w:fill="FFFFFF"/>
        </w:rPr>
        <w:footnoteReference w:id="221"/>
      </w:r>
      <w:r w:rsidR="00C43065" w:rsidRPr="00D845F9">
        <w:rPr>
          <w:rStyle w:val="apple-converted-space"/>
          <w:color w:val="000000" w:themeColor="text1"/>
          <w:shd w:val="clear" w:color="auto" w:fill="FFFFFF"/>
        </w:rPr>
        <w:t xml:space="preserve"> </w:t>
      </w:r>
    </w:p>
    <w:p w14:paraId="38E528A8" w14:textId="00D55016" w:rsidR="00A90963" w:rsidRPr="00D845F9" w:rsidRDefault="00BC6306" w:rsidP="00D845F9">
      <w:pPr>
        <w:pStyle w:val="ListParagraph"/>
        <w:contextualSpacing w:val="0"/>
        <w:jc w:val="both"/>
        <w:rPr>
          <w:rStyle w:val="apple-converted-space"/>
          <w:color w:val="000000" w:themeColor="text1"/>
        </w:rPr>
      </w:pPr>
      <w:r w:rsidRPr="00D845F9">
        <w:rPr>
          <w:rStyle w:val="apple-converted-space"/>
          <w:color w:val="000000" w:themeColor="text1"/>
          <w:shd w:val="clear" w:color="auto" w:fill="FFFFFF"/>
        </w:rPr>
        <w:t xml:space="preserve">This is </w:t>
      </w:r>
      <w:r w:rsidRPr="00D845F9">
        <w:rPr>
          <w:rStyle w:val="apple-converted-space"/>
          <w:color w:val="000000" w:themeColor="text1"/>
        </w:rPr>
        <w:t>a major</w:t>
      </w:r>
      <w:r w:rsidR="00C43065" w:rsidRPr="00D845F9">
        <w:rPr>
          <w:rStyle w:val="apple-converted-space"/>
          <w:color w:val="000000" w:themeColor="text1"/>
        </w:rPr>
        <w:t xml:space="preserve"> victory for those who think that human decision-making can still be better than the automated one</w:t>
      </w:r>
      <w:r w:rsidR="00146EED" w:rsidRPr="00D845F9">
        <w:rPr>
          <w:rStyle w:val="apple-converted-space"/>
          <w:color w:val="000000" w:themeColor="text1"/>
        </w:rPr>
        <w:t>.</w:t>
      </w:r>
      <w:r w:rsidR="00583814" w:rsidRPr="00D845F9">
        <w:rPr>
          <w:rStyle w:val="FootnoteReference"/>
          <w:color w:val="000000" w:themeColor="text1"/>
        </w:rPr>
        <w:footnoteReference w:id="222"/>
      </w:r>
      <w:r w:rsidR="00CA3773" w:rsidRPr="00D845F9">
        <w:rPr>
          <w:rStyle w:val="apple-converted-space"/>
          <w:color w:val="000000" w:themeColor="text1"/>
        </w:rPr>
        <w:t xml:space="preserve"> However, it is unclear which steps the data controller should take once the data subjects avail themselves of the analysed remedy.</w:t>
      </w:r>
      <w:r w:rsidR="00313364" w:rsidRPr="00D845F9">
        <w:rPr>
          <w:rStyle w:val="apple-converted-space"/>
          <w:color w:val="000000" w:themeColor="text1"/>
        </w:rPr>
        <w:t xml:space="preserve"> The Article 29 Working Party </w:t>
      </w:r>
      <w:r w:rsidR="00A63CB2" w:rsidRPr="00D845F9">
        <w:rPr>
          <w:rStyle w:val="apple-converted-space"/>
          <w:color w:val="000000" w:themeColor="text1"/>
        </w:rPr>
        <w:t xml:space="preserve">further clarify that the </w:t>
      </w:r>
      <w:r w:rsidR="00A63CB2" w:rsidRPr="00D845F9">
        <w:rPr>
          <w:color w:val="000000" w:themeColor="text1"/>
        </w:rPr>
        <w:t>review must be carried out by a human being with appropriate authority and capability to change the decision and who shall thoroughly assess “all the relevant data, including any additional information provided by the data subject.</w:t>
      </w:r>
      <w:r w:rsidR="00313364" w:rsidRPr="00D845F9">
        <w:rPr>
          <w:color w:val="000000" w:themeColor="text1"/>
        </w:rPr>
        <w:t>”</w:t>
      </w:r>
      <w:r w:rsidR="00313364" w:rsidRPr="00D845F9">
        <w:rPr>
          <w:rStyle w:val="FootnoteReference"/>
          <w:color w:val="000000" w:themeColor="text1"/>
        </w:rPr>
        <w:footnoteReference w:id="223"/>
      </w:r>
      <w:r w:rsidR="00313364" w:rsidRPr="00D845F9">
        <w:rPr>
          <w:color w:val="000000" w:themeColor="text1"/>
        </w:rPr>
        <w:t xml:space="preserve"> </w:t>
      </w:r>
    </w:p>
    <w:p w14:paraId="78A20F27" w14:textId="0145867B" w:rsidR="00CA3773" w:rsidRPr="0062362F" w:rsidRDefault="00CA3773" w:rsidP="0062362F">
      <w:pPr>
        <w:jc w:val="both"/>
        <w:rPr>
          <w:rStyle w:val="apple-converted-space"/>
          <w:color w:val="000000" w:themeColor="text1"/>
        </w:rPr>
      </w:pPr>
    </w:p>
    <w:p w14:paraId="48ECFD80" w14:textId="1D3D7268" w:rsidR="00CA3773" w:rsidRPr="004672E2" w:rsidRDefault="0062362F" w:rsidP="004672E2">
      <w:pPr>
        <w:pStyle w:val="NormalWeb"/>
        <w:ind w:left="720"/>
        <w:rPr>
          <w:rFonts w:ascii="TitilliumMaps29L" w:hAnsi="TitilliumMaps29L"/>
          <w:sz w:val="28"/>
          <w:szCs w:val="28"/>
        </w:rPr>
      </w:pPr>
      <w:r>
        <w:rPr>
          <w:rFonts w:ascii="TitilliumMaps29L" w:hAnsi="TitilliumMaps29L"/>
          <w:sz w:val="28"/>
          <w:szCs w:val="28"/>
        </w:rPr>
        <w:t>D.III</w:t>
      </w:r>
      <w:r w:rsidR="00CA3773" w:rsidRPr="004672E2">
        <w:rPr>
          <w:rFonts w:ascii="TitilliumMaps29L" w:hAnsi="TitilliumMaps29L"/>
          <w:sz w:val="28"/>
          <w:szCs w:val="28"/>
        </w:rPr>
        <w:t xml:space="preserve">. </w:t>
      </w:r>
      <w:r w:rsidR="003E603A" w:rsidRPr="004672E2">
        <w:rPr>
          <w:rFonts w:ascii="TitilliumMaps29L" w:hAnsi="TitilliumMaps29L"/>
          <w:sz w:val="28"/>
          <w:szCs w:val="28"/>
        </w:rPr>
        <w:t>Transparency obligations</w:t>
      </w:r>
      <w:r w:rsidR="00CA3773" w:rsidRPr="004672E2">
        <w:rPr>
          <w:rFonts w:ascii="TitilliumMaps29L" w:hAnsi="TitilliumMaps29L"/>
          <w:sz w:val="28"/>
          <w:szCs w:val="28"/>
        </w:rPr>
        <w:t xml:space="preserve">: a right to explanation? </w:t>
      </w:r>
    </w:p>
    <w:p w14:paraId="1C7B4384" w14:textId="77777777" w:rsidR="00CA3773" w:rsidRPr="00D845F9" w:rsidRDefault="00CA3773" w:rsidP="00D845F9">
      <w:pPr>
        <w:pStyle w:val="ListParagraph"/>
        <w:contextualSpacing w:val="0"/>
        <w:jc w:val="both"/>
        <w:rPr>
          <w:rStyle w:val="apple-converted-space"/>
          <w:color w:val="000000" w:themeColor="text1"/>
        </w:rPr>
      </w:pPr>
    </w:p>
    <w:p w14:paraId="02F3A6A5" w14:textId="5C8DFDEF" w:rsidR="00255DC4" w:rsidRPr="00D845F9" w:rsidRDefault="00D01974" w:rsidP="00D845F9">
      <w:pPr>
        <w:pStyle w:val="ListParagraph"/>
        <w:contextualSpacing w:val="0"/>
        <w:jc w:val="both"/>
        <w:rPr>
          <w:rStyle w:val="apple-converted-space"/>
          <w:color w:val="000000" w:themeColor="text1"/>
        </w:rPr>
      </w:pPr>
      <w:r w:rsidRPr="00D845F9">
        <w:rPr>
          <w:rStyle w:val="apple-converted-space"/>
          <w:color w:val="000000" w:themeColor="text1"/>
          <w:shd w:val="clear" w:color="auto" w:fill="FFFFFF"/>
        </w:rPr>
        <w:t xml:space="preserve">Going on to the </w:t>
      </w:r>
      <w:r w:rsidR="003E603A" w:rsidRPr="00D845F9">
        <w:rPr>
          <w:rStyle w:val="apple-converted-space"/>
          <w:color w:val="000000" w:themeColor="text1"/>
          <w:shd w:val="clear" w:color="auto" w:fill="FFFFFF"/>
        </w:rPr>
        <w:t>transparency obligations</w:t>
      </w:r>
      <w:r w:rsidRPr="00D845F9">
        <w:rPr>
          <w:rStyle w:val="apple-converted-space"/>
          <w:color w:val="000000" w:themeColor="text1"/>
          <w:shd w:val="clear" w:color="auto" w:fill="FFFFFF"/>
        </w:rPr>
        <w:t>, these are nearly entirely new</w:t>
      </w:r>
      <w:r w:rsidR="00146EED" w:rsidRPr="00D845F9">
        <w:rPr>
          <w:rStyle w:val="apple-converted-space"/>
          <w:color w:val="000000" w:themeColor="text1"/>
          <w:shd w:val="clear" w:color="auto" w:fill="FFFFFF"/>
        </w:rPr>
        <w:t>,</w:t>
      </w:r>
      <w:r w:rsidR="009C0522" w:rsidRPr="00D845F9">
        <w:rPr>
          <w:rStyle w:val="FootnoteReference"/>
          <w:color w:val="000000" w:themeColor="text1"/>
          <w:shd w:val="clear" w:color="auto" w:fill="FFFFFF"/>
        </w:rPr>
        <w:footnoteReference w:id="224"/>
      </w:r>
      <w:r w:rsidRPr="00D845F9">
        <w:rPr>
          <w:rStyle w:val="apple-converted-space"/>
          <w:color w:val="000000" w:themeColor="text1"/>
          <w:shd w:val="clear" w:color="auto" w:fill="FFFFFF"/>
        </w:rPr>
        <w:t xml:space="preserve"> given that under the Data Protection Directive there was only the right to access</w:t>
      </w:r>
      <w:r w:rsidR="00D0799A" w:rsidRPr="00D845F9">
        <w:rPr>
          <w:rStyle w:val="apple-converted-space"/>
          <w:color w:val="000000" w:themeColor="text1"/>
          <w:shd w:val="clear" w:color="auto" w:fill="FFFFFF"/>
        </w:rPr>
        <w:t>,</w:t>
      </w:r>
      <w:r w:rsidRPr="00D845F9">
        <w:rPr>
          <w:rStyle w:val="apple-converted-space"/>
          <w:color w:val="000000" w:themeColor="text1"/>
          <w:shd w:val="clear" w:color="auto" w:fill="FFFFFF"/>
        </w:rPr>
        <w:t xml:space="preserve"> which included the logic involved in the algorithmic decision</w:t>
      </w:r>
      <w:r w:rsidR="00146EED" w:rsidRPr="00D845F9">
        <w:rPr>
          <w:rStyle w:val="apple-converted-space"/>
          <w:color w:val="000000" w:themeColor="text1"/>
          <w:shd w:val="clear" w:color="auto" w:fill="FFFFFF"/>
        </w:rPr>
        <w:t>.</w:t>
      </w:r>
      <w:r w:rsidRPr="00D845F9">
        <w:rPr>
          <w:rStyle w:val="FootnoteReference"/>
          <w:color w:val="000000" w:themeColor="text1"/>
          <w:shd w:val="clear" w:color="auto" w:fill="FFFFFF"/>
        </w:rPr>
        <w:footnoteReference w:id="225"/>
      </w:r>
      <w:r w:rsidRPr="00D845F9">
        <w:rPr>
          <w:rStyle w:val="apple-converted-space"/>
          <w:color w:val="000000" w:themeColor="text1"/>
          <w:shd w:val="clear" w:color="auto" w:fill="FFFFFF"/>
        </w:rPr>
        <w:t xml:space="preserve"> Innovatively, </w:t>
      </w:r>
      <w:r w:rsidRPr="00D845F9">
        <w:rPr>
          <w:rStyle w:val="apple-converted-space"/>
          <w:color w:val="000000" w:themeColor="text1"/>
        </w:rPr>
        <w:t xml:space="preserve">the processing is not deemed fair and transparent, if the controller does not, at </w:t>
      </w:r>
      <w:r w:rsidR="00802659" w:rsidRPr="00D845F9">
        <w:rPr>
          <w:rStyle w:val="apple-converted-space"/>
          <w:color w:val="000000" w:themeColor="text1"/>
        </w:rPr>
        <w:t xml:space="preserve">the time when personal data is </w:t>
      </w:r>
      <w:r w:rsidRPr="00D845F9">
        <w:rPr>
          <w:rStyle w:val="apple-converted-space"/>
          <w:color w:val="000000" w:themeColor="text1"/>
        </w:rPr>
        <w:t xml:space="preserve">obtained from the data subject, </w:t>
      </w:r>
      <w:r w:rsidR="00802659" w:rsidRPr="00D845F9">
        <w:rPr>
          <w:rStyle w:val="apple-converted-space"/>
          <w:color w:val="000000" w:themeColor="text1"/>
        </w:rPr>
        <w:t>provide specific information on three matters.</w:t>
      </w:r>
      <w:r w:rsidR="00802659" w:rsidRPr="00D845F9">
        <w:rPr>
          <w:rStyle w:val="FootnoteReference"/>
          <w:color w:val="000000" w:themeColor="text1"/>
        </w:rPr>
        <w:footnoteReference w:id="226"/>
      </w:r>
      <w:r w:rsidR="00802659" w:rsidRPr="00D845F9">
        <w:rPr>
          <w:rStyle w:val="apple-converted-space"/>
          <w:color w:val="000000" w:themeColor="text1"/>
        </w:rPr>
        <w:t xml:space="preserve"> First, controllers must disclose </w:t>
      </w:r>
      <w:r w:rsidRPr="00D845F9">
        <w:rPr>
          <w:rStyle w:val="apple-converted-space"/>
          <w:color w:val="000000" w:themeColor="text1"/>
        </w:rPr>
        <w:t>the existence of a</w:t>
      </w:r>
      <w:r w:rsidR="004D3C70" w:rsidRPr="00D845F9">
        <w:rPr>
          <w:rStyle w:val="apple-converted-space"/>
          <w:color w:val="000000" w:themeColor="text1"/>
        </w:rPr>
        <w:t>lgorithmic</w:t>
      </w:r>
      <w:r w:rsidRPr="00D845F9">
        <w:rPr>
          <w:rStyle w:val="apple-converted-space"/>
          <w:color w:val="000000" w:themeColor="text1"/>
        </w:rPr>
        <w:t xml:space="preserve"> decision-making</w:t>
      </w:r>
      <w:r w:rsidR="00802659" w:rsidRPr="00D845F9">
        <w:rPr>
          <w:rStyle w:val="apple-converted-space"/>
          <w:color w:val="000000" w:themeColor="text1"/>
        </w:rPr>
        <w:t>. Second, they need to inform the data subject about the logic involved. Third, the algorithm must be opened in order to provide</w:t>
      </w:r>
      <w:r w:rsidRPr="00D845F9">
        <w:rPr>
          <w:rStyle w:val="apple-converted-space"/>
          <w:color w:val="000000" w:themeColor="text1"/>
        </w:rPr>
        <w:t xml:space="preserve"> </w:t>
      </w:r>
      <w:r w:rsidR="004D3C70" w:rsidRPr="00D845F9">
        <w:rPr>
          <w:rStyle w:val="apple-converted-space"/>
          <w:color w:val="000000" w:themeColor="text1"/>
        </w:rPr>
        <w:t>“</w:t>
      </w:r>
      <w:r w:rsidRPr="00D845F9">
        <w:rPr>
          <w:rStyle w:val="apple-converted-space"/>
          <w:color w:val="000000" w:themeColor="text1"/>
        </w:rPr>
        <w:t xml:space="preserve">meaningful information about </w:t>
      </w:r>
      <w:r w:rsidR="004D3C70" w:rsidRPr="00D845F9">
        <w:rPr>
          <w:rStyle w:val="apple-converted-space"/>
          <w:color w:val="000000" w:themeColor="text1"/>
        </w:rPr>
        <w:t>[…]</w:t>
      </w:r>
      <w:r w:rsidRPr="00D845F9">
        <w:rPr>
          <w:rStyle w:val="apple-converted-space"/>
          <w:color w:val="000000" w:themeColor="text1"/>
        </w:rPr>
        <w:t xml:space="preserve"> the significance and the envisaged consequences of such processing for the data subject</w:t>
      </w:r>
      <w:r w:rsidR="00146EED" w:rsidRPr="00D845F9">
        <w:rPr>
          <w:rStyle w:val="apple-converted-space"/>
          <w:color w:val="000000" w:themeColor="text1"/>
        </w:rPr>
        <w:t>.</w:t>
      </w:r>
      <w:r w:rsidRPr="00D845F9">
        <w:rPr>
          <w:rStyle w:val="apple-converted-space"/>
          <w:color w:val="000000" w:themeColor="text1"/>
        </w:rPr>
        <w:t>”</w:t>
      </w:r>
      <w:r w:rsidR="004D3C70" w:rsidRPr="00D845F9">
        <w:rPr>
          <w:rStyle w:val="FootnoteReference"/>
          <w:color w:val="000000" w:themeColor="text1"/>
        </w:rPr>
        <w:footnoteReference w:id="227"/>
      </w:r>
      <w:r w:rsidR="004D3C70" w:rsidRPr="00D845F9">
        <w:rPr>
          <w:rStyle w:val="apple-converted-space"/>
          <w:color w:val="000000" w:themeColor="text1"/>
        </w:rPr>
        <w:t xml:space="preserve"> </w:t>
      </w:r>
      <w:r w:rsidR="00255DC4" w:rsidRPr="00D845F9">
        <w:rPr>
          <w:rStyle w:val="apple-converted-space"/>
          <w:color w:val="000000" w:themeColor="text1"/>
        </w:rPr>
        <w:t>The same right applies when the data was not obtained from the data subject, who has the right to be informed within a reasonable time</w:t>
      </w:r>
      <w:r w:rsidR="00255DC4" w:rsidRPr="00D845F9">
        <w:rPr>
          <w:rStyle w:val="FootnoteReference"/>
          <w:color w:val="000000" w:themeColor="text1"/>
        </w:rPr>
        <w:footnoteReference w:id="228"/>
      </w:r>
      <w:r w:rsidR="00255DC4" w:rsidRPr="00D845F9">
        <w:rPr>
          <w:rStyle w:val="apple-converted-space"/>
          <w:color w:val="000000" w:themeColor="text1"/>
        </w:rPr>
        <w:t xml:space="preserve"> (at the latest within one month),</w:t>
      </w:r>
      <w:r w:rsidR="00255DC4" w:rsidRPr="00D845F9">
        <w:rPr>
          <w:rStyle w:val="FootnoteReference"/>
          <w:color w:val="000000" w:themeColor="text1"/>
        </w:rPr>
        <w:footnoteReference w:id="229"/>
      </w:r>
      <w:r w:rsidR="00255DC4" w:rsidRPr="00D845F9">
        <w:rPr>
          <w:rStyle w:val="apple-converted-space"/>
          <w:color w:val="000000" w:themeColor="text1"/>
        </w:rPr>
        <w:t xml:space="preserve"> at the time of the first communication with the data subject</w:t>
      </w:r>
      <w:r w:rsidR="00255DC4" w:rsidRPr="00D845F9">
        <w:rPr>
          <w:rStyle w:val="FootnoteReference"/>
          <w:color w:val="000000" w:themeColor="text1"/>
        </w:rPr>
        <w:footnoteReference w:id="230"/>
      </w:r>
      <w:r w:rsidR="00255DC4" w:rsidRPr="00D845F9">
        <w:rPr>
          <w:rStyle w:val="apple-converted-space"/>
          <w:color w:val="000000" w:themeColor="text1"/>
        </w:rPr>
        <w:t>, or when the data is fist disclosed to a third party.</w:t>
      </w:r>
      <w:r w:rsidR="00255DC4" w:rsidRPr="00D845F9">
        <w:rPr>
          <w:rStyle w:val="FootnoteReference"/>
          <w:color w:val="000000" w:themeColor="text1"/>
        </w:rPr>
        <w:footnoteReference w:id="231"/>
      </w:r>
      <w:r w:rsidR="00255DC4" w:rsidRPr="00D845F9">
        <w:rPr>
          <w:rStyle w:val="apple-converted-space"/>
          <w:color w:val="000000" w:themeColor="text1"/>
        </w:rPr>
        <w:t xml:space="preserve"> Data controllers who merely make the information available, without actively bringing it to the data subject’s attention, do not meet their transparency obligations.</w:t>
      </w:r>
      <w:r w:rsidR="00255DC4" w:rsidRPr="00D845F9">
        <w:rPr>
          <w:color w:val="000000" w:themeColor="text1"/>
        </w:rPr>
        <w:t xml:space="preserve"> </w:t>
      </w:r>
      <w:r w:rsidR="00255DC4" w:rsidRPr="00D845F9">
        <w:rPr>
          <w:rStyle w:val="apple-converted-space"/>
          <w:color w:val="000000" w:themeColor="text1"/>
        </w:rPr>
        <w:t>On top of the obligation to inform, there is the right of access, which again regards the existence of the algorithmic decision-making itself and meaningful information about the logic, the significance, and the consequences.</w:t>
      </w:r>
      <w:r w:rsidR="00255DC4" w:rsidRPr="00D845F9">
        <w:rPr>
          <w:rStyle w:val="FootnoteReference"/>
          <w:color w:val="000000" w:themeColor="text1"/>
        </w:rPr>
        <w:footnoteReference w:id="232"/>
      </w:r>
    </w:p>
    <w:p w14:paraId="5506A7A8" w14:textId="380571AB" w:rsidR="00313364" w:rsidRPr="00D845F9" w:rsidRDefault="00B53687" w:rsidP="00D845F9">
      <w:pPr>
        <w:pStyle w:val="ListParagraph"/>
        <w:contextualSpacing w:val="0"/>
        <w:jc w:val="both"/>
        <w:rPr>
          <w:color w:val="000000" w:themeColor="text1"/>
        </w:rPr>
      </w:pPr>
      <w:r w:rsidRPr="00D845F9">
        <w:rPr>
          <w:rStyle w:val="apple-converted-space"/>
          <w:color w:val="000000" w:themeColor="text1"/>
        </w:rPr>
        <w:t xml:space="preserve">One should welcome positively the </w:t>
      </w:r>
      <w:r w:rsidR="00255DC4" w:rsidRPr="00D845F9">
        <w:rPr>
          <w:rStyle w:val="apple-converted-space"/>
          <w:color w:val="000000" w:themeColor="text1"/>
        </w:rPr>
        <w:t xml:space="preserve">obligation to provide (and the </w:t>
      </w:r>
      <w:r w:rsidRPr="00D845F9">
        <w:rPr>
          <w:rStyle w:val="apple-converted-space"/>
          <w:color w:val="000000" w:themeColor="text1"/>
        </w:rPr>
        <w:t xml:space="preserve">right to </w:t>
      </w:r>
      <w:r w:rsidR="00255DC4" w:rsidRPr="00D845F9">
        <w:rPr>
          <w:rStyle w:val="apple-converted-space"/>
          <w:color w:val="000000" w:themeColor="text1"/>
        </w:rPr>
        <w:t>access)</w:t>
      </w:r>
      <w:r w:rsidRPr="00D845F9">
        <w:rPr>
          <w:rStyle w:val="apple-converted-space"/>
          <w:color w:val="000000" w:themeColor="text1"/>
        </w:rPr>
        <w:t xml:space="preserve"> meaningful information and the reference to the </w:t>
      </w:r>
      <w:r w:rsidR="00313364" w:rsidRPr="00D845F9">
        <w:rPr>
          <w:rStyle w:val="apple-converted-space"/>
          <w:color w:val="000000" w:themeColor="text1"/>
        </w:rPr>
        <w:t xml:space="preserve">envisaged </w:t>
      </w:r>
      <w:r w:rsidRPr="00D845F9">
        <w:rPr>
          <w:rStyle w:val="apple-converted-space"/>
          <w:color w:val="000000" w:themeColor="text1"/>
        </w:rPr>
        <w:t xml:space="preserve">consequences </w:t>
      </w:r>
      <w:r w:rsidR="00313364" w:rsidRPr="00D845F9">
        <w:rPr>
          <w:rStyle w:val="apple-converted-space"/>
          <w:color w:val="000000" w:themeColor="text1"/>
        </w:rPr>
        <w:t xml:space="preserve">and significance </w:t>
      </w:r>
      <w:r w:rsidRPr="00D845F9">
        <w:rPr>
          <w:rStyle w:val="apple-converted-space"/>
          <w:color w:val="000000" w:themeColor="text1"/>
        </w:rPr>
        <w:t>of the decision.</w:t>
      </w:r>
      <w:r w:rsidR="00313364" w:rsidRPr="00D845F9">
        <w:rPr>
          <w:rStyle w:val="apple-converted-space"/>
          <w:color w:val="000000" w:themeColor="text1"/>
        </w:rPr>
        <w:t xml:space="preserve"> </w:t>
      </w:r>
      <w:r w:rsidR="00313364" w:rsidRPr="00D845F9">
        <w:rPr>
          <w:color w:val="000000" w:themeColor="text1"/>
        </w:rPr>
        <w:t>While “envisaged” suggests that information must be provided “about intended or future processing,”</w:t>
      </w:r>
      <w:r w:rsidR="00313364" w:rsidRPr="00D845F9">
        <w:rPr>
          <w:rStyle w:val="FootnoteReference"/>
          <w:color w:val="000000" w:themeColor="text1"/>
        </w:rPr>
        <w:footnoteReference w:id="233"/>
      </w:r>
      <w:r w:rsidR="00313364" w:rsidRPr="00D845F9">
        <w:rPr>
          <w:color w:val="000000" w:themeColor="text1"/>
        </w:rPr>
        <w:t xml:space="preserve"> it would seem that “significance” requires real, tangible examples of how the decision may affect the data subject.</w:t>
      </w:r>
      <w:r w:rsidR="00313364" w:rsidRPr="00D845F9">
        <w:rPr>
          <w:rStyle w:val="FootnoteReference"/>
          <w:color w:val="000000" w:themeColor="text1"/>
        </w:rPr>
        <w:footnoteReference w:id="234"/>
      </w:r>
    </w:p>
    <w:p w14:paraId="518DA6AE" w14:textId="7C805D03" w:rsidR="001F200E" w:rsidRDefault="00313364" w:rsidP="00D845F9">
      <w:pPr>
        <w:pStyle w:val="ListParagraph"/>
        <w:contextualSpacing w:val="0"/>
        <w:jc w:val="both"/>
        <w:rPr>
          <w:color w:val="000000" w:themeColor="text1"/>
        </w:rPr>
      </w:pPr>
      <w:r w:rsidRPr="00D845F9">
        <w:rPr>
          <w:rStyle w:val="apple-converted-space"/>
          <w:color w:val="000000" w:themeColor="text1"/>
        </w:rPr>
        <w:t>Such meaningful information</w:t>
      </w:r>
      <w:r w:rsidR="00B53687" w:rsidRPr="00D845F9">
        <w:rPr>
          <w:rStyle w:val="apple-converted-space"/>
          <w:color w:val="000000" w:themeColor="text1"/>
        </w:rPr>
        <w:t xml:space="preserve"> is what the data subject, who normally will not be a computer scientist, is interested in. Therefore, for instance, a technical document which inc</w:t>
      </w:r>
      <w:r w:rsidR="00A1060F">
        <w:rPr>
          <w:rStyle w:val="apple-converted-space"/>
          <w:color w:val="000000" w:themeColor="text1"/>
        </w:rPr>
        <w:t xml:space="preserve">ludes the algorithm used and the mere </w:t>
      </w:r>
      <w:r w:rsidR="00B53687" w:rsidRPr="00D845F9">
        <w:rPr>
          <w:rStyle w:val="apple-converted-space"/>
          <w:color w:val="000000" w:themeColor="text1"/>
        </w:rPr>
        <w:t>explanation of the logic in mathematical terms will not</w:t>
      </w:r>
      <w:r w:rsidR="00A1060F">
        <w:rPr>
          <w:rStyle w:val="apple-converted-space"/>
          <w:color w:val="000000" w:themeColor="text1"/>
        </w:rPr>
        <w:t xml:space="preserve"> in themselves</w:t>
      </w:r>
      <w:r w:rsidR="00B53687" w:rsidRPr="00D845F9">
        <w:rPr>
          <w:rStyle w:val="apple-converted-space"/>
          <w:color w:val="000000" w:themeColor="text1"/>
        </w:rPr>
        <w:t xml:space="preserve"> meet the legal requirement. </w:t>
      </w:r>
      <w:r w:rsidR="001F200E" w:rsidRPr="00D845F9">
        <w:rPr>
          <w:rStyle w:val="apple-converted-space"/>
          <w:color w:val="000000" w:themeColor="text1"/>
        </w:rPr>
        <w:t>Arguably, this should be interpreted as the disclosure of the algorithm with an explanation in layman</w:t>
      </w:r>
      <w:r w:rsidR="00715E9F">
        <w:rPr>
          <w:rStyle w:val="apple-converted-space"/>
          <w:color w:val="000000" w:themeColor="text1"/>
        </w:rPr>
        <w:t>’s</w:t>
      </w:r>
      <w:r w:rsidR="001F200E" w:rsidRPr="00D845F9">
        <w:rPr>
          <w:rStyle w:val="apple-converted-space"/>
          <w:color w:val="000000" w:themeColor="text1"/>
        </w:rPr>
        <w:t xml:space="preserve"> terms about the rationale of the decision and criteria relied upon.</w:t>
      </w:r>
      <w:r w:rsidR="001F200E" w:rsidRPr="00D845F9">
        <w:rPr>
          <w:rStyle w:val="FootnoteReference"/>
          <w:color w:val="000000" w:themeColor="text1"/>
        </w:rPr>
        <w:footnoteReference w:id="235"/>
      </w:r>
      <w:r w:rsidR="00FD3A3F">
        <w:rPr>
          <w:rStyle w:val="apple-converted-space"/>
          <w:color w:val="000000" w:themeColor="text1"/>
        </w:rPr>
        <w:t xml:space="preserve"> </w:t>
      </w:r>
      <w:r w:rsidR="001F200E" w:rsidRPr="00D845F9">
        <w:rPr>
          <w:color w:val="000000" w:themeColor="text1"/>
        </w:rPr>
        <w:t>Regrettably, the Article 29 Working Party</w:t>
      </w:r>
      <w:r w:rsidR="001F200E" w:rsidRPr="00D845F9">
        <w:rPr>
          <w:rStyle w:val="FootnoteReference"/>
          <w:color w:val="000000" w:themeColor="text1"/>
        </w:rPr>
        <w:footnoteReference w:id="236"/>
      </w:r>
      <w:r w:rsidR="001F200E" w:rsidRPr="00D845F9">
        <w:rPr>
          <w:color w:val="000000" w:themeColor="text1"/>
        </w:rPr>
        <w:t xml:space="preserve"> do not consider the disclosure of the algorithm as necessary under the said transparency obligations. However, in order to have a full picture, the data subject has a legitimate interest in asking an expert to analyse the algorithm in order to better challenge the decision. Such an interpretation would not comply with right to an effective remedy and to a fair trial under the Charter of Fundamental Rights of the EU.</w:t>
      </w:r>
      <w:r w:rsidR="001F200E" w:rsidRPr="00D845F9">
        <w:rPr>
          <w:rStyle w:val="FootnoteReference"/>
          <w:color w:val="000000" w:themeColor="text1"/>
        </w:rPr>
        <w:footnoteReference w:id="237"/>
      </w:r>
    </w:p>
    <w:p w14:paraId="3C5F5BCF" w14:textId="3151EAF8" w:rsidR="00A1060F" w:rsidRPr="00D845F9" w:rsidRDefault="00A1060F" w:rsidP="00A1060F">
      <w:pPr>
        <w:pStyle w:val="ListParagraph"/>
        <w:contextualSpacing w:val="0"/>
        <w:jc w:val="both"/>
        <w:rPr>
          <w:rStyle w:val="apple-converted-space"/>
          <w:color w:val="000000" w:themeColor="text1"/>
        </w:rPr>
      </w:pPr>
      <w:r w:rsidRPr="00D845F9">
        <w:rPr>
          <w:rStyle w:val="apple-converted-space"/>
          <w:color w:val="000000" w:themeColor="text1"/>
        </w:rPr>
        <w:t>Obviously, it may be the case that, due to the characteristics themselves of artificial intelligence, it could be impossible to explain an algorithmic process</w:t>
      </w:r>
      <w:r w:rsidRPr="00D845F9">
        <w:rPr>
          <w:color w:val="000000" w:themeColor="text1"/>
        </w:rPr>
        <w:t xml:space="preserve"> “in a way that is intelligible to a data subject.”</w:t>
      </w:r>
      <w:r w:rsidRPr="00D845F9">
        <w:rPr>
          <w:rStyle w:val="FootnoteReference"/>
          <w:color w:val="000000" w:themeColor="text1"/>
        </w:rPr>
        <w:footnoteReference w:id="238"/>
      </w:r>
    </w:p>
    <w:p w14:paraId="0347AB2F" w14:textId="77777777" w:rsidR="00687C21" w:rsidRPr="00687C21" w:rsidRDefault="00B36519" w:rsidP="00DA6BDD">
      <w:pPr>
        <w:pStyle w:val="ListParagraph"/>
        <w:contextualSpacing w:val="0"/>
        <w:jc w:val="both"/>
        <w:rPr>
          <w:rStyle w:val="apple-converted-space"/>
          <w:color w:val="000000" w:themeColor="text1"/>
        </w:rPr>
      </w:pPr>
      <w:r w:rsidRPr="00D845F9">
        <w:rPr>
          <w:rStyle w:val="apple-converted-space"/>
          <w:color w:val="000000" w:themeColor="text1"/>
        </w:rPr>
        <w:t xml:space="preserve">Scholars have recently </w:t>
      </w:r>
      <w:r w:rsidR="00B53687" w:rsidRPr="00D845F9">
        <w:rPr>
          <w:rStyle w:val="apple-converted-space"/>
          <w:color w:val="000000" w:themeColor="text1"/>
        </w:rPr>
        <w:t>criticis</w:t>
      </w:r>
      <w:r w:rsidR="007925E4" w:rsidRPr="00D845F9">
        <w:rPr>
          <w:rStyle w:val="apple-converted-space"/>
          <w:color w:val="000000" w:themeColor="text1"/>
        </w:rPr>
        <w:t>ed</w:t>
      </w:r>
      <w:r w:rsidRPr="00D845F9">
        <w:rPr>
          <w:rStyle w:val="apple-converted-space"/>
          <w:color w:val="000000" w:themeColor="text1"/>
        </w:rPr>
        <w:t xml:space="preserve"> the provision because it</w:t>
      </w:r>
      <w:r w:rsidR="00D0799A" w:rsidRPr="00D845F9">
        <w:rPr>
          <w:rStyle w:val="apple-converted-space"/>
          <w:color w:val="000000" w:themeColor="text1"/>
        </w:rPr>
        <w:t xml:space="preserve"> would entail</w:t>
      </w:r>
      <w:r w:rsidRPr="00D845F9">
        <w:rPr>
          <w:rStyle w:val="apple-converted-space"/>
          <w:color w:val="000000" w:themeColor="text1"/>
        </w:rPr>
        <w:t xml:space="preserve"> a right to be informed, but no right to explanation</w:t>
      </w:r>
      <w:r w:rsidR="00146EED" w:rsidRPr="00D845F9">
        <w:rPr>
          <w:rStyle w:val="apple-converted-space"/>
          <w:color w:val="000000" w:themeColor="text1"/>
        </w:rPr>
        <w:t>.</w:t>
      </w:r>
      <w:r w:rsidR="00E77CD3" w:rsidRPr="00D845F9">
        <w:rPr>
          <w:rStyle w:val="FootnoteReference"/>
          <w:color w:val="000000" w:themeColor="text1"/>
        </w:rPr>
        <w:footnoteReference w:id="239"/>
      </w:r>
      <w:r w:rsidRPr="00D845F9">
        <w:rPr>
          <w:rStyle w:val="apple-converted-space"/>
          <w:color w:val="000000" w:themeColor="text1"/>
        </w:rPr>
        <w:t xml:space="preserve"> </w:t>
      </w:r>
      <w:r w:rsidR="00687C21">
        <w:rPr>
          <w:rStyle w:val="apple-converted-space"/>
          <w:color w:val="000000" w:themeColor="text1"/>
        </w:rPr>
        <w:t>Others,</w:t>
      </w:r>
      <w:r w:rsidR="00687C21">
        <w:rPr>
          <w:rStyle w:val="FootnoteReference"/>
          <w:color w:val="000000" w:themeColor="text1"/>
        </w:rPr>
        <w:footnoteReference w:id="240"/>
      </w:r>
      <w:r w:rsidR="00687C21">
        <w:rPr>
          <w:rStyle w:val="apple-converted-space"/>
          <w:color w:val="000000" w:themeColor="text1"/>
        </w:rPr>
        <w:t xml:space="preserve"> conversely, have pointed out that </w:t>
      </w:r>
      <w:r w:rsidR="00687C21" w:rsidRPr="00687C21">
        <w:rPr>
          <w:rStyle w:val="apple-converted-space"/>
          <w:color w:val="000000" w:themeColor="text1"/>
        </w:rPr>
        <w:t xml:space="preserve">Articles 15 and 22 should have a wide interpretation that might prove adequate to cope with the transparency challenge; they propose a legibility stress test for data controller. </w:t>
      </w:r>
    </w:p>
    <w:p w14:paraId="094357A7" w14:textId="327864BE" w:rsidR="00DA6BDD" w:rsidRPr="00DA6BDD" w:rsidRDefault="00B36519" w:rsidP="00DA6BDD">
      <w:pPr>
        <w:pStyle w:val="ListParagraph"/>
        <w:contextualSpacing w:val="0"/>
        <w:jc w:val="both"/>
        <w:rPr>
          <w:color w:val="000000" w:themeColor="text1"/>
        </w:rPr>
      </w:pPr>
      <w:r w:rsidRPr="00D845F9">
        <w:rPr>
          <w:rStyle w:val="apple-converted-space"/>
          <w:color w:val="000000" w:themeColor="text1"/>
        </w:rPr>
        <w:t xml:space="preserve">To overcome this issue, </w:t>
      </w:r>
      <w:r w:rsidR="00687C21">
        <w:rPr>
          <w:rStyle w:val="apple-converted-space"/>
          <w:color w:val="000000" w:themeColor="text1"/>
        </w:rPr>
        <w:t>those who exclude that a right to explanation is provided by the GDPR</w:t>
      </w:r>
      <w:r w:rsidRPr="00D845F9">
        <w:rPr>
          <w:rStyle w:val="apple-converted-space"/>
          <w:color w:val="000000" w:themeColor="text1"/>
        </w:rPr>
        <w:t xml:space="preserve"> make a number of recommendations to improve transparency and accountability of algorithmic decision-making, including a trusted third-party regulatory or supervisory body that can investigate algorithmic decisions if one feels that they have been discriminated against. Whereas the idea of an AI watchdog can be a positive one, </w:t>
      </w:r>
      <w:r w:rsidR="000D153E" w:rsidRPr="00D845F9">
        <w:rPr>
          <w:rStyle w:val="apple-converted-space"/>
          <w:color w:val="000000" w:themeColor="text1"/>
        </w:rPr>
        <w:t>this paper argues</w:t>
      </w:r>
      <w:r w:rsidRPr="00D845F9">
        <w:rPr>
          <w:rStyle w:val="apple-converted-space"/>
          <w:color w:val="000000" w:themeColor="text1"/>
        </w:rPr>
        <w:t xml:space="preserve"> that the information rights provided with regards to algorithmic decision-making – which include a reference to the significance and consequences of the decision – can be interpreted as meaning a right to explanation</w:t>
      </w:r>
      <w:r w:rsidR="00146EED" w:rsidRPr="00D845F9">
        <w:rPr>
          <w:rStyle w:val="apple-converted-space"/>
          <w:color w:val="000000" w:themeColor="text1"/>
        </w:rPr>
        <w:t>.</w:t>
      </w:r>
      <w:r w:rsidRPr="00D845F9">
        <w:rPr>
          <w:rStyle w:val="FootnoteReference"/>
          <w:color w:val="000000" w:themeColor="text1"/>
        </w:rPr>
        <w:footnoteReference w:id="241"/>
      </w:r>
      <w:r w:rsidR="00320D25" w:rsidRPr="00D845F9">
        <w:rPr>
          <w:rStyle w:val="apple-converted-space"/>
          <w:color w:val="000000" w:themeColor="text1"/>
        </w:rPr>
        <w:t xml:space="preserve"> Denying it would equal denying the great potential of legal interpretation.</w:t>
      </w:r>
      <w:r w:rsidR="00AF2D26" w:rsidRPr="00D845F9">
        <w:rPr>
          <w:rStyle w:val="apple-converted-space"/>
          <w:color w:val="000000" w:themeColor="text1"/>
        </w:rPr>
        <w:t xml:space="preserve"> </w:t>
      </w:r>
      <w:r w:rsidR="00DA6BDD">
        <w:rPr>
          <w:color w:val="000000" w:themeColor="text1"/>
        </w:rPr>
        <w:t xml:space="preserve">A </w:t>
      </w:r>
      <w:r w:rsidR="00BE6856" w:rsidRPr="00D845F9">
        <w:rPr>
          <w:color w:val="000000" w:themeColor="text1"/>
        </w:rPr>
        <w:t xml:space="preserve">counterargument </w:t>
      </w:r>
      <w:r w:rsidR="00DA6BDD">
        <w:rPr>
          <w:color w:val="000000" w:themeColor="text1"/>
          <w:shd w:val="clear" w:color="auto" w:fill="FFFFFF"/>
        </w:rPr>
        <w:t>could be</w:t>
      </w:r>
      <w:r w:rsidR="00BE6856" w:rsidRPr="00D845F9">
        <w:rPr>
          <w:color w:val="000000" w:themeColor="text1"/>
          <w:shd w:val="clear" w:color="auto" w:fill="FFFFFF"/>
        </w:rPr>
        <w:t xml:space="preserve"> that the wording ‘right to obtain information’ can be found in recital 71, but not in </w:t>
      </w:r>
      <w:r w:rsidR="00802659" w:rsidRPr="00D845F9">
        <w:rPr>
          <w:color w:val="000000" w:themeColor="text1"/>
          <w:shd w:val="clear" w:color="auto" w:fill="FFFFFF"/>
        </w:rPr>
        <w:t>art 22</w:t>
      </w:r>
      <w:r w:rsidR="00BE6856" w:rsidRPr="00D845F9">
        <w:rPr>
          <w:color w:val="000000" w:themeColor="text1"/>
          <w:shd w:val="clear" w:color="auto" w:fill="FFFFFF"/>
        </w:rPr>
        <w:t>; this placement in a non-binding part of the Regulation (a recital) has been seen as</w:t>
      </w:r>
      <w:r w:rsidR="00BE6856" w:rsidRPr="00D845F9">
        <w:rPr>
          <w:color w:val="000000" w:themeColor="text1"/>
        </w:rPr>
        <w:t xml:space="preserve"> “a purposeful change deliberated in trilogue</w:t>
      </w:r>
      <w:r w:rsidR="00146EED" w:rsidRPr="00D845F9">
        <w:rPr>
          <w:color w:val="000000" w:themeColor="text1"/>
        </w:rPr>
        <w:t>.</w:t>
      </w:r>
      <w:r w:rsidR="00BE6856" w:rsidRPr="00D845F9">
        <w:rPr>
          <w:color w:val="000000" w:themeColor="text1"/>
        </w:rPr>
        <w:t>”</w:t>
      </w:r>
      <w:r w:rsidR="00BE6856" w:rsidRPr="00D845F9">
        <w:rPr>
          <w:rStyle w:val="FootnoteReference"/>
          <w:color w:val="000000" w:themeColor="text1"/>
        </w:rPr>
        <w:footnoteReference w:id="242"/>
      </w:r>
      <w:r w:rsidR="00BE6856" w:rsidRPr="00D845F9">
        <w:rPr>
          <w:color w:val="000000" w:themeColor="text1"/>
        </w:rPr>
        <w:t xml:space="preserve"> However, the pivotal role of recitals in interpreting the provisions of a</w:t>
      </w:r>
      <w:r w:rsidR="00A1060F">
        <w:rPr>
          <w:color w:val="000000" w:themeColor="text1"/>
        </w:rPr>
        <w:t>n</w:t>
      </w:r>
      <w:r w:rsidR="00BE6856" w:rsidRPr="00D845F9">
        <w:rPr>
          <w:color w:val="000000" w:themeColor="text1"/>
        </w:rPr>
        <w:t xml:space="preserve"> EU act has been expressly </w:t>
      </w:r>
      <w:r w:rsidR="007925E4" w:rsidRPr="00D845F9">
        <w:rPr>
          <w:color w:val="000000" w:themeColor="text1"/>
        </w:rPr>
        <w:t>recogn</w:t>
      </w:r>
      <w:r w:rsidR="00255DC4" w:rsidRPr="00D845F9">
        <w:rPr>
          <w:color w:val="000000" w:themeColor="text1"/>
        </w:rPr>
        <w:t>ised</w:t>
      </w:r>
      <w:r w:rsidR="00BE6856" w:rsidRPr="00D845F9">
        <w:rPr>
          <w:color w:val="000000" w:themeColor="text1"/>
        </w:rPr>
        <w:t xml:space="preserve"> by the Commission</w:t>
      </w:r>
      <w:r w:rsidR="00146EED" w:rsidRPr="00D845F9">
        <w:rPr>
          <w:color w:val="000000" w:themeColor="text1"/>
        </w:rPr>
        <w:t>.</w:t>
      </w:r>
      <w:r w:rsidR="00BE6856" w:rsidRPr="00D845F9">
        <w:rPr>
          <w:rStyle w:val="FootnoteReference"/>
          <w:color w:val="000000" w:themeColor="text1"/>
        </w:rPr>
        <w:footnoteReference w:id="243"/>
      </w:r>
      <w:r w:rsidR="00BE6856" w:rsidRPr="00D845F9">
        <w:rPr>
          <w:color w:val="000000" w:themeColor="text1"/>
        </w:rPr>
        <w:t xml:space="preserve"> The reference to the right of explanation in the recital shall be, therefore, used to properly construe </w:t>
      </w:r>
      <w:r w:rsidR="00802659" w:rsidRPr="00D845F9">
        <w:rPr>
          <w:color w:val="000000" w:themeColor="text1"/>
        </w:rPr>
        <w:t>art</w:t>
      </w:r>
      <w:r w:rsidR="00BE6856" w:rsidRPr="00D845F9">
        <w:rPr>
          <w:color w:val="000000" w:themeColor="text1"/>
        </w:rPr>
        <w:t xml:space="preserve"> 22 to reflect the context of the provision and the overall purpose of the GDPR, that is increasing the protection of the data subjects’ rights. Hence, even though applying the literal rule, </w:t>
      </w:r>
      <w:r w:rsidR="00802659" w:rsidRPr="00D845F9">
        <w:rPr>
          <w:color w:val="000000" w:themeColor="text1"/>
        </w:rPr>
        <w:t>art</w:t>
      </w:r>
      <w:r w:rsidR="00BE6856" w:rsidRPr="00D845F9">
        <w:rPr>
          <w:color w:val="000000" w:themeColor="text1"/>
        </w:rPr>
        <w:t xml:space="preserve"> 22 would not contain a right to explanation, a purposive approach and a correct </w:t>
      </w:r>
      <w:r w:rsidR="007925E4" w:rsidRPr="00D845F9">
        <w:rPr>
          <w:color w:val="000000" w:themeColor="text1"/>
        </w:rPr>
        <w:t>valor</w:t>
      </w:r>
      <w:r w:rsidR="004F4403" w:rsidRPr="00D845F9">
        <w:rPr>
          <w:color w:val="000000" w:themeColor="text1"/>
        </w:rPr>
        <w:t>isation</w:t>
      </w:r>
      <w:r w:rsidR="00BE6856" w:rsidRPr="00D845F9">
        <w:rPr>
          <w:color w:val="000000" w:themeColor="text1"/>
        </w:rPr>
        <w:t xml:space="preserve"> of the role of recitals make it clear</w:t>
      </w:r>
      <w:r w:rsidR="00260D65" w:rsidRPr="00D845F9">
        <w:rPr>
          <w:color w:val="000000" w:themeColor="text1"/>
        </w:rPr>
        <w:t xml:space="preserve"> that data subjects are entitled</w:t>
      </w:r>
      <w:r w:rsidR="00BE6856" w:rsidRPr="00D845F9">
        <w:rPr>
          <w:color w:val="000000" w:themeColor="text1"/>
        </w:rPr>
        <w:t xml:space="preserve"> to such a right.</w:t>
      </w:r>
      <w:r w:rsidR="00D0799A" w:rsidRPr="00D845F9">
        <w:rPr>
          <w:color w:val="000000" w:themeColor="text1"/>
        </w:rPr>
        <w:t xml:space="preserve"> </w:t>
      </w:r>
      <w:r w:rsidR="00DA6BDD">
        <w:rPr>
          <w:color w:val="000000" w:themeColor="text1"/>
        </w:rPr>
        <w:t>In addition, the data controller is expressly required to provide “c</w:t>
      </w:r>
      <w:r w:rsidR="00DA6BDD" w:rsidRPr="00DA6BDD">
        <w:rPr>
          <w:color w:val="000000" w:themeColor="text1"/>
        </w:rPr>
        <w:t>oncise, transparent, intelligible and easily accessible form, using clear and plain language.”</w:t>
      </w:r>
      <w:r w:rsidR="00DA6BDD">
        <w:rPr>
          <w:rStyle w:val="FootnoteReference"/>
          <w:color w:val="000000" w:themeColor="text1"/>
        </w:rPr>
        <w:footnoteReference w:id="244"/>
      </w:r>
    </w:p>
    <w:p w14:paraId="7C200927" w14:textId="0870D817" w:rsidR="00DA6BDD" w:rsidRDefault="00DA6BDD" w:rsidP="00D845F9">
      <w:pPr>
        <w:pStyle w:val="ListParagraph"/>
        <w:contextualSpacing w:val="0"/>
        <w:jc w:val="both"/>
        <w:rPr>
          <w:color w:val="000000" w:themeColor="text1"/>
        </w:rPr>
      </w:pPr>
    </w:p>
    <w:p w14:paraId="53000519" w14:textId="50CC56A2" w:rsidR="00313FBF" w:rsidRDefault="00313FBF" w:rsidP="00313FBF">
      <w:pPr>
        <w:pStyle w:val="ListParagraph"/>
        <w:contextualSpacing w:val="0"/>
        <w:jc w:val="both"/>
        <w:rPr>
          <w:color w:val="000000" w:themeColor="text1"/>
        </w:rPr>
      </w:pPr>
      <w:r w:rsidRPr="0028123C">
        <w:rPr>
          <w:color w:val="000000" w:themeColor="text1"/>
        </w:rPr>
        <w:t>Lastly and commendably, the GDPR details the timescale and procedure to provide information.</w:t>
      </w:r>
      <w:r w:rsidR="000E4B33">
        <w:rPr>
          <w:rStyle w:val="FootnoteReference"/>
          <w:color w:val="000000" w:themeColor="text1"/>
        </w:rPr>
        <w:footnoteReference w:id="245"/>
      </w:r>
      <w:r w:rsidRPr="0028123C">
        <w:rPr>
          <w:color w:val="000000" w:themeColor="text1"/>
        </w:rPr>
        <w:t xml:space="preserve"> </w:t>
      </w:r>
      <w:r w:rsidR="001F3499">
        <w:rPr>
          <w:color w:val="000000" w:themeColor="text1"/>
        </w:rPr>
        <w:t xml:space="preserve">In particular, the information should be provided </w:t>
      </w:r>
      <w:r w:rsidRPr="0028123C">
        <w:rPr>
          <w:color w:val="000000" w:themeColor="text1"/>
        </w:rPr>
        <w:t>without undue delay and in any event</w:t>
      </w:r>
      <w:r w:rsidR="001F3499">
        <w:rPr>
          <w:rStyle w:val="FootnoteReference"/>
          <w:color w:val="000000" w:themeColor="text1"/>
        </w:rPr>
        <w:footnoteReference w:id="246"/>
      </w:r>
      <w:r w:rsidRPr="0028123C">
        <w:rPr>
          <w:color w:val="000000" w:themeColor="text1"/>
        </w:rPr>
        <w:t xml:space="preserve"> within one month of receipt of the request. </w:t>
      </w:r>
      <w:r w:rsidR="001F3499">
        <w:rPr>
          <w:color w:val="000000" w:themeColor="text1"/>
        </w:rPr>
        <w:t>The information must be in electronic form to reflect the form of the request, unless the data subject requests otherwise.</w:t>
      </w:r>
    </w:p>
    <w:p w14:paraId="271C950B" w14:textId="0E8E8351" w:rsidR="001F3499" w:rsidRDefault="001F3499" w:rsidP="00313FBF">
      <w:pPr>
        <w:pStyle w:val="ListParagraph"/>
        <w:contextualSpacing w:val="0"/>
        <w:jc w:val="both"/>
        <w:rPr>
          <w:color w:val="000000" w:themeColor="text1"/>
        </w:rPr>
      </w:pPr>
    </w:p>
    <w:p w14:paraId="7C8CE2F9" w14:textId="671162B0" w:rsidR="00313FBF" w:rsidRPr="001F3499" w:rsidRDefault="001F3499" w:rsidP="001F3499">
      <w:pPr>
        <w:pStyle w:val="ListParagraph"/>
        <w:contextualSpacing w:val="0"/>
        <w:jc w:val="both"/>
        <w:rPr>
          <w:color w:val="000000" w:themeColor="text1"/>
        </w:rPr>
      </w:pPr>
      <w:r w:rsidRPr="00D845F9">
        <w:rPr>
          <w:rStyle w:val="apple-converted-space"/>
          <w:color w:val="000000" w:themeColor="text1"/>
        </w:rPr>
        <w:t>Obviously, the problems with the technical and legal black boxes remain</w:t>
      </w:r>
      <w:r>
        <w:rPr>
          <w:rStyle w:val="apple-converted-space"/>
          <w:color w:val="000000" w:themeColor="text1"/>
        </w:rPr>
        <w:t>, no matter how broad is the interpretation given to the transparency obligations</w:t>
      </w:r>
      <w:r w:rsidRPr="00D845F9">
        <w:rPr>
          <w:rStyle w:val="apple-converted-space"/>
          <w:color w:val="000000" w:themeColor="text1"/>
        </w:rPr>
        <w:t>. Therefore, the transparency obligations may not be fully effective “</w:t>
      </w:r>
      <w:r w:rsidRPr="00D845F9">
        <w:rPr>
          <w:color w:val="000000" w:themeColor="text1"/>
        </w:rPr>
        <w:t>in cases where a machine learning process involves multiple data sources, dynamic development, and elements that are opaque, whether for technological or proprietary reasons.”</w:t>
      </w:r>
      <w:r w:rsidRPr="00D845F9">
        <w:rPr>
          <w:rStyle w:val="FootnoteReference"/>
          <w:color w:val="000000" w:themeColor="text1"/>
        </w:rPr>
        <w:footnoteReference w:id="247"/>
      </w:r>
    </w:p>
    <w:p w14:paraId="06E3D06E" w14:textId="6CBFC8CD" w:rsidR="0062362F" w:rsidRDefault="0062362F" w:rsidP="00D845F9">
      <w:pPr>
        <w:pStyle w:val="ListParagraph"/>
        <w:contextualSpacing w:val="0"/>
        <w:jc w:val="both"/>
        <w:rPr>
          <w:color w:val="000000" w:themeColor="text1"/>
        </w:rPr>
      </w:pPr>
    </w:p>
    <w:p w14:paraId="25A94039" w14:textId="4BC2D1C1" w:rsidR="0062362F" w:rsidRPr="004672E2" w:rsidRDefault="0062362F" w:rsidP="0062362F">
      <w:pPr>
        <w:pStyle w:val="NormalWeb"/>
        <w:ind w:left="720"/>
        <w:rPr>
          <w:rFonts w:ascii="TitilliumMaps29L" w:hAnsi="TitilliumMaps29L"/>
          <w:sz w:val="28"/>
          <w:szCs w:val="28"/>
        </w:rPr>
      </w:pPr>
      <w:r>
        <w:rPr>
          <w:rFonts w:ascii="TitilliumMaps29L" w:hAnsi="TitilliumMaps29L"/>
          <w:sz w:val="28"/>
          <w:szCs w:val="28"/>
        </w:rPr>
        <w:t>D.IV</w:t>
      </w:r>
      <w:r w:rsidRPr="004672E2">
        <w:rPr>
          <w:rFonts w:ascii="TitilliumMaps29L" w:hAnsi="TitilliumMaps29L"/>
          <w:sz w:val="28"/>
          <w:szCs w:val="28"/>
        </w:rPr>
        <w:t>. Algorithmic decisions with sensitive personal data</w:t>
      </w:r>
    </w:p>
    <w:p w14:paraId="69118200" w14:textId="77777777" w:rsidR="0062362F" w:rsidRPr="00D845F9" w:rsidRDefault="0062362F" w:rsidP="0062362F">
      <w:pPr>
        <w:pStyle w:val="ListParagraph"/>
        <w:contextualSpacing w:val="0"/>
        <w:jc w:val="both"/>
        <w:rPr>
          <w:rStyle w:val="apple-converted-space"/>
          <w:color w:val="000000" w:themeColor="text1"/>
          <w:shd w:val="clear" w:color="auto" w:fill="FFFFFF"/>
        </w:rPr>
      </w:pPr>
    </w:p>
    <w:p w14:paraId="14874D32" w14:textId="507810A2" w:rsidR="0062362F" w:rsidRPr="0062362F" w:rsidRDefault="0062362F" w:rsidP="0062362F">
      <w:pPr>
        <w:pStyle w:val="ListParagraph"/>
        <w:contextualSpacing w:val="0"/>
        <w:jc w:val="both"/>
        <w:rPr>
          <w:color w:val="000000" w:themeColor="text1"/>
        </w:rPr>
      </w:pPr>
      <w:r w:rsidRPr="00D845F9">
        <w:rPr>
          <w:rStyle w:val="apple-converted-space"/>
          <w:color w:val="000000" w:themeColor="text1"/>
          <w:shd w:val="clear" w:color="auto" w:fill="FFFFFF"/>
        </w:rPr>
        <w:t>Another positive new provision regards sensitive personal data (e.g. data on health or sexuality). Artificial intelligence increasingly relies on this kind of data. One need only think that deep neural networks have been recently used to infer the sexual orientation of people from their faces.</w:t>
      </w:r>
      <w:r w:rsidRPr="00D845F9">
        <w:rPr>
          <w:rStyle w:val="FootnoteReference"/>
          <w:color w:val="000000" w:themeColor="text1"/>
          <w:shd w:val="clear" w:color="auto" w:fill="FFFFFF"/>
        </w:rPr>
        <w:footnoteReference w:id="248"/>
      </w:r>
      <w:r w:rsidRPr="00D845F9">
        <w:rPr>
          <w:rStyle w:val="apple-converted-space"/>
          <w:color w:val="000000" w:themeColor="text1"/>
          <w:shd w:val="clear" w:color="auto" w:fill="FFFFFF"/>
        </w:rPr>
        <w:t xml:space="preserve"> Indeed, in principle, algorithmic decisions shall not be based on sensitive personal data.</w:t>
      </w:r>
      <w:r w:rsidRPr="00D845F9">
        <w:rPr>
          <w:rStyle w:val="FootnoteReference"/>
          <w:color w:val="000000" w:themeColor="text1"/>
          <w:shd w:val="clear" w:color="auto" w:fill="FFFFFF"/>
        </w:rPr>
        <w:footnoteReference w:id="249"/>
      </w:r>
      <w:r w:rsidRPr="00D845F9">
        <w:rPr>
          <w:rStyle w:val="apple-converted-space"/>
          <w:color w:val="000000" w:themeColor="text1"/>
          <w:shd w:val="clear" w:color="auto" w:fill="FFFFFF"/>
        </w:rPr>
        <w:t xml:space="preserve"> For instance, an employer may not let an algorithm decide whether to fire an employee using health data. However, these data may be used with the data subject’s explicit consent or in the interest of public health, provided that mea</w:t>
      </w:r>
      <w:r w:rsidRPr="00D845F9">
        <w:rPr>
          <w:rStyle w:val="apple-converted-space"/>
          <w:color w:val="000000" w:themeColor="text1"/>
        </w:rPr>
        <w:t>sures to safeguard the data subject's rights, freedoms, and legitimate interests are in place. Even though ideally it would have been preferable not to have another consent-based exception, unlike the homologous exception regarding non-sensitive personal data, here it is provided that EU or national laws can decide that the prohibition to process sensitive data “may not be lifted by the data subject.”</w:t>
      </w:r>
      <w:r w:rsidRPr="00D845F9">
        <w:rPr>
          <w:rStyle w:val="FootnoteReference"/>
          <w:color w:val="000000" w:themeColor="text1"/>
        </w:rPr>
        <w:footnoteReference w:id="250"/>
      </w:r>
    </w:p>
    <w:p w14:paraId="15337999" w14:textId="2C74E2CD" w:rsidR="00CA3773" w:rsidRPr="00CF7056" w:rsidRDefault="00CA3773" w:rsidP="00CF7056">
      <w:pPr>
        <w:jc w:val="both"/>
        <w:rPr>
          <w:color w:val="000000" w:themeColor="text1"/>
        </w:rPr>
      </w:pPr>
    </w:p>
    <w:p w14:paraId="2F1B3E4F" w14:textId="42C52466" w:rsidR="00CA3773" w:rsidRPr="004672E2" w:rsidRDefault="00CF7056" w:rsidP="004672E2">
      <w:pPr>
        <w:pStyle w:val="NormalWeb"/>
        <w:ind w:left="720"/>
        <w:rPr>
          <w:rFonts w:ascii="TitilliumMaps29L" w:hAnsi="TitilliumMaps29L"/>
          <w:sz w:val="28"/>
          <w:szCs w:val="28"/>
        </w:rPr>
      </w:pPr>
      <w:r>
        <w:rPr>
          <w:rFonts w:ascii="TitilliumMaps29L" w:hAnsi="TitilliumMaps29L"/>
          <w:sz w:val="28"/>
          <w:szCs w:val="28"/>
        </w:rPr>
        <w:t>D.V</w:t>
      </w:r>
      <w:r w:rsidR="00CA3773" w:rsidRPr="004672E2">
        <w:rPr>
          <w:rFonts w:ascii="TitilliumMaps29L" w:hAnsi="TitilliumMaps29L"/>
          <w:sz w:val="28"/>
          <w:szCs w:val="28"/>
        </w:rPr>
        <w:t>. Data Protection Impact Assessments for algorithmic decisions</w:t>
      </w:r>
    </w:p>
    <w:p w14:paraId="5465D4CC" w14:textId="77777777" w:rsidR="00CA3773" w:rsidRPr="00D845F9" w:rsidRDefault="00CA3773" w:rsidP="00D845F9">
      <w:pPr>
        <w:pStyle w:val="ListParagraph"/>
        <w:contextualSpacing w:val="0"/>
        <w:jc w:val="both"/>
        <w:rPr>
          <w:color w:val="000000" w:themeColor="text1"/>
        </w:rPr>
      </w:pPr>
    </w:p>
    <w:p w14:paraId="081D42E3" w14:textId="091FE9A3" w:rsidR="00353553" w:rsidRPr="00D845F9" w:rsidRDefault="00353553" w:rsidP="00D845F9">
      <w:pPr>
        <w:pStyle w:val="ListParagraph"/>
        <w:contextualSpacing w:val="0"/>
        <w:jc w:val="both"/>
        <w:rPr>
          <w:color w:val="000000" w:themeColor="text1"/>
          <w:shd w:val="clear" w:color="auto" w:fill="FFFFFF"/>
        </w:rPr>
      </w:pPr>
      <w:r w:rsidRPr="00D845F9">
        <w:rPr>
          <w:rStyle w:val="apple-converted-space"/>
          <w:color w:val="000000" w:themeColor="text1"/>
        </w:rPr>
        <w:t xml:space="preserve">Lastly, one of the main </w:t>
      </w:r>
      <w:r w:rsidR="00F65DA5" w:rsidRPr="00D845F9">
        <w:rPr>
          <w:rStyle w:val="apple-converted-space"/>
          <w:color w:val="000000" w:themeColor="text1"/>
        </w:rPr>
        <w:t>innovations</w:t>
      </w:r>
      <w:r w:rsidRPr="00D845F9">
        <w:rPr>
          <w:rStyle w:val="apple-converted-space"/>
          <w:color w:val="000000" w:themeColor="text1"/>
        </w:rPr>
        <w:t xml:space="preserve"> of the GDPR is the data protection impact assessment</w:t>
      </w:r>
      <w:r w:rsidR="009D177B" w:rsidRPr="00D845F9">
        <w:rPr>
          <w:rStyle w:val="apple-converted-space"/>
          <w:color w:val="000000" w:themeColor="text1"/>
        </w:rPr>
        <w:t xml:space="preserve"> (DPIA)</w:t>
      </w:r>
      <w:r w:rsidRPr="00D845F9">
        <w:rPr>
          <w:rStyle w:val="apple-converted-space"/>
          <w:color w:val="000000" w:themeColor="text1"/>
        </w:rPr>
        <w:t>.</w:t>
      </w:r>
      <w:r w:rsidR="009D177B" w:rsidRPr="00D845F9">
        <w:rPr>
          <w:rStyle w:val="FootnoteReference"/>
          <w:color w:val="000000" w:themeColor="text1"/>
        </w:rPr>
        <w:footnoteReference w:id="251"/>
      </w:r>
      <w:r w:rsidRPr="00D845F9">
        <w:rPr>
          <w:rStyle w:val="apple-converted-space"/>
          <w:color w:val="000000" w:themeColor="text1"/>
        </w:rPr>
        <w:t xml:space="preserve"> </w:t>
      </w:r>
      <w:r w:rsidR="00D0799A" w:rsidRPr="00D845F9">
        <w:rPr>
          <w:color w:val="000000" w:themeColor="text1"/>
          <w:shd w:val="clear" w:color="auto" w:fill="FFFFFF"/>
        </w:rPr>
        <w:t>These impact assessments are tools for organ</w:t>
      </w:r>
      <w:r w:rsidR="004F4403" w:rsidRPr="00D845F9">
        <w:rPr>
          <w:color w:val="000000" w:themeColor="text1"/>
          <w:shd w:val="clear" w:color="auto" w:fill="FFFFFF"/>
        </w:rPr>
        <w:t>isation</w:t>
      </w:r>
      <w:r w:rsidR="00D0799A" w:rsidRPr="00D845F9">
        <w:rPr>
          <w:color w:val="000000" w:themeColor="text1"/>
          <w:shd w:val="clear" w:color="auto" w:fill="FFFFFF"/>
        </w:rPr>
        <w:t>s to manage data protection hazards, a form of a form of ‘meta-regulation’ whereby “state efforts to make corporations responsible and accountable for their own efforts to self-regulate.”</w:t>
      </w:r>
      <w:r w:rsidR="00D0799A" w:rsidRPr="00D845F9">
        <w:rPr>
          <w:rStyle w:val="FootnoteReference"/>
          <w:color w:val="000000" w:themeColor="text1"/>
          <w:shd w:val="clear" w:color="auto" w:fill="FFFFFF"/>
        </w:rPr>
        <w:footnoteReference w:id="252"/>
      </w:r>
      <w:r w:rsidR="00D0799A" w:rsidRPr="00D845F9">
        <w:rPr>
          <w:color w:val="000000" w:themeColor="text1"/>
          <w:shd w:val="clear" w:color="auto" w:fill="FFFFFF"/>
        </w:rPr>
        <w:t xml:space="preserve"> </w:t>
      </w:r>
      <w:r w:rsidR="009D177B" w:rsidRPr="00D845F9">
        <w:rPr>
          <w:color w:val="000000" w:themeColor="text1"/>
          <w:shd w:val="clear" w:color="auto" w:fill="FFFFFF"/>
        </w:rPr>
        <w:t>In this field, DPIAs are</w:t>
      </w:r>
      <w:r w:rsidR="009D177B" w:rsidRPr="00D845F9">
        <w:rPr>
          <w:color w:val="000000" w:themeColor="text1"/>
        </w:rPr>
        <w:t xml:space="preserve"> “a way of showing that suitable measures have been put in place to address those risks (associated to algorithmic decision-making) and demonstrate compliance with the GDPR.”</w:t>
      </w:r>
      <w:r w:rsidR="009D177B" w:rsidRPr="00D845F9">
        <w:rPr>
          <w:rStyle w:val="FootnoteReference"/>
          <w:color w:val="000000" w:themeColor="text1"/>
        </w:rPr>
        <w:footnoteReference w:id="253"/>
      </w:r>
      <w:r w:rsidR="009D177B" w:rsidRPr="00D845F9">
        <w:rPr>
          <w:color w:val="000000" w:themeColor="text1"/>
        </w:rPr>
        <w:t xml:space="preserve"> </w:t>
      </w:r>
      <w:r w:rsidRPr="00D845F9">
        <w:rPr>
          <w:rStyle w:val="apple-converted-space"/>
          <w:color w:val="000000" w:themeColor="text1"/>
        </w:rPr>
        <w:t xml:space="preserve">It is commendable that </w:t>
      </w:r>
      <w:r w:rsidR="009D177B" w:rsidRPr="00D845F9">
        <w:rPr>
          <w:rStyle w:val="apple-converted-space"/>
          <w:color w:val="000000" w:themeColor="text1"/>
        </w:rPr>
        <w:t>DPIAs are</w:t>
      </w:r>
      <w:r w:rsidRPr="00D845F9">
        <w:rPr>
          <w:rStyle w:val="apple-converted-space"/>
          <w:color w:val="000000" w:themeColor="text1"/>
        </w:rPr>
        <w:t xml:space="preserve"> mandatory when </w:t>
      </w:r>
      <w:r w:rsidRPr="00D845F9">
        <w:rPr>
          <w:color w:val="000000" w:themeColor="text1"/>
          <w:shd w:val="clear" w:color="auto" w:fill="FFFFFF"/>
        </w:rPr>
        <w:t xml:space="preserve">a systematic and extensive evaluation of personal aspects is based on automated processing, and on which decisions are based that produce legal effects or similarly significantly affect </w:t>
      </w:r>
      <w:r w:rsidR="009D177B" w:rsidRPr="00D845F9">
        <w:rPr>
          <w:color w:val="000000" w:themeColor="text1"/>
          <w:shd w:val="clear" w:color="auto" w:fill="FFFFFF"/>
        </w:rPr>
        <w:t>a</w:t>
      </w:r>
      <w:r w:rsidRPr="00D845F9">
        <w:rPr>
          <w:color w:val="000000" w:themeColor="text1"/>
          <w:shd w:val="clear" w:color="auto" w:fill="FFFFFF"/>
        </w:rPr>
        <w:t xml:space="preserve"> natural person</w:t>
      </w:r>
      <w:r w:rsidR="00146EED" w:rsidRPr="00D845F9">
        <w:rPr>
          <w:color w:val="000000" w:themeColor="text1"/>
          <w:shd w:val="clear" w:color="auto" w:fill="FFFFFF"/>
        </w:rPr>
        <w:t>.</w:t>
      </w:r>
      <w:r w:rsidRPr="00D845F9">
        <w:rPr>
          <w:rStyle w:val="FootnoteReference"/>
          <w:color w:val="000000" w:themeColor="text1"/>
          <w:shd w:val="clear" w:color="auto" w:fill="FFFFFF"/>
        </w:rPr>
        <w:footnoteReference w:id="254"/>
      </w:r>
      <w:r w:rsidRPr="00D845F9">
        <w:rPr>
          <w:color w:val="000000" w:themeColor="text1"/>
          <w:shd w:val="clear" w:color="auto" w:fill="FFFFFF"/>
        </w:rPr>
        <w:t xml:space="preserve"> </w:t>
      </w:r>
      <w:r w:rsidR="009D177B" w:rsidRPr="00D845F9">
        <w:rPr>
          <w:color w:val="000000" w:themeColor="text1"/>
        </w:rPr>
        <w:t>Commendably, DPIAs are required both when the decision is wholly automated and when there is human intervention, not only when it is solely based automated on automated processing.</w:t>
      </w:r>
      <w:r w:rsidR="009D177B" w:rsidRPr="00D845F9">
        <w:rPr>
          <w:rStyle w:val="FootnoteReference"/>
          <w:color w:val="000000" w:themeColor="text1"/>
        </w:rPr>
        <w:footnoteReference w:id="255"/>
      </w:r>
    </w:p>
    <w:p w14:paraId="20A1A0C0" w14:textId="45D68330" w:rsidR="009C0522" w:rsidRPr="00D845F9" w:rsidRDefault="009C0522" w:rsidP="00D845F9">
      <w:pPr>
        <w:jc w:val="both"/>
        <w:rPr>
          <w:rStyle w:val="apple-converted-space"/>
          <w:color w:val="000000" w:themeColor="text1"/>
        </w:rPr>
      </w:pPr>
    </w:p>
    <w:p w14:paraId="6704EAC8" w14:textId="743B7318" w:rsidR="002E235B" w:rsidRPr="004672E2" w:rsidRDefault="00CF7056" w:rsidP="004672E2">
      <w:pPr>
        <w:pStyle w:val="NormalWeb"/>
        <w:ind w:left="720"/>
        <w:rPr>
          <w:rFonts w:ascii="TitilliumMaps29L" w:hAnsi="TitilliumMaps29L"/>
          <w:sz w:val="28"/>
          <w:szCs w:val="28"/>
        </w:rPr>
      </w:pPr>
      <w:r>
        <w:rPr>
          <w:rFonts w:ascii="TitilliumMaps29L" w:hAnsi="TitilliumMaps29L"/>
          <w:sz w:val="28"/>
          <w:szCs w:val="28"/>
        </w:rPr>
        <w:t>D.VI</w:t>
      </w:r>
      <w:r w:rsidR="002E235B" w:rsidRPr="004672E2">
        <w:rPr>
          <w:rFonts w:ascii="TitilliumMaps29L" w:hAnsi="TitilliumMaps29L"/>
          <w:sz w:val="28"/>
          <w:szCs w:val="28"/>
        </w:rPr>
        <w:t>. Can children be subject to algorithmic decisions?</w:t>
      </w:r>
    </w:p>
    <w:p w14:paraId="7254B151" w14:textId="77777777" w:rsidR="002E235B" w:rsidRPr="00D845F9" w:rsidRDefault="002E235B" w:rsidP="00D845F9">
      <w:pPr>
        <w:pStyle w:val="ListParagraph"/>
        <w:contextualSpacing w:val="0"/>
        <w:jc w:val="both"/>
        <w:rPr>
          <w:color w:val="000000" w:themeColor="text1"/>
        </w:rPr>
      </w:pPr>
    </w:p>
    <w:p w14:paraId="5E4D36A2" w14:textId="77777777" w:rsidR="002E235B" w:rsidRPr="00D845F9" w:rsidRDefault="002E235B" w:rsidP="00D845F9">
      <w:pPr>
        <w:pStyle w:val="ListParagraph"/>
        <w:contextualSpacing w:val="0"/>
        <w:jc w:val="both"/>
        <w:rPr>
          <w:color w:val="000000" w:themeColor="text1"/>
          <w:shd w:val="clear" w:color="auto" w:fill="FFFFFF"/>
        </w:rPr>
      </w:pPr>
      <w:r w:rsidRPr="00D845F9">
        <w:rPr>
          <w:color w:val="000000" w:themeColor="text1"/>
        </w:rPr>
        <w:t xml:space="preserve">An example of </w:t>
      </w:r>
      <w:r w:rsidR="00C06427" w:rsidRPr="00D845F9">
        <w:rPr>
          <w:color w:val="000000" w:themeColor="text1"/>
        </w:rPr>
        <w:t>poor drafting regards the algorithmic decision-making</w:t>
      </w:r>
      <w:r w:rsidR="005C11DB" w:rsidRPr="00D845F9">
        <w:rPr>
          <w:color w:val="000000" w:themeColor="text1"/>
        </w:rPr>
        <w:t xml:space="preserve"> </w:t>
      </w:r>
      <w:r w:rsidRPr="00D845F9">
        <w:rPr>
          <w:color w:val="000000" w:themeColor="text1"/>
        </w:rPr>
        <w:t>concerning</w:t>
      </w:r>
      <w:r w:rsidR="00C06427" w:rsidRPr="00D845F9">
        <w:rPr>
          <w:color w:val="000000" w:themeColor="text1"/>
        </w:rPr>
        <w:t xml:space="preserve"> children</w:t>
      </w:r>
      <w:r w:rsidR="005C11DB" w:rsidRPr="00D845F9">
        <w:rPr>
          <w:color w:val="000000" w:themeColor="text1"/>
        </w:rPr>
        <w:t>.</w:t>
      </w:r>
      <w:r w:rsidR="00E26641" w:rsidRPr="00D845F9">
        <w:rPr>
          <w:color w:val="000000" w:themeColor="text1"/>
        </w:rPr>
        <w:t xml:space="preserve"> </w:t>
      </w:r>
      <w:r w:rsidR="005C11DB" w:rsidRPr="00D845F9">
        <w:rPr>
          <w:color w:val="000000" w:themeColor="text1"/>
        </w:rPr>
        <w:t>Hidden</w:t>
      </w:r>
      <w:r w:rsidR="00C06427" w:rsidRPr="00D845F9">
        <w:rPr>
          <w:color w:val="000000" w:themeColor="text1"/>
        </w:rPr>
        <w:t xml:space="preserve"> in a long recital, one finds the obscure sentence “</w:t>
      </w:r>
      <w:r w:rsidR="00C06427" w:rsidRPr="00D845F9">
        <w:rPr>
          <w:color w:val="000000" w:themeColor="text1"/>
          <w:shd w:val="clear" w:color="auto" w:fill="FFFFFF"/>
        </w:rPr>
        <w:t>[s]uch measure should not concern a child</w:t>
      </w:r>
      <w:r w:rsidR="00146EED" w:rsidRPr="00D845F9">
        <w:rPr>
          <w:color w:val="000000" w:themeColor="text1"/>
          <w:shd w:val="clear" w:color="auto" w:fill="FFFFFF"/>
        </w:rPr>
        <w:t>.</w:t>
      </w:r>
      <w:r w:rsidR="00C06427" w:rsidRPr="00D845F9">
        <w:rPr>
          <w:color w:val="000000" w:themeColor="text1"/>
          <w:shd w:val="clear" w:color="auto" w:fill="FFFFFF"/>
        </w:rPr>
        <w:t>”</w:t>
      </w:r>
      <w:r w:rsidR="00C06427" w:rsidRPr="00D845F9">
        <w:rPr>
          <w:rStyle w:val="FootnoteReference"/>
          <w:color w:val="000000" w:themeColor="text1"/>
          <w:shd w:val="clear" w:color="auto" w:fill="FFFFFF"/>
        </w:rPr>
        <w:footnoteReference w:id="256"/>
      </w:r>
      <w:r w:rsidR="00C06427" w:rsidRPr="00D845F9">
        <w:rPr>
          <w:color w:val="000000" w:themeColor="text1"/>
          <w:shd w:val="clear" w:color="auto" w:fill="FFFFFF"/>
        </w:rPr>
        <w:t xml:space="preserve"> </w:t>
      </w:r>
    </w:p>
    <w:p w14:paraId="51F805EB" w14:textId="77777777" w:rsidR="002E235B" w:rsidRPr="00D845F9" w:rsidRDefault="00C06427" w:rsidP="00D845F9">
      <w:pPr>
        <w:pStyle w:val="ListParagraph"/>
        <w:contextualSpacing w:val="0"/>
        <w:jc w:val="both"/>
        <w:rPr>
          <w:color w:val="000000" w:themeColor="text1"/>
          <w:shd w:val="clear" w:color="auto" w:fill="FFFFFF"/>
        </w:rPr>
      </w:pPr>
      <w:r w:rsidRPr="00D845F9">
        <w:rPr>
          <w:color w:val="000000" w:themeColor="text1"/>
          <w:shd w:val="clear" w:color="auto" w:fill="FFFFFF"/>
        </w:rPr>
        <w:t xml:space="preserve">Naturally, one would think that children cannot be subject to algorithmic decisions. However, the sentence follows the one </w:t>
      </w:r>
      <w:r w:rsidR="008E6E26" w:rsidRPr="00D845F9">
        <w:rPr>
          <w:color w:val="000000" w:themeColor="text1"/>
          <w:shd w:val="clear" w:color="auto" w:fill="FFFFFF"/>
        </w:rPr>
        <w:t>that regards</w:t>
      </w:r>
      <w:r w:rsidRPr="00D845F9">
        <w:rPr>
          <w:color w:val="000000" w:themeColor="text1"/>
          <w:shd w:val="clear" w:color="auto" w:fill="FFFFFF"/>
        </w:rPr>
        <w:t xml:space="preserve"> the measures to safeguard the data subject’s rights, freedoms, and legitimate interests. Therefore, it may be interpreted as meaning that these safeguarding measures d</w:t>
      </w:r>
      <w:r w:rsidR="003B6000" w:rsidRPr="00D845F9">
        <w:rPr>
          <w:color w:val="000000" w:themeColor="text1"/>
          <w:shd w:val="clear" w:color="auto" w:fill="FFFFFF"/>
        </w:rPr>
        <w:t>o not apply to children, who could</w:t>
      </w:r>
      <w:r w:rsidRPr="00D845F9">
        <w:rPr>
          <w:color w:val="000000" w:themeColor="text1"/>
          <w:shd w:val="clear" w:color="auto" w:fill="FFFFFF"/>
        </w:rPr>
        <w:t xml:space="preserve"> </w:t>
      </w:r>
      <w:r w:rsidR="00C21534" w:rsidRPr="00D845F9">
        <w:rPr>
          <w:color w:val="000000" w:themeColor="text1"/>
          <w:shd w:val="clear" w:color="auto" w:fill="FFFFFF"/>
        </w:rPr>
        <w:t>nonetheless</w:t>
      </w:r>
      <w:r w:rsidRPr="00D845F9">
        <w:rPr>
          <w:color w:val="000000" w:themeColor="text1"/>
          <w:shd w:val="clear" w:color="auto" w:fill="FFFFFF"/>
        </w:rPr>
        <w:t xml:space="preserve"> </w:t>
      </w:r>
      <w:r w:rsidR="003B6000" w:rsidRPr="00D845F9">
        <w:rPr>
          <w:color w:val="000000" w:themeColor="text1"/>
          <w:shd w:val="clear" w:color="auto" w:fill="FFFFFF"/>
        </w:rPr>
        <w:t xml:space="preserve">be </w:t>
      </w:r>
      <w:r w:rsidRPr="00D845F9">
        <w:rPr>
          <w:color w:val="000000" w:themeColor="text1"/>
          <w:shd w:val="clear" w:color="auto" w:fill="FFFFFF"/>
        </w:rPr>
        <w:t>subject to algorithmic decisions. This is obviously against the purpose of the GDPR, which provides an advanced protection to children.</w:t>
      </w:r>
      <w:r w:rsidR="00C21534" w:rsidRPr="00D845F9">
        <w:rPr>
          <w:color w:val="000000" w:themeColor="text1"/>
          <w:shd w:val="clear" w:color="auto" w:fill="FFFFFF"/>
        </w:rPr>
        <w:t xml:space="preserve"> The doctrine of </w:t>
      </w:r>
      <w:r w:rsidR="00C21534" w:rsidRPr="00D845F9">
        <w:rPr>
          <w:i/>
          <w:color w:val="000000" w:themeColor="text1"/>
          <w:shd w:val="clear" w:color="auto" w:fill="FFFFFF"/>
        </w:rPr>
        <w:t>noscitur a sociis</w:t>
      </w:r>
      <w:r w:rsidR="00C21534" w:rsidRPr="00D845F9">
        <w:rPr>
          <w:color w:val="000000" w:themeColor="text1"/>
          <w:shd w:val="clear" w:color="auto" w:fill="FFFFFF"/>
        </w:rPr>
        <w:t xml:space="preserve"> would lead to absurd consequences; there</w:t>
      </w:r>
      <w:r w:rsidR="005C11DB" w:rsidRPr="00D845F9">
        <w:rPr>
          <w:color w:val="000000" w:themeColor="text1"/>
          <w:shd w:val="clear" w:color="auto" w:fill="FFFFFF"/>
        </w:rPr>
        <w:t>fore, a purposive approach should</w:t>
      </w:r>
      <w:r w:rsidR="00C21534" w:rsidRPr="00D845F9">
        <w:rPr>
          <w:color w:val="000000" w:themeColor="text1"/>
          <w:shd w:val="clear" w:color="auto" w:fill="FFFFFF"/>
        </w:rPr>
        <w:t xml:space="preserve"> prevail.</w:t>
      </w:r>
      <w:r w:rsidR="0022047B" w:rsidRPr="00D845F9">
        <w:rPr>
          <w:color w:val="000000" w:themeColor="text1"/>
          <w:shd w:val="clear" w:color="auto" w:fill="FFFFFF"/>
        </w:rPr>
        <w:t xml:space="preserve"> Therefore, children shall</w:t>
      </w:r>
      <w:r w:rsidR="005C11DB" w:rsidRPr="00D845F9">
        <w:rPr>
          <w:color w:val="000000" w:themeColor="text1"/>
          <w:shd w:val="clear" w:color="auto" w:fill="FFFFFF"/>
        </w:rPr>
        <w:t xml:space="preserve"> never be subject to algorithmic decision-making.</w:t>
      </w:r>
      <w:r w:rsidR="003B6000" w:rsidRPr="00D845F9">
        <w:rPr>
          <w:color w:val="000000" w:themeColor="text1"/>
          <w:shd w:val="clear" w:color="auto" w:fill="FFFFFF"/>
        </w:rPr>
        <w:t xml:space="preserve"> </w:t>
      </w:r>
    </w:p>
    <w:p w14:paraId="77700635" w14:textId="3307E283" w:rsidR="00C06427" w:rsidRPr="00D845F9" w:rsidRDefault="003B6000" w:rsidP="00D845F9">
      <w:pPr>
        <w:pStyle w:val="ListParagraph"/>
        <w:contextualSpacing w:val="0"/>
        <w:jc w:val="both"/>
        <w:rPr>
          <w:color w:val="000000" w:themeColor="text1"/>
        </w:rPr>
      </w:pPr>
      <w:r w:rsidRPr="00D845F9">
        <w:rPr>
          <w:color w:val="000000" w:themeColor="text1"/>
          <w:shd w:val="clear" w:color="auto" w:fill="FFFFFF"/>
        </w:rPr>
        <w:t>Regrettably, the Article 29 Working Party does not see this provision as an absolute prohibition, since the wording of the recital is not reflected in art 22. However, they recommend</w:t>
      </w:r>
      <w:r w:rsidRPr="00D845F9">
        <w:rPr>
          <w:color w:val="000000" w:themeColor="text1"/>
        </w:rPr>
        <w:t xml:space="preserve"> that “wherever possible, controllers should not rely upon the exceptions in </w:t>
      </w:r>
      <w:r w:rsidR="0063457E" w:rsidRPr="00D845F9">
        <w:rPr>
          <w:color w:val="000000" w:themeColor="text1"/>
        </w:rPr>
        <w:t>art</w:t>
      </w:r>
      <w:r w:rsidRPr="00D845F9">
        <w:rPr>
          <w:color w:val="000000" w:themeColor="text1"/>
        </w:rPr>
        <w:t xml:space="preserve"> 22(2) to justify”</w:t>
      </w:r>
      <w:r w:rsidRPr="00D845F9">
        <w:rPr>
          <w:rStyle w:val="FootnoteReference"/>
          <w:color w:val="000000" w:themeColor="text1"/>
        </w:rPr>
        <w:footnoteReference w:id="257"/>
      </w:r>
      <w:r w:rsidRPr="00D845F9">
        <w:rPr>
          <w:color w:val="000000" w:themeColor="text1"/>
        </w:rPr>
        <w:t xml:space="preserve"> algorithmic decision-making affecting children. Nonetheless, such decisions may be necessary for instance to protect the children’s welfare, in which case data controllers may resort to the exceptions. Positively, in turn, it is suggested that ‘legal effect’ and ‘similarly significant effect’ be interpreted broadly, because “solely automated decision making which influences a child’s choices and behaviour could potentially have a legal or similarly significant effect on them, depending upon the nature of the choices and behaviours in question.”</w:t>
      </w:r>
      <w:r w:rsidRPr="00D845F9">
        <w:rPr>
          <w:rStyle w:val="FootnoteReference"/>
          <w:color w:val="000000" w:themeColor="text1"/>
        </w:rPr>
        <w:footnoteReference w:id="258"/>
      </w:r>
      <w:r w:rsidR="009D177B" w:rsidRPr="00D845F9">
        <w:rPr>
          <w:color w:val="000000" w:themeColor="text1"/>
        </w:rPr>
        <w:t xml:space="preserve"> Similarly, organisations must </w:t>
      </w:r>
      <w:r w:rsidR="005A6D6B" w:rsidRPr="00D845F9">
        <w:rPr>
          <w:color w:val="000000" w:themeColor="text1"/>
        </w:rPr>
        <w:t>put in place safeguards tailor to the specific needs and features of the child.</w:t>
      </w:r>
      <w:r w:rsidR="005A6D6B" w:rsidRPr="00D845F9">
        <w:rPr>
          <w:rStyle w:val="FootnoteReference"/>
          <w:color w:val="000000" w:themeColor="text1"/>
        </w:rPr>
        <w:footnoteReference w:id="259"/>
      </w:r>
    </w:p>
    <w:p w14:paraId="508982C5" w14:textId="466AAED6" w:rsidR="002E235B" w:rsidRPr="00D845F9" w:rsidRDefault="002E235B" w:rsidP="00D845F9">
      <w:pPr>
        <w:pStyle w:val="ListParagraph"/>
        <w:contextualSpacing w:val="0"/>
        <w:jc w:val="both"/>
        <w:rPr>
          <w:color w:val="000000" w:themeColor="text1"/>
        </w:rPr>
      </w:pPr>
    </w:p>
    <w:p w14:paraId="05C21778" w14:textId="5B22097B" w:rsidR="002E235B" w:rsidRPr="004672E2" w:rsidRDefault="00CF7056" w:rsidP="004672E2">
      <w:pPr>
        <w:pStyle w:val="NormalWeb"/>
        <w:ind w:left="720"/>
        <w:rPr>
          <w:rFonts w:ascii="TitilliumMaps29L" w:hAnsi="TitilliumMaps29L"/>
          <w:sz w:val="28"/>
          <w:szCs w:val="28"/>
        </w:rPr>
      </w:pPr>
      <w:r>
        <w:rPr>
          <w:rFonts w:ascii="TitilliumMaps29L" w:hAnsi="TitilliumMaps29L"/>
          <w:sz w:val="28"/>
          <w:szCs w:val="28"/>
        </w:rPr>
        <w:t>D.VII</w:t>
      </w:r>
      <w:r w:rsidR="002E235B" w:rsidRPr="004672E2">
        <w:rPr>
          <w:rFonts w:ascii="TitilliumMaps29L" w:hAnsi="TitilliumMaps29L"/>
          <w:sz w:val="28"/>
          <w:szCs w:val="28"/>
        </w:rPr>
        <w:t xml:space="preserve">. Collective algorithmic decisions </w:t>
      </w:r>
    </w:p>
    <w:p w14:paraId="56FD70F1" w14:textId="77777777" w:rsidR="002E235B" w:rsidRPr="00D845F9" w:rsidRDefault="002E235B" w:rsidP="00D845F9">
      <w:pPr>
        <w:pStyle w:val="ListParagraph"/>
        <w:contextualSpacing w:val="0"/>
        <w:jc w:val="both"/>
        <w:rPr>
          <w:color w:val="000000" w:themeColor="text1"/>
          <w:shd w:val="clear" w:color="auto" w:fill="FFFFFF"/>
        </w:rPr>
      </w:pPr>
    </w:p>
    <w:p w14:paraId="02026758" w14:textId="36FDEC60" w:rsidR="006E38EB" w:rsidRDefault="006E38EB" w:rsidP="00D845F9">
      <w:pPr>
        <w:pStyle w:val="ListParagraph"/>
        <w:contextualSpacing w:val="0"/>
        <w:jc w:val="both"/>
        <w:rPr>
          <w:color w:val="000000" w:themeColor="text1"/>
        </w:rPr>
      </w:pPr>
      <w:r w:rsidRPr="00D845F9">
        <w:rPr>
          <w:color w:val="000000" w:themeColor="text1"/>
        </w:rPr>
        <w:t>It is unclear, then, what happens to collective algorithmic decisions</w:t>
      </w:r>
      <w:r w:rsidR="007058EF" w:rsidRPr="00D845F9">
        <w:rPr>
          <w:color w:val="000000" w:themeColor="text1"/>
        </w:rPr>
        <w:t xml:space="preserve"> (e.g. </w:t>
      </w:r>
      <w:r w:rsidR="00B75451" w:rsidRPr="00D845F9">
        <w:rPr>
          <w:color w:val="000000" w:themeColor="text1"/>
        </w:rPr>
        <w:t xml:space="preserve">be charging a higher rate of car insurance to the </w:t>
      </w:r>
      <w:r w:rsidR="007058EF" w:rsidRPr="00D845F9">
        <w:rPr>
          <w:color w:val="000000" w:themeColor="text1"/>
        </w:rPr>
        <w:t>citizens associated to a postcode)</w:t>
      </w:r>
      <w:r w:rsidRPr="00D845F9">
        <w:rPr>
          <w:color w:val="000000" w:themeColor="text1"/>
        </w:rPr>
        <w:t>. Indeed, i</w:t>
      </w:r>
      <w:r w:rsidR="007058EF" w:rsidRPr="00D845F9">
        <w:rPr>
          <w:color w:val="000000" w:themeColor="text1"/>
        </w:rPr>
        <w:t>t has been submitted that since</w:t>
      </w:r>
      <w:r w:rsidRPr="00D845F9">
        <w:rPr>
          <w:color w:val="000000" w:themeColor="text1"/>
        </w:rPr>
        <w:t>, “the question arises of whether data subjects are protected against decisions that have significant effects on them but are based on group profiling</w:t>
      </w:r>
      <w:r w:rsidR="00146EED" w:rsidRPr="00D845F9">
        <w:rPr>
          <w:color w:val="000000" w:themeColor="text1"/>
        </w:rPr>
        <w:t>.</w:t>
      </w:r>
      <w:r w:rsidRPr="00D845F9">
        <w:rPr>
          <w:color w:val="000000" w:themeColor="text1"/>
        </w:rPr>
        <w:t>”</w:t>
      </w:r>
      <w:r w:rsidRPr="00D845F9">
        <w:rPr>
          <w:rStyle w:val="FootnoteReference"/>
          <w:color w:val="000000" w:themeColor="text1"/>
        </w:rPr>
        <w:footnoteReference w:id="260"/>
      </w:r>
      <w:r w:rsidR="007058EF" w:rsidRPr="00D845F9">
        <w:rPr>
          <w:color w:val="000000" w:themeColor="text1"/>
        </w:rPr>
        <w:t xml:space="preserve"> In general, it should </w:t>
      </w:r>
      <w:r w:rsidR="00BA2C4E" w:rsidRPr="00D845F9">
        <w:rPr>
          <w:color w:val="000000" w:themeColor="text1"/>
        </w:rPr>
        <w:t>be</w:t>
      </w:r>
      <w:r w:rsidR="007058EF" w:rsidRPr="00D845F9">
        <w:rPr>
          <w:color w:val="000000" w:themeColor="text1"/>
        </w:rPr>
        <w:t xml:space="preserve"> welcomed the stress on the shift from individual to collective privacy</w:t>
      </w:r>
      <w:r w:rsidR="00146EED" w:rsidRPr="00D845F9">
        <w:rPr>
          <w:color w:val="000000" w:themeColor="text1"/>
        </w:rPr>
        <w:t>.</w:t>
      </w:r>
      <w:r w:rsidR="007058EF" w:rsidRPr="00D845F9">
        <w:rPr>
          <w:rStyle w:val="FootnoteReference"/>
          <w:color w:val="000000" w:themeColor="text1"/>
        </w:rPr>
        <w:footnoteReference w:id="261"/>
      </w:r>
      <w:r w:rsidR="007058EF" w:rsidRPr="00D845F9">
        <w:rPr>
          <w:color w:val="000000" w:themeColor="text1"/>
        </w:rPr>
        <w:t xml:space="preserve"> With regards to collective algorithmic decisions, it would seem that </w:t>
      </w:r>
      <w:r w:rsidR="00CF7056">
        <w:rPr>
          <w:color w:val="000000" w:themeColor="text1"/>
        </w:rPr>
        <w:t>art</w:t>
      </w:r>
      <w:r w:rsidR="007058EF" w:rsidRPr="00D845F9">
        <w:rPr>
          <w:color w:val="000000" w:themeColor="text1"/>
        </w:rPr>
        <w:t xml:space="preserve"> 22 “does not limit ‘profiling’ as such to individual profiling but only requires that the decision based on such profiling is addressed to an individual, in a way that has legal or significant effects for him/her as an individual</w:t>
      </w:r>
      <w:r w:rsidR="00146EED" w:rsidRPr="00D845F9">
        <w:rPr>
          <w:color w:val="000000" w:themeColor="text1"/>
        </w:rPr>
        <w:t>.</w:t>
      </w:r>
      <w:r w:rsidR="007058EF" w:rsidRPr="00D845F9">
        <w:rPr>
          <w:color w:val="000000" w:themeColor="text1"/>
        </w:rPr>
        <w:t>”</w:t>
      </w:r>
      <w:r w:rsidR="007058EF" w:rsidRPr="00D845F9">
        <w:rPr>
          <w:rStyle w:val="FootnoteReference"/>
          <w:color w:val="000000" w:themeColor="text1"/>
        </w:rPr>
        <w:footnoteReference w:id="262"/>
      </w:r>
    </w:p>
    <w:p w14:paraId="02DC1934" w14:textId="50BF9ED4" w:rsidR="00CF7056" w:rsidRDefault="00CF7056" w:rsidP="00D845F9">
      <w:pPr>
        <w:pStyle w:val="ListParagraph"/>
        <w:contextualSpacing w:val="0"/>
        <w:jc w:val="both"/>
        <w:rPr>
          <w:color w:val="000000" w:themeColor="text1"/>
        </w:rPr>
      </w:pPr>
    </w:p>
    <w:p w14:paraId="5D4307F4" w14:textId="4AA2E732" w:rsidR="00CF7056" w:rsidRPr="004672E2" w:rsidRDefault="00CF7056" w:rsidP="00CF7056">
      <w:pPr>
        <w:pStyle w:val="NormalWeb"/>
        <w:ind w:left="720"/>
        <w:rPr>
          <w:rFonts w:ascii="TitilliumMaps29L" w:hAnsi="TitilliumMaps29L"/>
          <w:sz w:val="28"/>
          <w:szCs w:val="28"/>
        </w:rPr>
      </w:pPr>
      <w:r w:rsidRPr="004672E2">
        <w:rPr>
          <w:rFonts w:ascii="TitilliumMaps29L" w:hAnsi="TitilliumMaps29L"/>
          <w:sz w:val="28"/>
          <w:szCs w:val="28"/>
        </w:rPr>
        <w:t>D.V</w:t>
      </w:r>
      <w:r>
        <w:rPr>
          <w:rFonts w:ascii="TitilliumMaps29L" w:hAnsi="TitilliumMaps29L"/>
          <w:sz w:val="28"/>
          <w:szCs w:val="28"/>
        </w:rPr>
        <w:t>III</w:t>
      </w:r>
      <w:r w:rsidRPr="004672E2">
        <w:rPr>
          <w:rFonts w:ascii="TitilliumMaps29L" w:hAnsi="TitilliumMaps29L"/>
          <w:sz w:val="28"/>
          <w:szCs w:val="28"/>
        </w:rPr>
        <w:t>. Data portability, accountability, and data minimisation</w:t>
      </w:r>
    </w:p>
    <w:p w14:paraId="6F94F3C1" w14:textId="77777777" w:rsidR="00CF7056" w:rsidRPr="00D845F9" w:rsidRDefault="00CF7056" w:rsidP="00CF7056">
      <w:pPr>
        <w:pStyle w:val="ListParagraph"/>
        <w:contextualSpacing w:val="0"/>
        <w:jc w:val="both"/>
        <w:rPr>
          <w:color w:val="000000" w:themeColor="text1"/>
        </w:rPr>
      </w:pPr>
    </w:p>
    <w:p w14:paraId="40582455" w14:textId="77777777" w:rsidR="00CF7056" w:rsidRPr="00D845F9" w:rsidRDefault="00CF7056" w:rsidP="00CF7056">
      <w:pPr>
        <w:pStyle w:val="ListParagraph"/>
        <w:contextualSpacing w:val="0"/>
        <w:jc w:val="both"/>
        <w:rPr>
          <w:color w:val="000000" w:themeColor="text1"/>
        </w:rPr>
      </w:pPr>
      <w:r w:rsidRPr="00D845F9">
        <w:rPr>
          <w:color w:val="000000" w:themeColor="text1"/>
        </w:rPr>
        <w:t xml:space="preserve">Although the focus is on the provisions specifically dedicated to algorithmic decision-making, other rules and principles may affect it. One need only mention the right to data portability. </w:t>
      </w:r>
    </w:p>
    <w:p w14:paraId="1076960A" w14:textId="77777777" w:rsidR="00CF7056" w:rsidRPr="00D845F9" w:rsidRDefault="00CF7056" w:rsidP="00CF7056">
      <w:pPr>
        <w:pStyle w:val="ListParagraph"/>
        <w:contextualSpacing w:val="0"/>
        <w:jc w:val="both"/>
        <w:rPr>
          <w:color w:val="000000" w:themeColor="text1"/>
        </w:rPr>
      </w:pPr>
      <w:r w:rsidRPr="00D845F9">
        <w:rPr>
          <w:color w:val="000000" w:themeColor="text1"/>
        </w:rPr>
        <w:t>The right to data portability could be used to obtain not only information about the logic, significance, and consequences of the algorithmic decision, but also all “the personal data concerning him or her, which he or she has provided to a controller, in a structured, commonly used and machine-readable format.”</w:t>
      </w:r>
      <w:r w:rsidRPr="00D845F9">
        <w:rPr>
          <w:rStyle w:val="FootnoteReference"/>
          <w:color w:val="000000" w:themeColor="text1"/>
        </w:rPr>
        <w:footnoteReference w:id="263"/>
      </w:r>
      <w:r w:rsidRPr="00D845F9">
        <w:rPr>
          <w:color w:val="000000" w:themeColor="text1"/>
        </w:rPr>
        <w:t xml:space="preserve"> </w:t>
      </w:r>
    </w:p>
    <w:p w14:paraId="3066CA36" w14:textId="77777777" w:rsidR="00CF7056" w:rsidRPr="00D845F9" w:rsidRDefault="00CF7056" w:rsidP="00CF7056">
      <w:pPr>
        <w:pStyle w:val="ListParagraph"/>
        <w:contextualSpacing w:val="0"/>
        <w:jc w:val="both"/>
        <w:rPr>
          <w:color w:val="000000" w:themeColor="text1"/>
        </w:rPr>
      </w:pPr>
      <w:r w:rsidRPr="00D845F9">
        <w:rPr>
          <w:color w:val="000000" w:themeColor="text1"/>
        </w:rPr>
        <w:t>The principle of accountability, then, may play a positive role. Indeed, in order “to mitigate the risks of automated profiling we must look towards mechanisms that increase the accountability (both through ex ante screening of data mining applications for possible risks and ex post checking of results) and transparency of automated profiling.”</w:t>
      </w:r>
      <w:r w:rsidRPr="00D845F9">
        <w:rPr>
          <w:rStyle w:val="FootnoteReference"/>
          <w:color w:val="000000" w:themeColor="text1"/>
        </w:rPr>
        <w:footnoteReference w:id="264"/>
      </w:r>
      <w:r w:rsidRPr="00D845F9">
        <w:rPr>
          <w:color w:val="000000" w:themeColor="text1"/>
        </w:rPr>
        <w:t xml:space="preserve"> </w:t>
      </w:r>
    </w:p>
    <w:p w14:paraId="623D1B09" w14:textId="7DDA4B6F" w:rsidR="00CF7056" w:rsidRPr="00CF7056" w:rsidRDefault="00CF7056" w:rsidP="00CF7056">
      <w:pPr>
        <w:pStyle w:val="ListParagraph"/>
        <w:contextualSpacing w:val="0"/>
        <w:jc w:val="both"/>
        <w:rPr>
          <w:color w:val="000000" w:themeColor="text1"/>
        </w:rPr>
      </w:pPr>
      <w:r w:rsidRPr="00D845F9">
        <w:rPr>
          <w:color w:val="000000" w:themeColor="text1"/>
        </w:rPr>
        <w:t>Certain rules should be interpreted broadly taking into account the characteristics of the phenomenon at hand. For instance, data minimisation and data exclusion, if interpreted narrowly, “may reduce the accuracy of data mining and may deny us the data necessary to detect discrimination in automated profiling.”</w:t>
      </w:r>
      <w:r w:rsidRPr="00D845F9">
        <w:rPr>
          <w:rStyle w:val="FootnoteReference"/>
          <w:color w:val="000000" w:themeColor="text1"/>
        </w:rPr>
        <w:footnoteReference w:id="265"/>
      </w:r>
      <w:r w:rsidRPr="00D845F9">
        <w:rPr>
          <w:color w:val="000000" w:themeColor="text1"/>
        </w:rPr>
        <w:t xml:space="preserve"> However, the principle of data minimisation means that data should be </w:t>
      </w:r>
      <w:r w:rsidRPr="00D845F9">
        <w:rPr>
          <w:i/>
          <w:color w:val="000000" w:themeColor="text1"/>
        </w:rPr>
        <w:t>adequate</w:t>
      </w:r>
      <w:r w:rsidRPr="00D845F9">
        <w:rPr>
          <w:color w:val="000000" w:themeColor="text1"/>
        </w:rPr>
        <w:t xml:space="preserve">, relevant, and limited to what is </w:t>
      </w:r>
      <w:r w:rsidRPr="00D845F9">
        <w:rPr>
          <w:i/>
          <w:color w:val="000000" w:themeColor="text1"/>
        </w:rPr>
        <w:t>necessary in relation to the purposes</w:t>
      </w:r>
      <w:r w:rsidRPr="00D845F9">
        <w:rPr>
          <w:color w:val="000000" w:themeColor="text1"/>
        </w:rPr>
        <w:t xml:space="preserve"> for which they are processed.</w:t>
      </w:r>
      <w:r w:rsidRPr="00D845F9">
        <w:rPr>
          <w:rStyle w:val="FootnoteReference"/>
          <w:color w:val="000000" w:themeColor="text1"/>
        </w:rPr>
        <w:footnoteReference w:id="266"/>
      </w:r>
      <w:r w:rsidRPr="00D845F9">
        <w:rPr>
          <w:color w:val="000000" w:themeColor="text1"/>
        </w:rPr>
        <w:t xml:space="preserve"> Arguably, this does not mean that data controllers shall always collect as little data as possible. It means that the quantity must be related to the purpose, provided that the data are adequate. Arguably, the application of artificial intelligence to take decisions that have legal effects can justify the processing of large amount of data, for at least two interwoven reasons. First, the more data are used to train the algorithm, the more accurate the output may be (big data are ‘necessary’ for the functioning of artificial intelligence). Second, the processing of a low quantity of data, leading to an inaccurate output, would be ‘inadequate’ if one has to take a decision with legal consequences (or which similarly significantly affects the individual).</w:t>
      </w:r>
    </w:p>
    <w:p w14:paraId="2DDD90A8" w14:textId="28034736" w:rsidR="00676601" w:rsidRPr="00D845F9" w:rsidRDefault="00676601" w:rsidP="00D845F9">
      <w:pPr>
        <w:pStyle w:val="ListParagraph"/>
        <w:contextualSpacing w:val="0"/>
        <w:jc w:val="both"/>
        <w:rPr>
          <w:color w:val="000000" w:themeColor="text1"/>
        </w:rPr>
      </w:pPr>
    </w:p>
    <w:p w14:paraId="20CFB5B7" w14:textId="1C6A36D8" w:rsidR="00676601" w:rsidRPr="004672E2" w:rsidRDefault="00676601" w:rsidP="004672E2">
      <w:pPr>
        <w:pStyle w:val="NormalWeb"/>
        <w:ind w:left="720"/>
        <w:rPr>
          <w:rFonts w:ascii="TitilliumMaps29L" w:hAnsi="TitilliumMaps29L"/>
          <w:sz w:val="28"/>
          <w:szCs w:val="28"/>
        </w:rPr>
      </w:pPr>
      <w:r w:rsidRPr="004672E2">
        <w:rPr>
          <w:rFonts w:ascii="TitilliumMaps29L" w:hAnsi="TitilliumMaps29L"/>
          <w:sz w:val="28"/>
          <w:szCs w:val="28"/>
        </w:rPr>
        <w:t>D.IX. Algorithmic decisions taken by EU institutions and bodies</w:t>
      </w:r>
    </w:p>
    <w:p w14:paraId="130CE978" w14:textId="77777777" w:rsidR="002E235B" w:rsidRPr="00D845F9" w:rsidRDefault="002E235B" w:rsidP="00D845F9">
      <w:pPr>
        <w:pStyle w:val="ListParagraph"/>
        <w:contextualSpacing w:val="0"/>
        <w:jc w:val="both"/>
        <w:rPr>
          <w:color w:val="000000" w:themeColor="text1"/>
        </w:rPr>
      </w:pPr>
    </w:p>
    <w:p w14:paraId="6B52ED5B" w14:textId="708EB8DE" w:rsidR="00583814" w:rsidRPr="00D845F9" w:rsidRDefault="00F4594B" w:rsidP="00D845F9">
      <w:pPr>
        <w:pStyle w:val="ListParagraph"/>
        <w:contextualSpacing w:val="0"/>
        <w:jc w:val="both"/>
        <w:rPr>
          <w:color w:val="000000" w:themeColor="text1"/>
        </w:rPr>
      </w:pPr>
      <w:r w:rsidRPr="00D845F9">
        <w:rPr>
          <w:color w:val="000000" w:themeColor="text1"/>
        </w:rPr>
        <w:t>A brief note, finally, on the algorithmic decision-making carried out by the EU and its institutions and bodies</w:t>
      </w:r>
      <w:r w:rsidR="00346CF2" w:rsidRPr="00D845F9">
        <w:rPr>
          <w:color w:val="000000" w:themeColor="text1"/>
        </w:rPr>
        <w:t xml:space="preserve"> (</w:t>
      </w:r>
      <w:r w:rsidR="008E6E26" w:rsidRPr="00D845F9">
        <w:rPr>
          <w:color w:val="000000" w:themeColor="text1"/>
        </w:rPr>
        <w:t>e.g.</w:t>
      </w:r>
      <w:r w:rsidR="00346CF2" w:rsidRPr="00D845F9">
        <w:rPr>
          <w:color w:val="000000" w:themeColor="text1"/>
        </w:rPr>
        <w:t xml:space="preserve"> e-procurement and e-recruiting)</w:t>
      </w:r>
      <w:r w:rsidRPr="00D845F9">
        <w:rPr>
          <w:color w:val="000000" w:themeColor="text1"/>
        </w:rPr>
        <w:t>. The current rules</w:t>
      </w:r>
      <w:r w:rsidRPr="00D845F9">
        <w:rPr>
          <w:rStyle w:val="FootnoteReference"/>
          <w:color w:val="000000" w:themeColor="text1"/>
        </w:rPr>
        <w:footnoteReference w:id="267"/>
      </w:r>
      <w:r w:rsidRPr="00D845F9">
        <w:rPr>
          <w:color w:val="000000" w:themeColor="text1"/>
        </w:rPr>
        <w:t xml:space="preserve"> are more or less the same as the ones laid out in the Data Protection Directive, with the right to be informed about the logic involved in the decision, the right not to be subject to it, and the</w:t>
      </w:r>
      <w:r w:rsidR="00B75451" w:rsidRPr="00D845F9">
        <w:rPr>
          <w:color w:val="000000" w:themeColor="text1"/>
        </w:rPr>
        <w:t xml:space="preserve"> data controller’s</w:t>
      </w:r>
      <w:r w:rsidRPr="00D845F9">
        <w:rPr>
          <w:color w:val="000000" w:themeColor="text1"/>
        </w:rPr>
        <w:t xml:space="preserve"> obligation to put in place measures to protect the data subject’s legitimate interests. The only exception </w:t>
      </w:r>
      <w:r w:rsidR="007925E4" w:rsidRPr="00D845F9">
        <w:rPr>
          <w:color w:val="000000" w:themeColor="text1"/>
        </w:rPr>
        <w:t>recogn</w:t>
      </w:r>
      <w:r w:rsidR="00255DC4" w:rsidRPr="00D845F9">
        <w:rPr>
          <w:color w:val="000000" w:themeColor="text1"/>
        </w:rPr>
        <w:t>ised</w:t>
      </w:r>
      <w:r w:rsidRPr="00D845F9">
        <w:rPr>
          <w:color w:val="000000" w:themeColor="text1"/>
        </w:rPr>
        <w:t xml:space="preserve"> is the express </w:t>
      </w:r>
      <w:r w:rsidR="00D1698F" w:rsidRPr="00D845F9">
        <w:rPr>
          <w:color w:val="000000" w:themeColor="text1"/>
        </w:rPr>
        <w:t>author</w:t>
      </w:r>
      <w:r w:rsidR="004F4403" w:rsidRPr="00D845F9">
        <w:rPr>
          <w:color w:val="000000" w:themeColor="text1"/>
        </w:rPr>
        <w:t>isation</w:t>
      </w:r>
      <w:r w:rsidRPr="00D845F9">
        <w:rPr>
          <w:color w:val="000000" w:themeColor="text1"/>
        </w:rPr>
        <w:t xml:space="preserve"> by national law, EU law, or the European Data Protection Supervisor. </w:t>
      </w:r>
      <w:r w:rsidR="00255DC4" w:rsidRPr="00D845F9">
        <w:rPr>
          <w:color w:val="000000" w:themeColor="text1"/>
        </w:rPr>
        <w:t>In</w:t>
      </w:r>
      <w:r w:rsidRPr="00D845F9">
        <w:rPr>
          <w:color w:val="000000" w:themeColor="text1"/>
        </w:rPr>
        <w:t xml:space="preserve"> January 2017, the Commission adopted a proposal for a new regulation on the processing of personal data by the EU institutions, bodies, offices, and agencies</w:t>
      </w:r>
      <w:r w:rsidR="00146EED" w:rsidRPr="00D845F9">
        <w:rPr>
          <w:color w:val="000000" w:themeColor="text1"/>
        </w:rPr>
        <w:t>.</w:t>
      </w:r>
      <w:r w:rsidRPr="00D845F9">
        <w:rPr>
          <w:rStyle w:val="FootnoteReference"/>
          <w:color w:val="000000" w:themeColor="text1"/>
        </w:rPr>
        <w:footnoteReference w:id="268"/>
      </w:r>
      <w:r w:rsidRPr="00D845F9">
        <w:rPr>
          <w:color w:val="000000" w:themeColor="text1"/>
        </w:rPr>
        <w:t xml:space="preserve"> </w:t>
      </w:r>
      <w:r w:rsidR="00B10457" w:rsidRPr="00D845F9">
        <w:rPr>
          <w:color w:val="000000" w:themeColor="text1"/>
        </w:rPr>
        <w:t>The draft provides the same rules as the GDPR as to the information rights (existence, logic, significance, consequences)</w:t>
      </w:r>
      <w:r w:rsidR="00146EED" w:rsidRPr="00D845F9">
        <w:rPr>
          <w:color w:val="000000" w:themeColor="text1"/>
        </w:rPr>
        <w:t>,</w:t>
      </w:r>
      <w:r w:rsidR="00B10457" w:rsidRPr="00D845F9">
        <w:rPr>
          <w:rStyle w:val="FootnoteReference"/>
          <w:color w:val="000000" w:themeColor="text1"/>
        </w:rPr>
        <w:footnoteReference w:id="269"/>
      </w:r>
      <w:r w:rsidR="00B10457" w:rsidRPr="00D845F9">
        <w:rPr>
          <w:color w:val="000000" w:themeColor="text1"/>
        </w:rPr>
        <w:t xml:space="preserve"> right to access</w:t>
      </w:r>
      <w:r w:rsidR="00146EED" w:rsidRPr="00D845F9">
        <w:rPr>
          <w:color w:val="000000" w:themeColor="text1"/>
        </w:rPr>
        <w:t>,</w:t>
      </w:r>
      <w:r w:rsidR="00B10457" w:rsidRPr="00D845F9">
        <w:rPr>
          <w:rStyle w:val="FootnoteReference"/>
          <w:color w:val="000000" w:themeColor="text1"/>
        </w:rPr>
        <w:footnoteReference w:id="270"/>
      </w:r>
      <w:r w:rsidR="00B10457" w:rsidRPr="00D845F9">
        <w:rPr>
          <w:color w:val="000000" w:themeColor="text1"/>
        </w:rPr>
        <w:t xml:space="preserve"> right to </w:t>
      </w:r>
      <w:r w:rsidR="00353553" w:rsidRPr="00D845F9">
        <w:rPr>
          <w:color w:val="000000" w:themeColor="text1"/>
        </w:rPr>
        <w:t>not to be subject</w:t>
      </w:r>
      <w:r w:rsidR="00146EED" w:rsidRPr="00D845F9">
        <w:rPr>
          <w:color w:val="000000" w:themeColor="text1"/>
        </w:rPr>
        <w:t>,</w:t>
      </w:r>
      <w:r w:rsidR="00B10457" w:rsidRPr="00D845F9">
        <w:rPr>
          <w:rStyle w:val="FootnoteReference"/>
          <w:color w:val="000000" w:themeColor="text1"/>
        </w:rPr>
        <w:footnoteReference w:id="271"/>
      </w:r>
      <w:r w:rsidR="00346CF2" w:rsidRPr="00D845F9">
        <w:rPr>
          <w:color w:val="000000" w:themeColor="text1"/>
        </w:rPr>
        <w:t xml:space="preserve"> and mandatory data protection impact assessment</w:t>
      </w:r>
      <w:r w:rsidR="00146EED" w:rsidRPr="00D845F9">
        <w:rPr>
          <w:color w:val="000000" w:themeColor="text1"/>
        </w:rPr>
        <w:t>.</w:t>
      </w:r>
      <w:r w:rsidR="00346CF2" w:rsidRPr="00D845F9">
        <w:rPr>
          <w:rStyle w:val="FootnoteReference"/>
          <w:color w:val="000000" w:themeColor="text1"/>
        </w:rPr>
        <w:footnoteReference w:id="272"/>
      </w:r>
      <w:r w:rsidR="00B10457" w:rsidRPr="00D845F9">
        <w:rPr>
          <w:color w:val="000000" w:themeColor="text1"/>
        </w:rPr>
        <w:t xml:space="preserve"> </w:t>
      </w:r>
    </w:p>
    <w:p w14:paraId="2FA059D8" w14:textId="35A3836B" w:rsidR="00676601" w:rsidRPr="00D845F9" w:rsidRDefault="00676601" w:rsidP="00D845F9">
      <w:pPr>
        <w:pStyle w:val="ListParagraph"/>
        <w:contextualSpacing w:val="0"/>
        <w:jc w:val="both"/>
        <w:rPr>
          <w:color w:val="000000" w:themeColor="text1"/>
        </w:rPr>
      </w:pPr>
    </w:p>
    <w:p w14:paraId="5CF57271" w14:textId="42BD620F" w:rsidR="00676601" w:rsidRPr="004672E2" w:rsidRDefault="00676601" w:rsidP="004672E2">
      <w:pPr>
        <w:pStyle w:val="NormalWeb"/>
        <w:ind w:left="720"/>
        <w:rPr>
          <w:rFonts w:ascii="TitilliumMaps29L" w:hAnsi="TitilliumMaps29L"/>
          <w:sz w:val="28"/>
          <w:szCs w:val="28"/>
        </w:rPr>
      </w:pPr>
      <w:r w:rsidRPr="004672E2">
        <w:rPr>
          <w:rFonts w:ascii="TitilliumMaps29L" w:hAnsi="TitilliumMaps29L"/>
          <w:sz w:val="28"/>
          <w:szCs w:val="28"/>
        </w:rPr>
        <w:t>D.X. An overall assessment of the new data protection rules on algorithmic decisions</w:t>
      </w:r>
    </w:p>
    <w:p w14:paraId="7667A0C7" w14:textId="77777777" w:rsidR="00676601" w:rsidRPr="00D845F9" w:rsidRDefault="00676601" w:rsidP="00D845F9">
      <w:pPr>
        <w:pStyle w:val="ListParagraph"/>
        <w:contextualSpacing w:val="0"/>
        <w:jc w:val="both"/>
        <w:rPr>
          <w:color w:val="000000" w:themeColor="text1"/>
        </w:rPr>
      </w:pPr>
    </w:p>
    <w:p w14:paraId="6768BDE8" w14:textId="3CCF3043" w:rsidR="00C33C58" w:rsidRPr="00D845F9" w:rsidRDefault="00B75451" w:rsidP="00D845F9">
      <w:pPr>
        <w:pStyle w:val="ListParagraph"/>
        <w:contextualSpacing w:val="0"/>
        <w:jc w:val="both"/>
        <w:rPr>
          <w:color w:val="000000" w:themeColor="text1"/>
        </w:rPr>
      </w:pPr>
      <w:r w:rsidRPr="00D845F9">
        <w:rPr>
          <w:rStyle w:val="apple-converted-space"/>
          <w:color w:val="000000" w:themeColor="text1"/>
        </w:rPr>
        <w:t>In conclusion, o</w:t>
      </w:r>
      <w:r w:rsidR="00C33C58" w:rsidRPr="00D845F9">
        <w:rPr>
          <w:rStyle w:val="apple-converted-space"/>
          <w:color w:val="000000" w:themeColor="text1"/>
        </w:rPr>
        <w:t xml:space="preserve">verall, </w:t>
      </w:r>
      <w:r w:rsidR="00E23FB0" w:rsidRPr="00D845F9">
        <w:rPr>
          <w:rStyle w:val="apple-converted-space"/>
          <w:color w:val="000000" w:themeColor="text1"/>
        </w:rPr>
        <w:t xml:space="preserve">the GDPR strengthens the rules on algorithmic decision-making very timidly and with some significant </w:t>
      </w:r>
      <w:r w:rsidR="00C33C58" w:rsidRPr="00D845F9">
        <w:rPr>
          <w:rStyle w:val="apple-converted-space"/>
          <w:color w:val="000000" w:themeColor="text1"/>
        </w:rPr>
        <w:t>flaws</w:t>
      </w:r>
      <w:r w:rsidR="00E23FB0" w:rsidRPr="00D845F9">
        <w:rPr>
          <w:rStyle w:val="apple-converted-space"/>
          <w:color w:val="000000" w:themeColor="text1"/>
        </w:rPr>
        <w:t>, though some positive elements have to be acknowledged</w:t>
      </w:r>
      <w:r w:rsidR="00C33C58" w:rsidRPr="00D845F9">
        <w:rPr>
          <w:rStyle w:val="apple-converted-space"/>
          <w:color w:val="000000" w:themeColor="text1"/>
        </w:rPr>
        <w:t xml:space="preserve">. </w:t>
      </w:r>
      <w:r w:rsidR="002D1B6E" w:rsidRPr="00D845F9">
        <w:rPr>
          <w:rStyle w:val="apple-converted-space"/>
          <w:color w:val="000000" w:themeColor="text1"/>
        </w:rPr>
        <w:t>It may well be the case that, as it has been suggested, this regime will act as</w:t>
      </w:r>
      <w:r w:rsidR="00E26641" w:rsidRPr="00D845F9">
        <w:rPr>
          <w:rStyle w:val="apple-converted-space"/>
          <w:color w:val="000000" w:themeColor="text1"/>
        </w:rPr>
        <w:t xml:space="preserve"> </w:t>
      </w:r>
      <w:r w:rsidR="002D1B6E" w:rsidRPr="00D845F9">
        <w:rPr>
          <w:color w:val="000000" w:themeColor="text1"/>
        </w:rPr>
        <w:t>“legal incentives for technology producers to build accountability mechanisms into the technology</w:t>
      </w:r>
      <w:r w:rsidR="00146EED" w:rsidRPr="00D845F9">
        <w:rPr>
          <w:color w:val="000000" w:themeColor="text1"/>
        </w:rPr>
        <w:t>.</w:t>
      </w:r>
      <w:r w:rsidR="002D1B6E" w:rsidRPr="00D845F9">
        <w:rPr>
          <w:color w:val="000000" w:themeColor="text1"/>
        </w:rPr>
        <w:t>”</w:t>
      </w:r>
      <w:r w:rsidR="002D1B6E" w:rsidRPr="00D845F9">
        <w:rPr>
          <w:rStyle w:val="FootnoteReference"/>
          <w:color w:val="000000" w:themeColor="text1"/>
        </w:rPr>
        <w:footnoteReference w:id="273"/>
      </w:r>
      <w:r w:rsidR="002F11D1" w:rsidRPr="00D845F9">
        <w:rPr>
          <w:color w:val="000000" w:themeColor="text1"/>
        </w:rPr>
        <w:t xml:space="preserve"> It still holds true that even if Article 15 of the Data Protection Directive and Article 22 of the GDPR show that the promise in terms of providing a counterweight to algorithmic decision-making is tarnished by complexities and ambiguities, they nonetheless shall be regarded as expression of a core data protection principle to be embodied in all data protection instruments</w:t>
      </w:r>
      <w:r w:rsidR="00146EED" w:rsidRPr="00D845F9">
        <w:rPr>
          <w:color w:val="000000" w:themeColor="text1"/>
        </w:rPr>
        <w:t>.</w:t>
      </w:r>
      <w:r w:rsidR="002F11D1" w:rsidRPr="00D845F9">
        <w:rPr>
          <w:rStyle w:val="FootnoteReference"/>
          <w:color w:val="000000" w:themeColor="text1"/>
        </w:rPr>
        <w:footnoteReference w:id="274"/>
      </w:r>
    </w:p>
    <w:p w14:paraId="384A653E" w14:textId="42B423F2" w:rsidR="002650A7" w:rsidRPr="00D845F9" w:rsidRDefault="0047594F" w:rsidP="00D845F9">
      <w:pPr>
        <w:pStyle w:val="ListParagraph"/>
        <w:contextualSpacing w:val="0"/>
        <w:jc w:val="both"/>
        <w:rPr>
          <w:rStyle w:val="apple-converted-space"/>
          <w:color w:val="000000" w:themeColor="text1"/>
        </w:rPr>
      </w:pPr>
      <w:r w:rsidRPr="00D845F9">
        <w:rPr>
          <w:color w:val="000000" w:themeColor="text1"/>
        </w:rPr>
        <w:t xml:space="preserve">Now, before moving on to the third legal </w:t>
      </w:r>
      <w:r w:rsidR="0031284E" w:rsidRPr="00D845F9">
        <w:rPr>
          <w:color w:val="000000" w:themeColor="text1"/>
        </w:rPr>
        <w:t>route</w:t>
      </w:r>
      <w:r w:rsidR="00B75451" w:rsidRPr="00D845F9">
        <w:rPr>
          <w:color w:val="000000" w:themeColor="text1"/>
        </w:rPr>
        <w:t xml:space="preserve">, </w:t>
      </w:r>
      <w:r w:rsidRPr="00D845F9">
        <w:rPr>
          <w:color w:val="000000" w:themeColor="text1"/>
        </w:rPr>
        <w:t>one need</w:t>
      </w:r>
      <w:r w:rsidR="0095565F" w:rsidRPr="00D845F9">
        <w:rPr>
          <w:color w:val="000000" w:themeColor="text1"/>
        </w:rPr>
        <w:t>s</w:t>
      </w:r>
      <w:r w:rsidR="002650A7" w:rsidRPr="00D845F9">
        <w:rPr>
          <w:color w:val="000000" w:themeColor="text1"/>
        </w:rPr>
        <w:t xml:space="preserve"> to give account of the relation between the relevant intellectual property regimes and the data protection tools. It has been shown </w:t>
      </w:r>
      <w:r w:rsidRPr="00D845F9">
        <w:rPr>
          <w:color w:val="000000" w:themeColor="text1"/>
        </w:rPr>
        <w:t xml:space="preserve">above </w:t>
      </w:r>
      <w:r w:rsidR="002650A7" w:rsidRPr="00D845F9">
        <w:rPr>
          <w:color w:val="000000" w:themeColor="text1"/>
        </w:rPr>
        <w:t>that the Software Directive</w:t>
      </w:r>
      <w:r w:rsidRPr="00D845F9">
        <w:rPr>
          <w:color w:val="000000" w:themeColor="text1"/>
        </w:rPr>
        <w:t xml:space="preserve"> </w:t>
      </w:r>
      <w:r w:rsidR="002650A7" w:rsidRPr="00D845F9">
        <w:rPr>
          <w:color w:val="000000" w:themeColor="text1"/>
        </w:rPr>
        <w:t xml:space="preserve">can prevail on the Trade Secrets Directive </w:t>
      </w:r>
      <w:r w:rsidR="001C7452" w:rsidRPr="00D845F9">
        <w:rPr>
          <w:color w:val="000000" w:themeColor="text1"/>
        </w:rPr>
        <w:t>recognis</w:t>
      </w:r>
      <w:r w:rsidR="007925E4" w:rsidRPr="00D845F9">
        <w:rPr>
          <w:color w:val="000000" w:themeColor="text1"/>
        </w:rPr>
        <w:t>ing</w:t>
      </w:r>
      <w:r w:rsidR="002650A7" w:rsidRPr="00D845F9">
        <w:rPr>
          <w:color w:val="000000" w:themeColor="text1"/>
        </w:rPr>
        <w:t xml:space="preserve"> some exceptions (study, observation, decompilation, etc.). However, these are </w:t>
      </w:r>
      <w:r w:rsidR="0035477F">
        <w:rPr>
          <w:color w:val="000000" w:themeColor="text1"/>
        </w:rPr>
        <w:t>defence</w:t>
      </w:r>
      <w:r w:rsidR="007925E4" w:rsidRPr="00D845F9">
        <w:rPr>
          <w:color w:val="000000" w:themeColor="text1"/>
        </w:rPr>
        <w:t>s</w:t>
      </w:r>
      <w:r w:rsidR="00941E99" w:rsidRPr="00D845F9">
        <w:rPr>
          <w:color w:val="000000" w:themeColor="text1"/>
        </w:rPr>
        <w:t>,</w:t>
      </w:r>
      <w:r w:rsidR="002650A7" w:rsidRPr="00D845F9">
        <w:rPr>
          <w:color w:val="000000" w:themeColor="text1"/>
        </w:rPr>
        <w:t xml:space="preserve"> as opposed to proper rights</w:t>
      </w:r>
      <w:r w:rsidR="008E6E26" w:rsidRPr="00D845F9">
        <w:rPr>
          <w:color w:val="000000" w:themeColor="text1"/>
        </w:rPr>
        <w:t>; accordingly,</w:t>
      </w:r>
      <w:r w:rsidR="002650A7" w:rsidRPr="00D845F9">
        <w:rPr>
          <w:color w:val="000000" w:themeColor="text1"/>
        </w:rPr>
        <w:t xml:space="preserve"> they are likely to be construed narrowly. What if, conversely, </w:t>
      </w:r>
      <w:r w:rsidR="00177B70" w:rsidRPr="00D845F9">
        <w:rPr>
          <w:color w:val="000000" w:themeColor="text1"/>
        </w:rPr>
        <w:t>there is a clash between, say, a trade secret and the rights to be informed and contest</w:t>
      </w:r>
      <w:r w:rsidRPr="00D845F9">
        <w:rPr>
          <w:color w:val="000000" w:themeColor="text1"/>
        </w:rPr>
        <w:t xml:space="preserve"> the algorithmic decision</w:t>
      </w:r>
      <w:r w:rsidR="00177B70" w:rsidRPr="00D845F9">
        <w:rPr>
          <w:color w:val="000000" w:themeColor="text1"/>
        </w:rPr>
        <w:t xml:space="preserve"> under </w:t>
      </w:r>
      <w:r w:rsidR="00941E99" w:rsidRPr="00D845F9">
        <w:rPr>
          <w:color w:val="000000" w:themeColor="text1"/>
        </w:rPr>
        <w:t xml:space="preserve">the </w:t>
      </w:r>
      <w:r w:rsidR="00177B70" w:rsidRPr="00D845F9">
        <w:rPr>
          <w:color w:val="000000" w:themeColor="text1"/>
        </w:rPr>
        <w:t xml:space="preserve">GDPR. Arguably, the latter shall prevail because it is a </w:t>
      </w:r>
      <w:r w:rsidR="00177B70" w:rsidRPr="00D845F9">
        <w:rPr>
          <w:i/>
          <w:color w:val="000000" w:themeColor="text1"/>
        </w:rPr>
        <w:t>lex specialis</w:t>
      </w:r>
      <w:r w:rsidR="00177B70" w:rsidRPr="00D845F9">
        <w:rPr>
          <w:color w:val="000000" w:themeColor="text1"/>
        </w:rPr>
        <w:t xml:space="preserve">, but it is likely that </w:t>
      </w:r>
      <w:r w:rsidR="008E6E26" w:rsidRPr="00D845F9">
        <w:rPr>
          <w:color w:val="000000" w:themeColor="text1"/>
        </w:rPr>
        <w:t xml:space="preserve">the </w:t>
      </w:r>
      <w:r w:rsidR="00177B70" w:rsidRPr="00D845F9">
        <w:rPr>
          <w:color w:val="000000" w:themeColor="text1"/>
        </w:rPr>
        <w:t xml:space="preserve">judges will interpret narrowly the data protection-related right, for instance allowing access only if the algorithmic decision significantly affects the data subject’s fundamental rights. Another regime to take into account – and whose interplay with intellectual </w:t>
      </w:r>
      <w:r w:rsidR="001C7452" w:rsidRPr="00D845F9">
        <w:rPr>
          <w:color w:val="000000" w:themeColor="text1"/>
        </w:rPr>
        <w:t>property and data protection remains partly un</w:t>
      </w:r>
      <w:r w:rsidR="00177B70" w:rsidRPr="00D845F9">
        <w:rPr>
          <w:color w:val="000000" w:themeColor="text1"/>
        </w:rPr>
        <w:t>solved – is freedom of information.</w:t>
      </w:r>
    </w:p>
    <w:p w14:paraId="191ACDF2" w14:textId="77777777" w:rsidR="00C83C15" w:rsidRPr="00D845F9" w:rsidRDefault="00C83C15" w:rsidP="00D845F9">
      <w:pPr>
        <w:pStyle w:val="ListParagraph"/>
        <w:contextualSpacing w:val="0"/>
        <w:jc w:val="both"/>
        <w:rPr>
          <w:rStyle w:val="apple-converted-space"/>
          <w:color w:val="000000" w:themeColor="text1"/>
        </w:rPr>
      </w:pPr>
    </w:p>
    <w:p w14:paraId="345B8F43" w14:textId="08923524" w:rsidR="00C83C15" w:rsidRPr="004672E2" w:rsidRDefault="00C83C15" w:rsidP="004672E2">
      <w:pPr>
        <w:pStyle w:val="NormalWeb"/>
        <w:numPr>
          <w:ilvl w:val="0"/>
          <w:numId w:val="15"/>
        </w:numPr>
        <w:rPr>
          <w:rFonts w:ascii="TitilliumMaps29L" w:hAnsi="TitilliumMaps29L"/>
          <w:sz w:val="28"/>
          <w:szCs w:val="28"/>
        </w:rPr>
      </w:pPr>
      <w:r w:rsidRPr="004672E2">
        <w:rPr>
          <w:rFonts w:ascii="TitilliumMaps29L" w:hAnsi="TitilliumMaps29L"/>
          <w:sz w:val="28"/>
          <w:szCs w:val="28"/>
        </w:rPr>
        <w:t>Freedom of information and access to the algorithm</w:t>
      </w:r>
      <w:r w:rsidR="001C7452" w:rsidRPr="004672E2">
        <w:rPr>
          <w:rFonts w:ascii="TitilliumMaps29L" w:hAnsi="TitilliumMaps29L"/>
          <w:sz w:val="28"/>
          <w:szCs w:val="28"/>
        </w:rPr>
        <w:t>. The</w:t>
      </w:r>
      <w:r w:rsidR="00A96F6A" w:rsidRPr="004672E2">
        <w:rPr>
          <w:rFonts w:ascii="TitilliumMaps29L" w:hAnsi="TitilliumMaps29L"/>
          <w:sz w:val="28"/>
          <w:szCs w:val="28"/>
        </w:rPr>
        <w:t xml:space="preserve"> Italian </w:t>
      </w:r>
      <w:r w:rsidR="001C7452" w:rsidRPr="004672E2">
        <w:rPr>
          <w:rFonts w:ascii="TitilliumMaps29L" w:hAnsi="TitilliumMaps29L"/>
          <w:sz w:val="28"/>
          <w:szCs w:val="28"/>
        </w:rPr>
        <w:t>panorama</w:t>
      </w:r>
    </w:p>
    <w:p w14:paraId="3793C8B8" w14:textId="77777777" w:rsidR="00941E99" w:rsidRPr="00D845F9" w:rsidRDefault="00941E99" w:rsidP="00D845F9">
      <w:pPr>
        <w:pStyle w:val="ListParagraph"/>
        <w:ind w:left="1440"/>
        <w:contextualSpacing w:val="0"/>
        <w:jc w:val="both"/>
        <w:rPr>
          <w:rStyle w:val="apple-converted-space"/>
          <w:b/>
          <w:color w:val="000000" w:themeColor="text1"/>
        </w:rPr>
      </w:pPr>
    </w:p>
    <w:p w14:paraId="6D01A117" w14:textId="0A329FDD" w:rsidR="00041179" w:rsidRPr="00D845F9" w:rsidRDefault="004918D0" w:rsidP="00D845F9">
      <w:pPr>
        <w:pStyle w:val="ListParagraph"/>
        <w:contextualSpacing w:val="0"/>
        <w:jc w:val="both"/>
        <w:rPr>
          <w:color w:val="000000" w:themeColor="text1"/>
          <w:lang w:val="fr-FR"/>
        </w:rPr>
      </w:pPr>
      <w:r w:rsidRPr="00D845F9">
        <w:rPr>
          <w:color w:val="000000" w:themeColor="text1"/>
        </w:rPr>
        <w:t>In 2015,</w:t>
      </w:r>
      <w:r w:rsidR="00041179" w:rsidRPr="00D845F9">
        <w:rPr>
          <w:color w:val="000000" w:themeColor="text1"/>
          <w:lang w:val="fr-FR"/>
        </w:rPr>
        <w:t xml:space="preserve"> the</w:t>
      </w:r>
      <w:r w:rsidRPr="00D845F9">
        <w:rPr>
          <w:color w:val="000000" w:themeColor="text1"/>
          <w:lang w:val="fr-FR"/>
        </w:rPr>
        <w:t xml:space="preserve"> French</w:t>
      </w:r>
      <w:r w:rsidR="00041179" w:rsidRPr="00D845F9">
        <w:rPr>
          <w:color w:val="000000" w:themeColor="text1"/>
          <w:lang w:val="fr-FR"/>
        </w:rPr>
        <w:t xml:space="preserve"> </w:t>
      </w:r>
      <w:r w:rsidR="00041179" w:rsidRPr="00D845F9">
        <w:rPr>
          <w:i/>
          <w:color w:val="000000" w:themeColor="text1"/>
          <w:lang w:val="fr-FR"/>
        </w:rPr>
        <w:t>Commission d’accès aux documents administratifs</w:t>
      </w:r>
      <w:r w:rsidR="00676601" w:rsidRPr="00D845F9">
        <w:rPr>
          <w:color w:val="000000" w:themeColor="text1"/>
          <w:lang w:val="fr-FR"/>
        </w:rPr>
        <w:t> obliged</w:t>
      </w:r>
      <w:r w:rsidR="00041179" w:rsidRPr="00D845F9">
        <w:rPr>
          <w:color w:val="000000" w:themeColor="text1"/>
          <w:lang w:val="fr-FR"/>
        </w:rPr>
        <w:t xml:space="preserve"> the </w:t>
      </w:r>
      <w:r w:rsidR="00041179" w:rsidRPr="00D845F9">
        <w:rPr>
          <w:i/>
          <w:color w:val="000000" w:themeColor="text1"/>
          <w:lang w:val="fr-FR"/>
        </w:rPr>
        <w:t>Direction générale des finances publiques</w:t>
      </w:r>
      <w:r w:rsidR="00041179" w:rsidRPr="00D845F9">
        <w:rPr>
          <w:color w:val="000000" w:themeColor="text1"/>
          <w:lang w:val="fr-FR"/>
        </w:rPr>
        <w:t xml:space="preserve"> to release the sourc</w:t>
      </w:r>
      <w:r w:rsidR="00D1698F" w:rsidRPr="00D845F9">
        <w:rPr>
          <w:color w:val="000000" w:themeColor="text1"/>
          <w:lang w:val="fr-FR"/>
        </w:rPr>
        <w:t>e code of the computer program</w:t>
      </w:r>
      <w:r w:rsidR="00041179" w:rsidRPr="00D845F9">
        <w:rPr>
          <w:color w:val="000000" w:themeColor="text1"/>
          <w:lang w:val="fr-FR"/>
        </w:rPr>
        <w:t xml:space="preserve"> used to estimate the income tax of natural persons</w:t>
      </w:r>
      <w:r w:rsidRPr="00D845F9">
        <w:rPr>
          <w:color w:val="000000" w:themeColor="text1"/>
          <w:lang w:val="fr-FR"/>
        </w:rPr>
        <w:t>.</w:t>
      </w:r>
      <w:r w:rsidR="00253E22" w:rsidRPr="00D845F9">
        <w:rPr>
          <w:rStyle w:val="FootnoteReference"/>
          <w:color w:val="000000" w:themeColor="text1"/>
          <w:lang w:val="fr-FR"/>
        </w:rPr>
        <w:footnoteReference w:id="275"/>
      </w:r>
      <w:r w:rsidRPr="00D845F9">
        <w:rPr>
          <w:color w:val="000000" w:themeColor="text1"/>
          <w:lang w:val="fr-FR"/>
        </w:rPr>
        <w:t xml:space="preserve">More recently, </w:t>
      </w:r>
      <w:r w:rsidR="00041179" w:rsidRPr="00D845F9">
        <w:rPr>
          <w:color w:val="000000" w:themeColor="text1"/>
          <w:lang w:val="fr-FR"/>
        </w:rPr>
        <w:t xml:space="preserve">the </w:t>
      </w:r>
      <w:r w:rsidR="00041179" w:rsidRPr="00D845F9">
        <w:rPr>
          <w:i/>
          <w:color w:val="000000" w:themeColor="text1"/>
          <w:lang w:val="fr-FR"/>
        </w:rPr>
        <w:t>TAR Lazio</w:t>
      </w:r>
      <w:r w:rsidR="00041179" w:rsidRPr="00D845F9">
        <w:rPr>
          <w:color w:val="000000" w:themeColor="text1"/>
          <w:lang w:val="fr-FR"/>
        </w:rPr>
        <w:t>,</w:t>
      </w:r>
      <w:r w:rsidR="00E91F02" w:rsidRPr="00D845F9">
        <w:rPr>
          <w:rStyle w:val="FootnoteReference"/>
          <w:color w:val="000000" w:themeColor="text1"/>
        </w:rPr>
        <w:footnoteReference w:id="276"/>
      </w:r>
      <w:r w:rsidR="00041179" w:rsidRPr="00D845F9">
        <w:rPr>
          <w:color w:val="000000" w:themeColor="text1"/>
          <w:lang w:val="fr-FR"/>
        </w:rPr>
        <w:t xml:space="preserve"> administrative court</w:t>
      </w:r>
      <w:r w:rsidR="00941E99" w:rsidRPr="00D845F9">
        <w:rPr>
          <w:rStyle w:val="FootnoteReference"/>
          <w:color w:val="000000" w:themeColor="text1"/>
          <w:lang w:val="fr-FR"/>
        </w:rPr>
        <w:footnoteReference w:id="277"/>
      </w:r>
      <w:r w:rsidR="00041179" w:rsidRPr="00D845F9">
        <w:rPr>
          <w:color w:val="000000" w:themeColor="text1"/>
          <w:lang w:val="fr-FR"/>
        </w:rPr>
        <w:t xml:space="preserve"> in Italy, stated that an algorithm is a digital administrative act and therefore, under the freedom of information regime, the citizens have the right to access it.</w:t>
      </w:r>
      <w:r w:rsidRPr="00D845F9">
        <w:rPr>
          <w:color w:val="000000" w:themeColor="text1"/>
          <w:lang w:val="fr-FR"/>
        </w:rPr>
        <w:t xml:space="preserve"> This section</w:t>
      </w:r>
      <w:r w:rsidRPr="00A1060F">
        <w:rPr>
          <w:color w:val="000000" w:themeColor="text1"/>
        </w:rPr>
        <w:t xml:space="preserve"> critically</w:t>
      </w:r>
      <w:r w:rsidRPr="00D845F9">
        <w:rPr>
          <w:color w:val="000000" w:themeColor="text1"/>
          <w:lang w:val="fr-FR"/>
        </w:rPr>
        <w:t xml:space="preserve"> </w:t>
      </w:r>
      <w:r w:rsidR="00425FAB" w:rsidRPr="00D845F9">
        <w:rPr>
          <w:color w:val="000000" w:themeColor="text1"/>
          <w:lang w:val="fr-FR"/>
        </w:rPr>
        <w:t>analys</w:t>
      </w:r>
      <w:r w:rsidRPr="00D845F9">
        <w:rPr>
          <w:color w:val="000000" w:themeColor="text1"/>
          <w:lang w:val="fr-FR"/>
        </w:rPr>
        <w:t>es this ruling as a prism to understand the application of the freedom-of-information regime to algorithmic decision-making.</w:t>
      </w:r>
    </w:p>
    <w:p w14:paraId="728DE85D" w14:textId="67360706" w:rsidR="00305BEF" w:rsidRPr="00D845F9" w:rsidRDefault="0047594F" w:rsidP="00D845F9">
      <w:pPr>
        <w:pStyle w:val="ListParagraph"/>
        <w:contextualSpacing w:val="0"/>
        <w:jc w:val="both"/>
        <w:rPr>
          <w:color w:val="000000" w:themeColor="text1"/>
          <w:shd w:val="clear" w:color="auto" w:fill="FFFFFF"/>
        </w:rPr>
      </w:pPr>
      <w:r w:rsidRPr="00D845F9">
        <w:rPr>
          <w:color w:val="000000" w:themeColor="text1"/>
          <w:lang w:val="fr-FR"/>
        </w:rPr>
        <w:t>U</w:t>
      </w:r>
      <w:r w:rsidR="00305BEF" w:rsidRPr="00D845F9">
        <w:rPr>
          <w:color w:val="000000" w:themeColor="text1"/>
          <w:lang w:val="fr-FR"/>
        </w:rPr>
        <w:t xml:space="preserve">nder the Italian </w:t>
      </w:r>
      <w:r w:rsidR="00FC520B" w:rsidRPr="00D845F9">
        <w:rPr>
          <w:color w:val="000000" w:themeColor="text1"/>
          <w:lang w:val="fr-FR"/>
        </w:rPr>
        <w:t>Administrative P</w:t>
      </w:r>
      <w:r w:rsidR="00305BEF" w:rsidRPr="00D845F9">
        <w:rPr>
          <w:color w:val="000000" w:themeColor="text1"/>
          <w:lang w:val="fr-FR"/>
        </w:rPr>
        <w:t>rocedure</w:t>
      </w:r>
      <w:r w:rsidR="00FC520B" w:rsidRPr="00D845F9">
        <w:rPr>
          <w:color w:val="000000" w:themeColor="text1"/>
          <w:lang w:val="fr-FR"/>
        </w:rPr>
        <w:t xml:space="preserve"> Act</w:t>
      </w:r>
      <w:r w:rsidRPr="00D845F9">
        <w:rPr>
          <w:color w:val="000000" w:themeColor="text1"/>
          <w:lang w:val="fr-FR"/>
        </w:rPr>
        <w:t>,</w:t>
      </w:r>
      <w:r w:rsidR="00305BEF" w:rsidRPr="00D845F9">
        <w:rPr>
          <w:rStyle w:val="FootnoteReference"/>
          <w:color w:val="000000" w:themeColor="text1"/>
          <w:lang w:val="fr-FR"/>
        </w:rPr>
        <w:footnoteReference w:id="278"/>
      </w:r>
      <w:r w:rsidRPr="00D845F9">
        <w:rPr>
          <w:color w:val="000000" w:themeColor="text1"/>
          <w:lang w:val="fr-FR"/>
        </w:rPr>
        <w:t xml:space="preserve"> c</w:t>
      </w:r>
      <w:r w:rsidR="00FC520B" w:rsidRPr="00D845F9">
        <w:rPr>
          <w:color w:val="000000" w:themeColor="text1"/>
          <w:lang w:val="fr-FR"/>
        </w:rPr>
        <w:t xml:space="preserve">itizens have the right to view administrative documents and extract a copy thereof, if they have a </w:t>
      </w:r>
      <w:r w:rsidR="00146EED" w:rsidRPr="00D845F9">
        <w:rPr>
          <w:color w:val="000000" w:themeColor="text1"/>
          <w:shd w:val="clear" w:color="auto" w:fill="FFFFFF"/>
        </w:rPr>
        <w:t>“</w:t>
      </w:r>
      <w:r w:rsidR="00FC520B" w:rsidRPr="00D845F9">
        <w:rPr>
          <w:color w:val="000000" w:themeColor="text1"/>
          <w:lang w:val="fr-FR"/>
        </w:rPr>
        <w:t>direct, specific, and actual interest, corresponding to a</w:t>
      </w:r>
      <w:r w:rsidR="00FC520B" w:rsidRPr="00D845F9">
        <w:rPr>
          <w:color w:val="000000" w:themeColor="text1"/>
        </w:rPr>
        <w:t xml:space="preserve"> legally-protected</w:t>
      </w:r>
      <w:r w:rsidR="00FC520B" w:rsidRPr="00D845F9">
        <w:rPr>
          <w:color w:val="000000" w:themeColor="text1"/>
          <w:lang w:val="fr-FR"/>
        </w:rPr>
        <w:t xml:space="preserve"> situation and linked</w:t>
      </w:r>
      <w:r w:rsidR="00F5450D" w:rsidRPr="00D845F9">
        <w:rPr>
          <w:color w:val="000000" w:themeColor="text1"/>
          <w:lang w:val="fr-FR"/>
        </w:rPr>
        <w:t xml:space="preserve"> to the document one intends to</w:t>
      </w:r>
      <w:r w:rsidR="00FC520B" w:rsidRPr="00D845F9">
        <w:rPr>
          <w:color w:val="000000" w:themeColor="text1"/>
          <w:lang w:val="fr-FR"/>
        </w:rPr>
        <w:t xml:space="preserve"> access</w:t>
      </w:r>
      <w:r w:rsidR="00146EED" w:rsidRPr="00D845F9">
        <w:rPr>
          <w:color w:val="000000" w:themeColor="text1"/>
          <w:lang w:val="fr-FR"/>
        </w:rPr>
        <w:t>.</w:t>
      </w:r>
      <w:r w:rsidR="00146EED" w:rsidRPr="00D845F9">
        <w:rPr>
          <w:color w:val="000000" w:themeColor="text1"/>
          <w:shd w:val="clear" w:color="auto" w:fill="FFFFFF"/>
        </w:rPr>
        <w:t>”</w:t>
      </w:r>
      <w:r w:rsidR="00FC520B" w:rsidRPr="00D845F9">
        <w:rPr>
          <w:rStyle w:val="FootnoteReference"/>
          <w:color w:val="000000" w:themeColor="text1"/>
          <w:lang w:val="fr-FR"/>
        </w:rPr>
        <w:footnoteReference w:id="279"/>
      </w:r>
      <w:r w:rsidR="00C21534" w:rsidRPr="00D845F9">
        <w:rPr>
          <w:color w:val="000000" w:themeColor="text1"/>
          <w:lang w:val="fr-FR"/>
        </w:rPr>
        <w:t xml:space="preserve"> </w:t>
      </w:r>
      <w:r w:rsidR="00C21534" w:rsidRPr="00D845F9">
        <w:rPr>
          <w:color w:val="000000" w:themeColor="text1"/>
        </w:rPr>
        <w:t xml:space="preserve">The typical example would be an individual unhappy with the outcome of a public competition (e.g. to become notary public) and, therefore, demands to access the </w:t>
      </w:r>
      <w:r w:rsidRPr="00D845F9">
        <w:rPr>
          <w:color w:val="000000" w:themeColor="text1"/>
          <w:lang w:val="fr-FR"/>
        </w:rPr>
        <w:t>documents relevant to the competition</w:t>
      </w:r>
      <w:r w:rsidR="00C21534" w:rsidRPr="00D845F9">
        <w:rPr>
          <w:color w:val="000000" w:themeColor="text1"/>
          <w:lang w:val="fr-FR"/>
        </w:rPr>
        <w:t>. An important limitation of freedom of information regimes is that they can be act</w:t>
      </w:r>
      <w:r w:rsidR="006337BB" w:rsidRPr="00D845F9">
        <w:rPr>
          <w:color w:val="000000" w:themeColor="text1"/>
          <w:lang w:val="fr-FR"/>
        </w:rPr>
        <w:t>ioned only against the State or</w:t>
      </w:r>
      <w:r w:rsidR="00C21534" w:rsidRPr="00D845F9">
        <w:rPr>
          <w:color w:val="000000" w:themeColor="text1"/>
          <w:lang w:val="fr-FR"/>
        </w:rPr>
        <w:t xml:space="preserve"> other public bodies</w:t>
      </w:r>
      <w:r w:rsidR="006337BB" w:rsidRPr="00D845F9">
        <w:rPr>
          <w:color w:val="000000" w:themeColor="text1"/>
          <w:lang w:val="fr-FR"/>
        </w:rPr>
        <w:t xml:space="preserve"> and with regards to administrative documents</w:t>
      </w:r>
      <w:r w:rsidR="00146EED" w:rsidRPr="00D845F9">
        <w:rPr>
          <w:color w:val="000000" w:themeColor="text1"/>
          <w:lang w:val="fr-FR"/>
        </w:rPr>
        <w:t>.</w:t>
      </w:r>
      <w:r w:rsidR="006337BB" w:rsidRPr="00D845F9">
        <w:rPr>
          <w:rStyle w:val="FootnoteReference"/>
          <w:color w:val="000000" w:themeColor="text1"/>
          <w:lang w:val="fr-FR"/>
        </w:rPr>
        <w:footnoteReference w:id="280"/>
      </w:r>
      <w:r w:rsidR="00C21534" w:rsidRPr="00D845F9">
        <w:rPr>
          <w:color w:val="000000" w:themeColor="text1"/>
          <w:lang w:val="fr-FR"/>
        </w:rPr>
        <w:t xml:space="preserve"> </w:t>
      </w:r>
      <w:r w:rsidR="007E610A" w:rsidRPr="00D845F9">
        <w:rPr>
          <w:color w:val="000000" w:themeColor="text1"/>
          <w:lang w:val="fr-FR"/>
        </w:rPr>
        <w:t xml:space="preserve">The Government and the public bodies can </w:t>
      </w:r>
      <w:r w:rsidR="008747D6" w:rsidRPr="00D845F9">
        <w:rPr>
          <w:color w:val="000000" w:themeColor="text1"/>
          <w:lang w:val="fr-FR"/>
        </w:rPr>
        <w:t>lay out</w:t>
      </w:r>
      <w:r w:rsidR="007E610A" w:rsidRPr="00D845F9">
        <w:rPr>
          <w:color w:val="000000" w:themeColor="text1"/>
          <w:lang w:val="fr-FR"/>
        </w:rPr>
        <w:t xml:space="preserve"> which documents cannot be accessed for a number of purposes listed </w:t>
      </w:r>
      <w:r w:rsidR="008747D6" w:rsidRPr="00D845F9">
        <w:rPr>
          <w:color w:val="000000" w:themeColor="text1"/>
          <w:lang w:val="fr-FR"/>
        </w:rPr>
        <w:t>in</w:t>
      </w:r>
      <w:r w:rsidR="007E610A" w:rsidRPr="00D845F9">
        <w:rPr>
          <w:color w:val="000000" w:themeColor="text1"/>
          <w:lang w:val="fr-FR"/>
        </w:rPr>
        <w:t xml:space="preserve"> the Administrative Procedure Act, including privacy</w:t>
      </w:r>
      <w:r w:rsidR="00146EED" w:rsidRPr="00D845F9">
        <w:rPr>
          <w:color w:val="000000" w:themeColor="text1"/>
          <w:lang w:val="fr-FR"/>
        </w:rPr>
        <w:t>.</w:t>
      </w:r>
      <w:r w:rsidR="007E610A" w:rsidRPr="00D845F9">
        <w:rPr>
          <w:rStyle w:val="FootnoteReference"/>
          <w:color w:val="000000" w:themeColor="text1"/>
          <w:lang w:val="fr-FR"/>
        </w:rPr>
        <w:footnoteReference w:id="281"/>
      </w:r>
      <w:r w:rsidR="00C515C3" w:rsidRPr="00D845F9">
        <w:rPr>
          <w:color w:val="000000" w:themeColor="text1"/>
          <w:lang w:val="fr-FR"/>
        </w:rPr>
        <w:t xml:space="preserve"> However, there is case law clarifying that in principle, if right to access and privacy clash, the former shall prevail, at least in the sense that an access request will not be denied for privacy reasons, </w:t>
      </w:r>
      <w:r w:rsidR="007925E4" w:rsidRPr="00D845F9">
        <w:rPr>
          <w:color w:val="000000" w:themeColor="text1"/>
          <w:lang w:val="fr-FR"/>
        </w:rPr>
        <w:t>but the document may be anonym</w:t>
      </w:r>
      <w:r w:rsidR="00255DC4" w:rsidRPr="00D845F9">
        <w:rPr>
          <w:color w:val="000000" w:themeColor="text1"/>
          <w:lang w:val="fr-FR"/>
        </w:rPr>
        <w:t>ised</w:t>
      </w:r>
      <w:r w:rsidR="00146EED" w:rsidRPr="00D845F9">
        <w:rPr>
          <w:color w:val="000000" w:themeColor="text1"/>
          <w:lang w:val="fr-FR"/>
        </w:rPr>
        <w:t>.</w:t>
      </w:r>
      <w:r w:rsidR="00C515C3" w:rsidRPr="00D845F9">
        <w:rPr>
          <w:rStyle w:val="FootnoteReference"/>
          <w:color w:val="000000" w:themeColor="text1"/>
          <w:lang w:val="fr-FR"/>
        </w:rPr>
        <w:footnoteReference w:id="282"/>
      </w:r>
      <w:r w:rsidR="00C515C3" w:rsidRPr="00D845F9">
        <w:rPr>
          <w:color w:val="000000" w:themeColor="text1"/>
          <w:lang w:val="fr-FR"/>
        </w:rPr>
        <w:t xml:space="preserve"> More recently and generally, it was stressed that freedom of information is a fundamental right and, therefore, the denial to access requests are allowed only in exception</w:t>
      </w:r>
      <w:r w:rsidR="00110F53" w:rsidRPr="00D845F9">
        <w:rPr>
          <w:color w:val="000000" w:themeColor="text1"/>
          <w:lang w:val="fr-FR"/>
        </w:rPr>
        <w:t>al</w:t>
      </w:r>
      <w:r w:rsidR="00C515C3" w:rsidRPr="00D845F9">
        <w:rPr>
          <w:color w:val="000000" w:themeColor="text1"/>
          <w:lang w:val="fr-FR"/>
        </w:rPr>
        <w:t xml:space="preserve"> instances</w:t>
      </w:r>
      <w:r w:rsidR="00146EED" w:rsidRPr="00D845F9">
        <w:rPr>
          <w:color w:val="000000" w:themeColor="text1"/>
          <w:lang w:val="fr-FR"/>
        </w:rPr>
        <w:t>.</w:t>
      </w:r>
      <w:r w:rsidR="00C515C3" w:rsidRPr="00D845F9">
        <w:rPr>
          <w:rStyle w:val="FootnoteReference"/>
          <w:color w:val="000000" w:themeColor="text1"/>
          <w:lang w:val="fr-FR"/>
        </w:rPr>
        <w:footnoteReference w:id="283"/>
      </w:r>
      <w:r w:rsidR="00C515C3" w:rsidRPr="00D845F9">
        <w:rPr>
          <w:color w:val="000000" w:themeColor="text1"/>
          <w:lang w:val="fr-FR"/>
        </w:rPr>
        <w:t xml:space="preserve"> </w:t>
      </w:r>
      <w:r w:rsidR="00225AEE" w:rsidRPr="00D845F9">
        <w:rPr>
          <w:color w:val="000000" w:themeColor="text1"/>
          <w:lang w:val="fr-FR"/>
        </w:rPr>
        <w:t>This approach can</w:t>
      </w:r>
      <w:r w:rsidR="00110F53" w:rsidRPr="00D845F9">
        <w:rPr>
          <w:color w:val="000000" w:themeColor="text1"/>
          <w:lang w:val="fr-FR"/>
        </w:rPr>
        <w:t xml:space="preserve"> also</w:t>
      </w:r>
      <w:r w:rsidR="00225AEE" w:rsidRPr="00D845F9">
        <w:rPr>
          <w:color w:val="000000" w:themeColor="text1"/>
          <w:lang w:val="fr-FR"/>
        </w:rPr>
        <w:t xml:space="preserve"> be found in the Privacy Code</w:t>
      </w:r>
      <w:r w:rsidR="00225AEE" w:rsidRPr="00D845F9">
        <w:rPr>
          <w:rStyle w:val="FootnoteReference"/>
          <w:color w:val="000000" w:themeColor="text1"/>
          <w:lang w:val="fr-FR"/>
        </w:rPr>
        <w:footnoteReference w:id="284"/>
      </w:r>
      <w:r w:rsidR="00225AEE" w:rsidRPr="00D845F9">
        <w:rPr>
          <w:color w:val="000000" w:themeColor="text1"/>
          <w:lang w:val="fr-FR"/>
        </w:rPr>
        <w:t xml:space="preserve">, </w:t>
      </w:r>
      <w:r w:rsidRPr="00D845F9">
        <w:rPr>
          <w:color w:val="000000" w:themeColor="text1"/>
          <w:lang w:val="fr-FR"/>
        </w:rPr>
        <w:t>in which</w:t>
      </w:r>
      <w:r w:rsidR="00225AEE" w:rsidRPr="00D845F9">
        <w:rPr>
          <w:color w:val="000000" w:themeColor="text1"/>
          <w:lang w:val="fr-FR"/>
        </w:rPr>
        <w:t xml:space="preserve"> there is a right to access administrative documents even though they contain personal or even sensitive data, because the freedom of information regime </w:t>
      </w:r>
      <w:r w:rsidR="0051607F" w:rsidRPr="00D845F9">
        <w:rPr>
          <w:color w:val="000000" w:themeColor="text1"/>
          <w:shd w:val="clear" w:color="auto" w:fill="FFFFFF"/>
        </w:rPr>
        <w:t>“</w:t>
      </w:r>
      <w:r w:rsidR="00225AEE" w:rsidRPr="00D845F9">
        <w:rPr>
          <w:color w:val="000000" w:themeColor="text1"/>
          <w:lang w:val="fr-FR"/>
        </w:rPr>
        <w:t>is deemed to be of relevant public interest</w:t>
      </w:r>
      <w:r w:rsidR="0051607F" w:rsidRPr="00D845F9">
        <w:rPr>
          <w:color w:val="000000" w:themeColor="text1"/>
          <w:lang w:val="fr-FR"/>
        </w:rPr>
        <w:t>.</w:t>
      </w:r>
      <w:r w:rsidR="00146EED" w:rsidRPr="00D845F9">
        <w:rPr>
          <w:color w:val="000000" w:themeColor="text1"/>
          <w:shd w:val="clear" w:color="auto" w:fill="FFFFFF"/>
        </w:rPr>
        <w:t>”</w:t>
      </w:r>
      <w:r w:rsidR="00225AEE" w:rsidRPr="00D845F9">
        <w:rPr>
          <w:rStyle w:val="FootnoteReference"/>
          <w:color w:val="000000" w:themeColor="text1"/>
          <w:lang w:val="fr-FR"/>
        </w:rPr>
        <w:footnoteReference w:id="285"/>
      </w:r>
      <w:r w:rsidR="00E90017" w:rsidRPr="00D845F9">
        <w:rPr>
          <w:color w:val="000000" w:themeColor="text1"/>
          <w:lang w:val="fr-FR"/>
        </w:rPr>
        <w:t xml:space="preserve"> </w:t>
      </w:r>
      <w:r w:rsidRPr="00D845F9">
        <w:rPr>
          <w:color w:val="000000" w:themeColor="text1"/>
        </w:rPr>
        <w:t>The balance is struck</w:t>
      </w:r>
      <w:r w:rsidR="00E90017" w:rsidRPr="00D845F9">
        <w:rPr>
          <w:color w:val="000000" w:themeColor="text1"/>
        </w:rPr>
        <w:t xml:space="preserve"> slightly differently when it comes data on health or sexual life. Indeed, the access request will be accepted only if the interest underlying the request is a personality right</w:t>
      </w:r>
      <w:r w:rsidRPr="00D845F9">
        <w:rPr>
          <w:rStyle w:val="FootnoteReference"/>
          <w:color w:val="000000" w:themeColor="text1"/>
        </w:rPr>
        <w:footnoteReference w:id="286"/>
      </w:r>
      <w:r w:rsidR="00E90017" w:rsidRPr="00D845F9">
        <w:rPr>
          <w:color w:val="000000" w:themeColor="text1"/>
        </w:rPr>
        <w:t xml:space="preserve"> or other fundamental right or freedom</w:t>
      </w:r>
      <w:r w:rsidR="0051607F" w:rsidRPr="00D845F9">
        <w:rPr>
          <w:color w:val="000000" w:themeColor="text1"/>
        </w:rPr>
        <w:t>.</w:t>
      </w:r>
      <w:r w:rsidR="00E90017" w:rsidRPr="00D845F9">
        <w:rPr>
          <w:rStyle w:val="FootnoteReference"/>
          <w:color w:val="000000" w:themeColor="text1"/>
        </w:rPr>
        <w:footnoteReference w:id="287"/>
      </w:r>
      <w:r w:rsidR="00E90017" w:rsidRPr="00D845F9">
        <w:rPr>
          <w:color w:val="000000" w:themeColor="text1"/>
          <w:shd w:val="clear" w:color="auto" w:fill="FFFFFF"/>
        </w:rPr>
        <w:t xml:space="preserve"> One may infer that normally the right to access prevail</w:t>
      </w:r>
      <w:r w:rsidRPr="00D845F9">
        <w:rPr>
          <w:color w:val="000000" w:themeColor="text1"/>
          <w:shd w:val="clear" w:color="auto" w:fill="FFFFFF"/>
        </w:rPr>
        <w:t>s over</w:t>
      </w:r>
      <w:r w:rsidR="00E90017" w:rsidRPr="00D845F9">
        <w:rPr>
          <w:color w:val="000000" w:themeColor="text1"/>
          <w:shd w:val="clear" w:color="auto" w:fill="FFFFFF"/>
        </w:rPr>
        <w:t xml:space="preserve"> opposite interests and rights, even in the event the opposite rights were fundamental, unless the computer program implementing the algorithm processes health data or data about the sexual life of the individual. Thus, </w:t>
      </w:r>
      <w:r w:rsidR="00B9647C" w:rsidRPr="00D845F9">
        <w:rPr>
          <w:color w:val="000000" w:themeColor="text1"/>
          <w:shd w:val="clear" w:color="auto" w:fill="FFFFFF"/>
        </w:rPr>
        <w:t>it is</w:t>
      </w:r>
      <w:r w:rsidR="00E90017" w:rsidRPr="00D845F9">
        <w:rPr>
          <w:color w:val="000000" w:themeColor="text1"/>
          <w:shd w:val="clear" w:color="auto" w:fill="FFFFFF"/>
        </w:rPr>
        <w:t xml:space="preserve"> submit</w:t>
      </w:r>
      <w:r w:rsidR="00B9647C" w:rsidRPr="00D845F9">
        <w:rPr>
          <w:color w:val="000000" w:themeColor="text1"/>
          <w:shd w:val="clear" w:color="auto" w:fill="FFFFFF"/>
        </w:rPr>
        <w:t>ted</w:t>
      </w:r>
      <w:r w:rsidR="00E90017" w:rsidRPr="00D845F9">
        <w:rPr>
          <w:color w:val="000000" w:themeColor="text1"/>
          <w:shd w:val="clear" w:color="auto" w:fill="FFFFFF"/>
        </w:rPr>
        <w:t xml:space="preserve"> that also the potential clash between freedom of information and</w:t>
      </w:r>
      <w:r w:rsidR="006537BA" w:rsidRPr="00D845F9">
        <w:rPr>
          <w:color w:val="000000" w:themeColor="text1"/>
          <w:shd w:val="clear" w:color="auto" w:fill="FFFFFF"/>
        </w:rPr>
        <w:t xml:space="preserve"> intellectual property should</w:t>
      </w:r>
      <w:r w:rsidR="00E90017" w:rsidRPr="00D845F9">
        <w:rPr>
          <w:color w:val="000000" w:themeColor="text1"/>
          <w:shd w:val="clear" w:color="auto" w:fill="FFFFFF"/>
        </w:rPr>
        <w:t xml:space="preserve"> normally</w:t>
      </w:r>
      <w:r w:rsidR="00CB58A8" w:rsidRPr="00D845F9">
        <w:rPr>
          <w:color w:val="000000" w:themeColor="text1"/>
          <w:shd w:val="clear" w:color="auto" w:fill="FFFFFF"/>
        </w:rPr>
        <w:t xml:space="preserve"> be</w:t>
      </w:r>
      <w:r w:rsidR="00E90017" w:rsidRPr="00D845F9">
        <w:rPr>
          <w:color w:val="000000" w:themeColor="text1"/>
          <w:shd w:val="clear" w:color="auto" w:fill="FFFFFF"/>
        </w:rPr>
        <w:t xml:space="preserve"> resolved in </w:t>
      </w:r>
      <w:r w:rsidR="00D622B8" w:rsidRPr="00D845F9">
        <w:rPr>
          <w:color w:val="000000" w:themeColor="text1"/>
          <w:shd w:val="clear" w:color="auto" w:fill="FFFFFF"/>
        </w:rPr>
        <w:t>favo</w:t>
      </w:r>
      <w:r w:rsidR="00BB5B8C">
        <w:rPr>
          <w:color w:val="000000" w:themeColor="text1"/>
          <w:shd w:val="clear" w:color="auto" w:fill="FFFFFF"/>
        </w:rPr>
        <w:t>u</w:t>
      </w:r>
      <w:r w:rsidR="00D622B8" w:rsidRPr="00D845F9">
        <w:rPr>
          <w:color w:val="000000" w:themeColor="text1"/>
          <w:shd w:val="clear" w:color="auto" w:fill="FFFFFF"/>
        </w:rPr>
        <w:t>r</w:t>
      </w:r>
      <w:r w:rsidR="00E90017" w:rsidRPr="00D845F9">
        <w:rPr>
          <w:color w:val="000000" w:themeColor="text1"/>
          <w:shd w:val="clear" w:color="auto" w:fill="FFFFFF"/>
        </w:rPr>
        <w:t xml:space="preserve"> of the former.</w:t>
      </w:r>
      <w:r w:rsidR="00BB5B8C">
        <w:rPr>
          <w:color w:val="000000" w:themeColor="text1"/>
          <w:shd w:val="clear" w:color="auto" w:fill="FFFFFF"/>
        </w:rPr>
        <w:t xml:space="preserve"> The GDPR will not affect the balance between privacy and freedom of information, since the recently presented draft implementing decree clarified that access to administrative documents and civic access fall outside the scope of the GDPR, at least of its Italian implementation.</w:t>
      </w:r>
      <w:r w:rsidR="00BB5B8C">
        <w:rPr>
          <w:rStyle w:val="FootnoteReference"/>
          <w:color w:val="000000" w:themeColor="text1"/>
          <w:shd w:val="clear" w:color="auto" w:fill="FFFFFF"/>
        </w:rPr>
        <w:footnoteReference w:id="288"/>
      </w:r>
    </w:p>
    <w:p w14:paraId="49181F1C" w14:textId="199D2081" w:rsidR="00006F0C" w:rsidRPr="00D845F9" w:rsidRDefault="00BA2C4E" w:rsidP="00D845F9">
      <w:pPr>
        <w:pStyle w:val="ListParagraph"/>
        <w:contextualSpacing w:val="0"/>
        <w:jc w:val="both"/>
        <w:rPr>
          <w:color w:val="000000" w:themeColor="text1"/>
          <w:lang w:val="fr-FR"/>
        </w:rPr>
      </w:pPr>
      <w:r w:rsidRPr="00D845F9">
        <w:rPr>
          <w:color w:val="000000" w:themeColor="text1"/>
          <w:lang w:val="fr-FR"/>
        </w:rPr>
        <w:t>O</w:t>
      </w:r>
      <w:r w:rsidR="00006F0C" w:rsidRPr="00D845F9">
        <w:rPr>
          <w:color w:val="000000" w:themeColor="text1"/>
          <w:lang w:val="fr-FR"/>
        </w:rPr>
        <w:t>nly individuals who have a specific, direct, and actual interest in the access to the administrative document can exercise the right of access under the Administrative Procedure Act</w:t>
      </w:r>
      <w:r w:rsidRPr="00D845F9">
        <w:rPr>
          <w:color w:val="000000" w:themeColor="text1"/>
          <w:lang w:val="fr-FR"/>
        </w:rPr>
        <w:t>. However,</w:t>
      </w:r>
      <w:r w:rsidR="00006F0C" w:rsidRPr="00D845F9">
        <w:rPr>
          <w:color w:val="000000" w:themeColor="text1"/>
          <w:lang w:val="fr-FR"/>
        </w:rPr>
        <w:t xml:space="preserve"> in 2016</w:t>
      </w:r>
      <w:r w:rsidRPr="00D845F9">
        <w:rPr>
          <w:color w:val="000000" w:themeColor="text1"/>
          <w:lang w:val="fr-FR"/>
        </w:rPr>
        <w:t>,</w:t>
      </w:r>
      <w:r w:rsidR="00006F0C" w:rsidRPr="00D845F9">
        <w:rPr>
          <w:color w:val="000000" w:themeColor="text1"/>
          <w:lang w:val="fr-FR"/>
        </w:rPr>
        <w:t xml:space="preserve"> Italy introduced a more general freedom of information regime</w:t>
      </w:r>
      <w:r w:rsidR="00C866D2" w:rsidRPr="00D845F9">
        <w:rPr>
          <w:color w:val="000000" w:themeColor="text1"/>
          <w:lang w:val="fr-FR"/>
        </w:rPr>
        <w:t>. Under the Citizen Access Act</w:t>
      </w:r>
      <w:r w:rsidR="0051607F" w:rsidRPr="00D845F9">
        <w:rPr>
          <w:color w:val="000000" w:themeColor="text1"/>
          <w:lang w:val="fr-FR"/>
        </w:rPr>
        <w:t>,</w:t>
      </w:r>
      <w:r w:rsidR="00006F0C" w:rsidRPr="00D845F9">
        <w:rPr>
          <w:rStyle w:val="FootnoteReference"/>
          <w:color w:val="000000" w:themeColor="text1"/>
          <w:lang w:val="fr-FR"/>
        </w:rPr>
        <w:footnoteReference w:id="289"/>
      </w:r>
      <w:r w:rsidR="00C866D2" w:rsidRPr="00D845F9">
        <w:rPr>
          <w:color w:val="000000" w:themeColor="text1"/>
          <w:lang w:val="fr-FR"/>
        </w:rPr>
        <w:t xml:space="preserve"> the individual has two rights. First, the right to access all documents, information, and data (not only administrative documents), if there</w:t>
      </w:r>
      <w:r w:rsidR="00D1698F" w:rsidRPr="00D845F9">
        <w:rPr>
          <w:color w:val="000000" w:themeColor="text1"/>
          <w:lang w:val="fr-FR"/>
        </w:rPr>
        <w:t xml:space="preserve"> were</w:t>
      </w:r>
      <w:r w:rsidR="00C866D2" w:rsidRPr="00D845F9">
        <w:rPr>
          <w:color w:val="000000" w:themeColor="text1"/>
          <w:lang w:val="fr-FR"/>
        </w:rPr>
        <w:t xml:space="preserve"> an obligation to publish them and the relevant public body infringed it</w:t>
      </w:r>
      <w:r w:rsidR="00D1698F" w:rsidRPr="00D845F9">
        <w:rPr>
          <w:color w:val="000000" w:themeColor="text1"/>
          <w:lang w:val="fr-FR"/>
        </w:rPr>
        <w:t xml:space="preserve"> by not </w:t>
      </w:r>
      <w:r w:rsidR="00D1698F" w:rsidRPr="00D845F9">
        <w:rPr>
          <w:color w:val="000000" w:themeColor="text1"/>
        </w:rPr>
        <w:t>publishing</w:t>
      </w:r>
      <w:r w:rsidR="00D1698F" w:rsidRPr="00D845F9">
        <w:rPr>
          <w:color w:val="000000" w:themeColor="text1"/>
          <w:lang w:val="fr-FR"/>
        </w:rPr>
        <w:t>.</w:t>
      </w:r>
      <w:r w:rsidR="00C866D2" w:rsidRPr="00D845F9">
        <w:rPr>
          <w:rStyle w:val="FootnoteReference"/>
          <w:color w:val="000000" w:themeColor="text1"/>
          <w:lang w:val="fr-FR"/>
        </w:rPr>
        <w:footnoteReference w:id="290"/>
      </w:r>
      <w:r w:rsidR="00C866D2" w:rsidRPr="00D845F9">
        <w:rPr>
          <w:color w:val="000000" w:themeColor="text1"/>
          <w:lang w:val="fr-FR"/>
        </w:rPr>
        <w:t xml:space="preserve"> This right (so-called citizen simple access) is absolute and an access request under this provision cannot be denied</w:t>
      </w:r>
      <w:r w:rsidR="0051607F" w:rsidRPr="00D845F9">
        <w:rPr>
          <w:color w:val="000000" w:themeColor="text1"/>
          <w:lang w:val="fr-FR"/>
        </w:rPr>
        <w:t>.</w:t>
      </w:r>
      <w:r w:rsidR="00C866D2" w:rsidRPr="00D845F9">
        <w:rPr>
          <w:rStyle w:val="FootnoteReference"/>
          <w:color w:val="000000" w:themeColor="text1"/>
          <w:lang w:val="fr-FR"/>
        </w:rPr>
        <w:footnoteReference w:id="291"/>
      </w:r>
      <w:r w:rsidR="00C866D2" w:rsidRPr="00D845F9">
        <w:rPr>
          <w:color w:val="000000" w:themeColor="text1"/>
          <w:lang w:val="fr-FR"/>
        </w:rPr>
        <w:t xml:space="preserve"> Second, a right to access documents that the State or other public bodies are not obliged to publish, justified with the purpose to </w:t>
      </w:r>
      <w:r w:rsidR="00D1698F" w:rsidRPr="00D845F9">
        <w:rPr>
          <w:color w:val="000000" w:themeColor="text1"/>
          <w:shd w:val="clear" w:color="auto" w:fill="FFFFFF"/>
        </w:rPr>
        <w:t>“</w:t>
      </w:r>
      <w:r w:rsidR="00D622B8" w:rsidRPr="00D845F9">
        <w:rPr>
          <w:color w:val="000000" w:themeColor="text1"/>
          <w:lang w:val="fr-FR"/>
        </w:rPr>
        <w:t>favor</w:t>
      </w:r>
      <w:r w:rsidR="000D2A52" w:rsidRPr="00D845F9">
        <w:rPr>
          <w:color w:val="000000" w:themeColor="text1"/>
          <w:lang w:val="fr-FR"/>
        </w:rPr>
        <w:t xml:space="preserve"> a </w:t>
      </w:r>
      <w:r w:rsidR="006302BE" w:rsidRPr="00D845F9">
        <w:rPr>
          <w:color w:val="000000" w:themeColor="text1"/>
          <w:lang w:val="fr-FR"/>
        </w:rPr>
        <w:t>general</w:t>
      </w:r>
      <w:r w:rsidR="00255DC4" w:rsidRPr="00D845F9">
        <w:rPr>
          <w:color w:val="000000" w:themeColor="text1"/>
          <w:lang w:val="fr-FR"/>
        </w:rPr>
        <w:t>ised</w:t>
      </w:r>
      <w:r w:rsidR="000D2A52" w:rsidRPr="00D845F9">
        <w:rPr>
          <w:color w:val="000000" w:themeColor="text1"/>
          <w:lang w:val="fr-FR"/>
        </w:rPr>
        <w:t xml:space="preserve"> control over the pursuit of the institutional functions and over the use of public resources, as well as to promote the participation to the public debate</w:t>
      </w:r>
      <w:r w:rsidR="0051607F" w:rsidRPr="00D845F9">
        <w:rPr>
          <w:color w:val="000000" w:themeColor="text1"/>
          <w:lang w:val="fr-FR"/>
        </w:rPr>
        <w:t>.</w:t>
      </w:r>
      <w:r w:rsidR="000D2A52" w:rsidRPr="00D845F9">
        <w:rPr>
          <w:color w:val="000000" w:themeColor="text1"/>
          <w:shd w:val="clear" w:color="auto" w:fill="F1FDFE"/>
        </w:rPr>
        <w:t>”</w:t>
      </w:r>
      <w:r w:rsidR="000D2A52" w:rsidRPr="00D845F9">
        <w:rPr>
          <w:rStyle w:val="FootnoteReference"/>
          <w:color w:val="000000" w:themeColor="text1"/>
          <w:shd w:val="clear" w:color="auto" w:fill="F1FDFE"/>
        </w:rPr>
        <w:footnoteReference w:id="292"/>
      </w:r>
      <w:r w:rsidR="000D2A52" w:rsidRPr="00D845F9">
        <w:rPr>
          <w:color w:val="000000" w:themeColor="text1"/>
          <w:shd w:val="clear" w:color="auto" w:fill="F1FDFE"/>
        </w:rPr>
        <w:t xml:space="preserve"> </w:t>
      </w:r>
      <w:r w:rsidR="000D2A52" w:rsidRPr="00D845F9">
        <w:rPr>
          <w:color w:val="000000" w:themeColor="text1"/>
          <w:lang w:val="fr-FR"/>
        </w:rPr>
        <w:t xml:space="preserve">This citizen </w:t>
      </w:r>
      <w:r w:rsidR="006302BE" w:rsidRPr="00D845F9">
        <w:rPr>
          <w:color w:val="000000" w:themeColor="text1"/>
          <w:lang w:val="fr-FR"/>
        </w:rPr>
        <w:t>general</w:t>
      </w:r>
      <w:r w:rsidR="00255DC4" w:rsidRPr="00D845F9">
        <w:rPr>
          <w:color w:val="000000" w:themeColor="text1"/>
          <w:lang w:val="fr-FR"/>
        </w:rPr>
        <w:t>ised</w:t>
      </w:r>
      <w:r w:rsidR="000D2A52" w:rsidRPr="00D845F9">
        <w:rPr>
          <w:color w:val="000000" w:themeColor="text1"/>
          <w:lang w:val="fr-FR"/>
        </w:rPr>
        <w:t xml:space="preserve"> access is a limited right</w:t>
      </w:r>
      <w:r w:rsidR="00A0499A" w:rsidRPr="00D845F9">
        <w:rPr>
          <w:rStyle w:val="FootnoteReference"/>
          <w:color w:val="000000" w:themeColor="text1"/>
          <w:lang w:val="fr-FR"/>
        </w:rPr>
        <w:footnoteReference w:id="293"/>
      </w:r>
      <w:r w:rsidR="000D2A52" w:rsidRPr="00D845F9">
        <w:rPr>
          <w:color w:val="000000" w:themeColor="text1"/>
          <w:lang w:val="fr-FR"/>
        </w:rPr>
        <w:t>. Indeed, the relevant request can b</w:t>
      </w:r>
      <w:r w:rsidR="0051607F" w:rsidRPr="00D845F9">
        <w:rPr>
          <w:color w:val="000000" w:themeColor="text1"/>
          <w:lang w:val="fr-FR"/>
        </w:rPr>
        <w:t>e denied for a number of reasons,</w:t>
      </w:r>
      <w:r w:rsidR="000D2A52" w:rsidRPr="00D845F9">
        <w:rPr>
          <w:rStyle w:val="FootnoteReference"/>
          <w:color w:val="000000" w:themeColor="text1"/>
          <w:lang w:val="fr-FR"/>
        </w:rPr>
        <w:footnoteReference w:id="294"/>
      </w:r>
      <w:r w:rsidR="000D2A52" w:rsidRPr="00D845F9">
        <w:rPr>
          <w:color w:val="000000" w:themeColor="text1"/>
          <w:lang w:val="fr-FR"/>
        </w:rPr>
        <w:t xml:space="preserve"> including data protection</w:t>
      </w:r>
      <w:r w:rsidR="000D2A52" w:rsidRPr="00D845F9">
        <w:rPr>
          <w:rStyle w:val="FootnoteReference"/>
          <w:color w:val="000000" w:themeColor="text1"/>
          <w:lang w:val="fr-FR"/>
        </w:rPr>
        <w:footnoteReference w:id="295"/>
      </w:r>
      <w:r w:rsidR="000D2A52" w:rsidRPr="00D845F9">
        <w:rPr>
          <w:color w:val="000000" w:themeColor="text1"/>
          <w:lang w:val="fr-FR"/>
        </w:rPr>
        <w:t xml:space="preserve"> and intellectual property</w:t>
      </w:r>
      <w:r w:rsidR="0051607F" w:rsidRPr="00D845F9">
        <w:rPr>
          <w:color w:val="000000" w:themeColor="text1"/>
          <w:lang w:val="fr-FR"/>
        </w:rPr>
        <w:t>.</w:t>
      </w:r>
      <w:r w:rsidR="000D2A52" w:rsidRPr="00D845F9">
        <w:rPr>
          <w:rStyle w:val="FootnoteReference"/>
          <w:color w:val="000000" w:themeColor="text1"/>
          <w:lang w:val="fr-FR"/>
        </w:rPr>
        <w:footnoteReference w:id="296"/>
      </w:r>
    </w:p>
    <w:p w14:paraId="3D6E6198" w14:textId="6C6CE7A2" w:rsidR="008747D6" w:rsidRPr="00D845F9" w:rsidRDefault="008747D6" w:rsidP="00D845F9">
      <w:pPr>
        <w:pStyle w:val="ListParagraph"/>
        <w:contextualSpacing w:val="0"/>
        <w:jc w:val="both"/>
        <w:rPr>
          <w:color w:val="000000" w:themeColor="text1"/>
          <w:shd w:val="clear" w:color="auto" w:fill="FFFFFF"/>
        </w:rPr>
      </w:pPr>
      <w:r w:rsidRPr="00D845F9">
        <w:rPr>
          <w:color w:val="000000" w:themeColor="text1"/>
          <w:shd w:val="clear" w:color="auto" w:fill="FFFFFF"/>
        </w:rPr>
        <w:t>There is another regime that may be used to access algorithms used by the State and other public bodies</w:t>
      </w:r>
      <w:r w:rsidR="00C866D2" w:rsidRPr="00D845F9">
        <w:rPr>
          <w:color w:val="000000" w:themeColor="text1"/>
          <w:shd w:val="clear" w:color="auto" w:fill="FFFFFF"/>
        </w:rPr>
        <w:t>, even though its scope is very narrow</w:t>
      </w:r>
      <w:r w:rsidRPr="00D845F9">
        <w:rPr>
          <w:color w:val="000000" w:themeColor="text1"/>
          <w:shd w:val="clear" w:color="auto" w:fill="FFFFFF"/>
        </w:rPr>
        <w:t>. As of 14 September 2016, under the Public Administration Code</w:t>
      </w:r>
      <w:r w:rsidR="0051607F" w:rsidRPr="00D845F9">
        <w:rPr>
          <w:color w:val="000000" w:themeColor="text1"/>
          <w:shd w:val="clear" w:color="auto" w:fill="FFFFFF"/>
        </w:rPr>
        <w:t>,</w:t>
      </w:r>
      <w:r w:rsidRPr="00D845F9">
        <w:rPr>
          <w:rStyle w:val="FootnoteReference"/>
          <w:color w:val="000000" w:themeColor="text1"/>
          <w:shd w:val="clear" w:color="auto" w:fill="FFFFFF"/>
        </w:rPr>
        <w:footnoteReference w:id="297"/>
      </w:r>
      <w:r w:rsidR="00455957" w:rsidRPr="00D845F9">
        <w:rPr>
          <w:color w:val="000000" w:themeColor="text1"/>
          <w:shd w:val="clear" w:color="auto" w:fill="FFFFFF"/>
        </w:rPr>
        <w:t xml:space="preserve"> legal and physical persons </w:t>
      </w:r>
      <w:r w:rsidR="00D81D07" w:rsidRPr="00D845F9">
        <w:rPr>
          <w:color w:val="000000" w:themeColor="text1"/>
          <w:shd w:val="clear" w:color="auto" w:fill="FFFFFF"/>
        </w:rPr>
        <w:t>have the</w:t>
      </w:r>
      <w:r w:rsidR="00455957" w:rsidRPr="00D845F9">
        <w:rPr>
          <w:color w:val="000000" w:themeColor="text1"/>
          <w:shd w:val="clear" w:color="auto" w:fill="FFFFFF"/>
        </w:rPr>
        <w:t xml:space="preserve"> right to reuse computer programs and other “solutions” in order to “adapt them to their needs”</w:t>
      </w:r>
      <w:r w:rsidR="00455957" w:rsidRPr="00D845F9">
        <w:rPr>
          <w:rStyle w:val="FootnoteReference"/>
          <w:color w:val="000000" w:themeColor="text1"/>
          <w:shd w:val="clear" w:color="auto" w:fill="FFFFFF"/>
        </w:rPr>
        <w:footnoteReference w:id="298"/>
      </w:r>
      <w:r w:rsidR="00D81D07" w:rsidRPr="00D845F9">
        <w:rPr>
          <w:color w:val="000000" w:themeColor="text1"/>
          <w:shd w:val="clear" w:color="auto" w:fill="FFFFFF"/>
        </w:rPr>
        <w:t xml:space="preserve"> Therefore, the State or other requested public body have an obligation to make publicly available the relevant source code “alongside the documentation”</w:t>
      </w:r>
      <w:r w:rsidR="00D81D07" w:rsidRPr="00D845F9">
        <w:rPr>
          <w:rStyle w:val="FootnoteReference"/>
          <w:color w:val="000000" w:themeColor="text1"/>
          <w:shd w:val="clear" w:color="auto" w:fill="FFFFFF"/>
        </w:rPr>
        <w:footnoteReference w:id="299"/>
      </w:r>
      <w:r w:rsidR="00D81D07" w:rsidRPr="00D845F9">
        <w:rPr>
          <w:color w:val="000000" w:themeColor="text1"/>
          <w:shd w:val="clear" w:color="auto" w:fill="FFFFFF"/>
        </w:rPr>
        <w:t xml:space="preserve"> under free and open-source </w:t>
      </w:r>
      <w:r w:rsidR="007925E4" w:rsidRPr="00D845F9">
        <w:rPr>
          <w:color w:val="000000" w:themeColor="text1"/>
          <w:shd w:val="clear" w:color="auto" w:fill="FFFFFF"/>
        </w:rPr>
        <w:t>license</w:t>
      </w:r>
      <w:r w:rsidR="00D81D07" w:rsidRPr="00D845F9">
        <w:rPr>
          <w:color w:val="000000" w:themeColor="text1"/>
          <w:shd w:val="clear" w:color="auto" w:fill="FFFFFF"/>
        </w:rPr>
        <w:t xml:space="preserve">. However, the requested body can </w:t>
      </w:r>
      <w:r w:rsidR="00486D6F">
        <w:rPr>
          <w:color w:val="000000" w:themeColor="text1"/>
          <w:shd w:val="clear" w:color="auto" w:fill="FFFFFF"/>
        </w:rPr>
        <w:t xml:space="preserve">deny access in three scenarios </w:t>
      </w:r>
      <w:r w:rsidR="00D81D07" w:rsidRPr="00D845F9">
        <w:rPr>
          <w:color w:val="000000" w:themeColor="text1"/>
          <w:shd w:val="clear" w:color="auto" w:fill="FFFFFF"/>
        </w:rPr>
        <w:t>if the computer program or the solution owned by the State or public body were not developed “based on the specific indications by the public customer</w:t>
      </w:r>
      <w:r w:rsidR="0051607F" w:rsidRPr="00D845F9">
        <w:rPr>
          <w:color w:val="000000" w:themeColor="text1"/>
          <w:shd w:val="clear" w:color="auto" w:fill="FFFFFF"/>
        </w:rPr>
        <w:t>.</w:t>
      </w:r>
      <w:r w:rsidR="00D81D07" w:rsidRPr="00D845F9">
        <w:rPr>
          <w:color w:val="000000" w:themeColor="text1"/>
          <w:shd w:val="clear" w:color="auto" w:fill="FFFFFF"/>
        </w:rPr>
        <w:t>”</w:t>
      </w:r>
      <w:r w:rsidR="00D81D07" w:rsidRPr="00D845F9">
        <w:rPr>
          <w:rStyle w:val="FootnoteReference"/>
          <w:color w:val="000000" w:themeColor="text1"/>
          <w:shd w:val="clear" w:color="auto" w:fill="FFFFFF"/>
        </w:rPr>
        <w:footnoteReference w:id="300"/>
      </w:r>
      <w:r w:rsidR="00D81D07" w:rsidRPr="00D845F9">
        <w:rPr>
          <w:color w:val="000000" w:themeColor="text1"/>
          <w:shd w:val="clear" w:color="auto" w:fill="FFFFFF"/>
        </w:rPr>
        <w:t xml:space="preserve"> </w:t>
      </w:r>
      <w:r w:rsidR="00486D6F">
        <w:rPr>
          <w:color w:val="000000" w:themeColor="text1"/>
          <w:shd w:val="clear" w:color="auto" w:fill="FFFFFF"/>
        </w:rPr>
        <w:t xml:space="preserve">The denial may be justified also by </w:t>
      </w:r>
      <w:r w:rsidR="00D81D07" w:rsidRPr="00D845F9">
        <w:rPr>
          <w:i/>
          <w:color w:val="000000" w:themeColor="text1"/>
          <w:shd w:val="clear" w:color="auto" w:fill="FFFFFF"/>
        </w:rPr>
        <w:t>ordre public</w:t>
      </w:r>
      <w:r w:rsidR="00486D6F">
        <w:rPr>
          <w:color w:val="000000" w:themeColor="text1"/>
          <w:shd w:val="clear" w:color="auto" w:fill="FFFFFF"/>
        </w:rPr>
        <w:t xml:space="preserve">, national security, </w:t>
      </w:r>
      <w:r w:rsidR="0035477F">
        <w:rPr>
          <w:color w:val="000000" w:themeColor="text1"/>
          <w:shd w:val="clear" w:color="auto" w:fill="FFFFFF"/>
        </w:rPr>
        <w:t>defence</w:t>
      </w:r>
      <w:r w:rsidR="00486D6F">
        <w:rPr>
          <w:color w:val="000000" w:themeColor="text1"/>
          <w:shd w:val="clear" w:color="auto" w:fill="FFFFFF"/>
        </w:rPr>
        <w:t xml:space="preserve">, and </w:t>
      </w:r>
      <w:r w:rsidR="00D81D07" w:rsidRPr="00D845F9">
        <w:rPr>
          <w:color w:val="000000" w:themeColor="text1"/>
          <w:shd w:val="clear" w:color="auto" w:fill="FFFFFF"/>
        </w:rPr>
        <w:t>elections</w:t>
      </w:r>
      <w:r w:rsidR="0051607F" w:rsidRPr="00D845F9">
        <w:rPr>
          <w:color w:val="000000" w:themeColor="text1"/>
          <w:shd w:val="clear" w:color="auto" w:fill="FFFFFF"/>
        </w:rPr>
        <w:t>.</w:t>
      </w:r>
      <w:r w:rsidR="00EC3A23" w:rsidRPr="00D845F9">
        <w:rPr>
          <w:rStyle w:val="FootnoteReference"/>
          <w:color w:val="000000" w:themeColor="text1"/>
          <w:shd w:val="clear" w:color="auto" w:fill="FFFFFF"/>
        </w:rPr>
        <w:footnoteReference w:id="301"/>
      </w:r>
    </w:p>
    <w:p w14:paraId="4EA2D7B0" w14:textId="34AB7A9D" w:rsidR="00844F86" w:rsidRPr="00D845F9" w:rsidRDefault="008D2988" w:rsidP="00D845F9">
      <w:pPr>
        <w:pStyle w:val="ListParagraph"/>
        <w:contextualSpacing w:val="0"/>
        <w:jc w:val="both"/>
        <w:rPr>
          <w:color w:val="000000" w:themeColor="text1"/>
          <w:shd w:val="clear" w:color="auto" w:fill="FFFFFF"/>
        </w:rPr>
      </w:pPr>
      <w:r w:rsidRPr="00D845F9">
        <w:rPr>
          <w:color w:val="000000" w:themeColor="text1"/>
        </w:rPr>
        <w:t>Let us focus on the recent case</w:t>
      </w:r>
      <w:r w:rsidR="005523E5" w:rsidRPr="00D845F9">
        <w:rPr>
          <w:color w:val="000000" w:themeColor="text1"/>
        </w:rPr>
        <w:t xml:space="preserve"> that applied the Administrative Procedure Act </w:t>
      </w:r>
      <w:r w:rsidRPr="00D845F9">
        <w:rPr>
          <w:color w:val="000000" w:themeColor="text1"/>
        </w:rPr>
        <w:t xml:space="preserve">in order to </w:t>
      </w:r>
      <w:r w:rsidR="007925E4" w:rsidRPr="00D845F9">
        <w:rPr>
          <w:color w:val="000000" w:themeColor="text1"/>
        </w:rPr>
        <w:t>recogn</w:t>
      </w:r>
      <w:r w:rsidR="004F4403" w:rsidRPr="00D845F9">
        <w:rPr>
          <w:color w:val="000000" w:themeColor="text1"/>
        </w:rPr>
        <w:t xml:space="preserve">ise </w:t>
      </w:r>
      <w:r w:rsidR="005523E5" w:rsidRPr="00D845F9">
        <w:rPr>
          <w:color w:val="000000" w:themeColor="text1"/>
        </w:rPr>
        <w:t xml:space="preserve">the right to </w:t>
      </w:r>
      <w:r w:rsidRPr="00D845F9">
        <w:rPr>
          <w:color w:val="000000" w:themeColor="text1"/>
        </w:rPr>
        <w:t xml:space="preserve">access </w:t>
      </w:r>
      <w:r w:rsidR="005523E5" w:rsidRPr="00D845F9">
        <w:rPr>
          <w:color w:val="000000" w:themeColor="text1"/>
        </w:rPr>
        <w:t xml:space="preserve">the source code of the computer program implementing the algorithm used by the Ministry of Education, University and Research </w:t>
      </w:r>
      <w:r w:rsidR="00D267B9" w:rsidRPr="00D845F9">
        <w:rPr>
          <w:color w:val="000000" w:themeColor="text1"/>
        </w:rPr>
        <w:t>with regards to</w:t>
      </w:r>
      <w:r w:rsidR="00E26641" w:rsidRPr="00D845F9">
        <w:rPr>
          <w:color w:val="000000" w:themeColor="text1"/>
        </w:rPr>
        <w:t xml:space="preserve"> </w:t>
      </w:r>
      <w:r w:rsidR="00D1698F" w:rsidRPr="00D845F9">
        <w:rPr>
          <w:color w:val="000000" w:themeColor="text1"/>
        </w:rPr>
        <w:t>the</w:t>
      </w:r>
      <w:r w:rsidR="00D132C9" w:rsidRPr="00D845F9">
        <w:rPr>
          <w:color w:val="000000" w:themeColor="text1"/>
        </w:rPr>
        <w:t xml:space="preserve"> mobility</w:t>
      </w:r>
      <w:r w:rsidR="00D1698F" w:rsidRPr="00D845F9">
        <w:rPr>
          <w:color w:val="000000" w:themeColor="text1"/>
        </w:rPr>
        <w:t xml:space="preserve"> of the teaching staff</w:t>
      </w:r>
      <w:r w:rsidR="002E23D7" w:rsidRPr="00D845F9">
        <w:rPr>
          <w:color w:val="000000" w:themeColor="text1"/>
        </w:rPr>
        <w:t>; the algorithm had been commissioned to a private company (HPE Services s.r.l.).</w:t>
      </w:r>
      <w:r w:rsidR="002650A7" w:rsidRPr="00D845F9">
        <w:rPr>
          <w:color w:val="000000" w:themeColor="text1"/>
        </w:rPr>
        <w:t xml:space="preserve"> </w:t>
      </w:r>
      <w:r w:rsidR="00D622B8" w:rsidRPr="00D845F9">
        <w:rPr>
          <w:color w:val="000000" w:themeColor="text1"/>
        </w:rPr>
        <w:t>The teachers’ trade union claimed that they could not defend their members’ right with regards to the mobility procedures if they were not allowed to access the algorithm</w:t>
      </w:r>
      <w:r w:rsidR="00D622B8" w:rsidRPr="00D845F9">
        <w:rPr>
          <w:color w:val="000000" w:themeColor="text1"/>
          <w:shd w:val="clear" w:color="auto" w:fill="FFFFFF"/>
        </w:rPr>
        <w:t xml:space="preserve">. </w:t>
      </w:r>
      <w:r w:rsidR="002650A7" w:rsidRPr="00D845F9">
        <w:rPr>
          <w:color w:val="000000" w:themeColor="text1"/>
        </w:rPr>
        <w:t xml:space="preserve">The computer program was used to </w:t>
      </w:r>
      <w:r w:rsidR="00D8686B" w:rsidRPr="00D845F9">
        <w:rPr>
          <w:color w:val="000000" w:themeColor="text1"/>
        </w:rPr>
        <w:t>manage</w:t>
      </w:r>
      <w:r w:rsidR="002650A7" w:rsidRPr="00D845F9">
        <w:rPr>
          <w:color w:val="000000" w:themeColor="text1"/>
        </w:rPr>
        <w:t xml:space="preserve"> the transfer of the teaching staff between provinces and </w:t>
      </w:r>
      <w:r w:rsidR="00844F86" w:rsidRPr="00D845F9">
        <w:rPr>
          <w:color w:val="000000" w:themeColor="text1"/>
        </w:rPr>
        <w:t xml:space="preserve">the outcome of the procedure was solely determined by the algorithm. This means that, should the requirements be met (personal data, decision with legal effect, etc.), the applicant may exercise the rights </w:t>
      </w:r>
      <w:r w:rsidR="007925E4" w:rsidRPr="00D845F9">
        <w:rPr>
          <w:color w:val="000000" w:themeColor="text1"/>
        </w:rPr>
        <w:t>recogn</w:t>
      </w:r>
      <w:r w:rsidR="00255DC4" w:rsidRPr="00D845F9">
        <w:rPr>
          <w:color w:val="000000" w:themeColor="text1"/>
        </w:rPr>
        <w:t>ised</w:t>
      </w:r>
      <w:r w:rsidR="00844F86" w:rsidRPr="00D845F9">
        <w:rPr>
          <w:color w:val="000000" w:themeColor="text1"/>
        </w:rPr>
        <w:t xml:space="preserve"> by the GDPR with regards to algorithmic-decision making</w:t>
      </w:r>
      <w:r w:rsidR="0051607F" w:rsidRPr="00D845F9">
        <w:rPr>
          <w:color w:val="000000" w:themeColor="text1"/>
        </w:rPr>
        <w:t>.</w:t>
      </w:r>
      <w:r w:rsidR="00844F86" w:rsidRPr="00D845F9">
        <w:rPr>
          <w:rStyle w:val="FootnoteReference"/>
          <w:color w:val="000000" w:themeColor="text1"/>
        </w:rPr>
        <w:footnoteReference w:id="302"/>
      </w:r>
    </w:p>
    <w:p w14:paraId="5839621D" w14:textId="153EB38F" w:rsidR="008D2988" w:rsidRPr="00D845F9" w:rsidRDefault="00844F86" w:rsidP="00D845F9">
      <w:pPr>
        <w:pStyle w:val="ListParagraph"/>
        <w:contextualSpacing w:val="0"/>
        <w:jc w:val="both"/>
        <w:rPr>
          <w:color w:val="000000" w:themeColor="text1"/>
        </w:rPr>
      </w:pPr>
      <w:r w:rsidRPr="00D845F9">
        <w:rPr>
          <w:color w:val="000000" w:themeColor="text1"/>
          <w:shd w:val="clear" w:color="auto" w:fill="FFFFFF"/>
        </w:rPr>
        <w:t>In the case at hand, the applicant sought to exercise</w:t>
      </w:r>
      <w:r w:rsidRPr="00D845F9">
        <w:rPr>
          <w:color w:val="000000" w:themeColor="text1"/>
        </w:rPr>
        <w:t xml:space="preserve"> </w:t>
      </w:r>
      <w:r w:rsidR="002650A7" w:rsidRPr="00D845F9">
        <w:rPr>
          <w:color w:val="000000" w:themeColor="text1"/>
        </w:rPr>
        <w:t>the right to access</w:t>
      </w:r>
      <w:r w:rsidRPr="00D845F9">
        <w:rPr>
          <w:color w:val="000000" w:themeColor="text1"/>
        </w:rPr>
        <w:t xml:space="preserve"> under the freedom of information regime. However, this</w:t>
      </w:r>
      <w:r w:rsidR="002650A7" w:rsidRPr="00D845F9">
        <w:rPr>
          <w:color w:val="000000" w:themeColor="text1"/>
        </w:rPr>
        <w:t xml:space="preserve"> was denied by the </w:t>
      </w:r>
      <w:r w:rsidR="00D8686B" w:rsidRPr="00D845F9">
        <w:rPr>
          <w:color w:val="000000" w:themeColor="text1"/>
        </w:rPr>
        <w:t>Ministry of Education</w:t>
      </w:r>
      <w:r w:rsidR="002650A7" w:rsidRPr="00D845F9">
        <w:rPr>
          <w:color w:val="000000" w:themeColor="text1"/>
        </w:rPr>
        <w:t xml:space="preserve"> for a number of reasons. Firstly, the source code was not an administrative document (and the right to access under freedom</w:t>
      </w:r>
      <w:r w:rsidR="00E00F3D" w:rsidRPr="00D845F9">
        <w:rPr>
          <w:color w:val="000000" w:themeColor="text1"/>
        </w:rPr>
        <w:t xml:space="preserve"> of information can be exercised</w:t>
      </w:r>
      <w:r w:rsidR="002650A7" w:rsidRPr="00D845F9">
        <w:rPr>
          <w:color w:val="000000" w:themeColor="text1"/>
        </w:rPr>
        <w:t xml:space="preserve"> only with administrative documents)</w:t>
      </w:r>
      <w:r w:rsidR="0051607F" w:rsidRPr="00D845F9">
        <w:rPr>
          <w:color w:val="000000" w:themeColor="text1"/>
        </w:rPr>
        <w:t>.</w:t>
      </w:r>
      <w:r w:rsidR="002650A7" w:rsidRPr="00D845F9">
        <w:rPr>
          <w:rStyle w:val="FootnoteReference"/>
          <w:color w:val="000000" w:themeColor="text1"/>
        </w:rPr>
        <w:footnoteReference w:id="303"/>
      </w:r>
      <w:r w:rsidR="002650A7" w:rsidRPr="00D845F9">
        <w:rPr>
          <w:color w:val="000000" w:themeColor="text1"/>
        </w:rPr>
        <w:t xml:space="preserve"> Secondly, </w:t>
      </w:r>
      <w:r w:rsidR="004B63BD" w:rsidRPr="00D845F9">
        <w:rPr>
          <w:color w:val="000000" w:themeColor="text1"/>
        </w:rPr>
        <w:t>the computer program was covered by copyrigh</w:t>
      </w:r>
      <w:r w:rsidR="00317CF1" w:rsidRPr="00D845F9">
        <w:rPr>
          <w:color w:val="000000" w:themeColor="text1"/>
        </w:rPr>
        <w:t>t. The court, however, dismissed</w:t>
      </w:r>
      <w:r w:rsidR="004B63BD" w:rsidRPr="00D845F9">
        <w:rPr>
          <w:color w:val="000000" w:themeColor="text1"/>
        </w:rPr>
        <w:t xml:space="preserve"> both arguments.</w:t>
      </w:r>
    </w:p>
    <w:p w14:paraId="2C75D0F2" w14:textId="51E9D984" w:rsidR="004B63BD" w:rsidRPr="00D845F9" w:rsidRDefault="004B63BD" w:rsidP="00D845F9">
      <w:pPr>
        <w:pStyle w:val="ListParagraph"/>
        <w:contextualSpacing w:val="0"/>
        <w:jc w:val="both"/>
        <w:rPr>
          <w:color w:val="000000" w:themeColor="text1"/>
        </w:rPr>
      </w:pPr>
      <w:r w:rsidRPr="00D845F9">
        <w:rPr>
          <w:color w:val="000000" w:themeColor="text1"/>
        </w:rPr>
        <w:t xml:space="preserve">Given that, with the current development of AI and kindred technologies, public bodies can increasingly </w:t>
      </w:r>
      <w:r w:rsidR="00D8686B" w:rsidRPr="00D845F9">
        <w:rPr>
          <w:color w:val="000000" w:themeColor="text1"/>
        </w:rPr>
        <w:t>replace</w:t>
      </w:r>
      <w:r w:rsidRPr="00D845F9">
        <w:rPr>
          <w:color w:val="000000" w:themeColor="text1"/>
        </w:rPr>
        <w:t xml:space="preserve"> human procedures with algorithmic ones, the court h</w:t>
      </w:r>
      <w:r w:rsidR="00D1698F" w:rsidRPr="00D845F9">
        <w:rPr>
          <w:color w:val="000000" w:themeColor="text1"/>
        </w:rPr>
        <w:t>eld</w:t>
      </w:r>
      <w:r w:rsidRPr="00D845F9">
        <w:rPr>
          <w:color w:val="000000" w:themeColor="text1"/>
        </w:rPr>
        <w:t xml:space="preserve"> that the use of the algorithm cannot act as justification for restricting the scope of application of the freedom of information regime. Let us imagine what would happen if all procedures were handled by algorithms</w:t>
      </w:r>
      <w:r w:rsidR="00D1698F" w:rsidRPr="00D845F9">
        <w:rPr>
          <w:color w:val="000000" w:themeColor="text1"/>
        </w:rPr>
        <w:t xml:space="preserve"> and the freedom-of-information requests were not applicable to algorithmic documents</w:t>
      </w:r>
      <w:r w:rsidRPr="00D845F9">
        <w:rPr>
          <w:color w:val="000000" w:themeColor="text1"/>
        </w:rPr>
        <w:t xml:space="preserve">: the </w:t>
      </w:r>
      <w:r w:rsidR="00D1698F" w:rsidRPr="00D845F9">
        <w:rPr>
          <w:color w:val="000000" w:themeColor="text1"/>
        </w:rPr>
        <w:t>said</w:t>
      </w:r>
      <w:r w:rsidRPr="00D845F9">
        <w:rPr>
          <w:color w:val="000000" w:themeColor="text1"/>
        </w:rPr>
        <w:t xml:space="preserve"> regime would still exist in the books, but no longer in practice. </w:t>
      </w:r>
    </w:p>
    <w:p w14:paraId="3EDDA8A9" w14:textId="56267AE2" w:rsidR="00E13941" w:rsidRPr="00D845F9" w:rsidRDefault="00FD0B30" w:rsidP="00D845F9">
      <w:pPr>
        <w:pStyle w:val="ListParagraph"/>
        <w:contextualSpacing w:val="0"/>
        <w:jc w:val="both"/>
        <w:rPr>
          <w:color w:val="000000" w:themeColor="text1"/>
        </w:rPr>
      </w:pPr>
      <w:r w:rsidRPr="00D845F9">
        <w:rPr>
          <w:color w:val="000000" w:themeColor="text1"/>
        </w:rPr>
        <w:t xml:space="preserve">The conceptual first step is </w:t>
      </w:r>
      <w:r w:rsidR="001C7452" w:rsidRPr="00D845F9">
        <w:rPr>
          <w:color w:val="000000" w:themeColor="text1"/>
        </w:rPr>
        <w:t>recognis</w:t>
      </w:r>
      <w:r w:rsidR="007925E4" w:rsidRPr="00D845F9">
        <w:rPr>
          <w:color w:val="000000" w:themeColor="text1"/>
        </w:rPr>
        <w:t>ing</w:t>
      </w:r>
      <w:r w:rsidRPr="00D845F9">
        <w:rPr>
          <w:color w:val="000000" w:themeColor="text1"/>
        </w:rPr>
        <w:t xml:space="preserve"> the existence of the </w:t>
      </w:r>
      <w:r w:rsidR="00D8686B" w:rsidRPr="00D845F9">
        <w:rPr>
          <w:color w:val="000000" w:themeColor="text1"/>
        </w:rPr>
        <w:t xml:space="preserve">concept of </w:t>
      </w:r>
      <w:r w:rsidRPr="00D845F9">
        <w:rPr>
          <w:color w:val="000000" w:themeColor="text1"/>
        </w:rPr>
        <w:t>d</w:t>
      </w:r>
      <w:r w:rsidR="00D1698F" w:rsidRPr="00D845F9">
        <w:rPr>
          <w:color w:val="000000" w:themeColor="text1"/>
        </w:rPr>
        <w:t>igital administrative document</w:t>
      </w:r>
      <w:r w:rsidRPr="00D845F9">
        <w:rPr>
          <w:color w:val="000000" w:themeColor="text1"/>
        </w:rPr>
        <w:t xml:space="preserve">. </w:t>
      </w:r>
      <w:r w:rsidR="00D8686B" w:rsidRPr="00D845F9">
        <w:rPr>
          <w:color w:val="000000" w:themeColor="text1"/>
        </w:rPr>
        <w:t>In a</w:t>
      </w:r>
      <w:r w:rsidRPr="00D845F9">
        <w:rPr>
          <w:color w:val="000000" w:themeColor="text1"/>
        </w:rPr>
        <w:t xml:space="preserve"> digital administrative document, an algorithm </w:t>
      </w:r>
      <w:r w:rsidR="00D8686B" w:rsidRPr="00D845F9">
        <w:rPr>
          <w:color w:val="000000" w:themeColor="text1"/>
        </w:rPr>
        <w:t>replace</w:t>
      </w:r>
      <w:r w:rsidRPr="00D845F9">
        <w:rPr>
          <w:color w:val="000000" w:themeColor="text1"/>
        </w:rPr>
        <w:t>s a human agent acting on behalf of a public body</w:t>
      </w:r>
      <w:r w:rsidR="00D8686B" w:rsidRPr="00D845F9">
        <w:rPr>
          <w:color w:val="000000" w:themeColor="text1"/>
        </w:rPr>
        <w:t>; this</w:t>
      </w:r>
      <w:r w:rsidRPr="00D845F9">
        <w:rPr>
          <w:color w:val="000000" w:themeColor="text1"/>
        </w:rPr>
        <w:t xml:space="preserve"> is allowed only with regards to the non-discretionary administrative activities</w:t>
      </w:r>
      <w:r w:rsidR="0051607F" w:rsidRPr="00D845F9">
        <w:rPr>
          <w:color w:val="000000" w:themeColor="text1"/>
        </w:rPr>
        <w:t>.</w:t>
      </w:r>
      <w:r w:rsidRPr="00D845F9">
        <w:rPr>
          <w:rStyle w:val="FootnoteReference"/>
          <w:color w:val="000000" w:themeColor="text1"/>
        </w:rPr>
        <w:footnoteReference w:id="304"/>
      </w:r>
      <w:r w:rsidR="007F6329" w:rsidRPr="00D845F9">
        <w:rPr>
          <w:color w:val="000000" w:themeColor="text1"/>
        </w:rPr>
        <w:t xml:space="preserve"> Indeed, non-discretionary power is compatible with the way computer programs work, because the latter can translate facts and legal data into code, thus bringing to an immutable conclusion through </w:t>
      </w:r>
      <w:r w:rsidR="007925E4" w:rsidRPr="00D845F9">
        <w:rPr>
          <w:color w:val="000000" w:themeColor="text1"/>
        </w:rPr>
        <w:t>formal</w:t>
      </w:r>
      <w:r w:rsidR="00255DC4" w:rsidRPr="00D845F9">
        <w:rPr>
          <w:color w:val="000000" w:themeColor="text1"/>
        </w:rPr>
        <w:t>ised</w:t>
      </w:r>
      <w:r w:rsidR="007F6329" w:rsidRPr="00D845F9">
        <w:rPr>
          <w:color w:val="000000" w:themeColor="text1"/>
        </w:rPr>
        <w:t xml:space="preserve"> reasoning</w:t>
      </w:r>
      <w:r w:rsidR="0051607F" w:rsidRPr="00D845F9">
        <w:rPr>
          <w:color w:val="000000" w:themeColor="text1"/>
        </w:rPr>
        <w:t>.</w:t>
      </w:r>
      <w:r w:rsidR="00D06ED9" w:rsidRPr="00D845F9">
        <w:rPr>
          <w:rStyle w:val="FootnoteReference"/>
          <w:color w:val="000000" w:themeColor="text1"/>
        </w:rPr>
        <w:footnoteReference w:id="305"/>
      </w:r>
      <w:r w:rsidR="007F6329" w:rsidRPr="00D845F9">
        <w:rPr>
          <w:color w:val="000000" w:themeColor="text1"/>
        </w:rPr>
        <w:t xml:space="preserve"> This passage </w:t>
      </w:r>
      <w:r w:rsidR="00D1698F" w:rsidRPr="00D845F9">
        <w:rPr>
          <w:color w:val="000000" w:themeColor="text1"/>
        </w:rPr>
        <w:t xml:space="preserve">of the ruling </w:t>
      </w:r>
      <w:r w:rsidR="007F6329" w:rsidRPr="00D845F9">
        <w:rPr>
          <w:color w:val="000000" w:themeColor="text1"/>
        </w:rPr>
        <w:t xml:space="preserve">reinforces </w:t>
      </w:r>
      <w:r w:rsidR="00D1698F" w:rsidRPr="00D845F9">
        <w:rPr>
          <w:color w:val="000000" w:themeColor="text1"/>
        </w:rPr>
        <w:t>this paper’s</w:t>
      </w:r>
      <w:r w:rsidR="007F6329" w:rsidRPr="00D845F9">
        <w:rPr>
          <w:color w:val="000000" w:themeColor="text1"/>
        </w:rPr>
        <w:t xml:space="preserve"> </w:t>
      </w:r>
      <w:r w:rsidR="00D1698F" w:rsidRPr="00D845F9">
        <w:rPr>
          <w:color w:val="000000" w:themeColor="text1"/>
        </w:rPr>
        <w:t>argument</w:t>
      </w:r>
      <w:r w:rsidR="007F6329" w:rsidRPr="00D845F9">
        <w:rPr>
          <w:color w:val="000000" w:themeColor="text1"/>
        </w:rPr>
        <w:t xml:space="preserve"> that algorithms cannot </w:t>
      </w:r>
      <w:r w:rsidR="00D8686B" w:rsidRPr="00D845F9">
        <w:rPr>
          <w:color w:val="000000" w:themeColor="text1"/>
        </w:rPr>
        <w:t>replace</w:t>
      </w:r>
      <w:r w:rsidR="007F6329" w:rsidRPr="00D845F9">
        <w:rPr>
          <w:color w:val="000000" w:themeColor="text1"/>
        </w:rPr>
        <w:t xml:space="preserve"> human judges (and other decision-makers) because interpretation is ubiquitous and it </w:t>
      </w:r>
      <w:r w:rsidR="00D1698F" w:rsidRPr="00D845F9">
        <w:rPr>
          <w:color w:val="000000" w:themeColor="text1"/>
        </w:rPr>
        <w:t xml:space="preserve">is </w:t>
      </w:r>
      <w:r w:rsidR="007F6329" w:rsidRPr="00D845F9">
        <w:rPr>
          <w:color w:val="000000" w:themeColor="text1"/>
        </w:rPr>
        <w:t>an ontologically discretionary activity.</w:t>
      </w:r>
    </w:p>
    <w:p w14:paraId="589C1F94" w14:textId="6D6FF53F" w:rsidR="007F6329" w:rsidRPr="00D845F9" w:rsidRDefault="007F6329" w:rsidP="00D845F9">
      <w:pPr>
        <w:pStyle w:val="ListParagraph"/>
        <w:contextualSpacing w:val="0"/>
        <w:jc w:val="both"/>
        <w:rPr>
          <w:color w:val="000000" w:themeColor="text1"/>
        </w:rPr>
      </w:pPr>
      <w:r w:rsidRPr="00D845F9">
        <w:rPr>
          <w:color w:val="000000" w:themeColor="text1"/>
        </w:rPr>
        <w:t>This said</w:t>
      </w:r>
      <w:r w:rsidR="00582B42" w:rsidRPr="00D845F9">
        <w:rPr>
          <w:color w:val="000000" w:themeColor="text1"/>
        </w:rPr>
        <w:t>, the court needed</w:t>
      </w:r>
      <w:r w:rsidRPr="00D845F9">
        <w:rPr>
          <w:color w:val="000000" w:themeColor="text1"/>
        </w:rPr>
        <w:t xml:space="preserve"> to qualify the computer program itself as a digital administrative document, otherwise</w:t>
      </w:r>
      <w:r w:rsidR="00582B42" w:rsidRPr="00D845F9">
        <w:rPr>
          <w:color w:val="000000" w:themeColor="text1"/>
        </w:rPr>
        <w:t xml:space="preserve"> no access to the source code could</w:t>
      </w:r>
      <w:r w:rsidRPr="00D845F9">
        <w:rPr>
          <w:color w:val="000000" w:themeColor="text1"/>
        </w:rPr>
        <w:t xml:space="preserve"> be granted (at least under this regime). </w:t>
      </w:r>
      <w:r w:rsidR="00470897" w:rsidRPr="00D845F9">
        <w:rPr>
          <w:color w:val="000000" w:themeColor="text1"/>
        </w:rPr>
        <w:t xml:space="preserve">The computer program qualifies as digital administrative document because it </w:t>
      </w:r>
      <w:r w:rsidR="007925E4" w:rsidRPr="00D845F9">
        <w:rPr>
          <w:color w:val="000000" w:themeColor="text1"/>
        </w:rPr>
        <w:t>material</w:t>
      </w:r>
      <w:r w:rsidR="00255DC4" w:rsidRPr="00D845F9">
        <w:rPr>
          <w:color w:val="000000" w:themeColor="text1"/>
        </w:rPr>
        <w:t>ises</w:t>
      </w:r>
      <w:r w:rsidR="00470897" w:rsidRPr="00D845F9">
        <w:rPr>
          <w:color w:val="000000" w:themeColor="text1"/>
        </w:rPr>
        <w:t xml:space="preserve"> the ultimate will of the public body in a way that is able to create, modify, or extinguish the individual’s legal positions.</w:t>
      </w:r>
      <w:r w:rsidR="006337BB" w:rsidRPr="00D845F9">
        <w:rPr>
          <w:color w:val="000000" w:themeColor="text1"/>
        </w:rPr>
        <w:t xml:space="preserve"> </w:t>
      </w:r>
      <w:r w:rsidR="00D8686B" w:rsidRPr="00D845F9">
        <w:rPr>
          <w:color w:val="000000" w:themeColor="text1"/>
        </w:rPr>
        <w:t>Consistently</w:t>
      </w:r>
      <w:r w:rsidR="006337BB" w:rsidRPr="00D845F9">
        <w:rPr>
          <w:color w:val="000000" w:themeColor="text1"/>
        </w:rPr>
        <w:t xml:space="preserve"> with the technology neutrality principle, the relevant statutory provision describes the ‘administrative document’ in a very broad way by encompassing </w:t>
      </w:r>
      <w:r w:rsidR="001934C4" w:rsidRPr="00D845F9">
        <w:rPr>
          <w:color w:val="000000" w:themeColor="text1"/>
        </w:rPr>
        <w:t>also the electromagnetic representation of a document and any other form of representation</w:t>
      </w:r>
      <w:r w:rsidR="0051607F" w:rsidRPr="00D845F9">
        <w:rPr>
          <w:color w:val="000000" w:themeColor="text1"/>
        </w:rPr>
        <w:t>.</w:t>
      </w:r>
      <w:r w:rsidR="001934C4" w:rsidRPr="00D845F9">
        <w:rPr>
          <w:rStyle w:val="FootnoteReference"/>
          <w:color w:val="000000" w:themeColor="text1"/>
        </w:rPr>
        <w:footnoteReference w:id="306"/>
      </w:r>
      <w:r w:rsidR="001934C4" w:rsidRPr="00D845F9">
        <w:rPr>
          <w:color w:val="000000" w:themeColor="text1"/>
        </w:rPr>
        <w:t xml:space="preserve"> Therefore, there is no problem in considering a computer program implementing an algorithm as an administrative document (</w:t>
      </w:r>
      <w:r w:rsidR="00A1060F">
        <w:rPr>
          <w:color w:val="000000" w:themeColor="text1"/>
        </w:rPr>
        <w:t>if</w:t>
      </w:r>
      <w:r w:rsidR="001934C4" w:rsidRPr="00D845F9">
        <w:rPr>
          <w:color w:val="000000" w:themeColor="text1"/>
        </w:rPr>
        <w:t xml:space="preserve"> also the other legal requirements are met)</w:t>
      </w:r>
      <w:r w:rsidR="0051607F" w:rsidRPr="00D845F9">
        <w:rPr>
          <w:color w:val="000000" w:themeColor="text1"/>
        </w:rPr>
        <w:t>.</w:t>
      </w:r>
      <w:r w:rsidR="001934C4" w:rsidRPr="00D845F9">
        <w:rPr>
          <w:rStyle w:val="FootnoteReference"/>
          <w:color w:val="000000" w:themeColor="text1"/>
        </w:rPr>
        <w:footnoteReference w:id="307"/>
      </w:r>
      <w:r w:rsidR="00294063" w:rsidRPr="00D845F9">
        <w:rPr>
          <w:color w:val="000000" w:themeColor="text1"/>
        </w:rPr>
        <w:t xml:space="preserve"> It may be conceded that, strictly speaking, a computer program is not a document in itself. However, </w:t>
      </w:r>
      <w:r w:rsidR="007925E4" w:rsidRPr="00D845F9">
        <w:rPr>
          <w:color w:val="000000" w:themeColor="text1"/>
        </w:rPr>
        <w:t>recogn</w:t>
      </w:r>
      <w:r w:rsidR="004F4403" w:rsidRPr="00D845F9">
        <w:rPr>
          <w:color w:val="000000" w:themeColor="text1"/>
        </w:rPr>
        <w:t>ising</w:t>
      </w:r>
      <w:r w:rsidR="00294063" w:rsidRPr="00D845F9">
        <w:rPr>
          <w:color w:val="000000" w:themeColor="text1"/>
        </w:rPr>
        <w:t xml:space="preserve"> the right to access only to the final document resulting from the algorithmic procedure would equal denying the access request, because without the source code it may prove hard understanding the rationale of the final decision. The right to access serve often the purpose to </w:t>
      </w:r>
      <w:r w:rsidR="00582B42" w:rsidRPr="00D845F9">
        <w:rPr>
          <w:color w:val="000000" w:themeColor="text1"/>
        </w:rPr>
        <w:t xml:space="preserve">lodge a complaint </w:t>
      </w:r>
      <w:r w:rsidR="00294063" w:rsidRPr="00D845F9">
        <w:rPr>
          <w:color w:val="000000" w:themeColor="text1"/>
        </w:rPr>
        <w:t xml:space="preserve">against a public body if the final decision affected the individual’s rights or legitimate interests. However, it is unlikely that such a claim would be successful, if the individual does not have access to the rationale of the final decision (which means also accessing the source code, if the decision is algorithmic). Indeed, </w:t>
      </w:r>
      <w:r w:rsidR="00B9647C" w:rsidRPr="00D845F9">
        <w:rPr>
          <w:color w:val="000000" w:themeColor="text1"/>
        </w:rPr>
        <w:t xml:space="preserve">it is believed </w:t>
      </w:r>
      <w:r w:rsidR="00294063" w:rsidRPr="00D845F9">
        <w:rPr>
          <w:color w:val="000000" w:themeColor="text1"/>
        </w:rPr>
        <w:t xml:space="preserve">that a narrow interpretation of ‘administrative document’ would not comply with the right to an effective remedy as enshrined in the Charter of Fundamental Rights of the </w:t>
      </w:r>
      <w:r w:rsidR="00582B42" w:rsidRPr="00D845F9">
        <w:rPr>
          <w:color w:val="000000" w:themeColor="text1"/>
        </w:rPr>
        <w:t>EU</w:t>
      </w:r>
      <w:r w:rsidR="00294063" w:rsidRPr="00D845F9">
        <w:rPr>
          <w:rStyle w:val="FootnoteReference"/>
          <w:color w:val="000000" w:themeColor="text1"/>
        </w:rPr>
        <w:footnoteReference w:id="308"/>
      </w:r>
      <w:r w:rsidR="00294063" w:rsidRPr="00D845F9">
        <w:rPr>
          <w:color w:val="000000" w:themeColor="text1"/>
        </w:rPr>
        <w:t xml:space="preserve"> and in the European Convention of Human Rights</w:t>
      </w:r>
      <w:r w:rsidR="0051607F" w:rsidRPr="00D845F9">
        <w:rPr>
          <w:color w:val="000000" w:themeColor="text1"/>
        </w:rPr>
        <w:t>.</w:t>
      </w:r>
      <w:r w:rsidR="00294063" w:rsidRPr="00D845F9">
        <w:rPr>
          <w:rStyle w:val="FootnoteReference"/>
          <w:color w:val="000000" w:themeColor="text1"/>
        </w:rPr>
        <w:footnoteReference w:id="309"/>
      </w:r>
      <w:r w:rsidR="00294063" w:rsidRPr="00D845F9">
        <w:rPr>
          <w:color w:val="000000" w:themeColor="text1"/>
        </w:rPr>
        <w:t xml:space="preserve"> </w:t>
      </w:r>
    </w:p>
    <w:p w14:paraId="787455D7" w14:textId="46BC34B4" w:rsidR="00DB2170" w:rsidRPr="00D845F9" w:rsidRDefault="00DB2170" w:rsidP="00D845F9">
      <w:pPr>
        <w:pStyle w:val="ListParagraph"/>
        <w:contextualSpacing w:val="0"/>
        <w:jc w:val="both"/>
        <w:rPr>
          <w:color w:val="000000" w:themeColor="text1"/>
        </w:rPr>
      </w:pPr>
      <w:r w:rsidRPr="00D845F9">
        <w:rPr>
          <w:color w:val="000000" w:themeColor="text1"/>
        </w:rPr>
        <w:t xml:space="preserve">One may object that granting the access in this case would be tantamount to granting access to the source code of the computer program (e.g. Microsoft Word) used to write an administrative document. Such an argument would be based on a wrong understanding of what is a digital administrative document. Indeed, the court distinguishes between documents drafted with the aid of a computer and electronically </w:t>
      </w:r>
      <w:r w:rsidR="00D622B8" w:rsidRPr="00D845F9">
        <w:rPr>
          <w:color w:val="000000" w:themeColor="text1"/>
        </w:rPr>
        <w:t>program</w:t>
      </w:r>
      <w:r w:rsidR="0051607F" w:rsidRPr="00D845F9">
        <w:rPr>
          <w:color w:val="000000" w:themeColor="text1"/>
        </w:rPr>
        <w:t>me</w:t>
      </w:r>
      <w:r w:rsidRPr="00D845F9">
        <w:rPr>
          <w:color w:val="000000" w:themeColor="text1"/>
        </w:rPr>
        <w:t xml:space="preserve">d documents, where the software finds and links data and norms. </w:t>
      </w:r>
      <w:r w:rsidR="00B26774" w:rsidRPr="00D845F9">
        <w:rPr>
          <w:color w:val="000000" w:themeColor="text1"/>
        </w:rPr>
        <w:t>T</w:t>
      </w:r>
      <w:r w:rsidRPr="00D845F9">
        <w:rPr>
          <w:color w:val="000000" w:themeColor="text1"/>
        </w:rPr>
        <w:t>he latter is a digital administrative document (</w:t>
      </w:r>
      <w:r w:rsidR="00582B42" w:rsidRPr="00D845F9">
        <w:rPr>
          <w:color w:val="000000" w:themeColor="text1"/>
        </w:rPr>
        <w:t xml:space="preserve">the </w:t>
      </w:r>
      <w:r w:rsidRPr="00D845F9">
        <w:rPr>
          <w:color w:val="000000" w:themeColor="text1"/>
        </w:rPr>
        <w:t xml:space="preserve">source code </w:t>
      </w:r>
      <w:r w:rsidR="00582B42" w:rsidRPr="00D845F9">
        <w:rPr>
          <w:color w:val="000000" w:themeColor="text1"/>
        </w:rPr>
        <w:t xml:space="preserve">of which </w:t>
      </w:r>
      <w:r w:rsidRPr="00D845F9">
        <w:rPr>
          <w:color w:val="000000" w:themeColor="text1"/>
        </w:rPr>
        <w:t xml:space="preserve">is accessible) because it constitutes the final </w:t>
      </w:r>
      <w:r w:rsidR="00715E9F" w:rsidRPr="00D845F9">
        <w:rPr>
          <w:color w:val="000000" w:themeColor="text1"/>
        </w:rPr>
        <w:t>decision;</w:t>
      </w:r>
      <w:r w:rsidRPr="00D845F9">
        <w:rPr>
          <w:color w:val="000000" w:themeColor="text1"/>
        </w:rPr>
        <w:t xml:space="preserve"> it is not a mere aid to draft it</w:t>
      </w:r>
      <w:r w:rsidR="0051607F" w:rsidRPr="00D845F9">
        <w:rPr>
          <w:color w:val="000000" w:themeColor="text1"/>
        </w:rPr>
        <w:t>.</w:t>
      </w:r>
      <w:r w:rsidR="00B26774" w:rsidRPr="00D845F9">
        <w:rPr>
          <w:rStyle w:val="FootnoteReference"/>
          <w:color w:val="000000" w:themeColor="text1"/>
        </w:rPr>
        <w:footnoteReference w:id="310"/>
      </w:r>
      <w:r w:rsidR="00B26774" w:rsidRPr="00D845F9">
        <w:rPr>
          <w:color w:val="000000" w:themeColor="text1"/>
        </w:rPr>
        <w:t xml:space="preserve"> </w:t>
      </w:r>
      <w:r w:rsidR="00582B42" w:rsidRPr="00D845F9">
        <w:rPr>
          <w:color w:val="000000" w:themeColor="text1"/>
        </w:rPr>
        <w:t>This paper</w:t>
      </w:r>
      <w:r w:rsidR="00B26774" w:rsidRPr="00D845F9">
        <w:rPr>
          <w:color w:val="000000" w:themeColor="text1"/>
        </w:rPr>
        <w:t xml:space="preserve"> join</w:t>
      </w:r>
      <w:r w:rsidR="00582B42" w:rsidRPr="00D845F9">
        <w:rPr>
          <w:color w:val="000000" w:themeColor="text1"/>
        </w:rPr>
        <w:t>s</w:t>
      </w:r>
      <w:r w:rsidR="00B26774" w:rsidRPr="00D845F9">
        <w:rPr>
          <w:color w:val="000000" w:themeColor="text1"/>
        </w:rPr>
        <w:t xml:space="preserve"> those who underline that “the electronic</w:t>
      </w:r>
      <w:r w:rsidR="001F49F0" w:rsidRPr="00D845F9">
        <w:rPr>
          <w:color w:val="000000" w:themeColor="text1"/>
        </w:rPr>
        <w:t xml:space="preserve"> processing </w:t>
      </w:r>
      <w:r w:rsidR="001F49F0" w:rsidRPr="00D845F9">
        <w:rPr>
          <w:i/>
          <w:color w:val="000000" w:themeColor="text1"/>
        </w:rPr>
        <w:t xml:space="preserve">is </w:t>
      </w:r>
      <w:r w:rsidR="001F49F0" w:rsidRPr="00D845F9">
        <w:rPr>
          <w:color w:val="000000" w:themeColor="text1"/>
        </w:rPr>
        <w:t xml:space="preserve">the document, it represents it, it makes it known externally, it becomes the form of the document, thus being legally relevant </w:t>
      </w:r>
      <w:r w:rsidR="001F49F0" w:rsidRPr="00D845F9">
        <w:rPr>
          <w:i/>
          <w:color w:val="000000" w:themeColor="text1"/>
        </w:rPr>
        <w:t>in its electronic form</w:t>
      </w:r>
      <w:r w:rsidR="001F49F0" w:rsidRPr="00D845F9">
        <w:rPr>
          <w:color w:val="000000" w:themeColor="text1"/>
        </w:rPr>
        <w:t>, regardless</w:t>
      </w:r>
      <w:r w:rsidR="00F31E0F" w:rsidRPr="00D845F9">
        <w:rPr>
          <w:color w:val="000000" w:themeColor="text1"/>
        </w:rPr>
        <w:t xml:space="preserve"> of</w:t>
      </w:r>
      <w:r w:rsidR="001F49F0" w:rsidRPr="00D845F9">
        <w:rPr>
          <w:color w:val="000000" w:themeColor="text1"/>
        </w:rPr>
        <w:t xml:space="preserve"> its paper transcription</w:t>
      </w:r>
      <w:r w:rsidR="0051607F" w:rsidRPr="00D845F9">
        <w:rPr>
          <w:color w:val="000000" w:themeColor="text1"/>
        </w:rPr>
        <w:t>.</w:t>
      </w:r>
      <w:r w:rsidR="001F49F0" w:rsidRPr="00D845F9">
        <w:rPr>
          <w:color w:val="000000" w:themeColor="text1"/>
        </w:rPr>
        <w:t>”</w:t>
      </w:r>
      <w:r w:rsidR="001F49F0" w:rsidRPr="00D845F9">
        <w:rPr>
          <w:rStyle w:val="FootnoteReference"/>
          <w:color w:val="000000" w:themeColor="text1"/>
        </w:rPr>
        <w:footnoteReference w:id="311"/>
      </w:r>
      <w:r w:rsidR="005C4A82" w:rsidRPr="00D845F9">
        <w:rPr>
          <w:color w:val="000000" w:themeColor="text1"/>
        </w:rPr>
        <w:t xml:space="preserve"> The very broad definition of administrative document </w:t>
      </w:r>
      <w:r w:rsidR="00E264EE" w:rsidRPr="00D845F9">
        <w:rPr>
          <w:color w:val="000000" w:themeColor="text1"/>
        </w:rPr>
        <w:t xml:space="preserve">is seen by the court and by </w:t>
      </w:r>
      <w:r w:rsidR="005C4A82" w:rsidRPr="00D845F9">
        <w:rPr>
          <w:color w:val="000000" w:themeColor="text1"/>
        </w:rPr>
        <w:t>legal scholars as a shift from a focus on the pedigree of the document, to its function</w:t>
      </w:r>
      <w:r w:rsidR="0051607F" w:rsidRPr="00D845F9">
        <w:rPr>
          <w:color w:val="000000" w:themeColor="text1"/>
        </w:rPr>
        <w:t>:</w:t>
      </w:r>
      <w:r w:rsidR="005C4A82" w:rsidRPr="00D845F9">
        <w:rPr>
          <w:rStyle w:val="FootnoteReference"/>
          <w:color w:val="000000" w:themeColor="text1"/>
        </w:rPr>
        <w:footnoteReference w:id="312"/>
      </w:r>
      <w:r w:rsidR="005C4A82" w:rsidRPr="00D845F9">
        <w:rPr>
          <w:color w:val="000000" w:themeColor="text1"/>
        </w:rPr>
        <w:t xml:space="preserve"> if the function is administrative (as in concerning the public interest), then it is immaterial how the document was formed and access shall be granted in any event, if the general requirements are met.</w:t>
      </w:r>
      <w:r w:rsidR="00F03652" w:rsidRPr="00D845F9">
        <w:rPr>
          <w:color w:val="000000" w:themeColor="text1"/>
        </w:rPr>
        <w:t xml:space="preserve"> This said, it is important to stress that the court stated that electronically </w:t>
      </w:r>
      <w:r w:rsidR="00D622B8" w:rsidRPr="00D845F9">
        <w:rPr>
          <w:color w:val="000000" w:themeColor="text1"/>
        </w:rPr>
        <w:t>program</w:t>
      </w:r>
      <w:r w:rsidR="0051607F" w:rsidRPr="00D845F9">
        <w:rPr>
          <w:color w:val="000000" w:themeColor="text1"/>
        </w:rPr>
        <w:t>me</w:t>
      </w:r>
      <w:r w:rsidR="00F03652" w:rsidRPr="00D845F9">
        <w:rPr>
          <w:color w:val="000000" w:themeColor="text1"/>
        </w:rPr>
        <w:t>d documents are not allowed when it comes to the exercise of discretionary power</w:t>
      </w:r>
      <w:r w:rsidR="0051607F" w:rsidRPr="00D845F9">
        <w:rPr>
          <w:color w:val="000000" w:themeColor="text1"/>
        </w:rPr>
        <w:t>,</w:t>
      </w:r>
      <w:r w:rsidR="00943CE8" w:rsidRPr="00D845F9">
        <w:rPr>
          <w:rStyle w:val="FootnoteReference"/>
          <w:color w:val="000000" w:themeColor="text1"/>
        </w:rPr>
        <w:footnoteReference w:id="313"/>
      </w:r>
      <w:r w:rsidR="00F03652" w:rsidRPr="00D845F9">
        <w:rPr>
          <w:color w:val="000000" w:themeColor="text1"/>
        </w:rPr>
        <w:t xml:space="preserve"> due to the difficulty “which is scientific as opposed to legal, to map the reasoning underlying the document</w:t>
      </w:r>
      <w:r w:rsidR="0051607F" w:rsidRPr="00D845F9">
        <w:rPr>
          <w:color w:val="000000" w:themeColor="text1"/>
        </w:rPr>
        <w:t>,</w:t>
      </w:r>
      <w:r w:rsidR="00F03652" w:rsidRPr="00D845F9">
        <w:rPr>
          <w:color w:val="000000" w:themeColor="text1"/>
        </w:rPr>
        <w:t>”</w:t>
      </w:r>
      <w:r w:rsidR="00F03652" w:rsidRPr="00D845F9">
        <w:rPr>
          <w:rStyle w:val="FootnoteReference"/>
          <w:color w:val="000000" w:themeColor="text1"/>
        </w:rPr>
        <w:footnoteReference w:id="314"/>
      </w:r>
      <w:r w:rsidR="00F03652" w:rsidRPr="00D845F9">
        <w:rPr>
          <w:color w:val="000000" w:themeColor="text1"/>
        </w:rPr>
        <w:t xml:space="preserve"> if this is the outcome of an algorithmic procedure (and not simply drafted by a human being with the aid of a word processor). Again, no plac</w:t>
      </w:r>
      <w:r w:rsidR="00582B42" w:rsidRPr="00D845F9">
        <w:rPr>
          <w:color w:val="000000" w:themeColor="text1"/>
        </w:rPr>
        <w:t>e for algorithmic decisions where</w:t>
      </w:r>
      <w:r w:rsidR="00F03652" w:rsidRPr="00D845F9">
        <w:rPr>
          <w:color w:val="000000" w:themeColor="text1"/>
        </w:rPr>
        <w:t xml:space="preserve"> </w:t>
      </w:r>
      <w:r w:rsidR="00582B42" w:rsidRPr="00D845F9">
        <w:rPr>
          <w:color w:val="000000" w:themeColor="text1"/>
        </w:rPr>
        <w:t>the relevant process is discretionary</w:t>
      </w:r>
      <w:r w:rsidR="0051607F" w:rsidRPr="00D845F9">
        <w:rPr>
          <w:color w:val="000000" w:themeColor="text1"/>
        </w:rPr>
        <w:t>.</w:t>
      </w:r>
      <w:r w:rsidR="001E2B43" w:rsidRPr="00D845F9">
        <w:rPr>
          <w:rStyle w:val="FootnoteReference"/>
          <w:color w:val="000000" w:themeColor="text1"/>
        </w:rPr>
        <w:footnoteReference w:id="315"/>
      </w:r>
    </w:p>
    <w:p w14:paraId="220E1A95" w14:textId="1448155A" w:rsidR="00470897" w:rsidRPr="00D845F9" w:rsidRDefault="00470897" w:rsidP="00D845F9">
      <w:pPr>
        <w:pStyle w:val="ListParagraph"/>
        <w:contextualSpacing w:val="0"/>
        <w:jc w:val="both"/>
        <w:rPr>
          <w:color w:val="000000" w:themeColor="text1"/>
        </w:rPr>
      </w:pPr>
      <w:r w:rsidRPr="00D845F9">
        <w:rPr>
          <w:color w:val="000000" w:themeColor="text1"/>
        </w:rPr>
        <w:t>Once</w:t>
      </w:r>
      <w:r w:rsidR="00D75095" w:rsidRPr="00D845F9">
        <w:rPr>
          <w:color w:val="000000" w:themeColor="text1"/>
        </w:rPr>
        <w:t xml:space="preserve"> it had</w:t>
      </w:r>
      <w:r w:rsidRPr="00D845F9">
        <w:rPr>
          <w:color w:val="000000" w:themeColor="text1"/>
        </w:rPr>
        <w:t xml:space="preserve"> </w:t>
      </w:r>
      <w:r w:rsidR="007925E4" w:rsidRPr="00D845F9">
        <w:rPr>
          <w:color w:val="000000" w:themeColor="text1"/>
        </w:rPr>
        <w:t>recogn</w:t>
      </w:r>
      <w:r w:rsidR="00255DC4" w:rsidRPr="00D845F9">
        <w:rPr>
          <w:color w:val="000000" w:themeColor="text1"/>
        </w:rPr>
        <w:t>ised</w:t>
      </w:r>
      <w:r w:rsidRPr="00D845F9">
        <w:rPr>
          <w:color w:val="000000" w:themeColor="text1"/>
        </w:rPr>
        <w:t xml:space="preserve"> the right to access the </w:t>
      </w:r>
      <w:r w:rsidR="00D75095" w:rsidRPr="00D845F9">
        <w:rPr>
          <w:color w:val="000000" w:themeColor="text1"/>
        </w:rPr>
        <w:t>computer program, the court went</w:t>
      </w:r>
      <w:r w:rsidRPr="00D845F9">
        <w:rPr>
          <w:color w:val="000000" w:themeColor="text1"/>
        </w:rPr>
        <w:t xml:space="preserve"> on to state that </w:t>
      </w:r>
      <w:r w:rsidR="00D8686B" w:rsidRPr="00D845F9">
        <w:rPr>
          <w:color w:val="000000" w:themeColor="text1"/>
        </w:rPr>
        <w:t xml:space="preserve">providing the applicant with </w:t>
      </w:r>
      <w:r w:rsidRPr="00D845F9">
        <w:rPr>
          <w:color w:val="000000" w:themeColor="text1"/>
        </w:rPr>
        <w:t>the mere description of the algorithm and of its functioning is not a sufficient response</w:t>
      </w:r>
      <w:r w:rsidR="0051607F" w:rsidRPr="00D845F9">
        <w:rPr>
          <w:color w:val="000000" w:themeColor="text1"/>
        </w:rPr>
        <w:t>.</w:t>
      </w:r>
      <w:r w:rsidR="00D06ED9" w:rsidRPr="00D845F9">
        <w:rPr>
          <w:rStyle w:val="FootnoteReference"/>
          <w:color w:val="000000" w:themeColor="text1"/>
        </w:rPr>
        <w:footnoteReference w:id="316"/>
      </w:r>
      <w:r w:rsidRPr="00D845F9">
        <w:rPr>
          <w:color w:val="000000" w:themeColor="text1"/>
        </w:rPr>
        <w:t xml:space="preserve"> Only the access to the source code is.</w:t>
      </w:r>
      <w:r w:rsidR="009A06E7" w:rsidRPr="00D845F9">
        <w:rPr>
          <w:color w:val="000000" w:themeColor="text1"/>
        </w:rPr>
        <w:t xml:space="preserve"> Indeed, the </w:t>
      </w:r>
      <w:r w:rsidR="00D8686B" w:rsidRPr="00D845F9">
        <w:rPr>
          <w:color w:val="000000" w:themeColor="text1"/>
        </w:rPr>
        <w:t>Ministry of Education</w:t>
      </w:r>
      <w:r w:rsidR="009A06E7" w:rsidRPr="00D845F9">
        <w:rPr>
          <w:color w:val="000000" w:themeColor="text1"/>
        </w:rPr>
        <w:t xml:space="preserve"> had responded to the access request by describing the algorithmic procedure (collection of input data, appointment to a certain school, distribution of the results), as well as reporting some case studies.</w:t>
      </w:r>
      <w:r w:rsidR="006D38EA" w:rsidRPr="00D845F9">
        <w:rPr>
          <w:color w:val="000000" w:themeColor="text1"/>
        </w:rPr>
        <w:t xml:space="preserve"> The court, however, </w:t>
      </w:r>
      <w:r w:rsidR="00715E9F" w:rsidRPr="00D845F9">
        <w:rPr>
          <w:color w:val="000000" w:themeColor="text1"/>
        </w:rPr>
        <w:t>states,</w:t>
      </w:r>
      <w:r w:rsidR="00006F0C" w:rsidRPr="00D845F9">
        <w:rPr>
          <w:color w:val="000000" w:themeColor="text1"/>
        </w:rPr>
        <w:t xml:space="preserve"> “the assessment of</w:t>
      </w:r>
      <w:r w:rsidR="006D38EA" w:rsidRPr="00D845F9">
        <w:rPr>
          <w:color w:val="000000" w:themeColor="text1"/>
        </w:rPr>
        <w:t xml:space="preserve"> the functionality of the algorithm or</w:t>
      </w:r>
      <w:r w:rsidR="00006F0C" w:rsidRPr="00D845F9">
        <w:rPr>
          <w:color w:val="000000" w:themeColor="text1"/>
        </w:rPr>
        <w:t xml:space="preserve"> of programming errors can be carried out exclusively in light of the knowledge”</w:t>
      </w:r>
      <w:r w:rsidR="00006F0C" w:rsidRPr="00D845F9">
        <w:rPr>
          <w:rStyle w:val="FootnoteReference"/>
          <w:color w:val="000000" w:themeColor="text1"/>
        </w:rPr>
        <w:footnoteReference w:id="317"/>
      </w:r>
      <w:r w:rsidR="00006F0C" w:rsidRPr="00D845F9">
        <w:rPr>
          <w:color w:val="000000" w:themeColor="text1"/>
        </w:rPr>
        <w:t xml:space="preserve"> of the source code.</w:t>
      </w:r>
      <w:r w:rsidR="006D38EA" w:rsidRPr="00D845F9">
        <w:rPr>
          <w:rStyle w:val="apple-converted-space"/>
          <w:color w:val="000000" w:themeColor="text1"/>
        </w:rPr>
        <w:t> </w:t>
      </w:r>
    </w:p>
    <w:p w14:paraId="121E9B2D" w14:textId="27CD1FC4" w:rsidR="00602536" w:rsidRPr="00D845F9" w:rsidRDefault="00470897" w:rsidP="00D845F9">
      <w:pPr>
        <w:pStyle w:val="ListParagraph"/>
        <w:contextualSpacing w:val="0"/>
        <w:jc w:val="both"/>
        <w:rPr>
          <w:color w:val="000000" w:themeColor="text1"/>
        </w:rPr>
      </w:pPr>
      <w:r w:rsidRPr="00D845F9">
        <w:rPr>
          <w:color w:val="000000" w:themeColor="text1"/>
        </w:rPr>
        <w:t>Finally, as to the clash with the copyright on the computer program</w:t>
      </w:r>
      <w:r w:rsidR="004959BC" w:rsidRPr="00D845F9">
        <w:rPr>
          <w:color w:val="000000" w:themeColor="text1"/>
        </w:rPr>
        <w:t>,</w:t>
      </w:r>
      <w:r w:rsidR="00602536" w:rsidRPr="00D845F9">
        <w:rPr>
          <w:color w:val="000000" w:themeColor="text1"/>
        </w:rPr>
        <w:t xml:space="preserve"> the steps to follow </w:t>
      </w:r>
      <w:r w:rsidR="00715E9F" w:rsidRPr="00D845F9">
        <w:rPr>
          <w:color w:val="000000" w:themeColor="text1"/>
        </w:rPr>
        <w:t>are</w:t>
      </w:r>
      <w:r w:rsidR="00602536" w:rsidRPr="00D845F9">
        <w:rPr>
          <w:color w:val="000000" w:themeColor="text1"/>
        </w:rPr>
        <w:t xml:space="preserve"> i. Assessment of copyright subsistence; ii. Authorship and ownership; iii. Infringement; iv. Exceptions.</w:t>
      </w:r>
      <w:r w:rsidR="00E26641" w:rsidRPr="00D845F9">
        <w:rPr>
          <w:color w:val="000000" w:themeColor="text1"/>
        </w:rPr>
        <w:t xml:space="preserve"> </w:t>
      </w:r>
    </w:p>
    <w:p w14:paraId="3B33C70B" w14:textId="5EF0B418" w:rsidR="00602536" w:rsidRPr="00D845F9" w:rsidRDefault="00602536" w:rsidP="00D845F9">
      <w:pPr>
        <w:pStyle w:val="ListParagraph"/>
        <w:contextualSpacing w:val="0"/>
        <w:jc w:val="both"/>
        <w:rPr>
          <w:color w:val="000000" w:themeColor="text1"/>
        </w:rPr>
      </w:pPr>
      <w:r w:rsidRPr="00D845F9">
        <w:rPr>
          <w:color w:val="000000" w:themeColor="text1"/>
        </w:rPr>
        <w:t>The subsistence</w:t>
      </w:r>
      <w:r w:rsidR="00D8686B" w:rsidRPr="00D845F9">
        <w:rPr>
          <w:color w:val="000000" w:themeColor="text1"/>
        </w:rPr>
        <w:t>, authorship, and ownership</w:t>
      </w:r>
      <w:r w:rsidRPr="00D845F9">
        <w:rPr>
          <w:color w:val="000000" w:themeColor="text1"/>
        </w:rPr>
        <w:t xml:space="preserve"> of </w:t>
      </w:r>
      <w:r w:rsidR="00D8686B" w:rsidRPr="00D845F9">
        <w:rPr>
          <w:color w:val="000000" w:themeColor="text1"/>
        </w:rPr>
        <w:t>the copyright do</w:t>
      </w:r>
      <w:r w:rsidRPr="00D845F9">
        <w:rPr>
          <w:color w:val="000000" w:themeColor="text1"/>
        </w:rPr>
        <w:t xml:space="preserve"> not seem problematic</w:t>
      </w:r>
      <w:r w:rsidR="00582B42" w:rsidRPr="00D845F9">
        <w:rPr>
          <w:color w:val="000000" w:themeColor="text1"/>
        </w:rPr>
        <w:t>.</w:t>
      </w:r>
      <w:r w:rsidRPr="00D845F9">
        <w:rPr>
          <w:rStyle w:val="FootnoteReference"/>
          <w:color w:val="000000" w:themeColor="text1"/>
        </w:rPr>
        <w:footnoteReference w:id="318"/>
      </w:r>
      <w:r w:rsidR="00582B42" w:rsidRPr="00D845F9">
        <w:rPr>
          <w:color w:val="000000" w:themeColor="text1"/>
        </w:rPr>
        <w:t xml:space="preserve"> </w:t>
      </w:r>
      <w:r w:rsidRPr="00D845F9">
        <w:rPr>
          <w:color w:val="000000" w:themeColor="text1"/>
        </w:rPr>
        <w:t xml:space="preserve">Even though there is no evidence on the point, the court assumes that the </w:t>
      </w:r>
      <w:r w:rsidR="00D8686B" w:rsidRPr="00D845F9">
        <w:rPr>
          <w:color w:val="000000" w:themeColor="text1"/>
        </w:rPr>
        <w:t>Ministry of Education</w:t>
      </w:r>
      <w:r w:rsidRPr="00D845F9">
        <w:rPr>
          <w:color w:val="000000" w:themeColor="text1"/>
        </w:rPr>
        <w:t xml:space="preserve"> owns the program under a </w:t>
      </w:r>
      <w:r w:rsidR="007925E4" w:rsidRPr="00D845F9">
        <w:rPr>
          <w:color w:val="000000" w:themeColor="text1"/>
        </w:rPr>
        <w:t>license</w:t>
      </w:r>
      <w:r w:rsidRPr="00D845F9">
        <w:rPr>
          <w:color w:val="000000" w:themeColor="text1"/>
        </w:rPr>
        <w:t xml:space="preserve"> with HPE Services s.r.l., which retains authorship and the moral rights</w:t>
      </w:r>
      <w:r w:rsidR="0051607F" w:rsidRPr="00D845F9">
        <w:rPr>
          <w:color w:val="000000" w:themeColor="text1"/>
        </w:rPr>
        <w:t>.</w:t>
      </w:r>
      <w:r w:rsidRPr="00D845F9">
        <w:rPr>
          <w:rStyle w:val="FootnoteReference"/>
          <w:color w:val="000000" w:themeColor="text1"/>
        </w:rPr>
        <w:footnoteReference w:id="319"/>
      </w:r>
    </w:p>
    <w:p w14:paraId="507BD88D" w14:textId="0CD576AA" w:rsidR="00641AEF" w:rsidRPr="00D845F9" w:rsidRDefault="009E4676" w:rsidP="00D845F9">
      <w:pPr>
        <w:pStyle w:val="ListParagraph"/>
        <w:contextualSpacing w:val="0"/>
        <w:jc w:val="both"/>
        <w:rPr>
          <w:color w:val="000000" w:themeColor="text1"/>
          <w:shd w:val="clear" w:color="auto" w:fill="FFFFFF"/>
        </w:rPr>
      </w:pPr>
      <w:r w:rsidRPr="00D845F9">
        <w:rPr>
          <w:color w:val="000000" w:themeColor="text1"/>
        </w:rPr>
        <w:t>T</w:t>
      </w:r>
      <w:r w:rsidR="004959BC" w:rsidRPr="00D845F9">
        <w:rPr>
          <w:color w:val="000000" w:themeColor="text1"/>
        </w:rPr>
        <w:t xml:space="preserve">he court </w:t>
      </w:r>
      <w:r w:rsidR="00D8686B" w:rsidRPr="00D845F9">
        <w:rPr>
          <w:color w:val="000000" w:themeColor="text1"/>
        </w:rPr>
        <w:t>goes on to observe</w:t>
      </w:r>
      <w:r w:rsidR="004959BC" w:rsidRPr="00D845F9">
        <w:rPr>
          <w:color w:val="000000" w:themeColor="text1"/>
        </w:rPr>
        <w:t xml:space="preserve"> that the purpose of the access does not conflict with the economic interest protected by copyright</w:t>
      </w:r>
      <w:r w:rsidR="0051607F" w:rsidRPr="00D845F9">
        <w:rPr>
          <w:color w:val="000000" w:themeColor="text1"/>
        </w:rPr>
        <w:t>.</w:t>
      </w:r>
      <w:r w:rsidR="004959BC" w:rsidRPr="00D845F9">
        <w:rPr>
          <w:rStyle w:val="FootnoteReference"/>
          <w:color w:val="000000" w:themeColor="text1"/>
        </w:rPr>
        <w:footnoteReference w:id="320"/>
      </w:r>
      <w:r w:rsidR="00500B6D" w:rsidRPr="00D845F9">
        <w:rPr>
          <w:color w:val="000000" w:themeColor="text1"/>
        </w:rPr>
        <w:t xml:space="preserve"> </w:t>
      </w:r>
      <w:r w:rsidR="00B9553E" w:rsidRPr="00D845F9">
        <w:rPr>
          <w:color w:val="000000" w:themeColor="text1"/>
        </w:rPr>
        <w:t>On this point</w:t>
      </w:r>
      <w:r w:rsidR="00500B6D" w:rsidRPr="00D845F9">
        <w:rPr>
          <w:color w:val="000000" w:themeColor="text1"/>
        </w:rPr>
        <w:t xml:space="preserve">, </w:t>
      </w:r>
      <w:r w:rsidRPr="00D845F9">
        <w:rPr>
          <w:color w:val="000000" w:themeColor="text1"/>
        </w:rPr>
        <w:t xml:space="preserve">the court is not </w:t>
      </w:r>
      <w:r w:rsidR="00715E9F" w:rsidRPr="00D845F9">
        <w:rPr>
          <w:color w:val="000000" w:themeColor="text1"/>
        </w:rPr>
        <w:t>clear</w:t>
      </w:r>
      <w:r w:rsidRPr="00D845F9">
        <w:rPr>
          <w:color w:val="000000" w:themeColor="text1"/>
        </w:rPr>
        <w:t xml:space="preserve"> as to whether it is dealing with the assessment of infringement or with the exceptions. In the latter event, </w:t>
      </w:r>
      <w:r w:rsidR="00500B6D" w:rsidRPr="00D845F9">
        <w:rPr>
          <w:color w:val="000000" w:themeColor="text1"/>
        </w:rPr>
        <w:t xml:space="preserve">this </w:t>
      </w:r>
      <w:r w:rsidRPr="00D845F9">
        <w:rPr>
          <w:color w:val="000000" w:themeColor="text1"/>
        </w:rPr>
        <w:t xml:space="preserve">would be </w:t>
      </w:r>
      <w:r w:rsidR="00500B6D" w:rsidRPr="00D845F9">
        <w:rPr>
          <w:color w:val="000000" w:themeColor="text1"/>
        </w:rPr>
        <w:t>a p</w:t>
      </w:r>
      <w:r w:rsidRPr="00D845F9">
        <w:rPr>
          <w:color w:val="000000" w:themeColor="text1"/>
        </w:rPr>
        <w:t>eculiar ruling, because it would take a flexible “fair use”</w:t>
      </w:r>
      <w:r w:rsidRPr="00D845F9">
        <w:rPr>
          <w:rStyle w:val="FootnoteReference"/>
          <w:color w:val="000000" w:themeColor="text1"/>
        </w:rPr>
        <w:footnoteReference w:id="321"/>
      </w:r>
      <w:r w:rsidRPr="00D845F9">
        <w:rPr>
          <w:color w:val="000000" w:themeColor="text1"/>
        </w:rPr>
        <w:t>-</w:t>
      </w:r>
      <w:r w:rsidR="00500B6D" w:rsidRPr="00D845F9">
        <w:rPr>
          <w:color w:val="000000" w:themeColor="text1"/>
        </w:rPr>
        <w:t xml:space="preserve">like approach to copyright exceptions, usually interpreted </w:t>
      </w:r>
      <w:r w:rsidR="00BB01A1" w:rsidRPr="00D845F9">
        <w:rPr>
          <w:color w:val="000000" w:themeColor="text1"/>
        </w:rPr>
        <w:t xml:space="preserve">by </w:t>
      </w:r>
      <w:r w:rsidR="00500B6D" w:rsidRPr="00D845F9">
        <w:rPr>
          <w:color w:val="000000" w:themeColor="text1"/>
        </w:rPr>
        <w:t>applying</w:t>
      </w:r>
      <w:r w:rsidR="00D8297E" w:rsidRPr="00D845F9">
        <w:rPr>
          <w:color w:val="000000" w:themeColor="text1"/>
        </w:rPr>
        <w:t xml:space="preserve"> the so-called three-</w:t>
      </w:r>
      <w:r w:rsidR="00500B6D" w:rsidRPr="00D845F9">
        <w:rPr>
          <w:color w:val="000000" w:themeColor="text1"/>
        </w:rPr>
        <w:t>step test</w:t>
      </w:r>
      <w:r w:rsidR="00B9553E" w:rsidRPr="00D845F9">
        <w:rPr>
          <w:color w:val="000000" w:themeColor="text1"/>
        </w:rPr>
        <w:t>, revolving around an exhaustive list of permitted uses.</w:t>
      </w:r>
      <w:r w:rsidR="00500B6D" w:rsidRPr="00D845F9">
        <w:rPr>
          <w:rStyle w:val="FootnoteReference"/>
          <w:color w:val="000000" w:themeColor="text1"/>
        </w:rPr>
        <w:footnoteReference w:id="322"/>
      </w:r>
      <w:r w:rsidR="00D8297E" w:rsidRPr="00D845F9">
        <w:rPr>
          <w:color w:val="000000" w:themeColor="text1"/>
        </w:rPr>
        <w:t xml:space="preserve"> There is currently no copyright exception for</w:t>
      </w:r>
      <w:r w:rsidR="00B9553E" w:rsidRPr="00D845F9">
        <w:rPr>
          <w:color w:val="000000" w:themeColor="text1"/>
        </w:rPr>
        <w:t xml:space="preserve"> non-commercial use or for</w:t>
      </w:r>
      <w:r w:rsidR="00D8297E" w:rsidRPr="00D845F9">
        <w:rPr>
          <w:color w:val="000000" w:themeColor="text1"/>
        </w:rPr>
        <w:t xml:space="preserve"> purposes of freedom of information. The access to the source code for this purpose may not conflict with the normal exploitation of the work and may not prejudice the interests of the author. However, the third step requires that the exception </w:t>
      </w:r>
      <w:r w:rsidR="00582B42" w:rsidRPr="00D845F9">
        <w:rPr>
          <w:color w:val="000000" w:themeColor="text1"/>
        </w:rPr>
        <w:t xml:space="preserve">be </w:t>
      </w:r>
      <w:r w:rsidR="00D8297E" w:rsidRPr="00D845F9">
        <w:rPr>
          <w:color w:val="000000" w:themeColor="text1"/>
        </w:rPr>
        <w:t xml:space="preserve">expressly provided by the law, which currently does </w:t>
      </w:r>
      <w:r w:rsidR="00582B42" w:rsidRPr="00D845F9">
        <w:rPr>
          <w:color w:val="000000" w:themeColor="text1"/>
        </w:rPr>
        <w:t>include a general exception for</w:t>
      </w:r>
      <w:r w:rsidR="00D8297E" w:rsidRPr="00D845F9">
        <w:rPr>
          <w:color w:val="000000" w:themeColor="text1"/>
        </w:rPr>
        <w:t xml:space="preserve"> non-commercial </w:t>
      </w:r>
      <w:r w:rsidR="00582B42" w:rsidRPr="00D845F9">
        <w:rPr>
          <w:color w:val="000000" w:themeColor="text1"/>
        </w:rPr>
        <w:t>acts</w:t>
      </w:r>
      <w:r w:rsidR="00D8297E" w:rsidRPr="00D845F9">
        <w:rPr>
          <w:color w:val="000000" w:themeColor="text1"/>
        </w:rPr>
        <w:t>.</w:t>
      </w:r>
      <w:r w:rsidR="00D8686B" w:rsidRPr="00D845F9">
        <w:rPr>
          <w:color w:val="000000" w:themeColor="text1"/>
        </w:rPr>
        <w:t xml:space="preserve"> </w:t>
      </w:r>
      <w:r w:rsidR="00641AEF" w:rsidRPr="00D845F9">
        <w:rPr>
          <w:color w:val="000000" w:themeColor="text1"/>
        </w:rPr>
        <w:t>Conversely, the point should be better construed as meaning that there can be no infringement because the restricted act is not the distribution of the copyright work, but its distributio</w:t>
      </w:r>
      <w:r w:rsidR="00715E9F">
        <w:rPr>
          <w:color w:val="000000" w:themeColor="text1"/>
        </w:rPr>
        <w:t>n for commercial purposes. I</w:t>
      </w:r>
      <w:r w:rsidR="00641AEF" w:rsidRPr="00D845F9">
        <w:rPr>
          <w:color w:val="000000" w:themeColor="text1"/>
        </w:rPr>
        <w:t>ndeed, the heading of the chapter of the Copyright Act on the restricted acts is “Protection of the economic use of the work”</w:t>
      </w:r>
      <w:r w:rsidR="00641AEF" w:rsidRPr="00D845F9">
        <w:rPr>
          <w:rStyle w:val="FootnoteReference"/>
          <w:color w:val="000000" w:themeColor="text1"/>
        </w:rPr>
        <w:footnoteReference w:id="323"/>
      </w:r>
      <w:r w:rsidR="00641AEF" w:rsidRPr="00D845F9">
        <w:rPr>
          <w:color w:val="000000" w:themeColor="text1"/>
        </w:rPr>
        <w:t xml:space="preserve"> and the first relevant provision </w:t>
      </w:r>
      <w:r w:rsidR="007925E4" w:rsidRPr="00D845F9">
        <w:rPr>
          <w:color w:val="000000" w:themeColor="text1"/>
        </w:rPr>
        <w:t>recogn</w:t>
      </w:r>
      <w:r w:rsidR="00255DC4" w:rsidRPr="00D845F9">
        <w:rPr>
          <w:color w:val="000000" w:themeColor="text1"/>
        </w:rPr>
        <w:t>ises</w:t>
      </w:r>
      <w:r w:rsidR="00641AEF" w:rsidRPr="00D845F9">
        <w:rPr>
          <w:color w:val="000000" w:themeColor="text1"/>
        </w:rPr>
        <w:t xml:space="preserve"> the “exclusive right to economically use the work within the limits of the Act</w:t>
      </w:r>
      <w:r w:rsidR="0051607F" w:rsidRPr="00D845F9">
        <w:rPr>
          <w:color w:val="000000" w:themeColor="text1"/>
        </w:rPr>
        <w:t>.</w:t>
      </w:r>
      <w:r w:rsidR="00641AEF" w:rsidRPr="00D845F9">
        <w:rPr>
          <w:color w:val="000000" w:themeColor="text1"/>
        </w:rPr>
        <w:t>”</w:t>
      </w:r>
      <w:r w:rsidR="00641AEF" w:rsidRPr="00D845F9">
        <w:rPr>
          <w:rStyle w:val="FootnoteReference"/>
          <w:color w:val="000000" w:themeColor="text1"/>
        </w:rPr>
        <w:footnoteReference w:id="324"/>
      </w:r>
      <w:r w:rsidR="00641AEF" w:rsidRPr="00D845F9">
        <w:rPr>
          <w:color w:val="000000" w:themeColor="text1"/>
          <w:shd w:val="clear" w:color="auto" w:fill="FFFFFF"/>
        </w:rPr>
        <w:t xml:space="preserve"> From this perspective, the clash between </w:t>
      </w:r>
      <w:r w:rsidR="006D38EA" w:rsidRPr="00D845F9">
        <w:rPr>
          <w:color w:val="000000" w:themeColor="text1"/>
          <w:shd w:val="clear" w:color="auto" w:fill="FFFFFF"/>
        </w:rPr>
        <w:t xml:space="preserve">freedom of information and copyright is merely ostensible, because the right to access administrative documents does not interfere with the uses of computer programs that are restricted by the law. </w:t>
      </w:r>
      <w:r w:rsidR="00B9647C" w:rsidRPr="00D845F9">
        <w:rPr>
          <w:color w:val="000000" w:themeColor="text1"/>
          <w:shd w:val="clear" w:color="auto" w:fill="FFFFFF"/>
        </w:rPr>
        <w:t>Additionally,</w:t>
      </w:r>
      <w:r w:rsidR="006D38EA" w:rsidRPr="00D845F9">
        <w:rPr>
          <w:color w:val="000000" w:themeColor="text1"/>
          <w:shd w:val="clear" w:color="auto" w:fill="FFFFFF"/>
        </w:rPr>
        <w:t xml:space="preserve"> a different conclusion would have led to an unacceptable difference of treatment depending on the technologic</w:t>
      </w:r>
      <w:r w:rsidR="00582B42" w:rsidRPr="00D845F9">
        <w:rPr>
          <w:color w:val="000000" w:themeColor="text1"/>
          <w:shd w:val="clear" w:color="auto" w:fill="FFFFFF"/>
        </w:rPr>
        <w:t>al</w:t>
      </w:r>
      <w:r w:rsidR="006D38EA" w:rsidRPr="00D845F9">
        <w:rPr>
          <w:color w:val="000000" w:themeColor="text1"/>
          <w:shd w:val="clear" w:color="auto" w:fill="FFFFFF"/>
        </w:rPr>
        <w:t xml:space="preserve"> solution adopted. It is obvious that, in principle, public bodies own copyright on the documents they produce. However, it would be absurd to claim that a freedom of information request can be denied because the public body owns the relevant copyright. This would equal </w:t>
      </w:r>
      <w:r w:rsidR="007925E4" w:rsidRPr="00D845F9">
        <w:rPr>
          <w:color w:val="000000" w:themeColor="text1"/>
          <w:shd w:val="clear" w:color="auto" w:fill="FFFFFF"/>
        </w:rPr>
        <w:t>steril</w:t>
      </w:r>
      <w:r w:rsidR="004F4403" w:rsidRPr="00D845F9">
        <w:rPr>
          <w:color w:val="000000" w:themeColor="text1"/>
          <w:shd w:val="clear" w:color="auto" w:fill="FFFFFF"/>
        </w:rPr>
        <w:t>ising</w:t>
      </w:r>
      <w:r w:rsidR="006D38EA" w:rsidRPr="00D845F9">
        <w:rPr>
          <w:color w:val="000000" w:themeColor="text1"/>
          <w:shd w:val="clear" w:color="auto" w:fill="FFFFFF"/>
        </w:rPr>
        <w:t xml:space="preserve"> the right to access. Accordingly, the discretional adoption of a more modern technology cannot justify different considerations. Therefore, just like copyright could never be the basis of an access denial under the </w:t>
      </w:r>
      <w:r w:rsidR="00425FAB" w:rsidRPr="00D845F9">
        <w:rPr>
          <w:color w:val="000000" w:themeColor="text1"/>
          <w:shd w:val="clear" w:color="auto" w:fill="FFFFFF"/>
        </w:rPr>
        <w:t>analys</w:t>
      </w:r>
      <w:r w:rsidR="009A2423" w:rsidRPr="00D845F9">
        <w:rPr>
          <w:color w:val="000000" w:themeColor="text1"/>
          <w:shd w:val="clear" w:color="auto" w:fill="FFFFFF"/>
        </w:rPr>
        <w:t>e</w:t>
      </w:r>
      <w:r w:rsidR="006D38EA" w:rsidRPr="00D845F9">
        <w:rPr>
          <w:color w:val="000000" w:themeColor="text1"/>
          <w:shd w:val="clear" w:color="auto" w:fill="FFFFFF"/>
        </w:rPr>
        <w:t>d the regime, it will never justify the access denial with regards to computer programs.</w:t>
      </w:r>
    </w:p>
    <w:p w14:paraId="3A2F7396" w14:textId="3D41332C" w:rsidR="000D2A52" w:rsidRPr="00D845F9" w:rsidRDefault="000D2A52" w:rsidP="00D845F9">
      <w:pPr>
        <w:pStyle w:val="ListParagraph"/>
        <w:contextualSpacing w:val="0"/>
        <w:jc w:val="both"/>
        <w:rPr>
          <w:color w:val="000000" w:themeColor="text1"/>
          <w:shd w:val="clear" w:color="auto" w:fill="FFFFFF"/>
        </w:rPr>
      </w:pPr>
      <w:r w:rsidRPr="00D845F9">
        <w:rPr>
          <w:color w:val="000000" w:themeColor="text1"/>
          <w:shd w:val="clear" w:color="auto" w:fill="FFFFFF"/>
        </w:rPr>
        <w:t>A</w:t>
      </w:r>
      <w:r w:rsidR="00115D3B" w:rsidRPr="00D845F9">
        <w:rPr>
          <w:color w:val="000000" w:themeColor="text1"/>
          <w:shd w:val="clear" w:color="auto" w:fill="FFFFFF"/>
        </w:rPr>
        <w:t>n</w:t>
      </w:r>
      <w:r w:rsidRPr="00D845F9">
        <w:rPr>
          <w:color w:val="000000" w:themeColor="text1"/>
          <w:shd w:val="clear" w:color="auto" w:fill="FFFFFF"/>
        </w:rPr>
        <w:t xml:space="preserve"> argument of the </w:t>
      </w:r>
      <w:r w:rsidR="00D8686B" w:rsidRPr="00D845F9">
        <w:rPr>
          <w:color w:val="000000" w:themeColor="text1"/>
          <w:shd w:val="clear" w:color="auto" w:fill="FFFFFF"/>
        </w:rPr>
        <w:t>M</w:t>
      </w:r>
      <w:r w:rsidR="006302BE" w:rsidRPr="00D845F9">
        <w:rPr>
          <w:color w:val="000000" w:themeColor="text1"/>
          <w:shd w:val="clear" w:color="auto" w:fill="FFFFFF"/>
        </w:rPr>
        <w:t>inistry of Education</w:t>
      </w:r>
      <w:r w:rsidRPr="00D845F9">
        <w:rPr>
          <w:color w:val="000000" w:themeColor="text1"/>
          <w:shd w:val="clear" w:color="auto" w:fill="FFFFFF"/>
        </w:rPr>
        <w:t xml:space="preserve"> was</w:t>
      </w:r>
      <w:r w:rsidR="00115D3B" w:rsidRPr="00D845F9">
        <w:rPr>
          <w:color w:val="000000" w:themeColor="text1"/>
          <w:shd w:val="clear" w:color="auto" w:fill="FFFFFF"/>
        </w:rPr>
        <w:t>, then,</w:t>
      </w:r>
      <w:r w:rsidRPr="00D845F9">
        <w:rPr>
          <w:color w:val="000000" w:themeColor="text1"/>
          <w:shd w:val="clear" w:color="auto" w:fill="FFFFFF"/>
        </w:rPr>
        <w:t xml:space="preserve"> that the so-called citizen </w:t>
      </w:r>
      <w:r w:rsidR="006302BE" w:rsidRPr="00D845F9">
        <w:rPr>
          <w:color w:val="000000" w:themeColor="text1"/>
          <w:shd w:val="clear" w:color="auto" w:fill="FFFFFF"/>
        </w:rPr>
        <w:t>general</w:t>
      </w:r>
      <w:r w:rsidR="00255DC4" w:rsidRPr="00D845F9">
        <w:rPr>
          <w:color w:val="000000" w:themeColor="text1"/>
          <w:shd w:val="clear" w:color="auto" w:fill="FFFFFF"/>
        </w:rPr>
        <w:t>ised</w:t>
      </w:r>
      <w:r w:rsidRPr="00D845F9">
        <w:rPr>
          <w:color w:val="000000" w:themeColor="text1"/>
          <w:shd w:val="clear" w:color="auto" w:fill="FFFFFF"/>
        </w:rPr>
        <w:t xml:space="preserve"> access request can be denied if necessary to avoid an actual prejudice to intellectual property</w:t>
      </w:r>
      <w:r w:rsidR="0051607F" w:rsidRPr="00D845F9">
        <w:rPr>
          <w:color w:val="000000" w:themeColor="text1"/>
          <w:shd w:val="clear" w:color="auto" w:fill="FFFFFF"/>
        </w:rPr>
        <w:t>.</w:t>
      </w:r>
      <w:r w:rsidRPr="00D845F9">
        <w:rPr>
          <w:rStyle w:val="FootnoteReference"/>
          <w:color w:val="000000" w:themeColor="text1"/>
          <w:shd w:val="clear" w:color="auto" w:fill="FFFFFF"/>
        </w:rPr>
        <w:footnoteReference w:id="325"/>
      </w:r>
      <w:r w:rsidR="00115D3B" w:rsidRPr="00D845F9">
        <w:rPr>
          <w:color w:val="000000" w:themeColor="text1"/>
          <w:shd w:val="clear" w:color="auto" w:fill="FFFFFF"/>
        </w:rPr>
        <w:t xml:space="preserve"> However, the right to access under the Administrative Procedure Act (which is the one relevant here) and the citizen access are entirely different things. The purposes are discrete. The former does not encompass a right to a general</w:t>
      </w:r>
      <w:r w:rsidR="00255DC4" w:rsidRPr="00D845F9">
        <w:rPr>
          <w:color w:val="000000" w:themeColor="text1"/>
          <w:shd w:val="clear" w:color="auto" w:fill="FFFFFF"/>
        </w:rPr>
        <w:t>ised</w:t>
      </w:r>
      <w:r w:rsidR="00115D3B" w:rsidRPr="00D845F9">
        <w:rPr>
          <w:color w:val="000000" w:themeColor="text1"/>
          <w:shd w:val="clear" w:color="auto" w:fill="FFFFFF"/>
        </w:rPr>
        <w:t xml:space="preserve"> control over the public bodies</w:t>
      </w:r>
      <w:r w:rsidR="0051607F" w:rsidRPr="00D845F9">
        <w:rPr>
          <w:color w:val="000000" w:themeColor="text1"/>
          <w:shd w:val="clear" w:color="auto" w:fill="FFFFFF"/>
        </w:rPr>
        <w:t>:</w:t>
      </w:r>
      <w:r w:rsidR="00115D3B" w:rsidRPr="00D845F9">
        <w:rPr>
          <w:rStyle w:val="FootnoteReference"/>
          <w:color w:val="000000" w:themeColor="text1"/>
          <w:shd w:val="clear" w:color="auto" w:fill="FFFFFF"/>
        </w:rPr>
        <w:footnoteReference w:id="326"/>
      </w:r>
      <w:r w:rsidR="00115D3B" w:rsidRPr="00D845F9">
        <w:rPr>
          <w:color w:val="000000" w:themeColor="text1"/>
          <w:shd w:val="clear" w:color="auto" w:fill="FFFFFF"/>
        </w:rPr>
        <w:t xml:space="preserve"> it serves the purpose to enable the individual</w:t>
      </w:r>
      <w:r w:rsidR="006302BE" w:rsidRPr="00D845F9">
        <w:rPr>
          <w:color w:val="000000" w:themeColor="text1"/>
          <w:shd w:val="clear" w:color="auto" w:fill="FFFFFF"/>
        </w:rPr>
        <w:t>s</w:t>
      </w:r>
      <w:r w:rsidR="00115D3B" w:rsidRPr="00D845F9">
        <w:rPr>
          <w:color w:val="000000" w:themeColor="text1"/>
          <w:shd w:val="clear" w:color="auto" w:fill="FFFFFF"/>
        </w:rPr>
        <w:t xml:space="preserve"> to defend their rights and interests which may be affected by an administrative document.</w:t>
      </w:r>
      <w:r w:rsidR="00C20382" w:rsidRPr="00D845F9">
        <w:rPr>
          <w:color w:val="000000" w:themeColor="text1"/>
          <w:shd w:val="clear" w:color="auto" w:fill="FFFFFF"/>
        </w:rPr>
        <w:t xml:space="preserve"> This </w:t>
      </w:r>
      <w:r w:rsidR="006302BE" w:rsidRPr="00D845F9">
        <w:rPr>
          <w:color w:val="000000" w:themeColor="text1"/>
          <w:shd w:val="clear" w:color="auto" w:fill="FFFFFF"/>
        </w:rPr>
        <w:t>general</w:t>
      </w:r>
      <w:r w:rsidR="00255DC4" w:rsidRPr="00D845F9">
        <w:rPr>
          <w:color w:val="000000" w:themeColor="text1"/>
          <w:shd w:val="clear" w:color="auto" w:fill="FFFFFF"/>
        </w:rPr>
        <w:t>ised</w:t>
      </w:r>
      <w:r w:rsidR="00C20382" w:rsidRPr="00D845F9">
        <w:rPr>
          <w:color w:val="000000" w:themeColor="text1"/>
          <w:shd w:val="clear" w:color="auto" w:fill="FFFFFF"/>
        </w:rPr>
        <w:t xml:space="preserve"> control, conversely, is the purpose of the citizen access</w:t>
      </w:r>
      <w:r w:rsidR="006302BE" w:rsidRPr="00D845F9">
        <w:rPr>
          <w:color w:val="000000" w:themeColor="text1"/>
          <w:shd w:val="clear" w:color="auto" w:fill="FFFFFF"/>
        </w:rPr>
        <w:t xml:space="preserve"> rights under the Citizen Access Act</w:t>
      </w:r>
      <w:r w:rsidR="00C20382" w:rsidRPr="00D845F9">
        <w:rPr>
          <w:color w:val="000000" w:themeColor="text1"/>
          <w:shd w:val="clear" w:color="auto" w:fill="FFFFFF"/>
        </w:rPr>
        <w:t xml:space="preserve">. The requirements of the right to access administrative documents and the citizen access rights (both simple and </w:t>
      </w:r>
      <w:r w:rsidR="006302BE" w:rsidRPr="00D845F9">
        <w:rPr>
          <w:color w:val="000000" w:themeColor="text1"/>
          <w:shd w:val="clear" w:color="auto" w:fill="FFFFFF"/>
        </w:rPr>
        <w:t>general</w:t>
      </w:r>
      <w:r w:rsidR="00255DC4" w:rsidRPr="00D845F9">
        <w:rPr>
          <w:color w:val="000000" w:themeColor="text1"/>
          <w:shd w:val="clear" w:color="auto" w:fill="FFFFFF"/>
        </w:rPr>
        <w:t>ised</w:t>
      </w:r>
      <w:r w:rsidR="00C20382" w:rsidRPr="00D845F9">
        <w:rPr>
          <w:color w:val="000000" w:themeColor="text1"/>
          <w:shd w:val="clear" w:color="auto" w:fill="FFFFFF"/>
        </w:rPr>
        <w:t>) are different; therefore, all the remedies can operate in parallel. The balance will have to be str</w:t>
      </w:r>
      <w:r w:rsidR="00582B42" w:rsidRPr="00D845F9">
        <w:rPr>
          <w:color w:val="000000" w:themeColor="text1"/>
          <w:shd w:val="clear" w:color="auto" w:fill="FFFFFF"/>
        </w:rPr>
        <w:t>uck</w:t>
      </w:r>
      <w:r w:rsidR="00C20382" w:rsidRPr="00D845F9">
        <w:rPr>
          <w:color w:val="000000" w:themeColor="text1"/>
          <w:shd w:val="clear" w:color="auto" w:fill="FFFFFF"/>
        </w:rPr>
        <w:t xml:space="preserve"> differently. On the one hand, the former requires access to more detailed information, because it serves the purpose of preparing a claim. On the other hand, un</w:t>
      </w:r>
      <w:r w:rsidR="00582B42" w:rsidRPr="00D845F9">
        <w:rPr>
          <w:color w:val="000000" w:themeColor="text1"/>
          <w:shd w:val="clear" w:color="auto" w:fill="FFFFFF"/>
        </w:rPr>
        <w:t>der citizen access regime even</w:t>
      </w:r>
      <w:r w:rsidR="00C20382" w:rsidRPr="00D845F9">
        <w:rPr>
          <w:color w:val="000000" w:themeColor="text1"/>
          <w:shd w:val="clear" w:color="auto" w:fill="FFFFFF"/>
        </w:rPr>
        <w:t xml:space="preserve"> less granular information will be sufficient (</w:t>
      </w:r>
      <w:r w:rsidR="00715E9F" w:rsidRPr="00D845F9">
        <w:rPr>
          <w:color w:val="000000" w:themeColor="text1"/>
          <w:shd w:val="clear" w:color="auto" w:fill="FFFFFF"/>
        </w:rPr>
        <w:t>e.g.,</w:t>
      </w:r>
      <w:r w:rsidR="00C20382" w:rsidRPr="00D845F9">
        <w:rPr>
          <w:color w:val="000000" w:themeColor="text1"/>
          <w:shd w:val="clear" w:color="auto" w:fill="FFFFFF"/>
        </w:rPr>
        <w:t xml:space="preserve"> the description of the algorithm may suffice under this regime). The court states that, therefore, it may be that whereas a citizen access is denied, it may be accepted with regards to the same document if the same individual exercises the right to access administrative documents.</w:t>
      </w:r>
    </w:p>
    <w:p w14:paraId="49721D94" w14:textId="713A3839" w:rsidR="008B0475" w:rsidRPr="00D845F9" w:rsidRDefault="00582B42" w:rsidP="00D845F9">
      <w:pPr>
        <w:pStyle w:val="ListParagraph"/>
        <w:contextualSpacing w:val="0"/>
        <w:jc w:val="both"/>
        <w:rPr>
          <w:color w:val="000000" w:themeColor="text1"/>
          <w:shd w:val="clear" w:color="auto" w:fill="FFFFFF"/>
        </w:rPr>
      </w:pPr>
      <w:r w:rsidRPr="00D845F9">
        <w:rPr>
          <w:color w:val="000000" w:themeColor="text1"/>
          <w:shd w:val="clear" w:color="auto" w:fill="FFFFFF"/>
        </w:rPr>
        <w:t>It is</w:t>
      </w:r>
      <w:r w:rsidR="008B0475" w:rsidRPr="00D845F9">
        <w:rPr>
          <w:color w:val="000000" w:themeColor="text1"/>
          <w:shd w:val="clear" w:color="auto" w:fill="FFFFFF"/>
        </w:rPr>
        <w:t xml:space="preserve"> submit</w:t>
      </w:r>
      <w:r w:rsidRPr="00D845F9">
        <w:rPr>
          <w:color w:val="000000" w:themeColor="text1"/>
          <w:shd w:val="clear" w:color="auto" w:fill="FFFFFF"/>
        </w:rPr>
        <w:t>ted that</w:t>
      </w:r>
      <w:r w:rsidR="008B0475" w:rsidRPr="00D845F9">
        <w:rPr>
          <w:color w:val="000000" w:themeColor="text1"/>
          <w:shd w:val="clear" w:color="auto" w:fill="FFFFFF"/>
        </w:rPr>
        <w:t xml:space="preserve"> the court may have brought</w:t>
      </w:r>
      <w:r w:rsidR="006302BE" w:rsidRPr="00D845F9">
        <w:rPr>
          <w:color w:val="000000" w:themeColor="text1"/>
          <w:shd w:val="clear" w:color="auto" w:fill="FFFFFF"/>
        </w:rPr>
        <w:t xml:space="preserve"> into play</w:t>
      </w:r>
      <w:r w:rsidR="008B0475" w:rsidRPr="00D845F9">
        <w:rPr>
          <w:color w:val="000000" w:themeColor="text1"/>
          <w:shd w:val="clear" w:color="auto" w:fill="FFFFFF"/>
        </w:rPr>
        <w:t xml:space="preserve"> two more considerations. First and foremost, </w:t>
      </w:r>
      <w:r w:rsidR="008B0475" w:rsidRPr="00D845F9">
        <w:rPr>
          <w:i/>
          <w:color w:val="000000" w:themeColor="text1"/>
          <w:shd w:val="clear" w:color="auto" w:fill="FFFFFF"/>
        </w:rPr>
        <w:t>ubi lex voluit dixit, ubi noluit tacuit</w:t>
      </w:r>
      <w:r w:rsidR="008B0475" w:rsidRPr="00D845F9">
        <w:rPr>
          <w:color w:val="000000" w:themeColor="text1"/>
          <w:shd w:val="clear" w:color="auto" w:fill="FFFFFF"/>
        </w:rPr>
        <w:t xml:space="preserve">. The </w:t>
      </w:r>
      <w:r w:rsidR="00715E9F" w:rsidRPr="00D845F9">
        <w:rPr>
          <w:color w:val="000000" w:themeColor="text1"/>
          <w:shd w:val="clear" w:color="auto" w:fill="FFFFFF"/>
        </w:rPr>
        <w:t>lawmaker</w:t>
      </w:r>
      <w:r w:rsidR="008B0475" w:rsidRPr="00D845F9">
        <w:rPr>
          <w:color w:val="000000" w:themeColor="text1"/>
          <w:shd w:val="clear" w:color="auto" w:fill="FFFFFF"/>
        </w:rPr>
        <w:t xml:space="preserve"> expressly accepts that an access request can be denied for intellectual property purposes under the citizen access regime. However, the fact that </w:t>
      </w:r>
      <w:r w:rsidR="00267421" w:rsidRPr="00D845F9">
        <w:rPr>
          <w:color w:val="000000" w:themeColor="text1"/>
          <w:shd w:val="clear" w:color="auto" w:fill="FFFFFF"/>
        </w:rPr>
        <w:t>the legislator</w:t>
      </w:r>
      <w:r w:rsidR="008B0475" w:rsidRPr="00D845F9">
        <w:rPr>
          <w:color w:val="000000" w:themeColor="text1"/>
          <w:shd w:val="clear" w:color="auto" w:fill="FFFFFF"/>
        </w:rPr>
        <w:t xml:space="preserve"> does not provide a similar exception with regards to the right to access administrative documents constitutes evidence of the untenability of an intellectual property exception to the said right. Second, intellectual property is mentioned in the citizen access regime as an example of “economic and commercial interests</w:t>
      </w:r>
      <w:r w:rsidR="0051607F" w:rsidRPr="00D845F9">
        <w:rPr>
          <w:color w:val="000000" w:themeColor="text1"/>
          <w:shd w:val="clear" w:color="auto" w:fill="FFFFFF"/>
        </w:rPr>
        <w:t>.</w:t>
      </w:r>
      <w:r w:rsidR="008B0475" w:rsidRPr="00D845F9">
        <w:rPr>
          <w:color w:val="000000" w:themeColor="text1"/>
          <w:shd w:val="clear" w:color="auto" w:fill="FFFFFF"/>
        </w:rPr>
        <w:t>”</w:t>
      </w:r>
      <w:r w:rsidR="008B0475" w:rsidRPr="00D845F9">
        <w:rPr>
          <w:rStyle w:val="FootnoteReference"/>
          <w:color w:val="000000" w:themeColor="text1"/>
          <w:shd w:val="clear" w:color="auto" w:fill="FFFFFF"/>
        </w:rPr>
        <w:footnoteReference w:id="327"/>
      </w:r>
      <w:r w:rsidR="008B0475" w:rsidRPr="00D845F9">
        <w:rPr>
          <w:color w:val="000000" w:themeColor="text1"/>
          <w:shd w:val="clear" w:color="auto" w:fill="FFFFFF"/>
        </w:rPr>
        <w:t xml:space="preserve"> Therefore, since it has been already proven that the access to the source code would not conflict with the use of the program for commercial purposes, even if the exception </w:t>
      </w:r>
      <w:r w:rsidR="00715E9F" w:rsidRPr="00D845F9">
        <w:rPr>
          <w:color w:val="000000" w:themeColor="text1"/>
          <w:shd w:val="clear" w:color="auto" w:fill="FFFFFF"/>
        </w:rPr>
        <w:t>were</w:t>
      </w:r>
      <w:r w:rsidR="008B0475" w:rsidRPr="00D845F9">
        <w:rPr>
          <w:color w:val="000000" w:themeColor="text1"/>
          <w:shd w:val="clear" w:color="auto" w:fill="FFFFFF"/>
        </w:rPr>
        <w:t xml:space="preserve"> extended to the right to access administrative documents, it would not apply in the case at hand. Third, the exceptions to the citizen access are allowed only if “necessary to avoid an actual prejudice” to the listed interests (including intellectual property). Arguably, denying access to the source code</w:t>
      </w:r>
      <w:r w:rsidR="001E2F59" w:rsidRPr="00D845F9">
        <w:rPr>
          <w:color w:val="000000" w:themeColor="text1"/>
          <w:shd w:val="clear" w:color="auto" w:fill="FFFFFF"/>
        </w:rPr>
        <w:t xml:space="preserve"> may not always be necessary to avoid such prejudice (for instance, if the applicant agrees to make a non-commercial use of it).</w:t>
      </w:r>
      <w:r w:rsidR="008B0475" w:rsidRPr="00D845F9">
        <w:rPr>
          <w:color w:val="000000" w:themeColor="text1"/>
          <w:shd w:val="clear" w:color="auto" w:fill="FFFFFF"/>
        </w:rPr>
        <w:t xml:space="preserve"> </w:t>
      </w:r>
      <w:r w:rsidR="001E2F59" w:rsidRPr="00D845F9">
        <w:rPr>
          <w:color w:val="000000" w:themeColor="text1"/>
          <w:shd w:val="clear" w:color="auto" w:fill="FFFFFF"/>
        </w:rPr>
        <w:t xml:space="preserve">Given that there is no intellectual property exception to the right to access administrative documents, one should </w:t>
      </w:r>
      <w:r w:rsidR="00267421" w:rsidRPr="00D845F9">
        <w:rPr>
          <w:color w:val="000000" w:themeColor="text1"/>
          <w:shd w:val="clear" w:color="auto" w:fill="FFFFFF"/>
        </w:rPr>
        <w:t>bear in mind</w:t>
      </w:r>
      <w:r w:rsidR="001E2F59" w:rsidRPr="00D845F9">
        <w:rPr>
          <w:color w:val="000000" w:themeColor="text1"/>
          <w:shd w:val="clear" w:color="auto" w:fill="FFFFFF"/>
        </w:rPr>
        <w:t xml:space="preserve"> that also trade secrets and patents </w:t>
      </w:r>
      <w:r w:rsidR="00715E9F" w:rsidRPr="00D845F9">
        <w:rPr>
          <w:color w:val="000000" w:themeColor="text1"/>
          <w:shd w:val="clear" w:color="auto" w:fill="FFFFFF"/>
        </w:rPr>
        <w:t>might</w:t>
      </w:r>
      <w:r w:rsidR="001E2F59" w:rsidRPr="00D845F9">
        <w:rPr>
          <w:color w:val="000000" w:themeColor="text1"/>
          <w:shd w:val="clear" w:color="auto" w:fill="FFFFFF"/>
        </w:rPr>
        <w:t xml:space="preserve"> not be used to prevent the said access. This is particularly important from our perspective, given the pivotal role of trade secrets in keeping algorithms opaque.</w:t>
      </w:r>
    </w:p>
    <w:p w14:paraId="39E599AC" w14:textId="41E42C9D" w:rsidR="00D8297E" w:rsidRPr="00D845F9" w:rsidRDefault="00641AEF" w:rsidP="00D845F9">
      <w:pPr>
        <w:pStyle w:val="ListParagraph"/>
        <w:contextualSpacing w:val="0"/>
        <w:jc w:val="both"/>
        <w:rPr>
          <w:color w:val="000000" w:themeColor="text1"/>
          <w:shd w:val="clear" w:color="auto" w:fill="FFFFFF"/>
        </w:rPr>
      </w:pPr>
      <w:r w:rsidRPr="00D845F9">
        <w:rPr>
          <w:color w:val="000000" w:themeColor="text1"/>
        </w:rPr>
        <w:t xml:space="preserve"> </w:t>
      </w:r>
      <w:r w:rsidR="00D8297E" w:rsidRPr="00D845F9">
        <w:rPr>
          <w:color w:val="000000" w:themeColor="text1"/>
        </w:rPr>
        <w:t>As a consequence of th</w:t>
      </w:r>
      <w:r w:rsidRPr="00D845F9">
        <w:rPr>
          <w:color w:val="000000" w:themeColor="text1"/>
        </w:rPr>
        <w:t>e lack of the elements of infringement</w:t>
      </w:r>
      <w:r w:rsidR="001E2F59" w:rsidRPr="00D845F9">
        <w:rPr>
          <w:color w:val="000000" w:themeColor="text1"/>
        </w:rPr>
        <w:t xml:space="preserve">, of the inexistence of an intellectual property exception to the right to access administrative documents, </w:t>
      </w:r>
      <w:r w:rsidR="009E4676" w:rsidRPr="00D845F9">
        <w:rPr>
          <w:color w:val="000000" w:themeColor="text1"/>
        </w:rPr>
        <w:t>as well as of the general assertion whereby “the nature of copyright work does not represent a justification for access denial</w:t>
      </w:r>
      <w:r w:rsidR="0051607F" w:rsidRPr="00D845F9">
        <w:rPr>
          <w:color w:val="000000" w:themeColor="text1"/>
        </w:rPr>
        <w:t>,</w:t>
      </w:r>
      <w:r w:rsidR="009E4676" w:rsidRPr="00D845F9">
        <w:rPr>
          <w:color w:val="000000" w:themeColor="text1"/>
        </w:rPr>
        <w:t>”</w:t>
      </w:r>
      <w:r w:rsidR="009E4676" w:rsidRPr="00D845F9">
        <w:rPr>
          <w:rStyle w:val="FootnoteReference"/>
          <w:color w:val="000000" w:themeColor="text1"/>
        </w:rPr>
        <w:footnoteReference w:id="328"/>
      </w:r>
      <w:r w:rsidR="00D8297E" w:rsidRPr="00D845F9">
        <w:rPr>
          <w:color w:val="000000" w:themeColor="text1"/>
        </w:rPr>
        <w:t xml:space="preserve"> the court </w:t>
      </w:r>
      <w:r w:rsidR="001C7452" w:rsidRPr="00D845F9">
        <w:rPr>
          <w:color w:val="000000" w:themeColor="text1"/>
          <w:shd w:val="clear" w:color="auto" w:fill="FFFFFF"/>
        </w:rPr>
        <w:t>recognis</w:t>
      </w:r>
      <w:r w:rsidR="007925E4" w:rsidRPr="00D845F9">
        <w:rPr>
          <w:color w:val="000000" w:themeColor="text1"/>
          <w:shd w:val="clear" w:color="auto" w:fill="FFFFFF"/>
        </w:rPr>
        <w:t>es</w:t>
      </w:r>
      <w:r w:rsidR="00D8297E" w:rsidRPr="00D845F9">
        <w:rPr>
          <w:color w:val="000000" w:themeColor="text1"/>
          <w:shd w:val="clear" w:color="auto" w:fill="FFFFFF"/>
        </w:rPr>
        <w:t xml:space="preserve"> the right to access the source code, provided that the applicant use</w:t>
      </w:r>
      <w:r w:rsidR="00943CE8" w:rsidRPr="00D845F9">
        <w:rPr>
          <w:color w:val="000000" w:themeColor="text1"/>
          <w:shd w:val="clear" w:color="auto" w:fill="FFFFFF"/>
        </w:rPr>
        <w:t>s</w:t>
      </w:r>
      <w:r w:rsidR="00D8297E" w:rsidRPr="00D845F9">
        <w:rPr>
          <w:color w:val="000000" w:themeColor="text1"/>
          <w:shd w:val="clear" w:color="auto" w:fill="FFFFFF"/>
        </w:rPr>
        <w:t xml:space="preserve"> the information exclusively for the purposes that legitimised the claim (the right of the teachers’ trade union to defend its members’ rights).</w:t>
      </w:r>
    </w:p>
    <w:p w14:paraId="38452C55" w14:textId="5F840FE8" w:rsidR="001E2F59" w:rsidRPr="00D845F9" w:rsidRDefault="001E2F59" w:rsidP="00D845F9">
      <w:pPr>
        <w:pStyle w:val="ListParagraph"/>
        <w:contextualSpacing w:val="0"/>
        <w:jc w:val="both"/>
        <w:rPr>
          <w:color w:val="000000" w:themeColor="text1"/>
          <w:shd w:val="clear" w:color="auto" w:fill="FFFFFF"/>
        </w:rPr>
      </w:pPr>
      <w:r w:rsidRPr="00D845F9">
        <w:rPr>
          <w:color w:val="000000" w:themeColor="text1"/>
        </w:rPr>
        <w:t xml:space="preserve">For all the reasons </w:t>
      </w:r>
      <w:r w:rsidR="001C7452" w:rsidRPr="00D845F9">
        <w:rPr>
          <w:color w:val="000000" w:themeColor="text1"/>
        </w:rPr>
        <w:t>analys</w:t>
      </w:r>
      <w:r w:rsidR="009A2423" w:rsidRPr="00D845F9">
        <w:rPr>
          <w:color w:val="000000" w:themeColor="text1"/>
        </w:rPr>
        <w:t>e</w:t>
      </w:r>
      <w:r w:rsidR="001C7452" w:rsidRPr="00D845F9">
        <w:rPr>
          <w:color w:val="000000" w:themeColor="text1"/>
        </w:rPr>
        <w:t>d above, the court finds</w:t>
      </w:r>
      <w:r w:rsidRPr="00D845F9">
        <w:rPr>
          <w:color w:val="000000" w:themeColor="text1"/>
        </w:rPr>
        <w:t xml:space="preserve"> in </w:t>
      </w:r>
      <w:r w:rsidR="00D622B8" w:rsidRPr="00D845F9">
        <w:rPr>
          <w:color w:val="000000" w:themeColor="text1"/>
        </w:rPr>
        <w:t>favor</w:t>
      </w:r>
      <w:r w:rsidRPr="00D845F9">
        <w:rPr>
          <w:color w:val="000000" w:themeColor="text1"/>
        </w:rPr>
        <w:t xml:space="preserve"> of the teachers’ trade union and, therefore, annuls the access denial and orders the </w:t>
      </w:r>
      <w:r w:rsidR="00D8686B" w:rsidRPr="00D845F9">
        <w:rPr>
          <w:color w:val="000000" w:themeColor="text1"/>
        </w:rPr>
        <w:t>M</w:t>
      </w:r>
      <w:r w:rsidR="006302BE" w:rsidRPr="00D845F9">
        <w:rPr>
          <w:color w:val="000000" w:themeColor="text1"/>
        </w:rPr>
        <w:t>inistry of Education</w:t>
      </w:r>
      <w:r w:rsidRPr="00D845F9">
        <w:rPr>
          <w:color w:val="000000" w:themeColor="text1"/>
        </w:rPr>
        <w:t xml:space="preserve"> the release of a copy of the source code of the computer program implementing the algorithm used by the </w:t>
      </w:r>
      <w:r w:rsidR="00A0499A" w:rsidRPr="00D845F9">
        <w:rPr>
          <w:color w:val="000000" w:themeColor="text1"/>
        </w:rPr>
        <w:t>Ministry in handling the teachers’ mobility.</w:t>
      </w:r>
      <w:r w:rsidR="00267421" w:rsidRPr="00D845F9">
        <w:rPr>
          <w:color w:val="000000" w:themeColor="text1"/>
        </w:rPr>
        <w:t xml:space="preserve"> </w:t>
      </w:r>
    </w:p>
    <w:p w14:paraId="50C29258" w14:textId="2BC70D5A" w:rsidR="00D8297E" w:rsidRPr="00D845F9" w:rsidRDefault="001E2F59" w:rsidP="00D845F9">
      <w:pPr>
        <w:pStyle w:val="ListParagraph"/>
        <w:contextualSpacing w:val="0"/>
        <w:jc w:val="both"/>
        <w:rPr>
          <w:color w:val="000000" w:themeColor="text1"/>
          <w:shd w:val="clear" w:color="auto" w:fill="FFFFFF"/>
        </w:rPr>
      </w:pPr>
      <w:r w:rsidRPr="00D845F9">
        <w:rPr>
          <w:color w:val="000000" w:themeColor="text1"/>
          <w:shd w:val="clear" w:color="auto" w:fill="FFFFFF"/>
        </w:rPr>
        <w:t>The right to access administrative documents may be seen as a weak tool when it comes to the transparency of the algorithmic decisions taken by the State and other public bodies. Indeed,</w:t>
      </w:r>
      <w:r w:rsidR="006302BE" w:rsidRPr="00D845F9">
        <w:rPr>
          <w:color w:val="000000" w:themeColor="text1"/>
          <w:shd w:val="clear" w:color="auto" w:fill="FFFFFF"/>
        </w:rPr>
        <w:t xml:space="preserve"> especially in AI / black box</w:t>
      </w:r>
      <w:r w:rsidR="00CF2C4E" w:rsidRPr="00D845F9">
        <w:rPr>
          <w:color w:val="000000" w:themeColor="text1"/>
          <w:shd w:val="clear" w:color="auto" w:fill="FFFFFF"/>
        </w:rPr>
        <w:t xml:space="preserve"> contexts, accessing the source code of the computer program implementing an algorithm does not provide the applicant with valuable and / or intelligible information</w:t>
      </w:r>
      <w:r w:rsidR="0051607F" w:rsidRPr="00D845F9">
        <w:rPr>
          <w:color w:val="000000" w:themeColor="text1"/>
          <w:shd w:val="clear" w:color="auto" w:fill="FFFFFF"/>
        </w:rPr>
        <w:t>.</w:t>
      </w:r>
      <w:r w:rsidR="00AC62C4" w:rsidRPr="00D845F9">
        <w:rPr>
          <w:rStyle w:val="FootnoteReference"/>
          <w:color w:val="000000" w:themeColor="text1"/>
          <w:shd w:val="clear" w:color="auto" w:fill="FFFFFF"/>
        </w:rPr>
        <w:footnoteReference w:id="329"/>
      </w:r>
      <w:r w:rsidR="0088513B" w:rsidRPr="00D845F9">
        <w:rPr>
          <w:color w:val="000000" w:themeColor="text1"/>
          <w:shd w:val="clear" w:color="auto" w:fill="FFFFFF"/>
        </w:rPr>
        <w:t xml:space="preserve"> However, denying such access would conflict with the fundamental right to an effective remedy, because an individual could hardly be successful in a claim against a public body, if they cannot access the rationale of an algorithmic decision affecting their rights and legitimate interests.</w:t>
      </w:r>
    </w:p>
    <w:p w14:paraId="53750F29" w14:textId="5C9FFEE3" w:rsidR="001F7AB9" w:rsidRPr="00D845F9" w:rsidRDefault="00267421" w:rsidP="00D845F9">
      <w:pPr>
        <w:pStyle w:val="ListParagraph"/>
        <w:contextualSpacing w:val="0"/>
        <w:jc w:val="both"/>
        <w:rPr>
          <w:color w:val="000000" w:themeColor="text1"/>
        </w:rPr>
      </w:pPr>
      <w:r w:rsidRPr="00D845F9">
        <w:rPr>
          <w:color w:val="000000" w:themeColor="text1"/>
        </w:rPr>
        <w:t>Some scholars suggest</w:t>
      </w:r>
      <w:r w:rsidR="006302BE" w:rsidRPr="00D845F9">
        <w:rPr>
          <w:color w:val="000000" w:themeColor="text1"/>
        </w:rPr>
        <w:t xml:space="preserve"> that</w:t>
      </w:r>
      <w:r w:rsidRPr="00D845F9">
        <w:rPr>
          <w:color w:val="000000" w:themeColor="text1"/>
        </w:rPr>
        <w:t xml:space="preserve">, in the future, </w:t>
      </w:r>
      <w:r w:rsidR="008A7165" w:rsidRPr="00D845F9">
        <w:rPr>
          <w:color w:val="000000" w:themeColor="text1"/>
        </w:rPr>
        <w:t xml:space="preserve">artificial intelligence </w:t>
      </w:r>
      <w:r w:rsidRPr="00D845F9">
        <w:rPr>
          <w:color w:val="000000" w:themeColor="text1"/>
        </w:rPr>
        <w:t xml:space="preserve">will be used </w:t>
      </w:r>
      <w:r w:rsidR="008A7165" w:rsidRPr="00D845F9">
        <w:rPr>
          <w:color w:val="000000" w:themeColor="text1"/>
        </w:rPr>
        <w:t xml:space="preserve">to adopt algorithmic administrative documents even when it comes to discretionary activity, with the possibility </w:t>
      </w:r>
      <w:r w:rsidRPr="00D845F9">
        <w:rPr>
          <w:color w:val="000000" w:themeColor="text1"/>
        </w:rPr>
        <w:t>of leaving</w:t>
      </w:r>
      <w:r w:rsidR="008A7165" w:rsidRPr="00D845F9">
        <w:rPr>
          <w:color w:val="000000" w:themeColor="text1"/>
        </w:rPr>
        <w:t xml:space="preserve"> room for the human intervention in the most difficult cases</w:t>
      </w:r>
      <w:r w:rsidR="0051607F" w:rsidRPr="00D845F9">
        <w:rPr>
          <w:color w:val="000000" w:themeColor="text1"/>
        </w:rPr>
        <w:t>.</w:t>
      </w:r>
      <w:r w:rsidR="008A7165" w:rsidRPr="00D845F9">
        <w:rPr>
          <w:rStyle w:val="FootnoteReference"/>
          <w:color w:val="000000" w:themeColor="text1"/>
        </w:rPr>
        <w:footnoteReference w:id="330"/>
      </w:r>
      <w:r w:rsidR="008A7165" w:rsidRPr="00D845F9">
        <w:rPr>
          <w:color w:val="000000" w:themeColor="text1"/>
        </w:rPr>
        <w:t xml:space="preserve"> They maintain </w:t>
      </w:r>
      <w:r w:rsidR="00C13B33">
        <w:rPr>
          <w:color w:val="000000" w:themeColor="text1"/>
        </w:rPr>
        <w:t xml:space="preserve">that this is only a prediction </w:t>
      </w:r>
      <w:r w:rsidR="008A7165" w:rsidRPr="00D845F9">
        <w:rPr>
          <w:color w:val="000000" w:themeColor="text1"/>
        </w:rPr>
        <w:t>but given the current developments of natural language processing and machine learning it may be said that the</w:t>
      </w:r>
      <w:r w:rsidR="00B9647C" w:rsidRPr="00D845F9">
        <w:rPr>
          <w:color w:val="000000" w:themeColor="text1"/>
        </w:rPr>
        <w:t xml:space="preserve"> relevant</w:t>
      </w:r>
      <w:r w:rsidR="008A7165" w:rsidRPr="00D845F9">
        <w:rPr>
          <w:color w:val="000000" w:themeColor="text1"/>
        </w:rPr>
        <w:t xml:space="preserve"> tools</w:t>
      </w:r>
      <w:r w:rsidR="00B9647C" w:rsidRPr="00D845F9">
        <w:rPr>
          <w:color w:val="000000" w:themeColor="text1"/>
        </w:rPr>
        <w:t xml:space="preserve"> are already available</w:t>
      </w:r>
      <w:r w:rsidR="008A7165" w:rsidRPr="00D845F9">
        <w:rPr>
          <w:color w:val="000000" w:themeColor="text1"/>
        </w:rPr>
        <w:t xml:space="preserve">. Even though it cannot be said that artificial intelligence should be banned altogether when it comes to discretionary power, </w:t>
      </w:r>
      <w:r w:rsidR="00B9647C" w:rsidRPr="00D845F9">
        <w:rPr>
          <w:color w:val="000000" w:themeColor="text1"/>
        </w:rPr>
        <w:t>it is believed</w:t>
      </w:r>
      <w:r w:rsidR="008A7165" w:rsidRPr="00D845F9">
        <w:rPr>
          <w:color w:val="000000" w:themeColor="text1"/>
        </w:rPr>
        <w:t xml:space="preserve"> that some room for </w:t>
      </w:r>
      <w:r w:rsidR="006302BE" w:rsidRPr="00D845F9">
        <w:rPr>
          <w:i/>
          <w:color w:val="000000" w:themeColor="text1"/>
        </w:rPr>
        <w:t xml:space="preserve">ex-ante </w:t>
      </w:r>
      <w:r w:rsidR="008A7165" w:rsidRPr="00D845F9">
        <w:rPr>
          <w:color w:val="000000" w:themeColor="text1"/>
        </w:rPr>
        <w:t>human intervention should always be left for a number of reasons, including the fact that all administrative activities (like all interpretive operations) are to some extent discretionary.</w:t>
      </w:r>
      <w:r w:rsidR="002812B7" w:rsidRPr="00D845F9">
        <w:rPr>
          <w:color w:val="000000" w:themeColor="text1"/>
        </w:rPr>
        <w:t xml:space="preserve"> This does not mean, however, that citizens cannot exercise the right to access under the freedom of information regime if the relevant administrative activity is non-discretionary. It means that public bodies are not allowed to use artificial intelligence when they are exercising a discretionary power. </w:t>
      </w:r>
    </w:p>
    <w:p w14:paraId="58977D4F" w14:textId="2E5D929A" w:rsidR="00120A69" w:rsidRPr="00D845F9" w:rsidRDefault="002812B7" w:rsidP="00D845F9">
      <w:pPr>
        <w:pStyle w:val="ListParagraph"/>
        <w:contextualSpacing w:val="0"/>
        <w:jc w:val="both"/>
        <w:rPr>
          <w:color w:val="000000" w:themeColor="text1"/>
          <w:shd w:val="clear" w:color="auto" w:fill="FFFFFF"/>
        </w:rPr>
      </w:pPr>
      <w:r w:rsidRPr="00D845F9">
        <w:rPr>
          <w:color w:val="000000" w:themeColor="text1"/>
        </w:rPr>
        <w:t xml:space="preserve">The question remains </w:t>
      </w:r>
      <w:r w:rsidR="0051607F" w:rsidRPr="00D845F9">
        <w:rPr>
          <w:color w:val="000000" w:themeColor="text1"/>
        </w:rPr>
        <w:t xml:space="preserve">as to what citizens can do if </w:t>
      </w:r>
      <w:r w:rsidRPr="00D845F9">
        <w:rPr>
          <w:color w:val="000000" w:themeColor="text1"/>
        </w:rPr>
        <w:t>public bodies start taking decisions against them</w:t>
      </w:r>
      <w:r w:rsidR="001F7AB9" w:rsidRPr="00D845F9">
        <w:rPr>
          <w:color w:val="000000" w:themeColor="text1"/>
        </w:rPr>
        <w:t xml:space="preserve"> even in the discretionary realm. </w:t>
      </w:r>
      <w:r w:rsidR="0088513B" w:rsidRPr="00D845F9">
        <w:rPr>
          <w:color w:val="000000" w:themeColor="text1"/>
          <w:shd w:val="clear" w:color="auto" w:fill="FFFFFF"/>
        </w:rPr>
        <w:t xml:space="preserve">The remedy described in this section operates </w:t>
      </w:r>
      <w:r w:rsidR="0088513B" w:rsidRPr="00D845F9">
        <w:rPr>
          <w:i/>
          <w:color w:val="000000" w:themeColor="text1"/>
          <w:shd w:val="clear" w:color="auto" w:fill="FFFFFF"/>
        </w:rPr>
        <w:t xml:space="preserve">ex </w:t>
      </w:r>
      <w:r w:rsidR="008A7165" w:rsidRPr="00D845F9">
        <w:rPr>
          <w:i/>
          <w:color w:val="000000" w:themeColor="text1"/>
          <w:shd w:val="clear" w:color="auto" w:fill="FFFFFF"/>
        </w:rPr>
        <w:t>post</w:t>
      </w:r>
      <w:r w:rsidR="0088513B" w:rsidRPr="00D845F9">
        <w:rPr>
          <w:color w:val="000000" w:themeColor="text1"/>
          <w:shd w:val="clear" w:color="auto" w:fill="FFFFFF"/>
        </w:rPr>
        <w:t xml:space="preserve">, once the decision has already been taken. </w:t>
      </w:r>
      <w:r w:rsidR="008A7165" w:rsidRPr="00D845F9">
        <w:rPr>
          <w:color w:val="000000" w:themeColor="text1"/>
          <w:shd w:val="clear" w:color="auto" w:fill="FFFFFF"/>
        </w:rPr>
        <w:t xml:space="preserve">Similarly, the </w:t>
      </w:r>
      <w:r w:rsidR="006302BE" w:rsidRPr="00D845F9">
        <w:rPr>
          <w:color w:val="000000" w:themeColor="text1"/>
          <w:shd w:val="clear" w:color="auto" w:fill="FFFFFF"/>
        </w:rPr>
        <w:t>copyright and patent exceptions</w:t>
      </w:r>
      <w:r w:rsidR="008A7165" w:rsidRPr="00D845F9">
        <w:rPr>
          <w:color w:val="000000" w:themeColor="text1"/>
          <w:shd w:val="clear" w:color="auto" w:fill="FFFFFF"/>
        </w:rPr>
        <w:t xml:space="preserve"> may constitute a useful </w:t>
      </w:r>
      <w:r w:rsidR="008A7165" w:rsidRPr="00D845F9">
        <w:rPr>
          <w:i/>
          <w:color w:val="000000" w:themeColor="text1"/>
          <w:shd w:val="clear" w:color="auto" w:fill="FFFFFF"/>
        </w:rPr>
        <w:t>ex</w:t>
      </w:r>
      <w:r w:rsidR="00267421" w:rsidRPr="00D845F9">
        <w:rPr>
          <w:i/>
          <w:color w:val="000000" w:themeColor="text1"/>
          <w:shd w:val="clear" w:color="auto" w:fill="FFFFFF"/>
        </w:rPr>
        <w:t>-</w:t>
      </w:r>
      <w:r w:rsidR="008A7165" w:rsidRPr="00D845F9">
        <w:rPr>
          <w:i/>
          <w:color w:val="000000" w:themeColor="text1"/>
          <w:shd w:val="clear" w:color="auto" w:fill="FFFFFF"/>
        </w:rPr>
        <w:t>post</w:t>
      </w:r>
      <w:r w:rsidR="006302BE" w:rsidRPr="00D845F9">
        <w:rPr>
          <w:color w:val="000000" w:themeColor="text1"/>
          <w:shd w:val="clear" w:color="auto" w:fill="FFFFFF"/>
        </w:rPr>
        <w:t xml:space="preserve"> tool, but their</w:t>
      </w:r>
      <w:r w:rsidR="008A7165" w:rsidRPr="00D845F9">
        <w:rPr>
          <w:color w:val="000000" w:themeColor="text1"/>
          <w:shd w:val="clear" w:color="auto" w:fill="FFFFFF"/>
        </w:rPr>
        <w:t xml:space="preserve"> scope is quite limited. From an </w:t>
      </w:r>
      <w:r w:rsidR="008A7165" w:rsidRPr="00D845F9">
        <w:rPr>
          <w:i/>
          <w:color w:val="000000" w:themeColor="text1"/>
          <w:shd w:val="clear" w:color="auto" w:fill="FFFFFF"/>
        </w:rPr>
        <w:t>ex-ante</w:t>
      </w:r>
      <w:r w:rsidR="008A7165" w:rsidRPr="00D845F9">
        <w:rPr>
          <w:color w:val="000000" w:themeColor="text1"/>
          <w:shd w:val="clear" w:color="auto" w:fill="FFFFFF"/>
        </w:rPr>
        <w:t xml:space="preserve"> perspective, however, i</w:t>
      </w:r>
      <w:r w:rsidR="00BB2C4D" w:rsidRPr="00D845F9">
        <w:rPr>
          <w:color w:val="000000" w:themeColor="text1"/>
          <w:shd w:val="clear" w:color="auto" w:fill="FFFFFF"/>
        </w:rPr>
        <w:t>t may be argued</w:t>
      </w:r>
      <w:r w:rsidR="0088513B" w:rsidRPr="00D845F9">
        <w:rPr>
          <w:color w:val="000000" w:themeColor="text1"/>
          <w:shd w:val="clear" w:color="auto" w:fill="FFFFFF"/>
        </w:rPr>
        <w:t xml:space="preserve"> that a potentially affected individual could obtain an injunction to prevent a public body from taking an algorithmic decision by using the data protection tool under Article 22 of the GDPR.</w:t>
      </w:r>
      <w:r w:rsidR="008A7165" w:rsidRPr="00D845F9">
        <w:rPr>
          <w:color w:val="000000" w:themeColor="text1"/>
          <w:shd w:val="clear" w:color="auto" w:fill="FFFFFF"/>
        </w:rPr>
        <w:t xml:space="preserve"> Therefore, an integrated approach to the remedies ag</w:t>
      </w:r>
      <w:r w:rsidR="00267421" w:rsidRPr="00D845F9">
        <w:rPr>
          <w:color w:val="000000" w:themeColor="text1"/>
          <w:shd w:val="clear" w:color="auto" w:fill="FFFFFF"/>
        </w:rPr>
        <w:t xml:space="preserve">ainst algorithmic decisions should </w:t>
      </w:r>
      <w:r w:rsidR="008A7165" w:rsidRPr="00D845F9">
        <w:rPr>
          <w:color w:val="000000" w:themeColor="text1"/>
          <w:shd w:val="clear" w:color="auto" w:fill="FFFFFF"/>
        </w:rPr>
        <w:t>be taken.</w:t>
      </w:r>
    </w:p>
    <w:p w14:paraId="7B100645" w14:textId="77777777" w:rsidR="00431ED8" w:rsidRPr="00D845F9" w:rsidRDefault="00431ED8" w:rsidP="00D845F9">
      <w:pPr>
        <w:pStyle w:val="ListParagraph"/>
        <w:contextualSpacing w:val="0"/>
        <w:jc w:val="both"/>
        <w:rPr>
          <w:color w:val="000000" w:themeColor="text1"/>
          <w:shd w:val="clear" w:color="auto" w:fill="FFFFFF"/>
        </w:rPr>
      </w:pPr>
    </w:p>
    <w:p w14:paraId="69C4482E" w14:textId="5B6919B4" w:rsidR="00D369BD" w:rsidRPr="00D845F9" w:rsidRDefault="00D369BD" w:rsidP="004672E2">
      <w:pPr>
        <w:pStyle w:val="NormalWeb"/>
        <w:numPr>
          <w:ilvl w:val="0"/>
          <w:numId w:val="15"/>
        </w:numPr>
        <w:rPr>
          <w:b/>
          <w:color w:val="000000" w:themeColor="text1"/>
        </w:rPr>
      </w:pPr>
      <w:r w:rsidRPr="004672E2">
        <w:rPr>
          <w:rFonts w:ascii="TitilliumMaps29L" w:hAnsi="TitilliumMaps29L"/>
          <w:sz w:val="28"/>
          <w:szCs w:val="28"/>
        </w:rPr>
        <w:t>Conclusions</w:t>
      </w:r>
      <w:r w:rsidRPr="00D845F9">
        <w:rPr>
          <w:b/>
          <w:color w:val="000000" w:themeColor="text1"/>
        </w:rPr>
        <w:t>.</w:t>
      </w:r>
    </w:p>
    <w:p w14:paraId="400A04DB" w14:textId="77777777" w:rsidR="000723F0" w:rsidRPr="00D845F9" w:rsidRDefault="000723F0" w:rsidP="00D845F9">
      <w:pPr>
        <w:pStyle w:val="ListParagraph"/>
        <w:ind w:left="2880"/>
        <w:contextualSpacing w:val="0"/>
        <w:jc w:val="both"/>
        <w:rPr>
          <w:b/>
          <w:color w:val="000000" w:themeColor="text1"/>
        </w:rPr>
      </w:pPr>
    </w:p>
    <w:p w14:paraId="2B11B8DE" w14:textId="0FED352C" w:rsidR="00717464" w:rsidRPr="00D845F9" w:rsidRDefault="003C5F7D" w:rsidP="00D845F9">
      <w:pPr>
        <w:pStyle w:val="ListParagraph"/>
        <w:contextualSpacing w:val="0"/>
        <w:jc w:val="both"/>
        <w:rPr>
          <w:color w:val="000000" w:themeColor="text1"/>
        </w:rPr>
      </w:pPr>
      <w:r w:rsidRPr="00D845F9">
        <w:rPr>
          <w:color w:val="000000" w:themeColor="text1"/>
        </w:rPr>
        <w:t xml:space="preserve">This study presented </w:t>
      </w:r>
      <w:r w:rsidR="001C7452" w:rsidRPr="00D845F9">
        <w:rPr>
          <w:color w:val="000000" w:themeColor="text1"/>
        </w:rPr>
        <w:t xml:space="preserve">ten arguments against algorithmic decision-making, as well as </w:t>
      </w:r>
      <w:r w:rsidRPr="00D845F9">
        <w:rPr>
          <w:color w:val="000000" w:themeColor="text1"/>
        </w:rPr>
        <w:t xml:space="preserve">three routes </w:t>
      </w:r>
      <w:r w:rsidR="00BC2F20" w:rsidRPr="00D845F9">
        <w:rPr>
          <w:color w:val="000000" w:themeColor="text1"/>
        </w:rPr>
        <w:t xml:space="preserve">available to those </w:t>
      </w:r>
      <w:r w:rsidRPr="00D845F9">
        <w:rPr>
          <w:color w:val="000000" w:themeColor="text1"/>
        </w:rPr>
        <w:t xml:space="preserve">affected </w:t>
      </w:r>
      <w:r w:rsidR="00BC2F20" w:rsidRPr="00D845F9">
        <w:rPr>
          <w:color w:val="000000" w:themeColor="text1"/>
        </w:rPr>
        <w:t>by algorithms. As pointed out by some scholars,</w:t>
      </w:r>
      <w:r w:rsidR="00BC2F20" w:rsidRPr="00D845F9">
        <w:rPr>
          <w:rStyle w:val="FootnoteReference"/>
          <w:color w:val="000000" w:themeColor="text1"/>
        </w:rPr>
        <w:footnoteReference w:id="331"/>
      </w:r>
      <w:r w:rsidR="00BC2F20" w:rsidRPr="00D845F9">
        <w:rPr>
          <w:color w:val="000000" w:themeColor="text1"/>
        </w:rPr>
        <w:t xml:space="preserve"> the most important thing is providing individuals with means to challenge adverse algorithmic decisions.</w:t>
      </w:r>
      <w:r w:rsidR="00396875" w:rsidRPr="00D845F9">
        <w:rPr>
          <w:color w:val="000000" w:themeColor="text1"/>
        </w:rPr>
        <w:t xml:space="preserve"> To do so, intellectual property, data protection</w:t>
      </w:r>
      <w:r w:rsidR="001C7452" w:rsidRPr="00D845F9">
        <w:rPr>
          <w:color w:val="000000" w:themeColor="text1"/>
        </w:rPr>
        <w:t>, and freedom of information</w:t>
      </w:r>
      <w:r w:rsidR="00396875" w:rsidRPr="00D845F9">
        <w:rPr>
          <w:color w:val="000000" w:themeColor="text1"/>
        </w:rPr>
        <w:t xml:space="preserve"> provide </w:t>
      </w:r>
      <w:r w:rsidR="001C7452" w:rsidRPr="00D845F9">
        <w:rPr>
          <w:color w:val="000000" w:themeColor="text1"/>
        </w:rPr>
        <w:t>adequate protections, particularly if one takes an integrated approach.</w:t>
      </w:r>
      <w:r w:rsidR="00C13B33">
        <w:rPr>
          <w:color w:val="000000" w:themeColor="text1"/>
        </w:rPr>
        <w:t xml:space="preserve"> National implementations of the GDPR should be a precious opportuni</w:t>
      </w:r>
      <w:r w:rsidR="00630C08">
        <w:rPr>
          <w:color w:val="000000" w:themeColor="text1"/>
        </w:rPr>
        <w:t>ty to detail the procedures to challenge algorithmic decisions, even though it does not seem that this is the direction that is being taken.</w:t>
      </w:r>
    </w:p>
    <w:p w14:paraId="7DB1D223" w14:textId="2D512759" w:rsidR="00717464" w:rsidRPr="00D845F9" w:rsidRDefault="00396875" w:rsidP="00D845F9">
      <w:pPr>
        <w:pStyle w:val="ListParagraph"/>
        <w:contextualSpacing w:val="0"/>
        <w:jc w:val="both"/>
        <w:rPr>
          <w:color w:val="000000" w:themeColor="text1"/>
        </w:rPr>
      </w:pPr>
      <w:r w:rsidRPr="00D845F9">
        <w:rPr>
          <w:color w:val="000000" w:themeColor="text1"/>
        </w:rPr>
        <w:t>Intellectual property enables the legitimate user of a software implementing an algorithm or of an algorithm-related patent to carry out certain acts (study, o</w:t>
      </w:r>
      <w:r w:rsidR="003F6378">
        <w:rPr>
          <w:color w:val="000000" w:themeColor="text1"/>
        </w:rPr>
        <w:t>bservation, etc.) without the intellectual property</w:t>
      </w:r>
      <w:r w:rsidRPr="00D845F9">
        <w:rPr>
          <w:color w:val="000000" w:themeColor="text1"/>
        </w:rPr>
        <w:t xml:space="preserve"> owner’s consent. </w:t>
      </w:r>
      <w:r w:rsidR="00630C08">
        <w:rPr>
          <w:color w:val="000000" w:themeColor="text1"/>
        </w:rPr>
        <w:t>Whilst these quasi-rights</w:t>
      </w:r>
      <w:r w:rsidRPr="00D845F9">
        <w:rPr>
          <w:color w:val="000000" w:themeColor="text1"/>
        </w:rPr>
        <w:t xml:space="preserve"> allow the user to try and understand the </w:t>
      </w:r>
      <w:r w:rsidR="00630C08">
        <w:rPr>
          <w:color w:val="000000" w:themeColor="text1"/>
        </w:rPr>
        <w:t>algorithm by themselves, they do</w:t>
      </w:r>
      <w:r w:rsidRPr="00D845F9">
        <w:rPr>
          <w:color w:val="000000" w:themeColor="text1"/>
        </w:rPr>
        <w:t xml:space="preserve"> not give them a positive right to demand the </w:t>
      </w:r>
      <w:r w:rsidR="003F6378">
        <w:rPr>
          <w:color w:val="000000" w:themeColor="text1"/>
        </w:rPr>
        <w:t>intellectual property owner</w:t>
      </w:r>
      <w:r w:rsidRPr="00D845F9">
        <w:rPr>
          <w:color w:val="000000" w:themeColor="text1"/>
        </w:rPr>
        <w:t xml:space="preserve">’s cooperation. </w:t>
      </w:r>
    </w:p>
    <w:p w14:paraId="18391B72" w14:textId="03B43478" w:rsidR="00617605" w:rsidRPr="00D845F9" w:rsidRDefault="00396875" w:rsidP="00D845F9">
      <w:pPr>
        <w:pStyle w:val="ListParagraph"/>
        <w:contextualSpacing w:val="0"/>
        <w:jc w:val="both"/>
        <w:rPr>
          <w:color w:val="000000" w:themeColor="text1"/>
        </w:rPr>
      </w:pPr>
      <w:r w:rsidRPr="00D845F9">
        <w:rPr>
          <w:color w:val="000000" w:themeColor="text1"/>
        </w:rPr>
        <w:t xml:space="preserve">Conversely, a freedom of information </w:t>
      </w:r>
      <w:r w:rsidR="003F6378">
        <w:rPr>
          <w:color w:val="000000" w:themeColor="text1"/>
        </w:rPr>
        <w:t xml:space="preserve">request </w:t>
      </w:r>
      <w:r w:rsidRPr="00D845F9">
        <w:rPr>
          <w:color w:val="000000" w:themeColor="text1"/>
        </w:rPr>
        <w:t xml:space="preserve">allows all citizens to </w:t>
      </w:r>
      <w:r w:rsidR="00630C08">
        <w:rPr>
          <w:color w:val="000000" w:themeColor="text1"/>
        </w:rPr>
        <w:t>impose upon</w:t>
      </w:r>
      <w:r w:rsidRPr="00D845F9">
        <w:rPr>
          <w:color w:val="000000" w:themeColor="text1"/>
        </w:rPr>
        <w:t xml:space="preserve"> public bodies, under certain circumstances, </w:t>
      </w:r>
      <w:r w:rsidR="00630C08">
        <w:rPr>
          <w:color w:val="000000" w:themeColor="text1"/>
        </w:rPr>
        <w:t xml:space="preserve">an obligation </w:t>
      </w:r>
      <w:r w:rsidRPr="00D845F9">
        <w:rPr>
          <w:color w:val="000000" w:themeColor="text1"/>
        </w:rPr>
        <w:t xml:space="preserve">to release the source code </w:t>
      </w:r>
      <w:r w:rsidR="00630C08">
        <w:rPr>
          <w:color w:val="000000" w:themeColor="text1"/>
        </w:rPr>
        <w:t xml:space="preserve">of computer programs that implement algorithms, while </w:t>
      </w:r>
      <w:r w:rsidRPr="00D845F9">
        <w:rPr>
          <w:color w:val="000000" w:themeColor="text1"/>
        </w:rPr>
        <w:t>explain</w:t>
      </w:r>
      <w:r w:rsidR="00630C08">
        <w:rPr>
          <w:color w:val="000000" w:themeColor="text1"/>
        </w:rPr>
        <w:t>ing</w:t>
      </w:r>
      <w:r w:rsidRPr="00D845F9">
        <w:rPr>
          <w:color w:val="000000" w:themeColor="text1"/>
        </w:rPr>
        <w:t xml:space="preserve"> the logic involved </w:t>
      </w:r>
      <w:r w:rsidR="00630C08">
        <w:rPr>
          <w:color w:val="000000" w:themeColor="text1"/>
        </w:rPr>
        <w:t>in the relevant decision</w:t>
      </w:r>
      <w:r w:rsidRPr="00D845F9">
        <w:rPr>
          <w:color w:val="000000" w:themeColor="text1"/>
        </w:rPr>
        <w:t xml:space="preserve">. </w:t>
      </w:r>
      <w:r w:rsidR="003F6378">
        <w:rPr>
          <w:color w:val="000000" w:themeColor="text1"/>
        </w:rPr>
        <w:t>The main shortcoming of this regime is the limitation to public defendants. Much will depend on how courts will strike a balance between freedom of information and intellectual property. In Italy, the former prevails. In turn, arguably, the UK tend to favour the interests of the intellectual property owners.</w:t>
      </w:r>
    </w:p>
    <w:p w14:paraId="3F61FD4A" w14:textId="2C12546E" w:rsidR="00C92E7B" w:rsidRDefault="00717464" w:rsidP="00D845F9">
      <w:pPr>
        <w:pStyle w:val="ListParagraph"/>
        <w:contextualSpacing w:val="0"/>
        <w:jc w:val="both"/>
        <w:rPr>
          <w:color w:val="000000" w:themeColor="text1"/>
        </w:rPr>
      </w:pPr>
      <w:r w:rsidRPr="00D845F9">
        <w:rPr>
          <w:color w:val="000000" w:themeColor="text1"/>
        </w:rPr>
        <w:t xml:space="preserve">The only </w:t>
      </w:r>
      <w:r w:rsidRPr="00D845F9">
        <w:rPr>
          <w:i/>
          <w:color w:val="000000" w:themeColor="text1"/>
        </w:rPr>
        <w:t>ad-hoc</w:t>
      </w:r>
      <w:r w:rsidRPr="00D845F9">
        <w:rPr>
          <w:color w:val="000000" w:themeColor="text1"/>
        </w:rPr>
        <w:t xml:space="preserve"> regime</w:t>
      </w:r>
      <w:r w:rsidR="001C7452" w:rsidRPr="00D845F9">
        <w:rPr>
          <w:color w:val="000000" w:themeColor="text1"/>
        </w:rPr>
        <w:t xml:space="preserve"> against algorithmic decisions</w:t>
      </w:r>
      <w:r w:rsidRPr="00D845F9">
        <w:rPr>
          <w:color w:val="000000" w:themeColor="text1"/>
        </w:rPr>
        <w:t xml:space="preserve"> is provided by </w:t>
      </w:r>
      <w:r w:rsidR="00255DC4" w:rsidRPr="00D845F9">
        <w:rPr>
          <w:color w:val="000000" w:themeColor="text1"/>
        </w:rPr>
        <w:t xml:space="preserve">art </w:t>
      </w:r>
      <w:r w:rsidRPr="00D845F9">
        <w:rPr>
          <w:color w:val="000000" w:themeColor="text1"/>
        </w:rPr>
        <w:t>22 of the GDPR.</w:t>
      </w:r>
      <w:r w:rsidR="00663344" w:rsidRPr="00D845F9">
        <w:rPr>
          <w:color w:val="000000" w:themeColor="text1"/>
        </w:rPr>
        <w:t xml:space="preserve"> One may critic</w:t>
      </w:r>
      <w:r w:rsidR="004F4403" w:rsidRPr="00D845F9">
        <w:rPr>
          <w:color w:val="000000" w:themeColor="text1"/>
        </w:rPr>
        <w:t xml:space="preserve">ise </w:t>
      </w:r>
      <w:r w:rsidR="00663344" w:rsidRPr="00D845F9">
        <w:rPr>
          <w:color w:val="000000" w:themeColor="text1"/>
        </w:rPr>
        <w:t>some aspects of this provision. For instance, it applies only to decisions “</w:t>
      </w:r>
      <w:r w:rsidR="00663344" w:rsidRPr="00D845F9">
        <w:rPr>
          <w:i/>
          <w:color w:val="000000" w:themeColor="text1"/>
        </w:rPr>
        <w:t xml:space="preserve">solely </w:t>
      </w:r>
      <w:r w:rsidR="00663344" w:rsidRPr="00D845F9">
        <w:rPr>
          <w:color w:val="000000" w:themeColor="text1"/>
        </w:rPr>
        <w:t>based on automated processing” means.</w:t>
      </w:r>
      <w:r w:rsidR="003F6378">
        <w:rPr>
          <w:color w:val="000000" w:themeColor="text1"/>
        </w:rPr>
        <w:t xml:space="preserve"> T</w:t>
      </w:r>
      <w:r w:rsidR="00663344" w:rsidRPr="00D845F9">
        <w:rPr>
          <w:color w:val="000000" w:themeColor="text1"/>
        </w:rPr>
        <w:t>his paper’s suggestion is to recogn</w:t>
      </w:r>
      <w:r w:rsidR="004F4403" w:rsidRPr="00D845F9">
        <w:rPr>
          <w:color w:val="000000" w:themeColor="text1"/>
        </w:rPr>
        <w:t xml:space="preserve">ise </w:t>
      </w:r>
      <w:r w:rsidR="00663344" w:rsidRPr="00D845F9">
        <w:rPr>
          <w:color w:val="000000" w:themeColor="text1"/>
        </w:rPr>
        <w:t>the right not to be subject to an algorithmic decision every time that there is not a human being taking the final decision</w:t>
      </w:r>
      <w:r w:rsidR="00630C08">
        <w:rPr>
          <w:color w:val="000000" w:themeColor="text1"/>
        </w:rPr>
        <w:t xml:space="preserve"> substantially, as opposed to formally</w:t>
      </w:r>
      <w:r w:rsidR="00663344" w:rsidRPr="00D845F9">
        <w:rPr>
          <w:color w:val="000000" w:themeColor="text1"/>
        </w:rPr>
        <w:t>.</w:t>
      </w:r>
      <w:r w:rsidR="00687C21">
        <w:rPr>
          <w:color w:val="000000" w:themeColor="text1"/>
        </w:rPr>
        <w:t xml:space="preserve"> </w:t>
      </w:r>
      <w:r w:rsidR="00663344" w:rsidRPr="00D845F9">
        <w:rPr>
          <w:color w:val="000000" w:themeColor="text1"/>
        </w:rPr>
        <w:t>In spite of</w:t>
      </w:r>
      <w:r w:rsidRPr="00D845F9">
        <w:rPr>
          <w:color w:val="000000" w:themeColor="text1"/>
        </w:rPr>
        <w:t xml:space="preserve"> its shortcomings,</w:t>
      </w:r>
      <w:r w:rsidR="00663344" w:rsidRPr="00D845F9">
        <w:rPr>
          <w:color w:val="000000" w:themeColor="text1"/>
        </w:rPr>
        <w:t xml:space="preserve"> </w:t>
      </w:r>
      <w:r w:rsidR="00255DC4" w:rsidRPr="00D845F9">
        <w:rPr>
          <w:color w:val="000000" w:themeColor="text1"/>
        </w:rPr>
        <w:t>art</w:t>
      </w:r>
      <w:r w:rsidR="00663344" w:rsidRPr="00D845F9">
        <w:rPr>
          <w:color w:val="000000" w:themeColor="text1"/>
        </w:rPr>
        <w:t xml:space="preserve"> 22</w:t>
      </w:r>
      <w:r w:rsidRPr="00D845F9">
        <w:rPr>
          <w:color w:val="000000" w:themeColor="text1"/>
        </w:rPr>
        <w:t xml:space="preserve"> is clear and detailed in laying out the general principle that businesses, governments, judges, and other data controllers should not make decisions based solely on algorithmic processes. </w:t>
      </w:r>
      <w:r w:rsidR="00486AF2" w:rsidRPr="00D845F9">
        <w:rPr>
          <w:color w:val="000000" w:themeColor="text1"/>
        </w:rPr>
        <w:t xml:space="preserve">Under certain circumstances (e.g. explicit consent), such decisions can be made, but informing the data subject and allowing him or her to access to the logic involved in the decision, its significance, and the envisaged consequences. </w:t>
      </w:r>
      <w:r w:rsidR="00C92E7B">
        <w:rPr>
          <w:color w:val="000000" w:themeColor="text1"/>
        </w:rPr>
        <w:t xml:space="preserve">Much will depend on the national implementing measures. The UK Data Protection Bill risks not </w:t>
      </w:r>
      <w:r w:rsidR="00715E9F">
        <w:rPr>
          <w:color w:val="000000" w:themeColor="text1"/>
        </w:rPr>
        <w:t>ensuring</w:t>
      </w:r>
      <w:r w:rsidR="00C92E7B">
        <w:rPr>
          <w:color w:val="000000" w:themeColor="text1"/>
        </w:rPr>
        <w:t xml:space="preserve"> compliance with the GDPR, thus exposing the UK to the possibility to be considered as ‘inadequate’ in the context of cross-border EU-UK data transfers.</w:t>
      </w:r>
    </w:p>
    <w:p w14:paraId="496516E1" w14:textId="51431B95" w:rsidR="00717464" w:rsidRPr="00D845F9" w:rsidRDefault="00486AF2" w:rsidP="00D845F9">
      <w:pPr>
        <w:pStyle w:val="ListParagraph"/>
        <w:contextualSpacing w:val="0"/>
        <w:jc w:val="both"/>
        <w:rPr>
          <w:color w:val="000000" w:themeColor="text1"/>
        </w:rPr>
      </w:pPr>
      <w:r w:rsidRPr="00D845F9">
        <w:rPr>
          <w:color w:val="000000" w:themeColor="text1"/>
        </w:rPr>
        <w:t xml:space="preserve">It is submitted that </w:t>
      </w:r>
      <w:r w:rsidR="00255DC4" w:rsidRPr="00D845F9">
        <w:rPr>
          <w:rStyle w:val="apple-converted-space"/>
          <w:color w:val="000000" w:themeColor="text1"/>
        </w:rPr>
        <w:t>only a</w:t>
      </w:r>
      <w:r w:rsidRPr="00D845F9">
        <w:rPr>
          <w:rStyle w:val="apple-converted-space"/>
          <w:color w:val="000000" w:themeColor="text1"/>
        </w:rPr>
        <w:t xml:space="preserve"> document which includes</w:t>
      </w:r>
      <w:r w:rsidR="003F6378">
        <w:rPr>
          <w:rStyle w:val="apple-converted-space"/>
          <w:color w:val="000000" w:themeColor="text1"/>
        </w:rPr>
        <w:t xml:space="preserve"> </w:t>
      </w:r>
      <w:r w:rsidR="003F6378" w:rsidRPr="00C92E7B">
        <w:rPr>
          <w:rStyle w:val="apple-converted-space"/>
          <w:i/>
          <w:color w:val="000000" w:themeColor="text1"/>
        </w:rPr>
        <w:t>both</w:t>
      </w:r>
      <w:r w:rsidRPr="00D845F9">
        <w:rPr>
          <w:rStyle w:val="apple-converted-space"/>
          <w:color w:val="000000" w:themeColor="text1"/>
        </w:rPr>
        <w:t xml:space="preserve"> the algorithm used and an explanation of the logic </w:t>
      </w:r>
      <w:r w:rsidR="00255DC4" w:rsidRPr="00D845F9">
        <w:rPr>
          <w:rStyle w:val="apple-converted-space"/>
          <w:color w:val="000000" w:themeColor="text1"/>
        </w:rPr>
        <w:t xml:space="preserve">and consequences </w:t>
      </w:r>
      <w:r w:rsidRPr="00D845F9">
        <w:rPr>
          <w:rStyle w:val="apple-converted-space"/>
          <w:color w:val="000000" w:themeColor="text1"/>
        </w:rPr>
        <w:t xml:space="preserve">in </w:t>
      </w:r>
      <w:r w:rsidR="00255DC4" w:rsidRPr="00D845F9">
        <w:rPr>
          <w:rStyle w:val="apple-converted-space"/>
          <w:color w:val="000000" w:themeColor="text1"/>
        </w:rPr>
        <w:t>layman</w:t>
      </w:r>
      <w:r w:rsidR="00715E9F">
        <w:rPr>
          <w:rStyle w:val="apple-converted-space"/>
          <w:color w:val="000000" w:themeColor="text1"/>
        </w:rPr>
        <w:t>’s</w:t>
      </w:r>
      <w:r w:rsidRPr="00D845F9">
        <w:rPr>
          <w:rStyle w:val="apple-converted-space"/>
          <w:color w:val="000000" w:themeColor="text1"/>
        </w:rPr>
        <w:t xml:space="preserve"> terms </w:t>
      </w:r>
      <w:r w:rsidR="00FD3A3F">
        <w:rPr>
          <w:rStyle w:val="apple-converted-space"/>
          <w:color w:val="000000" w:themeColor="text1"/>
        </w:rPr>
        <w:t>would comply with the GDPR as interpreted in light of the Charter of Fundamental Rights of the EU</w:t>
      </w:r>
      <w:r w:rsidRPr="00D845F9">
        <w:rPr>
          <w:rStyle w:val="apple-converted-space"/>
          <w:color w:val="000000" w:themeColor="text1"/>
        </w:rPr>
        <w:t xml:space="preserve">. </w:t>
      </w:r>
      <w:r w:rsidR="00FD3A3F">
        <w:rPr>
          <w:rStyle w:val="apple-converted-space"/>
          <w:color w:val="000000" w:themeColor="text1"/>
        </w:rPr>
        <w:t xml:space="preserve">Then, </w:t>
      </w:r>
      <w:r w:rsidR="00FD3A3F">
        <w:rPr>
          <w:color w:val="000000" w:themeColor="text1"/>
        </w:rPr>
        <w:t>t</w:t>
      </w:r>
      <w:r w:rsidR="001E1148" w:rsidRPr="00D845F9">
        <w:rPr>
          <w:color w:val="000000" w:themeColor="text1"/>
        </w:rPr>
        <w:t xml:space="preserve">he right to a human judge is paramount, because the right to access and to be informed may prove useless. Indeed, when artificial intelligence is used, it is sometimes unfeasible to </w:t>
      </w:r>
      <w:r w:rsidR="003F6378">
        <w:rPr>
          <w:color w:val="000000" w:themeColor="text1"/>
        </w:rPr>
        <w:t xml:space="preserve">access </w:t>
      </w:r>
      <w:r w:rsidR="00630C08">
        <w:rPr>
          <w:color w:val="000000" w:themeColor="text1"/>
        </w:rPr>
        <w:t>the relevant rationale. To the legal black box created by intellectual property rights, one needs to add the technical black box.</w:t>
      </w:r>
    </w:p>
    <w:p w14:paraId="4D3A7B98" w14:textId="4F1AC82A" w:rsidR="00717464" w:rsidRPr="00D845F9" w:rsidRDefault="00717464" w:rsidP="00D845F9">
      <w:pPr>
        <w:pStyle w:val="ListParagraph"/>
        <w:contextualSpacing w:val="0"/>
        <w:jc w:val="both"/>
        <w:rPr>
          <w:color w:val="000000" w:themeColor="text1"/>
          <w:shd w:val="clear" w:color="auto" w:fill="FFFFFF"/>
        </w:rPr>
      </w:pPr>
      <w:r w:rsidRPr="00D845F9">
        <w:rPr>
          <w:color w:val="000000" w:themeColor="text1"/>
        </w:rPr>
        <w:t>Practically, if the algorithmic decision is based on personal data, this latter route is preferable. If not and the decision-maker is a public bod</w:t>
      </w:r>
      <w:r w:rsidR="00630C08">
        <w:rPr>
          <w:color w:val="000000" w:themeColor="text1"/>
        </w:rPr>
        <w:t xml:space="preserve">y, one should opt for a freedom of </w:t>
      </w:r>
      <w:r w:rsidRPr="00D845F9">
        <w:rPr>
          <w:color w:val="000000" w:themeColor="text1"/>
        </w:rPr>
        <w:t>information request. If a private decision-maker (e.g. a bank) makes an algorithmic decision based on non</w:t>
      </w:r>
      <w:r w:rsidR="00486AF2" w:rsidRPr="00D845F9">
        <w:rPr>
          <w:color w:val="000000" w:themeColor="text1"/>
        </w:rPr>
        <w:t xml:space="preserve">-personal data, then the route will be that of intellectual property exceptions. </w:t>
      </w:r>
      <w:r w:rsidR="00183CFA" w:rsidRPr="00D845F9">
        <w:rPr>
          <w:color w:val="000000" w:themeColor="text1"/>
          <w:shd w:val="clear" w:color="auto" w:fill="FFFFFF"/>
        </w:rPr>
        <w:t xml:space="preserve">The freedom-of-information remedies operate </w:t>
      </w:r>
      <w:r w:rsidR="00183CFA" w:rsidRPr="00D845F9">
        <w:rPr>
          <w:i/>
          <w:color w:val="000000" w:themeColor="text1"/>
          <w:shd w:val="clear" w:color="auto" w:fill="FFFFFF"/>
        </w:rPr>
        <w:t>ex post</w:t>
      </w:r>
      <w:r w:rsidR="00183CFA" w:rsidRPr="00D845F9">
        <w:rPr>
          <w:color w:val="000000" w:themeColor="text1"/>
          <w:shd w:val="clear" w:color="auto" w:fill="FFFFFF"/>
        </w:rPr>
        <w:t xml:space="preserve">, once the decision has already been taken. </w:t>
      </w:r>
      <w:r w:rsidR="003F6378">
        <w:rPr>
          <w:color w:val="000000" w:themeColor="text1"/>
          <w:shd w:val="clear" w:color="auto" w:fill="FFFFFF"/>
        </w:rPr>
        <w:t>In turn</w:t>
      </w:r>
      <w:r w:rsidR="00183CFA" w:rsidRPr="00D845F9">
        <w:rPr>
          <w:color w:val="000000" w:themeColor="text1"/>
          <w:shd w:val="clear" w:color="auto" w:fill="FFFFFF"/>
        </w:rPr>
        <w:t xml:space="preserve">, the copyright and patent exceptions may </w:t>
      </w:r>
      <w:r w:rsidR="003F6378">
        <w:rPr>
          <w:color w:val="000000" w:themeColor="text1"/>
          <w:shd w:val="clear" w:color="auto" w:fill="FFFFFF"/>
        </w:rPr>
        <w:t xml:space="preserve">be used before any decision is made, but only to access the algorithm, not to prevent the decision-maker to proceeding algorithmically. The only </w:t>
      </w:r>
      <w:r w:rsidR="005A4A50">
        <w:rPr>
          <w:color w:val="000000" w:themeColor="text1"/>
          <w:shd w:val="clear" w:color="auto" w:fill="FFFFFF"/>
        </w:rPr>
        <w:t xml:space="preserve">regime that </w:t>
      </w:r>
      <w:r w:rsidR="00183CFA" w:rsidRPr="00D845F9">
        <w:rPr>
          <w:color w:val="000000" w:themeColor="text1"/>
          <w:shd w:val="clear" w:color="auto" w:fill="FFFFFF"/>
        </w:rPr>
        <w:t>prevent</w:t>
      </w:r>
      <w:r w:rsidR="005A4A50">
        <w:rPr>
          <w:color w:val="000000" w:themeColor="text1"/>
          <w:shd w:val="clear" w:color="auto" w:fill="FFFFFF"/>
        </w:rPr>
        <w:t xml:space="preserve">s algorithmic decisions </w:t>
      </w:r>
      <w:r w:rsidR="00030172">
        <w:rPr>
          <w:color w:val="000000" w:themeColor="text1"/>
          <w:shd w:val="clear" w:color="auto" w:fill="FFFFFF"/>
        </w:rPr>
        <w:t>is the one provided by the GDPR.</w:t>
      </w:r>
    </w:p>
    <w:p w14:paraId="48170AC1" w14:textId="52C6932B" w:rsidR="00CC694B" w:rsidRPr="00D845F9" w:rsidRDefault="00CC694B" w:rsidP="00D845F9">
      <w:pPr>
        <w:pStyle w:val="ListParagraph"/>
        <w:contextualSpacing w:val="0"/>
        <w:jc w:val="both"/>
        <w:rPr>
          <w:color w:val="000000" w:themeColor="text1"/>
        </w:rPr>
      </w:pPr>
      <w:r w:rsidRPr="00D845F9">
        <w:rPr>
          <w:color w:val="000000" w:themeColor="text1"/>
        </w:rPr>
        <w:t xml:space="preserve">The trust in artificial intelligence and algorithms derives from the belief that non-human agents are </w:t>
      </w:r>
      <w:r w:rsidR="00630C08" w:rsidRPr="00D845F9">
        <w:rPr>
          <w:color w:val="000000" w:themeColor="text1"/>
        </w:rPr>
        <w:t>unbiased,</w:t>
      </w:r>
      <w:r w:rsidRPr="00D845F9">
        <w:rPr>
          <w:color w:val="000000" w:themeColor="text1"/>
        </w:rPr>
        <w:t xml:space="preserve"> and their decisions are not affected by passions and ideologies. </w:t>
      </w:r>
      <w:r w:rsidR="00030172">
        <w:rPr>
          <w:color w:val="000000" w:themeColor="text1"/>
        </w:rPr>
        <w:t>In fact, a</w:t>
      </w:r>
      <w:r w:rsidRPr="00D845F9">
        <w:rPr>
          <w:color w:val="000000" w:themeColor="text1"/>
        </w:rPr>
        <w:t>lgorithms are as biased as the people who trained them</w:t>
      </w:r>
      <w:r w:rsidR="001C7452" w:rsidRPr="00D845F9">
        <w:rPr>
          <w:color w:val="000000" w:themeColor="text1"/>
        </w:rPr>
        <w:t>, but in a less transp</w:t>
      </w:r>
      <w:r w:rsidR="00030172">
        <w:rPr>
          <w:color w:val="000000" w:themeColor="text1"/>
        </w:rPr>
        <w:t>arent and accountable way. T</w:t>
      </w:r>
      <w:r w:rsidR="001C7452" w:rsidRPr="00D845F9">
        <w:rPr>
          <w:color w:val="000000" w:themeColor="text1"/>
        </w:rPr>
        <w:t>he more important algorithms</w:t>
      </w:r>
      <w:r w:rsidRPr="00D845F9">
        <w:rPr>
          <w:color w:val="000000" w:themeColor="text1"/>
        </w:rPr>
        <w:t xml:space="preserve"> will become, the more </w:t>
      </w:r>
      <w:r w:rsidR="00630C08">
        <w:rPr>
          <w:color w:val="000000" w:themeColor="text1"/>
        </w:rPr>
        <w:t>we</w:t>
      </w:r>
      <w:r w:rsidRPr="00D845F9">
        <w:rPr>
          <w:color w:val="000000" w:themeColor="text1"/>
        </w:rPr>
        <w:t xml:space="preserve"> will want </w:t>
      </w:r>
      <w:r w:rsidR="00630C08">
        <w:rPr>
          <w:color w:val="000000" w:themeColor="text1"/>
        </w:rPr>
        <w:t>them to embed our values (and, therefore, our</w:t>
      </w:r>
      <w:r w:rsidRPr="00D845F9">
        <w:rPr>
          <w:color w:val="000000" w:themeColor="text1"/>
        </w:rPr>
        <w:t xml:space="preserve"> ideologies and biases).</w:t>
      </w:r>
      <w:r w:rsidRPr="00D845F9">
        <w:rPr>
          <w:rStyle w:val="FootnoteReference"/>
          <w:color w:val="000000" w:themeColor="text1"/>
        </w:rPr>
        <w:footnoteReference w:id="332"/>
      </w:r>
      <w:r w:rsidRPr="00D845F9">
        <w:rPr>
          <w:color w:val="000000" w:themeColor="text1"/>
        </w:rPr>
        <w:t xml:space="preserve"> Further research should be carried out by diverse (also in terms of gender, ethnicity, etc.) multidisciplinary teams in order to find solutions to open the technical, organ</w:t>
      </w:r>
      <w:r w:rsidR="004F4403" w:rsidRPr="00D845F9">
        <w:rPr>
          <w:color w:val="000000" w:themeColor="text1"/>
        </w:rPr>
        <w:t>isation</w:t>
      </w:r>
      <w:r w:rsidRPr="00D845F9">
        <w:rPr>
          <w:color w:val="000000" w:themeColor="text1"/>
        </w:rPr>
        <w:t>, and legal black boxes and to ensure fair algorithmic decision-making. Indeed, only a strong humanist stance will be able to reduce algorithmic bias.</w:t>
      </w:r>
    </w:p>
    <w:p w14:paraId="3946CC64" w14:textId="45595DFA" w:rsidR="00E07258" w:rsidRPr="00D845F9" w:rsidRDefault="00CC694B" w:rsidP="00D845F9">
      <w:pPr>
        <w:pStyle w:val="ListParagraph"/>
        <w:contextualSpacing w:val="0"/>
        <w:jc w:val="both"/>
        <w:rPr>
          <w:color w:val="000000" w:themeColor="text1"/>
        </w:rPr>
      </w:pPr>
      <w:r w:rsidRPr="00D845F9">
        <w:rPr>
          <w:color w:val="000000" w:themeColor="text1"/>
        </w:rPr>
        <w:t xml:space="preserve">This paper is a humanist manifesto. It is, indeed, permeated with the belief that we should trust our fellow human beings </w:t>
      </w:r>
      <w:r w:rsidR="00630C08">
        <w:rPr>
          <w:color w:val="000000" w:themeColor="text1"/>
        </w:rPr>
        <w:t>over the</w:t>
      </w:r>
      <w:r w:rsidRPr="00D845F9">
        <w:rPr>
          <w:color w:val="000000" w:themeColor="text1"/>
        </w:rPr>
        <w:t xml:space="preserve"> algorithms, despite developme</w:t>
      </w:r>
      <w:r w:rsidR="00030172">
        <w:rPr>
          <w:color w:val="000000" w:themeColor="text1"/>
        </w:rPr>
        <w:t>nts in artificial intelligence</w:t>
      </w:r>
      <w:r w:rsidRPr="00D845F9">
        <w:rPr>
          <w:color w:val="000000" w:themeColor="text1"/>
        </w:rPr>
        <w:t xml:space="preserve"> allowing the deployment of increasingly refined legal applications. </w:t>
      </w:r>
      <w:r w:rsidR="00030172">
        <w:rPr>
          <w:color w:val="000000" w:themeColor="text1"/>
        </w:rPr>
        <w:t>This does not mean that we should reject the use of algorithms altogether. For instance, j</w:t>
      </w:r>
      <w:r w:rsidR="00F919B7" w:rsidRPr="00D845F9">
        <w:rPr>
          <w:color w:val="000000" w:themeColor="text1"/>
        </w:rPr>
        <w:t xml:space="preserve">udges shall </w:t>
      </w:r>
      <w:r w:rsidR="001C7452" w:rsidRPr="00D845F9">
        <w:rPr>
          <w:color w:val="000000" w:themeColor="text1"/>
        </w:rPr>
        <w:t xml:space="preserve">use </w:t>
      </w:r>
      <w:r w:rsidR="00030172">
        <w:rPr>
          <w:color w:val="000000" w:themeColor="text1"/>
        </w:rPr>
        <w:t>them</w:t>
      </w:r>
      <w:r w:rsidR="00F919B7" w:rsidRPr="00D845F9">
        <w:rPr>
          <w:color w:val="000000" w:themeColor="text1"/>
        </w:rPr>
        <w:t xml:space="preserve"> to improve the quality </w:t>
      </w:r>
      <w:r w:rsidR="001C7452" w:rsidRPr="00D845F9">
        <w:rPr>
          <w:color w:val="000000" w:themeColor="text1"/>
        </w:rPr>
        <w:t xml:space="preserve">and consistency </w:t>
      </w:r>
      <w:r w:rsidR="00F919B7" w:rsidRPr="00D845F9">
        <w:rPr>
          <w:color w:val="000000" w:themeColor="text1"/>
        </w:rPr>
        <w:t xml:space="preserve">of their decisions. </w:t>
      </w:r>
      <w:r w:rsidR="00030172">
        <w:rPr>
          <w:color w:val="000000" w:themeColor="text1"/>
        </w:rPr>
        <w:t>However,</w:t>
      </w:r>
      <w:r w:rsidR="00F919B7" w:rsidRPr="00D845F9">
        <w:rPr>
          <w:color w:val="000000" w:themeColor="text1"/>
        </w:rPr>
        <w:t xml:space="preserve"> they shall not let </w:t>
      </w:r>
      <w:r w:rsidR="00831087">
        <w:rPr>
          <w:color w:val="000000" w:themeColor="text1"/>
        </w:rPr>
        <w:t>algorithms</w:t>
      </w:r>
      <w:r w:rsidR="00F919B7" w:rsidRPr="00D845F9">
        <w:rPr>
          <w:color w:val="000000" w:themeColor="text1"/>
        </w:rPr>
        <w:t xml:space="preserve"> decide </w:t>
      </w:r>
      <w:r w:rsidR="00831087">
        <w:rPr>
          <w:color w:val="000000" w:themeColor="text1"/>
        </w:rPr>
        <w:t>in their stead</w:t>
      </w:r>
      <w:r w:rsidR="00030172">
        <w:rPr>
          <w:color w:val="000000" w:themeColor="text1"/>
        </w:rPr>
        <w:t xml:space="preserve">. </w:t>
      </w:r>
      <w:r w:rsidR="00831087">
        <w:rPr>
          <w:color w:val="000000" w:themeColor="text1"/>
        </w:rPr>
        <w:t>In order to better understand how make the human-algorithm cooperation work best, i</w:t>
      </w:r>
      <w:r w:rsidR="00030172">
        <w:rPr>
          <w:color w:val="000000" w:themeColor="text1"/>
        </w:rPr>
        <w:t>t has become crucial</w:t>
      </w:r>
      <w:r w:rsidR="00F919B7" w:rsidRPr="00D845F9">
        <w:rPr>
          <w:color w:val="000000" w:themeColor="text1"/>
        </w:rPr>
        <w:t xml:space="preserve"> </w:t>
      </w:r>
      <w:r w:rsidR="00030172">
        <w:rPr>
          <w:color w:val="000000" w:themeColor="text1"/>
        </w:rPr>
        <w:t>to shift</w:t>
      </w:r>
      <w:r w:rsidR="00F919B7" w:rsidRPr="00D845F9">
        <w:rPr>
          <w:color w:val="000000" w:themeColor="text1"/>
        </w:rPr>
        <w:t xml:space="preserve"> the focus from the definition of algorithms, artificial intelligence etc. to the understanding of what makes us human.</w:t>
      </w:r>
      <w:r w:rsidR="00F919B7" w:rsidRPr="00D845F9">
        <w:rPr>
          <w:rStyle w:val="FootnoteReference"/>
          <w:color w:val="000000" w:themeColor="text1"/>
        </w:rPr>
        <w:footnoteReference w:id="333"/>
      </w:r>
    </w:p>
    <w:sectPr w:rsidR="00E07258" w:rsidRPr="00D845F9" w:rsidSect="008D219E">
      <w:type w:val="continuous"/>
      <w:pgSz w:w="11906" w:h="16838"/>
      <w:pgMar w:top="720" w:right="720" w:bottom="720" w:left="72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35A50D" w14:textId="77777777" w:rsidR="00357D34" w:rsidRDefault="00357D34" w:rsidP="00FD0416">
      <w:r>
        <w:separator/>
      </w:r>
    </w:p>
  </w:endnote>
  <w:endnote w:type="continuationSeparator" w:id="0">
    <w:p w14:paraId="54A51657" w14:textId="77777777" w:rsidR="00357D34" w:rsidRDefault="00357D34" w:rsidP="00FD0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itilliumMaps29L">
    <w:altName w:val="Cambria"/>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Linux Libertine">
    <w:altName w:val="Times New Roman"/>
    <w:charset w:val="00"/>
    <w:family w:val="auto"/>
    <w:pitch w:val="default"/>
    <w:sig w:usb0="00000000" w:usb1="00000000" w:usb2="02000020" w:usb3="00000000" w:csb0="000001BF" w:csb1="00000000"/>
  </w:font>
  <w:font w:name="font300">
    <w:altName w:val="Times New Roman"/>
    <w:charset w:val="00"/>
    <w:family w:val="auto"/>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3D8A86" w14:textId="77777777" w:rsidR="00357D34" w:rsidRDefault="00357D34" w:rsidP="00FD0416">
      <w:r>
        <w:separator/>
      </w:r>
    </w:p>
  </w:footnote>
  <w:footnote w:type="continuationSeparator" w:id="0">
    <w:p w14:paraId="665A9826" w14:textId="77777777" w:rsidR="00357D34" w:rsidRDefault="00357D34" w:rsidP="00FD0416">
      <w:r>
        <w:continuationSeparator/>
      </w:r>
    </w:p>
  </w:footnote>
  <w:footnote w:id="1">
    <w:p w14:paraId="38D4B50B" w14:textId="1DBB8A77" w:rsidR="00BB5B8C" w:rsidRPr="00687C21" w:rsidRDefault="00BB5B8C" w:rsidP="00687C21">
      <w:pPr>
        <w:pStyle w:val="FootnoteText"/>
        <w:contextualSpacing/>
        <w:mirrorIndents/>
        <w:jc w:val="both"/>
        <w:rPr>
          <w:color w:val="000000" w:themeColor="text1"/>
          <w:sz w:val="20"/>
          <w:szCs w:val="20"/>
        </w:rPr>
      </w:pPr>
      <w:r w:rsidRPr="00687C21">
        <w:rPr>
          <w:rStyle w:val="FootnoteReference"/>
          <w:color w:val="000000" w:themeColor="text1"/>
          <w:sz w:val="20"/>
          <w:szCs w:val="20"/>
        </w:rPr>
        <w:t>*</w:t>
      </w:r>
      <w:r w:rsidRPr="00687C21">
        <w:rPr>
          <w:color w:val="000000" w:themeColor="text1"/>
          <w:sz w:val="20"/>
          <w:szCs w:val="20"/>
        </w:rPr>
        <w:t xml:space="preserve"> Lecturer in Law (Northumbria University); Director (Ital-IoT Centre for Multidisciplinary Research on the Internet of Things); Fellow (Nexa Center for Internet &amp; Society). The author is grateful to Sue Farran, Paul Dargue, and Tony Ward for comments on previous drafts of this article. This work has greatly benefited also from the feedback received at the «XXVIII World Congress of Philosophy of Law and Social Philosophy» (Lisbon, 17 July 2017), at the «Café &amp; Chat: Quem Governa os Algoritmos?» (IRIS - Instituto de Referência em Internet e Sociedade and GNET – UFMG, Faculdade de Direito da Universidade Federal de Minas Gerais, Belo Horizonte, 18 August 2017), at the research seminar organised by NINSO The Northumbria Internet &amp; Society Research Interest Group (Newcastle upon Tyne, 8 December 2017), and at a guest lecture given at the Schmalkalden University of Applied Sciences (Schmalkalden, 21 December 2017). Thanks to Katie Atkinson and Giulia Caffarelli for the insight into the AI debate. Views and errors are solely the author’s responsibility. </w:t>
      </w:r>
    </w:p>
  </w:footnote>
  <w:footnote w:id="2">
    <w:p w14:paraId="161C0FBF" w14:textId="7CDFAE68" w:rsidR="00BB5B8C" w:rsidRPr="00687C21" w:rsidRDefault="00BB5B8C" w:rsidP="00687C21">
      <w:pPr>
        <w:pStyle w:val="FootnoteText"/>
        <w:jc w:val="both"/>
        <w:rPr>
          <w:color w:val="000000" w:themeColor="text1"/>
          <w:sz w:val="20"/>
          <w:szCs w:val="20"/>
        </w:rPr>
      </w:pPr>
      <w:r w:rsidRPr="00687C21">
        <w:rPr>
          <w:rStyle w:val="FootnoteReference"/>
          <w:color w:val="000000" w:themeColor="text1"/>
          <w:sz w:val="20"/>
          <w:szCs w:val="20"/>
        </w:rPr>
        <w:footnoteRef/>
      </w:r>
      <w:r w:rsidRPr="00687C21">
        <w:rPr>
          <w:color w:val="000000" w:themeColor="text1"/>
          <w:sz w:val="20"/>
          <w:szCs w:val="20"/>
        </w:rPr>
        <w:t xml:space="preserve"> William Adam Wilson, ‘The Complexity of Statutes’ (1974) 37 Mod L Rev 497.</w:t>
      </w:r>
    </w:p>
  </w:footnote>
  <w:footnote w:id="3">
    <w:p w14:paraId="03FBCAEF" w14:textId="35C4555B" w:rsidR="00BB5B8C" w:rsidRPr="00687C21" w:rsidRDefault="00BB5B8C" w:rsidP="00687C21">
      <w:pPr>
        <w:pStyle w:val="FootnoteText"/>
        <w:contextualSpacing/>
        <w:mirrorIndents/>
        <w:jc w:val="both"/>
        <w:rPr>
          <w:color w:val="000000" w:themeColor="text1"/>
          <w:sz w:val="20"/>
          <w:szCs w:val="20"/>
        </w:rPr>
      </w:pPr>
      <w:r w:rsidRPr="00687C21">
        <w:rPr>
          <w:rStyle w:val="FootnoteReference"/>
          <w:color w:val="000000" w:themeColor="text1"/>
          <w:sz w:val="20"/>
          <w:szCs w:val="20"/>
        </w:rPr>
        <w:footnoteRef/>
      </w:r>
      <w:r w:rsidRPr="00687C21">
        <w:rPr>
          <w:color w:val="000000" w:themeColor="text1"/>
          <w:sz w:val="20"/>
          <w:szCs w:val="20"/>
        </w:rPr>
        <w:t xml:space="preserve"> </w:t>
      </w:r>
      <w:r w:rsidRPr="00687C21">
        <w:rPr>
          <w:color w:val="000000" w:themeColor="text1"/>
          <w:sz w:val="20"/>
          <w:szCs w:val="20"/>
          <w:shd w:val="clear" w:color="auto" w:fill="FFFFFF"/>
        </w:rPr>
        <w:t>The algorithm used by Google to rank search results is covered by a trade secret.</w:t>
      </w:r>
    </w:p>
  </w:footnote>
  <w:footnote w:id="4">
    <w:p w14:paraId="6DA4E938" w14:textId="2660578E" w:rsidR="00BB5B8C" w:rsidRPr="00687C21" w:rsidRDefault="00BB5B8C" w:rsidP="00687C21">
      <w:pPr>
        <w:pStyle w:val="FootnoteText"/>
        <w:contextualSpacing/>
        <w:mirrorIndents/>
        <w:jc w:val="both"/>
        <w:rPr>
          <w:color w:val="000000" w:themeColor="text1"/>
          <w:sz w:val="20"/>
          <w:szCs w:val="20"/>
        </w:rPr>
      </w:pPr>
      <w:r w:rsidRPr="00687C21">
        <w:rPr>
          <w:rStyle w:val="FootnoteReference"/>
          <w:color w:val="000000" w:themeColor="text1"/>
          <w:sz w:val="20"/>
          <w:szCs w:val="20"/>
        </w:rPr>
        <w:footnoteRef/>
      </w:r>
      <w:r w:rsidRPr="00687C21">
        <w:rPr>
          <w:color w:val="000000" w:themeColor="text1"/>
          <w:sz w:val="20"/>
          <w:szCs w:val="20"/>
        </w:rPr>
        <w:t xml:space="preserve"> More generally, on the use of algorithms to determine the parties’ contractual obligations, see Lauren Henry Scholz, ‘Algorithmic Contracts’ (</w:t>
      </w:r>
      <w:r w:rsidRPr="00687C21">
        <w:rPr>
          <w:i/>
          <w:color w:val="000000" w:themeColor="text1"/>
          <w:sz w:val="20"/>
          <w:szCs w:val="20"/>
        </w:rPr>
        <w:t>SSRN</w:t>
      </w:r>
      <w:r w:rsidRPr="00687C21">
        <w:rPr>
          <w:color w:val="000000" w:themeColor="text1"/>
          <w:sz w:val="20"/>
          <w:szCs w:val="20"/>
        </w:rPr>
        <w:t>, 1 October 2016), &lt;</w:t>
      </w:r>
      <w:hyperlink r:id="rId1" w:tgtFrame="_blank" w:history="1">
        <w:r w:rsidRPr="00687C21">
          <w:rPr>
            <w:color w:val="000000" w:themeColor="text1"/>
            <w:sz w:val="20"/>
            <w:szCs w:val="20"/>
          </w:rPr>
          <w:t>https://ssrn.com/abstract=2747701</w:t>
        </w:r>
      </w:hyperlink>
      <w:r w:rsidRPr="00687C21">
        <w:rPr>
          <w:color w:val="000000" w:themeColor="text1"/>
          <w:sz w:val="20"/>
          <w:szCs w:val="20"/>
        </w:rPr>
        <w:t>&gt; accessed 1 March 2018.</w:t>
      </w:r>
    </w:p>
  </w:footnote>
  <w:footnote w:id="5">
    <w:p w14:paraId="6D7D0BA6" w14:textId="29D52869" w:rsidR="00BB5B8C" w:rsidRPr="00687C21" w:rsidRDefault="00BB5B8C" w:rsidP="00687C21">
      <w:pPr>
        <w:jc w:val="both"/>
        <w:rPr>
          <w:color w:val="000000" w:themeColor="text1"/>
          <w:sz w:val="20"/>
          <w:szCs w:val="20"/>
        </w:rPr>
      </w:pPr>
      <w:r w:rsidRPr="00687C21">
        <w:rPr>
          <w:rStyle w:val="FootnoteReference"/>
          <w:color w:val="000000" w:themeColor="text1"/>
          <w:sz w:val="20"/>
          <w:szCs w:val="20"/>
        </w:rPr>
        <w:footnoteRef/>
      </w:r>
      <w:r w:rsidRPr="00687C21">
        <w:rPr>
          <w:color w:val="000000" w:themeColor="text1"/>
          <w:sz w:val="20"/>
          <w:szCs w:val="20"/>
        </w:rPr>
        <w:t>On the negative spirals that automated scoring systems can create,</w:t>
      </w:r>
      <w:r w:rsidRPr="00687C21">
        <w:rPr>
          <w:color w:val="000000" w:themeColor="text1"/>
          <w:sz w:val="20"/>
          <w:szCs w:val="20"/>
          <w:lang w:val="en-US" w:eastAsia="ko-KR"/>
        </w:rPr>
        <w:t xml:space="preserve"> to the point of making people unemployable, see </w:t>
      </w:r>
      <w:r w:rsidRPr="00687C21">
        <w:rPr>
          <w:rFonts w:eastAsiaTheme="minorEastAsia"/>
          <w:color w:val="000000" w:themeColor="text1"/>
          <w:sz w:val="20"/>
          <w:szCs w:val="20"/>
          <w:lang w:val="en-US" w:eastAsia="ko-KR"/>
        </w:rPr>
        <w:t>Danielle Keats Citron</w:t>
      </w:r>
      <w:r w:rsidRPr="00687C21">
        <w:rPr>
          <w:color w:val="000000" w:themeColor="text1"/>
          <w:sz w:val="20"/>
          <w:szCs w:val="20"/>
          <w:lang w:eastAsia="ko-KR"/>
        </w:rPr>
        <w:t xml:space="preserve"> and</w:t>
      </w:r>
      <w:r w:rsidRPr="00687C21">
        <w:rPr>
          <w:rFonts w:eastAsiaTheme="minorEastAsia"/>
          <w:color w:val="000000" w:themeColor="text1"/>
          <w:sz w:val="20"/>
          <w:szCs w:val="20"/>
          <w:lang w:val="en-US" w:eastAsia="ko-KR"/>
        </w:rPr>
        <w:t xml:space="preserve"> Frank Pasquale, ‘The scored society: Due process for automated predictions’ (2014) 89(1) Washington Law Review 1,</w:t>
      </w:r>
      <w:r w:rsidRPr="00687C21">
        <w:rPr>
          <w:color w:val="000000" w:themeColor="text1"/>
          <w:sz w:val="20"/>
          <w:szCs w:val="20"/>
          <w:lang w:val="en-US" w:eastAsia="ko-KR"/>
        </w:rPr>
        <w:t xml:space="preserve"> 33.</w:t>
      </w:r>
    </w:p>
  </w:footnote>
  <w:footnote w:id="6">
    <w:p w14:paraId="6A940499" w14:textId="5C26B7C4" w:rsidR="00BB5B8C" w:rsidRPr="00687C21" w:rsidRDefault="00BB5B8C" w:rsidP="00687C21">
      <w:pPr>
        <w:pStyle w:val="FootnoteText"/>
        <w:contextualSpacing/>
        <w:mirrorIndents/>
        <w:jc w:val="both"/>
        <w:rPr>
          <w:color w:val="000000" w:themeColor="text1"/>
          <w:sz w:val="20"/>
          <w:szCs w:val="20"/>
        </w:rPr>
      </w:pPr>
      <w:r w:rsidRPr="00687C21">
        <w:rPr>
          <w:color w:val="000000" w:themeColor="text1"/>
          <w:sz w:val="20"/>
          <w:szCs w:val="20"/>
        </w:rPr>
        <w:footnoteRef/>
      </w:r>
      <w:r w:rsidRPr="00687C21">
        <w:rPr>
          <w:color w:val="000000" w:themeColor="text1"/>
          <w:sz w:val="20"/>
          <w:szCs w:val="20"/>
        </w:rPr>
        <w:t>Jose Sanchez del Rio et al., ‘Automated border control e-gates and facial recognition systems</w:t>
      </w:r>
      <w:r w:rsidRPr="00687C21">
        <w:rPr>
          <w:i/>
          <w:color w:val="000000" w:themeColor="text1"/>
          <w:sz w:val="20"/>
          <w:szCs w:val="20"/>
        </w:rPr>
        <w:t xml:space="preserve">’ </w:t>
      </w:r>
      <w:r w:rsidRPr="00687C21">
        <w:rPr>
          <w:color w:val="000000" w:themeColor="text1"/>
          <w:sz w:val="20"/>
          <w:szCs w:val="20"/>
        </w:rPr>
        <w:t>(2016) 62 Computers &amp; Security 49.</w:t>
      </w:r>
    </w:p>
  </w:footnote>
  <w:footnote w:id="7">
    <w:p w14:paraId="4B815A24" w14:textId="676D3E56" w:rsidR="00BB5B8C" w:rsidRPr="00687C21" w:rsidRDefault="00BB5B8C" w:rsidP="00687C21">
      <w:pPr>
        <w:pStyle w:val="FootnoteText"/>
        <w:contextualSpacing/>
        <w:mirrorIndents/>
        <w:jc w:val="both"/>
        <w:rPr>
          <w:i/>
          <w:iCs/>
          <w:color w:val="000000" w:themeColor="text1"/>
          <w:sz w:val="20"/>
          <w:szCs w:val="20"/>
        </w:rPr>
      </w:pPr>
      <w:r w:rsidRPr="00687C21">
        <w:rPr>
          <w:rStyle w:val="FootnoteReference"/>
          <w:color w:val="000000" w:themeColor="text1"/>
          <w:sz w:val="20"/>
          <w:szCs w:val="20"/>
        </w:rPr>
        <w:footnoteRef/>
      </w:r>
      <w:r w:rsidRPr="00687C21">
        <w:rPr>
          <w:color w:val="000000" w:themeColor="text1"/>
          <w:sz w:val="20"/>
          <w:szCs w:val="20"/>
        </w:rPr>
        <w:t xml:space="preserve"> As </w:t>
      </w:r>
      <w:r w:rsidRPr="00687C21">
        <w:rPr>
          <w:color w:val="000000" w:themeColor="text1"/>
          <w:sz w:val="20"/>
          <w:szCs w:val="20"/>
          <w:shd w:val="clear" w:color="auto" w:fill="FFFFFF"/>
        </w:rPr>
        <w:t>written</w:t>
      </w:r>
      <w:r w:rsidRPr="00687C21">
        <w:rPr>
          <w:color w:val="000000" w:themeColor="text1"/>
          <w:sz w:val="20"/>
          <w:szCs w:val="20"/>
        </w:rPr>
        <w:t xml:space="preserve"> by Frank Pasquale, ‘Secret algorithms threaten the rule of law’ (</w:t>
      </w:r>
      <w:r w:rsidRPr="00687C21">
        <w:rPr>
          <w:i/>
          <w:color w:val="000000" w:themeColor="text1"/>
          <w:sz w:val="20"/>
          <w:szCs w:val="20"/>
        </w:rPr>
        <w:t>MIT Technology Review</w:t>
      </w:r>
      <w:r w:rsidRPr="00687C21">
        <w:rPr>
          <w:color w:val="000000" w:themeColor="text1"/>
          <w:sz w:val="20"/>
          <w:szCs w:val="20"/>
        </w:rPr>
        <w:t xml:space="preserve">, 1 June 2017) &lt;https://www.technologyreview.com/s/608011/secret-algorithms-threaten-the-rule-of-law/&gt; accessed 1 March 2018, imprisoning people “because of the inexplicable, unchallengeable judgements of a secret computer program undermines our legal system”. For a </w:t>
      </w:r>
      <w:r w:rsidRPr="00687C21">
        <w:rPr>
          <w:color w:val="000000" w:themeColor="text1"/>
          <w:sz w:val="20"/>
          <w:szCs w:val="20"/>
          <w:shd w:val="clear" w:color="auto" w:fill="FFFFFF"/>
        </w:rPr>
        <w:t>files $10 million lawsuit related to face-matching technology that allegedly ruined an American man’s life see Allee Manning, ‘A False Facial Recognition Match Cost This Man Everything’ (</w:t>
      </w:r>
      <w:r w:rsidRPr="00687C21">
        <w:rPr>
          <w:i/>
          <w:color w:val="000000" w:themeColor="text1"/>
          <w:sz w:val="20"/>
          <w:szCs w:val="20"/>
          <w:shd w:val="clear" w:color="auto" w:fill="FFFFFF"/>
        </w:rPr>
        <w:t>Vocativ</w:t>
      </w:r>
      <w:r w:rsidRPr="00687C21">
        <w:rPr>
          <w:color w:val="000000" w:themeColor="text1"/>
          <w:sz w:val="20"/>
          <w:szCs w:val="20"/>
          <w:shd w:val="clear" w:color="auto" w:fill="FFFFFF"/>
        </w:rPr>
        <w:t>, 1 May 2017) &lt;</w:t>
      </w:r>
      <w:hyperlink r:id="rId2" w:history="1">
        <w:r w:rsidRPr="00687C21">
          <w:rPr>
            <w:color w:val="000000" w:themeColor="text1"/>
            <w:sz w:val="20"/>
            <w:szCs w:val="20"/>
          </w:rPr>
          <w:t>http://www.vocativ.com/418052/false-facial-recognition-cost-denver-steve-talley-everything/</w:t>
        </w:r>
      </w:hyperlink>
      <w:r w:rsidRPr="00687C21">
        <w:rPr>
          <w:color w:val="000000" w:themeColor="text1"/>
          <w:sz w:val="20"/>
          <w:szCs w:val="20"/>
        </w:rPr>
        <w:t>&gt; accessed 1 March 2018</w:t>
      </w:r>
      <w:r w:rsidRPr="00687C21">
        <w:rPr>
          <w:color w:val="000000" w:themeColor="text1"/>
          <w:sz w:val="20"/>
          <w:szCs w:val="20"/>
          <w:shd w:val="clear" w:color="auto" w:fill="FFFFFF"/>
        </w:rPr>
        <w:t xml:space="preserve">. </w:t>
      </w:r>
    </w:p>
  </w:footnote>
  <w:footnote w:id="8">
    <w:p w14:paraId="7300E0FE" w14:textId="49249BE8" w:rsidR="00BB5B8C" w:rsidRPr="00687C21" w:rsidRDefault="00BB5B8C" w:rsidP="00687C21">
      <w:pPr>
        <w:pStyle w:val="FootnoteText"/>
        <w:jc w:val="both"/>
        <w:rPr>
          <w:color w:val="000000" w:themeColor="text1"/>
          <w:sz w:val="20"/>
          <w:szCs w:val="20"/>
        </w:rPr>
      </w:pPr>
      <w:r w:rsidRPr="00687C21">
        <w:rPr>
          <w:rStyle w:val="FootnoteReference"/>
          <w:color w:val="000000" w:themeColor="text1"/>
          <w:sz w:val="20"/>
          <w:szCs w:val="20"/>
        </w:rPr>
        <w:footnoteRef/>
      </w:r>
      <w:r w:rsidRPr="00687C21">
        <w:rPr>
          <w:color w:val="000000" w:themeColor="text1"/>
          <w:sz w:val="20"/>
          <w:szCs w:val="20"/>
        </w:rPr>
        <w:t xml:space="preserve"> </w:t>
      </w:r>
      <w:r w:rsidRPr="00687C21">
        <w:rPr>
          <w:i/>
          <w:color w:val="000000" w:themeColor="text1"/>
          <w:sz w:val="20"/>
          <w:szCs w:val="20"/>
        </w:rPr>
        <w:t>State v Loomis</w:t>
      </w:r>
      <w:r w:rsidRPr="00687C21">
        <w:rPr>
          <w:color w:val="000000" w:themeColor="text1"/>
          <w:sz w:val="20"/>
          <w:szCs w:val="20"/>
        </w:rPr>
        <w:t xml:space="preserve">, </w:t>
      </w:r>
      <w:r w:rsidRPr="00687C21">
        <w:rPr>
          <w:rFonts w:eastAsiaTheme="minorHAnsi"/>
          <w:color w:val="000000" w:themeColor="text1"/>
          <w:sz w:val="20"/>
          <w:szCs w:val="20"/>
          <w:lang w:eastAsia="en-US"/>
        </w:rPr>
        <w:t xml:space="preserve">881 N.W.2d 749 (Wis. 2016). Cf </w:t>
      </w:r>
      <w:r w:rsidRPr="00687C21">
        <w:rPr>
          <w:color w:val="000000" w:themeColor="text1"/>
          <w:sz w:val="20"/>
          <w:szCs w:val="20"/>
          <w:shd w:val="clear" w:color="auto" w:fill="FFFFFF"/>
        </w:rPr>
        <w:t>Adam Liptak, ‘Sent to Prison by a Software Program’s Secret Algorithms’ (</w:t>
      </w:r>
      <w:r w:rsidRPr="00687C21">
        <w:rPr>
          <w:i/>
          <w:color w:val="000000" w:themeColor="text1"/>
          <w:sz w:val="20"/>
          <w:szCs w:val="20"/>
          <w:shd w:val="clear" w:color="auto" w:fill="FFFFFF"/>
        </w:rPr>
        <w:t>New York Times</w:t>
      </w:r>
      <w:r w:rsidRPr="00687C21">
        <w:rPr>
          <w:color w:val="000000" w:themeColor="text1"/>
          <w:sz w:val="20"/>
          <w:szCs w:val="20"/>
          <w:shd w:val="clear" w:color="auto" w:fill="FFFFFF"/>
        </w:rPr>
        <w:t>, 1 May 2017), &lt;</w:t>
      </w:r>
      <w:hyperlink r:id="rId3" w:history="1">
        <w:r w:rsidRPr="00687C21">
          <w:rPr>
            <w:color w:val="000000" w:themeColor="text1"/>
            <w:sz w:val="20"/>
            <w:szCs w:val="20"/>
            <w:shd w:val="clear" w:color="auto" w:fill="FFFFFF"/>
          </w:rPr>
          <w:t>https://www.nytimes.com/2017/05/01/us/politics/sent-to-prison-by-a-software-programs-secret-algorithms.html?_r=0</w:t>
        </w:r>
      </w:hyperlink>
      <w:r w:rsidRPr="00687C21">
        <w:rPr>
          <w:color w:val="000000" w:themeColor="text1"/>
          <w:sz w:val="20"/>
          <w:szCs w:val="20"/>
          <w:shd w:val="clear" w:color="auto" w:fill="FFFFFF"/>
        </w:rPr>
        <w:t>&gt; accessed 1 March 2018</w:t>
      </w:r>
      <w:r w:rsidRPr="00687C21">
        <w:rPr>
          <w:iCs/>
          <w:color w:val="000000" w:themeColor="text1"/>
          <w:sz w:val="20"/>
          <w:szCs w:val="20"/>
        </w:rPr>
        <w:t>.</w:t>
      </w:r>
    </w:p>
  </w:footnote>
  <w:footnote w:id="9">
    <w:p w14:paraId="3C6BFAE2" w14:textId="1EC1FBF2" w:rsidR="00BB5B8C" w:rsidRPr="00687C21" w:rsidRDefault="00BB5B8C" w:rsidP="00687C21">
      <w:pPr>
        <w:pStyle w:val="FootnoteText"/>
        <w:contextualSpacing/>
        <w:mirrorIndents/>
        <w:jc w:val="both"/>
        <w:rPr>
          <w:color w:val="000000" w:themeColor="text1"/>
          <w:sz w:val="20"/>
          <w:szCs w:val="20"/>
          <w:shd w:val="clear" w:color="auto" w:fill="FFFFFF"/>
        </w:rPr>
      </w:pPr>
      <w:r w:rsidRPr="00687C21">
        <w:rPr>
          <w:rStyle w:val="FootnoteReference"/>
          <w:color w:val="000000" w:themeColor="text1"/>
          <w:sz w:val="20"/>
          <w:szCs w:val="20"/>
        </w:rPr>
        <w:footnoteRef/>
      </w:r>
      <w:r w:rsidRPr="00687C21">
        <w:rPr>
          <w:color w:val="000000" w:themeColor="text1"/>
          <w:sz w:val="20"/>
          <w:szCs w:val="20"/>
        </w:rPr>
        <w:t xml:space="preserve"> </w:t>
      </w:r>
      <w:r w:rsidRPr="00687C21">
        <w:rPr>
          <w:color w:val="000000" w:themeColor="text1"/>
          <w:sz w:val="20"/>
          <w:szCs w:val="20"/>
          <w:shd w:val="clear" w:color="auto" w:fill="FFFFFF"/>
        </w:rPr>
        <w:t xml:space="preserve">In analysing the algorithms used by social networks, Yoan </w:t>
      </w:r>
      <w:r w:rsidRPr="00687C21">
        <w:rPr>
          <w:color w:val="000000" w:themeColor="text1"/>
          <w:sz w:val="20"/>
          <w:szCs w:val="20"/>
        </w:rPr>
        <w:t>Hermstrüwer, ‘Contracting Around Privacy: The (Behavioral) Law and Economics of Consent and Big Data’ (2017) 8(1) JIPITEC 12</w:t>
      </w:r>
      <w:r w:rsidRPr="00687C21">
        <w:rPr>
          <w:color w:val="000000" w:themeColor="text1"/>
          <w:sz w:val="20"/>
          <w:szCs w:val="20"/>
          <w:shd w:val="clear" w:color="auto" w:fill="FFFFFF"/>
        </w:rPr>
        <w:t>, observes that for these “algorithms</w:t>
      </w:r>
      <w:r w:rsidRPr="00687C21">
        <w:rPr>
          <w:color w:val="000000" w:themeColor="text1"/>
          <w:sz w:val="20"/>
          <w:szCs w:val="20"/>
        </w:rPr>
        <w:t> </w:t>
      </w:r>
      <w:r w:rsidRPr="00687C21">
        <w:rPr>
          <w:color w:val="000000" w:themeColor="text1"/>
          <w:sz w:val="20"/>
          <w:szCs w:val="20"/>
          <w:shd w:val="clear" w:color="auto" w:fill="FFFFFF"/>
        </w:rPr>
        <w:t>to allow good predictions about personal traits and behaviors, the network operator needs two things: sound knowledge about the social graph [describing the social ties between use</w:t>
      </w:r>
      <w:r w:rsidR="008620E4">
        <w:rPr>
          <w:color w:val="000000" w:themeColor="text1"/>
          <w:sz w:val="20"/>
          <w:szCs w:val="20"/>
          <w:shd w:val="clear" w:color="auto" w:fill="FFFFFF"/>
        </w:rPr>
        <w:t>rs] and large amounts of data.”</w:t>
      </w:r>
    </w:p>
  </w:footnote>
  <w:footnote w:id="10">
    <w:p w14:paraId="6A6B792E" w14:textId="677C97FD" w:rsidR="00BB5B8C" w:rsidRPr="00687C21" w:rsidRDefault="00BB5B8C" w:rsidP="00687C21">
      <w:pPr>
        <w:pStyle w:val="Default"/>
        <w:jc w:val="both"/>
        <w:rPr>
          <w:rFonts w:ascii="Times New Roman" w:hAnsi="Times New Roman" w:cs="Times New Roman"/>
          <w:color w:val="000000" w:themeColor="text1"/>
          <w:sz w:val="20"/>
          <w:szCs w:val="20"/>
        </w:rPr>
      </w:pPr>
      <w:r w:rsidRPr="00687C21">
        <w:rPr>
          <w:rStyle w:val="FootnoteReference"/>
          <w:rFonts w:ascii="Times New Roman" w:hAnsi="Times New Roman" w:cs="Times New Roman"/>
          <w:color w:val="000000" w:themeColor="text1"/>
          <w:sz w:val="20"/>
          <w:szCs w:val="20"/>
        </w:rPr>
        <w:footnoteRef/>
      </w:r>
      <w:r w:rsidRPr="00687C21">
        <w:rPr>
          <w:rFonts w:ascii="Times New Roman" w:hAnsi="Times New Roman" w:cs="Times New Roman"/>
          <w:color w:val="000000" w:themeColor="text1"/>
          <w:sz w:val="20"/>
          <w:szCs w:val="20"/>
        </w:rPr>
        <w:t xml:space="preserve"> </w:t>
      </w:r>
      <w:r w:rsidRPr="00687C21">
        <w:rPr>
          <w:rFonts w:ascii="Times New Roman" w:eastAsia="Times New Roman" w:hAnsi="Times New Roman" w:cs="Times New Roman"/>
          <w:color w:val="000000" w:themeColor="text1"/>
          <w:sz w:val="20"/>
          <w:szCs w:val="20"/>
          <w:shd w:val="clear" w:color="auto" w:fill="FFFFFF"/>
          <w:lang w:eastAsia="ko-KR"/>
        </w:rPr>
        <w:t>Article 29 Working Party, ‘Guidelines on Automated individual decision-making and Profiling for the purposes of Regulation 2016/679’ (2017) 17/EN WP 251.</w:t>
      </w:r>
    </w:p>
  </w:footnote>
  <w:footnote w:id="11">
    <w:p w14:paraId="158487D8" w14:textId="62E2573F" w:rsidR="00BB5B8C" w:rsidRPr="00687C21" w:rsidRDefault="00BB5B8C" w:rsidP="00687C21">
      <w:pPr>
        <w:pStyle w:val="FootnoteText"/>
        <w:contextualSpacing/>
        <w:mirrorIndents/>
        <w:jc w:val="both"/>
        <w:rPr>
          <w:color w:val="000000" w:themeColor="text1"/>
          <w:sz w:val="20"/>
          <w:szCs w:val="20"/>
        </w:rPr>
      </w:pPr>
      <w:r w:rsidRPr="00687C21">
        <w:rPr>
          <w:rStyle w:val="FootnoteReference"/>
          <w:color w:val="000000" w:themeColor="text1"/>
          <w:sz w:val="20"/>
          <w:szCs w:val="20"/>
        </w:rPr>
        <w:footnoteRef/>
      </w:r>
      <w:r w:rsidRPr="00687C21">
        <w:rPr>
          <w:color w:val="000000" w:themeColor="text1"/>
          <w:sz w:val="20"/>
          <w:szCs w:val="20"/>
        </w:rPr>
        <w:t xml:space="preserve"> See Bart W. Schermer, ‘The limits of privacy in automated profiling and data mining’ (2011) 27 Computer law &amp; security review 45, 52, and Article 29 Working Party (n 9) 5.</w:t>
      </w:r>
    </w:p>
  </w:footnote>
  <w:footnote w:id="12">
    <w:p w14:paraId="24D73329" w14:textId="445150AE" w:rsidR="00BB5B8C" w:rsidRPr="00687C21" w:rsidRDefault="00BB5B8C" w:rsidP="00687C21">
      <w:pPr>
        <w:pStyle w:val="FootnoteText"/>
        <w:contextualSpacing/>
        <w:mirrorIndents/>
        <w:jc w:val="both"/>
        <w:rPr>
          <w:color w:val="000000" w:themeColor="text1"/>
          <w:sz w:val="20"/>
          <w:szCs w:val="20"/>
        </w:rPr>
      </w:pPr>
      <w:r w:rsidRPr="00687C21">
        <w:rPr>
          <w:rStyle w:val="FootnoteReference"/>
          <w:color w:val="000000" w:themeColor="text1"/>
          <w:sz w:val="20"/>
          <w:szCs w:val="20"/>
        </w:rPr>
        <w:footnoteRef/>
      </w:r>
      <w:r w:rsidRPr="00687C21">
        <w:rPr>
          <w:color w:val="000000" w:themeColor="text1"/>
          <w:sz w:val="20"/>
          <w:szCs w:val="20"/>
        </w:rPr>
        <w:t xml:space="preserve"> Lorraine Daston, ‘How Reason Became Rationality’ (</w:t>
      </w:r>
      <w:r w:rsidRPr="00687C21">
        <w:rPr>
          <w:i/>
          <w:color w:val="000000" w:themeColor="text1"/>
          <w:sz w:val="20"/>
          <w:szCs w:val="20"/>
        </w:rPr>
        <w:t>Max-Planck-Institut für Wissenschaftsgeschichte</w:t>
      </w:r>
      <w:r w:rsidRPr="00687C21">
        <w:rPr>
          <w:color w:val="000000" w:themeColor="text1"/>
          <w:sz w:val="20"/>
          <w:szCs w:val="20"/>
        </w:rPr>
        <w:t xml:space="preserve">, 2013) &lt;https://www.mpiwg-berlin.mpg.de/en/research/projects/DeptII_Daston_Reason&gt; accessed 1 March 2018. </w:t>
      </w:r>
    </w:p>
  </w:footnote>
  <w:footnote w:id="13">
    <w:p w14:paraId="0C461C23" w14:textId="4EA46194" w:rsidR="00BB5B8C" w:rsidRPr="00687C21" w:rsidRDefault="00BB5B8C" w:rsidP="00687C21">
      <w:pPr>
        <w:pStyle w:val="FootnoteText"/>
        <w:contextualSpacing/>
        <w:mirrorIndents/>
        <w:jc w:val="both"/>
        <w:rPr>
          <w:color w:val="000000" w:themeColor="text1"/>
          <w:sz w:val="20"/>
          <w:szCs w:val="20"/>
        </w:rPr>
      </w:pPr>
      <w:r w:rsidRPr="00687C21">
        <w:rPr>
          <w:rStyle w:val="FootnoteReference"/>
          <w:color w:val="000000" w:themeColor="text1"/>
          <w:sz w:val="20"/>
          <w:szCs w:val="20"/>
        </w:rPr>
        <w:footnoteRef/>
      </w:r>
      <w:r w:rsidRPr="00687C21">
        <w:rPr>
          <w:color w:val="000000" w:themeColor="text1"/>
          <w:sz w:val="20"/>
          <w:szCs w:val="20"/>
        </w:rPr>
        <w:t xml:space="preserve"> Solon </w:t>
      </w:r>
      <w:r w:rsidRPr="00687C21">
        <w:rPr>
          <w:color w:val="000000" w:themeColor="text1"/>
          <w:sz w:val="20"/>
          <w:szCs w:val="20"/>
          <w:shd w:val="clear" w:color="auto" w:fill="FFFFFF"/>
        </w:rPr>
        <w:t>Barocas et al., ‘Governing Algorithms: A Provocation Piece’ (</w:t>
      </w:r>
      <w:r w:rsidRPr="00687C21">
        <w:rPr>
          <w:i/>
          <w:color w:val="000000" w:themeColor="text1"/>
          <w:sz w:val="20"/>
          <w:szCs w:val="20"/>
          <w:shd w:val="clear" w:color="auto" w:fill="FFFFFF"/>
        </w:rPr>
        <w:t>SSRN</w:t>
      </w:r>
      <w:r w:rsidRPr="00687C21">
        <w:rPr>
          <w:color w:val="000000" w:themeColor="text1"/>
          <w:sz w:val="20"/>
          <w:szCs w:val="20"/>
          <w:shd w:val="clear" w:color="auto" w:fill="FFFFFF"/>
        </w:rPr>
        <w:t>, 4 April 2013)</w:t>
      </w:r>
      <w:r w:rsidRPr="00687C21">
        <w:rPr>
          <w:color w:val="000000" w:themeColor="text1"/>
          <w:sz w:val="20"/>
          <w:szCs w:val="20"/>
        </w:rPr>
        <w:t> 9 &lt;</w:t>
      </w:r>
      <w:hyperlink r:id="rId4" w:tgtFrame="_blank" w:history="1">
        <w:r w:rsidRPr="00687C21">
          <w:rPr>
            <w:color w:val="000000" w:themeColor="text1"/>
            <w:sz w:val="20"/>
            <w:szCs w:val="20"/>
          </w:rPr>
          <w:t>https://ssrn.com/abstract=2245322</w:t>
        </w:r>
      </w:hyperlink>
      <w:r w:rsidRPr="00687C21">
        <w:rPr>
          <w:color w:val="000000" w:themeColor="text1"/>
          <w:sz w:val="20"/>
          <w:szCs w:val="20"/>
        </w:rPr>
        <w:t>&gt; accessed 1 March 2018</w:t>
      </w:r>
      <w:r w:rsidRPr="00687C21">
        <w:rPr>
          <w:rStyle w:val="apple-converted-space"/>
          <w:color w:val="000000" w:themeColor="text1"/>
          <w:sz w:val="20"/>
          <w:szCs w:val="20"/>
          <w:shd w:val="clear" w:color="auto" w:fill="FFFFFF"/>
        </w:rPr>
        <w:t>.</w:t>
      </w:r>
    </w:p>
  </w:footnote>
  <w:footnote w:id="14">
    <w:p w14:paraId="78B21DF6" w14:textId="1CE443BA" w:rsidR="00BB5B8C" w:rsidRPr="00687C21" w:rsidRDefault="00BB5B8C" w:rsidP="00687C21">
      <w:pPr>
        <w:pStyle w:val="FootnoteText"/>
        <w:contextualSpacing/>
        <w:mirrorIndents/>
        <w:jc w:val="both"/>
        <w:rPr>
          <w:color w:val="000000" w:themeColor="text1"/>
          <w:sz w:val="20"/>
          <w:szCs w:val="20"/>
        </w:rPr>
      </w:pPr>
      <w:r w:rsidRPr="00687C21">
        <w:rPr>
          <w:rStyle w:val="FootnoteReference"/>
          <w:color w:val="000000" w:themeColor="text1"/>
          <w:sz w:val="20"/>
          <w:szCs w:val="20"/>
        </w:rPr>
        <w:footnoteRef/>
      </w:r>
      <w:r w:rsidRPr="00687C21">
        <w:rPr>
          <w:color w:val="000000" w:themeColor="text1"/>
          <w:sz w:val="20"/>
          <w:szCs w:val="20"/>
        </w:rPr>
        <w:t xml:space="preserve"> Joshua A. Kroll et al., ‘Accountable Algorithms’ (2017) 165 U Pa L Rev. 633.</w:t>
      </w:r>
    </w:p>
  </w:footnote>
  <w:footnote w:id="15">
    <w:p w14:paraId="755E4F38" w14:textId="37AC5845" w:rsidR="00BB5B8C" w:rsidRPr="00687C21" w:rsidRDefault="00BB5B8C" w:rsidP="00687C21">
      <w:pPr>
        <w:autoSpaceDE w:val="0"/>
        <w:autoSpaceDN w:val="0"/>
        <w:adjustRightInd w:val="0"/>
        <w:jc w:val="both"/>
        <w:rPr>
          <w:color w:val="000000" w:themeColor="text1"/>
          <w:sz w:val="20"/>
          <w:szCs w:val="20"/>
        </w:rPr>
      </w:pPr>
      <w:r w:rsidRPr="00687C21">
        <w:rPr>
          <w:rStyle w:val="FootnoteReference"/>
          <w:color w:val="000000" w:themeColor="text1"/>
          <w:sz w:val="20"/>
          <w:szCs w:val="20"/>
        </w:rPr>
        <w:footnoteRef/>
      </w:r>
      <w:r w:rsidRPr="00687C21">
        <w:rPr>
          <w:color w:val="000000" w:themeColor="text1"/>
          <w:sz w:val="20"/>
          <w:szCs w:val="20"/>
        </w:rPr>
        <w:t xml:space="preserve">Other routes may be explored. In the US, Keats Citron (n 4) 33 suggested that the principles of due process may constitute a sufficient answer against algorithmic decisions (in particular, against automated scoring systems). The authors recommend that the </w:t>
      </w:r>
      <w:r w:rsidRPr="00687C21">
        <w:rPr>
          <w:bCs/>
          <w:color w:val="000000" w:themeColor="text1"/>
          <w:sz w:val="20"/>
          <w:szCs w:val="20"/>
        </w:rPr>
        <w:t>Federal Trade Commission</w:t>
      </w:r>
      <w:r w:rsidRPr="00687C21">
        <w:rPr>
          <w:color w:val="000000" w:themeColor="text1"/>
          <w:sz w:val="20"/>
          <w:szCs w:val="20"/>
        </w:rPr>
        <w:t xml:space="preserve"> interrogate scoring systems under their unfairness authority.</w:t>
      </w:r>
    </w:p>
  </w:footnote>
  <w:footnote w:id="16">
    <w:p w14:paraId="6265138A" w14:textId="5D39C881" w:rsidR="00BB5B8C" w:rsidRPr="00687C21" w:rsidRDefault="00BB5B8C" w:rsidP="00687C21">
      <w:pPr>
        <w:pStyle w:val="FootnoteText"/>
        <w:jc w:val="both"/>
        <w:rPr>
          <w:color w:val="000000" w:themeColor="text1"/>
          <w:sz w:val="20"/>
          <w:szCs w:val="20"/>
        </w:rPr>
      </w:pPr>
      <w:r w:rsidRPr="00687C21">
        <w:rPr>
          <w:rStyle w:val="FootnoteReference"/>
          <w:color w:val="000000" w:themeColor="text1"/>
          <w:sz w:val="20"/>
          <w:szCs w:val="20"/>
        </w:rPr>
        <w:footnoteRef/>
      </w:r>
      <w:r w:rsidRPr="00687C21">
        <w:rPr>
          <w:color w:val="000000" w:themeColor="text1"/>
          <w:sz w:val="20"/>
          <w:szCs w:val="20"/>
        </w:rPr>
        <w:t xml:space="preserve"> </w:t>
      </w:r>
      <w:r w:rsidRPr="00687C21">
        <w:rPr>
          <w:bCs/>
          <w:color w:val="000000" w:themeColor="text1"/>
          <w:sz w:val="20"/>
          <w:szCs w:val="20"/>
          <w:lang w:eastAsia="en-GB"/>
        </w:rPr>
        <w:t>Regulation (EU) 2016/679 of the European Parliament and of the Council of 27 April 2016 on the protection of natural persons with regard to the processing of personal data and on the free movement of such data, and repealing Directive 95/46/EC [2016] OJ 119/1.</w:t>
      </w:r>
    </w:p>
  </w:footnote>
  <w:footnote w:id="17">
    <w:p w14:paraId="32E28960" w14:textId="77777777" w:rsidR="00BB5B8C" w:rsidRPr="00687C21" w:rsidRDefault="00BB5B8C" w:rsidP="00687C21">
      <w:pPr>
        <w:pStyle w:val="FootnoteText"/>
        <w:contextualSpacing/>
        <w:mirrorIndents/>
        <w:jc w:val="both"/>
        <w:rPr>
          <w:color w:val="000000" w:themeColor="text1"/>
          <w:sz w:val="20"/>
          <w:szCs w:val="20"/>
        </w:rPr>
      </w:pPr>
      <w:r w:rsidRPr="00687C21">
        <w:rPr>
          <w:rStyle w:val="FootnoteReference"/>
          <w:color w:val="000000" w:themeColor="text1"/>
          <w:sz w:val="20"/>
          <w:szCs w:val="20"/>
        </w:rPr>
        <w:footnoteRef/>
      </w:r>
      <w:r w:rsidRPr="00687C21">
        <w:rPr>
          <w:color w:val="000000" w:themeColor="text1"/>
          <w:sz w:val="20"/>
          <w:szCs w:val="20"/>
        </w:rPr>
        <w:t xml:space="preserve"> GDPR, art 22.</w:t>
      </w:r>
    </w:p>
  </w:footnote>
  <w:footnote w:id="18">
    <w:p w14:paraId="3E1200C5" w14:textId="232FB22E" w:rsidR="00BB5B8C" w:rsidRPr="00687C21" w:rsidRDefault="00BB5B8C" w:rsidP="00687C21">
      <w:pPr>
        <w:pStyle w:val="FootnoteText"/>
        <w:contextualSpacing/>
        <w:mirrorIndents/>
        <w:jc w:val="both"/>
        <w:rPr>
          <w:color w:val="000000" w:themeColor="text1"/>
          <w:sz w:val="20"/>
          <w:szCs w:val="20"/>
        </w:rPr>
      </w:pPr>
      <w:r w:rsidRPr="00687C21">
        <w:rPr>
          <w:rStyle w:val="FootnoteReference"/>
          <w:color w:val="000000" w:themeColor="text1"/>
          <w:sz w:val="20"/>
          <w:szCs w:val="20"/>
        </w:rPr>
        <w:footnoteRef/>
      </w:r>
      <w:r w:rsidRPr="00687C21">
        <w:rPr>
          <w:color w:val="000000" w:themeColor="text1"/>
          <w:sz w:val="20"/>
          <w:szCs w:val="20"/>
        </w:rPr>
        <w:t xml:space="preserve"> Schermer (n 10) 52.</w:t>
      </w:r>
    </w:p>
  </w:footnote>
  <w:footnote w:id="19">
    <w:p w14:paraId="2BD0286C" w14:textId="77777777" w:rsidR="00BB5B8C" w:rsidRPr="00687C21" w:rsidRDefault="00BB5B8C" w:rsidP="00687C21">
      <w:pPr>
        <w:pStyle w:val="FootnoteText"/>
        <w:contextualSpacing/>
        <w:mirrorIndents/>
        <w:jc w:val="both"/>
        <w:rPr>
          <w:color w:val="000000" w:themeColor="text1"/>
          <w:sz w:val="20"/>
          <w:szCs w:val="20"/>
        </w:rPr>
      </w:pPr>
      <w:r w:rsidRPr="00687C21">
        <w:rPr>
          <w:rStyle w:val="FootnoteReference"/>
          <w:color w:val="000000" w:themeColor="text1"/>
          <w:sz w:val="20"/>
          <w:szCs w:val="20"/>
        </w:rPr>
        <w:footnoteRef/>
      </w:r>
      <w:r w:rsidRPr="00687C21">
        <w:rPr>
          <w:color w:val="000000" w:themeColor="text1"/>
          <w:sz w:val="20"/>
          <w:szCs w:val="20"/>
        </w:rPr>
        <w:t xml:space="preserve"> </w:t>
      </w:r>
      <w:r w:rsidRPr="00687C21">
        <w:rPr>
          <w:color w:val="000000" w:themeColor="text1"/>
          <w:sz w:val="20"/>
          <w:szCs w:val="20"/>
          <w:shd w:val="clear" w:color="auto" w:fill="FFFFFF"/>
        </w:rPr>
        <w:t xml:space="preserve">TAR Lazio, chamber III </w:t>
      </w:r>
      <w:r w:rsidRPr="008620E4">
        <w:rPr>
          <w:i/>
          <w:color w:val="000000" w:themeColor="text1"/>
          <w:sz w:val="20"/>
          <w:szCs w:val="20"/>
          <w:shd w:val="clear" w:color="auto" w:fill="FFFFFF"/>
        </w:rPr>
        <w:t>bis</w:t>
      </w:r>
      <w:r w:rsidRPr="00687C21">
        <w:rPr>
          <w:color w:val="000000" w:themeColor="text1"/>
          <w:sz w:val="20"/>
          <w:szCs w:val="20"/>
          <w:shd w:val="clear" w:color="auto" w:fill="FFFFFF"/>
        </w:rPr>
        <w:t>, 22 March 2017, No 3769.</w:t>
      </w:r>
    </w:p>
  </w:footnote>
  <w:footnote w:id="20">
    <w:p w14:paraId="52EF8C74" w14:textId="0A348F55" w:rsidR="00BB5B8C" w:rsidRPr="00687C21" w:rsidRDefault="00BB5B8C" w:rsidP="00687C21">
      <w:pPr>
        <w:pStyle w:val="FootnoteText"/>
        <w:contextualSpacing/>
        <w:mirrorIndents/>
        <w:jc w:val="both"/>
        <w:rPr>
          <w:color w:val="000000" w:themeColor="text1"/>
          <w:sz w:val="20"/>
          <w:szCs w:val="20"/>
        </w:rPr>
      </w:pPr>
      <w:r w:rsidRPr="00687C21">
        <w:rPr>
          <w:rStyle w:val="FootnoteReference"/>
          <w:color w:val="000000" w:themeColor="text1"/>
          <w:sz w:val="20"/>
          <w:szCs w:val="20"/>
        </w:rPr>
        <w:footnoteRef/>
      </w:r>
      <w:r w:rsidRPr="00687C21">
        <w:rPr>
          <w:color w:val="000000" w:themeColor="text1"/>
          <w:sz w:val="20"/>
          <w:szCs w:val="20"/>
        </w:rPr>
        <w:t xml:space="preserve"> </w:t>
      </w:r>
      <w:r w:rsidRPr="00687C21">
        <w:rPr>
          <w:color w:val="000000" w:themeColor="text1"/>
          <w:sz w:val="20"/>
          <w:szCs w:val="20"/>
          <w:shd w:val="clear" w:color="auto" w:fill="FFFFFF"/>
        </w:rPr>
        <w:t xml:space="preserve">Cathy O’Neil, </w:t>
      </w:r>
      <w:r w:rsidRPr="00687C21">
        <w:rPr>
          <w:i/>
          <w:color w:val="000000" w:themeColor="text1"/>
          <w:sz w:val="20"/>
          <w:szCs w:val="20"/>
          <w:shd w:val="clear" w:color="auto" w:fill="FFFFFF"/>
        </w:rPr>
        <w:t>Weapons of Math Destruction: How Big Data Increases Inequality and Threatens Democracy</w:t>
      </w:r>
      <w:r w:rsidRPr="00687C21">
        <w:rPr>
          <w:color w:val="000000" w:themeColor="text1"/>
          <w:sz w:val="20"/>
          <w:szCs w:val="20"/>
          <w:shd w:val="clear" w:color="auto" w:fill="FFFFFF"/>
        </w:rPr>
        <w:t xml:space="preserve"> (Crown </w:t>
      </w:r>
      <w:r w:rsidRPr="00687C21">
        <w:rPr>
          <w:color w:val="000000" w:themeColor="text1"/>
          <w:sz w:val="20"/>
          <w:szCs w:val="20"/>
          <w:lang w:eastAsia="en-US"/>
        </w:rPr>
        <w:t>2016).</w:t>
      </w:r>
    </w:p>
  </w:footnote>
  <w:footnote w:id="21">
    <w:p w14:paraId="7EC96200" w14:textId="350338E8" w:rsidR="00BB5B8C" w:rsidRPr="00687C21" w:rsidRDefault="00BB5B8C" w:rsidP="00687C21">
      <w:pPr>
        <w:jc w:val="both"/>
        <w:rPr>
          <w:color w:val="000000" w:themeColor="text1"/>
          <w:sz w:val="20"/>
          <w:szCs w:val="20"/>
        </w:rPr>
      </w:pPr>
      <w:r w:rsidRPr="00687C21">
        <w:rPr>
          <w:rStyle w:val="FootnoteReference"/>
          <w:color w:val="000000" w:themeColor="text1"/>
          <w:sz w:val="20"/>
          <w:szCs w:val="20"/>
        </w:rPr>
        <w:footnoteRef/>
      </w:r>
      <w:r w:rsidRPr="00687C21">
        <w:rPr>
          <w:color w:val="000000" w:themeColor="text1"/>
          <w:sz w:val="20"/>
          <w:szCs w:val="20"/>
        </w:rPr>
        <w:t xml:space="preserve"> Given the features of legal interpretation in practice, the brocard </w:t>
      </w:r>
      <w:r w:rsidRPr="00687C21">
        <w:rPr>
          <w:i/>
          <w:color w:val="000000" w:themeColor="text1"/>
          <w:sz w:val="20"/>
          <w:szCs w:val="20"/>
        </w:rPr>
        <w:t xml:space="preserve">in claris non fit interpretatio </w:t>
      </w:r>
      <w:r w:rsidRPr="00687C21">
        <w:rPr>
          <w:color w:val="000000" w:themeColor="text1"/>
          <w:sz w:val="20"/>
          <w:szCs w:val="20"/>
        </w:rPr>
        <w:t xml:space="preserve">should be replaced by </w:t>
      </w:r>
      <w:r w:rsidRPr="00687C21">
        <w:rPr>
          <w:i/>
          <w:color w:val="000000" w:themeColor="text1"/>
          <w:sz w:val="20"/>
          <w:szCs w:val="20"/>
        </w:rPr>
        <w:t xml:space="preserve">in claris fit interpretatio </w:t>
      </w:r>
      <w:r w:rsidRPr="00687C21">
        <w:rPr>
          <w:color w:val="000000" w:themeColor="text1"/>
          <w:sz w:val="20"/>
          <w:szCs w:val="20"/>
        </w:rPr>
        <w:t>(</w:t>
      </w:r>
      <w:r w:rsidRPr="00687C21">
        <w:rPr>
          <w:i/>
          <w:color w:val="000000" w:themeColor="text1"/>
          <w:sz w:val="20"/>
          <w:szCs w:val="20"/>
        </w:rPr>
        <w:t>cf</w:t>
      </w:r>
      <w:r w:rsidRPr="00687C21">
        <w:rPr>
          <w:color w:val="000000" w:themeColor="text1"/>
          <w:sz w:val="20"/>
          <w:szCs w:val="20"/>
        </w:rPr>
        <w:t xml:space="preserve"> Francesco Galgano, </w:t>
      </w:r>
      <w:r w:rsidRPr="00687C21">
        <w:rPr>
          <w:i/>
          <w:color w:val="000000" w:themeColor="text1"/>
          <w:sz w:val="20"/>
          <w:szCs w:val="20"/>
        </w:rPr>
        <w:t>Tutto il rovescio del diritto</w:t>
      </w:r>
      <w:r w:rsidRPr="00687C21">
        <w:rPr>
          <w:color w:val="000000" w:themeColor="text1"/>
          <w:sz w:val="20"/>
          <w:szCs w:val="20"/>
        </w:rPr>
        <w:t xml:space="preserve"> (Giuffrè 2007) 100, who points out how the attempts to rule out legal interpretation by means of clear statutes (Carlo Ludovico Muratori) or through proposals to expressly prevent judges from interpreting the statutes (Pietro Verri) today would be laughable. </w:t>
      </w:r>
      <w:r w:rsidRPr="00687C21">
        <w:rPr>
          <w:i/>
          <w:color w:val="000000" w:themeColor="text1"/>
          <w:sz w:val="20"/>
          <w:szCs w:val="20"/>
        </w:rPr>
        <w:t>cf</w:t>
      </w:r>
      <w:r w:rsidRPr="00687C21">
        <w:rPr>
          <w:color w:val="000000" w:themeColor="text1"/>
          <w:sz w:val="20"/>
          <w:szCs w:val="20"/>
        </w:rPr>
        <w:t xml:space="preserve"> Vittorio Villa, </w:t>
      </w:r>
      <w:r w:rsidRPr="00687C21">
        <w:rPr>
          <w:i/>
          <w:color w:val="000000" w:themeColor="text1"/>
          <w:sz w:val="20"/>
          <w:szCs w:val="20"/>
        </w:rPr>
        <w:t>Una teoria pragmaticamente orientata dell'interpretazione giuridica</w:t>
      </w:r>
      <w:r w:rsidRPr="00687C21">
        <w:rPr>
          <w:color w:val="000000" w:themeColor="text1"/>
          <w:sz w:val="20"/>
          <w:szCs w:val="20"/>
        </w:rPr>
        <w:t xml:space="preserve"> (Giappichelli 2012).</w:t>
      </w:r>
    </w:p>
  </w:footnote>
  <w:footnote w:id="22">
    <w:p w14:paraId="2877B6DE" w14:textId="26F61C9A" w:rsidR="00BB5B8C" w:rsidRPr="00687C21" w:rsidRDefault="00BB5B8C" w:rsidP="00687C21">
      <w:pPr>
        <w:pStyle w:val="FootnoteText"/>
        <w:contextualSpacing/>
        <w:mirrorIndents/>
        <w:jc w:val="both"/>
        <w:rPr>
          <w:color w:val="000000" w:themeColor="text1"/>
          <w:sz w:val="20"/>
          <w:szCs w:val="20"/>
        </w:rPr>
      </w:pPr>
      <w:r w:rsidRPr="00687C21">
        <w:rPr>
          <w:color w:val="000000" w:themeColor="text1"/>
          <w:sz w:val="20"/>
          <w:szCs w:val="20"/>
        </w:rPr>
        <w:footnoteRef/>
      </w:r>
      <w:r w:rsidRPr="00687C21">
        <w:rPr>
          <w:color w:val="000000" w:themeColor="text1"/>
          <w:sz w:val="20"/>
          <w:szCs w:val="20"/>
        </w:rPr>
        <w:t xml:space="preserve"> For instance, due to the intrinsic vagueness of the legal language and because of the importance of general principles, one of the main tasks of judicial interpretation is striking a balance between conflicting interest, which shall be done on a case-by-case basis. However, some scholars believe that “balancing works with mathematical rules” (Pier Luigi M. Capotuorto, ‘Arithmetical Rules for the Judicial Balancing of Conflicts between Constitutional Principles: From the 'Weight Formula' to the Computer-Aided Judicial Decision’ (2007) 3(2) Rivista di Diritto, Economia e Gestione delle Nuove Tecnologie 171.</w:t>
      </w:r>
    </w:p>
  </w:footnote>
  <w:footnote w:id="23">
    <w:p w14:paraId="13AF282F" w14:textId="7F6380BD" w:rsidR="00BB5B8C" w:rsidRPr="00687C21" w:rsidRDefault="00BB5B8C" w:rsidP="00687C21">
      <w:pPr>
        <w:pStyle w:val="FootnoteText"/>
        <w:contextualSpacing/>
        <w:mirrorIndents/>
        <w:jc w:val="both"/>
        <w:rPr>
          <w:color w:val="000000" w:themeColor="text1"/>
          <w:sz w:val="20"/>
          <w:szCs w:val="20"/>
        </w:rPr>
      </w:pPr>
      <w:r w:rsidRPr="00687C21">
        <w:rPr>
          <w:color w:val="000000" w:themeColor="text1"/>
          <w:sz w:val="20"/>
          <w:szCs w:val="20"/>
        </w:rPr>
        <w:footnoteRef/>
      </w:r>
      <w:r w:rsidRPr="00687C21">
        <w:rPr>
          <w:color w:val="000000" w:themeColor="text1"/>
          <w:sz w:val="20"/>
          <w:szCs w:val="20"/>
        </w:rPr>
        <w:t xml:space="preserve"> Richard A Posner, ‘The Role of the Judge in the Twenty-First Century’ (2006) 86 B U L Rev 1049, 1060, believes that the psychological component is dominant when it comes to the sources of ideology, which plays a fundamental role in the decisions of all judges. Works on the prediction of judicial decisions usually focus on non-textual elements such as the nature and the gravity of the crime or the preferred</w:t>
      </w:r>
      <w:r w:rsidR="008620E4">
        <w:rPr>
          <w:color w:val="000000" w:themeColor="text1"/>
          <w:sz w:val="20"/>
          <w:szCs w:val="20"/>
        </w:rPr>
        <w:t xml:space="preserve"> policy position of each judge. See e.g. </w:t>
      </w:r>
      <w:r w:rsidRPr="00687C21">
        <w:rPr>
          <w:color w:val="000000" w:themeColor="text1"/>
          <w:sz w:val="20"/>
          <w:szCs w:val="20"/>
        </w:rPr>
        <w:t>Benjamin E Lauderdale and Tom S Clark, ‘The Supreme Court’s ma</w:t>
      </w:r>
      <w:r w:rsidR="008620E4">
        <w:rPr>
          <w:color w:val="000000" w:themeColor="text1"/>
          <w:sz w:val="20"/>
          <w:szCs w:val="20"/>
        </w:rPr>
        <w:t>ny median justices’ (2012) 106(</w:t>
      </w:r>
      <w:r w:rsidRPr="00687C21">
        <w:rPr>
          <w:color w:val="000000" w:themeColor="text1"/>
          <w:sz w:val="20"/>
          <w:szCs w:val="20"/>
        </w:rPr>
        <w:t xml:space="preserve">4) American Political Science Review 847. </w:t>
      </w:r>
    </w:p>
  </w:footnote>
  <w:footnote w:id="24">
    <w:p w14:paraId="41A55C21" w14:textId="274ECCB8" w:rsidR="00BB5B8C" w:rsidRPr="00687C21" w:rsidRDefault="00BB5B8C" w:rsidP="00687C21">
      <w:pPr>
        <w:pStyle w:val="FootnoteText"/>
        <w:contextualSpacing/>
        <w:mirrorIndents/>
        <w:jc w:val="both"/>
        <w:rPr>
          <w:color w:val="000000" w:themeColor="text1"/>
          <w:spacing w:val="2"/>
          <w:sz w:val="20"/>
          <w:szCs w:val="20"/>
          <w:lang w:val="en"/>
        </w:rPr>
      </w:pPr>
      <w:r w:rsidRPr="00687C21">
        <w:rPr>
          <w:color w:val="000000" w:themeColor="text1"/>
          <w:sz w:val="20"/>
          <w:szCs w:val="20"/>
        </w:rPr>
        <w:footnoteRef/>
      </w:r>
      <w:r w:rsidRPr="00687C21">
        <w:rPr>
          <w:color w:val="000000" w:themeColor="text1"/>
          <w:sz w:val="20"/>
          <w:szCs w:val="20"/>
        </w:rPr>
        <w:t xml:space="preserve"> There are several studies in the field of AI &amp; Law that develop models to explain the legal reasoning, but this is an ex-post operation, as opposed to a genuinely predictive one. See, for instance, Latifa Al-Abdulkarim et al., ‘A methodology for designing systems to reason with legal cases using Abstract Dialectical Frameworks’ (2016) 24(1) Artif Intell Law 1. </w:t>
      </w:r>
    </w:p>
  </w:footnote>
  <w:footnote w:id="25">
    <w:p w14:paraId="7FCC3BA5" w14:textId="4D257942" w:rsidR="00BB5B8C" w:rsidRPr="00687C21" w:rsidRDefault="00BB5B8C" w:rsidP="00687C21">
      <w:pPr>
        <w:pStyle w:val="FootnoteText"/>
        <w:contextualSpacing/>
        <w:mirrorIndents/>
        <w:jc w:val="both"/>
        <w:rPr>
          <w:color w:val="000000" w:themeColor="text1"/>
          <w:sz w:val="20"/>
          <w:szCs w:val="20"/>
        </w:rPr>
      </w:pPr>
      <w:r w:rsidRPr="00687C21">
        <w:rPr>
          <w:rStyle w:val="FootnoteReference"/>
          <w:color w:val="000000" w:themeColor="text1"/>
          <w:sz w:val="20"/>
          <w:szCs w:val="20"/>
        </w:rPr>
        <w:footnoteRef/>
      </w:r>
      <w:r w:rsidRPr="00687C21">
        <w:rPr>
          <w:color w:val="000000" w:themeColor="text1"/>
          <w:sz w:val="20"/>
          <w:szCs w:val="20"/>
        </w:rPr>
        <w:t xml:space="preserve"> See, for instance, Ronald Dworkin, ‘No Right Answer?’ (1978) 53 New York University Law Review 1; Ronald Dworkin, </w:t>
      </w:r>
      <w:r w:rsidRPr="00687C21">
        <w:rPr>
          <w:i/>
          <w:color w:val="000000" w:themeColor="text1"/>
          <w:sz w:val="20"/>
          <w:szCs w:val="20"/>
        </w:rPr>
        <w:t>Law, Morality, and Society</w:t>
      </w:r>
      <w:r w:rsidRPr="00687C21">
        <w:rPr>
          <w:color w:val="000000" w:themeColor="text1"/>
          <w:sz w:val="20"/>
          <w:szCs w:val="20"/>
        </w:rPr>
        <w:t xml:space="preserve"> (Peter Hacker &amp; Joseph Raz eds, Clarendon Press 1977).</w:t>
      </w:r>
    </w:p>
  </w:footnote>
  <w:footnote w:id="26">
    <w:p w14:paraId="59192B17" w14:textId="4686F4F7" w:rsidR="00BB5B8C" w:rsidRPr="00687C21" w:rsidRDefault="00BB5B8C" w:rsidP="00687C21">
      <w:pPr>
        <w:pStyle w:val="FootnoteText"/>
        <w:contextualSpacing/>
        <w:mirrorIndents/>
        <w:jc w:val="both"/>
        <w:rPr>
          <w:color w:val="000000" w:themeColor="text1"/>
          <w:sz w:val="20"/>
          <w:szCs w:val="20"/>
        </w:rPr>
      </w:pPr>
      <w:r w:rsidRPr="00687C21">
        <w:rPr>
          <w:rStyle w:val="FootnoteReference"/>
          <w:color w:val="000000" w:themeColor="text1"/>
          <w:sz w:val="20"/>
          <w:szCs w:val="20"/>
        </w:rPr>
        <w:footnoteRef/>
      </w:r>
      <w:r w:rsidRPr="00687C21">
        <w:rPr>
          <w:color w:val="000000" w:themeColor="text1"/>
          <w:sz w:val="20"/>
          <w:szCs w:val="20"/>
        </w:rPr>
        <w:t xml:space="preserve"> For instance, an author like Thomas B. Colby, a strong assertor of the rule of law, recognises that the law is often ambiguous or open-ended and, therefore, “there is no objectively correct answer that can be discerned simply by calling balls and strikes.” (Thomas B. Colby, ‘In Defense of Judicial Empathy’ (2012) 96 Minn. L. Rev. 1944, 2015) Even those who argue for an overcoming of the centrality of the Hart-Dworkin debate cannot “envision a jurisprudential future without Hart’s masterful work at its center” (Brian Leiter, ‘Beyond the Hart-Dworkin Debate: The methodology problem in jurisprudence’ (2003) 48 Am. J. Juris. 17, 18). For a recent critique to Dworkin, see Aulis Aarnio, ‘One right answer?’ [2011] Essays on the doctrinal study of law 165. As suggested by Tony Ward in his comments on a previous draft of this paper, one should note that, even in the event that Dworkin were right, it is unclear how the Hercules algorithm would be programmed.</w:t>
      </w:r>
    </w:p>
  </w:footnote>
  <w:footnote w:id="27">
    <w:p w14:paraId="3596FED4" w14:textId="23C04B0E" w:rsidR="00BB5B8C" w:rsidRPr="00687C21" w:rsidRDefault="00BB5B8C" w:rsidP="00687C21">
      <w:pPr>
        <w:pStyle w:val="FootnoteText"/>
        <w:contextualSpacing/>
        <w:mirrorIndents/>
        <w:jc w:val="both"/>
        <w:rPr>
          <w:color w:val="000000" w:themeColor="text1"/>
          <w:sz w:val="20"/>
          <w:szCs w:val="20"/>
        </w:rPr>
      </w:pPr>
      <w:r w:rsidRPr="00687C21">
        <w:rPr>
          <w:rStyle w:val="FootnoteReference"/>
          <w:color w:val="000000" w:themeColor="text1"/>
          <w:sz w:val="20"/>
          <w:szCs w:val="20"/>
        </w:rPr>
        <w:footnoteRef/>
      </w:r>
      <w:r w:rsidRPr="00687C21">
        <w:rPr>
          <w:color w:val="000000" w:themeColor="text1"/>
          <w:sz w:val="20"/>
          <w:szCs w:val="20"/>
        </w:rPr>
        <w:t xml:space="preserve"> See </w:t>
      </w:r>
      <w:r w:rsidRPr="00687C21">
        <w:rPr>
          <w:smallCaps/>
          <w:color w:val="000000" w:themeColor="text1"/>
          <w:sz w:val="20"/>
          <w:szCs w:val="20"/>
        </w:rPr>
        <w:t>H. L. A</w:t>
      </w:r>
      <w:r w:rsidRPr="00687C21">
        <w:rPr>
          <w:color w:val="000000" w:themeColor="text1"/>
          <w:sz w:val="20"/>
          <w:szCs w:val="20"/>
        </w:rPr>
        <w:t xml:space="preserve"> Hart, </w:t>
      </w:r>
      <w:r w:rsidRPr="00687C21">
        <w:rPr>
          <w:i/>
          <w:color w:val="000000" w:themeColor="text1"/>
          <w:sz w:val="20"/>
          <w:szCs w:val="20"/>
        </w:rPr>
        <w:t>The Concept of Law</w:t>
      </w:r>
      <w:r w:rsidRPr="00687C21">
        <w:rPr>
          <w:color w:val="000000" w:themeColor="text1"/>
          <w:sz w:val="20"/>
          <w:szCs w:val="20"/>
        </w:rPr>
        <w:t xml:space="preserve"> (Penelope Bulloch &amp; Joseph Raz eds, Clarendon Press 1994) 123.</w:t>
      </w:r>
    </w:p>
  </w:footnote>
  <w:footnote w:id="28">
    <w:p w14:paraId="7CBACCF3" w14:textId="6593BD38" w:rsidR="00BB5B8C" w:rsidRPr="00687C21" w:rsidRDefault="00BB5B8C" w:rsidP="00687C21">
      <w:pPr>
        <w:pStyle w:val="FootnoteText"/>
        <w:contextualSpacing/>
        <w:mirrorIndents/>
        <w:jc w:val="both"/>
        <w:rPr>
          <w:color w:val="000000" w:themeColor="text1"/>
          <w:sz w:val="20"/>
          <w:szCs w:val="20"/>
        </w:rPr>
      </w:pPr>
      <w:r w:rsidRPr="00687C21">
        <w:rPr>
          <w:rStyle w:val="FootnoteReference"/>
          <w:color w:val="000000" w:themeColor="text1"/>
          <w:sz w:val="20"/>
          <w:szCs w:val="20"/>
        </w:rPr>
        <w:footnoteRef/>
      </w:r>
      <w:r w:rsidRPr="00687C21">
        <w:rPr>
          <w:color w:val="000000" w:themeColor="text1"/>
          <w:sz w:val="20"/>
          <w:szCs w:val="20"/>
        </w:rPr>
        <w:t xml:space="preserve"> Scott J. Shapiro, ‘The “Hart-Dworkin” debate: A short guide for the perplexed’ (2007) Public Law and Legal Theory Working Paper Series No. 77, 16.</w:t>
      </w:r>
    </w:p>
  </w:footnote>
  <w:footnote w:id="29">
    <w:p w14:paraId="011C2265" w14:textId="68CB97A8" w:rsidR="00BB5B8C" w:rsidRPr="00687C21" w:rsidRDefault="00BB5B8C" w:rsidP="00687C21">
      <w:pPr>
        <w:pStyle w:val="FootnoteText"/>
        <w:contextualSpacing/>
        <w:mirrorIndents/>
        <w:jc w:val="both"/>
        <w:rPr>
          <w:color w:val="000000" w:themeColor="text1"/>
          <w:sz w:val="20"/>
          <w:szCs w:val="20"/>
        </w:rPr>
      </w:pPr>
      <w:r w:rsidRPr="00687C21">
        <w:rPr>
          <w:rStyle w:val="FootnoteReference"/>
          <w:color w:val="000000" w:themeColor="text1"/>
          <w:sz w:val="20"/>
          <w:szCs w:val="20"/>
        </w:rPr>
        <w:footnoteRef/>
      </w:r>
      <w:r w:rsidRPr="00687C21">
        <w:rPr>
          <w:color w:val="000000" w:themeColor="text1"/>
          <w:sz w:val="20"/>
          <w:szCs w:val="20"/>
        </w:rPr>
        <w:t xml:space="preserve"> </w:t>
      </w:r>
      <w:r w:rsidRPr="00687C21">
        <w:rPr>
          <w:color w:val="000000" w:themeColor="text1"/>
          <w:sz w:val="20"/>
          <w:szCs w:val="20"/>
          <w:lang w:val="it-IT"/>
        </w:rPr>
        <w:t>It has been noted that “</w:t>
      </w:r>
      <w:r w:rsidRPr="00687C21">
        <w:rPr>
          <w:color w:val="000000" w:themeColor="text1"/>
          <w:sz w:val="20"/>
          <w:szCs w:val="20"/>
        </w:rPr>
        <w:t xml:space="preserve">even if computers were technically able to mimic legal decision making in a mechanical fashion they would necessarily miss the subtle institutional, value-based, experiential, justice-oriented, and public policy dimensions that are the heart of lawyerly analysis” (Lisa A. Shay et al., ‘Do robots dream of electric law? An experiment in the law as algorithm’ in Ryan Calo, A. Michael Froomkin, and Ian Kerr (eds) </w:t>
      </w:r>
      <w:r w:rsidRPr="00687C21">
        <w:rPr>
          <w:i/>
          <w:color w:val="000000" w:themeColor="text1"/>
          <w:sz w:val="20"/>
          <w:szCs w:val="20"/>
        </w:rPr>
        <w:t>Robot Law</w:t>
      </w:r>
      <w:r w:rsidRPr="00687C21">
        <w:rPr>
          <w:color w:val="000000" w:themeColor="text1"/>
          <w:sz w:val="20"/>
          <w:szCs w:val="20"/>
        </w:rPr>
        <w:t xml:space="preserve"> (Elgar 2016) 274, 277, citing Harry Surden, ‘Computable Contracts’ (2012) 46 U.C. Davis L. Rev. 629).</w:t>
      </w:r>
    </w:p>
  </w:footnote>
  <w:footnote w:id="30">
    <w:p w14:paraId="2555807D" w14:textId="061FA0AF" w:rsidR="00BB5B8C" w:rsidRPr="00687C21" w:rsidRDefault="00BB5B8C" w:rsidP="00687C21">
      <w:pPr>
        <w:pStyle w:val="FootnoteText"/>
        <w:contextualSpacing/>
        <w:mirrorIndents/>
        <w:jc w:val="both"/>
        <w:rPr>
          <w:color w:val="000000" w:themeColor="text1"/>
          <w:sz w:val="20"/>
          <w:szCs w:val="20"/>
        </w:rPr>
      </w:pPr>
      <w:r w:rsidRPr="00687C21">
        <w:rPr>
          <w:rStyle w:val="FootnoteReference"/>
          <w:color w:val="000000" w:themeColor="text1"/>
          <w:sz w:val="20"/>
          <w:szCs w:val="20"/>
        </w:rPr>
        <w:footnoteRef/>
      </w:r>
      <w:r w:rsidRPr="00687C21">
        <w:rPr>
          <w:color w:val="000000" w:themeColor="text1"/>
          <w:sz w:val="20"/>
          <w:szCs w:val="20"/>
        </w:rPr>
        <w:t xml:space="preserve"> Francesco Viola, ‘Interpretazione e indeterminatezza della regola giuridica’ (2002) 7-8 Diritto privato 49, 51, explains in this way one of the differences between Hart and Kelsen (the </w:t>
      </w:r>
      <w:r w:rsidRPr="00687C21">
        <w:rPr>
          <w:i/>
          <w:color w:val="000000" w:themeColor="text1"/>
          <w:sz w:val="20"/>
          <w:szCs w:val="20"/>
        </w:rPr>
        <w:t>ex-ante</w:t>
      </w:r>
      <w:r w:rsidRPr="00687C21">
        <w:rPr>
          <w:color w:val="000000" w:themeColor="text1"/>
          <w:sz w:val="20"/>
          <w:szCs w:val="20"/>
        </w:rPr>
        <w:t xml:space="preserve"> distinction between easy and difficult cases – and between interpretation and application – would be possible adopting a Kelsenian perspective). </w:t>
      </w:r>
    </w:p>
  </w:footnote>
  <w:footnote w:id="31">
    <w:p w14:paraId="5C2EF8C6" w14:textId="2A0908FF" w:rsidR="00BB5B8C" w:rsidRPr="00687C21" w:rsidRDefault="00BB5B8C" w:rsidP="00687C21">
      <w:pPr>
        <w:pStyle w:val="FootnoteText"/>
        <w:contextualSpacing/>
        <w:mirrorIndents/>
        <w:jc w:val="both"/>
        <w:rPr>
          <w:color w:val="000000" w:themeColor="text1"/>
          <w:sz w:val="20"/>
          <w:szCs w:val="20"/>
        </w:rPr>
      </w:pPr>
      <w:r w:rsidRPr="00687C21">
        <w:rPr>
          <w:rStyle w:val="FootnoteReference"/>
          <w:color w:val="000000" w:themeColor="text1"/>
          <w:sz w:val="20"/>
          <w:szCs w:val="20"/>
        </w:rPr>
        <w:footnoteRef/>
      </w:r>
      <w:r w:rsidRPr="00687C21">
        <w:rPr>
          <w:color w:val="000000" w:themeColor="text1"/>
          <w:sz w:val="20"/>
          <w:szCs w:val="20"/>
        </w:rPr>
        <w:t xml:space="preserve"> Catherine Elliott &amp; Frances Quinn, </w:t>
      </w:r>
      <w:r w:rsidRPr="00687C21">
        <w:rPr>
          <w:i/>
          <w:color w:val="000000" w:themeColor="text1"/>
          <w:sz w:val="20"/>
          <w:szCs w:val="20"/>
        </w:rPr>
        <w:t xml:space="preserve">English Legal System </w:t>
      </w:r>
      <w:r w:rsidRPr="00687C21">
        <w:rPr>
          <w:color w:val="000000" w:themeColor="text1"/>
          <w:sz w:val="20"/>
          <w:szCs w:val="20"/>
        </w:rPr>
        <w:t>(17</w:t>
      </w:r>
      <w:r w:rsidRPr="00687C21">
        <w:rPr>
          <w:color w:val="000000" w:themeColor="text1"/>
          <w:sz w:val="20"/>
          <w:szCs w:val="20"/>
          <w:vertAlign w:val="superscript"/>
        </w:rPr>
        <w:t>th</w:t>
      </w:r>
      <w:r w:rsidR="008620E4">
        <w:rPr>
          <w:color w:val="000000" w:themeColor="text1"/>
          <w:sz w:val="20"/>
          <w:szCs w:val="20"/>
        </w:rPr>
        <w:t xml:space="preserve"> ed, Pearson 2016) 61</w:t>
      </w:r>
      <w:r w:rsidRPr="00687C21">
        <w:rPr>
          <w:color w:val="000000" w:themeColor="text1"/>
          <w:sz w:val="20"/>
          <w:szCs w:val="20"/>
        </w:rPr>
        <w:t xml:space="preserve">. The shift is very </w:t>
      </w:r>
      <w:r w:rsidR="008620E4" w:rsidRPr="00687C21">
        <w:rPr>
          <w:color w:val="000000" w:themeColor="text1"/>
          <w:sz w:val="20"/>
          <w:szCs w:val="20"/>
        </w:rPr>
        <w:t>significant,</w:t>
      </w:r>
      <w:r w:rsidRPr="00687C21">
        <w:rPr>
          <w:color w:val="000000" w:themeColor="text1"/>
          <w:sz w:val="20"/>
          <w:szCs w:val="20"/>
        </w:rPr>
        <w:t xml:space="preserve"> and it is suggested already from the use of ‘approach’ instead of ‘rule’, which hints at a more flexible strategy drawing from several sources and taking into account many factors, rather the mechanical operation of subsuming a fact under a rule. </w:t>
      </w:r>
    </w:p>
  </w:footnote>
  <w:footnote w:id="32">
    <w:p w14:paraId="110ABB12" w14:textId="4A0BBA1D" w:rsidR="00BB5B8C" w:rsidRPr="00687C21" w:rsidRDefault="00BB5B8C" w:rsidP="00687C21">
      <w:pPr>
        <w:pStyle w:val="FootnoteText"/>
        <w:contextualSpacing/>
        <w:mirrorIndents/>
        <w:jc w:val="both"/>
        <w:rPr>
          <w:color w:val="000000" w:themeColor="text1"/>
          <w:sz w:val="20"/>
          <w:szCs w:val="20"/>
          <w:lang w:val="it-IT"/>
        </w:rPr>
      </w:pPr>
      <w:r w:rsidRPr="00687C21">
        <w:rPr>
          <w:rStyle w:val="FootnoteReference"/>
          <w:color w:val="000000" w:themeColor="text1"/>
          <w:sz w:val="20"/>
          <w:szCs w:val="20"/>
        </w:rPr>
        <w:footnoteRef/>
      </w:r>
      <w:r w:rsidRPr="00687C21">
        <w:rPr>
          <w:color w:val="000000" w:themeColor="text1"/>
          <w:sz w:val="20"/>
          <w:szCs w:val="20"/>
          <w:lang w:val="it-IT"/>
        </w:rPr>
        <w:t xml:space="preserve"> Pier Luigi M. Lucatuorto, ‘Modelli computazionali della discrezionalita del giudice: uno studio preliminare’ (2006) 7(3) Ciberspazio e diritto 1, 2.</w:t>
      </w:r>
    </w:p>
  </w:footnote>
  <w:footnote w:id="33">
    <w:p w14:paraId="61070BAF" w14:textId="2D7AB96B" w:rsidR="00BB5B8C" w:rsidRPr="00687C21" w:rsidRDefault="00BB5B8C" w:rsidP="00687C21">
      <w:pPr>
        <w:pStyle w:val="FootnoteText"/>
        <w:jc w:val="both"/>
        <w:rPr>
          <w:color w:val="000000" w:themeColor="text1"/>
          <w:sz w:val="20"/>
          <w:szCs w:val="20"/>
        </w:rPr>
      </w:pPr>
      <w:r w:rsidRPr="00687C21">
        <w:rPr>
          <w:rStyle w:val="FootnoteReference"/>
          <w:color w:val="000000" w:themeColor="text1"/>
          <w:sz w:val="20"/>
          <w:szCs w:val="20"/>
        </w:rPr>
        <w:footnoteRef/>
      </w:r>
      <w:r w:rsidRPr="00687C21">
        <w:rPr>
          <w:color w:val="000000" w:themeColor="text1"/>
          <w:sz w:val="20"/>
          <w:szCs w:val="20"/>
        </w:rPr>
        <w:t xml:space="preserve"> I am thankful </w:t>
      </w:r>
      <w:r w:rsidRPr="00687C21">
        <w:rPr>
          <w:color w:val="000000" w:themeColor="text1"/>
          <w:sz w:val="20"/>
          <w:szCs w:val="20"/>
          <w:lang w:val="it-IT"/>
        </w:rPr>
        <w:t>to Chris Ashford for the insight provided in his “The UK Poppers ‘Ban’ and the Psychoactive Substances Act 2016: New Legal Frontiers in the Homonormative Imagination” (Northumbria University Gender, Sexuality and Law Research Seminar, Newcastle upon Tyne, 14 June 2017)</w:t>
      </w:r>
      <w:r w:rsidRPr="00687C21">
        <w:rPr>
          <w:color w:val="000000" w:themeColor="text1"/>
          <w:sz w:val="20"/>
          <w:szCs w:val="20"/>
        </w:rPr>
        <w:t>.</w:t>
      </w:r>
    </w:p>
  </w:footnote>
  <w:footnote w:id="34">
    <w:p w14:paraId="54D1C151" w14:textId="7D8EB840" w:rsidR="00BB5B8C" w:rsidRPr="00687C21" w:rsidRDefault="00BB5B8C" w:rsidP="00687C21">
      <w:pPr>
        <w:pStyle w:val="FootnoteText"/>
        <w:jc w:val="both"/>
        <w:rPr>
          <w:color w:val="000000" w:themeColor="text1"/>
          <w:sz w:val="20"/>
          <w:szCs w:val="20"/>
        </w:rPr>
      </w:pPr>
      <w:r w:rsidRPr="00687C21">
        <w:rPr>
          <w:rStyle w:val="FootnoteReference"/>
          <w:color w:val="000000" w:themeColor="text1"/>
          <w:sz w:val="20"/>
          <w:szCs w:val="20"/>
        </w:rPr>
        <w:footnoteRef/>
      </w:r>
      <w:r w:rsidRPr="00687C21">
        <w:rPr>
          <w:color w:val="000000" w:themeColor="text1"/>
          <w:sz w:val="20"/>
          <w:szCs w:val="20"/>
        </w:rPr>
        <w:t>The Burnham amendment and the Scottish National Party (SNP) one, aimed to allow poppers, were rejected.</w:t>
      </w:r>
    </w:p>
  </w:footnote>
  <w:footnote w:id="35">
    <w:p w14:paraId="704E0413" w14:textId="072DAC45" w:rsidR="00BB5B8C" w:rsidRPr="00687C21" w:rsidRDefault="00BB5B8C" w:rsidP="00687C21">
      <w:pPr>
        <w:pStyle w:val="FootnoteText"/>
        <w:jc w:val="both"/>
        <w:rPr>
          <w:color w:val="000000" w:themeColor="text1"/>
          <w:sz w:val="20"/>
          <w:szCs w:val="20"/>
        </w:rPr>
      </w:pPr>
      <w:r w:rsidRPr="00687C21">
        <w:rPr>
          <w:rStyle w:val="FootnoteReference"/>
          <w:color w:val="000000" w:themeColor="text1"/>
          <w:sz w:val="20"/>
          <w:szCs w:val="20"/>
        </w:rPr>
        <w:footnoteRef/>
      </w:r>
      <w:r w:rsidRPr="00687C21">
        <w:rPr>
          <w:color w:val="000000" w:themeColor="text1"/>
          <w:sz w:val="20"/>
          <w:szCs w:val="20"/>
        </w:rPr>
        <w:t xml:space="preserve"> Psychoactive Substances Act 2016, s 2.</w:t>
      </w:r>
    </w:p>
  </w:footnote>
  <w:footnote w:id="36">
    <w:p w14:paraId="76DC849C" w14:textId="707F3484" w:rsidR="00BB5B8C" w:rsidRPr="00687C21" w:rsidRDefault="00BB5B8C" w:rsidP="00687C21">
      <w:pPr>
        <w:pStyle w:val="FootnoteText"/>
        <w:jc w:val="both"/>
        <w:rPr>
          <w:color w:val="000000" w:themeColor="text1"/>
          <w:spacing w:val="-5"/>
          <w:sz w:val="20"/>
          <w:szCs w:val="20"/>
        </w:rPr>
      </w:pPr>
      <w:r w:rsidRPr="00687C21">
        <w:rPr>
          <w:color w:val="000000" w:themeColor="text1"/>
          <w:sz w:val="20"/>
          <w:szCs w:val="20"/>
        </w:rPr>
        <w:footnoteRef/>
      </w:r>
      <w:r w:rsidRPr="00687C21">
        <w:rPr>
          <w:color w:val="000000" w:themeColor="text1"/>
          <w:sz w:val="20"/>
          <w:szCs w:val="20"/>
        </w:rPr>
        <w:t xml:space="preserve"> See Steven </w:t>
      </w:r>
      <w:r w:rsidRPr="00687C21">
        <w:rPr>
          <w:color w:val="000000" w:themeColor="text1"/>
          <w:sz w:val="20"/>
          <w:szCs w:val="20"/>
          <w:lang w:val="it-IT"/>
        </w:rPr>
        <w:t>Hopkins, ‘Crawley Police Forced To Apologise After Wrongly Seising Poppers After Legal High Ban Came Into Effect’ (</w:t>
      </w:r>
      <w:r w:rsidRPr="00687C21">
        <w:rPr>
          <w:i/>
          <w:color w:val="000000" w:themeColor="text1"/>
          <w:sz w:val="20"/>
          <w:szCs w:val="20"/>
          <w:lang w:val="it-IT"/>
        </w:rPr>
        <w:t>Huffington Post UK</w:t>
      </w:r>
      <w:r w:rsidRPr="00687C21">
        <w:rPr>
          <w:color w:val="000000" w:themeColor="text1"/>
          <w:sz w:val="20"/>
          <w:szCs w:val="20"/>
          <w:lang w:val="it-IT"/>
        </w:rPr>
        <w:t>, 26 May 2016) &lt;http://www.huffingtonpost.co.uk/entry/crawley-police-forced-to-apologise-after-wrongly-seising-poppers-after-legal-high-ban-came-into-effect_uk_57472a41e4b0ebf6a3297cac&gt; accessed 1 March 2018</w:t>
      </w:r>
      <w:r w:rsidRPr="00687C21">
        <w:rPr>
          <w:color w:val="000000" w:themeColor="text1"/>
          <w:sz w:val="20"/>
          <w:szCs w:val="20"/>
        </w:rPr>
        <w:t>.</w:t>
      </w:r>
    </w:p>
  </w:footnote>
  <w:footnote w:id="37">
    <w:p w14:paraId="390123D9" w14:textId="62E6FFEA" w:rsidR="00BB5B8C" w:rsidRPr="00687C21" w:rsidRDefault="00BB5B8C" w:rsidP="00687C21">
      <w:pPr>
        <w:pStyle w:val="FootnoteText"/>
        <w:jc w:val="both"/>
        <w:rPr>
          <w:color w:val="000000" w:themeColor="text1"/>
          <w:sz w:val="20"/>
          <w:szCs w:val="20"/>
        </w:rPr>
      </w:pPr>
      <w:r w:rsidRPr="00687C21">
        <w:rPr>
          <w:color w:val="000000" w:themeColor="text1"/>
          <w:sz w:val="20"/>
          <w:szCs w:val="20"/>
        </w:rPr>
        <w:footnoteRef/>
      </w:r>
      <w:r w:rsidRPr="00687C21">
        <w:rPr>
          <w:color w:val="000000" w:themeColor="text1"/>
          <w:sz w:val="20"/>
          <w:szCs w:val="20"/>
        </w:rPr>
        <w:t xml:space="preserve"> Advisory Council on the Misuse of </w:t>
      </w:r>
      <w:r w:rsidRPr="00687C21">
        <w:rPr>
          <w:color w:val="000000" w:themeColor="text1"/>
          <w:sz w:val="20"/>
          <w:szCs w:val="20"/>
          <w:lang w:val="it-IT"/>
        </w:rPr>
        <w:t>Drugs, ‘CMD review of alkyl nitrites (poppers)’ (</w:t>
      </w:r>
      <w:r w:rsidRPr="00687C21">
        <w:rPr>
          <w:i/>
          <w:color w:val="000000" w:themeColor="text1"/>
          <w:sz w:val="20"/>
          <w:szCs w:val="20"/>
          <w:lang w:val="it-IT"/>
        </w:rPr>
        <w:t>The UK Government,</w:t>
      </w:r>
      <w:r w:rsidRPr="00687C21">
        <w:rPr>
          <w:color w:val="000000" w:themeColor="text1"/>
          <w:sz w:val="20"/>
          <w:szCs w:val="20"/>
          <w:lang w:val="it-IT"/>
        </w:rPr>
        <w:t xml:space="preserve"> 16 March 2016) &lt;</w:t>
      </w:r>
      <w:hyperlink r:id="rId5" w:history="1">
        <w:r w:rsidRPr="00687C21">
          <w:rPr>
            <w:color w:val="000000" w:themeColor="text1"/>
            <w:sz w:val="20"/>
            <w:szCs w:val="20"/>
            <w:lang w:val="it-IT"/>
          </w:rPr>
          <w:t>https://www.gov.uk/government/publications/acmd-review-of-alkyl-nitrites-poppers</w:t>
        </w:r>
      </w:hyperlink>
      <w:r w:rsidRPr="00687C21">
        <w:rPr>
          <w:color w:val="000000" w:themeColor="text1"/>
          <w:sz w:val="20"/>
          <w:szCs w:val="20"/>
          <w:lang w:val="it-IT"/>
        </w:rPr>
        <w:t>&gt; accessed 1 March 2018</w:t>
      </w:r>
      <w:r w:rsidRPr="00687C21">
        <w:rPr>
          <w:color w:val="000000" w:themeColor="text1"/>
          <w:sz w:val="20"/>
          <w:szCs w:val="20"/>
        </w:rPr>
        <w:t>.</w:t>
      </w:r>
    </w:p>
  </w:footnote>
  <w:footnote w:id="38">
    <w:p w14:paraId="026E3E49" w14:textId="5CF392FA" w:rsidR="00BB5B8C" w:rsidRPr="00687C21" w:rsidRDefault="00BB5B8C" w:rsidP="00687C21">
      <w:pPr>
        <w:pStyle w:val="FootnoteText"/>
        <w:jc w:val="both"/>
        <w:rPr>
          <w:color w:val="000000" w:themeColor="text1"/>
          <w:sz w:val="20"/>
          <w:szCs w:val="20"/>
          <w:lang w:val="it-IT"/>
        </w:rPr>
      </w:pPr>
      <w:r w:rsidRPr="00687C21">
        <w:rPr>
          <w:rStyle w:val="FootnoteReference"/>
          <w:color w:val="000000" w:themeColor="text1"/>
          <w:sz w:val="20"/>
          <w:szCs w:val="20"/>
        </w:rPr>
        <w:footnoteRef/>
      </w:r>
      <w:r w:rsidRPr="00687C21">
        <w:rPr>
          <w:color w:val="000000" w:themeColor="text1"/>
          <w:sz w:val="20"/>
          <w:szCs w:val="20"/>
        </w:rPr>
        <w:t xml:space="preserve"> Along with the studies cited in the following </w:t>
      </w:r>
      <w:r w:rsidRPr="00687C21">
        <w:rPr>
          <w:color w:val="000000" w:themeColor="text1"/>
          <w:sz w:val="20"/>
          <w:szCs w:val="20"/>
          <w:lang w:val="it-IT"/>
        </w:rPr>
        <w:t>footnotes, see, for instance, Joe Karaganis &amp; Jennifer Urban, ‘The rise of the robo notice’ (2015) 58(9) Communications of the ACM 28.</w:t>
      </w:r>
    </w:p>
  </w:footnote>
  <w:footnote w:id="39">
    <w:p w14:paraId="5A58244D" w14:textId="74EBD741" w:rsidR="00BB5B8C" w:rsidRPr="00687C21" w:rsidRDefault="00BB5B8C" w:rsidP="00687C21">
      <w:pPr>
        <w:autoSpaceDE w:val="0"/>
        <w:autoSpaceDN w:val="0"/>
        <w:adjustRightInd w:val="0"/>
        <w:jc w:val="both"/>
        <w:rPr>
          <w:color w:val="000000" w:themeColor="text1"/>
          <w:sz w:val="20"/>
          <w:szCs w:val="20"/>
          <w:lang w:val="it-IT" w:eastAsia="ko-KR"/>
        </w:rPr>
      </w:pPr>
      <w:r w:rsidRPr="00687C21">
        <w:rPr>
          <w:rStyle w:val="FootnoteReference"/>
          <w:color w:val="000000" w:themeColor="text1"/>
          <w:sz w:val="20"/>
          <w:szCs w:val="20"/>
        </w:rPr>
        <w:footnoteRef/>
      </w:r>
      <w:r w:rsidRPr="00687C21">
        <w:rPr>
          <w:color w:val="000000" w:themeColor="text1"/>
          <w:sz w:val="20"/>
          <w:szCs w:val="20"/>
        </w:rPr>
        <w:t xml:space="preserve"> </w:t>
      </w:r>
      <w:r w:rsidRPr="00687C21">
        <w:rPr>
          <w:color w:val="000000" w:themeColor="text1"/>
          <w:sz w:val="20"/>
          <w:szCs w:val="20"/>
          <w:shd w:val="clear" w:color="auto" w:fill="FFFFFF"/>
          <w:lang w:eastAsia="ko-KR"/>
        </w:rPr>
        <w:t>Maayan Perel &amp; Niva Elkin-</w:t>
      </w:r>
      <w:r w:rsidRPr="00687C21">
        <w:rPr>
          <w:color w:val="000000" w:themeColor="text1"/>
          <w:sz w:val="20"/>
          <w:szCs w:val="20"/>
          <w:lang w:val="it-IT" w:eastAsia="ko-KR"/>
        </w:rPr>
        <w:t>Koren, ‘Black Box Tinkering: Beyond Disclosure in Algorithmic Enforcement’ (2017) 69 Fla. L. Rev. 181, 210.</w:t>
      </w:r>
    </w:p>
  </w:footnote>
  <w:footnote w:id="40">
    <w:p w14:paraId="02757725" w14:textId="62684EF8" w:rsidR="00BB5B8C" w:rsidRPr="00687C21" w:rsidRDefault="00BB5B8C" w:rsidP="00687C21">
      <w:pPr>
        <w:autoSpaceDE w:val="0"/>
        <w:autoSpaceDN w:val="0"/>
        <w:adjustRightInd w:val="0"/>
        <w:jc w:val="both"/>
        <w:rPr>
          <w:color w:val="000000" w:themeColor="text1"/>
          <w:sz w:val="20"/>
          <w:szCs w:val="20"/>
          <w:lang w:val="it-IT" w:eastAsia="ko-KR"/>
        </w:rPr>
      </w:pPr>
      <w:r w:rsidRPr="00687C21">
        <w:rPr>
          <w:rStyle w:val="FootnoteCharacters"/>
          <w:color w:val="000000" w:themeColor="text1"/>
          <w:sz w:val="20"/>
          <w:szCs w:val="20"/>
        </w:rPr>
        <w:footnoteRef/>
      </w:r>
      <w:r w:rsidRPr="00687C21">
        <w:rPr>
          <w:color w:val="000000" w:themeColor="text1"/>
          <w:sz w:val="20"/>
          <w:szCs w:val="20"/>
        </w:rPr>
        <w:t xml:space="preserve"> </w:t>
      </w:r>
      <w:r w:rsidRPr="00687C21">
        <w:rPr>
          <w:color w:val="000000" w:themeColor="text1"/>
          <w:sz w:val="20"/>
          <w:szCs w:val="20"/>
          <w:shd w:val="clear" w:color="auto" w:fill="FFFFFF"/>
          <w:lang w:eastAsia="ko-KR"/>
        </w:rPr>
        <w:t>Kenneth</w:t>
      </w:r>
      <w:r w:rsidRPr="00687C21">
        <w:rPr>
          <w:color w:val="000000" w:themeColor="text1"/>
          <w:sz w:val="20"/>
          <w:szCs w:val="20"/>
        </w:rPr>
        <w:t xml:space="preserve"> A. </w:t>
      </w:r>
      <w:r w:rsidRPr="00687C21">
        <w:rPr>
          <w:color w:val="000000" w:themeColor="text1"/>
          <w:sz w:val="20"/>
          <w:szCs w:val="20"/>
          <w:lang w:val="it-IT" w:eastAsia="ko-KR"/>
        </w:rPr>
        <w:t>Bamberger, ‘Technologies of Compliance: Risk and Regulation in a Digital Age’ (2010) 88 Tex. L. Rev. 669, 675-6.</w:t>
      </w:r>
    </w:p>
  </w:footnote>
  <w:footnote w:id="41">
    <w:p w14:paraId="6F687066" w14:textId="77777777" w:rsidR="00BB5B8C" w:rsidRPr="00687C21" w:rsidRDefault="00BB5B8C" w:rsidP="00687C21">
      <w:pPr>
        <w:autoSpaceDE w:val="0"/>
        <w:autoSpaceDN w:val="0"/>
        <w:adjustRightInd w:val="0"/>
        <w:jc w:val="both"/>
        <w:rPr>
          <w:color w:val="000000" w:themeColor="text1"/>
          <w:sz w:val="20"/>
          <w:szCs w:val="20"/>
        </w:rPr>
      </w:pPr>
      <w:r w:rsidRPr="00687C21">
        <w:rPr>
          <w:rStyle w:val="FootnoteCharacters"/>
          <w:color w:val="000000" w:themeColor="text1"/>
          <w:sz w:val="20"/>
          <w:szCs w:val="20"/>
        </w:rPr>
        <w:footnoteRef/>
      </w:r>
      <w:r w:rsidRPr="00687C21">
        <w:rPr>
          <w:color w:val="000000" w:themeColor="text1"/>
          <w:sz w:val="20"/>
          <w:szCs w:val="20"/>
        </w:rPr>
        <w:t xml:space="preserve"> Specifically, when the researchers tried to upload a 48 seconds homemade video of a child dancing a protected song by Justin Bieber, 25% of video-sharing platforms removed the video, notwithstanding it clearly constituted a fair use. </w:t>
      </w:r>
    </w:p>
  </w:footnote>
  <w:footnote w:id="42">
    <w:p w14:paraId="5EE4F472" w14:textId="2A882928" w:rsidR="00BB5B8C" w:rsidRPr="00687C21" w:rsidRDefault="00BB5B8C" w:rsidP="00687C21">
      <w:pPr>
        <w:pStyle w:val="FootnoteText"/>
        <w:jc w:val="both"/>
        <w:rPr>
          <w:color w:val="000000" w:themeColor="text1"/>
          <w:sz w:val="20"/>
          <w:szCs w:val="20"/>
          <w:lang w:val="it-IT"/>
        </w:rPr>
      </w:pPr>
      <w:r w:rsidRPr="00687C21">
        <w:rPr>
          <w:rStyle w:val="FootnoteReference"/>
          <w:color w:val="000000" w:themeColor="text1"/>
          <w:sz w:val="20"/>
          <w:szCs w:val="20"/>
        </w:rPr>
        <w:footnoteRef/>
      </w:r>
      <w:r w:rsidRPr="00687C21">
        <w:rPr>
          <w:color w:val="000000" w:themeColor="text1"/>
          <w:sz w:val="20"/>
          <w:szCs w:val="20"/>
        </w:rPr>
        <w:t xml:space="preserve"> Reed </w:t>
      </w:r>
      <w:r w:rsidRPr="00687C21">
        <w:rPr>
          <w:color w:val="000000" w:themeColor="text1"/>
          <w:sz w:val="20"/>
          <w:szCs w:val="20"/>
          <w:lang w:val="it-IT"/>
        </w:rPr>
        <w:t xml:space="preserve">C. Lawlor, ‘What Computers Can Do: Analysis and Prediction of Judicial Decisions’ (1963) 49(4) American Bar Association Journal 337, conjectured that in the future machines would be able to predict the outcomes of judicial decisions. The prophecy was not fulfilled (yet), </w:t>
      </w:r>
      <w:r w:rsidR="008620E4">
        <w:rPr>
          <w:color w:val="000000" w:themeColor="text1"/>
          <w:sz w:val="20"/>
          <w:szCs w:val="20"/>
          <w:lang w:val="it-IT"/>
        </w:rPr>
        <w:t>but</w:t>
      </w:r>
      <w:r w:rsidRPr="00687C21">
        <w:rPr>
          <w:color w:val="000000" w:themeColor="text1"/>
          <w:sz w:val="20"/>
          <w:szCs w:val="20"/>
          <w:lang w:val="it-IT"/>
        </w:rPr>
        <w:t xml:space="preserve"> Nikolaos Aletras et al., ‘Predicting judicial decisions of the European Court of Human Rights: a Natural Language Processing perspective’ (2016)</w:t>
      </w:r>
      <w:r w:rsidR="008620E4">
        <w:rPr>
          <w:color w:val="000000" w:themeColor="text1"/>
          <w:sz w:val="20"/>
          <w:szCs w:val="20"/>
          <w:lang w:val="it-IT"/>
        </w:rPr>
        <w:t xml:space="preserve"> 2:e93 PeerJ Comput. Sci.,</w:t>
      </w:r>
      <w:r w:rsidRPr="00687C21">
        <w:rPr>
          <w:color w:val="000000" w:themeColor="text1"/>
          <w:sz w:val="20"/>
          <w:szCs w:val="20"/>
          <w:lang w:val="it-IT"/>
        </w:rPr>
        <w:t xml:space="preserve"> constitute a progress.</w:t>
      </w:r>
    </w:p>
  </w:footnote>
  <w:footnote w:id="43">
    <w:p w14:paraId="51B05FE2" w14:textId="4F11234E" w:rsidR="00BB5B8C" w:rsidRPr="00687C21" w:rsidRDefault="00BB5B8C" w:rsidP="00687C21">
      <w:pPr>
        <w:pStyle w:val="FootnoteText"/>
        <w:jc w:val="both"/>
        <w:rPr>
          <w:color w:val="000000" w:themeColor="text1"/>
          <w:sz w:val="20"/>
          <w:szCs w:val="20"/>
        </w:rPr>
      </w:pPr>
      <w:r w:rsidRPr="00687C21">
        <w:rPr>
          <w:rStyle w:val="FootnoteReference"/>
          <w:color w:val="000000" w:themeColor="text1"/>
          <w:sz w:val="20"/>
          <w:szCs w:val="20"/>
        </w:rPr>
        <w:footnoteRef/>
      </w:r>
      <w:r w:rsidRPr="00687C21">
        <w:rPr>
          <w:color w:val="000000" w:themeColor="text1"/>
          <w:sz w:val="20"/>
          <w:szCs w:val="20"/>
        </w:rPr>
        <w:t xml:space="preserve"> However, as said above, it is not possible to assess </w:t>
      </w:r>
      <w:r w:rsidRPr="00687C21">
        <w:rPr>
          <w:i/>
          <w:color w:val="000000" w:themeColor="text1"/>
          <w:sz w:val="20"/>
          <w:szCs w:val="20"/>
        </w:rPr>
        <w:t xml:space="preserve">ex ante facto </w:t>
      </w:r>
      <w:r w:rsidRPr="00687C21">
        <w:rPr>
          <w:color w:val="000000" w:themeColor="text1"/>
          <w:sz w:val="20"/>
          <w:szCs w:val="20"/>
        </w:rPr>
        <w:t xml:space="preserve">whether a case is easy or hard (and even </w:t>
      </w:r>
      <w:r w:rsidRPr="00687C21">
        <w:rPr>
          <w:i/>
          <w:color w:val="000000" w:themeColor="text1"/>
          <w:sz w:val="20"/>
          <w:szCs w:val="20"/>
        </w:rPr>
        <w:t>ex post facto</w:t>
      </w:r>
      <w:r w:rsidRPr="00687C21">
        <w:rPr>
          <w:color w:val="000000" w:themeColor="text1"/>
          <w:sz w:val="20"/>
          <w:szCs w:val="20"/>
        </w:rPr>
        <w:t>, the lines are blurred and interpretation is needed for the hard cases as well as for the easy cases).</w:t>
      </w:r>
    </w:p>
  </w:footnote>
  <w:footnote w:id="44">
    <w:p w14:paraId="63B74DAC" w14:textId="79D9A4D7" w:rsidR="00BB5B8C" w:rsidRPr="00687C21" w:rsidRDefault="00BB5B8C" w:rsidP="00687C21">
      <w:pPr>
        <w:pStyle w:val="FootnoteText"/>
        <w:contextualSpacing/>
        <w:mirrorIndents/>
        <w:jc w:val="both"/>
        <w:rPr>
          <w:color w:val="000000" w:themeColor="text1"/>
          <w:sz w:val="20"/>
          <w:szCs w:val="20"/>
        </w:rPr>
      </w:pPr>
      <w:r w:rsidRPr="00687C21">
        <w:rPr>
          <w:rStyle w:val="FootnoteReference"/>
          <w:color w:val="000000" w:themeColor="text1"/>
          <w:sz w:val="20"/>
          <w:szCs w:val="20"/>
        </w:rPr>
        <w:footnoteRef/>
      </w:r>
      <w:r w:rsidRPr="00687C21">
        <w:rPr>
          <w:color w:val="000000" w:themeColor="text1"/>
          <w:sz w:val="20"/>
          <w:szCs w:val="20"/>
        </w:rPr>
        <w:t xml:space="preserve"> Aletras (n 41).</w:t>
      </w:r>
    </w:p>
  </w:footnote>
  <w:footnote w:id="45">
    <w:p w14:paraId="0A2B98CD" w14:textId="7754D3A5" w:rsidR="00BB5B8C" w:rsidRPr="00687C21" w:rsidRDefault="00BB5B8C" w:rsidP="00687C21">
      <w:pPr>
        <w:pStyle w:val="FootnoteText"/>
        <w:contextualSpacing/>
        <w:mirrorIndents/>
        <w:jc w:val="both"/>
        <w:rPr>
          <w:color w:val="000000" w:themeColor="text1"/>
          <w:sz w:val="20"/>
          <w:szCs w:val="20"/>
        </w:rPr>
      </w:pPr>
      <w:r w:rsidRPr="00687C21">
        <w:rPr>
          <w:rStyle w:val="FootnoteReference"/>
          <w:color w:val="000000" w:themeColor="text1"/>
          <w:sz w:val="20"/>
          <w:szCs w:val="20"/>
        </w:rPr>
        <w:footnoteRef/>
      </w:r>
      <w:r w:rsidRPr="00687C21">
        <w:rPr>
          <w:color w:val="000000" w:themeColor="text1"/>
          <w:sz w:val="20"/>
          <w:szCs w:val="20"/>
        </w:rPr>
        <w:t xml:space="preserve"> ibid 3.</w:t>
      </w:r>
    </w:p>
  </w:footnote>
  <w:footnote w:id="46">
    <w:p w14:paraId="4591B7BB" w14:textId="21EA2506" w:rsidR="00BB5B8C" w:rsidRPr="00687C21" w:rsidRDefault="00BB5B8C" w:rsidP="00687C21">
      <w:pPr>
        <w:pStyle w:val="FootnoteText"/>
        <w:contextualSpacing/>
        <w:mirrorIndents/>
        <w:jc w:val="both"/>
        <w:rPr>
          <w:color w:val="000000" w:themeColor="text1"/>
          <w:sz w:val="20"/>
          <w:szCs w:val="20"/>
        </w:rPr>
      </w:pPr>
      <w:r w:rsidRPr="00687C21">
        <w:rPr>
          <w:rStyle w:val="FootnoteReference"/>
          <w:color w:val="000000" w:themeColor="text1"/>
          <w:sz w:val="20"/>
          <w:szCs w:val="20"/>
        </w:rPr>
        <w:footnoteRef/>
      </w:r>
      <w:r w:rsidRPr="00687C21">
        <w:rPr>
          <w:color w:val="000000" w:themeColor="text1"/>
          <w:sz w:val="20"/>
          <w:szCs w:val="20"/>
        </w:rPr>
        <w:t xml:space="preserve"> ibid 2, assume that “the text extracted from published judgments of the Court bears a sufficient number of similarities with, and can therefore stand as a (crude) proxy for, applications lodged with the Court as well as for briefs submitted by parties in pending cases”. They accept, however, that “full acceptance of that reasonable assumption necessitates more empirical corroboration”.</w:t>
      </w:r>
    </w:p>
  </w:footnote>
  <w:footnote w:id="47">
    <w:p w14:paraId="024250D0" w14:textId="27258C56" w:rsidR="00BB5B8C" w:rsidRPr="00687C21" w:rsidRDefault="00BB5B8C" w:rsidP="00687C21">
      <w:pPr>
        <w:pStyle w:val="FootnoteText"/>
        <w:contextualSpacing/>
        <w:mirrorIndents/>
        <w:jc w:val="both"/>
        <w:rPr>
          <w:color w:val="000000" w:themeColor="text1"/>
          <w:sz w:val="20"/>
          <w:szCs w:val="20"/>
          <w:shd w:val="clear" w:color="auto" w:fill="FFFFFF"/>
          <w:lang w:val="it-IT"/>
        </w:rPr>
      </w:pPr>
      <w:r w:rsidRPr="00687C21">
        <w:rPr>
          <w:rStyle w:val="FootnoteReference"/>
          <w:color w:val="000000" w:themeColor="text1"/>
          <w:sz w:val="20"/>
          <w:szCs w:val="20"/>
        </w:rPr>
        <w:footnoteRef/>
      </w:r>
      <w:r w:rsidRPr="00687C21">
        <w:rPr>
          <w:color w:val="000000" w:themeColor="text1"/>
          <w:sz w:val="20"/>
          <w:szCs w:val="20"/>
          <w:lang w:val="it-IT"/>
        </w:rPr>
        <w:t xml:space="preserve"> Pier Luigi M. </w:t>
      </w:r>
      <w:r w:rsidRPr="00687C21">
        <w:rPr>
          <w:color w:val="000000" w:themeColor="text1"/>
          <w:sz w:val="20"/>
          <w:szCs w:val="20"/>
          <w:shd w:val="clear" w:color="auto" w:fill="FFFFFF"/>
          <w:lang w:val="it-IT"/>
        </w:rPr>
        <w:t>Lucatuorto, ‘Computer-Aided Sentencing: Computer Science and Legal Aspects: The Chinese Case’ (2006) 2(4) Rivista di Diritto, Economia e Gestione delle Nuove Tecnologie 388.</w:t>
      </w:r>
    </w:p>
  </w:footnote>
  <w:footnote w:id="48">
    <w:p w14:paraId="0383520C" w14:textId="77777777" w:rsidR="00BB5B8C" w:rsidRPr="00687C21" w:rsidRDefault="00BB5B8C" w:rsidP="00687C21">
      <w:pPr>
        <w:pStyle w:val="FootnoteText"/>
        <w:jc w:val="both"/>
        <w:rPr>
          <w:color w:val="000000" w:themeColor="text1"/>
          <w:sz w:val="20"/>
          <w:szCs w:val="20"/>
        </w:rPr>
      </w:pPr>
      <w:r w:rsidRPr="00687C21">
        <w:rPr>
          <w:rStyle w:val="FootnoteReference"/>
          <w:color w:val="000000" w:themeColor="text1"/>
          <w:sz w:val="20"/>
          <w:szCs w:val="20"/>
        </w:rPr>
        <w:footnoteRef/>
      </w:r>
      <w:r w:rsidRPr="00687C21">
        <w:rPr>
          <w:color w:val="000000" w:themeColor="text1"/>
          <w:sz w:val="20"/>
          <w:szCs w:val="20"/>
        </w:rPr>
        <w:t xml:space="preserve"> Hubert L Dreyfus and Stuart E Dreyfus, </w:t>
      </w:r>
      <w:r w:rsidRPr="00687C21">
        <w:rPr>
          <w:i/>
          <w:color w:val="000000" w:themeColor="text1"/>
          <w:sz w:val="20"/>
          <w:szCs w:val="20"/>
        </w:rPr>
        <w:t xml:space="preserve">Mind over Machine: The Power of Human Intuition and Expertise in the Era of the Computer </w:t>
      </w:r>
      <w:r w:rsidRPr="00687C21">
        <w:rPr>
          <w:color w:val="000000" w:themeColor="text1"/>
          <w:sz w:val="20"/>
          <w:szCs w:val="20"/>
        </w:rPr>
        <w:t>(Free Press 1988).</w:t>
      </w:r>
    </w:p>
  </w:footnote>
  <w:footnote w:id="49">
    <w:p w14:paraId="5FEF4C3B" w14:textId="6613583D" w:rsidR="00BB5B8C" w:rsidRPr="00687C21" w:rsidRDefault="00BB5B8C" w:rsidP="00687C21">
      <w:pPr>
        <w:pStyle w:val="FootnoteText"/>
        <w:jc w:val="both"/>
        <w:rPr>
          <w:color w:val="000000" w:themeColor="text1"/>
          <w:sz w:val="20"/>
          <w:szCs w:val="20"/>
        </w:rPr>
      </w:pPr>
      <w:r w:rsidRPr="00687C21">
        <w:rPr>
          <w:rStyle w:val="FootnoteReference"/>
          <w:color w:val="000000" w:themeColor="text1"/>
          <w:sz w:val="20"/>
          <w:szCs w:val="20"/>
        </w:rPr>
        <w:footnoteRef/>
      </w:r>
      <w:r w:rsidRPr="00687C21">
        <w:rPr>
          <w:color w:val="000000" w:themeColor="text1"/>
          <w:sz w:val="20"/>
          <w:szCs w:val="20"/>
        </w:rPr>
        <w:t xml:space="preserve"> For instance</w:t>
      </w:r>
      <w:r w:rsidRPr="00687C21">
        <w:rPr>
          <w:rFonts w:eastAsiaTheme="majorEastAsia"/>
          <w:color w:val="000000" w:themeColor="text1"/>
          <w:sz w:val="20"/>
          <w:szCs w:val="20"/>
          <w:lang w:eastAsia="en-US"/>
        </w:rPr>
        <w:t xml:space="preserve">, Herbert A Simon, </w:t>
      </w:r>
      <w:r w:rsidRPr="00687C21">
        <w:rPr>
          <w:rFonts w:eastAsiaTheme="majorEastAsia"/>
          <w:i/>
          <w:color w:val="000000" w:themeColor="text1"/>
          <w:sz w:val="20"/>
          <w:szCs w:val="20"/>
          <w:lang w:eastAsia="en-US"/>
        </w:rPr>
        <w:t xml:space="preserve">The Shape of Automation for Men and Management </w:t>
      </w:r>
      <w:r w:rsidRPr="00687C21">
        <w:rPr>
          <w:rFonts w:eastAsiaTheme="majorEastAsia"/>
          <w:color w:val="000000" w:themeColor="text1"/>
          <w:sz w:val="20"/>
          <w:szCs w:val="20"/>
          <w:lang w:eastAsia="en-US"/>
        </w:rPr>
        <w:t>(Harper &amp; Row1965) 38, foresaw that in 1985 machines would have been capable of doing any work that a man could do.</w:t>
      </w:r>
      <w:r w:rsidRPr="00687C21">
        <w:rPr>
          <w:color w:val="000000" w:themeColor="text1"/>
          <w:sz w:val="20"/>
          <w:szCs w:val="20"/>
        </w:rPr>
        <w:t xml:space="preserve"> In hindsight, that prediction was not entirely accurate.</w:t>
      </w:r>
    </w:p>
  </w:footnote>
  <w:footnote w:id="50">
    <w:p w14:paraId="7A4C6446" w14:textId="449FAE89" w:rsidR="00BB5B8C" w:rsidRPr="00687C21" w:rsidRDefault="00BB5B8C" w:rsidP="00687C21">
      <w:pPr>
        <w:pStyle w:val="FootnoteText"/>
        <w:jc w:val="both"/>
        <w:rPr>
          <w:rFonts w:eastAsiaTheme="majorEastAsia"/>
          <w:color w:val="000000" w:themeColor="text1"/>
          <w:sz w:val="20"/>
          <w:szCs w:val="20"/>
          <w:lang w:eastAsia="en-US"/>
        </w:rPr>
      </w:pPr>
      <w:r w:rsidRPr="00687C21">
        <w:rPr>
          <w:rStyle w:val="FootnoteReference"/>
          <w:color w:val="000000" w:themeColor="text1"/>
          <w:sz w:val="20"/>
          <w:szCs w:val="20"/>
        </w:rPr>
        <w:footnoteRef/>
      </w:r>
      <w:r w:rsidRPr="00687C21">
        <w:rPr>
          <w:color w:val="000000" w:themeColor="text1"/>
          <w:sz w:val="20"/>
          <w:szCs w:val="20"/>
        </w:rPr>
        <w:t xml:space="preserve"> Computer “reasoning” is deemed to be ontologically different to human know-how: “a far superior holistic, intuitive way of approaching problems that cannot be imitated by rule-following computers” (</w:t>
      </w:r>
      <w:r w:rsidRPr="00687C21">
        <w:rPr>
          <w:rFonts w:eastAsiaTheme="majorEastAsia"/>
          <w:color w:val="000000" w:themeColor="text1"/>
          <w:sz w:val="20"/>
          <w:szCs w:val="20"/>
          <w:lang w:eastAsia="en-US"/>
        </w:rPr>
        <w:t>Dreyfus (n 47)</w:t>
      </w:r>
      <w:r w:rsidRPr="00687C21">
        <w:rPr>
          <w:color w:val="000000" w:themeColor="text1"/>
          <w:sz w:val="20"/>
          <w:szCs w:val="20"/>
        </w:rPr>
        <w:t xml:space="preserve"> 193). </w:t>
      </w:r>
      <w:r w:rsidRPr="00687C21">
        <w:rPr>
          <w:rFonts w:eastAsiaTheme="majorEastAsia"/>
          <w:color w:val="000000" w:themeColor="text1"/>
          <w:sz w:val="20"/>
          <w:szCs w:val="20"/>
          <w:lang w:eastAsia="en-US"/>
        </w:rPr>
        <w:t>For some recent developments in intuition modelling, see Ulrich Hoffrage and Julian N Marewski, ‘Unveiling the Lady in Black: Modeling and aiding intuition’ (2015) 4 Journal of Applied Research in Memory and Cognition 145.</w:t>
      </w:r>
    </w:p>
  </w:footnote>
  <w:footnote w:id="51">
    <w:p w14:paraId="2A8D3C5B" w14:textId="48B3A442" w:rsidR="00BB5B8C" w:rsidRPr="00687C21" w:rsidRDefault="00BB5B8C" w:rsidP="00687C21">
      <w:pPr>
        <w:pStyle w:val="FootnoteText"/>
        <w:contextualSpacing/>
        <w:mirrorIndents/>
        <w:jc w:val="both"/>
        <w:rPr>
          <w:color w:val="000000" w:themeColor="text1"/>
          <w:sz w:val="20"/>
          <w:szCs w:val="20"/>
        </w:rPr>
      </w:pPr>
      <w:r w:rsidRPr="00687C21">
        <w:rPr>
          <w:color w:val="000000" w:themeColor="text1"/>
          <w:sz w:val="20"/>
          <w:szCs w:val="20"/>
        </w:rPr>
        <w:footnoteRef/>
      </w:r>
      <w:r w:rsidRPr="00687C21">
        <w:rPr>
          <w:color w:val="000000" w:themeColor="text1"/>
          <w:sz w:val="20"/>
          <w:szCs w:val="20"/>
        </w:rPr>
        <w:t xml:space="preserve"> One need only think of the wrong calculations that affected 20.000 divorced couples due to a software glitch (see, e.g. Will Grice, ‘Divorce error on form caused by UK Government software glitch could affect 20,000 people’ (</w:t>
      </w:r>
      <w:r w:rsidRPr="00687C21">
        <w:rPr>
          <w:i/>
          <w:color w:val="000000" w:themeColor="text1"/>
          <w:sz w:val="20"/>
          <w:szCs w:val="20"/>
        </w:rPr>
        <w:t>The Independent</w:t>
      </w:r>
      <w:r w:rsidRPr="00687C21">
        <w:rPr>
          <w:color w:val="000000" w:themeColor="text1"/>
          <w:sz w:val="20"/>
          <w:szCs w:val="20"/>
        </w:rPr>
        <w:t>, 18 December 2015) &lt;http://www.independent.co.uk/news/uk/home-news/ministry-of-justice-software-glitch-could-see-thousands-revisiting-painful-divorce-settlements-a6777851.html&gt; accessed 1 March 2018.</w:t>
      </w:r>
    </w:p>
  </w:footnote>
  <w:footnote w:id="52">
    <w:p w14:paraId="3F8B8AB2" w14:textId="0B65D743" w:rsidR="00BB5B8C" w:rsidRPr="00687C21" w:rsidRDefault="00BB5B8C" w:rsidP="00687C21">
      <w:pPr>
        <w:pStyle w:val="Heading2"/>
        <w:shd w:val="clear" w:color="auto" w:fill="FFFFFF"/>
        <w:spacing w:before="0"/>
        <w:jc w:val="both"/>
        <w:rPr>
          <w:rFonts w:ascii="Times New Roman" w:eastAsiaTheme="minorEastAsia" w:hAnsi="Times New Roman" w:cs="Times New Roman"/>
          <w:color w:val="000000" w:themeColor="text1"/>
          <w:sz w:val="20"/>
          <w:szCs w:val="20"/>
          <w:lang w:eastAsia="ko-KR"/>
        </w:rPr>
      </w:pPr>
      <w:r w:rsidRPr="00687C21">
        <w:rPr>
          <w:rStyle w:val="FootnoteReference"/>
          <w:rFonts w:ascii="Times New Roman" w:hAnsi="Times New Roman" w:cs="Times New Roman"/>
          <w:color w:val="000000" w:themeColor="text1"/>
          <w:sz w:val="20"/>
          <w:szCs w:val="20"/>
        </w:rPr>
        <w:footnoteRef/>
      </w:r>
      <w:r w:rsidRPr="00687C21">
        <w:rPr>
          <w:rFonts w:ascii="Times New Roman" w:hAnsi="Times New Roman" w:cs="Times New Roman"/>
          <w:color w:val="000000" w:themeColor="text1"/>
          <w:sz w:val="20"/>
          <w:szCs w:val="20"/>
        </w:rPr>
        <w:t xml:space="preserve"> </w:t>
      </w:r>
      <w:r w:rsidRPr="00687C21">
        <w:rPr>
          <w:rFonts w:ascii="Times New Roman" w:eastAsiaTheme="minorEastAsia" w:hAnsi="Times New Roman" w:cs="Times New Roman"/>
          <w:color w:val="000000" w:themeColor="text1"/>
          <w:sz w:val="20"/>
          <w:szCs w:val="20"/>
          <w:lang w:eastAsia="ko-KR"/>
        </w:rPr>
        <w:t>Cf. Megan Garcia, ‘Racist in the Machine: The Disturbing Implications of Algorithmic Bias’ (2016) 33(4) World Policy Journal 111, and, more generally, Kroll (n 13) 633.</w:t>
      </w:r>
    </w:p>
  </w:footnote>
  <w:footnote w:id="53">
    <w:p w14:paraId="6BAB7174" w14:textId="110700A1" w:rsidR="00BB5B8C" w:rsidRPr="00687C21" w:rsidRDefault="00BB5B8C" w:rsidP="00687C21">
      <w:pPr>
        <w:pStyle w:val="FootnoteText"/>
        <w:contextualSpacing/>
        <w:mirrorIndents/>
        <w:jc w:val="both"/>
        <w:rPr>
          <w:color w:val="000000" w:themeColor="text1"/>
          <w:sz w:val="20"/>
          <w:szCs w:val="20"/>
        </w:rPr>
      </w:pPr>
      <w:r w:rsidRPr="00687C21">
        <w:rPr>
          <w:rStyle w:val="FootnoteReference"/>
          <w:color w:val="000000" w:themeColor="text1"/>
          <w:sz w:val="20"/>
          <w:szCs w:val="20"/>
        </w:rPr>
        <w:footnoteRef/>
      </w:r>
      <w:r w:rsidRPr="00687C21">
        <w:rPr>
          <w:color w:val="000000" w:themeColor="text1"/>
          <w:sz w:val="20"/>
          <w:szCs w:val="20"/>
        </w:rPr>
        <w:t xml:space="preserve"> &lt;</w:t>
      </w:r>
      <w:hyperlink r:id="rId6" w:history="1">
        <w:r w:rsidRPr="00687C21">
          <w:rPr>
            <w:rStyle w:val="Hyperlink"/>
            <w:color w:val="000000" w:themeColor="text1"/>
            <w:sz w:val="20"/>
            <w:szCs w:val="20"/>
            <w:u w:val="none"/>
          </w:rPr>
          <w:t>http://www.ajlunited.org/</w:t>
        </w:r>
      </w:hyperlink>
      <w:r w:rsidRPr="00687C21">
        <w:rPr>
          <w:rStyle w:val="Hyperlink"/>
          <w:color w:val="000000" w:themeColor="text1"/>
          <w:sz w:val="20"/>
          <w:szCs w:val="20"/>
          <w:u w:val="none"/>
        </w:rPr>
        <w:t>&gt; accessed 1 March 2018</w:t>
      </w:r>
      <w:r w:rsidRPr="00687C21">
        <w:rPr>
          <w:color w:val="000000" w:themeColor="text1"/>
          <w:sz w:val="20"/>
          <w:szCs w:val="20"/>
        </w:rPr>
        <w:t>. This kind of problem had already been evidenced by Brandan F. Klare et al., ‘Face Recognition Performance: Role of Demographic Information’ (2012) 7(6) IEEE Transactions on Information Forensics and Security 1789.</w:t>
      </w:r>
    </w:p>
  </w:footnote>
  <w:footnote w:id="54">
    <w:p w14:paraId="2B2C4E27" w14:textId="193B536A" w:rsidR="00BB5B8C" w:rsidRPr="00687C21" w:rsidRDefault="00BB5B8C" w:rsidP="00687C21">
      <w:pPr>
        <w:pStyle w:val="FootnoteText"/>
        <w:contextualSpacing/>
        <w:mirrorIndents/>
        <w:jc w:val="both"/>
        <w:rPr>
          <w:color w:val="000000" w:themeColor="text1"/>
          <w:sz w:val="20"/>
          <w:szCs w:val="20"/>
        </w:rPr>
      </w:pPr>
      <w:r w:rsidRPr="00687C21">
        <w:rPr>
          <w:rStyle w:val="FootnoteReference"/>
          <w:color w:val="000000" w:themeColor="text1"/>
          <w:sz w:val="20"/>
          <w:szCs w:val="20"/>
        </w:rPr>
        <w:footnoteRef/>
      </w:r>
      <w:r w:rsidRPr="00687C21">
        <w:rPr>
          <w:color w:val="000000" w:themeColor="text1"/>
          <w:sz w:val="20"/>
          <w:szCs w:val="20"/>
        </w:rPr>
        <w:t xml:space="preserve"> This is one of main ideas of </w:t>
      </w:r>
      <w:r w:rsidRPr="00687C21">
        <w:rPr>
          <w:color w:val="000000" w:themeColor="text1"/>
          <w:sz w:val="20"/>
          <w:szCs w:val="20"/>
          <w:shd w:val="clear" w:color="auto" w:fill="FFFFFF"/>
        </w:rPr>
        <w:t>O'Neil (n 19).</w:t>
      </w:r>
    </w:p>
  </w:footnote>
  <w:footnote w:id="55">
    <w:p w14:paraId="5DBEEDEE" w14:textId="7A0F14DC" w:rsidR="00BB5B8C" w:rsidRPr="00687C21" w:rsidRDefault="00BB5B8C" w:rsidP="00687C21">
      <w:pPr>
        <w:pStyle w:val="FootnoteText"/>
        <w:contextualSpacing/>
        <w:mirrorIndents/>
        <w:jc w:val="both"/>
        <w:rPr>
          <w:color w:val="000000" w:themeColor="text1"/>
          <w:sz w:val="20"/>
          <w:szCs w:val="20"/>
        </w:rPr>
      </w:pPr>
      <w:r w:rsidRPr="00687C21">
        <w:rPr>
          <w:rStyle w:val="FootnoteReference"/>
          <w:color w:val="000000" w:themeColor="text1"/>
          <w:sz w:val="20"/>
          <w:szCs w:val="20"/>
        </w:rPr>
        <w:footnoteRef/>
      </w:r>
      <w:r w:rsidRPr="00687C21">
        <w:rPr>
          <w:color w:val="000000" w:themeColor="text1"/>
          <w:sz w:val="20"/>
          <w:szCs w:val="20"/>
        </w:rPr>
        <w:t xml:space="preserve"> Andrés Guadamuz, ‘Whatever happened to our dream of an empowering Internet (and how to get it back)’ (</w:t>
      </w:r>
      <w:r w:rsidRPr="00687C21">
        <w:rPr>
          <w:i/>
          <w:color w:val="000000" w:themeColor="text1"/>
          <w:sz w:val="20"/>
          <w:szCs w:val="20"/>
        </w:rPr>
        <w:t>TechnoLlama</w:t>
      </w:r>
      <w:r w:rsidRPr="00687C21">
        <w:rPr>
          <w:color w:val="000000" w:themeColor="text1"/>
          <w:sz w:val="20"/>
          <w:szCs w:val="20"/>
        </w:rPr>
        <w:t>, 5 June 2017), &lt;</w:t>
      </w:r>
      <w:hyperlink r:id="rId7" w:history="1">
        <w:r w:rsidRPr="00687C21">
          <w:rPr>
            <w:color w:val="000000" w:themeColor="text1"/>
            <w:sz w:val="20"/>
            <w:szCs w:val="20"/>
          </w:rPr>
          <w:t>http://www.technollama.co.uk/whatever-happened-to-our-dream-of-an-empowering-internet-and-how-to-get-it-back</w:t>
        </w:r>
      </w:hyperlink>
      <w:r w:rsidRPr="00687C21">
        <w:rPr>
          <w:color w:val="000000" w:themeColor="text1"/>
          <w:sz w:val="20"/>
          <w:szCs w:val="20"/>
        </w:rPr>
        <w:t>&gt; accessed 1 March 2018. On the phenomenon of machine bias (or algorithmic bias) see below.</w:t>
      </w:r>
    </w:p>
  </w:footnote>
  <w:footnote w:id="56">
    <w:p w14:paraId="00BAB368" w14:textId="37364120" w:rsidR="00BB5B8C" w:rsidRPr="00687C21" w:rsidRDefault="00BB5B8C" w:rsidP="00687C21">
      <w:pPr>
        <w:pStyle w:val="FootnoteText"/>
        <w:contextualSpacing/>
        <w:mirrorIndents/>
        <w:jc w:val="both"/>
        <w:rPr>
          <w:color w:val="000000" w:themeColor="text1"/>
          <w:sz w:val="20"/>
          <w:szCs w:val="20"/>
        </w:rPr>
      </w:pPr>
      <w:r w:rsidRPr="00687C21">
        <w:rPr>
          <w:rStyle w:val="FootnoteReference"/>
          <w:color w:val="000000" w:themeColor="text1"/>
          <w:sz w:val="20"/>
          <w:szCs w:val="20"/>
        </w:rPr>
        <w:footnoteRef/>
      </w:r>
      <w:r w:rsidRPr="00687C21">
        <w:rPr>
          <w:color w:val="000000" w:themeColor="text1"/>
          <w:sz w:val="20"/>
          <w:szCs w:val="20"/>
        </w:rPr>
        <w:t>&lt;</w:t>
      </w:r>
      <w:hyperlink r:id="rId8" w:history="1">
        <w:r w:rsidRPr="00687C21">
          <w:rPr>
            <w:rStyle w:val="Hyperlink"/>
            <w:color w:val="000000" w:themeColor="text1"/>
            <w:sz w:val="20"/>
            <w:szCs w:val="20"/>
            <w:u w:val="none"/>
          </w:rPr>
          <w:t>https://www.parliament.uk/business/committees/committees-a-z/commons-select/science-and-technology-committee/inquiries/parliament-2015/inquiry9/</w:t>
        </w:r>
      </w:hyperlink>
      <w:r w:rsidRPr="00687C21">
        <w:rPr>
          <w:rStyle w:val="Hyperlink"/>
          <w:color w:val="000000" w:themeColor="text1"/>
          <w:sz w:val="20"/>
          <w:szCs w:val="20"/>
          <w:u w:val="none"/>
        </w:rPr>
        <w:t xml:space="preserve">&gt; </w:t>
      </w:r>
      <w:r w:rsidRPr="00687C21">
        <w:rPr>
          <w:color w:val="000000" w:themeColor="text1"/>
          <w:sz w:val="20"/>
          <w:szCs w:val="20"/>
        </w:rPr>
        <w:t xml:space="preserve">accessed 1 March 2018. </w:t>
      </w:r>
    </w:p>
  </w:footnote>
  <w:footnote w:id="57">
    <w:p w14:paraId="15815E7F" w14:textId="4188AD0D" w:rsidR="00BB5B8C" w:rsidRPr="00687C21" w:rsidRDefault="00BB5B8C" w:rsidP="00687C21">
      <w:pPr>
        <w:pStyle w:val="FootnoteText"/>
        <w:contextualSpacing/>
        <w:mirrorIndents/>
        <w:jc w:val="both"/>
        <w:rPr>
          <w:color w:val="000000" w:themeColor="text1"/>
          <w:sz w:val="20"/>
          <w:szCs w:val="20"/>
        </w:rPr>
      </w:pPr>
      <w:r w:rsidRPr="00687C21">
        <w:rPr>
          <w:rStyle w:val="FootnoteReference"/>
          <w:color w:val="000000" w:themeColor="text1"/>
          <w:sz w:val="20"/>
          <w:szCs w:val="20"/>
        </w:rPr>
        <w:footnoteRef/>
      </w:r>
      <w:r w:rsidRPr="00687C21">
        <w:rPr>
          <w:color w:val="000000" w:themeColor="text1"/>
          <w:sz w:val="20"/>
          <w:szCs w:val="20"/>
        </w:rPr>
        <w:t>Science and Technology Committee, ‘Written evidence submitted by Dr Alison Powell (ALG0067)’ (</w:t>
      </w:r>
      <w:r w:rsidRPr="00687C21">
        <w:rPr>
          <w:i/>
          <w:color w:val="000000" w:themeColor="text1"/>
          <w:sz w:val="20"/>
          <w:szCs w:val="20"/>
        </w:rPr>
        <w:t>UK Parliament</w:t>
      </w:r>
      <w:r w:rsidRPr="00687C21">
        <w:rPr>
          <w:color w:val="000000" w:themeColor="text1"/>
          <w:sz w:val="20"/>
          <w:szCs w:val="20"/>
        </w:rPr>
        <w:t>, 2017) &lt;</w:t>
      </w:r>
      <w:hyperlink r:id="rId9" w:history="1">
        <w:r w:rsidRPr="00687C21">
          <w:rPr>
            <w:color w:val="000000" w:themeColor="text1"/>
            <w:sz w:val="20"/>
            <w:szCs w:val="20"/>
          </w:rPr>
          <w:t>http://data.parliament.uk/writtenevidence/committeeevidence.svc/evidencedocument/science-and-technology-committee/algorithms-in-decisionmaking/written/69121.html</w:t>
        </w:r>
      </w:hyperlink>
      <w:r w:rsidRPr="00687C21">
        <w:rPr>
          <w:color w:val="000000" w:themeColor="text1"/>
          <w:sz w:val="20"/>
          <w:szCs w:val="20"/>
        </w:rPr>
        <w:t xml:space="preserve">&gt; accessed 1 March 2018. </w:t>
      </w:r>
    </w:p>
  </w:footnote>
  <w:footnote w:id="58">
    <w:p w14:paraId="1F12ED14" w14:textId="49E283EB" w:rsidR="00BB5B8C" w:rsidRPr="00687C21" w:rsidRDefault="00BB5B8C" w:rsidP="00687C21">
      <w:pPr>
        <w:jc w:val="both"/>
        <w:rPr>
          <w:color w:val="000000" w:themeColor="text1"/>
          <w:sz w:val="20"/>
          <w:szCs w:val="20"/>
        </w:rPr>
      </w:pPr>
      <w:r w:rsidRPr="00687C21">
        <w:rPr>
          <w:rStyle w:val="FootnoteReference"/>
          <w:color w:val="000000" w:themeColor="text1"/>
          <w:sz w:val="20"/>
          <w:szCs w:val="20"/>
        </w:rPr>
        <w:footnoteRef/>
      </w:r>
      <w:r w:rsidRPr="00687C21">
        <w:rPr>
          <w:color w:val="000000" w:themeColor="text1"/>
          <w:sz w:val="20"/>
          <w:szCs w:val="20"/>
        </w:rPr>
        <w:t xml:space="preserve"> </w:t>
      </w:r>
      <w:r w:rsidRPr="00687C21">
        <w:rPr>
          <w:rFonts w:eastAsiaTheme="minorEastAsia"/>
          <w:color w:val="000000" w:themeColor="text1"/>
          <w:sz w:val="20"/>
          <w:szCs w:val="20"/>
          <w:lang w:val="en-US" w:eastAsia="ko-KR"/>
        </w:rPr>
        <w:t xml:space="preserve">Alan Dix, ‘Human issues in the use of pattern recognition techniques’, in R Beale and J Finlay (eds), </w:t>
      </w:r>
      <w:r w:rsidRPr="00687C21">
        <w:rPr>
          <w:rFonts w:eastAsiaTheme="minorEastAsia"/>
          <w:i/>
          <w:color w:val="000000" w:themeColor="text1"/>
          <w:sz w:val="20"/>
          <w:szCs w:val="20"/>
          <w:lang w:val="en-US" w:eastAsia="ko-KR"/>
        </w:rPr>
        <w:t>Neural Networks and Pattern Recognition in Human Computer Interaction</w:t>
      </w:r>
      <w:r w:rsidRPr="00687C21">
        <w:rPr>
          <w:rFonts w:eastAsiaTheme="minorEastAsia"/>
          <w:color w:val="000000" w:themeColor="text1"/>
          <w:sz w:val="20"/>
          <w:szCs w:val="20"/>
          <w:lang w:val="en-US" w:eastAsia="ko-KR"/>
        </w:rPr>
        <w:t xml:space="preserve"> (Ellis Horwood 1992) 429.</w:t>
      </w:r>
      <w:r w:rsidRPr="00687C21">
        <w:rPr>
          <w:color w:val="000000" w:themeColor="text1"/>
          <w:sz w:val="20"/>
          <w:szCs w:val="20"/>
        </w:rPr>
        <w:t xml:space="preserve"> </w:t>
      </w:r>
    </w:p>
  </w:footnote>
  <w:footnote w:id="59">
    <w:p w14:paraId="341DED6C" w14:textId="2B14750B" w:rsidR="00BB5B8C" w:rsidRPr="00687C21" w:rsidRDefault="00BB5B8C" w:rsidP="00687C21">
      <w:pPr>
        <w:pStyle w:val="FootnoteText"/>
        <w:contextualSpacing/>
        <w:mirrorIndents/>
        <w:jc w:val="both"/>
        <w:rPr>
          <w:color w:val="000000" w:themeColor="text1"/>
          <w:sz w:val="20"/>
          <w:szCs w:val="20"/>
        </w:rPr>
      </w:pPr>
      <w:r w:rsidRPr="00687C21">
        <w:rPr>
          <w:rStyle w:val="FootnoteReference"/>
          <w:color w:val="000000" w:themeColor="text1"/>
          <w:sz w:val="20"/>
          <w:szCs w:val="20"/>
        </w:rPr>
        <w:footnoteRef/>
      </w:r>
      <w:r w:rsidRPr="00687C21">
        <w:rPr>
          <w:color w:val="000000" w:themeColor="text1"/>
          <w:sz w:val="20"/>
          <w:szCs w:val="20"/>
        </w:rPr>
        <w:t xml:space="preserve"> Stella Lowry &amp; Gordon Macpherson, ‘A blot on the profession’ (1988) 296 British Medical Journal 657. </w:t>
      </w:r>
    </w:p>
  </w:footnote>
  <w:footnote w:id="60">
    <w:p w14:paraId="7B2A1F8F" w14:textId="156BD7EC" w:rsidR="00BB5B8C" w:rsidRPr="00687C21" w:rsidRDefault="00BB5B8C" w:rsidP="00687C21">
      <w:pPr>
        <w:autoSpaceDE w:val="0"/>
        <w:autoSpaceDN w:val="0"/>
        <w:adjustRightInd w:val="0"/>
        <w:jc w:val="both"/>
        <w:rPr>
          <w:color w:val="000000" w:themeColor="text1"/>
          <w:sz w:val="20"/>
          <w:szCs w:val="20"/>
          <w:lang w:eastAsia="ko-KR"/>
        </w:rPr>
      </w:pPr>
      <w:r w:rsidRPr="00687C21">
        <w:rPr>
          <w:rStyle w:val="FootnoteReference"/>
          <w:color w:val="000000" w:themeColor="text1"/>
          <w:sz w:val="20"/>
          <w:szCs w:val="20"/>
        </w:rPr>
        <w:footnoteRef/>
      </w:r>
      <w:r w:rsidRPr="00687C21">
        <w:rPr>
          <w:color w:val="000000" w:themeColor="text1"/>
          <w:sz w:val="20"/>
          <w:szCs w:val="20"/>
        </w:rPr>
        <w:t xml:space="preserve"> Aylin </w:t>
      </w:r>
      <w:r w:rsidRPr="00687C21">
        <w:rPr>
          <w:color w:val="000000" w:themeColor="text1"/>
          <w:sz w:val="20"/>
          <w:szCs w:val="20"/>
          <w:shd w:val="clear" w:color="auto" w:fill="FFFFFF"/>
        </w:rPr>
        <w:t xml:space="preserve">Caliskan </w:t>
      </w:r>
      <w:r w:rsidRPr="00687C21">
        <w:rPr>
          <w:color w:val="000000" w:themeColor="text1"/>
          <w:sz w:val="20"/>
          <w:szCs w:val="20"/>
          <w:lang w:eastAsia="ko-KR"/>
        </w:rPr>
        <w:t>et al., ‘Semantics derived automatically from language corpora contain human-like biases’ (2017) 356(6334) Science 183.</w:t>
      </w:r>
    </w:p>
  </w:footnote>
  <w:footnote w:id="61">
    <w:p w14:paraId="1A09B8E9" w14:textId="3D095026" w:rsidR="00BB5B8C" w:rsidRPr="00687C21" w:rsidRDefault="00BB5B8C" w:rsidP="00687C21">
      <w:pPr>
        <w:pStyle w:val="FootnoteText"/>
        <w:contextualSpacing/>
        <w:mirrorIndents/>
        <w:jc w:val="both"/>
        <w:rPr>
          <w:color w:val="000000" w:themeColor="text1"/>
          <w:sz w:val="20"/>
          <w:szCs w:val="20"/>
        </w:rPr>
      </w:pPr>
      <w:r w:rsidRPr="00687C21">
        <w:rPr>
          <w:rStyle w:val="FootnoteReference"/>
          <w:color w:val="000000" w:themeColor="text1"/>
          <w:sz w:val="20"/>
          <w:szCs w:val="20"/>
        </w:rPr>
        <w:footnoteRef/>
      </w:r>
      <w:r w:rsidRPr="00687C21">
        <w:rPr>
          <w:color w:val="000000" w:themeColor="text1"/>
          <w:sz w:val="20"/>
          <w:szCs w:val="20"/>
        </w:rPr>
        <w:t xml:space="preserve"> Dix (n 57) 57. </w:t>
      </w:r>
    </w:p>
  </w:footnote>
  <w:footnote w:id="62">
    <w:p w14:paraId="02077992" w14:textId="6F8EEC95" w:rsidR="00BB5B8C" w:rsidRPr="00687C21" w:rsidRDefault="00BB5B8C" w:rsidP="00687C21">
      <w:pPr>
        <w:pStyle w:val="FootnoteText"/>
        <w:contextualSpacing/>
        <w:mirrorIndents/>
        <w:jc w:val="both"/>
        <w:rPr>
          <w:color w:val="000000" w:themeColor="text1"/>
          <w:sz w:val="20"/>
          <w:szCs w:val="20"/>
        </w:rPr>
      </w:pPr>
      <w:r w:rsidRPr="00687C21">
        <w:rPr>
          <w:rStyle w:val="FootnoteReference"/>
          <w:color w:val="000000" w:themeColor="text1"/>
          <w:sz w:val="20"/>
          <w:szCs w:val="20"/>
        </w:rPr>
        <w:footnoteRef/>
      </w:r>
      <w:r w:rsidRPr="00687C21">
        <w:rPr>
          <w:color w:val="000000" w:themeColor="text1"/>
          <w:sz w:val="20"/>
          <w:szCs w:val="20"/>
        </w:rPr>
        <w:t xml:space="preserve"> Louise Amoore, </w:t>
      </w:r>
      <w:r w:rsidRPr="00687C21">
        <w:rPr>
          <w:i/>
          <w:color w:val="000000" w:themeColor="text1"/>
          <w:sz w:val="20"/>
          <w:szCs w:val="20"/>
        </w:rPr>
        <w:t>The politics of possibility: risk and security beyond probability</w:t>
      </w:r>
      <w:r w:rsidRPr="00687C21">
        <w:rPr>
          <w:color w:val="000000" w:themeColor="text1"/>
          <w:sz w:val="20"/>
          <w:szCs w:val="20"/>
        </w:rPr>
        <w:t xml:space="preserve"> (Duke University Press 2013). </w:t>
      </w:r>
    </w:p>
  </w:footnote>
  <w:footnote w:id="63">
    <w:p w14:paraId="73CF8EFB" w14:textId="2CCA274A" w:rsidR="00BB5B8C" w:rsidRPr="00687C21" w:rsidRDefault="00BB5B8C" w:rsidP="00687C21">
      <w:pPr>
        <w:pStyle w:val="FootnoteText"/>
        <w:contextualSpacing/>
        <w:mirrorIndents/>
        <w:jc w:val="both"/>
        <w:rPr>
          <w:color w:val="000000" w:themeColor="text1"/>
          <w:sz w:val="20"/>
          <w:szCs w:val="20"/>
        </w:rPr>
      </w:pPr>
      <w:r w:rsidRPr="00687C21">
        <w:rPr>
          <w:rStyle w:val="FootnoteReference"/>
          <w:color w:val="000000" w:themeColor="text1"/>
          <w:sz w:val="20"/>
          <w:szCs w:val="20"/>
        </w:rPr>
        <w:footnoteRef/>
      </w:r>
      <w:r w:rsidRPr="00687C21">
        <w:rPr>
          <w:color w:val="000000" w:themeColor="text1"/>
          <w:sz w:val="20"/>
          <w:szCs w:val="20"/>
        </w:rPr>
        <w:t xml:space="preserve"> Klare (n 52).</w:t>
      </w:r>
    </w:p>
  </w:footnote>
  <w:footnote w:id="64">
    <w:p w14:paraId="7CAD352F" w14:textId="298D38CA" w:rsidR="00BB5B8C" w:rsidRPr="00687C21" w:rsidRDefault="00BB5B8C" w:rsidP="00687C21">
      <w:pPr>
        <w:pStyle w:val="FootnoteText"/>
        <w:contextualSpacing/>
        <w:mirrorIndents/>
        <w:jc w:val="both"/>
        <w:rPr>
          <w:color w:val="000000" w:themeColor="text1"/>
          <w:sz w:val="20"/>
          <w:szCs w:val="20"/>
        </w:rPr>
      </w:pPr>
      <w:r w:rsidRPr="00687C21">
        <w:rPr>
          <w:color w:val="000000" w:themeColor="text1"/>
          <w:sz w:val="20"/>
          <w:szCs w:val="20"/>
        </w:rPr>
        <w:footnoteRef/>
      </w:r>
      <w:r w:rsidRPr="00687C21">
        <w:rPr>
          <w:color w:val="000000" w:themeColor="text1"/>
          <w:sz w:val="20"/>
          <w:szCs w:val="20"/>
        </w:rPr>
        <w:t xml:space="preserve"> Algorithmic bias has many potential consequences. For instance, in the context of social media, it may lead to the so-called filter bubble. See, e.g., William H. Dutton et al., ‘Search and Politics: The Uses and Impacts of Search in Britain, France, Germany, Italy, Poland, Spain, and the United States’ (</w:t>
      </w:r>
      <w:r w:rsidRPr="00687C21">
        <w:rPr>
          <w:i/>
          <w:color w:val="000000" w:themeColor="text1"/>
          <w:sz w:val="20"/>
          <w:szCs w:val="20"/>
        </w:rPr>
        <w:t>Quello Center Working Paper No. 5-1-17</w:t>
      </w:r>
      <w:r w:rsidRPr="00687C21">
        <w:rPr>
          <w:color w:val="000000" w:themeColor="text1"/>
          <w:sz w:val="20"/>
          <w:szCs w:val="20"/>
        </w:rPr>
        <w:t>, 2017).</w:t>
      </w:r>
    </w:p>
  </w:footnote>
  <w:footnote w:id="65">
    <w:p w14:paraId="1BDE428A" w14:textId="705DDE92" w:rsidR="00BB5B8C" w:rsidRPr="00687C21" w:rsidRDefault="00BB5B8C" w:rsidP="00687C21">
      <w:pPr>
        <w:pStyle w:val="FootnoteText"/>
        <w:contextualSpacing/>
        <w:mirrorIndents/>
        <w:jc w:val="both"/>
        <w:rPr>
          <w:color w:val="000000" w:themeColor="text1"/>
          <w:sz w:val="20"/>
          <w:szCs w:val="20"/>
        </w:rPr>
      </w:pPr>
      <w:r w:rsidRPr="00687C21">
        <w:rPr>
          <w:rStyle w:val="FootnoteReference"/>
          <w:color w:val="000000" w:themeColor="text1"/>
          <w:sz w:val="20"/>
          <w:szCs w:val="20"/>
        </w:rPr>
        <w:footnoteRef/>
      </w:r>
      <w:r w:rsidRPr="00687C21">
        <w:rPr>
          <w:color w:val="000000" w:themeColor="text1"/>
          <w:sz w:val="20"/>
          <w:szCs w:val="20"/>
        </w:rPr>
        <w:t xml:space="preserve"> Seeta Peña Gangadharan et al., </w:t>
      </w:r>
      <w:r w:rsidRPr="00687C21">
        <w:rPr>
          <w:i/>
          <w:color w:val="000000" w:themeColor="text1"/>
          <w:sz w:val="20"/>
          <w:szCs w:val="20"/>
        </w:rPr>
        <w:t>Data and Discrimination: Collected Essays</w:t>
      </w:r>
      <w:r w:rsidRPr="00687C21">
        <w:rPr>
          <w:color w:val="000000" w:themeColor="text1"/>
          <w:sz w:val="20"/>
          <w:szCs w:val="20"/>
        </w:rPr>
        <w:t xml:space="preserve"> (Open Technology Institute 2014).</w:t>
      </w:r>
    </w:p>
  </w:footnote>
  <w:footnote w:id="66">
    <w:p w14:paraId="38AB625A" w14:textId="02EBE69D" w:rsidR="00BB5B8C" w:rsidRPr="00687C21" w:rsidRDefault="00BB5B8C" w:rsidP="00687C21">
      <w:pPr>
        <w:pStyle w:val="FootnoteText"/>
        <w:contextualSpacing/>
        <w:mirrorIndents/>
        <w:jc w:val="both"/>
        <w:rPr>
          <w:color w:val="000000" w:themeColor="text1"/>
          <w:sz w:val="20"/>
          <w:szCs w:val="20"/>
        </w:rPr>
      </w:pPr>
      <w:r w:rsidRPr="00687C21">
        <w:rPr>
          <w:rStyle w:val="FootnoteReference"/>
          <w:color w:val="000000" w:themeColor="text1"/>
          <w:sz w:val="20"/>
          <w:szCs w:val="20"/>
        </w:rPr>
        <w:footnoteRef/>
      </w:r>
      <w:r w:rsidRPr="00687C21">
        <w:rPr>
          <w:color w:val="000000" w:themeColor="text1"/>
          <w:sz w:val="20"/>
          <w:szCs w:val="20"/>
        </w:rPr>
        <w:t xml:space="preserve"> </w:t>
      </w:r>
      <w:r w:rsidRPr="00687C21">
        <w:rPr>
          <w:color w:val="000000" w:themeColor="text1"/>
          <w:sz w:val="20"/>
          <w:szCs w:val="20"/>
          <w:shd w:val="clear" w:color="auto" w:fill="FFFFFF"/>
        </w:rPr>
        <w:t>Barocas (n 12) 9.</w:t>
      </w:r>
    </w:p>
  </w:footnote>
  <w:footnote w:id="67">
    <w:p w14:paraId="156CBAB5" w14:textId="77777777" w:rsidR="00BB5B8C" w:rsidRPr="00687C21" w:rsidRDefault="00BB5B8C" w:rsidP="00687C21">
      <w:pPr>
        <w:pStyle w:val="FootnoteText"/>
        <w:contextualSpacing/>
        <w:mirrorIndents/>
        <w:jc w:val="both"/>
        <w:rPr>
          <w:color w:val="000000" w:themeColor="text1"/>
          <w:sz w:val="20"/>
          <w:szCs w:val="20"/>
        </w:rPr>
      </w:pPr>
      <w:r w:rsidRPr="00687C21">
        <w:rPr>
          <w:rStyle w:val="FootnoteReference"/>
          <w:color w:val="000000" w:themeColor="text1"/>
          <w:sz w:val="20"/>
          <w:szCs w:val="20"/>
        </w:rPr>
        <w:footnoteRef/>
      </w:r>
      <w:r w:rsidRPr="00687C21">
        <w:rPr>
          <w:color w:val="000000" w:themeColor="text1"/>
          <w:sz w:val="20"/>
          <w:szCs w:val="20"/>
        </w:rPr>
        <w:t xml:space="preserve"> GDPR, recital 71.</w:t>
      </w:r>
    </w:p>
  </w:footnote>
  <w:footnote w:id="68">
    <w:p w14:paraId="074364EF" w14:textId="2B3B210F" w:rsidR="00BB5B8C" w:rsidRPr="00687C21" w:rsidRDefault="00BB5B8C" w:rsidP="00687C21">
      <w:pPr>
        <w:pStyle w:val="FootnoteText"/>
        <w:contextualSpacing/>
        <w:mirrorIndents/>
        <w:jc w:val="both"/>
        <w:rPr>
          <w:color w:val="000000" w:themeColor="text1"/>
          <w:sz w:val="20"/>
          <w:szCs w:val="20"/>
        </w:rPr>
      </w:pPr>
      <w:r w:rsidRPr="00687C21">
        <w:rPr>
          <w:rStyle w:val="FootnoteReference"/>
          <w:color w:val="000000" w:themeColor="text1"/>
          <w:sz w:val="20"/>
          <w:szCs w:val="20"/>
        </w:rPr>
        <w:footnoteRef/>
      </w:r>
      <w:r w:rsidRPr="00687C21">
        <w:rPr>
          <w:color w:val="000000" w:themeColor="text1"/>
          <w:sz w:val="20"/>
          <w:szCs w:val="20"/>
        </w:rPr>
        <w:t xml:space="preserve"> ibid</w:t>
      </w:r>
    </w:p>
  </w:footnote>
  <w:footnote w:id="69">
    <w:p w14:paraId="3F83DAA0" w14:textId="7919F598" w:rsidR="00BB5B8C" w:rsidRPr="00687C21" w:rsidRDefault="00BB5B8C" w:rsidP="00687C21">
      <w:pPr>
        <w:pStyle w:val="FootnoteText"/>
        <w:contextualSpacing/>
        <w:mirrorIndents/>
        <w:jc w:val="both"/>
        <w:rPr>
          <w:color w:val="000000" w:themeColor="text1"/>
          <w:sz w:val="20"/>
          <w:szCs w:val="20"/>
        </w:rPr>
      </w:pPr>
      <w:r w:rsidRPr="00687C21">
        <w:rPr>
          <w:rStyle w:val="FootnoteReference"/>
          <w:color w:val="000000" w:themeColor="text1"/>
          <w:sz w:val="20"/>
          <w:szCs w:val="20"/>
        </w:rPr>
        <w:footnoteRef/>
      </w:r>
      <w:r w:rsidRPr="00687C21">
        <w:rPr>
          <w:color w:val="000000" w:themeColor="text1"/>
          <w:sz w:val="20"/>
          <w:szCs w:val="20"/>
        </w:rPr>
        <w:t xml:space="preserve"> Rakesh Agrawal and Ramakrishnan Srikant, ‘Privacy-Preserving Data Mining’ (2000) 29(2) </w:t>
      </w:r>
      <w:r w:rsidRPr="00687C21">
        <w:rPr>
          <w:iCs/>
          <w:color w:val="000000" w:themeColor="text1"/>
          <w:sz w:val="20"/>
          <w:szCs w:val="20"/>
        </w:rPr>
        <w:t>ACM SIGMOD Record</w:t>
      </w:r>
      <w:r w:rsidRPr="00687C21">
        <w:rPr>
          <w:color w:val="000000" w:themeColor="text1"/>
          <w:sz w:val="20"/>
          <w:szCs w:val="20"/>
        </w:rPr>
        <w:t xml:space="preserve"> 439 (2000).</w:t>
      </w:r>
    </w:p>
  </w:footnote>
  <w:footnote w:id="70">
    <w:p w14:paraId="4066EFA3" w14:textId="75EA9783" w:rsidR="00BB5B8C" w:rsidRPr="00687C21" w:rsidRDefault="00BB5B8C" w:rsidP="00687C21">
      <w:pPr>
        <w:autoSpaceDE w:val="0"/>
        <w:autoSpaceDN w:val="0"/>
        <w:adjustRightInd w:val="0"/>
        <w:contextualSpacing/>
        <w:mirrorIndents/>
        <w:jc w:val="both"/>
        <w:rPr>
          <w:color w:val="000000" w:themeColor="text1"/>
          <w:sz w:val="20"/>
          <w:szCs w:val="20"/>
        </w:rPr>
      </w:pPr>
      <w:r w:rsidRPr="00687C21">
        <w:rPr>
          <w:rStyle w:val="FootnoteReference"/>
          <w:color w:val="000000" w:themeColor="text1"/>
          <w:sz w:val="20"/>
          <w:szCs w:val="20"/>
        </w:rPr>
        <w:footnoteRef/>
      </w:r>
      <w:r w:rsidRPr="00687C21">
        <w:rPr>
          <w:color w:val="000000" w:themeColor="text1"/>
          <w:sz w:val="20"/>
          <w:szCs w:val="20"/>
        </w:rPr>
        <w:t xml:space="preserve"> Toon Calders et </w:t>
      </w:r>
      <w:r w:rsidRPr="00687C21">
        <w:rPr>
          <w:color w:val="000000" w:themeColor="text1"/>
          <w:sz w:val="20"/>
          <w:szCs w:val="20"/>
          <w:lang w:eastAsia="ko-KR"/>
        </w:rPr>
        <w:t xml:space="preserve">al., ‘Building Classifiers with Independency Constraints’ (2009) </w:t>
      </w:r>
      <w:r w:rsidRPr="00687C21">
        <w:rPr>
          <w:iCs/>
          <w:color w:val="000000" w:themeColor="text1"/>
          <w:sz w:val="20"/>
          <w:szCs w:val="20"/>
        </w:rPr>
        <w:t>IEEE ICDM Workshop on Domain Driven Data Mining 13</w:t>
      </w:r>
      <w:r w:rsidRPr="00687C21">
        <w:rPr>
          <w:color w:val="000000" w:themeColor="text1"/>
          <w:sz w:val="20"/>
          <w:szCs w:val="20"/>
          <w:lang w:eastAsia="ko-KR"/>
        </w:rPr>
        <w:t>. Therefore, for instance, sensitive attributes such as sex shall be included, but the program would be instructed to make</w:t>
      </w:r>
      <w:r w:rsidRPr="00687C21">
        <w:rPr>
          <w:color w:val="000000" w:themeColor="text1"/>
          <w:sz w:val="20"/>
          <w:szCs w:val="20"/>
        </w:rPr>
        <w:t xml:space="preserve"> predictions independently of the said attributes. This second approach seems preferable for accountability reasons.</w:t>
      </w:r>
    </w:p>
  </w:footnote>
  <w:footnote w:id="71">
    <w:p w14:paraId="21E8F5B5" w14:textId="65B75D97" w:rsidR="00BB5B8C" w:rsidRPr="00687C21" w:rsidRDefault="00BB5B8C" w:rsidP="00687C21">
      <w:pPr>
        <w:pStyle w:val="FootnoteText"/>
        <w:contextualSpacing/>
        <w:mirrorIndents/>
        <w:jc w:val="both"/>
        <w:rPr>
          <w:color w:val="000000" w:themeColor="text1"/>
          <w:sz w:val="20"/>
          <w:szCs w:val="20"/>
        </w:rPr>
      </w:pPr>
      <w:r w:rsidRPr="00687C21">
        <w:rPr>
          <w:rStyle w:val="FootnoteReference"/>
          <w:color w:val="000000" w:themeColor="text1"/>
          <w:sz w:val="20"/>
          <w:szCs w:val="20"/>
        </w:rPr>
        <w:footnoteRef/>
      </w:r>
      <w:r w:rsidRPr="00687C21">
        <w:rPr>
          <w:color w:val="000000" w:themeColor="text1"/>
          <w:sz w:val="20"/>
          <w:szCs w:val="20"/>
        </w:rPr>
        <w:t xml:space="preserve"> </w:t>
      </w:r>
      <w:r w:rsidRPr="00687C21">
        <w:rPr>
          <w:color w:val="000000" w:themeColor="text1"/>
          <w:sz w:val="20"/>
          <w:szCs w:val="20"/>
          <w:shd w:val="clear" w:color="auto" w:fill="FFFFFF"/>
        </w:rPr>
        <w:t>Barocas (n 12) 9 accept that “</w:t>
      </w:r>
      <w:r w:rsidRPr="00687C21">
        <w:rPr>
          <w:color w:val="000000" w:themeColor="text1"/>
          <w:sz w:val="20"/>
          <w:szCs w:val="20"/>
        </w:rPr>
        <w:t>algorithms may involve rules of such complexity that they defy attempts to trace their reasoning”.</w:t>
      </w:r>
    </w:p>
  </w:footnote>
  <w:footnote w:id="72">
    <w:p w14:paraId="0126E086" w14:textId="165F5A9A" w:rsidR="00BB5B8C" w:rsidRPr="00687C21" w:rsidRDefault="00BB5B8C" w:rsidP="00687C21">
      <w:pPr>
        <w:pStyle w:val="Heading1"/>
        <w:shd w:val="clear" w:color="auto" w:fill="FFFFFF"/>
        <w:spacing w:before="0"/>
        <w:ind w:right="150"/>
        <w:contextualSpacing/>
        <w:mirrorIndents/>
        <w:jc w:val="both"/>
        <w:rPr>
          <w:rFonts w:ascii="Times New Roman" w:eastAsiaTheme="minorEastAsia" w:hAnsi="Times New Roman" w:cs="Times New Roman"/>
          <w:color w:val="000000" w:themeColor="text1"/>
          <w:sz w:val="20"/>
          <w:szCs w:val="20"/>
          <w:lang w:eastAsia="ko-KR"/>
        </w:rPr>
      </w:pPr>
      <w:r w:rsidRPr="00687C21">
        <w:rPr>
          <w:rStyle w:val="FootnoteReference"/>
          <w:rFonts w:ascii="Times New Roman" w:hAnsi="Times New Roman" w:cs="Times New Roman"/>
          <w:color w:val="000000" w:themeColor="text1"/>
          <w:sz w:val="20"/>
          <w:szCs w:val="20"/>
        </w:rPr>
        <w:footnoteRef/>
      </w:r>
      <w:r w:rsidRPr="00687C21">
        <w:rPr>
          <w:rFonts w:ascii="Times New Roman" w:hAnsi="Times New Roman" w:cs="Times New Roman"/>
          <w:color w:val="000000" w:themeColor="text1"/>
          <w:sz w:val="20"/>
          <w:szCs w:val="20"/>
        </w:rPr>
        <w:t xml:space="preserve"> Innocent </w:t>
      </w:r>
      <w:r w:rsidRPr="00687C21">
        <w:rPr>
          <w:rFonts w:ascii="Times New Roman" w:eastAsiaTheme="minorEastAsia" w:hAnsi="Times New Roman" w:cs="Times New Roman"/>
          <w:color w:val="000000" w:themeColor="text1"/>
          <w:sz w:val="20"/>
          <w:szCs w:val="20"/>
          <w:lang w:eastAsia="ko-KR"/>
        </w:rPr>
        <w:t>Kamwa et al., ‘On the accuracy versus transparency trade-off of data-mining models for fast-response PMU-based catastrophe predictors’ (2012) 3(1) IEEE Transactions on smart grid 152.</w:t>
      </w:r>
    </w:p>
  </w:footnote>
  <w:footnote w:id="73">
    <w:p w14:paraId="4B8017E5" w14:textId="0802BA9E" w:rsidR="00BB5B8C" w:rsidRPr="00687C21" w:rsidRDefault="00BB5B8C" w:rsidP="00687C21">
      <w:pPr>
        <w:pStyle w:val="FootnoteText"/>
        <w:contextualSpacing/>
        <w:mirrorIndents/>
        <w:jc w:val="both"/>
        <w:rPr>
          <w:color w:val="000000" w:themeColor="text1"/>
          <w:sz w:val="20"/>
          <w:szCs w:val="20"/>
        </w:rPr>
      </w:pPr>
      <w:r w:rsidRPr="00687C21">
        <w:rPr>
          <w:rStyle w:val="FootnoteReference"/>
          <w:color w:val="000000" w:themeColor="text1"/>
          <w:sz w:val="20"/>
          <w:szCs w:val="20"/>
        </w:rPr>
        <w:footnoteRef/>
      </w:r>
      <w:r w:rsidRPr="00687C21">
        <w:rPr>
          <w:color w:val="000000" w:themeColor="text1"/>
          <w:sz w:val="20"/>
          <w:szCs w:val="20"/>
        </w:rPr>
        <w:t xml:space="preserve"> </w:t>
      </w:r>
      <w:r w:rsidRPr="00687C21">
        <w:rPr>
          <w:color w:val="000000" w:themeColor="text1"/>
          <w:sz w:val="20"/>
          <w:szCs w:val="20"/>
          <w:shd w:val="clear" w:color="auto" w:fill="FFFFFF"/>
        </w:rPr>
        <w:t>ibid 152. They conclude that “</w:t>
      </w:r>
      <w:r w:rsidRPr="00687C21">
        <w:rPr>
          <w:color w:val="000000" w:themeColor="text1"/>
          <w:sz w:val="20"/>
          <w:szCs w:val="20"/>
        </w:rPr>
        <w:t>for catastrophe anticipation purposes, we would favor fuzzy logic-based transparent solutions over black box solutions for implementation ease and robustness, as well as for their suitability in the auditing process, even while sacrificing some predictive accuracy” (ibid 160).</w:t>
      </w:r>
    </w:p>
  </w:footnote>
  <w:footnote w:id="74">
    <w:p w14:paraId="0C219445" w14:textId="5D6D0443" w:rsidR="00BB5B8C" w:rsidRPr="00687C21" w:rsidRDefault="00BB5B8C" w:rsidP="00687C21">
      <w:pPr>
        <w:pStyle w:val="FootnoteText"/>
        <w:contextualSpacing/>
        <w:mirrorIndents/>
        <w:jc w:val="both"/>
        <w:rPr>
          <w:color w:val="000000" w:themeColor="text1"/>
          <w:sz w:val="20"/>
          <w:szCs w:val="20"/>
        </w:rPr>
      </w:pPr>
      <w:r w:rsidRPr="00687C21">
        <w:rPr>
          <w:rStyle w:val="FootnoteReference"/>
          <w:color w:val="000000" w:themeColor="text1"/>
          <w:sz w:val="20"/>
          <w:szCs w:val="20"/>
        </w:rPr>
        <w:footnoteRef/>
      </w:r>
      <w:r w:rsidRPr="00687C21">
        <w:rPr>
          <w:color w:val="000000" w:themeColor="text1"/>
          <w:sz w:val="20"/>
          <w:szCs w:val="20"/>
        </w:rPr>
        <w:t xml:space="preserve"> Kroll (n 13) 633</w:t>
      </w:r>
      <w:r w:rsidRPr="00687C21">
        <w:rPr>
          <w:color w:val="000000" w:themeColor="text1"/>
          <w:sz w:val="20"/>
          <w:szCs w:val="20"/>
          <w:shd w:val="clear" w:color="auto" w:fill="FFFFFF"/>
        </w:rPr>
        <w:t>.</w:t>
      </w:r>
    </w:p>
  </w:footnote>
  <w:footnote w:id="75">
    <w:p w14:paraId="40BC30BA" w14:textId="2840A936" w:rsidR="00BB5B8C" w:rsidRPr="00687C21" w:rsidRDefault="00BB5B8C" w:rsidP="00687C21">
      <w:pPr>
        <w:pStyle w:val="FootnoteText"/>
        <w:jc w:val="both"/>
        <w:rPr>
          <w:color w:val="000000" w:themeColor="text1"/>
          <w:sz w:val="20"/>
          <w:szCs w:val="20"/>
        </w:rPr>
      </w:pPr>
      <w:r w:rsidRPr="00687C21">
        <w:rPr>
          <w:rStyle w:val="FootnoteCharacters"/>
          <w:color w:val="000000" w:themeColor="text1"/>
          <w:sz w:val="20"/>
          <w:szCs w:val="20"/>
        </w:rPr>
        <w:footnoteRef/>
      </w:r>
      <w:r w:rsidRPr="00687C21">
        <w:rPr>
          <w:color w:val="000000" w:themeColor="text1"/>
          <w:sz w:val="20"/>
          <w:szCs w:val="20"/>
        </w:rPr>
        <w:t>Perel &amp; Elkin-Koren (n 38) 181.</w:t>
      </w:r>
      <w:r w:rsidRPr="00687C21">
        <w:rPr>
          <w:rStyle w:val="apple-converted-space"/>
          <w:color w:val="000000" w:themeColor="text1"/>
          <w:sz w:val="20"/>
          <w:szCs w:val="20"/>
        </w:rPr>
        <w:t xml:space="preserve"> </w:t>
      </w:r>
    </w:p>
  </w:footnote>
  <w:footnote w:id="76">
    <w:p w14:paraId="0EA61C86" w14:textId="1B7D4C56" w:rsidR="00BB5B8C" w:rsidRPr="00687C21" w:rsidRDefault="00BB5B8C" w:rsidP="008620E4">
      <w:pPr>
        <w:pStyle w:val="FootnoteText"/>
        <w:contextualSpacing/>
        <w:mirrorIndents/>
        <w:jc w:val="both"/>
        <w:rPr>
          <w:bCs/>
          <w:color w:val="000000" w:themeColor="text1"/>
          <w:spacing w:val="-8"/>
          <w:sz w:val="20"/>
          <w:szCs w:val="20"/>
        </w:rPr>
      </w:pPr>
      <w:r w:rsidRPr="00687C21">
        <w:rPr>
          <w:rStyle w:val="FootnoteReference"/>
          <w:color w:val="000000" w:themeColor="text1"/>
          <w:sz w:val="20"/>
          <w:szCs w:val="20"/>
        </w:rPr>
        <w:footnoteRef/>
      </w:r>
      <w:r w:rsidRPr="00687C21">
        <w:rPr>
          <w:color w:val="000000" w:themeColor="text1"/>
          <w:sz w:val="20"/>
          <w:szCs w:val="20"/>
        </w:rPr>
        <w:t xml:space="preserve"> The scenario, imagined by Andrea Vedaldi (University of Oxford) is referred to by Davide Castelvecchi, ‘Can we open the black box of AI?’ (</w:t>
      </w:r>
      <w:r w:rsidRPr="00687C21">
        <w:rPr>
          <w:i/>
          <w:color w:val="000000" w:themeColor="text1"/>
          <w:sz w:val="20"/>
          <w:szCs w:val="20"/>
        </w:rPr>
        <w:t>Nature</w:t>
      </w:r>
      <w:r w:rsidRPr="00687C21">
        <w:rPr>
          <w:color w:val="000000" w:themeColor="text1"/>
          <w:sz w:val="20"/>
          <w:szCs w:val="20"/>
        </w:rPr>
        <w:t>, 15 October 2016) &lt;</w:t>
      </w:r>
      <w:hyperlink r:id="rId10" w:history="1">
        <w:r w:rsidRPr="00687C21">
          <w:rPr>
            <w:color w:val="000000" w:themeColor="text1"/>
            <w:sz w:val="20"/>
            <w:szCs w:val="20"/>
          </w:rPr>
          <w:t>http://www.nature.com/news/can-we-open-the-black-box-of-ai-1.20731</w:t>
        </w:r>
      </w:hyperlink>
      <w:r w:rsidRPr="00687C21">
        <w:rPr>
          <w:color w:val="000000" w:themeColor="text1"/>
          <w:sz w:val="20"/>
          <w:szCs w:val="20"/>
        </w:rPr>
        <w:t>&gt; accessed 1 March 2018.</w:t>
      </w:r>
      <w:r w:rsidRPr="00687C21">
        <w:rPr>
          <w:bCs/>
          <w:color w:val="000000" w:themeColor="text1"/>
          <w:spacing w:val="-8"/>
          <w:sz w:val="20"/>
          <w:szCs w:val="20"/>
        </w:rPr>
        <w:t xml:space="preserve"> </w:t>
      </w:r>
      <w:r w:rsidRPr="00687C21">
        <w:rPr>
          <w:bCs/>
          <w:i/>
          <w:color w:val="000000" w:themeColor="text1"/>
          <w:spacing w:val="-8"/>
          <w:sz w:val="20"/>
          <w:szCs w:val="20"/>
        </w:rPr>
        <w:t>cf</w:t>
      </w:r>
      <w:r w:rsidRPr="00687C21">
        <w:rPr>
          <w:bCs/>
          <w:color w:val="000000" w:themeColor="text1"/>
          <w:spacing w:val="-8"/>
          <w:sz w:val="20"/>
          <w:szCs w:val="20"/>
        </w:rPr>
        <w:t xml:space="preserve"> </w:t>
      </w:r>
      <w:r w:rsidRPr="00687C21">
        <w:rPr>
          <w:color w:val="000000" w:themeColor="text1"/>
          <w:sz w:val="20"/>
          <w:szCs w:val="20"/>
        </w:rPr>
        <w:t xml:space="preserve">Krzysztof J Geras, Stacey Wolfson, Yiqiu Shen, S. Gene Kim, Linda Moy, and Kyunghyun Cho, ‘High-Resolution Breast Cancer Screening with Multi-View Deep Convolutional Neural Networks’ (2017) </w:t>
      </w:r>
      <w:hyperlink r:id="rId11" w:history="1">
        <w:r w:rsidRPr="00687C21">
          <w:rPr>
            <w:color w:val="000000" w:themeColor="text1"/>
            <w:sz w:val="20"/>
            <w:szCs w:val="20"/>
          </w:rPr>
          <w:t>arXiv:1703.07047</w:t>
        </w:r>
      </w:hyperlink>
      <w:r w:rsidRPr="00687C21">
        <w:rPr>
          <w:color w:val="000000" w:themeColor="text1"/>
          <w:sz w:val="20"/>
          <w:szCs w:val="20"/>
        </w:rPr>
        <w:t> [cs.CV].</w:t>
      </w:r>
    </w:p>
  </w:footnote>
  <w:footnote w:id="77">
    <w:p w14:paraId="4CC10E7A" w14:textId="0ACA5619" w:rsidR="00BB5B8C" w:rsidRPr="00687C21" w:rsidRDefault="00BB5B8C" w:rsidP="00687C21">
      <w:pPr>
        <w:pStyle w:val="FootnoteText"/>
        <w:contextualSpacing/>
        <w:mirrorIndents/>
        <w:jc w:val="both"/>
        <w:rPr>
          <w:color w:val="000000" w:themeColor="text1"/>
          <w:sz w:val="20"/>
          <w:szCs w:val="20"/>
        </w:rPr>
      </w:pPr>
      <w:r w:rsidRPr="00687C21">
        <w:rPr>
          <w:rStyle w:val="FootnoteReference"/>
          <w:color w:val="000000" w:themeColor="text1"/>
          <w:sz w:val="20"/>
          <w:szCs w:val="20"/>
        </w:rPr>
        <w:footnoteRef/>
      </w:r>
      <w:r w:rsidRPr="00687C21">
        <w:rPr>
          <w:color w:val="000000" w:themeColor="text1"/>
          <w:sz w:val="20"/>
          <w:szCs w:val="20"/>
          <w:lang w:val="it-IT"/>
        </w:rPr>
        <w:t xml:space="preserve"> </w:t>
      </w:r>
      <w:r w:rsidRPr="00687C21">
        <w:rPr>
          <w:color w:val="000000" w:themeColor="text1"/>
          <w:sz w:val="20"/>
          <w:szCs w:val="20"/>
        </w:rPr>
        <w:t>Dimitra Kamarinou et al., ‘Machine Learning with Personal Data’ (</w:t>
      </w:r>
      <w:r w:rsidRPr="00687C21">
        <w:rPr>
          <w:i/>
          <w:color w:val="000000" w:themeColor="text1"/>
          <w:sz w:val="20"/>
          <w:szCs w:val="20"/>
        </w:rPr>
        <w:t>Queen Mary School of Law Legal Studies Research Paper No. 247</w:t>
      </w:r>
      <w:r w:rsidRPr="00687C21">
        <w:rPr>
          <w:color w:val="000000" w:themeColor="text1"/>
          <w:sz w:val="20"/>
          <w:szCs w:val="20"/>
        </w:rPr>
        <w:t>, 2016) 22. Christopher Kuner et al., ‘Machine learning with personal data: is data protection law smart enough to meet the challenge?’ (2017) 7(1) International Data Privacy Law 1, observe that “[m]achine learning is data driven, typically involving both existing data sets and live data streams in complex training and deployment workflow [therefore it] may be difficult to reconcile such dynamic processes with purposes that are specified narrowly in advance</w:t>
      </w:r>
      <w:r w:rsidR="008620E4">
        <w:rPr>
          <w:color w:val="000000" w:themeColor="text1"/>
          <w:sz w:val="20"/>
          <w:szCs w:val="20"/>
        </w:rPr>
        <w:t>.”</w:t>
      </w:r>
    </w:p>
  </w:footnote>
  <w:footnote w:id="78">
    <w:p w14:paraId="25552A86" w14:textId="77777777" w:rsidR="00BB5B8C" w:rsidRPr="00687C21" w:rsidRDefault="00BB5B8C" w:rsidP="00687C21">
      <w:pPr>
        <w:pStyle w:val="FootnoteText"/>
        <w:jc w:val="both"/>
        <w:rPr>
          <w:color w:val="000000" w:themeColor="text1"/>
          <w:sz w:val="20"/>
          <w:szCs w:val="20"/>
        </w:rPr>
      </w:pPr>
      <w:r w:rsidRPr="00687C21">
        <w:rPr>
          <w:rStyle w:val="FootnoteReference"/>
          <w:color w:val="000000" w:themeColor="text1"/>
          <w:sz w:val="20"/>
          <w:szCs w:val="20"/>
        </w:rPr>
        <w:footnoteRef/>
      </w:r>
      <w:r w:rsidRPr="00687C21">
        <w:rPr>
          <w:color w:val="000000" w:themeColor="text1"/>
          <w:sz w:val="20"/>
          <w:szCs w:val="20"/>
        </w:rPr>
        <w:t xml:space="preserve"> Kroll (n 13) 633.</w:t>
      </w:r>
    </w:p>
  </w:footnote>
  <w:footnote w:id="79">
    <w:p w14:paraId="2A584F38" w14:textId="4CA5A7B9" w:rsidR="00BB5B8C" w:rsidRPr="00687C21" w:rsidRDefault="00BB5B8C" w:rsidP="00687C21">
      <w:pPr>
        <w:pStyle w:val="FootnoteText"/>
        <w:jc w:val="both"/>
        <w:rPr>
          <w:color w:val="000000" w:themeColor="text1"/>
          <w:sz w:val="20"/>
          <w:szCs w:val="20"/>
        </w:rPr>
      </w:pPr>
      <w:r w:rsidRPr="00687C21">
        <w:rPr>
          <w:rStyle w:val="FootnoteReference"/>
          <w:color w:val="000000" w:themeColor="text1"/>
          <w:sz w:val="20"/>
          <w:szCs w:val="20"/>
        </w:rPr>
        <w:footnoteRef/>
      </w:r>
      <w:r w:rsidRPr="00687C21">
        <w:rPr>
          <w:color w:val="000000" w:themeColor="text1"/>
          <w:sz w:val="20"/>
          <w:szCs w:val="20"/>
        </w:rPr>
        <w:t xml:space="preserve"> See Solomon E </w:t>
      </w:r>
      <w:r w:rsidRPr="00687C21">
        <w:rPr>
          <w:rFonts w:eastAsiaTheme="minorHAnsi"/>
          <w:color w:val="000000" w:themeColor="text1"/>
          <w:sz w:val="20"/>
          <w:szCs w:val="20"/>
          <w:lang w:eastAsia="en-US"/>
        </w:rPr>
        <w:t>Asch, ‘Effects of group pressure upon the modification and distortion of judgment’, in H Guetzkow (ed), </w:t>
      </w:r>
      <w:r w:rsidRPr="00687C21">
        <w:rPr>
          <w:rFonts w:eastAsiaTheme="minorHAnsi"/>
          <w:i/>
          <w:color w:val="000000" w:themeColor="text1"/>
          <w:sz w:val="20"/>
          <w:szCs w:val="20"/>
          <w:lang w:eastAsia="en-US"/>
        </w:rPr>
        <w:t>Groups, leadership and men</w:t>
      </w:r>
      <w:r w:rsidRPr="00687C21">
        <w:rPr>
          <w:rFonts w:eastAsiaTheme="minorHAnsi"/>
          <w:color w:val="000000" w:themeColor="text1"/>
          <w:sz w:val="20"/>
          <w:szCs w:val="20"/>
          <w:lang w:eastAsia="en-US"/>
        </w:rPr>
        <w:t xml:space="preserve"> (Carnegie Press 1951)</w:t>
      </w:r>
      <w:r w:rsidRPr="00687C21">
        <w:rPr>
          <w:color w:val="000000" w:themeColor="text1"/>
          <w:sz w:val="20"/>
          <w:szCs w:val="20"/>
        </w:rPr>
        <w:t xml:space="preserve"> 222</w:t>
      </w:r>
      <w:r w:rsidRPr="00687C21">
        <w:rPr>
          <w:rFonts w:eastAsiaTheme="majorEastAsia"/>
          <w:color w:val="000000" w:themeColor="text1"/>
          <w:sz w:val="20"/>
          <w:szCs w:val="20"/>
          <w:lang w:eastAsia="en-US"/>
        </w:rPr>
        <w:t>.</w:t>
      </w:r>
    </w:p>
  </w:footnote>
  <w:footnote w:id="80">
    <w:p w14:paraId="114251A1" w14:textId="2D4DF7B6" w:rsidR="00BB5B8C" w:rsidRPr="00687C21" w:rsidRDefault="00BB5B8C" w:rsidP="00687C21">
      <w:pPr>
        <w:pStyle w:val="FootnoteText"/>
        <w:jc w:val="both"/>
        <w:rPr>
          <w:color w:val="000000" w:themeColor="text1"/>
          <w:sz w:val="20"/>
          <w:szCs w:val="20"/>
        </w:rPr>
      </w:pPr>
      <w:r w:rsidRPr="00687C21">
        <w:rPr>
          <w:rStyle w:val="FootnoteReference"/>
          <w:color w:val="000000" w:themeColor="text1"/>
          <w:sz w:val="20"/>
          <w:szCs w:val="20"/>
        </w:rPr>
        <w:footnoteRef/>
      </w:r>
      <w:r w:rsidRPr="00687C21">
        <w:rPr>
          <w:color w:val="000000" w:themeColor="text1"/>
          <w:sz w:val="20"/>
          <w:szCs w:val="20"/>
        </w:rPr>
        <w:t xml:space="preserve"> However, there is a significant debate about artificial consciousness, whose functions have been described as including awareness of self, will, instinct, and emotion</w:t>
      </w:r>
      <w:r w:rsidRPr="00687C21">
        <w:rPr>
          <w:color w:val="000000" w:themeColor="text1"/>
          <w:sz w:val="20"/>
          <w:szCs w:val="20"/>
          <w:shd w:val="clear" w:color="auto" w:fill="FFFFFF"/>
        </w:rPr>
        <w:t xml:space="preserve"> (Igor </w:t>
      </w:r>
      <w:r w:rsidRPr="00687C21">
        <w:rPr>
          <w:color w:val="000000" w:themeColor="text1"/>
          <w:sz w:val="20"/>
          <w:szCs w:val="20"/>
        </w:rPr>
        <w:t xml:space="preserve">Aleksander, ‘Machine consciousness’ (2008) 3(2) </w:t>
      </w:r>
      <w:r w:rsidRPr="00687C21">
        <w:rPr>
          <w:iCs/>
          <w:color w:val="000000" w:themeColor="text1"/>
          <w:sz w:val="20"/>
          <w:szCs w:val="20"/>
        </w:rPr>
        <w:t>Scholarpedia</w:t>
      </w:r>
      <w:r w:rsidRPr="00687C21">
        <w:rPr>
          <w:color w:val="000000" w:themeColor="text1"/>
          <w:sz w:val="20"/>
          <w:szCs w:val="20"/>
        </w:rPr>
        <w:t xml:space="preserve"> 4162</w:t>
      </w:r>
      <w:r w:rsidRPr="00687C21">
        <w:rPr>
          <w:color w:val="000000" w:themeColor="text1"/>
          <w:sz w:val="20"/>
          <w:szCs w:val="20"/>
          <w:shd w:val="clear" w:color="auto" w:fill="FFFFFF"/>
        </w:rPr>
        <w:t>). It seems that the prevalent position in the literature is against the existence of a proper artificial consciousness.</w:t>
      </w:r>
    </w:p>
  </w:footnote>
  <w:footnote w:id="81">
    <w:p w14:paraId="455E5999" w14:textId="77777777" w:rsidR="00BB5B8C" w:rsidRPr="00687C21" w:rsidRDefault="00BB5B8C" w:rsidP="00687C21">
      <w:pPr>
        <w:pStyle w:val="FootnoteText"/>
        <w:jc w:val="both"/>
        <w:rPr>
          <w:color w:val="000000" w:themeColor="text1"/>
          <w:sz w:val="20"/>
          <w:szCs w:val="20"/>
        </w:rPr>
      </w:pPr>
      <w:r w:rsidRPr="00687C21">
        <w:rPr>
          <w:rStyle w:val="FootnoteReference"/>
          <w:color w:val="000000" w:themeColor="text1"/>
          <w:sz w:val="20"/>
          <w:szCs w:val="20"/>
        </w:rPr>
        <w:footnoteRef/>
      </w:r>
      <w:r w:rsidRPr="00687C21">
        <w:rPr>
          <w:color w:val="000000" w:themeColor="text1"/>
          <w:sz w:val="20"/>
          <w:szCs w:val="20"/>
        </w:rPr>
        <w:t xml:space="preserve"> </w:t>
      </w:r>
      <w:r w:rsidRPr="00687C21">
        <w:rPr>
          <w:rFonts w:eastAsiaTheme="minorHAnsi"/>
          <w:i/>
          <w:color w:val="000000" w:themeColor="text1"/>
          <w:sz w:val="20"/>
          <w:szCs w:val="20"/>
          <w:lang w:eastAsia="en-US"/>
        </w:rPr>
        <w:t>cf</w:t>
      </w:r>
      <w:r w:rsidRPr="00687C21">
        <w:rPr>
          <w:rFonts w:eastAsiaTheme="minorHAnsi"/>
          <w:color w:val="000000" w:themeColor="text1"/>
          <w:sz w:val="20"/>
          <w:szCs w:val="20"/>
          <w:lang w:eastAsia="en-US"/>
        </w:rPr>
        <w:t xml:space="preserve"> Antonio Pagliaro, ‘Sanzione. Sanzione penale’ [1992] 28 Enciclopedia giuridica 3; David R Carp, ‘The Judicial and Judicious Use of Shame Penalties’ (1998) 44(2) Crime &amp; Delinquency 277.</w:t>
      </w:r>
    </w:p>
  </w:footnote>
  <w:footnote w:id="82">
    <w:p w14:paraId="5A8A0713" w14:textId="09094D1E" w:rsidR="00BB5B8C" w:rsidRPr="00687C21" w:rsidRDefault="00BB5B8C" w:rsidP="00687C21">
      <w:pPr>
        <w:pStyle w:val="FootnoteText"/>
        <w:jc w:val="both"/>
        <w:rPr>
          <w:color w:val="000000" w:themeColor="text1"/>
          <w:sz w:val="20"/>
          <w:szCs w:val="20"/>
        </w:rPr>
      </w:pPr>
      <w:r w:rsidRPr="00687C21">
        <w:rPr>
          <w:rStyle w:val="FootnoteReference"/>
          <w:color w:val="000000" w:themeColor="text1"/>
          <w:sz w:val="20"/>
          <w:szCs w:val="20"/>
        </w:rPr>
        <w:footnoteRef/>
      </w:r>
      <w:r w:rsidRPr="00687C21">
        <w:rPr>
          <w:color w:val="000000" w:themeColor="text1"/>
          <w:sz w:val="20"/>
          <w:szCs w:val="20"/>
        </w:rPr>
        <w:t xml:space="preserve"> Jon Elster (ed), </w:t>
      </w:r>
      <w:r w:rsidRPr="00687C21">
        <w:rPr>
          <w:i/>
          <w:color w:val="000000" w:themeColor="text1"/>
          <w:sz w:val="20"/>
          <w:szCs w:val="20"/>
        </w:rPr>
        <w:t>Deliberative Democracy</w:t>
      </w:r>
      <w:r w:rsidRPr="00687C21">
        <w:rPr>
          <w:color w:val="000000" w:themeColor="text1"/>
          <w:sz w:val="20"/>
          <w:szCs w:val="20"/>
        </w:rPr>
        <w:t xml:space="preserve"> (Cambridge University Press 1998)</w:t>
      </w:r>
      <w:r w:rsidRPr="00687C21">
        <w:rPr>
          <w:rFonts w:eastAsiaTheme="majorEastAsia"/>
          <w:color w:val="000000" w:themeColor="text1"/>
          <w:sz w:val="20"/>
          <w:szCs w:val="20"/>
          <w:lang w:eastAsia="en-US"/>
        </w:rPr>
        <w:t>.</w:t>
      </w:r>
    </w:p>
  </w:footnote>
  <w:footnote w:id="83">
    <w:p w14:paraId="550652CE" w14:textId="2C56FA0A" w:rsidR="00BB5B8C" w:rsidRPr="00687C21" w:rsidRDefault="00BB5B8C" w:rsidP="00687C21">
      <w:pPr>
        <w:pStyle w:val="FootnoteText"/>
        <w:jc w:val="both"/>
        <w:rPr>
          <w:color w:val="000000" w:themeColor="text1"/>
          <w:sz w:val="20"/>
          <w:szCs w:val="20"/>
        </w:rPr>
      </w:pPr>
      <w:r w:rsidRPr="00687C21">
        <w:rPr>
          <w:rStyle w:val="FootnoteReference"/>
          <w:color w:val="000000" w:themeColor="text1"/>
          <w:sz w:val="20"/>
          <w:szCs w:val="20"/>
        </w:rPr>
        <w:footnoteRef/>
      </w:r>
      <w:r w:rsidRPr="00687C21">
        <w:rPr>
          <w:color w:val="000000" w:themeColor="text1"/>
          <w:sz w:val="20"/>
          <w:szCs w:val="20"/>
        </w:rPr>
        <w:t xml:space="preserve"> </w:t>
      </w:r>
      <w:r w:rsidRPr="00687C21">
        <w:rPr>
          <w:rFonts w:eastAsiaTheme="majorEastAsia"/>
          <w:color w:val="000000" w:themeColor="text1"/>
          <w:sz w:val="20"/>
          <w:szCs w:val="20"/>
          <w:lang w:eastAsia="en-US"/>
        </w:rPr>
        <w:t>ibid 111.</w:t>
      </w:r>
    </w:p>
  </w:footnote>
  <w:footnote w:id="84">
    <w:p w14:paraId="182FC593" w14:textId="09367CE6" w:rsidR="00BB5B8C" w:rsidRPr="00687C21" w:rsidRDefault="00BB5B8C" w:rsidP="00687C21">
      <w:pPr>
        <w:pStyle w:val="FootnoteText"/>
        <w:jc w:val="both"/>
        <w:rPr>
          <w:color w:val="000000" w:themeColor="text1"/>
          <w:sz w:val="20"/>
          <w:szCs w:val="20"/>
        </w:rPr>
      </w:pPr>
      <w:r w:rsidRPr="00687C21">
        <w:rPr>
          <w:rStyle w:val="FootnoteReference"/>
          <w:color w:val="000000" w:themeColor="text1"/>
          <w:sz w:val="20"/>
          <w:szCs w:val="20"/>
        </w:rPr>
        <w:footnoteRef/>
      </w:r>
      <w:r w:rsidRPr="00687C21">
        <w:rPr>
          <w:color w:val="000000" w:themeColor="text1"/>
          <w:sz w:val="20"/>
          <w:szCs w:val="20"/>
        </w:rPr>
        <w:t xml:space="preserve"> When asked about this argument during the conferences cited in the acknowledgments, the audience mentioned also other negative repercussions. The most relevant one seems the lack of legal innovation deriving from a single approach to decision-making.</w:t>
      </w:r>
    </w:p>
  </w:footnote>
  <w:footnote w:id="85">
    <w:p w14:paraId="63B74E4E" w14:textId="790FDA1D" w:rsidR="00BB5B8C" w:rsidRPr="00687C21" w:rsidRDefault="00BB5B8C" w:rsidP="00687C21">
      <w:pPr>
        <w:pStyle w:val="FootnoteText"/>
        <w:jc w:val="both"/>
        <w:rPr>
          <w:color w:val="000000" w:themeColor="text1"/>
          <w:sz w:val="20"/>
          <w:szCs w:val="20"/>
        </w:rPr>
      </w:pPr>
      <w:r w:rsidRPr="00687C21">
        <w:rPr>
          <w:rStyle w:val="FootnoteReference"/>
          <w:color w:val="000000" w:themeColor="text1"/>
          <w:sz w:val="20"/>
          <w:szCs w:val="20"/>
        </w:rPr>
        <w:footnoteRef/>
      </w:r>
      <w:r w:rsidRPr="00687C21">
        <w:rPr>
          <w:color w:val="000000" w:themeColor="text1"/>
          <w:sz w:val="20"/>
          <w:szCs w:val="20"/>
        </w:rPr>
        <w:t xml:space="preserve"> As to the last question, it is submitted that if one eliminates ideologies in the attempt of eliminating bias, the output would be a useless algorithm, incapable of deciding. Indeed, ideologies guide human judges in deciding, for instance, whether intellectual property rights should prevail over access to knowledge, whether the reasons of privacy should take precedence over those of free speech, etc.</w:t>
      </w:r>
    </w:p>
  </w:footnote>
  <w:footnote w:id="86">
    <w:p w14:paraId="455DBA5F" w14:textId="71302F52" w:rsidR="00BB5B8C" w:rsidRPr="00687C21" w:rsidRDefault="00BB5B8C" w:rsidP="00687C21">
      <w:pPr>
        <w:pStyle w:val="FootnoteText"/>
        <w:jc w:val="both"/>
        <w:rPr>
          <w:color w:val="000000" w:themeColor="text1"/>
          <w:sz w:val="20"/>
          <w:szCs w:val="20"/>
          <w:lang w:val="it-IT"/>
        </w:rPr>
      </w:pPr>
      <w:r w:rsidRPr="00687C21">
        <w:rPr>
          <w:rStyle w:val="FootnoteReference"/>
          <w:color w:val="000000" w:themeColor="text1"/>
          <w:sz w:val="20"/>
          <w:szCs w:val="20"/>
        </w:rPr>
        <w:footnoteRef/>
      </w:r>
      <w:r w:rsidRPr="00687C21">
        <w:rPr>
          <w:color w:val="000000" w:themeColor="text1"/>
          <w:sz w:val="20"/>
          <w:szCs w:val="20"/>
        </w:rPr>
        <w:t>Colby (n 25) 1945.</w:t>
      </w:r>
    </w:p>
  </w:footnote>
  <w:footnote w:id="87">
    <w:p w14:paraId="0A201D02" w14:textId="1908BDEB" w:rsidR="00BB5B8C" w:rsidRPr="00687C21" w:rsidRDefault="00BB5B8C" w:rsidP="00687C21">
      <w:pPr>
        <w:pStyle w:val="FootnoteText"/>
        <w:jc w:val="both"/>
        <w:rPr>
          <w:color w:val="000000" w:themeColor="text1"/>
          <w:sz w:val="20"/>
          <w:szCs w:val="20"/>
        </w:rPr>
      </w:pPr>
      <w:r w:rsidRPr="00687C21">
        <w:rPr>
          <w:rStyle w:val="FootnoteReference"/>
          <w:color w:val="000000" w:themeColor="text1"/>
          <w:sz w:val="20"/>
          <w:szCs w:val="20"/>
        </w:rPr>
        <w:footnoteRef/>
      </w:r>
      <w:r w:rsidRPr="00687C21">
        <w:rPr>
          <w:color w:val="000000" w:themeColor="text1"/>
          <w:sz w:val="20"/>
          <w:szCs w:val="20"/>
        </w:rPr>
        <w:t xml:space="preserve"> See, e.g., Adam N Glynn and Maya Sen, ‘Identifying Judicial Empathy: Does Having Daughters Cause Judges to Rule for Women’s Issues?’ (2015) 59(1) American Journal of Political Science 37.</w:t>
      </w:r>
    </w:p>
  </w:footnote>
  <w:footnote w:id="88">
    <w:p w14:paraId="3594EE22" w14:textId="34D4C410" w:rsidR="00BB5B8C" w:rsidRPr="00687C21" w:rsidRDefault="00BB5B8C" w:rsidP="00687C21">
      <w:pPr>
        <w:pStyle w:val="FootnoteText"/>
        <w:jc w:val="both"/>
        <w:rPr>
          <w:color w:val="000000" w:themeColor="text1"/>
          <w:sz w:val="20"/>
          <w:szCs w:val="20"/>
          <w:lang w:val="it-IT"/>
        </w:rPr>
      </w:pPr>
      <w:r w:rsidRPr="00687C21">
        <w:rPr>
          <w:rStyle w:val="FootnoteReference"/>
          <w:color w:val="000000" w:themeColor="text1"/>
          <w:sz w:val="20"/>
          <w:szCs w:val="20"/>
        </w:rPr>
        <w:footnoteRef/>
      </w:r>
      <w:r w:rsidRPr="00687C21">
        <w:rPr>
          <w:color w:val="000000" w:themeColor="text1"/>
          <w:sz w:val="20"/>
          <w:szCs w:val="20"/>
        </w:rPr>
        <w:t xml:space="preserve"> </w:t>
      </w:r>
      <w:r w:rsidRPr="00687C21">
        <w:rPr>
          <w:color w:val="000000" w:themeColor="text1"/>
          <w:sz w:val="20"/>
          <w:szCs w:val="20"/>
          <w:lang w:val="it-IT"/>
        </w:rPr>
        <w:t>Colby (n 25) 2015.</w:t>
      </w:r>
    </w:p>
  </w:footnote>
  <w:footnote w:id="89">
    <w:p w14:paraId="2E5C03A5" w14:textId="4B936815" w:rsidR="00BB5B8C" w:rsidRPr="00687C21" w:rsidRDefault="00BB5B8C" w:rsidP="00687C21">
      <w:pPr>
        <w:pStyle w:val="FootnoteText"/>
        <w:jc w:val="both"/>
        <w:rPr>
          <w:color w:val="000000" w:themeColor="text1"/>
          <w:sz w:val="20"/>
          <w:szCs w:val="20"/>
          <w:lang w:val="it-IT"/>
        </w:rPr>
      </w:pPr>
      <w:r w:rsidRPr="00687C21">
        <w:rPr>
          <w:rStyle w:val="FootnoteReference"/>
          <w:color w:val="000000" w:themeColor="text1"/>
          <w:sz w:val="20"/>
          <w:szCs w:val="20"/>
        </w:rPr>
        <w:footnoteRef/>
      </w:r>
      <w:r w:rsidRPr="00687C21">
        <w:rPr>
          <w:color w:val="000000" w:themeColor="text1"/>
          <w:sz w:val="20"/>
          <w:szCs w:val="20"/>
        </w:rPr>
        <w:t xml:space="preserve"> </w:t>
      </w:r>
      <w:r w:rsidRPr="00687C21">
        <w:rPr>
          <w:color w:val="000000" w:themeColor="text1"/>
          <w:sz w:val="20"/>
          <w:szCs w:val="20"/>
          <w:lang w:val="it-IT"/>
        </w:rPr>
        <w:t>ibid 1946.</w:t>
      </w:r>
    </w:p>
  </w:footnote>
  <w:footnote w:id="90">
    <w:p w14:paraId="21420253" w14:textId="17BAEB88" w:rsidR="00BB5B8C" w:rsidRPr="00687C21" w:rsidRDefault="00BB5B8C" w:rsidP="00687C21">
      <w:pPr>
        <w:pStyle w:val="FootnoteText"/>
        <w:jc w:val="both"/>
        <w:rPr>
          <w:color w:val="000000" w:themeColor="text1"/>
          <w:sz w:val="20"/>
          <w:szCs w:val="20"/>
        </w:rPr>
      </w:pPr>
      <w:r w:rsidRPr="00687C21">
        <w:rPr>
          <w:rStyle w:val="FootnoteReference"/>
          <w:color w:val="000000" w:themeColor="text1"/>
          <w:sz w:val="20"/>
          <w:szCs w:val="20"/>
        </w:rPr>
        <w:footnoteRef/>
      </w:r>
      <w:r w:rsidRPr="00687C21">
        <w:rPr>
          <w:color w:val="000000" w:themeColor="text1"/>
          <w:sz w:val="20"/>
          <w:szCs w:val="20"/>
        </w:rPr>
        <w:t xml:space="preserve"> Brenner Fissel, ‘Modern critiques of judicial empathy: A revised intellectual history’ (2016) Mich. St. L. Rev 817.</w:t>
      </w:r>
    </w:p>
  </w:footnote>
  <w:footnote w:id="91">
    <w:p w14:paraId="66576842" w14:textId="7B19E9E2" w:rsidR="00BB5B8C" w:rsidRPr="00687C21" w:rsidRDefault="00BB5B8C" w:rsidP="00687C21">
      <w:pPr>
        <w:pStyle w:val="FootnoteText"/>
        <w:jc w:val="both"/>
        <w:rPr>
          <w:color w:val="000000" w:themeColor="text1"/>
          <w:sz w:val="20"/>
          <w:szCs w:val="20"/>
          <w:lang w:val="it-IT"/>
        </w:rPr>
      </w:pPr>
      <w:r w:rsidRPr="00687C21">
        <w:rPr>
          <w:rStyle w:val="FootnoteReference"/>
          <w:color w:val="000000" w:themeColor="text1"/>
          <w:sz w:val="20"/>
          <w:szCs w:val="20"/>
        </w:rPr>
        <w:footnoteRef/>
      </w:r>
      <w:r w:rsidRPr="00687C21">
        <w:rPr>
          <w:color w:val="000000" w:themeColor="text1"/>
          <w:sz w:val="20"/>
          <w:szCs w:val="20"/>
        </w:rPr>
        <w:t xml:space="preserve"> </w:t>
      </w:r>
      <w:r w:rsidRPr="00687C21">
        <w:rPr>
          <w:color w:val="000000" w:themeColor="text1"/>
          <w:sz w:val="20"/>
          <w:szCs w:val="20"/>
          <w:lang w:val="it-IT"/>
        </w:rPr>
        <w:t>Colby (n 25) 1946.</w:t>
      </w:r>
    </w:p>
  </w:footnote>
  <w:footnote w:id="92">
    <w:p w14:paraId="256CA998" w14:textId="1DCF3212" w:rsidR="00BB5B8C" w:rsidRPr="00687C21" w:rsidRDefault="00BB5B8C" w:rsidP="00687C21">
      <w:pPr>
        <w:pStyle w:val="FootnoteText"/>
        <w:jc w:val="both"/>
        <w:rPr>
          <w:color w:val="000000" w:themeColor="text1"/>
          <w:sz w:val="20"/>
          <w:szCs w:val="20"/>
        </w:rPr>
      </w:pPr>
      <w:r w:rsidRPr="00687C21">
        <w:rPr>
          <w:rStyle w:val="FootnoteReference"/>
          <w:color w:val="000000" w:themeColor="text1"/>
          <w:sz w:val="20"/>
          <w:szCs w:val="20"/>
        </w:rPr>
        <w:footnoteRef/>
      </w:r>
      <w:r w:rsidRPr="00687C21">
        <w:rPr>
          <w:color w:val="000000" w:themeColor="text1"/>
          <w:sz w:val="20"/>
          <w:szCs w:val="20"/>
        </w:rPr>
        <w:t xml:space="preserve"> </w:t>
      </w:r>
      <w:r w:rsidRPr="00687C21">
        <w:rPr>
          <w:color w:val="000000" w:themeColor="text1"/>
          <w:sz w:val="20"/>
          <w:szCs w:val="20"/>
          <w:lang w:val="it-IT"/>
        </w:rPr>
        <w:t xml:space="preserve">Cicero, </w:t>
      </w:r>
      <w:r w:rsidRPr="00687C21">
        <w:rPr>
          <w:i/>
          <w:color w:val="000000" w:themeColor="text1"/>
          <w:sz w:val="20"/>
          <w:szCs w:val="20"/>
          <w:lang w:val="it-IT"/>
        </w:rPr>
        <w:t>De officiis</w:t>
      </w:r>
      <w:r w:rsidRPr="00687C21">
        <w:rPr>
          <w:color w:val="000000" w:themeColor="text1"/>
          <w:sz w:val="20"/>
          <w:szCs w:val="20"/>
          <w:lang w:val="it-IT"/>
        </w:rPr>
        <w:t>, I, 10, 33.</w:t>
      </w:r>
    </w:p>
  </w:footnote>
  <w:footnote w:id="93">
    <w:p w14:paraId="0AC814BF" w14:textId="63D362A8" w:rsidR="00BB5B8C" w:rsidRPr="00687C21" w:rsidRDefault="00BB5B8C" w:rsidP="00687C21">
      <w:pPr>
        <w:pStyle w:val="FootnoteText"/>
        <w:jc w:val="both"/>
        <w:rPr>
          <w:i/>
          <w:color w:val="000000" w:themeColor="text1"/>
          <w:sz w:val="20"/>
          <w:szCs w:val="20"/>
        </w:rPr>
      </w:pPr>
      <w:r w:rsidRPr="00687C21">
        <w:rPr>
          <w:rStyle w:val="FootnoteReference"/>
          <w:color w:val="000000" w:themeColor="text1"/>
          <w:sz w:val="20"/>
          <w:szCs w:val="20"/>
        </w:rPr>
        <w:footnoteRef/>
      </w:r>
      <w:r w:rsidRPr="00687C21">
        <w:rPr>
          <w:color w:val="000000" w:themeColor="text1"/>
          <w:sz w:val="20"/>
          <w:szCs w:val="20"/>
        </w:rPr>
        <w:t xml:space="preserve"> Lawrence Lessig, </w:t>
      </w:r>
      <w:r w:rsidRPr="00687C21">
        <w:rPr>
          <w:i/>
          <w:color w:val="000000" w:themeColor="text1"/>
          <w:sz w:val="20"/>
          <w:szCs w:val="20"/>
        </w:rPr>
        <w:t xml:space="preserve">Code </w:t>
      </w:r>
      <w:r w:rsidRPr="00687C21">
        <w:rPr>
          <w:color w:val="000000" w:themeColor="text1"/>
          <w:sz w:val="20"/>
          <w:szCs w:val="20"/>
        </w:rPr>
        <w:t>(v.2.0, Basic Books 2006).</w:t>
      </w:r>
    </w:p>
  </w:footnote>
  <w:footnote w:id="94">
    <w:p w14:paraId="19982243" w14:textId="317188EA" w:rsidR="00BB5B8C" w:rsidRPr="00687C21" w:rsidRDefault="00BB5B8C" w:rsidP="00687C21">
      <w:pPr>
        <w:pStyle w:val="FootnoteText"/>
        <w:jc w:val="both"/>
        <w:rPr>
          <w:color w:val="000000" w:themeColor="text1"/>
          <w:sz w:val="20"/>
          <w:szCs w:val="20"/>
        </w:rPr>
      </w:pPr>
      <w:r w:rsidRPr="00687C21">
        <w:rPr>
          <w:color w:val="000000" w:themeColor="text1"/>
          <w:sz w:val="20"/>
          <w:szCs w:val="20"/>
        </w:rPr>
        <w:footnoteRef/>
      </w:r>
      <w:r w:rsidRPr="00687C21">
        <w:rPr>
          <w:color w:val="000000" w:themeColor="text1"/>
          <w:sz w:val="20"/>
          <w:szCs w:val="20"/>
        </w:rPr>
        <w:t xml:space="preserve"> Kieron O’Hara, ‘Smart contracts – Dumb idea’ (2017) The Digital Citizen 2, 5.</w:t>
      </w:r>
    </w:p>
  </w:footnote>
  <w:footnote w:id="95">
    <w:p w14:paraId="6A800AEE" w14:textId="77777777" w:rsidR="00BB5B8C" w:rsidRPr="00687C21" w:rsidRDefault="00BB5B8C" w:rsidP="00687C21">
      <w:pPr>
        <w:jc w:val="both"/>
        <w:rPr>
          <w:color w:val="000000" w:themeColor="text1"/>
          <w:sz w:val="20"/>
          <w:szCs w:val="20"/>
        </w:rPr>
      </w:pPr>
      <w:r w:rsidRPr="00687C21">
        <w:rPr>
          <w:rStyle w:val="FootnoteReference"/>
          <w:color w:val="000000" w:themeColor="text1"/>
          <w:sz w:val="20"/>
          <w:szCs w:val="20"/>
        </w:rPr>
        <w:footnoteRef/>
      </w:r>
      <w:r w:rsidRPr="00687C21">
        <w:rPr>
          <w:color w:val="000000" w:themeColor="text1"/>
          <w:sz w:val="20"/>
          <w:szCs w:val="20"/>
        </w:rPr>
        <w:t xml:space="preserve"> Tatiana-Eleni Synodinou, ‘The lawful user and a balancing of interests in European copyright law’ (2010) 41 IIC 819, 826.</w:t>
      </w:r>
    </w:p>
  </w:footnote>
  <w:footnote w:id="96">
    <w:p w14:paraId="4D303CC7" w14:textId="77777777" w:rsidR="00BB5B8C" w:rsidRPr="00687C21" w:rsidRDefault="00BB5B8C" w:rsidP="00687C21">
      <w:pPr>
        <w:pStyle w:val="FootnoteText"/>
        <w:jc w:val="both"/>
        <w:rPr>
          <w:color w:val="000000" w:themeColor="text1"/>
          <w:sz w:val="20"/>
          <w:szCs w:val="20"/>
        </w:rPr>
      </w:pPr>
      <w:r w:rsidRPr="00687C21">
        <w:rPr>
          <w:rStyle w:val="FootnoteReference"/>
          <w:color w:val="000000" w:themeColor="text1"/>
          <w:sz w:val="20"/>
          <w:szCs w:val="20"/>
        </w:rPr>
        <w:footnoteRef/>
      </w:r>
      <w:r w:rsidRPr="00687C21">
        <w:rPr>
          <w:color w:val="000000" w:themeColor="text1"/>
          <w:sz w:val="20"/>
          <w:szCs w:val="20"/>
        </w:rPr>
        <w:t xml:space="preserve"> </w:t>
      </w:r>
      <w:r w:rsidRPr="00687C21">
        <w:rPr>
          <w:color w:val="000000" w:themeColor="text1"/>
          <w:sz w:val="20"/>
          <w:szCs w:val="20"/>
          <w:lang w:eastAsia="en-GB"/>
        </w:rPr>
        <w:t>ibid 826.</w:t>
      </w:r>
    </w:p>
  </w:footnote>
  <w:footnote w:id="97">
    <w:p w14:paraId="34EBD2EB" w14:textId="665722DF" w:rsidR="00BB5B8C" w:rsidRPr="00687C21" w:rsidRDefault="00BB5B8C" w:rsidP="00687C21">
      <w:pPr>
        <w:pStyle w:val="FootnoteText"/>
        <w:contextualSpacing/>
        <w:mirrorIndents/>
        <w:jc w:val="both"/>
        <w:rPr>
          <w:color w:val="000000" w:themeColor="text1"/>
          <w:sz w:val="20"/>
          <w:szCs w:val="20"/>
        </w:rPr>
      </w:pPr>
      <w:r w:rsidRPr="00687C21">
        <w:rPr>
          <w:color w:val="000000" w:themeColor="text1"/>
          <w:sz w:val="20"/>
          <w:szCs w:val="20"/>
        </w:rPr>
        <w:footnoteRef/>
      </w:r>
      <w:r w:rsidRPr="00687C21">
        <w:rPr>
          <w:color w:val="000000" w:themeColor="text1"/>
          <w:sz w:val="20"/>
          <w:szCs w:val="20"/>
        </w:rPr>
        <w:t xml:space="preserve"> Bjorn Lundqvist, ‘Big Data, Open Data, Privacy Regulations, Intellectual Property and Competition Law in an Internet of Things World’ (Faculty of Law, University of Stockholm Research Paper No. 1/2016) 10.</w:t>
      </w:r>
    </w:p>
  </w:footnote>
  <w:footnote w:id="98">
    <w:p w14:paraId="56074EFF" w14:textId="2C2E8FF8" w:rsidR="00BB5B8C" w:rsidRPr="00687C21" w:rsidRDefault="00BB5B8C" w:rsidP="00687C21">
      <w:pPr>
        <w:autoSpaceDE w:val="0"/>
        <w:autoSpaceDN w:val="0"/>
        <w:adjustRightInd w:val="0"/>
        <w:contextualSpacing/>
        <w:mirrorIndents/>
        <w:jc w:val="both"/>
        <w:rPr>
          <w:color w:val="000000" w:themeColor="text1"/>
          <w:sz w:val="20"/>
          <w:szCs w:val="20"/>
        </w:rPr>
      </w:pPr>
      <w:r w:rsidRPr="00687C21">
        <w:rPr>
          <w:rStyle w:val="FootnoteReference"/>
          <w:color w:val="000000" w:themeColor="text1"/>
          <w:sz w:val="20"/>
          <w:szCs w:val="20"/>
        </w:rPr>
        <w:footnoteRef/>
      </w:r>
      <w:r w:rsidRPr="00687C21">
        <w:rPr>
          <w:color w:val="000000" w:themeColor="text1"/>
          <w:sz w:val="20"/>
          <w:szCs w:val="20"/>
        </w:rPr>
        <w:t xml:space="preserve"> This has the potential to impact many fundamental rights, such as the one of the public to access information. For instance, crashes such as the one that, on 6 May 2010, caused the Dow Jones Industrial Average to drop by 9% thus burning millions of dollars, cannot be explained “not least because many of the algorithms involved are proprietary” (Scholz (n 3) 103).</w:t>
      </w:r>
    </w:p>
  </w:footnote>
  <w:footnote w:id="99">
    <w:p w14:paraId="716E6D5E" w14:textId="5271B462" w:rsidR="00BB5B8C" w:rsidRPr="00687C21" w:rsidRDefault="00BB5B8C" w:rsidP="00687C21">
      <w:pPr>
        <w:pStyle w:val="FootnoteText"/>
        <w:contextualSpacing/>
        <w:mirrorIndents/>
        <w:jc w:val="both"/>
        <w:rPr>
          <w:color w:val="000000" w:themeColor="text1"/>
          <w:sz w:val="20"/>
          <w:szCs w:val="20"/>
        </w:rPr>
      </w:pPr>
      <w:r w:rsidRPr="00687C21">
        <w:rPr>
          <w:rStyle w:val="FootnoteReference"/>
          <w:color w:val="000000" w:themeColor="text1"/>
          <w:sz w:val="20"/>
          <w:szCs w:val="20"/>
        </w:rPr>
        <w:footnoteRef/>
      </w:r>
      <w:r w:rsidRPr="00687C21">
        <w:rPr>
          <w:color w:val="000000" w:themeColor="text1"/>
          <w:sz w:val="20"/>
          <w:szCs w:val="20"/>
        </w:rPr>
        <w:t xml:space="preserve"> </w:t>
      </w:r>
      <w:r w:rsidRPr="00687C21">
        <w:rPr>
          <w:bCs/>
          <w:color w:val="000000" w:themeColor="text1"/>
          <w:sz w:val="20"/>
          <w:szCs w:val="20"/>
        </w:rPr>
        <w:t>James Pooley, ‘Trade secrets: The other IP right’ (2013) 3 WIPO Magazine.</w:t>
      </w:r>
    </w:p>
  </w:footnote>
  <w:footnote w:id="100">
    <w:p w14:paraId="34669C18" w14:textId="080828A7" w:rsidR="00BB5B8C" w:rsidRPr="00687C21" w:rsidRDefault="00BB5B8C" w:rsidP="00687C21">
      <w:pPr>
        <w:pStyle w:val="FootnoteText"/>
        <w:contextualSpacing/>
        <w:mirrorIndents/>
        <w:jc w:val="both"/>
        <w:rPr>
          <w:color w:val="000000" w:themeColor="text1"/>
          <w:sz w:val="20"/>
          <w:szCs w:val="20"/>
        </w:rPr>
      </w:pPr>
      <w:r w:rsidRPr="00687C21">
        <w:rPr>
          <w:rStyle w:val="FootnoteReference"/>
          <w:color w:val="000000" w:themeColor="text1"/>
          <w:sz w:val="20"/>
          <w:szCs w:val="20"/>
        </w:rPr>
        <w:footnoteRef/>
      </w:r>
      <w:r w:rsidRPr="00687C21">
        <w:rPr>
          <w:color w:val="000000" w:themeColor="text1"/>
          <w:sz w:val="20"/>
          <w:szCs w:val="20"/>
        </w:rPr>
        <w:t xml:space="preserve"> </w:t>
      </w:r>
      <w:r w:rsidRPr="00687C21">
        <w:rPr>
          <w:bCs/>
          <w:color w:val="000000" w:themeColor="text1"/>
          <w:sz w:val="20"/>
          <w:szCs w:val="20"/>
        </w:rPr>
        <w:t>Directive (EU) 2016/943 of the European Parliament and of the Council of 8 June 2016 on the protection of undisclosed know-how and business information (trade secrets) against their unlawful acquisition, use and disclosure (Trade Secrets Directive). Member States shall transpose it by 9 June 2018. By that date, the UK will stil</w:t>
      </w:r>
      <w:r w:rsidR="008620E4">
        <w:rPr>
          <w:bCs/>
          <w:color w:val="000000" w:themeColor="text1"/>
          <w:sz w:val="20"/>
          <w:szCs w:val="20"/>
        </w:rPr>
        <w:t>l be part of the EU, but prima facie</w:t>
      </w:r>
      <w:r w:rsidRPr="00687C21">
        <w:rPr>
          <w:bCs/>
          <w:color w:val="000000" w:themeColor="text1"/>
          <w:sz w:val="20"/>
          <w:szCs w:val="20"/>
        </w:rPr>
        <w:t xml:space="preserve"> there are not significant differences between the rules on the breach of confidentiality and the new EU regime.</w:t>
      </w:r>
    </w:p>
  </w:footnote>
  <w:footnote w:id="101">
    <w:p w14:paraId="5F7F22C1" w14:textId="734DA08D" w:rsidR="00BB5B8C" w:rsidRPr="00687C21" w:rsidRDefault="00BB5B8C" w:rsidP="00687C21">
      <w:pPr>
        <w:pStyle w:val="FootnoteText"/>
        <w:contextualSpacing/>
        <w:mirrorIndents/>
        <w:jc w:val="both"/>
        <w:rPr>
          <w:color w:val="000000" w:themeColor="text1"/>
          <w:sz w:val="20"/>
          <w:szCs w:val="20"/>
        </w:rPr>
      </w:pPr>
      <w:r w:rsidRPr="00687C21">
        <w:rPr>
          <w:rStyle w:val="FootnoteReference"/>
          <w:color w:val="000000" w:themeColor="text1"/>
          <w:sz w:val="20"/>
          <w:szCs w:val="20"/>
        </w:rPr>
        <w:footnoteRef/>
      </w:r>
      <w:r w:rsidRPr="00687C21">
        <w:rPr>
          <w:color w:val="000000" w:themeColor="text1"/>
          <w:sz w:val="20"/>
          <w:szCs w:val="20"/>
        </w:rPr>
        <w:t xml:space="preserve"> </w:t>
      </w:r>
      <w:r w:rsidRPr="00687C21">
        <w:rPr>
          <w:bCs/>
          <w:color w:val="000000" w:themeColor="text1"/>
          <w:sz w:val="20"/>
          <w:szCs w:val="20"/>
        </w:rPr>
        <w:t>Trade Secrets Directive,</w:t>
      </w:r>
      <w:r w:rsidRPr="00687C21">
        <w:rPr>
          <w:color w:val="000000" w:themeColor="text1"/>
          <w:sz w:val="20"/>
          <w:szCs w:val="20"/>
        </w:rPr>
        <w:t xml:space="preserve"> art 2(1)(a)-(b).</w:t>
      </w:r>
    </w:p>
  </w:footnote>
  <w:footnote w:id="102">
    <w:p w14:paraId="2B651E61" w14:textId="5D12F7B0" w:rsidR="00BB5B8C" w:rsidRPr="00687C21" w:rsidRDefault="00BB5B8C" w:rsidP="00687C21">
      <w:pPr>
        <w:pStyle w:val="FootnoteText"/>
        <w:contextualSpacing/>
        <w:mirrorIndents/>
        <w:jc w:val="both"/>
        <w:rPr>
          <w:color w:val="000000" w:themeColor="text1"/>
          <w:sz w:val="20"/>
          <w:szCs w:val="20"/>
        </w:rPr>
      </w:pPr>
      <w:r w:rsidRPr="00687C21">
        <w:rPr>
          <w:rStyle w:val="FootnoteReference"/>
          <w:color w:val="000000" w:themeColor="text1"/>
          <w:sz w:val="20"/>
          <w:szCs w:val="20"/>
        </w:rPr>
        <w:footnoteRef/>
      </w:r>
      <w:r w:rsidRPr="00687C21">
        <w:rPr>
          <w:color w:val="000000" w:themeColor="text1"/>
          <w:sz w:val="20"/>
          <w:szCs w:val="20"/>
        </w:rPr>
        <w:t xml:space="preserve"> </w:t>
      </w:r>
      <w:r w:rsidRPr="00687C21">
        <w:rPr>
          <w:bCs/>
          <w:color w:val="000000" w:themeColor="text1"/>
          <w:sz w:val="20"/>
          <w:szCs w:val="20"/>
        </w:rPr>
        <w:t>Trade Secrets Directive,</w:t>
      </w:r>
      <w:r w:rsidRPr="00687C21">
        <w:rPr>
          <w:color w:val="000000" w:themeColor="text1"/>
          <w:sz w:val="20"/>
          <w:szCs w:val="20"/>
        </w:rPr>
        <w:t xml:space="preserve"> art 2(1)(c).</w:t>
      </w:r>
    </w:p>
  </w:footnote>
  <w:footnote w:id="103">
    <w:p w14:paraId="614B4807" w14:textId="7A78B992" w:rsidR="00BB5B8C" w:rsidRPr="00687C21" w:rsidRDefault="00BB5B8C" w:rsidP="00687C21">
      <w:pPr>
        <w:pStyle w:val="FootnoteText"/>
        <w:contextualSpacing/>
        <w:mirrorIndents/>
        <w:jc w:val="both"/>
        <w:rPr>
          <w:color w:val="000000" w:themeColor="text1"/>
          <w:sz w:val="20"/>
          <w:szCs w:val="20"/>
        </w:rPr>
      </w:pPr>
      <w:r w:rsidRPr="00687C21">
        <w:rPr>
          <w:rStyle w:val="FootnoteReference"/>
          <w:color w:val="000000" w:themeColor="text1"/>
          <w:sz w:val="20"/>
          <w:szCs w:val="20"/>
        </w:rPr>
        <w:footnoteRef/>
      </w:r>
      <w:r w:rsidRPr="00687C21">
        <w:rPr>
          <w:color w:val="000000" w:themeColor="text1"/>
          <w:sz w:val="20"/>
          <w:szCs w:val="20"/>
        </w:rPr>
        <w:t xml:space="preserve"> </w:t>
      </w:r>
      <w:r w:rsidRPr="00687C21">
        <w:rPr>
          <w:bCs/>
          <w:color w:val="000000" w:themeColor="text1"/>
          <w:sz w:val="20"/>
          <w:szCs w:val="20"/>
        </w:rPr>
        <w:t>Trade Secrets Directive,</w:t>
      </w:r>
      <w:r w:rsidRPr="00687C21">
        <w:rPr>
          <w:color w:val="000000" w:themeColor="text1"/>
          <w:sz w:val="20"/>
          <w:szCs w:val="20"/>
        </w:rPr>
        <w:t xml:space="preserve"> art 4.</w:t>
      </w:r>
    </w:p>
  </w:footnote>
  <w:footnote w:id="104">
    <w:p w14:paraId="201717C0" w14:textId="73106B14" w:rsidR="00BB5B8C" w:rsidRPr="00687C21" w:rsidRDefault="00BB5B8C" w:rsidP="00687C21">
      <w:pPr>
        <w:pStyle w:val="FootnoteText"/>
        <w:contextualSpacing/>
        <w:mirrorIndents/>
        <w:jc w:val="both"/>
        <w:rPr>
          <w:color w:val="000000" w:themeColor="text1"/>
          <w:sz w:val="20"/>
          <w:szCs w:val="20"/>
        </w:rPr>
      </w:pPr>
      <w:r w:rsidRPr="00687C21">
        <w:rPr>
          <w:rStyle w:val="FootnoteReference"/>
          <w:color w:val="000000" w:themeColor="text1"/>
          <w:sz w:val="20"/>
          <w:szCs w:val="20"/>
        </w:rPr>
        <w:footnoteRef/>
      </w:r>
      <w:r w:rsidRPr="00687C21">
        <w:rPr>
          <w:color w:val="000000" w:themeColor="text1"/>
          <w:sz w:val="20"/>
          <w:szCs w:val="20"/>
        </w:rPr>
        <w:t xml:space="preserve"> </w:t>
      </w:r>
      <w:r w:rsidRPr="00687C21">
        <w:rPr>
          <w:bCs/>
          <w:color w:val="000000" w:themeColor="text1"/>
          <w:sz w:val="20"/>
          <w:szCs w:val="20"/>
        </w:rPr>
        <w:t>Trade Secrets Directive,</w:t>
      </w:r>
      <w:r w:rsidRPr="00687C21">
        <w:rPr>
          <w:color w:val="000000" w:themeColor="text1"/>
          <w:sz w:val="20"/>
          <w:szCs w:val="20"/>
        </w:rPr>
        <w:t xml:space="preserve"> art 3(1)(b).</w:t>
      </w:r>
    </w:p>
  </w:footnote>
  <w:footnote w:id="105">
    <w:p w14:paraId="30F6E71C" w14:textId="77777777" w:rsidR="00BB5B8C" w:rsidRPr="00687C21" w:rsidRDefault="00BB5B8C" w:rsidP="00687C21">
      <w:pPr>
        <w:pStyle w:val="FootnoteText"/>
        <w:contextualSpacing/>
        <w:mirrorIndents/>
        <w:jc w:val="both"/>
        <w:rPr>
          <w:color w:val="000000" w:themeColor="text1"/>
          <w:sz w:val="20"/>
          <w:szCs w:val="20"/>
        </w:rPr>
      </w:pPr>
      <w:r w:rsidRPr="00687C21">
        <w:rPr>
          <w:rStyle w:val="FootnoteReference"/>
          <w:color w:val="000000" w:themeColor="text1"/>
          <w:sz w:val="20"/>
          <w:szCs w:val="20"/>
        </w:rPr>
        <w:footnoteRef/>
      </w:r>
      <w:r w:rsidRPr="00687C21">
        <w:rPr>
          <w:color w:val="000000" w:themeColor="text1"/>
          <w:sz w:val="20"/>
          <w:szCs w:val="20"/>
        </w:rPr>
        <w:t xml:space="preserve"> </w:t>
      </w:r>
      <w:r w:rsidRPr="00687C21">
        <w:rPr>
          <w:bCs/>
          <w:color w:val="000000" w:themeColor="text1"/>
          <w:sz w:val="20"/>
          <w:szCs w:val="20"/>
        </w:rPr>
        <w:t>Directive 2009/24/EC of the European Parliament and of the Council of 23 April 2009 on the legal protection of computer programs (Software Directive).</w:t>
      </w:r>
    </w:p>
  </w:footnote>
  <w:footnote w:id="106">
    <w:p w14:paraId="0B0CE628" w14:textId="1C71CA58" w:rsidR="00BB5B8C" w:rsidRPr="00687C21" w:rsidRDefault="00BB5B8C" w:rsidP="00687C21">
      <w:pPr>
        <w:pStyle w:val="FootnoteText"/>
        <w:contextualSpacing/>
        <w:mirrorIndents/>
        <w:jc w:val="both"/>
        <w:rPr>
          <w:color w:val="000000" w:themeColor="text1"/>
          <w:sz w:val="20"/>
          <w:szCs w:val="20"/>
        </w:rPr>
      </w:pPr>
      <w:r w:rsidRPr="00687C21">
        <w:rPr>
          <w:rStyle w:val="FootnoteReference"/>
          <w:color w:val="000000" w:themeColor="text1"/>
          <w:sz w:val="20"/>
          <w:szCs w:val="20"/>
        </w:rPr>
        <w:footnoteRef/>
      </w:r>
      <w:r w:rsidRPr="00687C21">
        <w:rPr>
          <w:color w:val="000000" w:themeColor="text1"/>
          <w:sz w:val="20"/>
          <w:szCs w:val="20"/>
        </w:rPr>
        <w:t xml:space="preserve"> </w:t>
      </w:r>
      <w:r w:rsidRPr="00687C21">
        <w:rPr>
          <w:bCs/>
          <w:color w:val="000000" w:themeColor="text1"/>
          <w:sz w:val="20"/>
          <w:szCs w:val="20"/>
        </w:rPr>
        <w:t>Trade Secrets Directive,</w:t>
      </w:r>
      <w:r w:rsidRPr="00687C21">
        <w:rPr>
          <w:color w:val="000000" w:themeColor="text1"/>
          <w:sz w:val="20"/>
          <w:szCs w:val="20"/>
        </w:rPr>
        <w:t xml:space="preserve"> art 3(1)(b).</w:t>
      </w:r>
    </w:p>
  </w:footnote>
  <w:footnote w:id="107">
    <w:p w14:paraId="08E63CDD" w14:textId="0AC17348" w:rsidR="00BB5B8C" w:rsidRPr="00687C21" w:rsidRDefault="00BB5B8C" w:rsidP="00687C21">
      <w:pPr>
        <w:pStyle w:val="FootnoteText"/>
        <w:contextualSpacing/>
        <w:mirrorIndents/>
        <w:jc w:val="both"/>
        <w:rPr>
          <w:bCs/>
          <w:color w:val="000000" w:themeColor="text1"/>
          <w:sz w:val="20"/>
          <w:szCs w:val="20"/>
        </w:rPr>
      </w:pPr>
      <w:r w:rsidRPr="00687C21">
        <w:rPr>
          <w:rStyle w:val="FootnoteReference"/>
          <w:color w:val="000000" w:themeColor="text1"/>
          <w:sz w:val="20"/>
          <w:szCs w:val="20"/>
        </w:rPr>
        <w:footnoteRef/>
      </w:r>
      <w:r w:rsidRPr="00687C21">
        <w:rPr>
          <w:color w:val="000000" w:themeColor="text1"/>
          <w:sz w:val="20"/>
          <w:szCs w:val="20"/>
        </w:rPr>
        <w:t xml:space="preserve"> </w:t>
      </w:r>
      <w:r w:rsidRPr="00687C21">
        <w:rPr>
          <w:bCs/>
          <w:color w:val="000000" w:themeColor="text1"/>
          <w:sz w:val="20"/>
          <w:szCs w:val="20"/>
        </w:rPr>
        <w:t xml:space="preserve">Software Directive, art 5(3). </w:t>
      </w:r>
    </w:p>
  </w:footnote>
  <w:footnote w:id="108">
    <w:p w14:paraId="7CBE35F3" w14:textId="35DC69AF" w:rsidR="00BB5B8C" w:rsidRPr="00687C21" w:rsidRDefault="00BB5B8C" w:rsidP="00687C21">
      <w:pPr>
        <w:pStyle w:val="FootnoteText"/>
        <w:jc w:val="both"/>
        <w:rPr>
          <w:color w:val="000000" w:themeColor="text1"/>
          <w:sz w:val="20"/>
          <w:szCs w:val="20"/>
        </w:rPr>
      </w:pPr>
      <w:r w:rsidRPr="00687C21">
        <w:rPr>
          <w:rStyle w:val="FootnoteReference"/>
          <w:color w:val="000000" w:themeColor="text1"/>
          <w:sz w:val="20"/>
          <w:szCs w:val="20"/>
        </w:rPr>
        <w:footnoteRef/>
      </w:r>
      <w:r w:rsidRPr="00687C21">
        <w:rPr>
          <w:color w:val="000000" w:themeColor="text1"/>
          <w:sz w:val="20"/>
          <w:szCs w:val="20"/>
        </w:rPr>
        <w:t xml:space="preserve"> Software Directive, art 9(1).</w:t>
      </w:r>
    </w:p>
  </w:footnote>
  <w:footnote w:id="109">
    <w:p w14:paraId="03B9A3D6" w14:textId="08A47F70" w:rsidR="00BB5B8C" w:rsidRPr="00687C21" w:rsidRDefault="00BB5B8C" w:rsidP="00687C21">
      <w:pPr>
        <w:pStyle w:val="FootnoteText"/>
        <w:contextualSpacing/>
        <w:mirrorIndents/>
        <w:jc w:val="both"/>
        <w:rPr>
          <w:color w:val="000000" w:themeColor="text1"/>
          <w:sz w:val="20"/>
          <w:szCs w:val="20"/>
        </w:rPr>
      </w:pPr>
      <w:r w:rsidRPr="00687C21">
        <w:rPr>
          <w:rStyle w:val="FootnoteReference"/>
          <w:color w:val="000000" w:themeColor="text1"/>
          <w:sz w:val="20"/>
          <w:szCs w:val="20"/>
        </w:rPr>
        <w:footnoteRef/>
      </w:r>
      <w:r w:rsidRPr="00687C21">
        <w:rPr>
          <w:color w:val="000000" w:themeColor="text1"/>
          <w:sz w:val="20"/>
          <w:szCs w:val="20"/>
        </w:rPr>
        <w:t xml:space="preserve"> Copyright</w:t>
      </w:r>
      <w:r w:rsidRPr="00687C21">
        <w:rPr>
          <w:rFonts w:eastAsiaTheme="minorEastAsia"/>
          <w:color w:val="000000" w:themeColor="text1"/>
          <w:sz w:val="20"/>
          <w:szCs w:val="20"/>
          <w:lang w:val="en-US"/>
        </w:rPr>
        <w:t>, Designs and Patents Act 1988</w:t>
      </w:r>
      <w:r w:rsidRPr="00687C21">
        <w:rPr>
          <w:rFonts w:eastAsiaTheme="minorEastAsia"/>
          <w:color w:val="000000" w:themeColor="text1"/>
          <w:sz w:val="20"/>
          <w:szCs w:val="20"/>
        </w:rPr>
        <w:t xml:space="preserve">, ss 50BA and </w:t>
      </w:r>
      <w:r w:rsidRPr="00687C21">
        <w:rPr>
          <w:rFonts w:eastAsiaTheme="minorEastAsia"/>
          <w:color w:val="000000" w:themeColor="text1"/>
          <w:sz w:val="20"/>
          <w:szCs w:val="20"/>
          <w:lang w:val="en-US"/>
        </w:rPr>
        <w:t xml:space="preserve">296A. </w:t>
      </w:r>
      <w:r w:rsidRPr="00687C21">
        <w:rPr>
          <w:color w:val="000000" w:themeColor="text1"/>
          <w:sz w:val="20"/>
          <w:szCs w:val="20"/>
        </w:rPr>
        <w:t>The Copyright (Computer Programs) Regulations 1992, SI 1992/3233 inserted s 50B in the Copyrights, Designs and Patents Act 1998, allowing lawful users of computer programs to decompile programs to achieve interoperability. In turn, the Copyright and Related Rights Regulations 2003 introduced s 50BA, regarding the exception on observing, studying and testing computer programs.</w:t>
      </w:r>
    </w:p>
  </w:footnote>
  <w:footnote w:id="110">
    <w:p w14:paraId="68DAEC28" w14:textId="4688A19E" w:rsidR="00BB5B8C" w:rsidRPr="00687C21" w:rsidRDefault="00BB5B8C" w:rsidP="00687C21">
      <w:pPr>
        <w:pStyle w:val="FootnoteText"/>
        <w:contextualSpacing/>
        <w:mirrorIndents/>
        <w:jc w:val="both"/>
        <w:rPr>
          <w:color w:val="000000" w:themeColor="text1"/>
          <w:sz w:val="20"/>
          <w:szCs w:val="20"/>
        </w:rPr>
      </w:pPr>
      <w:r w:rsidRPr="00687C21">
        <w:rPr>
          <w:rStyle w:val="FootnoteReference"/>
          <w:color w:val="000000" w:themeColor="text1"/>
          <w:sz w:val="20"/>
          <w:szCs w:val="20"/>
        </w:rPr>
        <w:footnoteRef/>
      </w:r>
      <w:r w:rsidRPr="00687C21">
        <w:rPr>
          <w:color w:val="000000" w:themeColor="text1"/>
          <w:sz w:val="20"/>
          <w:szCs w:val="20"/>
        </w:rPr>
        <w:t xml:space="preserve"> </w:t>
      </w:r>
      <w:r w:rsidRPr="00687C21">
        <w:rPr>
          <w:i/>
          <w:color w:val="000000" w:themeColor="text1"/>
          <w:sz w:val="20"/>
          <w:szCs w:val="20"/>
        </w:rPr>
        <w:t>SAS Institute Inc v World Programming Ltd</w:t>
      </w:r>
      <w:r w:rsidRPr="00687C21">
        <w:rPr>
          <w:color w:val="000000" w:themeColor="text1"/>
          <w:sz w:val="20"/>
          <w:szCs w:val="20"/>
        </w:rPr>
        <w:t xml:space="preserve"> </w:t>
      </w:r>
      <w:r w:rsidRPr="00687C21">
        <w:rPr>
          <w:i/>
          <w:color w:val="000000" w:themeColor="text1"/>
          <w:sz w:val="20"/>
          <w:szCs w:val="20"/>
        </w:rPr>
        <w:t xml:space="preserve">III </w:t>
      </w:r>
      <w:r w:rsidRPr="00687C21">
        <w:rPr>
          <w:rFonts w:eastAsiaTheme="minorEastAsia"/>
          <w:color w:val="000000" w:themeColor="text1"/>
          <w:sz w:val="20"/>
          <w:szCs w:val="20"/>
          <w:lang w:eastAsia="en-US"/>
        </w:rPr>
        <w:t>[2013] EWHC 69 (Ch),</w:t>
      </w:r>
      <w:r w:rsidRPr="00687C21">
        <w:rPr>
          <w:color w:val="000000" w:themeColor="text1"/>
          <w:sz w:val="20"/>
          <w:szCs w:val="20"/>
        </w:rPr>
        <w:t xml:space="preserve"> [60]-[61]. In that case, employees </w:t>
      </w:r>
      <w:r w:rsidR="00E315C1">
        <w:rPr>
          <w:color w:val="000000" w:themeColor="text1"/>
          <w:sz w:val="20"/>
          <w:szCs w:val="20"/>
        </w:rPr>
        <w:t>who</w:t>
      </w:r>
      <w:r w:rsidRPr="00687C21">
        <w:rPr>
          <w:color w:val="000000" w:themeColor="text1"/>
          <w:sz w:val="20"/>
          <w:szCs w:val="20"/>
        </w:rPr>
        <w:t xml:space="preserve"> did not click through the licence had observed and study the computer programme without infringing copyright because the colleague who acquired the programme was operating on behalf of the employer, which was a legal person. It was deemed immaterial that the licence openly restricted the use to the person who clicked through the licence. At a closer look, the distinction between licensed employee and unlicensed ones. Indeed, </w:t>
      </w:r>
      <w:r w:rsidRPr="00687C21">
        <w:rPr>
          <w:rFonts w:eastAsiaTheme="minorEastAsia"/>
          <w:color w:val="000000" w:themeColor="text1"/>
          <w:sz w:val="20"/>
          <w:szCs w:val="20"/>
          <w:lang w:eastAsia="en-US"/>
        </w:rPr>
        <w:t xml:space="preserve">art 9(1) of </w:t>
      </w:r>
      <w:r w:rsidRPr="00687C21">
        <w:rPr>
          <w:color w:val="000000" w:themeColor="text1"/>
          <w:sz w:val="20"/>
          <w:szCs w:val="20"/>
        </w:rPr>
        <w:t>the Software Directive renders null and void any contractual restrictions to the exceptions and “this includes a contractual restriction on the employees by whom a legal person in the position of WPL can exercise the right under Article 5(3)” (ibid [61]). The decision was upheld in appeal, although for different reasons (</w:t>
      </w:r>
      <w:r w:rsidRPr="00687C21">
        <w:rPr>
          <w:i/>
          <w:color w:val="000000" w:themeColor="text1"/>
          <w:sz w:val="20"/>
          <w:szCs w:val="20"/>
        </w:rPr>
        <w:t xml:space="preserve">SAS Institute v Worlds Programming Ltd IV </w:t>
      </w:r>
      <w:r w:rsidRPr="00687C21">
        <w:rPr>
          <w:color w:val="000000" w:themeColor="text1"/>
          <w:sz w:val="20"/>
          <w:szCs w:val="20"/>
        </w:rPr>
        <w:t>[2013] EWCA Civ 1482 [61], [109] per Tomlinson LJ).</w:t>
      </w:r>
    </w:p>
  </w:footnote>
  <w:footnote w:id="111">
    <w:p w14:paraId="03CEE90A" w14:textId="77777777" w:rsidR="00BB5B8C" w:rsidRPr="00687C21" w:rsidRDefault="00BB5B8C" w:rsidP="00687C21">
      <w:pPr>
        <w:pStyle w:val="FootnoteText"/>
        <w:contextualSpacing/>
        <w:mirrorIndents/>
        <w:jc w:val="both"/>
        <w:rPr>
          <w:color w:val="000000" w:themeColor="text1"/>
          <w:sz w:val="20"/>
          <w:szCs w:val="20"/>
        </w:rPr>
      </w:pPr>
      <w:r w:rsidRPr="00687C21">
        <w:rPr>
          <w:rStyle w:val="FootnoteReference"/>
          <w:color w:val="000000" w:themeColor="text1"/>
          <w:sz w:val="20"/>
          <w:szCs w:val="20"/>
        </w:rPr>
        <w:footnoteRef/>
      </w:r>
      <w:r w:rsidRPr="00687C21">
        <w:rPr>
          <w:color w:val="000000" w:themeColor="text1"/>
          <w:sz w:val="20"/>
          <w:szCs w:val="20"/>
        </w:rPr>
        <w:t xml:space="preserve"> This applies inasmuch as the national implementation of the Software Directive expressly allows the contractual circumvention of the “study” exception.</w:t>
      </w:r>
    </w:p>
  </w:footnote>
  <w:footnote w:id="112">
    <w:p w14:paraId="33CEE320" w14:textId="485DABBE" w:rsidR="00BB5B8C" w:rsidRPr="00687C21" w:rsidRDefault="00BB5B8C" w:rsidP="00687C21">
      <w:pPr>
        <w:pStyle w:val="FootnoteText"/>
        <w:contextualSpacing/>
        <w:mirrorIndents/>
        <w:jc w:val="both"/>
        <w:rPr>
          <w:color w:val="000000" w:themeColor="text1"/>
          <w:sz w:val="20"/>
          <w:szCs w:val="20"/>
        </w:rPr>
      </w:pPr>
      <w:r w:rsidRPr="00687C21">
        <w:rPr>
          <w:rStyle w:val="FootnoteReference"/>
          <w:color w:val="000000" w:themeColor="text1"/>
          <w:sz w:val="20"/>
          <w:szCs w:val="20"/>
        </w:rPr>
        <w:footnoteRef/>
      </w:r>
      <w:r w:rsidRPr="00687C21">
        <w:rPr>
          <w:color w:val="000000" w:themeColor="text1"/>
          <w:sz w:val="20"/>
          <w:szCs w:val="20"/>
        </w:rPr>
        <w:t xml:space="preserve"> Software Directive, recital 16. See also art 9(1). Alongside the study and observation exception, there is the </w:t>
      </w:r>
      <w:r w:rsidRPr="00687C21">
        <w:rPr>
          <w:bCs/>
          <w:color w:val="000000" w:themeColor="text1"/>
          <w:sz w:val="20"/>
          <w:szCs w:val="20"/>
        </w:rPr>
        <w:t xml:space="preserve">decompilation one. However, this will not be analysed in this paper because it could be invoked only when “indispensable to obtain the information necessary to achieve the interoperability” (art 6). </w:t>
      </w:r>
      <w:r w:rsidRPr="00687C21">
        <w:rPr>
          <w:bCs/>
          <w:i/>
          <w:color w:val="000000" w:themeColor="text1"/>
          <w:sz w:val="20"/>
          <w:szCs w:val="20"/>
        </w:rPr>
        <w:t>cf</w:t>
      </w:r>
      <w:r w:rsidRPr="00687C21">
        <w:rPr>
          <w:bCs/>
          <w:color w:val="000000" w:themeColor="text1"/>
          <w:sz w:val="20"/>
          <w:szCs w:val="20"/>
        </w:rPr>
        <w:t xml:space="preserve"> Samuel J Laroque, ‘Reverse Engineering and Trade Secrets in the Post-Alice World’ (2017) 66(2) University of Kansas Law Review 427.</w:t>
      </w:r>
    </w:p>
  </w:footnote>
  <w:footnote w:id="113">
    <w:p w14:paraId="22EC08D6" w14:textId="6367C062" w:rsidR="00BB5B8C" w:rsidRPr="00687C21" w:rsidRDefault="00BB5B8C" w:rsidP="00687C21">
      <w:pPr>
        <w:pStyle w:val="FootnoteText"/>
        <w:contextualSpacing/>
        <w:mirrorIndents/>
        <w:jc w:val="both"/>
        <w:rPr>
          <w:color w:val="000000" w:themeColor="text1"/>
          <w:sz w:val="20"/>
          <w:szCs w:val="20"/>
        </w:rPr>
      </w:pPr>
      <w:r w:rsidRPr="00687C21">
        <w:rPr>
          <w:rStyle w:val="FootnoteReference"/>
          <w:color w:val="000000" w:themeColor="text1"/>
          <w:sz w:val="20"/>
          <w:szCs w:val="20"/>
        </w:rPr>
        <w:footnoteRef/>
      </w:r>
      <w:r w:rsidRPr="00687C21">
        <w:rPr>
          <w:color w:val="000000" w:themeColor="text1"/>
          <w:sz w:val="20"/>
          <w:szCs w:val="20"/>
        </w:rPr>
        <w:t xml:space="preserve"> Trade Secrets Directive, art 5(a). However, this defence risks to be weak because the courts may be tempted to interpret it narrowly given that the underlying debate was about the protection of whistle-blowers and journalists, as one can also infer from the express reference to the freedom and pluralism of media.</w:t>
      </w:r>
    </w:p>
  </w:footnote>
  <w:footnote w:id="114">
    <w:p w14:paraId="541BB4C9" w14:textId="4573FD17" w:rsidR="00BB5B8C" w:rsidRPr="00687C21" w:rsidRDefault="00BB5B8C" w:rsidP="00687C21">
      <w:pPr>
        <w:jc w:val="both"/>
        <w:rPr>
          <w:color w:val="000000" w:themeColor="text1"/>
          <w:sz w:val="20"/>
          <w:szCs w:val="20"/>
        </w:rPr>
      </w:pPr>
      <w:r w:rsidRPr="00687C21">
        <w:rPr>
          <w:rStyle w:val="FootnoteReference"/>
          <w:color w:val="000000" w:themeColor="text1"/>
          <w:sz w:val="20"/>
          <w:szCs w:val="20"/>
        </w:rPr>
        <w:footnoteRef/>
      </w:r>
      <w:r w:rsidRPr="00687C21">
        <w:rPr>
          <w:color w:val="000000" w:themeColor="text1"/>
          <w:sz w:val="20"/>
          <w:szCs w:val="20"/>
        </w:rPr>
        <w:t xml:space="preserve"> </w:t>
      </w:r>
      <w:r w:rsidRPr="00687C21">
        <w:rPr>
          <w:rFonts w:eastAsiaTheme="minorEastAsia"/>
          <w:color w:val="000000" w:themeColor="text1"/>
          <w:sz w:val="20"/>
          <w:szCs w:val="20"/>
          <w:lang w:val="en-US" w:eastAsia="ko-KR"/>
        </w:rPr>
        <w:t>Alexa Voice Service Agreement (</w:t>
      </w:r>
      <w:r w:rsidRPr="00687C21">
        <w:rPr>
          <w:rFonts w:eastAsiaTheme="minorEastAsia"/>
          <w:iCs/>
          <w:color w:val="000000" w:themeColor="text1"/>
          <w:sz w:val="20"/>
          <w:szCs w:val="20"/>
          <w:lang w:val="en-US" w:eastAsia="ko-KR"/>
        </w:rPr>
        <w:t>last updated 30 January 2017</w:t>
      </w:r>
      <w:r w:rsidRPr="00687C21">
        <w:rPr>
          <w:rFonts w:eastAsiaTheme="minorEastAsia"/>
          <w:color w:val="000000" w:themeColor="text1"/>
          <w:sz w:val="20"/>
          <w:szCs w:val="20"/>
          <w:lang w:val="en-US" w:eastAsia="ko-KR"/>
        </w:rPr>
        <w:t>), s 8. The Agreement was updated on 15 February 2018 in order to add Amazon Seller Services Pvt Ltd as the Amazon Party to the Agreement for developers who reside in India. Since the update is minor, this paper keeps referring to the previous version.</w:t>
      </w:r>
    </w:p>
  </w:footnote>
  <w:footnote w:id="115">
    <w:p w14:paraId="45F361F4" w14:textId="0727CEC6" w:rsidR="00BB5B8C" w:rsidRPr="00687C21" w:rsidRDefault="00BB5B8C" w:rsidP="00687C21">
      <w:pPr>
        <w:pStyle w:val="FootnoteText"/>
        <w:contextualSpacing/>
        <w:mirrorIndents/>
        <w:jc w:val="both"/>
        <w:rPr>
          <w:color w:val="000000" w:themeColor="text1"/>
          <w:sz w:val="20"/>
          <w:szCs w:val="20"/>
        </w:rPr>
      </w:pPr>
      <w:r w:rsidRPr="00687C21">
        <w:rPr>
          <w:rStyle w:val="FootnoteReference"/>
          <w:color w:val="000000" w:themeColor="text1"/>
          <w:sz w:val="20"/>
          <w:szCs w:val="20"/>
        </w:rPr>
        <w:footnoteRef/>
      </w:r>
      <w:r w:rsidRPr="00687C21">
        <w:rPr>
          <w:color w:val="000000" w:themeColor="text1"/>
          <w:sz w:val="20"/>
          <w:szCs w:val="20"/>
        </w:rPr>
        <w:t xml:space="preserve"> </w:t>
      </w:r>
      <w:r w:rsidRPr="00687C21">
        <w:rPr>
          <w:bCs/>
          <w:color w:val="000000" w:themeColor="text1"/>
          <w:sz w:val="20"/>
          <w:szCs w:val="20"/>
        </w:rPr>
        <w:t xml:space="preserve">Alexa Voice Service Agreement, s 9. </w:t>
      </w:r>
    </w:p>
  </w:footnote>
  <w:footnote w:id="116">
    <w:p w14:paraId="2501ACCD" w14:textId="77777777" w:rsidR="00BB5B8C" w:rsidRPr="00687C21" w:rsidRDefault="00BB5B8C" w:rsidP="00687C21">
      <w:pPr>
        <w:pStyle w:val="FootnoteText"/>
        <w:contextualSpacing/>
        <w:mirrorIndents/>
        <w:jc w:val="both"/>
        <w:rPr>
          <w:color w:val="000000" w:themeColor="text1"/>
          <w:sz w:val="20"/>
          <w:szCs w:val="20"/>
        </w:rPr>
      </w:pPr>
      <w:r w:rsidRPr="00687C21">
        <w:rPr>
          <w:rStyle w:val="FootnoteReference"/>
          <w:color w:val="000000" w:themeColor="text1"/>
          <w:sz w:val="20"/>
          <w:szCs w:val="20"/>
        </w:rPr>
        <w:footnoteRef/>
      </w:r>
      <w:r w:rsidRPr="00687C21">
        <w:rPr>
          <w:color w:val="000000" w:themeColor="text1"/>
          <w:sz w:val="20"/>
          <w:szCs w:val="20"/>
        </w:rPr>
        <w:t xml:space="preserve"> </w:t>
      </w:r>
      <w:r w:rsidRPr="00687C21">
        <w:rPr>
          <w:color w:val="000000" w:themeColor="text1"/>
          <w:sz w:val="20"/>
          <w:szCs w:val="20"/>
          <w:shd w:val="clear" w:color="auto" w:fill="FFFFFF"/>
        </w:rPr>
        <w:t>Amazon’s AI virtual assistant.</w:t>
      </w:r>
    </w:p>
  </w:footnote>
  <w:footnote w:id="117">
    <w:p w14:paraId="4C4F022C" w14:textId="79C607DC" w:rsidR="00BB5B8C" w:rsidRPr="00687C21" w:rsidRDefault="00BB5B8C" w:rsidP="00687C21">
      <w:pPr>
        <w:pStyle w:val="FootnoteText"/>
        <w:contextualSpacing/>
        <w:mirrorIndents/>
        <w:jc w:val="both"/>
        <w:rPr>
          <w:color w:val="000000" w:themeColor="text1"/>
          <w:sz w:val="20"/>
          <w:szCs w:val="20"/>
        </w:rPr>
      </w:pPr>
      <w:r w:rsidRPr="00687C21">
        <w:rPr>
          <w:rStyle w:val="FootnoteReference"/>
          <w:color w:val="000000" w:themeColor="text1"/>
          <w:sz w:val="20"/>
          <w:szCs w:val="20"/>
        </w:rPr>
        <w:footnoteRef/>
      </w:r>
      <w:r w:rsidRPr="00687C21">
        <w:rPr>
          <w:color w:val="000000" w:themeColor="text1"/>
          <w:sz w:val="20"/>
          <w:szCs w:val="20"/>
        </w:rPr>
        <w:t xml:space="preserve"> These include</w:t>
      </w:r>
      <w:r w:rsidRPr="00687C21">
        <w:rPr>
          <w:rStyle w:val="apple-converted-space"/>
          <w:color w:val="000000" w:themeColor="text1"/>
          <w:sz w:val="20"/>
          <w:szCs w:val="20"/>
          <w:shd w:val="clear" w:color="auto" w:fill="FFFFFF"/>
        </w:rPr>
        <w:t> “</w:t>
      </w:r>
      <w:r w:rsidRPr="00687C21">
        <w:rPr>
          <w:color w:val="000000" w:themeColor="text1"/>
          <w:sz w:val="20"/>
          <w:szCs w:val="20"/>
          <w:shd w:val="clear" w:color="auto" w:fill="FFFFFF"/>
        </w:rPr>
        <w:t>images, audio, logos, specifications, code, documents, data, software, software development kits, libraries, application programming interfaces, applications, services and other information, technology, and related materials” (</w:t>
      </w:r>
      <w:r w:rsidRPr="00687C21">
        <w:rPr>
          <w:bCs/>
          <w:color w:val="000000" w:themeColor="text1"/>
          <w:sz w:val="20"/>
          <w:szCs w:val="20"/>
        </w:rPr>
        <w:t xml:space="preserve">Alexa Voice Service Agreement, </w:t>
      </w:r>
      <w:r w:rsidRPr="00687C21">
        <w:rPr>
          <w:color w:val="000000" w:themeColor="text1"/>
          <w:sz w:val="20"/>
          <w:szCs w:val="20"/>
          <w:shd w:val="clear" w:color="auto" w:fill="FFFFFF"/>
        </w:rPr>
        <w:t>s 2)</w:t>
      </w:r>
    </w:p>
  </w:footnote>
  <w:footnote w:id="118">
    <w:p w14:paraId="0E1339B0" w14:textId="392E065E" w:rsidR="00BB5B8C" w:rsidRPr="00687C21" w:rsidRDefault="00BB5B8C" w:rsidP="00687C21">
      <w:pPr>
        <w:jc w:val="both"/>
        <w:rPr>
          <w:color w:val="000000" w:themeColor="text1"/>
          <w:sz w:val="20"/>
          <w:szCs w:val="20"/>
        </w:rPr>
      </w:pPr>
      <w:r w:rsidRPr="00687C21">
        <w:rPr>
          <w:rStyle w:val="FootnoteReference"/>
          <w:color w:val="000000" w:themeColor="text1"/>
          <w:sz w:val="20"/>
          <w:szCs w:val="20"/>
        </w:rPr>
        <w:footnoteRef/>
      </w:r>
      <w:r w:rsidRPr="00687C21">
        <w:rPr>
          <w:color w:val="000000" w:themeColor="text1"/>
          <w:sz w:val="20"/>
          <w:szCs w:val="20"/>
        </w:rPr>
        <w:t xml:space="preserve"> In </w:t>
      </w:r>
      <w:r w:rsidRPr="00687C21">
        <w:rPr>
          <w:i/>
          <w:color w:val="000000" w:themeColor="text1"/>
          <w:sz w:val="20"/>
          <w:szCs w:val="20"/>
        </w:rPr>
        <w:t>SAS Institute Inc v Worlds Programming Ltd I (WPL)</w:t>
      </w:r>
      <w:r w:rsidRPr="00687C21">
        <w:rPr>
          <w:color w:val="000000" w:themeColor="text1"/>
          <w:sz w:val="20"/>
          <w:szCs w:val="20"/>
        </w:rPr>
        <w:t xml:space="preserve"> [2010] EWHC 1829 (Ch), a similar program had been developed studying the competitor’s one in breach of the license terms, because the purpose of the permitted act was not learning to use the SAS system (sole purpose allowed by the license). After the reference to the Court of Justice and </w:t>
      </w:r>
      <w:r w:rsidRPr="00687C21">
        <w:rPr>
          <w:i/>
          <w:color w:val="000000" w:themeColor="text1"/>
          <w:sz w:val="20"/>
          <w:szCs w:val="20"/>
        </w:rPr>
        <w:t xml:space="preserve">SAS Institute Inc v World Programming Ltd II </w:t>
      </w:r>
      <w:r w:rsidRPr="00687C21">
        <w:rPr>
          <w:color w:val="000000" w:themeColor="text1"/>
          <w:sz w:val="20"/>
          <w:szCs w:val="20"/>
        </w:rPr>
        <w:t>[2012] ECR, the national court stated that if an act (e.g. studying) is permitted by the license, the purpose thereof is immaterial, and the exception operates (</w:t>
      </w:r>
      <w:r w:rsidRPr="00687C21">
        <w:rPr>
          <w:i/>
          <w:color w:val="000000" w:themeColor="text1"/>
          <w:sz w:val="20"/>
          <w:szCs w:val="20"/>
        </w:rPr>
        <w:t xml:space="preserve">SAS Institute III </w:t>
      </w:r>
      <w:r w:rsidR="005A2D7C">
        <w:rPr>
          <w:color w:val="000000" w:themeColor="text1"/>
          <w:sz w:val="20"/>
          <w:szCs w:val="20"/>
        </w:rPr>
        <w:t>(n 109</w:t>
      </w:r>
      <w:r w:rsidRPr="00687C21">
        <w:rPr>
          <w:color w:val="000000" w:themeColor="text1"/>
          <w:sz w:val="20"/>
          <w:szCs w:val="20"/>
        </w:rPr>
        <w:t xml:space="preserve">); </w:t>
      </w:r>
      <w:r w:rsidRPr="00687C21">
        <w:rPr>
          <w:i/>
          <w:color w:val="000000" w:themeColor="text1"/>
          <w:sz w:val="20"/>
          <w:szCs w:val="20"/>
        </w:rPr>
        <w:t xml:space="preserve">SAS Institute IV </w:t>
      </w:r>
      <w:r w:rsidR="005A2D7C">
        <w:rPr>
          <w:color w:val="000000" w:themeColor="text1"/>
          <w:sz w:val="20"/>
          <w:szCs w:val="20"/>
        </w:rPr>
        <w:t>(n 109</w:t>
      </w:r>
      <w:r w:rsidRPr="00687C21">
        <w:rPr>
          <w:color w:val="000000" w:themeColor="text1"/>
          <w:sz w:val="20"/>
          <w:szCs w:val="20"/>
        </w:rPr>
        <w:t>) [101]. On the EU case, see Guido Noto La Diega, ‘Le idee e il muro del suono: I programmi per elaboratore nella più recente giurisprudenza europea’ (2013) 2 Europa e diritto private 543.</w:t>
      </w:r>
    </w:p>
  </w:footnote>
  <w:footnote w:id="119">
    <w:p w14:paraId="0C8C4251" w14:textId="77777777" w:rsidR="00BB5B8C" w:rsidRPr="00687C21" w:rsidRDefault="00BB5B8C" w:rsidP="00687C21">
      <w:pPr>
        <w:pStyle w:val="FootnoteText"/>
        <w:contextualSpacing/>
        <w:mirrorIndents/>
        <w:jc w:val="both"/>
        <w:rPr>
          <w:color w:val="000000" w:themeColor="text1"/>
          <w:sz w:val="20"/>
          <w:szCs w:val="20"/>
        </w:rPr>
      </w:pPr>
      <w:r w:rsidRPr="00687C21">
        <w:rPr>
          <w:rStyle w:val="FootnoteReference"/>
          <w:color w:val="000000" w:themeColor="text1"/>
          <w:sz w:val="20"/>
          <w:szCs w:val="20"/>
        </w:rPr>
        <w:footnoteRef/>
      </w:r>
      <w:r w:rsidRPr="00687C21">
        <w:rPr>
          <w:color w:val="000000" w:themeColor="text1"/>
          <w:sz w:val="20"/>
          <w:szCs w:val="20"/>
        </w:rPr>
        <w:t xml:space="preserve"> </w:t>
      </w:r>
      <w:r w:rsidRPr="00687C21">
        <w:rPr>
          <w:i/>
          <w:color w:val="000000" w:themeColor="text1"/>
          <w:sz w:val="20"/>
          <w:szCs w:val="20"/>
        </w:rPr>
        <w:t xml:space="preserve">Campbell v Frisbee </w:t>
      </w:r>
      <w:r w:rsidRPr="00687C21">
        <w:rPr>
          <w:color w:val="000000" w:themeColor="text1"/>
          <w:sz w:val="20"/>
          <w:szCs w:val="20"/>
        </w:rPr>
        <w:t>[2002] EMLR 31, [23].</w:t>
      </w:r>
    </w:p>
  </w:footnote>
  <w:footnote w:id="120">
    <w:p w14:paraId="7BD8E43B" w14:textId="5E866D96" w:rsidR="00BB5B8C" w:rsidRPr="00687C21" w:rsidRDefault="00BB5B8C" w:rsidP="00687C21">
      <w:pPr>
        <w:pStyle w:val="FootnoteText"/>
        <w:contextualSpacing/>
        <w:mirrorIndents/>
        <w:jc w:val="both"/>
        <w:rPr>
          <w:color w:val="000000" w:themeColor="text1"/>
          <w:sz w:val="20"/>
          <w:szCs w:val="20"/>
        </w:rPr>
      </w:pPr>
      <w:r w:rsidRPr="00687C21">
        <w:rPr>
          <w:rStyle w:val="FootnoteReference"/>
          <w:color w:val="000000" w:themeColor="text1"/>
          <w:sz w:val="20"/>
          <w:szCs w:val="20"/>
        </w:rPr>
        <w:footnoteRef/>
      </w:r>
      <w:r w:rsidRPr="00687C21">
        <w:rPr>
          <w:color w:val="000000" w:themeColor="text1"/>
          <w:sz w:val="20"/>
          <w:szCs w:val="20"/>
        </w:rPr>
        <w:t xml:space="preserve"> Lionel Bently and Brad Sherman, </w:t>
      </w:r>
      <w:r w:rsidRPr="00687C21">
        <w:rPr>
          <w:i/>
          <w:color w:val="000000" w:themeColor="text1"/>
          <w:sz w:val="20"/>
          <w:szCs w:val="20"/>
        </w:rPr>
        <w:t>Intellectual Property Law</w:t>
      </w:r>
      <w:r w:rsidRPr="00687C21">
        <w:rPr>
          <w:color w:val="000000" w:themeColor="text1"/>
          <w:sz w:val="20"/>
          <w:szCs w:val="20"/>
        </w:rPr>
        <w:t xml:space="preserve"> (4th ed, OUP 2014) 1181.</w:t>
      </w:r>
    </w:p>
  </w:footnote>
  <w:footnote w:id="121">
    <w:p w14:paraId="4AB89E39" w14:textId="77777777" w:rsidR="00BB5B8C" w:rsidRPr="00687C21" w:rsidRDefault="00BB5B8C" w:rsidP="00687C21">
      <w:pPr>
        <w:pStyle w:val="FootnoteText"/>
        <w:contextualSpacing/>
        <w:mirrorIndents/>
        <w:jc w:val="both"/>
        <w:rPr>
          <w:color w:val="000000" w:themeColor="text1"/>
          <w:sz w:val="20"/>
          <w:szCs w:val="20"/>
        </w:rPr>
      </w:pPr>
      <w:r w:rsidRPr="00687C21">
        <w:rPr>
          <w:rStyle w:val="FootnoteReference"/>
          <w:color w:val="000000" w:themeColor="text1"/>
          <w:sz w:val="20"/>
          <w:szCs w:val="20"/>
        </w:rPr>
        <w:footnoteRef/>
      </w:r>
      <w:r w:rsidRPr="00687C21">
        <w:rPr>
          <w:color w:val="000000" w:themeColor="text1"/>
          <w:sz w:val="20"/>
          <w:szCs w:val="20"/>
        </w:rPr>
        <w:t xml:space="preserve"> </w:t>
      </w:r>
      <w:r w:rsidRPr="00687C21">
        <w:rPr>
          <w:i/>
          <w:color w:val="000000" w:themeColor="text1"/>
          <w:sz w:val="20"/>
          <w:szCs w:val="20"/>
        </w:rPr>
        <w:t>Lion Laboratories Ltd v Evans</w:t>
      </w:r>
      <w:r w:rsidRPr="00687C21">
        <w:rPr>
          <w:color w:val="000000" w:themeColor="text1"/>
          <w:sz w:val="20"/>
          <w:szCs w:val="20"/>
        </w:rPr>
        <w:t xml:space="preserve"> [1985] QB 526, 537.</w:t>
      </w:r>
    </w:p>
  </w:footnote>
  <w:footnote w:id="122">
    <w:p w14:paraId="279AD50A" w14:textId="5F6CCC93" w:rsidR="00BB5B8C" w:rsidRPr="00687C21" w:rsidRDefault="00BB5B8C" w:rsidP="00687C21">
      <w:pPr>
        <w:pStyle w:val="FootnoteText"/>
        <w:contextualSpacing/>
        <w:mirrorIndents/>
        <w:jc w:val="both"/>
        <w:rPr>
          <w:color w:val="000000" w:themeColor="text1"/>
          <w:sz w:val="20"/>
          <w:szCs w:val="20"/>
        </w:rPr>
      </w:pPr>
      <w:r w:rsidRPr="00687C21">
        <w:rPr>
          <w:rStyle w:val="FootnoteReference"/>
          <w:color w:val="000000" w:themeColor="text1"/>
          <w:sz w:val="20"/>
          <w:szCs w:val="20"/>
        </w:rPr>
        <w:footnoteRef/>
      </w:r>
      <w:r w:rsidRPr="00687C21">
        <w:rPr>
          <w:color w:val="000000" w:themeColor="text1"/>
          <w:sz w:val="20"/>
          <w:szCs w:val="20"/>
        </w:rPr>
        <w:t xml:space="preserve"> Trade Secrets Directive, art 1(2)(b).</w:t>
      </w:r>
    </w:p>
  </w:footnote>
  <w:footnote w:id="123">
    <w:p w14:paraId="79EB9C6C" w14:textId="0D2BE405" w:rsidR="00BB5B8C" w:rsidRPr="00687C21" w:rsidRDefault="00BB5B8C" w:rsidP="00687C21">
      <w:pPr>
        <w:pStyle w:val="FootnoteText"/>
        <w:contextualSpacing/>
        <w:mirrorIndents/>
        <w:jc w:val="both"/>
        <w:rPr>
          <w:color w:val="000000" w:themeColor="text1"/>
          <w:sz w:val="20"/>
          <w:szCs w:val="20"/>
        </w:rPr>
      </w:pPr>
      <w:r w:rsidRPr="00687C21">
        <w:rPr>
          <w:rStyle w:val="FootnoteReference"/>
          <w:color w:val="000000" w:themeColor="text1"/>
          <w:sz w:val="20"/>
          <w:szCs w:val="20"/>
        </w:rPr>
        <w:footnoteRef/>
      </w:r>
      <w:r w:rsidRPr="00687C21">
        <w:rPr>
          <w:color w:val="000000" w:themeColor="text1"/>
          <w:sz w:val="20"/>
          <w:szCs w:val="20"/>
        </w:rPr>
        <w:t xml:space="preserve"> The European provision regarding the exceptions does not introduce a stand-alone public interest defence. Indeed, a defence is available if the acquisition, use, or disclosure was “</w:t>
      </w:r>
      <w:r w:rsidRPr="00687C21">
        <w:rPr>
          <w:color w:val="000000" w:themeColor="text1"/>
          <w:sz w:val="20"/>
          <w:szCs w:val="20"/>
          <w:shd w:val="clear" w:color="auto" w:fill="FFFFFF"/>
        </w:rPr>
        <w:t>for revealing misconduct, wrongdoing or illegal activity, provided that the respondent acted for the purpose of protecting the general public interest” (Trade Secrets Directive, art 5(b)). Unlike the EU, in the UK the public interest is a defence in its own right (</w:t>
      </w:r>
      <w:r w:rsidRPr="00687C21">
        <w:rPr>
          <w:i/>
          <w:color w:val="000000" w:themeColor="text1"/>
          <w:sz w:val="20"/>
          <w:szCs w:val="20"/>
          <w:shd w:val="clear" w:color="auto" w:fill="FFFFFF"/>
        </w:rPr>
        <w:t xml:space="preserve">Initial Services v Putterill </w:t>
      </w:r>
      <w:r w:rsidRPr="00687C21">
        <w:rPr>
          <w:color w:val="000000" w:themeColor="text1"/>
          <w:sz w:val="20"/>
          <w:szCs w:val="20"/>
          <w:shd w:val="clear" w:color="auto" w:fill="FFFFFF"/>
        </w:rPr>
        <w:t>[1968] 1 QB 396). However, the ‘legitimate interest’ exception is broader and may prove to be more useful (Trade Secrets Directive, art 5(d).</w:t>
      </w:r>
    </w:p>
  </w:footnote>
  <w:footnote w:id="124">
    <w:p w14:paraId="5EDCD97D" w14:textId="085F56AA" w:rsidR="00BB5B8C" w:rsidRPr="00687C21" w:rsidRDefault="00BB5B8C" w:rsidP="00687C21">
      <w:pPr>
        <w:pStyle w:val="FootnoteText"/>
        <w:contextualSpacing/>
        <w:mirrorIndents/>
        <w:jc w:val="both"/>
        <w:rPr>
          <w:color w:val="000000" w:themeColor="text1"/>
          <w:sz w:val="20"/>
          <w:szCs w:val="20"/>
        </w:rPr>
      </w:pPr>
      <w:r w:rsidRPr="00E315C1">
        <w:rPr>
          <w:rStyle w:val="FootnoteReference"/>
        </w:rPr>
        <w:footnoteRef/>
      </w:r>
      <w:r w:rsidRPr="00687C21">
        <w:rPr>
          <w:color w:val="000000" w:themeColor="text1"/>
          <w:sz w:val="20"/>
          <w:szCs w:val="20"/>
        </w:rPr>
        <w:t xml:space="preserve"> Agreement on the trade-related aspects of intellectual property rights (TRIPs), art 10(1).</w:t>
      </w:r>
    </w:p>
  </w:footnote>
  <w:footnote w:id="125">
    <w:p w14:paraId="59906CCC" w14:textId="2D557028" w:rsidR="00BB5B8C" w:rsidRPr="00687C21" w:rsidRDefault="00BB5B8C" w:rsidP="00687C21">
      <w:pPr>
        <w:pStyle w:val="FootnoteText"/>
        <w:contextualSpacing/>
        <w:mirrorIndents/>
        <w:jc w:val="both"/>
        <w:rPr>
          <w:color w:val="000000" w:themeColor="text1"/>
          <w:sz w:val="20"/>
          <w:szCs w:val="20"/>
        </w:rPr>
      </w:pPr>
      <w:r w:rsidRPr="00E315C1">
        <w:rPr>
          <w:rStyle w:val="FootnoteReference"/>
        </w:rPr>
        <w:footnoteRef/>
      </w:r>
      <w:r w:rsidRPr="00687C21">
        <w:rPr>
          <w:color w:val="000000" w:themeColor="text1"/>
          <w:sz w:val="20"/>
          <w:szCs w:val="20"/>
        </w:rPr>
        <w:t xml:space="preserve"> In the field of computer programs, on the idea whereby copyright covers the expression of the ideas and not the ideas in themselves, see </w:t>
      </w:r>
      <w:r w:rsidRPr="00687C21">
        <w:rPr>
          <w:i/>
          <w:color w:val="000000" w:themeColor="text1"/>
          <w:sz w:val="20"/>
          <w:szCs w:val="20"/>
        </w:rPr>
        <w:t>SAS Institute II</w:t>
      </w:r>
      <w:r w:rsidRPr="00687C21">
        <w:rPr>
          <w:color w:val="000000" w:themeColor="text1"/>
          <w:sz w:val="20"/>
          <w:szCs w:val="20"/>
        </w:rPr>
        <w:t xml:space="preserve"> (n </w:t>
      </w:r>
      <w:r w:rsidR="00C97818">
        <w:rPr>
          <w:color w:val="000000" w:themeColor="text1"/>
          <w:sz w:val="20"/>
          <w:szCs w:val="20"/>
        </w:rPr>
        <w:t>117</w:t>
      </w:r>
      <w:r w:rsidRPr="00687C21">
        <w:rPr>
          <w:color w:val="000000" w:themeColor="text1"/>
          <w:sz w:val="20"/>
          <w:szCs w:val="20"/>
        </w:rPr>
        <w:t xml:space="preserve">); </w:t>
      </w:r>
      <w:r w:rsidRPr="00687C21">
        <w:rPr>
          <w:i/>
          <w:iCs/>
          <w:color w:val="000000" w:themeColor="text1"/>
          <w:sz w:val="20"/>
          <w:szCs w:val="20"/>
        </w:rPr>
        <w:t>Navitaire Inc v EasyJet Airline Co Ltd (III)</w:t>
      </w:r>
      <w:r w:rsidRPr="00687C21">
        <w:rPr>
          <w:iCs/>
          <w:color w:val="000000" w:themeColor="text1"/>
          <w:sz w:val="20"/>
          <w:szCs w:val="20"/>
        </w:rPr>
        <w:t xml:space="preserve"> [2004] EWHC 1725 (Ch)</w:t>
      </w:r>
      <w:r w:rsidRPr="00687C21">
        <w:rPr>
          <w:color w:val="000000" w:themeColor="text1"/>
          <w:sz w:val="20"/>
          <w:szCs w:val="20"/>
        </w:rPr>
        <w:t xml:space="preserve">. On the graphic user interface (GUI), see </w:t>
      </w:r>
      <w:r w:rsidRPr="00687C21">
        <w:rPr>
          <w:bCs/>
          <w:i/>
          <w:color w:val="000000" w:themeColor="text1"/>
          <w:sz w:val="20"/>
          <w:szCs w:val="20"/>
        </w:rPr>
        <w:t xml:space="preserve">Bezpečnostní softwarová asociace - Svaz softwarové ochrany v Ministerstvo kultury </w:t>
      </w:r>
      <w:r w:rsidRPr="00687C21">
        <w:rPr>
          <w:bCs/>
          <w:color w:val="000000" w:themeColor="text1"/>
          <w:sz w:val="20"/>
          <w:szCs w:val="20"/>
        </w:rPr>
        <w:t xml:space="preserve">[2010] ECR </w:t>
      </w:r>
      <w:r w:rsidRPr="00687C21">
        <w:rPr>
          <w:color w:val="000000" w:themeColor="text1"/>
          <w:sz w:val="20"/>
          <w:szCs w:val="20"/>
        </w:rPr>
        <w:t>I-13971.</w:t>
      </w:r>
    </w:p>
  </w:footnote>
  <w:footnote w:id="126">
    <w:p w14:paraId="14AAA687" w14:textId="4E48A205" w:rsidR="00BB5B8C" w:rsidRPr="00687C21" w:rsidRDefault="00BB5B8C" w:rsidP="00687C21">
      <w:pPr>
        <w:pStyle w:val="FootnoteText"/>
        <w:contextualSpacing/>
        <w:mirrorIndents/>
        <w:jc w:val="both"/>
        <w:rPr>
          <w:color w:val="000000" w:themeColor="text1"/>
          <w:sz w:val="20"/>
          <w:szCs w:val="20"/>
        </w:rPr>
      </w:pPr>
      <w:r w:rsidRPr="00687C21">
        <w:rPr>
          <w:rStyle w:val="FootnoteReference"/>
          <w:color w:val="000000" w:themeColor="text1"/>
          <w:sz w:val="20"/>
          <w:szCs w:val="20"/>
        </w:rPr>
        <w:footnoteRef/>
      </w:r>
      <w:r w:rsidRPr="00687C21">
        <w:rPr>
          <w:color w:val="000000" w:themeColor="text1"/>
          <w:sz w:val="20"/>
          <w:szCs w:val="20"/>
        </w:rPr>
        <w:t xml:space="preserve"> Daniel J.M. Attridge, ‘Challenging claims! Patenting computer programs in Europe and the USA’ (2001) 1 Intellectual Property Quarterly 22.</w:t>
      </w:r>
    </w:p>
  </w:footnote>
  <w:footnote w:id="127">
    <w:p w14:paraId="71C34967" w14:textId="0ECAE39A" w:rsidR="00BB5B8C" w:rsidRPr="00687C21" w:rsidRDefault="00BB5B8C" w:rsidP="00687C21">
      <w:pPr>
        <w:pStyle w:val="FootnoteText"/>
        <w:contextualSpacing/>
        <w:mirrorIndents/>
        <w:jc w:val="both"/>
        <w:rPr>
          <w:color w:val="000000" w:themeColor="text1"/>
          <w:sz w:val="20"/>
          <w:szCs w:val="20"/>
        </w:rPr>
      </w:pPr>
      <w:r w:rsidRPr="00687C21">
        <w:rPr>
          <w:rStyle w:val="FootnoteReference"/>
          <w:color w:val="000000" w:themeColor="text1"/>
          <w:sz w:val="20"/>
          <w:szCs w:val="20"/>
        </w:rPr>
        <w:footnoteRef/>
      </w:r>
      <w:r w:rsidRPr="00687C21">
        <w:rPr>
          <w:color w:val="000000" w:themeColor="text1"/>
          <w:sz w:val="20"/>
          <w:szCs w:val="20"/>
        </w:rPr>
        <w:t xml:space="preserve"> Guido Noto La Diega, ‘Software patents and the Internet of Things in Europe, the United States, and India’ (2017) 39(3) European Intellectual Property Review 173.</w:t>
      </w:r>
    </w:p>
  </w:footnote>
  <w:footnote w:id="128">
    <w:p w14:paraId="6BE3F5BE" w14:textId="5DECA7F7" w:rsidR="00BB5B8C" w:rsidRPr="00687C21" w:rsidRDefault="00BB5B8C" w:rsidP="00687C21">
      <w:pPr>
        <w:pStyle w:val="FootnoteText"/>
        <w:contextualSpacing/>
        <w:mirrorIndents/>
        <w:jc w:val="both"/>
        <w:rPr>
          <w:color w:val="000000" w:themeColor="text1"/>
          <w:sz w:val="20"/>
          <w:szCs w:val="20"/>
        </w:rPr>
      </w:pPr>
      <w:r w:rsidRPr="00E315C1">
        <w:rPr>
          <w:rStyle w:val="FootnoteReference"/>
        </w:rPr>
        <w:footnoteRef/>
      </w:r>
      <w:r w:rsidRPr="00687C21">
        <w:rPr>
          <w:color w:val="000000" w:themeColor="text1"/>
          <w:sz w:val="20"/>
          <w:szCs w:val="20"/>
        </w:rPr>
        <w:t xml:space="preserve"> As shown by Daehwan</w:t>
      </w:r>
      <w:r w:rsidRPr="00687C21">
        <w:rPr>
          <w:bCs/>
          <w:color w:val="000000" w:themeColor="text1"/>
          <w:sz w:val="20"/>
          <w:szCs w:val="20"/>
        </w:rPr>
        <w:t xml:space="preserve"> </w:t>
      </w:r>
      <w:r w:rsidRPr="00687C21">
        <w:rPr>
          <w:color w:val="000000" w:themeColor="text1"/>
          <w:sz w:val="20"/>
          <w:szCs w:val="20"/>
        </w:rPr>
        <w:t>Koo, ‘Patent and copyright protection of computer programs’ (2002) Intellectual Property Quarterly 172, 173, “[p]atent and copyright do not provide optimum protection for software innovations, because they are based on exclusive property rights which impede follow-on small-scale innovations such as software innovations”.</w:t>
      </w:r>
    </w:p>
  </w:footnote>
  <w:footnote w:id="129">
    <w:p w14:paraId="48DA62AD" w14:textId="4F06706A" w:rsidR="00BB5B8C" w:rsidRPr="00687C21" w:rsidRDefault="00BB5B8C" w:rsidP="00687C21">
      <w:pPr>
        <w:pStyle w:val="FootnoteText"/>
        <w:jc w:val="both"/>
        <w:rPr>
          <w:color w:val="000000" w:themeColor="text1"/>
          <w:sz w:val="20"/>
          <w:szCs w:val="20"/>
        </w:rPr>
      </w:pPr>
      <w:r w:rsidRPr="00687C21">
        <w:rPr>
          <w:rStyle w:val="FootnoteReference"/>
          <w:color w:val="000000" w:themeColor="text1"/>
          <w:sz w:val="20"/>
          <w:szCs w:val="20"/>
        </w:rPr>
        <w:footnoteRef/>
      </w:r>
      <w:r w:rsidRPr="00687C21">
        <w:rPr>
          <w:color w:val="000000" w:themeColor="text1"/>
          <w:sz w:val="20"/>
          <w:szCs w:val="20"/>
        </w:rPr>
        <w:t xml:space="preserve"> The search engine of the European Patent Office does not allow to retrieve data of a similar granularity.</w:t>
      </w:r>
    </w:p>
  </w:footnote>
  <w:footnote w:id="130">
    <w:p w14:paraId="426B6570" w14:textId="0C9B1EC1" w:rsidR="00BB5B8C" w:rsidRPr="00687C21" w:rsidRDefault="00BB5B8C" w:rsidP="00687C21">
      <w:pPr>
        <w:pStyle w:val="FootnoteText"/>
        <w:contextualSpacing/>
        <w:mirrorIndents/>
        <w:jc w:val="both"/>
        <w:rPr>
          <w:color w:val="000000" w:themeColor="text1"/>
          <w:sz w:val="20"/>
          <w:szCs w:val="20"/>
        </w:rPr>
      </w:pPr>
      <w:r w:rsidRPr="00687C21">
        <w:rPr>
          <w:rStyle w:val="FootnoteReference"/>
          <w:color w:val="000000" w:themeColor="text1"/>
          <w:sz w:val="20"/>
          <w:szCs w:val="20"/>
        </w:rPr>
        <w:footnoteRef/>
      </w:r>
      <w:r w:rsidRPr="00687C21">
        <w:rPr>
          <w:color w:val="000000" w:themeColor="text1"/>
          <w:sz w:val="20"/>
          <w:szCs w:val="20"/>
        </w:rPr>
        <w:t xml:space="preserve"> These data and the following data, including those used in Table 1, were retrieved (and partly calculated) using the US Patent and Trademark Office (USPTO) Patent Full-Text and Image Database, accessed on 9 September 2017. The method is the same used by Allen Clark Zoracki, ‘When Is an Algorithm Invented: The Need for a New Paradigm for Evaluating an Algorithm for Intellectual Property Protection’ (2005) 15 Alb. L.J. Sci. &amp; Tech. 579, 585, with regards to the patents granted between 1994 and 2003.</w:t>
      </w:r>
    </w:p>
  </w:footnote>
  <w:footnote w:id="131">
    <w:p w14:paraId="137E68E7" w14:textId="4DBD7FE6" w:rsidR="00BB5B8C" w:rsidRPr="00687C21" w:rsidRDefault="00BB5B8C" w:rsidP="00687C21">
      <w:pPr>
        <w:pStyle w:val="FootnoteText"/>
        <w:jc w:val="both"/>
        <w:rPr>
          <w:color w:val="000000" w:themeColor="text1"/>
          <w:sz w:val="20"/>
          <w:szCs w:val="20"/>
        </w:rPr>
      </w:pPr>
      <w:r w:rsidRPr="00687C21">
        <w:rPr>
          <w:rStyle w:val="FootnoteReference"/>
          <w:color w:val="000000" w:themeColor="text1"/>
          <w:sz w:val="20"/>
          <w:szCs w:val="20"/>
        </w:rPr>
        <w:footnoteRef/>
      </w:r>
      <w:r w:rsidRPr="00687C21">
        <w:rPr>
          <w:color w:val="000000" w:themeColor="text1"/>
          <w:sz w:val="20"/>
          <w:szCs w:val="20"/>
        </w:rPr>
        <w:t xml:space="preserve"> The faster growth of software patents may be related also to the fact that algorithms can be perceived as mere abstract ideas non-eligible for patent protection. Therefore, some applicants may purposely shy away from using the word ‘algorithm’ in the specifications.</w:t>
      </w:r>
    </w:p>
  </w:footnote>
  <w:footnote w:id="132">
    <w:p w14:paraId="411E93A9" w14:textId="7CC56609" w:rsidR="00BB5B8C" w:rsidRPr="00687C21" w:rsidRDefault="00BB5B8C" w:rsidP="00687C21">
      <w:pPr>
        <w:pStyle w:val="FootnoteText"/>
        <w:jc w:val="both"/>
        <w:rPr>
          <w:color w:val="000000" w:themeColor="text1"/>
          <w:sz w:val="20"/>
          <w:szCs w:val="20"/>
        </w:rPr>
      </w:pPr>
      <w:r w:rsidRPr="00687C21">
        <w:rPr>
          <w:rStyle w:val="FootnoteReference"/>
          <w:color w:val="000000" w:themeColor="text1"/>
          <w:sz w:val="20"/>
          <w:szCs w:val="20"/>
        </w:rPr>
        <w:footnoteRef/>
      </w:r>
      <w:r w:rsidRPr="00687C21">
        <w:rPr>
          <w:color w:val="000000" w:themeColor="text1"/>
          <w:sz w:val="20"/>
          <w:szCs w:val="20"/>
        </w:rPr>
        <w:t xml:space="preserve"> The period analysed is from 9 September 2016 to 9 September 2017. The same applies to the following rows. </w:t>
      </w:r>
    </w:p>
  </w:footnote>
  <w:footnote w:id="133">
    <w:p w14:paraId="235767A5" w14:textId="01FEB687" w:rsidR="00BB5B8C" w:rsidRPr="00687C21" w:rsidRDefault="00BB5B8C" w:rsidP="00687C21">
      <w:pPr>
        <w:pStyle w:val="FootnoteText"/>
        <w:contextualSpacing/>
        <w:mirrorIndents/>
        <w:jc w:val="both"/>
        <w:rPr>
          <w:color w:val="000000" w:themeColor="text1"/>
          <w:sz w:val="20"/>
          <w:szCs w:val="20"/>
        </w:rPr>
      </w:pPr>
      <w:r w:rsidRPr="00687C21">
        <w:rPr>
          <w:rStyle w:val="FootnoteReference"/>
          <w:color w:val="000000" w:themeColor="text1"/>
          <w:sz w:val="20"/>
          <w:szCs w:val="20"/>
        </w:rPr>
        <w:footnoteRef/>
      </w:r>
      <w:r w:rsidRPr="00687C21">
        <w:rPr>
          <w:color w:val="000000" w:themeColor="text1"/>
          <w:sz w:val="20"/>
          <w:szCs w:val="20"/>
        </w:rPr>
        <w:t xml:space="preserve"> There are mainly three systems for the protection of computer programs. First, one may refer to the double binary of copyright and patent protection, as exemplified by the US approach. Second, there is the hybrid system where alongside copyright, there is a rule excluding computer programs from patentability, but only if claimed ‘as such.’ This is the system that one finds in Europe. Finally, there is single binary (only copyright) protection. This system is the least common, see the Philippines, which are moving towards the hybrid system. There is a convergence between the double binary and the hybrid systems, with a trend towards a </w:t>
      </w:r>
      <w:r w:rsidRPr="00687C21">
        <w:rPr>
          <w:i/>
          <w:color w:val="000000" w:themeColor="text1"/>
          <w:sz w:val="20"/>
          <w:szCs w:val="20"/>
        </w:rPr>
        <w:t>de facto</w:t>
      </w:r>
      <w:r w:rsidRPr="00687C21">
        <w:rPr>
          <w:color w:val="000000" w:themeColor="text1"/>
          <w:sz w:val="20"/>
          <w:szCs w:val="20"/>
        </w:rPr>
        <w:t xml:space="preserve"> generalised double binary.</w:t>
      </w:r>
    </w:p>
  </w:footnote>
  <w:footnote w:id="134">
    <w:p w14:paraId="6B2FF4E3" w14:textId="13302140" w:rsidR="00BB5B8C" w:rsidRPr="00687C21" w:rsidRDefault="00BB5B8C" w:rsidP="00687C21">
      <w:pPr>
        <w:pStyle w:val="FootnoteText"/>
        <w:contextualSpacing/>
        <w:mirrorIndents/>
        <w:jc w:val="both"/>
        <w:rPr>
          <w:color w:val="000000" w:themeColor="text1"/>
          <w:sz w:val="20"/>
          <w:szCs w:val="20"/>
        </w:rPr>
      </w:pPr>
      <w:r w:rsidRPr="00687C21">
        <w:rPr>
          <w:rStyle w:val="FootnoteReference"/>
          <w:color w:val="000000" w:themeColor="text1"/>
          <w:sz w:val="20"/>
          <w:szCs w:val="20"/>
        </w:rPr>
        <w:footnoteRef/>
      </w:r>
      <w:r w:rsidRPr="00687C21">
        <w:rPr>
          <w:color w:val="000000" w:themeColor="text1"/>
          <w:sz w:val="20"/>
          <w:szCs w:val="20"/>
        </w:rPr>
        <w:t xml:space="preserve"> European Patent Convention, art 52(2).</w:t>
      </w:r>
    </w:p>
  </w:footnote>
  <w:footnote w:id="135">
    <w:p w14:paraId="29D2A167" w14:textId="77777777" w:rsidR="00BB5B8C" w:rsidRPr="00687C21" w:rsidRDefault="00BB5B8C" w:rsidP="00687C21">
      <w:pPr>
        <w:pStyle w:val="FootnoteText"/>
        <w:contextualSpacing/>
        <w:mirrorIndents/>
        <w:jc w:val="both"/>
        <w:rPr>
          <w:color w:val="000000" w:themeColor="text1"/>
          <w:sz w:val="20"/>
          <w:szCs w:val="20"/>
        </w:rPr>
      </w:pPr>
      <w:r w:rsidRPr="00687C21">
        <w:rPr>
          <w:rStyle w:val="FootnoteReference"/>
          <w:color w:val="000000" w:themeColor="text1"/>
          <w:sz w:val="20"/>
          <w:szCs w:val="20"/>
        </w:rPr>
        <w:footnoteRef/>
      </w:r>
      <w:r w:rsidRPr="00687C21">
        <w:rPr>
          <w:color w:val="000000" w:themeColor="text1"/>
          <w:sz w:val="20"/>
          <w:szCs w:val="20"/>
        </w:rPr>
        <w:t xml:space="preserve"> </w:t>
      </w:r>
      <w:r w:rsidRPr="00687C21">
        <w:rPr>
          <w:bCs/>
          <w:color w:val="000000" w:themeColor="text1"/>
          <w:sz w:val="20"/>
          <w:szCs w:val="20"/>
        </w:rPr>
        <w:t>T 1173/</w:t>
      </w:r>
      <w:r w:rsidRPr="00687C21">
        <w:rPr>
          <w:color w:val="000000" w:themeColor="text1"/>
          <w:sz w:val="20"/>
          <w:szCs w:val="20"/>
        </w:rPr>
        <w:t>97</w:t>
      </w:r>
      <w:r w:rsidRPr="00687C21">
        <w:rPr>
          <w:bCs/>
          <w:color w:val="000000" w:themeColor="text1"/>
          <w:sz w:val="20"/>
          <w:szCs w:val="20"/>
        </w:rPr>
        <w:t xml:space="preserve"> (Computer program product) of 1 July 1998.</w:t>
      </w:r>
    </w:p>
  </w:footnote>
  <w:footnote w:id="136">
    <w:p w14:paraId="1086A67E" w14:textId="77777777" w:rsidR="00BB5B8C" w:rsidRPr="00687C21" w:rsidRDefault="00BB5B8C" w:rsidP="00687C21">
      <w:pPr>
        <w:pStyle w:val="FootnoteText"/>
        <w:contextualSpacing/>
        <w:mirrorIndents/>
        <w:jc w:val="both"/>
        <w:rPr>
          <w:color w:val="000000" w:themeColor="text1"/>
          <w:sz w:val="20"/>
          <w:szCs w:val="20"/>
        </w:rPr>
      </w:pPr>
      <w:r w:rsidRPr="00687C21">
        <w:rPr>
          <w:rStyle w:val="FootnoteReference"/>
          <w:color w:val="000000" w:themeColor="text1"/>
          <w:sz w:val="20"/>
          <w:szCs w:val="20"/>
        </w:rPr>
        <w:footnoteRef/>
      </w:r>
      <w:r w:rsidRPr="00687C21">
        <w:rPr>
          <w:color w:val="000000" w:themeColor="text1"/>
          <w:sz w:val="20"/>
          <w:szCs w:val="20"/>
        </w:rPr>
        <w:t xml:space="preserve"> </w:t>
      </w:r>
      <w:r w:rsidRPr="00687C21">
        <w:rPr>
          <w:bCs/>
          <w:color w:val="000000" w:themeColor="text1"/>
          <w:sz w:val="20"/>
          <w:szCs w:val="20"/>
        </w:rPr>
        <w:t>T 0424/03 (Clipboard formats I/MICROSOFT) of 23 February 2006</w:t>
      </w:r>
      <w:r w:rsidRPr="00687C21">
        <w:rPr>
          <w:color w:val="000000" w:themeColor="text1"/>
          <w:sz w:val="20"/>
          <w:szCs w:val="20"/>
        </w:rPr>
        <w:t xml:space="preserve">; </w:t>
      </w:r>
      <w:r w:rsidRPr="00687C21">
        <w:rPr>
          <w:bCs/>
          <w:color w:val="000000" w:themeColor="text1"/>
          <w:sz w:val="20"/>
          <w:szCs w:val="20"/>
        </w:rPr>
        <w:t>T 0258/03 (Auction method/HITACHI) of 21 April 2004.</w:t>
      </w:r>
    </w:p>
  </w:footnote>
  <w:footnote w:id="137">
    <w:p w14:paraId="18ADDA7C" w14:textId="5296E38E" w:rsidR="00BB5B8C" w:rsidRPr="00687C21" w:rsidRDefault="00BB5B8C" w:rsidP="00687C21">
      <w:pPr>
        <w:pStyle w:val="FootnoteText"/>
        <w:contextualSpacing/>
        <w:mirrorIndents/>
        <w:jc w:val="both"/>
        <w:rPr>
          <w:color w:val="000000" w:themeColor="text1"/>
          <w:sz w:val="20"/>
          <w:szCs w:val="20"/>
        </w:rPr>
      </w:pPr>
      <w:r w:rsidRPr="00687C21">
        <w:rPr>
          <w:rStyle w:val="FootnoteReference"/>
          <w:color w:val="000000" w:themeColor="text1"/>
          <w:sz w:val="20"/>
          <w:szCs w:val="20"/>
        </w:rPr>
        <w:footnoteRef/>
      </w:r>
      <w:r w:rsidRPr="00687C21">
        <w:rPr>
          <w:color w:val="000000" w:themeColor="text1"/>
          <w:sz w:val="20"/>
          <w:szCs w:val="20"/>
        </w:rPr>
        <w:t xml:space="preserve"> </w:t>
      </w:r>
      <w:r w:rsidR="00C97818">
        <w:rPr>
          <w:bCs/>
          <w:color w:val="000000" w:themeColor="text1"/>
          <w:sz w:val="20"/>
          <w:szCs w:val="20"/>
        </w:rPr>
        <w:t xml:space="preserve">G </w:t>
      </w:r>
      <w:r w:rsidRPr="00687C21">
        <w:rPr>
          <w:bCs/>
          <w:color w:val="000000" w:themeColor="text1"/>
          <w:sz w:val="20"/>
          <w:szCs w:val="20"/>
        </w:rPr>
        <w:t>3/08 (Referral by the President of the EPO in relation to a point of law … of 16 October 2009; T 1173/97 (Computerprogrammprodukt) of 1 July 1998.</w:t>
      </w:r>
    </w:p>
  </w:footnote>
  <w:footnote w:id="138">
    <w:p w14:paraId="60A38F0D" w14:textId="77777777" w:rsidR="00BB5B8C" w:rsidRPr="00687C21" w:rsidRDefault="00BB5B8C" w:rsidP="00687C21">
      <w:pPr>
        <w:pStyle w:val="FootnoteText"/>
        <w:contextualSpacing/>
        <w:mirrorIndents/>
        <w:jc w:val="both"/>
        <w:rPr>
          <w:color w:val="000000" w:themeColor="text1"/>
          <w:sz w:val="20"/>
          <w:szCs w:val="20"/>
        </w:rPr>
      </w:pPr>
      <w:r w:rsidRPr="00687C21">
        <w:rPr>
          <w:rStyle w:val="FootnoteReference"/>
          <w:color w:val="000000" w:themeColor="text1"/>
          <w:sz w:val="20"/>
          <w:szCs w:val="20"/>
        </w:rPr>
        <w:footnoteRef/>
      </w:r>
      <w:r w:rsidRPr="00687C21">
        <w:rPr>
          <w:color w:val="000000" w:themeColor="text1"/>
          <w:sz w:val="20"/>
          <w:szCs w:val="20"/>
        </w:rPr>
        <w:t xml:space="preserve"> [2008] EWCA Civ 1066, [16] [49] [51 [59].</w:t>
      </w:r>
    </w:p>
  </w:footnote>
  <w:footnote w:id="139">
    <w:p w14:paraId="7DB3D4EA" w14:textId="77777777" w:rsidR="00BB5B8C" w:rsidRPr="00687C21" w:rsidRDefault="00BB5B8C" w:rsidP="00687C21">
      <w:pPr>
        <w:pStyle w:val="FootnoteText"/>
        <w:contextualSpacing/>
        <w:mirrorIndents/>
        <w:jc w:val="both"/>
        <w:rPr>
          <w:color w:val="000000" w:themeColor="text1"/>
          <w:sz w:val="20"/>
          <w:szCs w:val="20"/>
        </w:rPr>
      </w:pPr>
      <w:r w:rsidRPr="00687C21">
        <w:rPr>
          <w:rStyle w:val="FootnoteReference"/>
          <w:color w:val="000000" w:themeColor="text1"/>
          <w:sz w:val="20"/>
          <w:szCs w:val="20"/>
        </w:rPr>
        <w:footnoteRef/>
      </w:r>
      <w:r w:rsidRPr="00687C21">
        <w:rPr>
          <w:color w:val="000000" w:themeColor="text1"/>
          <w:sz w:val="20"/>
          <w:szCs w:val="20"/>
        </w:rPr>
        <w:t xml:space="preserve"> This was the law under </w:t>
      </w:r>
      <w:r w:rsidRPr="00687C21">
        <w:rPr>
          <w:i/>
          <w:color w:val="000000" w:themeColor="text1"/>
          <w:sz w:val="20"/>
          <w:szCs w:val="20"/>
        </w:rPr>
        <w:t xml:space="preserve">Aerotel v Telco Holdings </w:t>
      </w:r>
      <w:r w:rsidRPr="00687C21">
        <w:rPr>
          <w:color w:val="000000" w:themeColor="text1"/>
          <w:sz w:val="20"/>
          <w:szCs w:val="20"/>
        </w:rPr>
        <w:t>[2007] 1 All ER 225, [40].</w:t>
      </w:r>
    </w:p>
  </w:footnote>
  <w:footnote w:id="140">
    <w:p w14:paraId="773941B8" w14:textId="72C644E4" w:rsidR="00BB5B8C" w:rsidRPr="00687C21" w:rsidRDefault="00BB5B8C" w:rsidP="00687C21">
      <w:pPr>
        <w:jc w:val="both"/>
        <w:rPr>
          <w:color w:val="000000" w:themeColor="text1"/>
          <w:sz w:val="20"/>
          <w:szCs w:val="20"/>
        </w:rPr>
      </w:pPr>
      <w:r w:rsidRPr="00687C21">
        <w:rPr>
          <w:rStyle w:val="FootnoteReference"/>
          <w:color w:val="000000" w:themeColor="text1"/>
          <w:sz w:val="20"/>
          <w:szCs w:val="20"/>
        </w:rPr>
        <w:footnoteRef/>
      </w:r>
      <w:r w:rsidRPr="00687C21">
        <w:rPr>
          <w:color w:val="000000" w:themeColor="text1"/>
          <w:sz w:val="20"/>
          <w:szCs w:val="20"/>
        </w:rPr>
        <w:t xml:space="preserve"> </w:t>
      </w:r>
      <w:r w:rsidRPr="00687C21">
        <w:rPr>
          <w:bCs/>
          <w:i/>
          <w:color w:val="000000" w:themeColor="text1"/>
          <w:sz w:val="20"/>
          <w:szCs w:val="20"/>
          <w:lang w:eastAsia="ko-KR"/>
        </w:rPr>
        <w:t>Shopalotto.com Ltd, Re patent application GB 0017772.5</w:t>
      </w:r>
      <w:r w:rsidRPr="00687C21">
        <w:rPr>
          <w:bCs/>
          <w:color w:val="000000" w:themeColor="text1"/>
          <w:sz w:val="20"/>
          <w:szCs w:val="20"/>
          <w:lang w:eastAsia="ko-KR"/>
        </w:rPr>
        <w:t>: PATC 7 November 2005 [2005] EWHC 2416 (Pat), found that in a claim for a lottery game played on the internet, the technical effect did not go beyond the mere loading of a program into a computer.</w:t>
      </w:r>
    </w:p>
  </w:footnote>
  <w:footnote w:id="141">
    <w:p w14:paraId="76FC0420" w14:textId="61CD673E" w:rsidR="00BB5B8C" w:rsidRPr="00687C21" w:rsidRDefault="00BB5B8C" w:rsidP="00687C21">
      <w:pPr>
        <w:jc w:val="both"/>
        <w:rPr>
          <w:color w:val="000000" w:themeColor="text1"/>
          <w:sz w:val="20"/>
          <w:szCs w:val="20"/>
        </w:rPr>
      </w:pPr>
      <w:r w:rsidRPr="00687C21">
        <w:rPr>
          <w:rStyle w:val="FootnoteReference"/>
          <w:color w:val="000000" w:themeColor="text1"/>
          <w:sz w:val="20"/>
          <w:szCs w:val="20"/>
        </w:rPr>
        <w:footnoteRef/>
      </w:r>
      <w:r w:rsidRPr="00687C21">
        <w:rPr>
          <w:color w:val="000000" w:themeColor="text1"/>
          <w:sz w:val="20"/>
          <w:szCs w:val="20"/>
        </w:rPr>
        <w:t xml:space="preserve"> </w:t>
      </w:r>
      <w:r w:rsidRPr="00687C21">
        <w:rPr>
          <w:bCs/>
          <w:color w:val="000000" w:themeColor="text1"/>
          <w:sz w:val="20"/>
          <w:szCs w:val="20"/>
        </w:rPr>
        <w:t>T 1784/</w:t>
      </w:r>
      <w:r w:rsidRPr="00687C21">
        <w:rPr>
          <w:color w:val="000000" w:themeColor="text1"/>
          <w:sz w:val="20"/>
          <w:szCs w:val="20"/>
        </w:rPr>
        <w:t>06</w:t>
      </w:r>
      <w:r w:rsidRPr="00687C21">
        <w:rPr>
          <w:bCs/>
          <w:color w:val="000000" w:themeColor="text1"/>
          <w:sz w:val="20"/>
          <w:szCs w:val="20"/>
        </w:rPr>
        <w:t xml:space="preserve"> (Classification method/COMPTEL) of 21 September 2012. In the UK, in </w:t>
      </w:r>
      <w:r w:rsidRPr="00687C21">
        <w:rPr>
          <w:bCs/>
          <w:i/>
          <w:color w:val="000000" w:themeColor="text1"/>
          <w:sz w:val="20"/>
          <w:szCs w:val="20"/>
        </w:rPr>
        <w:t>Gale’s Application</w:t>
      </w:r>
      <w:r w:rsidRPr="00687C21">
        <w:rPr>
          <w:bCs/>
          <w:color w:val="000000" w:themeColor="text1"/>
          <w:sz w:val="20"/>
          <w:szCs w:val="20"/>
        </w:rPr>
        <w:t xml:space="preserve"> [1991] RPC 305, it was held that an algorithm used to calculate square roots could not be patented because it lacked any technical character.</w:t>
      </w:r>
    </w:p>
  </w:footnote>
  <w:footnote w:id="142">
    <w:p w14:paraId="3D3727DA" w14:textId="77777777" w:rsidR="00BB5B8C" w:rsidRPr="00687C21" w:rsidRDefault="00BB5B8C" w:rsidP="00687C21">
      <w:pPr>
        <w:pStyle w:val="FootnoteText"/>
        <w:contextualSpacing/>
        <w:mirrorIndents/>
        <w:jc w:val="both"/>
        <w:rPr>
          <w:color w:val="000000" w:themeColor="text1"/>
          <w:sz w:val="20"/>
          <w:szCs w:val="20"/>
        </w:rPr>
      </w:pPr>
      <w:r w:rsidRPr="00687C21">
        <w:rPr>
          <w:rStyle w:val="FootnoteReference"/>
          <w:color w:val="000000" w:themeColor="text1"/>
          <w:sz w:val="20"/>
          <w:szCs w:val="20"/>
        </w:rPr>
        <w:footnoteRef/>
      </w:r>
      <w:r w:rsidRPr="00687C21">
        <w:rPr>
          <w:color w:val="000000" w:themeColor="text1"/>
          <w:sz w:val="20"/>
          <w:szCs w:val="20"/>
        </w:rPr>
        <w:t xml:space="preserve"> </w:t>
      </w:r>
      <w:r w:rsidRPr="00687C21">
        <w:rPr>
          <w:bCs/>
          <w:color w:val="000000" w:themeColor="text1"/>
          <w:sz w:val="20"/>
          <w:szCs w:val="20"/>
        </w:rPr>
        <w:t xml:space="preserve">Ibid. </w:t>
      </w:r>
      <w:r w:rsidRPr="00687C21">
        <w:rPr>
          <w:color w:val="000000" w:themeColor="text1"/>
          <w:sz w:val="20"/>
          <w:szCs w:val="20"/>
          <w:shd w:val="clear" w:color="auto" w:fill="FFFFFF"/>
        </w:rPr>
        <w:t xml:space="preserve">3.1.1. See also </w:t>
      </w:r>
      <w:r w:rsidRPr="00687C21">
        <w:rPr>
          <w:bCs/>
          <w:color w:val="000000" w:themeColor="text1"/>
          <w:sz w:val="20"/>
          <w:szCs w:val="20"/>
        </w:rPr>
        <w:t>T 2249/13 (Mobile device/TRADE CAPTURE) of 17 October 2014.</w:t>
      </w:r>
    </w:p>
  </w:footnote>
  <w:footnote w:id="143">
    <w:p w14:paraId="0800A327" w14:textId="77777777" w:rsidR="00BB5B8C" w:rsidRPr="00687C21" w:rsidRDefault="00BB5B8C" w:rsidP="00687C21">
      <w:pPr>
        <w:pStyle w:val="FootnoteText"/>
        <w:contextualSpacing/>
        <w:mirrorIndents/>
        <w:jc w:val="both"/>
        <w:rPr>
          <w:color w:val="000000" w:themeColor="text1"/>
          <w:sz w:val="20"/>
          <w:szCs w:val="20"/>
        </w:rPr>
      </w:pPr>
      <w:r w:rsidRPr="00687C21">
        <w:rPr>
          <w:rStyle w:val="FootnoteReference"/>
          <w:color w:val="000000" w:themeColor="text1"/>
          <w:sz w:val="20"/>
          <w:szCs w:val="20"/>
        </w:rPr>
        <w:footnoteRef/>
      </w:r>
      <w:r w:rsidRPr="00687C21">
        <w:rPr>
          <w:color w:val="000000" w:themeColor="text1"/>
          <w:sz w:val="20"/>
          <w:szCs w:val="20"/>
        </w:rPr>
        <w:t xml:space="preserve"> </w:t>
      </w:r>
      <w:r w:rsidRPr="00687C21">
        <w:rPr>
          <w:bCs/>
          <w:color w:val="000000" w:themeColor="text1"/>
          <w:sz w:val="20"/>
          <w:szCs w:val="20"/>
        </w:rPr>
        <w:t>T 1358/</w:t>
      </w:r>
      <w:r w:rsidRPr="00687C21">
        <w:rPr>
          <w:color w:val="000000" w:themeColor="text1"/>
          <w:sz w:val="20"/>
          <w:szCs w:val="20"/>
        </w:rPr>
        <w:t>09</w:t>
      </w:r>
      <w:r w:rsidRPr="00687C21">
        <w:rPr>
          <w:bCs/>
          <w:color w:val="000000" w:themeColor="text1"/>
          <w:sz w:val="20"/>
          <w:szCs w:val="20"/>
        </w:rPr>
        <w:t xml:space="preserve"> (Classification/BDGB ENTERPRISE SOFTWARE) of 21 November 2014; T 1316/09 of 18 December 2012.</w:t>
      </w:r>
    </w:p>
  </w:footnote>
  <w:footnote w:id="144">
    <w:p w14:paraId="1B7FB130" w14:textId="77777777" w:rsidR="00BB5B8C" w:rsidRPr="00687C21" w:rsidRDefault="00BB5B8C" w:rsidP="00687C21">
      <w:pPr>
        <w:pStyle w:val="FootnoteText"/>
        <w:contextualSpacing/>
        <w:mirrorIndents/>
        <w:jc w:val="both"/>
        <w:rPr>
          <w:color w:val="000000" w:themeColor="text1"/>
          <w:sz w:val="20"/>
          <w:szCs w:val="20"/>
        </w:rPr>
      </w:pPr>
      <w:r w:rsidRPr="00687C21">
        <w:rPr>
          <w:rStyle w:val="FootnoteReference"/>
          <w:color w:val="000000" w:themeColor="text1"/>
          <w:sz w:val="20"/>
          <w:szCs w:val="20"/>
        </w:rPr>
        <w:footnoteRef/>
      </w:r>
      <w:r w:rsidRPr="00687C21">
        <w:rPr>
          <w:color w:val="000000" w:themeColor="text1"/>
          <w:sz w:val="20"/>
          <w:szCs w:val="20"/>
        </w:rPr>
        <w:t xml:space="preserve"> </w:t>
      </w:r>
      <w:r w:rsidRPr="00687C21">
        <w:rPr>
          <w:bCs/>
          <w:color w:val="000000" w:themeColor="text1"/>
          <w:sz w:val="20"/>
          <w:szCs w:val="20"/>
        </w:rPr>
        <w:t>T 1670/07 (Shopping with mobile device/NOKIA) of 11 July 2013.</w:t>
      </w:r>
    </w:p>
  </w:footnote>
  <w:footnote w:id="145">
    <w:p w14:paraId="0CBD43C0" w14:textId="5B3A4D06" w:rsidR="00BB5B8C" w:rsidRPr="00687C21" w:rsidRDefault="00BB5B8C" w:rsidP="00687C21">
      <w:pPr>
        <w:jc w:val="both"/>
        <w:rPr>
          <w:color w:val="000000" w:themeColor="text1"/>
          <w:sz w:val="20"/>
          <w:szCs w:val="20"/>
        </w:rPr>
      </w:pPr>
      <w:r w:rsidRPr="00687C21">
        <w:rPr>
          <w:rStyle w:val="FootnoteReference"/>
          <w:color w:val="000000" w:themeColor="text1"/>
          <w:sz w:val="20"/>
          <w:szCs w:val="20"/>
        </w:rPr>
        <w:footnoteRef/>
      </w:r>
      <w:r w:rsidRPr="00687C21">
        <w:rPr>
          <w:color w:val="000000" w:themeColor="text1"/>
          <w:sz w:val="20"/>
          <w:szCs w:val="20"/>
        </w:rPr>
        <w:t xml:space="preserve"> T 1358/09 (n </w:t>
      </w:r>
      <w:r w:rsidR="00C97818">
        <w:rPr>
          <w:color w:val="000000" w:themeColor="text1"/>
          <w:sz w:val="20"/>
          <w:szCs w:val="20"/>
        </w:rPr>
        <w:t>142</w:t>
      </w:r>
      <w:r w:rsidRPr="00687C21">
        <w:rPr>
          <w:color w:val="000000" w:themeColor="text1"/>
          <w:sz w:val="20"/>
          <w:szCs w:val="20"/>
        </w:rPr>
        <w:t>); see G 3/</w:t>
      </w:r>
      <w:r w:rsidRPr="00687C21">
        <w:rPr>
          <w:bCs/>
          <w:color w:val="000000" w:themeColor="text1"/>
          <w:sz w:val="20"/>
          <w:szCs w:val="20"/>
        </w:rPr>
        <w:t xml:space="preserve">08 (n </w:t>
      </w:r>
      <w:r w:rsidR="00C97818">
        <w:rPr>
          <w:bCs/>
          <w:color w:val="000000" w:themeColor="text1"/>
          <w:sz w:val="20"/>
          <w:szCs w:val="20"/>
        </w:rPr>
        <w:t>136</w:t>
      </w:r>
      <w:r w:rsidRPr="00687C21">
        <w:rPr>
          <w:bCs/>
          <w:color w:val="000000" w:themeColor="text1"/>
          <w:sz w:val="20"/>
          <w:szCs w:val="20"/>
        </w:rPr>
        <w:t xml:space="preserve">). </w:t>
      </w:r>
      <w:r w:rsidRPr="00687C21">
        <w:rPr>
          <w:bCs/>
          <w:i/>
          <w:color w:val="000000" w:themeColor="text1"/>
          <w:sz w:val="20"/>
          <w:szCs w:val="20"/>
        </w:rPr>
        <w:t>HTC Europe Co Ltd v Apple Inc</w:t>
      </w:r>
      <w:r w:rsidRPr="00687C21">
        <w:rPr>
          <w:bCs/>
          <w:color w:val="000000" w:themeColor="text1"/>
          <w:sz w:val="20"/>
          <w:szCs w:val="20"/>
        </w:rPr>
        <w:t xml:space="preserve"> [2013] EWCA Civ 451, provides a good guidance to understand if computer programs and algorithms are patentable because the invention produces a technical effect that goes beyond the excluded subject matter. </w:t>
      </w:r>
    </w:p>
  </w:footnote>
  <w:footnote w:id="146">
    <w:p w14:paraId="2CBDD5D7" w14:textId="7DF6C8BD" w:rsidR="00BB5B8C" w:rsidRPr="00687C21" w:rsidRDefault="00BB5B8C" w:rsidP="00687C21">
      <w:pPr>
        <w:pStyle w:val="FootnoteText"/>
        <w:jc w:val="both"/>
        <w:rPr>
          <w:color w:val="000000" w:themeColor="text1"/>
          <w:sz w:val="20"/>
          <w:szCs w:val="20"/>
        </w:rPr>
      </w:pPr>
      <w:r w:rsidRPr="00687C21">
        <w:rPr>
          <w:rStyle w:val="FootnoteReference"/>
          <w:color w:val="000000" w:themeColor="text1"/>
          <w:sz w:val="20"/>
          <w:szCs w:val="20"/>
        </w:rPr>
        <w:footnoteRef/>
      </w:r>
      <w:r w:rsidRPr="00687C21">
        <w:rPr>
          <w:color w:val="000000" w:themeColor="text1"/>
          <w:sz w:val="20"/>
          <w:szCs w:val="20"/>
        </w:rPr>
        <w:t xml:space="preserve"> Zoracki (n </w:t>
      </w:r>
      <w:r w:rsidR="00C97818">
        <w:rPr>
          <w:color w:val="000000" w:themeColor="text1"/>
          <w:sz w:val="20"/>
          <w:szCs w:val="20"/>
        </w:rPr>
        <w:t>129</w:t>
      </w:r>
      <w:r w:rsidRPr="00687C21">
        <w:rPr>
          <w:color w:val="000000" w:themeColor="text1"/>
          <w:sz w:val="20"/>
          <w:szCs w:val="20"/>
        </w:rPr>
        <w:t>) 579.</w:t>
      </w:r>
    </w:p>
  </w:footnote>
  <w:footnote w:id="147">
    <w:p w14:paraId="09C163F6" w14:textId="77777777" w:rsidR="00BB5B8C" w:rsidRPr="00687C21" w:rsidRDefault="00BB5B8C" w:rsidP="00687C21">
      <w:pPr>
        <w:pStyle w:val="FootnoteText"/>
        <w:jc w:val="both"/>
        <w:rPr>
          <w:color w:val="000000" w:themeColor="text1"/>
          <w:sz w:val="20"/>
          <w:szCs w:val="20"/>
        </w:rPr>
      </w:pPr>
      <w:r w:rsidRPr="00687C21">
        <w:rPr>
          <w:rStyle w:val="FootnoteReference"/>
          <w:color w:val="000000" w:themeColor="text1"/>
          <w:sz w:val="20"/>
          <w:szCs w:val="20"/>
        </w:rPr>
        <w:footnoteRef/>
      </w:r>
      <w:r w:rsidRPr="00687C21">
        <w:rPr>
          <w:color w:val="000000" w:themeColor="text1"/>
          <w:sz w:val="20"/>
          <w:szCs w:val="20"/>
        </w:rPr>
        <w:t xml:space="preserve"> ibid</w:t>
      </w:r>
      <w:r w:rsidRPr="00687C21">
        <w:rPr>
          <w:i/>
          <w:color w:val="000000" w:themeColor="text1"/>
          <w:sz w:val="20"/>
          <w:szCs w:val="20"/>
        </w:rPr>
        <w:t xml:space="preserve"> </w:t>
      </w:r>
      <w:r w:rsidRPr="00687C21">
        <w:rPr>
          <w:color w:val="000000" w:themeColor="text1"/>
          <w:sz w:val="20"/>
          <w:szCs w:val="20"/>
        </w:rPr>
        <w:t>605.</w:t>
      </w:r>
    </w:p>
  </w:footnote>
  <w:footnote w:id="148">
    <w:p w14:paraId="53DCD0E6" w14:textId="07313939" w:rsidR="00BB5B8C" w:rsidRPr="00687C21" w:rsidRDefault="00BB5B8C" w:rsidP="00687C21">
      <w:pPr>
        <w:pStyle w:val="FootnoteText"/>
        <w:contextualSpacing/>
        <w:mirrorIndents/>
        <w:jc w:val="both"/>
        <w:rPr>
          <w:color w:val="000000" w:themeColor="text1"/>
          <w:sz w:val="20"/>
          <w:szCs w:val="20"/>
        </w:rPr>
      </w:pPr>
      <w:r w:rsidRPr="00687C21">
        <w:rPr>
          <w:bCs/>
          <w:color w:val="000000" w:themeColor="text1"/>
          <w:sz w:val="20"/>
          <w:szCs w:val="20"/>
        </w:rPr>
        <w:footnoteRef/>
      </w:r>
      <w:r w:rsidRPr="00687C21">
        <w:rPr>
          <w:bCs/>
          <w:color w:val="000000" w:themeColor="text1"/>
          <w:sz w:val="20"/>
          <w:szCs w:val="20"/>
        </w:rPr>
        <w:t xml:space="preserve"> </w:t>
      </w:r>
      <w:r w:rsidRPr="00687C21">
        <w:rPr>
          <w:color w:val="000000" w:themeColor="text1"/>
          <w:sz w:val="20"/>
          <w:szCs w:val="20"/>
        </w:rPr>
        <w:t xml:space="preserve">See David Gilat, </w:t>
      </w:r>
      <w:r w:rsidRPr="00687C21">
        <w:rPr>
          <w:i/>
          <w:color w:val="000000" w:themeColor="text1"/>
          <w:sz w:val="20"/>
          <w:szCs w:val="20"/>
        </w:rPr>
        <w:t>Experimental use and patents</w:t>
      </w:r>
      <w:r w:rsidRPr="00687C21">
        <w:rPr>
          <w:color w:val="000000" w:themeColor="text1"/>
          <w:sz w:val="20"/>
          <w:szCs w:val="20"/>
        </w:rPr>
        <w:t xml:space="preserve"> (Wiley 1995); Alan J Devlin, ‘Restricting experimental use’ (2009) 32(2) Harvard Journal of Law and Public Policy 599; Jessica C Lai, ‘A right to adequate remuneration for the experimental use exception in patent law: collectively managing our way through the thickets and stacks in research?’ (2016) 1 Intellectual Property Quarterly 63.</w:t>
      </w:r>
    </w:p>
  </w:footnote>
  <w:footnote w:id="149">
    <w:p w14:paraId="5946F194" w14:textId="2DDE8211" w:rsidR="00BB5B8C" w:rsidRPr="00687C21" w:rsidRDefault="00BB5B8C" w:rsidP="00687C21">
      <w:pPr>
        <w:pStyle w:val="FootnoteText"/>
        <w:contextualSpacing/>
        <w:mirrorIndents/>
        <w:jc w:val="both"/>
        <w:rPr>
          <w:color w:val="000000" w:themeColor="text1"/>
          <w:sz w:val="20"/>
          <w:szCs w:val="20"/>
        </w:rPr>
      </w:pPr>
      <w:r w:rsidRPr="00687C21">
        <w:rPr>
          <w:rStyle w:val="FootnoteReference"/>
          <w:color w:val="000000" w:themeColor="text1"/>
          <w:sz w:val="20"/>
          <w:szCs w:val="20"/>
        </w:rPr>
        <w:footnoteRef/>
      </w:r>
      <w:r w:rsidRPr="00687C21">
        <w:rPr>
          <w:color w:val="000000" w:themeColor="text1"/>
          <w:sz w:val="20"/>
          <w:szCs w:val="20"/>
        </w:rPr>
        <w:t xml:space="preserve"> Patents Act 1977, s 60(5)(a).</w:t>
      </w:r>
    </w:p>
  </w:footnote>
  <w:footnote w:id="150">
    <w:p w14:paraId="11AE956F" w14:textId="7F60B7AB" w:rsidR="00BB5B8C" w:rsidRPr="00687C21" w:rsidRDefault="00BB5B8C" w:rsidP="00687C21">
      <w:pPr>
        <w:pStyle w:val="FootnoteText"/>
        <w:contextualSpacing/>
        <w:mirrorIndents/>
        <w:jc w:val="both"/>
        <w:rPr>
          <w:color w:val="000000" w:themeColor="text1"/>
          <w:sz w:val="20"/>
          <w:szCs w:val="20"/>
        </w:rPr>
      </w:pPr>
      <w:r w:rsidRPr="00687C21">
        <w:rPr>
          <w:rStyle w:val="FootnoteReference"/>
          <w:color w:val="000000" w:themeColor="text1"/>
          <w:sz w:val="20"/>
          <w:szCs w:val="20"/>
        </w:rPr>
        <w:footnoteRef/>
      </w:r>
      <w:r w:rsidRPr="00687C21">
        <w:rPr>
          <w:color w:val="000000" w:themeColor="text1"/>
          <w:sz w:val="20"/>
          <w:szCs w:val="20"/>
        </w:rPr>
        <w:t xml:space="preserve"> Patents Act 1977, s 60(5)(b).</w:t>
      </w:r>
    </w:p>
  </w:footnote>
  <w:footnote w:id="151">
    <w:p w14:paraId="71A76E8E" w14:textId="77777777" w:rsidR="00BB5B8C" w:rsidRPr="00687C21" w:rsidRDefault="00BB5B8C" w:rsidP="00687C21">
      <w:pPr>
        <w:pStyle w:val="FootnoteText"/>
        <w:contextualSpacing/>
        <w:mirrorIndents/>
        <w:jc w:val="both"/>
        <w:rPr>
          <w:color w:val="000000" w:themeColor="text1"/>
          <w:sz w:val="20"/>
          <w:szCs w:val="20"/>
        </w:rPr>
      </w:pPr>
      <w:r w:rsidRPr="00687C21">
        <w:rPr>
          <w:rStyle w:val="FootnoteReference"/>
          <w:color w:val="000000" w:themeColor="text1"/>
          <w:sz w:val="20"/>
          <w:szCs w:val="20"/>
        </w:rPr>
        <w:footnoteRef/>
      </w:r>
      <w:r w:rsidRPr="00687C21">
        <w:rPr>
          <w:color w:val="000000" w:themeColor="text1"/>
          <w:sz w:val="20"/>
          <w:szCs w:val="20"/>
        </w:rPr>
        <w:t xml:space="preserve"> </w:t>
      </w:r>
      <w:r w:rsidRPr="00687C21">
        <w:rPr>
          <w:i/>
          <w:color w:val="000000" w:themeColor="text1"/>
          <w:sz w:val="20"/>
          <w:szCs w:val="20"/>
        </w:rPr>
        <w:t xml:space="preserve">SKF Laboratories Ltd v Evans Medical Ltd </w:t>
      </w:r>
      <w:r w:rsidRPr="00687C21">
        <w:rPr>
          <w:color w:val="000000" w:themeColor="text1"/>
          <w:sz w:val="20"/>
          <w:szCs w:val="20"/>
        </w:rPr>
        <w:t>[1989] FSR 513.</w:t>
      </w:r>
    </w:p>
  </w:footnote>
  <w:footnote w:id="152">
    <w:p w14:paraId="3F49365F" w14:textId="6FB00C7E" w:rsidR="00BB5B8C" w:rsidRPr="00687C21" w:rsidRDefault="00BB5B8C" w:rsidP="00687C21">
      <w:pPr>
        <w:pStyle w:val="FootnoteText"/>
        <w:contextualSpacing/>
        <w:mirrorIndents/>
        <w:jc w:val="both"/>
        <w:rPr>
          <w:color w:val="000000" w:themeColor="text1"/>
          <w:sz w:val="20"/>
          <w:szCs w:val="20"/>
        </w:rPr>
      </w:pPr>
      <w:r w:rsidRPr="00687C21">
        <w:rPr>
          <w:bCs/>
          <w:color w:val="000000" w:themeColor="text1"/>
          <w:sz w:val="20"/>
          <w:szCs w:val="20"/>
        </w:rPr>
        <w:footnoteRef/>
      </w:r>
      <w:r w:rsidRPr="00687C21">
        <w:rPr>
          <w:bCs/>
          <w:color w:val="000000" w:themeColor="text1"/>
          <w:sz w:val="20"/>
          <w:szCs w:val="20"/>
        </w:rPr>
        <w:t xml:space="preserve"> See </w:t>
      </w:r>
      <w:r w:rsidRPr="00687C21">
        <w:rPr>
          <w:color w:val="000000" w:themeColor="text1"/>
          <w:sz w:val="20"/>
          <w:szCs w:val="20"/>
        </w:rPr>
        <w:t xml:space="preserve">Guido Noto La Diega, ‘In Light of the Ends. Copyright Hysteresis and Private Copy Exception after the British Academy of Songwriters, Composers and Authors (BASCA) and Others v Secretary of State for Business, Innovation and Skills Case’, in </w:t>
      </w:r>
      <w:r w:rsidRPr="00687C21">
        <w:rPr>
          <w:i/>
          <w:color w:val="000000" w:themeColor="text1"/>
          <w:sz w:val="20"/>
          <w:szCs w:val="20"/>
        </w:rPr>
        <w:t>Studi giuridici europei 2014</w:t>
      </w:r>
      <w:r w:rsidRPr="00687C21">
        <w:rPr>
          <w:color w:val="000000" w:themeColor="text1"/>
          <w:sz w:val="20"/>
          <w:szCs w:val="20"/>
        </w:rPr>
        <w:t xml:space="preserve"> (C Franchini ed, Giappichelli 2016) 39.</w:t>
      </w:r>
    </w:p>
  </w:footnote>
  <w:footnote w:id="153">
    <w:p w14:paraId="76B7ACDB" w14:textId="77777777" w:rsidR="00BB5B8C" w:rsidRPr="00687C21" w:rsidRDefault="00BB5B8C" w:rsidP="00687C21">
      <w:pPr>
        <w:pStyle w:val="FootnoteText"/>
        <w:contextualSpacing/>
        <w:mirrorIndents/>
        <w:jc w:val="both"/>
        <w:rPr>
          <w:color w:val="000000" w:themeColor="text1"/>
          <w:sz w:val="20"/>
          <w:szCs w:val="20"/>
        </w:rPr>
      </w:pPr>
      <w:r w:rsidRPr="00687C21">
        <w:rPr>
          <w:rStyle w:val="FootnoteReference"/>
          <w:color w:val="000000" w:themeColor="text1"/>
          <w:sz w:val="20"/>
          <w:szCs w:val="20"/>
        </w:rPr>
        <w:footnoteRef/>
      </w:r>
      <w:r w:rsidRPr="00687C21">
        <w:rPr>
          <w:color w:val="000000" w:themeColor="text1"/>
          <w:sz w:val="20"/>
          <w:szCs w:val="20"/>
        </w:rPr>
        <w:t xml:space="preserve"> </w:t>
      </w:r>
      <w:r w:rsidRPr="00687C21">
        <w:rPr>
          <w:i/>
          <w:color w:val="000000" w:themeColor="text1"/>
          <w:sz w:val="20"/>
          <w:szCs w:val="20"/>
        </w:rPr>
        <w:t>Monsanto Co. v Stauffer Chemicals Co. and another</w:t>
      </w:r>
      <w:r w:rsidRPr="00687C21">
        <w:rPr>
          <w:color w:val="000000" w:themeColor="text1"/>
          <w:sz w:val="20"/>
          <w:szCs w:val="20"/>
        </w:rPr>
        <w:t xml:space="preserve"> [1985] RPC 515 (CA); </w:t>
      </w:r>
      <w:r w:rsidRPr="00687C21">
        <w:rPr>
          <w:i/>
          <w:color w:val="000000" w:themeColor="text1"/>
          <w:sz w:val="20"/>
          <w:szCs w:val="20"/>
        </w:rPr>
        <w:t>Micro-Chemicals et al. v Smith Kline and French Inter-American Corporation</w:t>
      </w:r>
      <w:r w:rsidRPr="00687C21">
        <w:rPr>
          <w:color w:val="000000" w:themeColor="text1"/>
          <w:sz w:val="20"/>
          <w:szCs w:val="20"/>
        </w:rPr>
        <w:t xml:space="preserve"> (1971) 25 DLR 78, 89.</w:t>
      </w:r>
    </w:p>
  </w:footnote>
  <w:footnote w:id="154">
    <w:p w14:paraId="7F6F3F4C" w14:textId="2C45E370" w:rsidR="00BB5B8C" w:rsidRPr="00687C21" w:rsidRDefault="00BB5B8C" w:rsidP="00687C21">
      <w:pPr>
        <w:pStyle w:val="FootnoteText"/>
        <w:contextualSpacing/>
        <w:mirrorIndents/>
        <w:jc w:val="both"/>
        <w:rPr>
          <w:color w:val="000000" w:themeColor="text1"/>
          <w:sz w:val="20"/>
          <w:szCs w:val="20"/>
        </w:rPr>
      </w:pPr>
      <w:r w:rsidRPr="00687C21">
        <w:rPr>
          <w:rStyle w:val="FootnoteReference"/>
          <w:color w:val="000000" w:themeColor="text1"/>
          <w:sz w:val="20"/>
          <w:szCs w:val="20"/>
        </w:rPr>
        <w:footnoteRef/>
      </w:r>
      <w:r w:rsidRPr="00687C21">
        <w:rPr>
          <w:color w:val="000000" w:themeColor="text1"/>
          <w:sz w:val="20"/>
          <w:szCs w:val="20"/>
        </w:rPr>
        <w:t xml:space="preserve"> </w:t>
      </w:r>
      <w:r w:rsidRPr="00687C21">
        <w:rPr>
          <w:i/>
          <w:color w:val="000000" w:themeColor="text1"/>
          <w:sz w:val="20"/>
          <w:szCs w:val="20"/>
        </w:rPr>
        <w:t>Monsanto</w:t>
      </w:r>
      <w:r w:rsidRPr="00687C21">
        <w:rPr>
          <w:color w:val="000000" w:themeColor="text1"/>
          <w:sz w:val="20"/>
          <w:szCs w:val="20"/>
        </w:rPr>
        <w:t xml:space="preserve"> (n </w:t>
      </w:r>
      <w:r w:rsidR="00C97818">
        <w:rPr>
          <w:color w:val="000000" w:themeColor="text1"/>
          <w:sz w:val="20"/>
          <w:szCs w:val="20"/>
        </w:rPr>
        <w:t>152</w:t>
      </w:r>
      <w:r w:rsidRPr="00687C21">
        <w:rPr>
          <w:color w:val="000000" w:themeColor="text1"/>
          <w:sz w:val="20"/>
          <w:szCs w:val="20"/>
        </w:rPr>
        <w:t xml:space="preserve">) 542; </w:t>
      </w:r>
      <w:r w:rsidRPr="00687C21">
        <w:rPr>
          <w:i/>
          <w:color w:val="000000" w:themeColor="text1"/>
          <w:sz w:val="20"/>
          <w:szCs w:val="20"/>
        </w:rPr>
        <w:t>Auchinloss v Agricultural and Veterinary Supplies Ltd</w:t>
      </w:r>
      <w:r w:rsidRPr="00687C21">
        <w:rPr>
          <w:color w:val="000000" w:themeColor="text1"/>
          <w:sz w:val="20"/>
          <w:szCs w:val="20"/>
        </w:rPr>
        <w:t xml:space="preserve"> [1999] RPC 397, 405.</w:t>
      </w:r>
    </w:p>
  </w:footnote>
  <w:footnote w:id="155">
    <w:p w14:paraId="538F4FD9" w14:textId="5B7743E8" w:rsidR="00BB5B8C" w:rsidRPr="00687C21" w:rsidRDefault="00BB5B8C" w:rsidP="00687C21">
      <w:pPr>
        <w:pStyle w:val="FootnoteText"/>
        <w:jc w:val="both"/>
        <w:rPr>
          <w:color w:val="000000" w:themeColor="text1"/>
          <w:sz w:val="20"/>
          <w:szCs w:val="20"/>
        </w:rPr>
      </w:pPr>
      <w:r w:rsidRPr="00687C21">
        <w:rPr>
          <w:rStyle w:val="FootnoteReference"/>
          <w:color w:val="000000" w:themeColor="text1"/>
          <w:sz w:val="20"/>
          <w:szCs w:val="20"/>
        </w:rPr>
        <w:footnoteRef/>
      </w:r>
      <w:r w:rsidRPr="00687C21">
        <w:rPr>
          <w:color w:val="000000" w:themeColor="text1"/>
          <w:sz w:val="20"/>
          <w:szCs w:val="20"/>
        </w:rPr>
        <w:t xml:space="preserve"> </w:t>
      </w:r>
      <w:r w:rsidRPr="00687C21">
        <w:rPr>
          <w:i/>
          <w:color w:val="000000" w:themeColor="text1"/>
          <w:sz w:val="20"/>
          <w:szCs w:val="20"/>
        </w:rPr>
        <w:t>cf</w:t>
      </w:r>
      <w:r w:rsidRPr="00687C21">
        <w:rPr>
          <w:color w:val="000000" w:themeColor="text1"/>
          <w:sz w:val="20"/>
          <w:szCs w:val="20"/>
        </w:rPr>
        <w:t xml:space="preserve">, more generally, Neil Wilkof and Shamnad Basheer (eds) </w:t>
      </w:r>
      <w:r w:rsidRPr="00687C21">
        <w:rPr>
          <w:i/>
          <w:color w:val="000000" w:themeColor="text1"/>
          <w:sz w:val="20"/>
          <w:szCs w:val="20"/>
        </w:rPr>
        <w:t>Overlapping Intellectual Property Rights</w:t>
      </w:r>
      <w:r w:rsidRPr="00687C21">
        <w:rPr>
          <w:color w:val="000000" w:themeColor="text1"/>
          <w:sz w:val="20"/>
          <w:szCs w:val="20"/>
        </w:rPr>
        <w:t xml:space="preserve"> (OUP 2012).</w:t>
      </w:r>
    </w:p>
  </w:footnote>
  <w:footnote w:id="156">
    <w:p w14:paraId="47A6F666" w14:textId="045B6188" w:rsidR="00BB5B8C" w:rsidRPr="00687C21" w:rsidRDefault="00BB5B8C" w:rsidP="00687C21">
      <w:pPr>
        <w:pStyle w:val="FootnoteText"/>
        <w:jc w:val="both"/>
        <w:rPr>
          <w:color w:val="000000" w:themeColor="text1"/>
          <w:sz w:val="20"/>
          <w:szCs w:val="20"/>
        </w:rPr>
      </w:pPr>
      <w:r w:rsidRPr="00687C21">
        <w:rPr>
          <w:rStyle w:val="FootnoteReference"/>
          <w:color w:val="000000" w:themeColor="text1"/>
          <w:sz w:val="20"/>
          <w:szCs w:val="20"/>
        </w:rPr>
        <w:footnoteRef/>
      </w:r>
      <w:r w:rsidRPr="00687C21">
        <w:rPr>
          <w:color w:val="000000" w:themeColor="text1"/>
          <w:sz w:val="20"/>
          <w:szCs w:val="20"/>
        </w:rPr>
        <w:t xml:space="preserve"> Only the ‘person having a right to use a copy of a computer program’ can avail themselves of the exception (Software Directive, art 5(3).</w:t>
      </w:r>
    </w:p>
  </w:footnote>
  <w:footnote w:id="157">
    <w:p w14:paraId="2E2368CB" w14:textId="452A2A7B" w:rsidR="00BB5B8C" w:rsidRPr="00687C21" w:rsidRDefault="00BB5B8C" w:rsidP="00687C21">
      <w:pPr>
        <w:pStyle w:val="FootnoteText"/>
        <w:jc w:val="both"/>
        <w:rPr>
          <w:color w:val="000000" w:themeColor="text1"/>
          <w:sz w:val="20"/>
          <w:szCs w:val="20"/>
        </w:rPr>
      </w:pPr>
      <w:r w:rsidRPr="00687C21">
        <w:rPr>
          <w:rStyle w:val="FootnoteReference"/>
          <w:color w:val="000000" w:themeColor="text1"/>
          <w:sz w:val="20"/>
          <w:szCs w:val="20"/>
        </w:rPr>
        <w:footnoteRef/>
      </w:r>
      <w:r w:rsidRPr="00687C21">
        <w:rPr>
          <w:color w:val="000000" w:themeColor="text1"/>
          <w:sz w:val="20"/>
          <w:szCs w:val="20"/>
        </w:rPr>
        <w:t xml:space="preserve"> </w:t>
      </w:r>
      <w:r w:rsidRPr="00687C21">
        <w:rPr>
          <w:i/>
          <w:color w:val="000000" w:themeColor="text1"/>
          <w:sz w:val="20"/>
          <w:szCs w:val="20"/>
        </w:rPr>
        <w:t xml:space="preserve">SAS Institute IV </w:t>
      </w:r>
      <w:r w:rsidRPr="00687C21">
        <w:rPr>
          <w:color w:val="000000" w:themeColor="text1"/>
          <w:sz w:val="20"/>
          <w:szCs w:val="20"/>
        </w:rPr>
        <w:t xml:space="preserve">(n </w:t>
      </w:r>
      <w:r w:rsidR="00C97818">
        <w:rPr>
          <w:color w:val="000000" w:themeColor="text1"/>
          <w:sz w:val="20"/>
          <w:szCs w:val="20"/>
        </w:rPr>
        <w:t>108</w:t>
      </w:r>
      <w:r w:rsidRPr="00687C21">
        <w:rPr>
          <w:color w:val="000000" w:themeColor="text1"/>
          <w:sz w:val="20"/>
          <w:szCs w:val="20"/>
        </w:rPr>
        <w:t>).</w:t>
      </w:r>
    </w:p>
  </w:footnote>
  <w:footnote w:id="158">
    <w:p w14:paraId="69DC3C9F" w14:textId="36BA43CB" w:rsidR="00BB5B8C" w:rsidRPr="00687C21" w:rsidRDefault="00BB5B8C" w:rsidP="00687C21">
      <w:pPr>
        <w:pStyle w:val="FootnoteText"/>
        <w:contextualSpacing/>
        <w:mirrorIndents/>
        <w:jc w:val="both"/>
        <w:rPr>
          <w:color w:val="000000" w:themeColor="text1"/>
          <w:sz w:val="20"/>
          <w:szCs w:val="20"/>
          <w:lang w:val="it-IT"/>
        </w:rPr>
      </w:pPr>
      <w:r w:rsidRPr="00687C21">
        <w:rPr>
          <w:rStyle w:val="FootnoteReference"/>
          <w:color w:val="000000" w:themeColor="text1"/>
          <w:sz w:val="20"/>
          <w:szCs w:val="20"/>
        </w:rPr>
        <w:footnoteRef/>
      </w:r>
      <w:r w:rsidRPr="00687C21">
        <w:rPr>
          <w:color w:val="000000" w:themeColor="text1"/>
          <w:sz w:val="20"/>
          <w:szCs w:val="20"/>
          <w:lang w:val="it-IT"/>
        </w:rPr>
        <w:t xml:space="preserve"> Kamarinou (n </w:t>
      </w:r>
      <w:r w:rsidR="00C97818">
        <w:rPr>
          <w:color w:val="000000" w:themeColor="text1"/>
          <w:sz w:val="20"/>
          <w:szCs w:val="20"/>
          <w:lang w:val="it-IT"/>
        </w:rPr>
        <w:t>76</w:t>
      </w:r>
      <w:r w:rsidRPr="00687C21">
        <w:rPr>
          <w:color w:val="000000" w:themeColor="text1"/>
          <w:sz w:val="20"/>
          <w:szCs w:val="20"/>
          <w:lang w:val="it-IT"/>
        </w:rPr>
        <w:t>) 23.</w:t>
      </w:r>
    </w:p>
  </w:footnote>
  <w:footnote w:id="159">
    <w:p w14:paraId="13A3ABD8" w14:textId="07487217" w:rsidR="00BB5B8C" w:rsidRPr="00E315C1" w:rsidRDefault="00BB5B8C" w:rsidP="00E315C1">
      <w:pPr>
        <w:shd w:val="clear" w:color="auto" w:fill="FFFFFF"/>
        <w:jc w:val="both"/>
        <w:textAlignment w:val="baseline"/>
        <w:rPr>
          <w:color w:val="000000" w:themeColor="text1"/>
          <w:sz w:val="20"/>
          <w:szCs w:val="20"/>
        </w:rPr>
      </w:pPr>
      <w:r w:rsidRPr="00687C21">
        <w:rPr>
          <w:rStyle w:val="FootnoteReference"/>
          <w:color w:val="000000" w:themeColor="text1"/>
          <w:sz w:val="20"/>
          <w:szCs w:val="20"/>
        </w:rPr>
        <w:footnoteRef/>
      </w:r>
      <w:r w:rsidRPr="00687C21">
        <w:rPr>
          <w:rStyle w:val="FootnoteReference"/>
          <w:color w:val="000000" w:themeColor="text1"/>
          <w:sz w:val="20"/>
          <w:szCs w:val="20"/>
        </w:rPr>
        <w:t xml:space="preserve"> </w:t>
      </w:r>
      <w:r w:rsidRPr="00687C21">
        <w:rPr>
          <w:rFonts w:eastAsiaTheme="minorEastAsia"/>
          <w:color w:val="000000" w:themeColor="text1"/>
          <w:sz w:val="20"/>
          <w:szCs w:val="20"/>
          <w:lang w:val="en-US" w:eastAsia="ko-KR"/>
        </w:rPr>
        <w:t>The European Data Protection Supervisor is the EU data protection authority. They inter alia ensure the protection of personal data and privacy when EU institutions and bodies process personal data. See Regulation (EC) No 45/2001 of the European Parliament and of the Council of 18 December 2000 on the protection of individuals with regard to the processing of personal data by the Community institutions and bodies and on the free movement of such data [2001] OJ L 8/1.</w:t>
      </w:r>
    </w:p>
  </w:footnote>
  <w:footnote w:id="160">
    <w:p w14:paraId="410E7CE6" w14:textId="77777777" w:rsidR="00BB5B8C" w:rsidRPr="00687C21" w:rsidRDefault="00BB5B8C" w:rsidP="00687C21">
      <w:pPr>
        <w:pStyle w:val="FootnoteText"/>
        <w:adjustRightInd w:val="0"/>
        <w:snapToGrid w:val="0"/>
        <w:contextualSpacing/>
        <w:mirrorIndents/>
        <w:jc w:val="both"/>
        <w:rPr>
          <w:color w:val="000000" w:themeColor="text1"/>
          <w:sz w:val="20"/>
          <w:szCs w:val="20"/>
        </w:rPr>
      </w:pPr>
      <w:r w:rsidRPr="00687C21">
        <w:rPr>
          <w:rStyle w:val="FootnoteReference"/>
          <w:color w:val="000000" w:themeColor="text1"/>
          <w:sz w:val="20"/>
          <w:szCs w:val="20"/>
        </w:rPr>
        <w:footnoteRef/>
      </w:r>
      <w:r w:rsidRPr="00687C21">
        <w:rPr>
          <w:color w:val="000000" w:themeColor="text1"/>
          <w:sz w:val="20"/>
          <w:szCs w:val="20"/>
        </w:rPr>
        <w:t xml:space="preserve"> European Data Protection Supervisor, ‘Recommendations on the EU’s options for data protection reform’ (2015/C 301/01), para 3.1.</w:t>
      </w:r>
    </w:p>
  </w:footnote>
  <w:footnote w:id="161">
    <w:p w14:paraId="43F1E51A" w14:textId="2009C1DF" w:rsidR="00BB5B8C" w:rsidRPr="00687C21" w:rsidRDefault="00BB5B8C" w:rsidP="00687C21">
      <w:pPr>
        <w:pStyle w:val="FootnoteText"/>
        <w:contextualSpacing/>
        <w:mirrorIndents/>
        <w:jc w:val="both"/>
        <w:rPr>
          <w:color w:val="000000" w:themeColor="text1"/>
          <w:sz w:val="20"/>
          <w:szCs w:val="20"/>
        </w:rPr>
      </w:pPr>
      <w:r w:rsidRPr="00687C21">
        <w:rPr>
          <w:rStyle w:val="FootnoteReference"/>
          <w:color w:val="000000" w:themeColor="text1"/>
          <w:sz w:val="20"/>
          <w:szCs w:val="20"/>
        </w:rPr>
        <w:footnoteRef/>
      </w:r>
      <w:r w:rsidRPr="00687C21">
        <w:rPr>
          <w:color w:val="000000" w:themeColor="text1"/>
          <w:sz w:val="20"/>
          <w:szCs w:val="20"/>
        </w:rPr>
        <w:t xml:space="preserve"> </w:t>
      </w:r>
      <w:r w:rsidRPr="00687C21">
        <w:rPr>
          <w:rStyle w:val="Strong"/>
          <w:b w:val="0"/>
          <w:color w:val="000000" w:themeColor="text1"/>
          <w:sz w:val="20"/>
          <w:szCs w:val="20"/>
          <w:bdr w:val="none" w:sz="0" w:space="0" w:color="auto" w:frame="1"/>
          <w:shd w:val="clear" w:color="auto" w:fill="FFFFFF"/>
        </w:rPr>
        <w:t>Directive 95/46/EC of the European Parliament and of the Council of 24 October 1995 on the protection of individuals with regard to the processing of personal data and on the free movement of such data (Data Protection Directive), art 15.</w:t>
      </w:r>
    </w:p>
  </w:footnote>
  <w:footnote w:id="162">
    <w:p w14:paraId="0B421067" w14:textId="77777777" w:rsidR="00BB5B8C" w:rsidRPr="00687C21" w:rsidRDefault="00BB5B8C" w:rsidP="00687C21">
      <w:pPr>
        <w:pStyle w:val="FootnoteText"/>
        <w:contextualSpacing/>
        <w:mirrorIndents/>
        <w:jc w:val="both"/>
        <w:rPr>
          <w:color w:val="000000" w:themeColor="text1"/>
          <w:sz w:val="20"/>
          <w:szCs w:val="20"/>
        </w:rPr>
      </w:pPr>
      <w:r w:rsidRPr="00687C21">
        <w:rPr>
          <w:rStyle w:val="FootnoteReference"/>
          <w:color w:val="000000" w:themeColor="text1"/>
          <w:sz w:val="20"/>
          <w:szCs w:val="20"/>
        </w:rPr>
        <w:footnoteRef/>
      </w:r>
      <w:r w:rsidRPr="00687C21">
        <w:rPr>
          <w:color w:val="000000" w:themeColor="text1"/>
          <w:sz w:val="20"/>
          <w:szCs w:val="20"/>
        </w:rPr>
        <w:t xml:space="preserve"> Data Protection Directive, art 12(a); recital 41. For a national implementation, see the UK Data Protection Act 1998, s 7(1)(d).</w:t>
      </w:r>
    </w:p>
  </w:footnote>
  <w:footnote w:id="163">
    <w:p w14:paraId="31EEE472" w14:textId="70E04918" w:rsidR="00BB5B8C" w:rsidRPr="00687C21" w:rsidRDefault="00BB5B8C" w:rsidP="00687C21">
      <w:pPr>
        <w:pStyle w:val="FootnoteText"/>
        <w:contextualSpacing/>
        <w:mirrorIndents/>
        <w:jc w:val="both"/>
        <w:rPr>
          <w:color w:val="000000" w:themeColor="text1"/>
          <w:sz w:val="20"/>
          <w:szCs w:val="20"/>
        </w:rPr>
      </w:pPr>
      <w:r w:rsidRPr="00687C21">
        <w:rPr>
          <w:rStyle w:val="FootnoteReference"/>
          <w:color w:val="000000" w:themeColor="text1"/>
          <w:sz w:val="20"/>
          <w:szCs w:val="20"/>
        </w:rPr>
        <w:footnoteRef/>
      </w:r>
      <w:r w:rsidRPr="00687C21">
        <w:rPr>
          <w:color w:val="000000" w:themeColor="text1"/>
          <w:sz w:val="20"/>
          <w:szCs w:val="20"/>
        </w:rPr>
        <w:t xml:space="preserve"> Data Protection Directive, art</w:t>
      </w:r>
      <w:r w:rsidRPr="00687C21">
        <w:rPr>
          <w:rStyle w:val="apple-converted-space"/>
          <w:color w:val="000000" w:themeColor="text1"/>
          <w:sz w:val="20"/>
          <w:szCs w:val="20"/>
        </w:rPr>
        <w:t xml:space="preserve"> 15(2).</w:t>
      </w:r>
    </w:p>
  </w:footnote>
  <w:footnote w:id="164">
    <w:p w14:paraId="34BEC6A0" w14:textId="7053DB17" w:rsidR="00BB5B8C" w:rsidRPr="00687C21" w:rsidRDefault="00BB5B8C" w:rsidP="00687C21">
      <w:pPr>
        <w:pStyle w:val="FootnoteText"/>
        <w:contextualSpacing/>
        <w:mirrorIndents/>
        <w:jc w:val="both"/>
        <w:rPr>
          <w:color w:val="000000" w:themeColor="text1"/>
          <w:sz w:val="20"/>
          <w:szCs w:val="20"/>
        </w:rPr>
      </w:pPr>
      <w:r w:rsidRPr="00687C21">
        <w:rPr>
          <w:color w:val="000000" w:themeColor="text1"/>
          <w:sz w:val="20"/>
          <w:szCs w:val="20"/>
        </w:rPr>
        <w:footnoteRef/>
      </w:r>
      <w:r w:rsidRPr="00687C21">
        <w:rPr>
          <w:color w:val="000000" w:themeColor="text1"/>
          <w:sz w:val="20"/>
          <w:szCs w:val="20"/>
        </w:rPr>
        <w:t xml:space="preserve"> See Jane Croft, ‘Legal firms unleash office automatons’ (</w:t>
      </w:r>
      <w:r w:rsidRPr="00687C21">
        <w:rPr>
          <w:i/>
          <w:color w:val="000000" w:themeColor="text1"/>
          <w:sz w:val="20"/>
          <w:szCs w:val="20"/>
        </w:rPr>
        <w:t>The Financial Times</w:t>
      </w:r>
      <w:r w:rsidRPr="00687C21">
        <w:rPr>
          <w:color w:val="000000" w:themeColor="text1"/>
          <w:sz w:val="20"/>
          <w:szCs w:val="20"/>
        </w:rPr>
        <w:t>, 16 May 2016), https://www.ft.com/content/19807d3e-1765-11e6-9d98-00386a18e39d.</w:t>
      </w:r>
    </w:p>
  </w:footnote>
  <w:footnote w:id="165">
    <w:p w14:paraId="15D6C078" w14:textId="1BBB16FF" w:rsidR="00BB5B8C" w:rsidRPr="00687C21" w:rsidRDefault="00BB5B8C" w:rsidP="00687C21">
      <w:pPr>
        <w:pStyle w:val="FootnoteText"/>
        <w:contextualSpacing/>
        <w:mirrorIndents/>
        <w:jc w:val="both"/>
        <w:rPr>
          <w:color w:val="000000" w:themeColor="text1"/>
          <w:sz w:val="20"/>
          <w:szCs w:val="20"/>
        </w:rPr>
      </w:pPr>
      <w:r w:rsidRPr="00687C21">
        <w:rPr>
          <w:rStyle w:val="FootnoteReference"/>
          <w:color w:val="000000" w:themeColor="text1"/>
          <w:sz w:val="20"/>
          <w:szCs w:val="20"/>
        </w:rPr>
        <w:footnoteRef/>
      </w:r>
      <w:r w:rsidRPr="00687C21">
        <w:rPr>
          <w:color w:val="000000" w:themeColor="text1"/>
          <w:sz w:val="20"/>
          <w:szCs w:val="20"/>
        </w:rPr>
        <w:t xml:space="preserve"> In the UK, the Secretary of State may prescribe in which circumstances (apart from a contract) an algorithmic decision may go exempt from the said rules (Data Protection Act 1998, s 12(5)(b)). The Information Commissioner’s Office, as an example, refers to authorised algorithmic decisions for the purposes of fraud or tax evasion prevention (Information Commissioner’s Office, </w:t>
      </w:r>
      <w:r w:rsidRPr="00687C21">
        <w:rPr>
          <w:i/>
          <w:color w:val="000000" w:themeColor="text1"/>
          <w:sz w:val="20"/>
          <w:szCs w:val="20"/>
        </w:rPr>
        <w:t>Overview of the General Data Protection Regulation (GDPR)</w:t>
      </w:r>
      <w:r w:rsidRPr="00687C21">
        <w:rPr>
          <w:color w:val="000000" w:themeColor="text1"/>
          <w:sz w:val="20"/>
          <w:szCs w:val="20"/>
        </w:rPr>
        <w:t xml:space="preserve"> (ICO 2017) 27). The same example can be found in the GDPR, recital 71.</w:t>
      </w:r>
    </w:p>
  </w:footnote>
  <w:footnote w:id="166">
    <w:p w14:paraId="49F8EBFA" w14:textId="2054BDE7" w:rsidR="00BB5B8C" w:rsidRPr="00687C21" w:rsidRDefault="00BB5B8C" w:rsidP="00687C21">
      <w:pPr>
        <w:pStyle w:val="FootnoteText"/>
        <w:contextualSpacing/>
        <w:mirrorIndents/>
        <w:jc w:val="both"/>
        <w:rPr>
          <w:color w:val="000000" w:themeColor="text1"/>
          <w:sz w:val="20"/>
          <w:szCs w:val="20"/>
        </w:rPr>
      </w:pPr>
      <w:r w:rsidRPr="00687C21">
        <w:rPr>
          <w:rStyle w:val="FootnoteReference"/>
          <w:color w:val="000000" w:themeColor="text1"/>
          <w:sz w:val="20"/>
          <w:szCs w:val="20"/>
        </w:rPr>
        <w:footnoteRef/>
      </w:r>
      <w:r w:rsidRPr="00687C21">
        <w:rPr>
          <w:color w:val="000000" w:themeColor="text1"/>
          <w:sz w:val="20"/>
          <w:szCs w:val="20"/>
        </w:rPr>
        <w:t xml:space="preserve"> The underlying principle is the same, that is that “fully automated assessments of a person’s character should not form the sole basis of decisions that significantly impinge upon the person’s interests” (Lee Bygrave, ‘Automated Profiling, Minding the Machine: Article 15 of the EC Data Protection Directive and Automated Profiling’ (2001) 17(1) Computer Law &amp; Security Review 17, 21) as suggested by Kamarinou (n</w:t>
      </w:r>
      <w:r w:rsidR="00C97818">
        <w:rPr>
          <w:color w:val="000000" w:themeColor="text1"/>
          <w:sz w:val="20"/>
          <w:szCs w:val="20"/>
        </w:rPr>
        <w:t xml:space="preserve"> 76</w:t>
      </w:r>
      <w:r w:rsidRPr="00687C21">
        <w:rPr>
          <w:color w:val="000000" w:themeColor="text1"/>
          <w:sz w:val="20"/>
          <w:szCs w:val="20"/>
        </w:rPr>
        <w:t>) 8.</w:t>
      </w:r>
    </w:p>
  </w:footnote>
  <w:footnote w:id="167">
    <w:p w14:paraId="6D81B487" w14:textId="1935DF7A" w:rsidR="00BB5B8C" w:rsidRPr="00687C21" w:rsidRDefault="00BB5B8C" w:rsidP="00687C21">
      <w:pPr>
        <w:pStyle w:val="FootnoteText"/>
        <w:contextualSpacing/>
        <w:mirrorIndents/>
        <w:jc w:val="both"/>
        <w:rPr>
          <w:color w:val="000000" w:themeColor="text1"/>
          <w:sz w:val="20"/>
          <w:szCs w:val="20"/>
        </w:rPr>
      </w:pPr>
      <w:r w:rsidRPr="00687C21">
        <w:rPr>
          <w:rStyle w:val="FootnoteReference"/>
          <w:color w:val="000000" w:themeColor="text1"/>
          <w:sz w:val="20"/>
          <w:szCs w:val="20"/>
        </w:rPr>
        <w:footnoteRef/>
      </w:r>
      <w:r w:rsidRPr="00687C21">
        <w:rPr>
          <w:color w:val="000000" w:themeColor="text1"/>
          <w:sz w:val="20"/>
          <w:szCs w:val="20"/>
        </w:rPr>
        <w:t xml:space="preserve"> In the time between 25 May 2018 and 29 March 2019 the rules about algorithmic decision-making will be those resulting from a combination of GDPR and Data Protection Act, after 29 March 2019 it is likely that only the Data Protection Act as amended will control. </w:t>
      </w:r>
      <w:r w:rsidRPr="00687C21">
        <w:rPr>
          <w:i/>
          <w:color w:val="000000" w:themeColor="text1"/>
          <w:sz w:val="20"/>
          <w:szCs w:val="20"/>
        </w:rPr>
        <w:t>cf</w:t>
      </w:r>
      <w:r w:rsidRPr="00687C21">
        <w:rPr>
          <w:color w:val="000000" w:themeColor="text1"/>
          <w:sz w:val="20"/>
          <w:szCs w:val="20"/>
        </w:rPr>
        <w:t xml:space="preserve"> The Rt Hon Karen Bradley MP, Culture, Media and Sport Committee, </w:t>
      </w:r>
      <w:r w:rsidRPr="00687C21">
        <w:rPr>
          <w:i/>
          <w:color w:val="000000" w:themeColor="text1"/>
          <w:sz w:val="20"/>
          <w:szCs w:val="20"/>
        </w:rPr>
        <w:t>Oral evidence: Responsibilities of the Secretary of State for Culture, Media and Sport</w:t>
      </w:r>
      <w:r w:rsidRPr="00687C21">
        <w:rPr>
          <w:color w:val="000000" w:themeColor="text1"/>
          <w:sz w:val="20"/>
          <w:szCs w:val="20"/>
        </w:rPr>
        <w:t>, HC 764 (24 October 2016).</w:t>
      </w:r>
    </w:p>
  </w:footnote>
  <w:footnote w:id="168">
    <w:p w14:paraId="23F78FAA" w14:textId="5EB96D76" w:rsidR="00BB5B8C" w:rsidRPr="00687C21" w:rsidRDefault="00BB5B8C" w:rsidP="00687C21">
      <w:pPr>
        <w:pStyle w:val="FootnoteText"/>
        <w:contextualSpacing/>
        <w:mirrorIndents/>
        <w:jc w:val="both"/>
        <w:rPr>
          <w:color w:val="000000" w:themeColor="text1"/>
          <w:sz w:val="20"/>
          <w:szCs w:val="20"/>
        </w:rPr>
      </w:pPr>
      <w:r w:rsidRPr="00687C21">
        <w:rPr>
          <w:rStyle w:val="FootnoteReference"/>
          <w:color w:val="000000" w:themeColor="text1"/>
          <w:sz w:val="20"/>
          <w:szCs w:val="20"/>
        </w:rPr>
        <w:footnoteRef/>
      </w:r>
      <w:r w:rsidRPr="00687C21">
        <w:rPr>
          <w:color w:val="000000" w:themeColor="text1"/>
          <w:sz w:val="20"/>
          <w:szCs w:val="20"/>
        </w:rPr>
        <w:t xml:space="preserve"> GDPR, art 22.</w:t>
      </w:r>
    </w:p>
  </w:footnote>
  <w:footnote w:id="169">
    <w:p w14:paraId="6B4F2088" w14:textId="78FC0A0A" w:rsidR="00BB5B8C" w:rsidRPr="00687C21" w:rsidRDefault="00BB5B8C" w:rsidP="00687C21">
      <w:pPr>
        <w:pStyle w:val="FootnoteText"/>
        <w:contextualSpacing/>
        <w:mirrorIndents/>
        <w:jc w:val="both"/>
        <w:rPr>
          <w:color w:val="000000" w:themeColor="text1"/>
          <w:sz w:val="20"/>
          <w:szCs w:val="20"/>
        </w:rPr>
      </w:pPr>
      <w:r w:rsidRPr="00687C21">
        <w:rPr>
          <w:rStyle w:val="FootnoteReference"/>
          <w:color w:val="000000" w:themeColor="text1"/>
          <w:sz w:val="20"/>
          <w:szCs w:val="20"/>
        </w:rPr>
        <w:footnoteRef/>
      </w:r>
      <w:r w:rsidRPr="00687C21">
        <w:rPr>
          <w:color w:val="000000" w:themeColor="text1"/>
          <w:sz w:val="20"/>
          <w:szCs w:val="20"/>
        </w:rPr>
        <w:t xml:space="preserve"> As to the latter, it would seem to us that this right as enshrined in art 22 of the GDPR is the same as the right to “challenge the decision” under recital 71. </w:t>
      </w:r>
      <w:r w:rsidRPr="00687C21">
        <w:rPr>
          <w:i/>
          <w:color w:val="000000" w:themeColor="text1"/>
          <w:sz w:val="20"/>
          <w:szCs w:val="20"/>
        </w:rPr>
        <w:t>Contra</w:t>
      </w:r>
      <w:r w:rsidRPr="00687C21">
        <w:rPr>
          <w:color w:val="000000" w:themeColor="text1"/>
          <w:sz w:val="20"/>
          <w:szCs w:val="20"/>
        </w:rPr>
        <w:t xml:space="preserve">, see Kuner (n </w:t>
      </w:r>
      <w:r w:rsidR="00C97818">
        <w:rPr>
          <w:color w:val="000000" w:themeColor="text1"/>
          <w:sz w:val="20"/>
          <w:szCs w:val="20"/>
        </w:rPr>
        <w:t>76</w:t>
      </w:r>
      <w:r w:rsidRPr="00687C21">
        <w:rPr>
          <w:color w:val="000000" w:themeColor="text1"/>
          <w:sz w:val="20"/>
          <w:szCs w:val="20"/>
        </w:rPr>
        <w:t>) 2, who observe that even though the recital is not binding, it “may embolden regulators and courts to try to compel data controllers to provide explanations of specific outcomes in particular cases, and not merely ‘meaningful information’ about ‘logic’”.</w:t>
      </w:r>
    </w:p>
  </w:footnote>
  <w:footnote w:id="170">
    <w:p w14:paraId="559FEEF3" w14:textId="44973964" w:rsidR="00BB5B8C" w:rsidRPr="00687C21" w:rsidRDefault="00BB5B8C" w:rsidP="00687C21">
      <w:pPr>
        <w:pStyle w:val="FootnoteText"/>
        <w:contextualSpacing/>
        <w:mirrorIndents/>
        <w:jc w:val="both"/>
        <w:rPr>
          <w:color w:val="000000" w:themeColor="text1"/>
          <w:sz w:val="20"/>
          <w:szCs w:val="20"/>
        </w:rPr>
      </w:pPr>
      <w:r w:rsidRPr="00687C21">
        <w:rPr>
          <w:rStyle w:val="FootnoteReference"/>
          <w:color w:val="000000" w:themeColor="text1"/>
          <w:sz w:val="20"/>
          <w:szCs w:val="20"/>
        </w:rPr>
        <w:footnoteRef/>
      </w:r>
      <w:r w:rsidRPr="00687C21">
        <w:rPr>
          <w:color w:val="000000" w:themeColor="text1"/>
          <w:sz w:val="20"/>
          <w:szCs w:val="20"/>
        </w:rPr>
        <w:t>GDPR, arts 13(2)(f) and 14(2)(g).</w:t>
      </w:r>
    </w:p>
  </w:footnote>
  <w:footnote w:id="171">
    <w:p w14:paraId="1FA53971" w14:textId="426C1347" w:rsidR="00BB5B8C" w:rsidRPr="00687C21" w:rsidRDefault="00BB5B8C" w:rsidP="00687C21">
      <w:pPr>
        <w:jc w:val="both"/>
        <w:rPr>
          <w:color w:val="000000" w:themeColor="text1"/>
          <w:sz w:val="20"/>
          <w:szCs w:val="20"/>
        </w:rPr>
      </w:pPr>
      <w:r w:rsidRPr="00687C21">
        <w:rPr>
          <w:rStyle w:val="FootnoteReference"/>
          <w:color w:val="000000" w:themeColor="text1"/>
          <w:sz w:val="20"/>
          <w:szCs w:val="20"/>
        </w:rPr>
        <w:footnoteRef/>
      </w:r>
      <w:r w:rsidRPr="00687C21">
        <w:rPr>
          <w:color w:val="000000" w:themeColor="text1"/>
          <w:sz w:val="20"/>
          <w:szCs w:val="20"/>
        </w:rPr>
        <w:t xml:space="preserve"> In August 2017, the UK government announced a </w:t>
      </w:r>
      <w:r w:rsidRPr="00687C21">
        <w:rPr>
          <w:color w:val="000000" w:themeColor="text1"/>
          <w:sz w:val="20"/>
          <w:szCs w:val="20"/>
          <w:shd w:val="clear" w:color="auto" w:fill="FFFFFF"/>
        </w:rPr>
        <w:t>new Data Protection Bill, where</w:t>
      </w:r>
      <w:r w:rsidRPr="00687C21">
        <w:rPr>
          <w:color w:val="000000" w:themeColor="text1"/>
          <w:sz w:val="20"/>
          <w:szCs w:val="20"/>
        </w:rPr>
        <w:t xml:space="preserve"> “individuals will have greater say in decisions that are made about them based on automated processing. Where decisions are based on solely automated processing individuals can request that processing is reviewed by a person rather than a machine.” (UK Department for Digital, Culture Media &amp; Sport, A new data protection bill: Our planned reforms, The UK Government (7 August 2017), &lt;https://www.gov.uk/government/uploads/system/uploads/attachment_data/file/635900/2017-08-07_DP_Bill_-_Statement_of_Intent.pdf&gt; accessed 3 March 2018). The Bill </w:t>
      </w:r>
      <w:r w:rsidR="00E315C1">
        <w:rPr>
          <w:color w:val="000000" w:themeColor="text1"/>
          <w:sz w:val="20"/>
          <w:szCs w:val="20"/>
        </w:rPr>
        <w:t>was</w:t>
      </w:r>
      <w:r w:rsidRPr="00687C21">
        <w:rPr>
          <w:color w:val="000000" w:themeColor="text1"/>
          <w:sz w:val="20"/>
          <w:szCs w:val="20"/>
        </w:rPr>
        <w:t xml:space="preserve"> introduced in the House of Lords on </w:t>
      </w:r>
      <w:r w:rsidRPr="00687C21">
        <w:rPr>
          <w:color w:val="000000" w:themeColor="text1"/>
          <w:sz w:val="20"/>
          <w:szCs w:val="20"/>
          <w:lang w:eastAsia="ko-KR"/>
        </w:rPr>
        <w:t>13 September 2017 and it passed second reading at the House of Commons on 5 March 2018. Members of Parliament are considering the Bill in a Public Bill Committee, which is set to finish by 27 March 2018. See below for the analysis of s 14 of the Bill (as brought from the Lords), regarding algorithmic</w:t>
      </w:r>
      <w:r w:rsidRPr="00687C21">
        <w:rPr>
          <w:color w:val="000000" w:themeColor="text1"/>
          <w:sz w:val="20"/>
          <w:szCs w:val="20"/>
        </w:rPr>
        <w:t xml:space="preserve"> decision-making authorised by the law. It must be said that the fact that the only relevant provision in the Bill regards the limited issue of the algorithmic decisions authorised by law may be seen as a missed opportunity to thoroughly review the regime laid out in s 12 of the Data Protection Act 1998.</w:t>
      </w:r>
    </w:p>
  </w:footnote>
  <w:footnote w:id="172">
    <w:p w14:paraId="1F4EE085" w14:textId="1AF3C083" w:rsidR="00BB5B8C" w:rsidRPr="00687C21" w:rsidRDefault="00BB5B8C" w:rsidP="00687C21">
      <w:pPr>
        <w:pStyle w:val="FootnoteText"/>
        <w:jc w:val="both"/>
        <w:rPr>
          <w:color w:val="000000" w:themeColor="text1"/>
          <w:sz w:val="20"/>
          <w:szCs w:val="20"/>
        </w:rPr>
      </w:pPr>
      <w:r w:rsidRPr="00687C21">
        <w:rPr>
          <w:rStyle w:val="FootnoteReference"/>
          <w:color w:val="000000" w:themeColor="text1"/>
          <w:sz w:val="20"/>
          <w:szCs w:val="20"/>
        </w:rPr>
        <w:footnoteRef/>
      </w:r>
      <w:r w:rsidRPr="00687C21">
        <w:rPr>
          <w:color w:val="000000" w:themeColor="text1"/>
          <w:sz w:val="20"/>
          <w:szCs w:val="20"/>
        </w:rPr>
        <w:t xml:space="preserve"> The focus of this section is on the rules regarding algorithmic decision-making. These do not apply to profiling </w:t>
      </w:r>
      <w:r w:rsidRPr="00687C21">
        <w:rPr>
          <w:i/>
          <w:color w:val="000000" w:themeColor="text1"/>
          <w:sz w:val="20"/>
          <w:szCs w:val="20"/>
        </w:rPr>
        <w:t xml:space="preserve">per se </w:t>
      </w:r>
      <w:r w:rsidRPr="00687C21">
        <w:rPr>
          <w:color w:val="000000" w:themeColor="text1"/>
          <w:sz w:val="20"/>
          <w:szCs w:val="20"/>
        </w:rPr>
        <w:t>if it is not followed by an algorithmic decision producing legal effects or similarly significantly affecting the data subject.</w:t>
      </w:r>
      <w:r w:rsidR="00687C21" w:rsidRPr="00687C21">
        <w:rPr>
          <w:color w:val="000000" w:themeColor="text1"/>
          <w:sz w:val="20"/>
          <w:szCs w:val="20"/>
        </w:rPr>
        <w:t xml:space="preserve"> </w:t>
      </w:r>
      <w:r w:rsidRPr="00687C21">
        <w:rPr>
          <w:color w:val="000000" w:themeColor="text1"/>
          <w:sz w:val="20"/>
          <w:szCs w:val="20"/>
        </w:rPr>
        <w:t>For more information on the rules about profiling, regardless of whether or not it is followed by an algorithmic decision, please see ibid 17-25</w:t>
      </w:r>
    </w:p>
  </w:footnote>
  <w:footnote w:id="173">
    <w:p w14:paraId="12506817" w14:textId="3B6AC6F3" w:rsidR="00BB5B8C" w:rsidRPr="00687C21" w:rsidRDefault="00BB5B8C" w:rsidP="00687C21">
      <w:pPr>
        <w:pStyle w:val="FootnoteText"/>
        <w:contextualSpacing/>
        <w:mirrorIndents/>
        <w:jc w:val="both"/>
        <w:rPr>
          <w:color w:val="000000" w:themeColor="text1"/>
          <w:sz w:val="20"/>
          <w:szCs w:val="20"/>
        </w:rPr>
      </w:pPr>
      <w:r w:rsidRPr="00687C21">
        <w:rPr>
          <w:rStyle w:val="FootnoteReference"/>
          <w:color w:val="000000" w:themeColor="text1"/>
          <w:sz w:val="20"/>
          <w:szCs w:val="20"/>
        </w:rPr>
        <w:footnoteRef/>
      </w:r>
      <w:r w:rsidRPr="00687C21">
        <w:rPr>
          <w:color w:val="000000" w:themeColor="text1"/>
          <w:sz w:val="20"/>
          <w:szCs w:val="20"/>
        </w:rPr>
        <w:t xml:space="preserve"> </w:t>
      </w:r>
      <w:r w:rsidRPr="00687C21">
        <w:rPr>
          <w:rStyle w:val="apple-converted-space"/>
          <w:color w:val="000000" w:themeColor="text1"/>
          <w:sz w:val="20"/>
          <w:szCs w:val="20"/>
        </w:rPr>
        <w:t>GDPR, art 22(1).</w:t>
      </w:r>
    </w:p>
  </w:footnote>
  <w:footnote w:id="174">
    <w:p w14:paraId="56FF724D" w14:textId="7FBE0E07" w:rsidR="00BB5B8C" w:rsidRPr="00687C21" w:rsidRDefault="00BB5B8C" w:rsidP="00687C21">
      <w:pPr>
        <w:pStyle w:val="FootnoteText"/>
        <w:jc w:val="both"/>
        <w:rPr>
          <w:color w:val="000000" w:themeColor="text1"/>
          <w:sz w:val="20"/>
          <w:szCs w:val="20"/>
        </w:rPr>
      </w:pPr>
      <w:r w:rsidRPr="00687C21">
        <w:rPr>
          <w:rStyle w:val="FootnoteReference"/>
          <w:color w:val="000000" w:themeColor="text1"/>
          <w:sz w:val="20"/>
          <w:szCs w:val="20"/>
        </w:rPr>
        <w:footnoteRef/>
      </w:r>
      <w:r w:rsidRPr="00687C21">
        <w:rPr>
          <w:color w:val="000000" w:themeColor="text1"/>
          <w:sz w:val="20"/>
          <w:szCs w:val="20"/>
        </w:rPr>
        <w:t xml:space="preserve"> For the first interpretation, in favor of a general prohibition of algorithmic decisions, see the French </w:t>
      </w:r>
      <w:r w:rsidRPr="00687C21">
        <w:rPr>
          <w:i/>
          <w:color w:val="000000" w:themeColor="text1"/>
          <w:sz w:val="20"/>
          <w:szCs w:val="20"/>
        </w:rPr>
        <w:t xml:space="preserve">Loi n° 78-17 </w:t>
      </w:r>
      <w:r w:rsidRPr="00687C21">
        <w:rPr>
          <w:color w:val="000000" w:themeColor="text1"/>
          <w:sz w:val="20"/>
          <w:szCs w:val="20"/>
        </w:rPr>
        <w:t>of 6 January</w:t>
      </w:r>
      <w:r w:rsidRPr="00687C21">
        <w:rPr>
          <w:i/>
          <w:color w:val="000000" w:themeColor="text1"/>
          <w:sz w:val="20"/>
          <w:szCs w:val="20"/>
        </w:rPr>
        <w:t xml:space="preserve"> </w:t>
      </w:r>
      <w:r w:rsidRPr="00687C21">
        <w:rPr>
          <w:color w:val="000000" w:themeColor="text1"/>
          <w:sz w:val="20"/>
          <w:szCs w:val="20"/>
        </w:rPr>
        <w:t>1978</w:t>
      </w:r>
      <w:r w:rsidRPr="00687C21">
        <w:rPr>
          <w:i/>
          <w:color w:val="000000" w:themeColor="text1"/>
          <w:sz w:val="20"/>
          <w:szCs w:val="20"/>
        </w:rPr>
        <w:t xml:space="preserve"> relative à l'informatique, aux fichiers et aux libertés</w:t>
      </w:r>
      <w:r w:rsidRPr="00687C21">
        <w:rPr>
          <w:color w:val="000000" w:themeColor="text1"/>
          <w:sz w:val="20"/>
          <w:szCs w:val="20"/>
        </w:rPr>
        <w:t>, art 10.</w:t>
      </w:r>
    </w:p>
  </w:footnote>
  <w:footnote w:id="175">
    <w:p w14:paraId="20604248" w14:textId="77777777" w:rsidR="00BB5B8C" w:rsidRPr="00687C21" w:rsidRDefault="00BB5B8C" w:rsidP="00687C21">
      <w:pPr>
        <w:pStyle w:val="FootnoteText"/>
        <w:contextualSpacing/>
        <w:mirrorIndents/>
        <w:jc w:val="both"/>
        <w:rPr>
          <w:color w:val="000000" w:themeColor="text1"/>
          <w:sz w:val="20"/>
          <w:szCs w:val="20"/>
        </w:rPr>
      </w:pPr>
      <w:r w:rsidRPr="00687C21">
        <w:rPr>
          <w:rStyle w:val="FootnoteReference"/>
          <w:color w:val="000000" w:themeColor="text1"/>
          <w:sz w:val="20"/>
          <w:szCs w:val="20"/>
        </w:rPr>
        <w:footnoteRef/>
      </w:r>
      <w:r w:rsidRPr="00687C21">
        <w:rPr>
          <w:color w:val="000000" w:themeColor="text1"/>
          <w:sz w:val="20"/>
          <w:szCs w:val="20"/>
        </w:rPr>
        <w:t xml:space="preserve"> Data Protection Act 1998, s 12(3).</w:t>
      </w:r>
    </w:p>
  </w:footnote>
  <w:footnote w:id="176">
    <w:p w14:paraId="738E407E" w14:textId="192A91C1" w:rsidR="00BB5B8C" w:rsidRPr="00687C21" w:rsidRDefault="00BB5B8C" w:rsidP="00687C21">
      <w:pPr>
        <w:jc w:val="both"/>
        <w:rPr>
          <w:color w:val="000000" w:themeColor="text1"/>
          <w:sz w:val="20"/>
          <w:szCs w:val="20"/>
        </w:rPr>
      </w:pPr>
      <w:r w:rsidRPr="00687C21">
        <w:rPr>
          <w:rStyle w:val="FootnoteReference"/>
          <w:color w:val="000000" w:themeColor="text1"/>
          <w:sz w:val="20"/>
          <w:szCs w:val="20"/>
        </w:rPr>
        <w:footnoteRef/>
      </w:r>
      <w:r w:rsidRPr="00687C21">
        <w:rPr>
          <w:color w:val="000000" w:themeColor="text1"/>
          <w:sz w:val="20"/>
          <w:szCs w:val="20"/>
        </w:rPr>
        <w:t xml:space="preserve"> </w:t>
      </w:r>
      <w:r w:rsidRPr="00687C21">
        <w:rPr>
          <w:color w:val="000000" w:themeColor="text1"/>
          <w:sz w:val="20"/>
          <w:szCs w:val="20"/>
          <w:lang w:eastAsia="ko-KR"/>
        </w:rPr>
        <w:t>The Article 29 Working Party is an advisory body set up under the Data Protection Directive, art 29. It is composed by representatives from the Member States’ data protection authorities, the European Data Protection Supervisor and the European Commission. The GDPR will replace it with the European Data Protection Board.</w:t>
      </w:r>
    </w:p>
  </w:footnote>
  <w:footnote w:id="177">
    <w:p w14:paraId="3AD3B12A" w14:textId="6FE64DE1" w:rsidR="00BB5B8C" w:rsidRPr="00687C21" w:rsidRDefault="00BB5B8C" w:rsidP="00687C21">
      <w:pPr>
        <w:pStyle w:val="FootnoteText"/>
        <w:jc w:val="both"/>
        <w:rPr>
          <w:color w:val="000000" w:themeColor="text1"/>
          <w:sz w:val="20"/>
          <w:szCs w:val="20"/>
        </w:rPr>
      </w:pPr>
      <w:r w:rsidRPr="00687C21">
        <w:rPr>
          <w:rStyle w:val="FootnoteReference"/>
          <w:color w:val="000000" w:themeColor="text1"/>
          <w:sz w:val="20"/>
          <w:szCs w:val="20"/>
        </w:rPr>
        <w:footnoteRef/>
      </w:r>
      <w:r w:rsidRPr="00687C21">
        <w:rPr>
          <w:color w:val="000000" w:themeColor="text1"/>
          <w:sz w:val="20"/>
          <w:szCs w:val="20"/>
        </w:rPr>
        <w:t xml:space="preserve"> Article 29 Working Party (n 9) 12.</w:t>
      </w:r>
    </w:p>
  </w:footnote>
  <w:footnote w:id="178">
    <w:p w14:paraId="41CACD12" w14:textId="30B961F3" w:rsidR="003A5433" w:rsidRPr="00687C21" w:rsidRDefault="003A5433" w:rsidP="00687C21">
      <w:pPr>
        <w:pStyle w:val="FootnoteText"/>
        <w:jc w:val="both"/>
        <w:rPr>
          <w:color w:val="000000" w:themeColor="text1"/>
          <w:sz w:val="20"/>
          <w:szCs w:val="20"/>
        </w:rPr>
      </w:pPr>
      <w:r w:rsidRPr="00687C21">
        <w:rPr>
          <w:rStyle w:val="FootnoteReference"/>
          <w:color w:val="000000" w:themeColor="text1"/>
          <w:sz w:val="20"/>
          <w:szCs w:val="20"/>
        </w:rPr>
        <w:footnoteRef/>
      </w:r>
      <w:r w:rsidRPr="00687C21">
        <w:rPr>
          <w:color w:val="000000" w:themeColor="text1"/>
          <w:sz w:val="20"/>
          <w:szCs w:val="20"/>
        </w:rPr>
        <w:t xml:space="preserve"> Other Member States are adopting implementing measures that are overlooking algorithmic decision-making. For instance, on 21 March 2018, the Italian Cabinet (</w:t>
      </w:r>
      <w:r w:rsidRPr="00687C21">
        <w:rPr>
          <w:i/>
          <w:color w:val="000000" w:themeColor="text1"/>
          <w:sz w:val="20"/>
          <w:szCs w:val="20"/>
        </w:rPr>
        <w:t>Consiglio dei Ministri</w:t>
      </w:r>
      <w:r w:rsidRPr="00687C21">
        <w:rPr>
          <w:color w:val="000000" w:themeColor="text1"/>
          <w:sz w:val="20"/>
          <w:szCs w:val="20"/>
        </w:rPr>
        <w:t>) adopted the draft decree implementing the GDPR (</w:t>
      </w:r>
      <w:r w:rsidRPr="00687C21">
        <w:rPr>
          <w:i/>
          <w:color w:val="000000" w:themeColor="text1"/>
          <w:sz w:val="20"/>
          <w:szCs w:val="20"/>
        </w:rPr>
        <w:t>Disposizioni per l’adeguamento della normativa nazionale alle disposizioni del Regolamento (UE) 2016/679 del Parlamento europeo e del Consiglio, del 27 aprile 2016, relativo alla protezione delle persone fisiche con riguardo al trattamento dei dati personali, nonché alla libera circolazione di tali dati, e che abroga la direttiva 95/46/CE (Regolamento generale sulla protezione dei dati</w:t>
      </w:r>
      <w:r w:rsidRPr="00687C21">
        <w:rPr>
          <w:color w:val="000000" w:themeColor="text1"/>
          <w:sz w:val="20"/>
          <w:szCs w:val="20"/>
        </w:rPr>
        <w:t>), hereinafter ‘</w:t>
      </w:r>
      <w:r w:rsidRPr="00687C21">
        <w:rPr>
          <w:color w:val="000000" w:themeColor="text1"/>
          <w:sz w:val="20"/>
          <w:szCs w:val="20"/>
          <w:shd w:val="clear" w:color="auto" w:fill="FFFFFF"/>
          <w:lang w:val="it-IT"/>
        </w:rPr>
        <w:t>Draft GDPR implementing decree’</w:t>
      </w:r>
      <w:r w:rsidRPr="00687C21">
        <w:rPr>
          <w:color w:val="000000" w:themeColor="text1"/>
          <w:sz w:val="20"/>
          <w:szCs w:val="20"/>
        </w:rPr>
        <w:t xml:space="preserve">). The </w:t>
      </w:r>
      <w:r w:rsidRPr="00687C21">
        <w:rPr>
          <w:color w:val="000000" w:themeColor="text1"/>
          <w:sz w:val="20"/>
          <w:szCs w:val="20"/>
          <w:shd w:val="clear" w:color="auto" w:fill="FFFFFF"/>
          <w:lang w:val="it-IT"/>
        </w:rPr>
        <w:t>Draft GDPR implementing decree does not provide anything on the matter. Unlike the UK, however, the GDPR will be directly applicable and, therefore, Italian data controllers will be bound directly by art 22 of the GDPR.</w:t>
      </w:r>
    </w:p>
  </w:footnote>
  <w:footnote w:id="179">
    <w:p w14:paraId="13BC5230" w14:textId="677FC9AD" w:rsidR="00BB5B8C" w:rsidRPr="00687C21" w:rsidRDefault="00BB5B8C" w:rsidP="00687C21">
      <w:pPr>
        <w:pStyle w:val="FootnoteText"/>
        <w:jc w:val="both"/>
        <w:rPr>
          <w:color w:val="000000" w:themeColor="text1"/>
          <w:sz w:val="20"/>
          <w:szCs w:val="20"/>
        </w:rPr>
      </w:pPr>
      <w:r w:rsidRPr="00687C21">
        <w:rPr>
          <w:rStyle w:val="FootnoteReference"/>
          <w:color w:val="000000" w:themeColor="text1"/>
          <w:sz w:val="20"/>
          <w:szCs w:val="20"/>
        </w:rPr>
        <w:footnoteRef/>
      </w:r>
      <w:r w:rsidRPr="00687C21">
        <w:rPr>
          <w:color w:val="000000" w:themeColor="text1"/>
          <w:sz w:val="20"/>
          <w:szCs w:val="20"/>
        </w:rPr>
        <w:t xml:space="preserve"> This is the view expressed by </w:t>
      </w:r>
      <w:r w:rsidRPr="00687C21">
        <w:rPr>
          <w:rStyle w:val="apple-converted-space"/>
          <w:color w:val="000000" w:themeColor="text1"/>
          <w:sz w:val="20"/>
          <w:szCs w:val="20"/>
        </w:rPr>
        <w:t xml:space="preserve">Bygrave (n </w:t>
      </w:r>
      <w:r w:rsidR="00C97818">
        <w:rPr>
          <w:rStyle w:val="apple-converted-space"/>
          <w:color w:val="000000" w:themeColor="text1"/>
          <w:sz w:val="20"/>
          <w:szCs w:val="20"/>
        </w:rPr>
        <w:t>165</w:t>
      </w:r>
      <w:r w:rsidRPr="00687C21">
        <w:rPr>
          <w:rStyle w:val="apple-converted-space"/>
          <w:color w:val="000000" w:themeColor="text1"/>
          <w:sz w:val="20"/>
          <w:szCs w:val="20"/>
        </w:rPr>
        <w:t>) 22 about the similar provision in the Data Protection Directive. His observation is all the more true with regards to the GDPR for at least two reasons. First, because algorithmic decisions have become more common and more intrusive. Second, because the GDPR strengthens the relevant regime, thus confirming the importance of the provision.</w:t>
      </w:r>
    </w:p>
  </w:footnote>
  <w:footnote w:id="180">
    <w:p w14:paraId="522AE8AA" w14:textId="1A468C7C" w:rsidR="00BB5B8C" w:rsidRPr="00687C21" w:rsidRDefault="00BB5B8C" w:rsidP="00687C21">
      <w:pPr>
        <w:pStyle w:val="FootnoteText"/>
        <w:jc w:val="both"/>
        <w:rPr>
          <w:color w:val="000000" w:themeColor="text1"/>
          <w:sz w:val="20"/>
          <w:szCs w:val="20"/>
        </w:rPr>
      </w:pPr>
      <w:r w:rsidRPr="00687C21">
        <w:rPr>
          <w:rStyle w:val="FootnoteReference"/>
          <w:color w:val="000000" w:themeColor="text1"/>
          <w:sz w:val="20"/>
          <w:szCs w:val="20"/>
        </w:rPr>
        <w:footnoteRef/>
      </w:r>
      <w:r w:rsidRPr="00687C21">
        <w:rPr>
          <w:color w:val="000000" w:themeColor="text1"/>
          <w:sz w:val="20"/>
          <w:szCs w:val="20"/>
        </w:rPr>
        <w:t xml:space="preserve"> ibid 8.</w:t>
      </w:r>
    </w:p>
  </w:footnote>
  <w:footnote w:id="181">
    <w:p w14:paraId="31B60882" w14:textId="5966DD70" w:rsidR="00BB5B8C" w:rsidRPr="00687C21" w:rsidRDefault="00BB5B8C" w:rsidP="00687C21">
      <w:pPr>
        <w:pStyle w:val="FootnoteText"/>
        <w:contextualSpacing/>
        <w:mirrorIndents/>
        <w:jc w:val="both"/>
        <w:rPr>
          <w:color w:val="000000" w:themeColor="text1"/>
          <w:sz w:val="20"/>
          <w:szCs w:val="20"/>
        </w:rPr>
      </w:pPr>
      <w:r w:rsidRPr="00687C21">
        <w:rPr>
          <w:rStyle w:val="FootnoteReference"/>
          <w:color w:val="000000" w:themeColor="text1"/>
          <w:sz w:val="20"/>
          <w:szCs w:val="20"/>
        </w:rPr>
        <w:footnoteRef/>
      </w:r>
      <w:r w:rsidRPr="00687C21">
        <w:rPr>
          <w:color w:val="000000" w:themeColor="text1"/>
          <w:sz w:val="20"/>
          <w:szCs w:val="20"/>
        </w:rPr>
        <w:t xml:space="preserve"> </w:t>
      </w:r>
      <w:r w:rsidRPr="00687C21">
        <w:rPr>
          <w:rStyle w:val="apple-converted-space"/>
          <w:color w:val="000000" w:themeColor="text1"/>
          <w:sz w:val="20"/>
          <w:szCs w:val="20"/>
        </w:rPr>
        <w:t>GDPR, art 22(1).</w:t>
      </w:r>
    </w:p>
  </w:footnote>
  <w:footnote w:id="182">
    <w:p w14:paraId="648068C4" w14:textId="77777777" w:rsidR="00BB5B8C" w:rsidRPr="00687C21" w:rsidRDefault="00BB5B8C" w:rsidP="00687C21">
      <w:pPr>
        <w:pStyle w:val="FootnoteText"/>
        <w:contextualSpacing/>
        <w:mirrorIndents/>
        <w:jc w:val="both"/>
        <w:rPr>
          <w:color w:val="000000" w:themeColor="text1"/>
          <w:sz w:val="20"/>
          <w:szCs w:val="20"/>
        </w:rPr>
      </w:pPr>
      <w:r w:rsidRPr="00687C21">
        <w:rPr>
          <w:rStyle w:val="FootnoteReference"/>
          <w:color w:val="000000" w:themeColor="text1"/>
          <w:sz w:val="20"/>
          <w:szCs w:val="20"/>
        </w:rPr>
        <w:footnoteRef/>
      </w:r>
      <w:r w:rsidRPr="00687C21">
        <w:rPr>
          <w:color w:val="000000" w:themeColor="text1"/>
          <w:sz w:val="20"/>
          <w:szCs w:val="20"/>
        </w:rPr>
        <w:t xml:space="preserve"> Article 29 Working Party, ‘Advice paper on essential elements of a definition and a provision on profiling within the EU General Data Protection Regulation’ (13 May 2013), para 2(a).</w:t>
      </w:r>
    </w:p>
  </w:footnote>
  <w:footnote w:id="183">
    <w:p w14:paraId="1F92F5C8" w14:textId="77777777" w:rsidR="00BB5B8C" w:rsidRPr="00687C21" w:rsidRDefault="00BB5B8C" w:rsidP="00687C21">
      <w:pPr>
        <w:pStyle w:val="FootnoteText"/>
        <w:jc w:val="both"/>
        <w:rPr>
          <w:color w:val="000000" w:themeColor="text1"/>
          <w:sz w:val="20"/>
          <w:szCs w:val="20"/>
        </w:rPr>
      </w:pPr>
      <w:r w:rsidRPr="00687C21">
        <w:rPr>
          <w:rStyle w:val="FootnoteReference"/>
          <w:color w:val="000000" w:themeColor="text1"/>
          <w:sz w:val="20"/>
          <w:szCs w:val="20"/>
        </w:rPr>
        <w:footnoteRef/>
      </w:r>
      <w:r w:rsidRPr="00687C21">
        <w:rPr>
          <w:color w:val="000000" w:themeColor="text1"/>
          <w:sz w:val="20"/>
          <w:szCs w:val="20"/>
        </w:rPr>
        <w:t xml:space="preserve"> </w:t>
      </w:r>
      <w:r w:rsidRPr="00687C21">
        <w:rPr>
          <w:i/>
          <w:color w:val="000000" w:themeColor="text1"/>
          <w:sz w:val="20"/>
          <w:szCs w:val="20"/>
        </w:rPr>
        <w:t>cf</w:t>
      </w:r>
      <w:r w:rsidRPr="00687C21">
        <w:rPr>
          <w:color w:val="000000" w:themeColor="text1"/>
          <w:sz w:val="20"/>
          <w:szCs w:val="20"/>
        </w:rPr>
        <w:t xml:space="preserve"> ibid 10.</w:t>
      </w:r>
    </w:p>
  </w:footnote>
  <w:footnote w:id="184">
    <w:p w14:paraId="2F712803" w14:textId="07879C7A" w:rsidR="00BB5B8C" w:rsidRPr="00687C21" w:rsidRDefault="00BB5B8C" w:rsidP="00687C21">
      <w:pPr>
        <w:pStyle w:val="FootnoteText"/>
        <w:contextualSpacing/>
        <w:mirrorIndents/>
        <w:jc w:val="both"/>
        <w:rPr>
          <w:color w:val="000000" w:themeColor="text1"/>
          <w:sz w:val="20"/>
          <w:szCs w:val="20"/>
        </w:rPr>
      </w:pPr>
      <w:r w:rsidRPr="00687C21">
        <w:rPr>
          <w:rStyle w:val="FootnoteReference"/>
          <w:color w:val="000000" w:themeColor="text1"/>
          <w:sz w:val="20"/>
          <w:szCs w:val="20"/>
        </w:rPr>
        <w:footnoteRef/>
      </w:r>
      <w:r w:rsidRPr="00687C21">
        <w:rPr>
          <w:color w:val="000000" w:themeColor="text1"/>
          <w:sz w:val="20"/>
          <w:szCs w:val="20"/>
        </w:rPr>
        <w:t xml:space="preserve"> This would constitute a weakening of many national implementing regimes. For instance, in the UK the Data Protection Act 1998 refers generally to decisions which significantly affect the individual (s 12(1)).</w:t>
      </w:r>
    </w:p>
  </w:footnote>
  <w:footnote w:id="185">
    <w:p w14:paraId="2318CB31" w14:textId="1521F53A" w:rsidR="00BB5B8C" w:rsidRPr="00687C21" w:rsidRDefault="00BB5B8C" w:rsidP="00687C21">
      <w:pPr>
        <w:pStyle w:val="FootnoteText"/>
        <w:contextualSpacing/>
        <w:mirrorIndents/>
        <w:jc w:val="both"/>
        <w:rPr>
          <w:color w:val="000000" w:themeColor="text1"/>
          <w:sz w:val="20"/>
          <w:szCs w:val="20"/>
        </w:rPr>
      </w:pPr>
      <w:r w:rsidRPr="00687C21">
        <w:rPr>
          <w:color w:val="000000" w:themeColor="text1"/>
          <w:sz w:val="20"/>
          <w:szCs w:val="20"/>
        </w:rPr>
        <w:footnoteRef/>
      </w:r>
      <w:r w:rsidRPr="00687C21">
        <w:rPr>
          <w:color w:val="000000" w:themeColor="text1"/>
          <w:sz w:val="20"/>
          <w:szCs w:val="20"/>
        </w:rPr>
        <w:t xml:space="preserve"> </w:t>
      </w:r>
      <w:r w:rsidRPr="00687C21">
        <w:rPr>
          <w:i/>
          <w:color w:val="000000" w:themeColor="text1"/>
          <w:sz w:val="20"/>
          <w:szCs w:val="20"/>
        </w:rPr>
        <w:t>cf</w:t>
      </w:r>
      <w:r w:rsidRPr="00687C21">
        <w:rPr>
          <w:color w:val="000000" w:themeColor="text1"/>
          <w:sz w:val="20"/>
          <w:szCs w:val="20"/>
        </w:rPr>
        <w:t xml:space="preserve"> Jilian York, ‘Getting banned from Facebook can have unexpected and professionally devastating consequences’ (Quartz, 31 March 2016) &lt;</w:t>
      </w:r>
      <w:hyperlink r:id="rId12" w:history="1">
        <w:r w:rsidRPr="00687C21">
          <w:rPr>
            <w:color w:val="000000" w:themeColor="text1"/>
            <w:sz w:val="20"/>
            <w:szCs w:val="20"/>
          </w:rPr>
          <w:t>https://qz.com/651001/getting-banned-from-facebook-can-have-unexpected-and-professionally-devastating-consequences/</w:t>
        </w:r>
      </w:hyperlink>
      <w:r w:rsidRPr="00687C21">
        <w:rPr>
          <w:color w:val="000000" w:themeColor="text1"/>
          <w:sz w:val="20"/>
          <w:szCs w:val="20"/>
        </w:rPr>
        <w:t xml:space="preserve">&gt; accessed 1 March 2018. </w:t>
      </w:r>
    </w:p>
  </w:footnote>
  <w:footnote w:id="186">
    <w:p w14:paraId="553DD763" w14:textId="0D44794B" w:rsidR="00BB5B8C" w:rsidRPr="00687C21" w:rsidRDefault="00BB5B8C" w:rsidP="00687C21">
      <w:pPr>
        <w:pStyle w:val="FootnoteText"/>
        <w:jc w:val="both"/>
        <w:rPr>
          <w:color w:val="000000" w:themeColor="text1"/>
          <w:sz w:val="20"/>
          <w:szCs w:val="20"/>
          <w:lang w:val="it-IT"/>
        </w:rPr>
      </w:pPr>
      <w:r w:rsidRPr="00687C21">
        <w:rPr>
          <w:rStyle w:val="FootnoteReference"/>
          <w:color w:val="000000" w:themeColor="text1"/>
          <w:sz w:val="20"/>
          <w:szCs w:val="20"/>
        </w:rPr>
        <w:footnoteRef/>
      </w:r>
      <w:r w:rsidRPr="00687C21">
        <w:rPr>
          <w:color w:val="000000" w:themeColor="text1"/>
          <w:sz w:val="20"/>
          <w:szCs w:val="20"/>
        </w:rPr>
        <w:t xml:space="preserve"> </w:t>
      </w:r>
      <w:r w:rsidRPr="00687C21">
        <w:rPr>
          <w:color w:val="000000" w:themeColor="text1"/>
          <w:sz w:val="20"/>
          <w:szCs w:val="20"/>
          <w:lang w:val="it-IT"/>
        </w:rPr>
        <w:t>Data Protection Act 1998, s 12(1).</w:t>
      </w:r>
    </w:p>
  </w:footnote>
  <w:footnote w:id="187">
    <w:p w14:paraId="5F9089F7" w14:textId="1AFF286E" w:rsidR="00BB5B8C" w:rsidRPr="00687C21" w:rsidRDefault="00BB5B8C" w:rsidP="00687C21">
      <w:pPr>
        <w:pStyle w:val="FootnoteText"/>
        <w:contextualSpacing/>
        <w:mirrorIndents/>
        <w:jc w:val="both"/>
        <w:rPr>
          <w:color w:val="000000" w:themeColor="text1"/>
          <w:sz w:val="20"/>
          <w:szCs w:val="20"/>
        </w:rPr>
      </w:pPr>
      <w:r w:rsidRPr="00687C21">
        <w:rPr>
          <w:rStyle w:val="FootnoteReference"/>
          <w:color w:val="000000" w:themeColor="text1"/>
          <w:sz w:val="20"/>
          <w:szCs w:val="20"/>
        </w:rPr>
        <w:footnoteRef/>
      </w:r>
      <w:r w:rsidRPr="00687C21">
        <w:rPr>
          <w:color w:val="000000" w:themeColor="text1"/>
          <w:sz w:val="20"/>
          <w:szCs w:val="20"/>
        </w:rPr>
        <w:t xml:space="preserve"> Information Commissioner’s Office, </w:t>
      </w:r>
      <w:r w:rsidRPr="00687C21">
        <w:rPr>
          <w:i/>
          <w:color w:val="000000" w:themeColor="text1"/>
          <w:sz w:val="20"/>
          <w:szCs w:val="20"/>
        </w:rPr>
        <w:t>Feedback request – profiling and automated decision-making</w:t>
      </w:r>
      <w:r w:rsidRPr="00687C21">
        <w:rPr>
          <w:color w:val="000000" w:themeColor="text1"/>
          <w:sz w:val="20"/>
          <w:szCs w:val="20"/>
        </w:rPr>
        <w:t xml:space="preserve"> (ICO 2017) 19.</w:t>
      </w:r>
    </w:p>
  </w:footnote>
  <w:footnote w:id="188">
    <w:p w14:paraId="5405F339" w14:textId="438B7418" w:rsidR="00BB5B8C" w:rsidRPr="00687C21" w:rsidRDefault="00BB5B8C" w:rsidP="00687C21">
      <w:pPr>
        <w:pStyle w:val="FootnoteText"/>
        <w:jc w:val="both"/>
        <w:rPr>
          <w:color w:val="000000" w:themeColor="text1"/>
          <w:sz w:val="20"/>
          <w:szCs w:val="20"/>
        </w:rPr>
      </w:pPr>
      <w:r w:rsidRPr="00687C21">
        <w:rPr>
          <w:rStyle w:val="FootnoteReference"/>
          <w:color w:val="000000" w:themeColor="text1"/>
          <w:sz w:val="20"/>
          <w:szCs w:val="20"/>
        </w:rPr>
        <w:footnoteRef/>
      </w:r>
      <w:r w:rsidRPr="00687C21">
        <w:rPr>
          <w:color w:val="000000" w:themeColor="text1"/>
          <w:sz w:val="20"/>
          <w:szCs w:val="20"/>
        </w:rPr>
        <w:t xml:space="preserve"> The digital technology industry in Europe would welcome such guidance. For instance, ‘Input on Automated Individual Decision Making &amp; Data Breach Notification’ (DigitalEurope, 5 April 2017) 3 &lt;http://www.digitaleurope.org/DesktopModules/Bring2mind/DMX/Download.aspx?Command=Core_Download&amp;EntryId=2390&amp;language=en-US&amp;PortalId=0&amp;TabId=353&gt; accessed 1 March 2018, “would appreciate (…) clarification in the future guidance on how companies should interpret these two cumulative conditions as well as examples of such effects in different sectors”.</w:t>
      </w:r>
    </w:p>
  </w:footnote>
  <w:footnote w:id="189">
    <w:p w14:paraId="36833C4A" w14:textId="3F6F25C4" w:rsidR="00BB5B8C" w:rsidRPr="00687C21" w:rsidRDefault="00BB5B8C" w:rsidP="00687C21">
      <w:pPr>
        <w:pStyle w:val="FootnoteText"/>
        <w:jc w:val="both"/>
        <w:rPr>
          <w:color w:val="000000" w:themeColor="text1"/>
          <w:sz w:val="20"/>
          <w:szCs w:val="20"/>
        </w:rPr>
      </w:pPr>
      <w:r w:rsidRPr="00687C21">
        <w:rPr>
          <w:rStyle w:val="FootnoteReference"/>
          <w:color w:val="000000" w:themeColor="text1"/>
          <w:sz w:val="20"/>
          <w:szCs w:val="20"/>
        </w:rPr>
        <w:footnoteRef/>
      </w:r>
      <w:r w:rsidRPr="00687C21">
        <w:rPr>
          <w:color w:val="000000" w:themeColor="text1"/>
          <w:sz w:val="20"/>
          <w:szCs w:val="20"/>
        </w:rPr>
        <w:t xml:space="preserve"> Article 29 Working Party (n 9) 10.</w:t>
      </w:r>
    </w:p>
  </w:footnote>
  <w:footnote w:id="190">
    <w:p w14:paraId="47FBF8F5" w14:textId="74A4A7EA" w:rsidR="00BB5B8C" w:rsidRPr="00687C21" w:rsidRDefault="00BB5B8C" w:rsidP="00687C21">
      <w:pPr>
        <w:pStyle w:val="FootnoteText"/>
        <w:jc w:val="both"/>
        <w:rPr>
          <w:color w:val="000000" w:themeColor="text1"/>
          <w:sz w:val="20"/>
          <w:szCs w:val="20"/>
        </w:rPr>
      </w:pPr>
      <w:r w:rsidRPr="00687C21">
        <w:rPr>
          <w:rStyle w:val="FootnoteReference"/>
          <w:color w:val="000000" w:themeColor="text1"/>
          <w:sz w:val="20"/>
          <w:szCs w:val="20"/>
        </w:rPr>
        <w:footnoteRef/>
      </w:r>
      <w:r w:rsidRPr="00687C21">
        <w:rPr>
          <w:color w:val="000000" w:themeColor="text1"/>
          <w:sz w:val="20"/>
          <w:szCs w:val="20"/>
        </w:rPr>
        <w:t xml:space="preserve"> ibid 10.</w:t>
      </w:r>
    </w:p>
  </w:footnote>
  <w:footnote w:id="191">
    <w:p w14:paraId="07AE8E91" w14:textId="068150F7" w:rsidR="00687C21" w:rsidRPr="00687C21" w:rsidRDefault="00687C21" w:rsidP="00687C21">
      <w:pPr>
        <w:pStyle w:val="textbox"/>
        <w:spacing w:before="0" w:beforeAutospacing="0" w:after="0" w:afterAutospacing="0"/>
        <w:jc w:val="both"/>
        <w:rPr>
          <w:rFonts w:ascii="Arial" w:hAnsi="Arial" w:cs="Arial"/>
          <w:sz w:val="14"/>
          <w:szCs w:val="14"/>
        </w:rPr>
      </w:pPr>
      <w:r>
        <w:rPr>
          <w:rStyle w:val="FootnoteReference"/>
        </w:rPr>
        <w:footnoteRef/>
      </w:r>
      <w:r>
        <w:t xml:space="preserve"> </w:t>
      </w:r>
      <w:r w:rsidRPr="00687C21">
        <w:rPr>
          <w:i/>
          <w:color w:val="000000" w:themeColor="text1"/>
          <w:sz w:val="20"/>
          <w:szCs w:val="20"/>
          <w:lang w:eastAsia="ko-KR"/>
        </w:rPr>
        <w:t>cf</w:t>
      </w:r>
      <w:r w:rsidRPr="00687C21">
        <w:rPr>
          <w:color w:val="000000" w:themeColor="text1"/>
          <w:sz w:val="20"/>
          <w:szCs w:val="20"/>
          <w:lang w:eastAsia="ko-KR"/>
        </w:rPr>
        <w:t xml:space="preserve"> Guido Noto La Diega, ‘Some considerations on intelligent online behavioural advertising’ (2017) 66-67 Revue du droit des technologies de l'information 53.</w:t>
      </w:r>
    </w:p>
  </w:footnote>
  <w:footnote w:id="192">
    <w:p w14:paraId="05FA8AF1" w14:textId="77777777" w:rsidR="00BB5B8C" w:rsidRPr="00687C21" w:rsidRDefault="00BB5B8C" w:rsidP="00687C21">
      <w:pPr>
        <w:pStyle w:val="FootnoteText"/>
        <w:contextualSpacing/>
        <w:mirrorIndents/>
        <w:jc w:val="both"/>
        <w:rPr>
          <w:color w:val="000000" w:themeColor="text1"/>
          <w:sz w:val="20"/>
          <w:szCs w:val="20"/>
        </w:rPr>
      </w:pPr>
      <w:r w:rsidRPr="00687C21">
        <w:rPr>
          <w:rStyle w:val="FootnoteReference"/>
          <w:color w:val="000000" w:themeColor="text1"/>
          <w:sz w:val="20"/>
          <w:szCs w:val="20"/>
        </w:rPr>
        <w:footnoteRef/>
      </w:r>
      <w:r w:rsidRPr="00687C21">
        <w:rPr>
          <w:color w:val="000000" w:themeColor="text1"/>
          <w:sz w:val="20"/>
          <w:szCs w:val="20"/>
        </w:rPr>
        <w:t xml:space="preserve"> ibid 12.</w:t>
      </w:r>
    </w:p>
  </w:footnote>
  <w:footnote w:id="193">
    <w:p w14:paraId="0E56BA0F" w14:textId="6DB89B36" w:rsidR="00BB5B8C" w:rsidRPr="00687C21" w:rsidRDefault="00BB5B8C" w:rsidP="00687C21">
      <w:pPr>
        <w:pStyle w:val="FootnoteText"/>
        <w:jc w:val="both"/>
        <w:rPr>
          <w:color w:val="000000" w:themeColor="text1"/>
          <w:sz w:val="20"/>
          <w:szCs w:val="20"/>
        </w:rPr>
      </w:pPr>
      <w:r w:rsidRPr="00687C21">
        <w:rPr>
          <w:rStyle w:val="FootnoteReference"/>
          <w:color w:val="000000" w:themeColor="text1"/>
          <w:sz w:val="20"/>
          <w:szCs w:val="20"/>
        </w:rPr>
        <w:footnoteRef/>
      </w:r>
      <w:r w:rsidRPr="00687C21">
        <w:rPr>
          <w:color w:val="000000" w:themeColor="text1"/>
          <w:sz w:val="20"/>
          <w:szCs w:val="20"/>
        </w:rPr>
        <w:t xml:space="preserve"> This is still the approach that one can find in Information Commissioner’s Office, ‘Guide to Data Protection’ (</w:t>
      </w:r>
      <w:r w:rsidRPr="00687C21">
        <w:rPr>
          <w:i/>
          <w:color w:val="000000" w:themeColor="text1"/>
          <w:sz w:val="20"/>
          <w:szCs w:val="20"/>
        </w:rPr>
        <w:t>ICO</w:t>
      </w:r>
      <w:r w:rsidRPr="00687C21">
        <w:rPr>
          <w:color w:val="000000" w:themeColor="text1"/>
          <w:sz w:val="20"/>
          <w:szCs w:val="20"/>
        </w:rPr>
        <w:t>, 11 May 2016) &lt;https://www.legislation.gov.uk/ukpga/1998/29/pdfs/ukpgaod_19980029_en.pdf&gt; accessed 18 March 2018.</w:t>
      </w:r>
    </w:p>
  </w:footnote>
  <w:footnote w:id="194">
    <w:p w14:paraId="11CA3EC2" w14:textId="56B166E5" w:rsidR="00BB5B8C" w:rsidRPr="00687C21" w:rsidRDefault="00BB5B8C" w:rsidP="00687C21">
      <w:pPr>
        <w:pStyle w:val="FootnoteText"/>
        <w:contextualSpacing/>
        <w:mirrorIndents/>
        <w:jc w:val="both"/>
        <w:rPr>
          <w:color w:val="000000" w:themeColor="text1"/>
          <w:sz w:val="20"/>
          <w:szCs w:val="20"/>
        </w:rPr>
      </w:pPr>
      <w:r w:rsidRPr="00687C21">
        <w:rPr>
          <w:rStyle w:val="FootnoteReference"/>
          <w:color w:val="000000" w:themeColor="text1"/>
          <w:sz w:val="20"/>
          <w:szCs w:val="20"/>
        </w:rPr>
        <w:footnoteRef/>
      </w:r>
      <w:r w:rsidRPr="00687C21">
        <w:rPr>
          <w:color w:val="000000" w:themeColor="text1"/>
          <w:sz w:val="20"/>
          <w:szCs w:val="20"/>
        </w:rPr>
        <w:t xml:space="preserve"> Information Commissioner’s Office</w:t>
      </w:r>
      <w:r w:rsidR="00C97818">
        <w:rPr>
          <w:color w:val="000000" w:themeColor="text1"/>
          <w:sz w:val="20"/>
          <w:szCs w:val="20"/>
        </w:rPr>
        <w:t xml:space="preserve"> (n 186</w:t>
      </w:r>
      <w:r w:rsidRPr="00687C21">
        <w:rPr>
          <w:color w:val="000000" w:themeColor="text1"/>
          <w:sz w:val="20"/>
          <w:szCs w:val="20"/>
        </w:rPr>
        <w:t xml:space="preserve">). </w:t>
      </w:r>
    </w:p>
  </w:footnote>
  <w:footnote w:id="195">
    <w:p w14:paraId="16D66009" w14:textId="28B74ECE" w:rsidR="00BB5B8C" w:rsidRPr="00687C21" w:rsidRDefault="00BB5B8C" w:rsidP="00687C21">
      <w:pPr>
        <w:pStyle w:val="FootnoteText"/>
        <w:contextualSpacing/>
        <w:mirrorIndents/>
        <w:jc w:val="both"/>
        <w:rPr>
          <w:color w:val="000000" w:themeColor="text1"/>
          <w:sz w:val="20"/>
          <w:szCs w:val="20"/>
        </w:rPr>
      </w:pPr>
      <w:r w:rsidRPr="00687C21">
        <w:rPr>
          <w:rStyle w:val="FootnoteReference"/>
          <w:color w:val="000000" w:themeColor="text1"/>
          <w:sz w:val="20"/>
          <w:szCs w:val="20"/>
        </w:rPr>
        <w:footnoteRef/>
      </w:r>
      <w:r w:rsidRPr="00687C21">
        <w:rPr>
          <w:color w:val="000000" w:themeColor="text1"/>
          <w:sz w:val="20"/>
          <w:szCs w:val="20"/>
        </w:rPr>
        <w:t xml:space="preserve">ibid 19. </w:t>
      </w:r>
    </w:p>
  </w:footnote>
  <w:footnote w:id="196">
    <w:p w14:paraId="392EFEA7" w14:textId="234AACC6" w:rsidR="00BB5B8C" w:rsidRPr="00687C21" w:rsidRDefault="00BB5B8C" w:rsidP="00687C21">
      <w:pPr>
        <w:pStyle w:val="FootnoteText"/>
        <w:contextualSpacing/>
        <w:mirrorIndents/>
        <w:jc w:val="both"/>
        <w:rPr>
          <w:color w:val="000000" w:themeColor="text1"/>
          <w:sz w:val="20"/>
          <w:szCs w:val="20"/>
        </w:rPr>
      </w:pPr>
      <w:r w:rsidRPr="00687C21">
        <w:rPr>
          <w:rStyle w:val="FootnoteReference"/>
          <w:color w:val="000000" w:themeColor="text1"/>
          <w:sz w:val="20"/>
          <w:szCs w:val="20"/>
        </w:rPr>
        <w:footnoteRef/>
      </w:r>
      <w:r w:rsidRPr="00687C21">
        <w:rPr>
          <w:color w:val="000000" w:themeColor="text1"/>
          <w:sz w:val="20"/>
          <w:szCs w:val="20"/>
        </w:rPr>
        <w:t xml:space="preserve"> Kuner (n </w:t>
      </w:r>
      <w:r w:rsidR="00C97818">
        <w:rPr>
          <w:color w:val="000000" w:themeColor="text1"/>
          <w:sz w:val="20"/>
          <w:szCs w:val="20"/>
        </w:rPr>
        <w:t>76</w:t>
      </w:r>
      <w:r w:rsidRPr="00687C21">
        <w:rPr>
          <w:color w:val="000000" w:themeColor="text1"/>
          <w:sz w:val="20"/>
          <w:szCs w:val="20"/>
        </w:rPr>
        <w:t>) 2.</w:t>
      </w:r>
    </w:p>
  </w:footnote>
  <w:footnote w:id="197">
    <w:p w14:paraId="5AEC2E26" w14:textId="62A4791E" w:rsidR="00BB5B8C" w:rsidRPr="00687C21" w:rsidRDefault="00BB5B8C" w:rsidP="00687C21">
      <w:pPr>
        <w:pStyle w:val="Default"/>
        <w:contextualSpacing/>
        <w:mirrorIndents/>
        <w:jc w:val="both"/>
        <w:rPr>
          <w:rFonts w:ascii="Times New Roman" w:hAnsi="Times New Roman" w:cs="Times New Roman"/>
          <w:color w:val="000000" w:themeColor="text1"/>
          <w:sz w:val="20"/>
          <w:szCs w:val="20"/>
        </w:rPr>
      </w:pPr>
      <w:r w:rsidRPr="00687C21">
        <w:rPr>
          <w:rStyle w:val="FootnoteReference"/>
          <w:rFonts w:ascii="Times New Roman" w:hAnsi="Times New Roman" w:cs="Times New Roman"/>
          <w:color w:val="000000" w:themeColor="text1"/>
          <w:sz w:val="20"/>
          <w:szCs w:val="20"/>
        </w:rPr>
        <w:footnoteRef/>
      </w:r>
      <w:r w:rsidRPr="00687C21">
        <w:rPr>
          <w:rFonts w:ascii="Times New Roman" w:hAnsi="Times New Roman" w:cs="Times New Roman"/>
          <w:color w:val="000000" w:themeColor="text1"/>
          <w:sz w:val="20"/>
          <w:szCs w:val="20"/>
        </w:rPr>
        <w:t xml:space="preserve"> Along the same lines, with regards to the Data Protection Directive, it has been noted that the regime will operate every time that there is not a human being exercising “r</w:t>
      </w:r>
      <w:r w:rsidRPr="00687C21">
        <w:rPr>
          <w:rFonts w:ascii="Times New Roman" w:hAnsi="Times New Roman" w:cs="Times New Roman"/>
          <w:iCs/>
          <w:color w:val="000000" w:themeColor="text1"/>
          <w:sz w:val="20"/>
          <w:szCs w:val="20"/>
        </w:rPr>
        <w:t>eal influence on the outcome of a particular decision-making process</w:t>
      </w:r>
      <w:r w:rsidRPr="00687C21">
        <w:rPr>
          <w:rFonts w:ascii="Times New Roman" w:hAnsi="Times New Roman" w:cs="Times New Roman"/>
          <w:i/>
          <w:iCs/>
          <w:color w:val="000000" w:themeColor="text1"/>
          <w:sz w:val="20"/>
          <w:szCs w:val="20"/>
        </w:rPr>
        <w:t xml:space="preserve">” </w:t>
      </w:r>
      <w:r w:rsidRPr="00687C21">
        <w:rPr>
          <w:rFonts w:ascii="Times New Roman" w:hAnsi="Times New Roman" w:cs="Times New Roman"/>
          <w:iCs/>
          <w:color w:val="000000" w:themeColor="text1"/>
          <w:sz w:val="20"/>
          <w:szCs w:val="20"/>
        </w:rPr>
        <w:t>(</w:t>
      </w:r>
      <w:r w:rsidRPr="00687C21">
        <w:rPr>
          <w:rFonts w:ascii="Times New Roman" w:hAnsi="Times New Roman" w:cs="Times New Roman"/>
          <w:color w:val="000000" w:themeColor="text1"/>
          <w:sz w:val="20"/>
          <w:szCs w:val="20"/>
        </w:rPr>
        <w:t xml:space="preserve">Bygrave (n </w:t>
      </w:r>
      <w:r w:rsidR="00C97818">
        <w:rPr>
          <w:rFonts w:ascii="Times New Roman" w:hAnsi="Times New Roman" w:cs="Times New Roman"/>
          <w:color w:val="000000" w:themeColor="text1"/>
          <w:sz w:val="20"/>
          <w:szCs w:val="20"/>
        </w:rPr>
        <w:t>165</w:t>
      </w:r>
      <w:r w:rsidRPr="00687C21">
        <w:rPr>
          <w:rFonts w:ascii="Times New Roman" w:hAnsi="Times New Roman" w:cs="Times New Roman"/>
          <w:color w:val="000000" w:themeColor="text1"/>
          <w:sz w:val="20"/>
          <w:szCs w:val="20"/>
        </w:rPr>
        <w:t xml:space="preserve">) </w:t>
      </w:r>
      <w:r w:rsidRPr="00687C21">
        <w:rPr>
          <w:rFonts w:ascii="Times New Roman" w:hAnsi="Times New Roman" w:cs="Times New Roman"/>
          <w:iCs/>
          <w:color w:val="000000" w:themeColor="text1"/>
          <w:sz w:val="20"/>
          <w:szCs w:val="20"/>
        </w:rPr>
        <w:t>20</w:t>
      </w:r>
      <w:r w:rsidRPr="00C97818">
        <w:rPr>
          <w:rFonts w:ascii="Times New Roman" w:hAnsi="Times New Roman" w:cs="Times New Roman"/>
          <w:iCs/>
          <w:color w:val="000000" w:themeColor="text1"/>
          <w:sz w:val="20"/>
          <w:szCs w:val="20"/>
        </w:rPr>
        <w:t>)</w:t>
      </w:r>
      <w:r w:rsidRPr="00687C21">
        <w:rPr>
          <w:rFonts w:ascii="Times New Roman" w:hAnsi="Times New Roman" w:cs="Times New Roman"/>
          <w:i/>
          <w:iCs/>
          <w:color w:val="000000" w:themeColor="text1"/>
          <w:sz w:val="20"/>
          <w:szCs w:val="20"/>
        </w:rPr>
        <w:t>.</w:t>
      </w:r>
    </w:p>
  </w:footnote>
  <w:footnote w:id="198">
    <w:p w14:paraId="31B34DB5" w14:textId="5CDBE57B" w:rsidR="00BB5B8C" w:rsidRPr="00687C21" w:rsidRDefault="00BB5B8C" w:rsidP="00687C21">
      <w:pPr>
        <w:pStyle w:val="Default"/>
        <w:jc w:val="both"/>
        <w:rPr>
          <w:rFonts w:ascii="Times New Roman" w:hAnsi="Times New Roman" w:cs="Times New Roman"/>
          <w:color w:val="000000" w:themeColor="text1"/>
          <w:sz w:val="20"/>
          <w:szCs w:val="20"/>
        </w:rPr>
      </w:pPr>
      <w:r w:rsidRPr="00687C21">
        <w:rPr>
          <w:rStyle w:val="FootnoteReference"/>
          <w:rFonts w:ascii="Times New Roman" w:hAnsi="Times New Roman" w:cs="Times New Roman"/>
          <w:color w:val="000000" w:themeColor="text1"/>
          <w:sz w:val="20"/>
          <w:szCs w:val="20"/>
        </w:rPr>
        <w:footnoteRef/>
      </w:r>
      <w:r w:rsidRPr="00687C21">
        <w:rPr>
          <w:rFonts w:ascii="Times New Roman" w:hAnsi="Times New Roman" w:cs="Times New Roman"/>
          <w:color w:val="000000" w:themeColor="text1"/>
          <w:sz w:val="20"/>
          <w:szCs w:val="20"/>
        </w:rPr>
        <w:t xml:space="preserve"> Article 29 Working Party (n 9) 8. </w:t>
      </w:r>
    </w:p>
  </w:footnote>
  <w:footnote w:id="199">
    <w:p w14:paraId="46B8F3CB" w14:textId="77777777" w:rsidR="00BB5B8C" w:rsidRPr="00687C21" w:rsidRDefault="00BB5B8C" w:rsidP="00687C21">
      <w:pPr>
        <w:pStyle w:val="FootnoteText"/>
        <w:jc w:val="both"/>
        <w:rPr>
          <w:color w:val="000000" w:themeColor="text1"/>
          <w:sz w:val="20"/>
          <w:szCs w:val="20"/>
        </w:rPr>
      </w:pPr>
      <w:r w:rsidRPr="00687C21">
        <w:rPr>
          <w:rStyle w:val="FootnoteReference"/>
          <w:color w:val="000000" w:themeColor="text1"/>
          <w:sz w:val="20"/>
          <w:szCs w:val="20"/>
        </w:rPr>
        <w:footnoteRef/>
      </w:r>
      <w:r w:rsidRPr="00687C21">
        <w:rPr>
          <w:color w:val="000000" w:themeColor="text1"/>
          <w:sz w:val="20"/>
          <w:szCs w:val="20"/>
        </w:rPr>
        <w:t xml:space="preserve"> ibid 10. As an example, they observe that “if someone routinely applies automatically generated profiles to individuals without any actual influence on the result, this would still be a decision based solely on automated processing.” (ibid 10)</w:t>
      </w:r>
    </w:p>
  </w:footnote>
  <w:footnote w:id="200">
    <w:p w14:paraId="406D80D2" w14:textId="77777777" w:rsidR="00BB5B8C" w:rsidRPr="00687C21" w:rsidRDefault="00BB5B8C" w:rsidP="00687C21">
      <w:pPr>
        <w:pStyle w:val="FootnoteText"/>
        <w:jc w:val="both"/>
        <w:rPr>
          <w:color w:val="000000" w:themeColor="text1"/>
          <w:sz w:val="20"/>
          <w:szCs w:val="20"/>
        </w:rPr>
      </w:pPr>
      <w:r w:rsidRPr="00687C21">
        <w:rPr>
          <w:rStyle w:val="FootnoteReference"/>
          <w:color w:val="000000" w:themeColor="text1"/>
          <w:sz w:val="20"/>
          <w:szCs w:val="20"/>
        </w:rPr>
        <w:footnoteRef/>
      </w:r>
      <w:r w:rsidRPr="00687C21">
        <w:rPr>
          <w:color w:val="000000" w:themeColor="text1"/>
          <w:sz w:val="20"/>
          <w:szCs w:val="20"/>
        </w:rPr>
        <w:t xml:space="preserve"> ibid 10.</w:t>
      </w:r>
    </w:p>
  </w:footnote>
  <w:footnote w:id="201">
    <w:p w14:paraId="43F3DC78" w14:textId="77777777" w:rsidR="00BB5B8C" w:rsidRPr="00687C21" w:rsidRDefault="00BB5B8C" w:rsidP="00687C21">
      <w:pPr>
        <w:pStyle w:val="FootnoteText"/>
        <w:jc w:val="both"/>
        <w:rPr>
          <w:color w:val="000000" w:themeColor="text1"/>
          <w:sz w:val="20"/>
          <w:szCs w:val="20"/>
        </w:rPr>
      </w:pPr>
      <w:r w:rsidRPr="00687C21">
        <w:rPr>
          <w:rStyle w:val="FootnoteReference"/>
          <w:color w:val="000000" w:themeColor="text1"/>
          <w:sz w:val="20"/>
          <w:szCs w:val="20"/>
        </w:rPr>
        <w:footnoteRef/>
      </w:r>
      <w:r w:rsidRPr="00687C21">
        <w:rPr>
          <w:color w:val="000000" w:themeColor="text1"/>
          <w:sz w:val="20"/>
          <w:szCs w:val="20"/>
        </w:rPr>
        <w:t xml:space="preserve"> ibid 6. For instance, profiling is rarely transparent. However, the controller must provide data subjects with concise, transparent, intelligible and easily accessible information about the processing of their personal data (GDPR, art 12(1)).</w:t>
      </w:r>
    </w:p>
  </w:footnote>
  <w:footnote w:id="202">
    <w:p w14:paraId="767E1AE9" w14:textId="6CD68387" w:rsidR="00BB5B8C" w:rsidRPr="00687C21" w:rsidRDefault="00BB5B8C" w:rsidP="00687C21">
      <w:pPr>
        <w:pStyle w:val="FootnoteText"/>
        <w:jc w:val="both"/>
        <w:rPr>
          <w:color w:val="000000" w:themeColor="text1"/>
          <w:sz w:val="20"/>
          <w:szCs w:val="20"/>
        </w:rPr>
      </w:pPr>
      <w:r w:rsidRPr="00687C21">
        <w:rPr>
          <w:rStyle w:val="FootnoteReference"/>
          <w:color w:val="000000" w:themeColor="text1"/>
          <w:sz w:val="20"/>
          <w:szCs w:val="20"/>
        </w:rPr>
        <w:footnoteRef/>
      </w:r>
      <w:r w:rsidRPr="00687C21">
        <w:rPr>
          <w:color w:val="000000" w:themeColor="text1"/>
          <w:sz w:val="20"/>
          <w:szCs w:val="20"/>
        </w:rPr>
        <w:t xml:space="preserve"> ibid 9.</w:t>
      </w:r>
    </w:p>
  </w:footnote>
  <w:footnote w:id="203">
    <w:p w14:paraId="582CE98A" w14:textId="77777777" w:rsidR="00BB5B8C" w:rsidRPr="00687C21" w:rsidRDefault="00BB5B8C" w:rsidP="00687C21">
      <w:pPr>
        <w:jc w:val="both"/>
        <w:rPr>
          <w:color w:val="000000" w:themeColor="text1"/>
          <w:sz w:val="20"/>
          <w:szCs w:val="20"/>
        </w:rPr>
      </w:pPr>
      <w:r w:rsidRPr="00687C21">
        <w:rPr>
          <w:rStyle w:val="FootnoteReference"/>
          <w:color w:val="000000" w:themeColor="text1"/>
          <w:sz w:val="20"/>
          <w:szCs w:val="20"/>
        </w:rPr>
        <w:footnoteRef/>
      </w:r>
      <w:r w:rsidRPr="00687C21">
        <w:rPr>
          <w:color w:val="000000" w:themeColor="text1"/>
          <w:sz w:val="20"/>
          <w:szCs w:val="20"/>
        </w:rPr>
        <w:t xml:space="preserve"> </w:t>
      </w:r>
      <w:r w:rsidRPr="00687C21">
        <w:rPr>
          <w:rFonts w:eastAsiaTheme="minorEastAsia"/>
          <w:color w:val="000000" w:themeColor="text1"/>
          <w:sz w:val="20"/>
          <w:szCs w:val="20"/>
          <w:bdr w:val="none" w:sz="0" w:space="0" w:color="auto" w:frame="1"/>
        </w:rPr>
        <w:t>Data Protection Bill [HL] 2017-19</w:t>
      </w:r>
      <w:r w:rsidRPr="00687C21">
        <w:rPr>
          <w:color w:val="000000" w:themeColor="text1"/>
          <w:sz w:val="20"/>
          <w:szCs w:val="20"/>
        </w:rPr>
        <w:t>, s 14.</w:t>
      </w:r>
    </w:p>
  </w:footnote>
  <w:footnote w:id="204">
    <w:p w14:paraId="75BF5663" w14:textId="2498D04B" w:rsidR="00BB5B8C" w:rsidRPr="00687C21" w:rsidRDefault="00BB5B8C" w:rsidP="00687C21">
      <w:pPr>
        <w:pStyle w:val="FootnoteText"/>
        <w:jc w:val="both"/>
        <w:rPr>
          <w:color w:val="000000" w:themeColor="text1"/>
          <w:sz w:val="20"/>
          <w:szCs w:val="20"/>
        </w:rPr>
      </w:pPr>
      <w:r w:rsidRPr="00687C21">
        <w:rPr>
          <w:rStyle w:val="FootnoteReference"/>
          <w:color w:val="000000" w:themeColor="text1"/>
          <w:sz w:val="20"/>
          <w:szCs w:val="20"/>
        </w:rPr>
        <w:footnoteRef/>
      </w:r>
      <w:r w:rsidRPr="00687C21">
        <w:rPr>
          <w:color w:val="000000" w:themeColor="text1"/>
          <w:sz w:val="20"/>
          <w:szCs w:val="20"/>
        </w:rPr>
        <w:t xml:space="preserve"> </w:t>
      </w:r>
      <w:r w:rsidRPr="00687C21">
        <w:rPr>
          <w:rStyle w:val="apple-converted-space"/>
          <w:color w:val="000000" w:themeColor="text1"/>
          <w:sz w:val="20"/>
          <w:szCs w:val="20"/>
        </w:rPr>
        <w:t>The Data Protection Act 1998 enables</w:t>
      </w:r>
      <w:r w:rsidR="00687C21" w:rsidRPr="00687C21">
        <w:rPr>
          <w:rStyle w:val="apple-converted-space"/>
          <w:color w:val="000000" w:themeColor="text1"/>
          <w:sz w:val="20"/>
          <w:szCs w:val="20"/>
        </w:rPr>
        <w:t xml:space="preserve"> </w:t>
      </w:r>
      <w:r w:rsidRPr="00687C21">
        <w:rPr>
          <w:rStyle w:val="apple-converted-space"/>
          <w:color w:val="000000" w:themeColor="text1"/>
          <w:sz w:val="20"/>
          <w:szCs w:val="20"/>
        </w:rPr>
        <w:t>data controllers to make algorithmic decisions in the course of steps taken for the purpose of considering whether to enter into a contract, with a view to entering into such a contract, or in the course of performing such a contract, or if the decision is authorised or required by or under any enactment (Data Protection Act 1998, s 12(6)).</w:t>
      </w:r>
    </w:p>
  </w:footnote>
  <w:footnote w:id="205">
    <w:p w14:paraId="0D5D9F69" w14:textId="3235A743" w:rsidR="00BB5B8C" w:rsidRPr="00687C21" w:rsidRDefault="00BB5B8C" w:rsidP="00687C21">
      <w:pPr>
        <w:pStyle w:val="FootnoteText"/>
        <w:contextualSpacing/>
        <w:mirrorIndents/>
        <w:jc w:val="both"/>
        <w:rPr>
          <w:color w:val="000000" w:themeColor="text1"/>
          <w:sz w:val="20"/>
          <w:szCs w:val="20"/>
        </w:rPr>
      </w:pPr>
      <w:r w:rsidRPr="00687C21">
        <w:rPr>
          <w:rStyle w:val="FootnoteReference"/>
          <w:color w:val="000000" w:themeColor="text1"/>
          <w:sz w:val="20"/>
          <w:szCs w:val="20"/>
        </w:rPr>
        <w:footnoteRef/>
      </w:r>
      <w:r w:rsidRPr="00687C21">
        <w:rPr>
          <w:rStyle w:val="FootnoteReference"/>
          <w:color w:val="000000" w:themeColor="text1"/>
          <w:sz w:val="20"/>
          <w:szCs w:val="20"/>
        </w:rPr>
        <w:t xml:space="preserve"> </w:t>
      </w:r>
      <w:r w:rsidRPr="00687C21">
        <w:rPr>
          <w:rStyle w:val="apple-converted-space"/>
          <w:color w:val="000000" w:themeColor="text1"/>
          <w:sz w:val="20"/>
          <w:szCs w:val="20"/>
        </w:rPr>
        <w:t xml:space="preserve">GDPR, art 22(2)(a). </w:t>
      </w:r>
    </w:p>
  </w:footnote>
  <w:footnote w:id="206">
    <w:p w14:paraId="6CA5EE01" w14:textId="037CEDF7" w:rsidR="00BB5B8C" w:rsidRPr="00687C21" w:rsidRDefault="00BB5B8C" w:rsidP="00687C21">
      <w:pPr>
        <w:pStyle w:val="FootnoteText"/>
        <w:jc w:val="both"/>
        <w:rPr>
          <w:color w:val="000000" w:themeColor="text1"/>
          <w:sz w:val="20"/>
          <w:szCs w:val="20"/>
        </w:rPr>
      </w:pPr>
      <w:r w:rsidRPr="00687C21">
        <w:rPr>
          <w:rStyle w:val="FootnoteReference"/>
          <w:color w:val="000000" w:themeColor="text1"/>
          <w:sz w:val="20"/>
          <w:szCs w:val="20"/>
        </w:rPr>
        <w:footnoteRef/>
      </w:r>
      <w:r w:rsidRPr="00687C21">
        <w:rPr>
          <w:color w:val="000000" w:themeColor="text1"/>
          <w:sz w:val="20"/>
          <w:szCs w:val="20"/>
        </w:rPr>
        <w:t xml:space="preserve"> </w:t>
      </w:r>
      <w:r w:rsidRPr="00687C21">
        <w:rPr>
          <w:i/>
          <w:color w:val="000000" w:themeColor="text1"/>
          <w:sz w:val="20"/>
          <w:szCs w:val="20"/>
        </w:rPr>
        <w:t>cf</w:t>
      </w:r>
      <w:r w:rsidRPr="00687C21">
        <w:rPr>
          <w:color w:val="000000" w:themeColor="text1"/>
          <w:sz w:val="20"/>
          <w:szCs w:val="20"/>
        </w:rPr>
        <w:t xml:space="preserve"> European Data Protection Supervisor, ‘Assessing the necessity of measures that limit the fundamental right to the protection of personal data. A Toolkit’ (European Data Protection Supervisor, 11 April 2017), &lt;https://edps.europa.eu/sites/edp/files/publication/17-04-11_necessity_toolkit_en_0.pdf&gt; accessed 9 March 2018.</w:t>
      </w:r>
    </w:p>
  </w:footnote>
  <w:footnote w:id="207">
    <w:p w14:paraId="5BB94700" w14:textId="5571B21A" w:rsidR="00BB5B8C" w:rsidRPr="00687C21" w:rsidRDefault="00BB5B8C" w:rsidP="00687C21">
      <w:pPr>
        <w:pStyle w:val="FootnoteText"/>
        <w:contextualSpacing/>
        <w:mirrorIndents/>
        <w:jc w:val="both"/>
        <w:rPr>
          <w:color w:val="000000" w:themeColor="text1"/>
          <w:sz w:val="20"/>
          <w:szCs w:val="20"/>
        </w:rPr>
      </w:pPr>
      <w:r w:rsidRPr="00687C21">
        <w:rPr>
          <w:rStyle w:val="FootnoteReference"/>
          <w:color w:val="000000" w:themeColor="text1"/>
          <w:sz w:val="20"/>
          <w:szCs w:val="20"/>
        </w:rPr>
        <w:footnoteRef/>
      </w:r>
      <w:r w:rsidRPr="00687C21">
        <w:rPr>
          <w:color w:val="000000" w:themeColor="text1"/>
          <w:sz w:val="20"/>
          <w:szCs w:val="20"/>
        </w:rPr>
        <w:t xml:space="preserve"> </w:t>
      </w:r>
      <w:r w:rsidRPr="00687C21">
        <w:rPr>
          <w:rStyle w:val="apple-converted-space"/>
          <w:color w:val="000000" w:themeColor="text1"/>
          <w:sz w:val="20"/>
          <w:szCs w:val="20"/>
        </w:rPr>
        <w:t>GDPR, art 22(2)(c).</w:t>
      </w:r>
    </w:p>
  </w:footnote>
  <w:footnote w:id="208">
    <w:p w14:paraId="223EA8DC" w14:textId="0080D65F" w:rsidR="00BB5B8C" w:rsidRPr="00687C21" w:rsidRDefault="00BB5B8C" w:rsidP="00687C21">
      <w:pPr>
        <w:pStyle w:val="FootnoteText"/>
        <w:jc w:val="both"/>
        <w:rPr>
          <w:color w:val="000000" w:themeColor="text1"/>
          <w:sz w:val="20"/>
          <w:szCs w:val="20"/>
        </w:rPr>
      </w:pPr>
      <w:r w:rsidRPr="00687C21">
        <w:rPr>
          <w:rStyle w:val="FootnoteReference"/>
          <w:color w:val="000000" w:themeColor="text1"/>
          <w:sz w:val="20"/>
          <w:szCs w:val="20"/>
        </w:rPr>
        <w:footnoteRef/>
      </w:r>
      <w:r w:rsidRPr="00687C21">
        <w:rPr>
          <w:color w:val="000000" w:themeColor="text1"/>
          <w:sz w:val="20"/>
          <w:szCs w:val="20"/>
        </w:rPr>
        <w:t xml:space="preserve"> Article 29 Working Party (n 9) 13. These guidelines do not provide sufficient clarity as to how to ensure explicit consent. The matter will be addressed in the forthcoming consent guidelines.</w:t>
      </w:r>
    </w:p>
  </w:footnote>
  <w:footnote w:id="209">
    <w:p w14:paraId="6DE5AC41" w14:textId="59183882" w:rsidR="00BB5B8C" w:rsidRPr="00687C21" w:rsidRDefault="00BB5B8C" w:rsidP="00687C21">
      <w:pPr>
        <w:pStyle w:val="FootnoteText"/>
        <w:contextualSpacing/>
        <w:mirrorIndents/>
        <w:jc w:val="both"/>
        <w:rPr>
          <w:color w:val="000000" w:themeColor="text1"/>
          <w:sz w:val="20"/>
          <w:szCs w:val="20"/>
        </w:rPr>
      </w:pPr>
      <w:r w:rsidRPr="00687C21">
        <w:rPr>
          <w:rStyle w:val="FootnoteReference"/>
          <w:color w:val="000000" w:themeColor="text1"/>
          <w:sz w:val="20"/>
          <w:szCs w:val="20"/>
        </w:rPr>
        <w:footnoteRef/>
      </w:r>
      <w:r w:rsidRPr="00687C21">
        <w:rPr>
          <w:color w:val="000000" w:themeColor="text1"/>
          <w:sz w:val="20"/>
          <w:szCs w:val="20"/>
        </w:rPr>
        <w:t xml:space="preserve"> </w:t>
      </w:r>
      <w:r w:rsidRPr="00687C21">
        <w:rPr>
          <w:rStyle w:val="apple-converted-space"/>
          <w:color w:val="000000" w:themeColor="text1"/>
          <w:sz w:val="20"/>
          <w:szCs w:val="20"/>
        </w:rPr>
        <w:t xml:space="preserve">The exception based a law authorising the decision while laying down measures to safeguard the data subject’s legitimate interest (GDPR, art 22(2)(b)) now includes a reference to the data subject’s rights and freedoms and to both EU and national law. These changes are nugatory. Firstly, based on an </w:t>
      </w:r>
      <w:r w:rsidRPr="00687C21">
        <w:rPr>
          <w:rStyle w:val="apple-converted-space"/>
          <w:i/>
          <w:color w:val="000000" w:themeColor="text1"/>
          <w:sz w:val="20"/>
          <w:szCs w:val="20"/>
        </w:rPr>
        <w:t>a minore ad maius</w:t>
      </w:r>
      <w:r w:rsidRPr="00687C21">
        <w:rPr>
          <w:rStyle w:val="apple-converted-space"/>
          <w:color w:val="000000" w:themeColor="text1"/>
          <w:sz w:val="20"/>
          <w:szCs w:val="20"/>
        </w:rPr>
        <w:t xml:space="preserve"> argument, it is obvious that if the decision shall respect the legitimate interests of the data subject, it shall do so also with regards to the more relevant rights and freedoms. Secondly, while the reference to national laws is a truism, the one to EU law cannot be interpreted as a power to legislate beyond what already provided by the treaties.</w:t>
      </w:r>
    </w:p>
  </w:footnote>
  <w:footnote w:id="210">
    <w:p w14:paraId="1B555DC7" w14:textId="22B40108" w:rsidR="00BB5B8C" w:rsidRPr="00687C21" w:rsidRDefault="00BB5B8C" w:rsidP="00687C21">
      <w:pPr>
        <w:pStyle w:val="FootnoteText"/>
        <w:contextualSpacing/>
        <w:mirrorIndents/>
        <w:jc w:val="both"/>
        <w:rPr>
          <w:color w:val="000000" w:themeColor="text1"/>
          <w:sz w:val="20"/>
          <w:szCs w:val="20"/>
        </w:rPr>
      </w:pPr>
      <w:r w:rsidRPr="00687C21">
        <w:rPr>
          <w:rStyle w:val="FootnoteReference"/>
          <w:color w:val="000000" w:themeColor="text1"/>
          <w:sz w:val="20"/>
          <w:szCs w:val="20"/>
        </w:rPr>
        <w:footnoteRef/>
      </w:r>
      <w:r w:rsidRPr="00687C21">
        <w:rPr>
          <w:color w:val="000000" w:themeColor="text1"/>
          <w:sz w:val="20"/>
          <w:szCs w:val="20"/>
        </w:rPr>
        <w:t xml:space="preserve"> Kuner (n </w:t>
      </w:r>
      <w:r w:rsidR="00C97818">
        <w:rPr>
          <w:color w:val="000000" w:themeColor="text1"/>
          <w:sz w:val="20"/>
          <w:szCs w:val="20"/>
        </w:rPr>
        <w:t>76</w:t>
      </w:r>
      <w:r w:rsidRPr="00687C21">
        <w:rPr>
          <w:color w:val="000000" w:themeColor="text1"/>
          <w:sz w:val="20"/>
          <w:szCs w:val="20"/>
        </w:rPr>
        <w:t>) 1.</w:t>
      </w:r>
    </w:p>
  </w:footnote>
  <w:footnote w:id="211">
    <w:p w14:paraId="1F0E30FA" w14:textId="74482B1B" w:rsidR="00BB5B8C" w:rsidRPr="00687C21" w:rsidRDefault="00BB5B8C" w:rsidP="00687C21">
      <w:pPr>
        <w:pStyle w:val="FootnoteText"/>
        <w:contextualSpacing/>
        <w:mirrorIndents/>
        <w:jc w:val="both"/>
        <w:rPr>
          <w:color w:val="000000" w:themeColor="text1"/>
          <w:sz w:val="20"/>
          <w:szCs w:val="20"/>
        </w:rPr>
      </w:pPr>
      <w:r w:rsidRPr="00687C21">
        <w:rPr>
          <w:rStyle w:val="FootnoteReference"/>
          <w:color w:val="000000" w:themeColor="text1"/>
          <w:sz w:val="20"/>
          <w:szCs w:val="20"/>
        </w:rPr>
        <w:footnoteRef/>
      </w:r>
      <w:r w:rsidRPr="00687C21">
        <w:rPr>
          <w:color w:val="000000" w:themeColor="text1"/>
          <w:sz w:val="20"/>
          <w:szCs w:val="20"/>
        </w:rPr>
        <w:t xml:space="preserve"> GDPR, art 22(2)(a).</w:t>
      </w:r>
    </w:p>
  </w:footnote>
  <w:footnote w:id="212">
    <w:p w14:paraId="7E79A7EE" w14:textId="77777777" w:rsidR="00BB5B8C" w:rsidRPr="00687C21" w:rsidRDefault="00BB5B8C" w:rsidP="00687C21">
      <w:pPr>
        <w:pStyle w:val="FootnoteText"/>
        <w:contextualSpacing/>
        <w:mirrorIndents/>
        <w:jc w:val="both"/>
        <w:rPr>
          <w:color w:val="000000" w:themeColor="text1"/>
          <w:sz w:val="20"/>
          <w:szCs w:val="20"/>
        </w:rPr>
      </w:pPr>
      <w:r w:rsidRPr="00687C21">
        <w:rPr>
          <w:rStyle w:val="FootnoteReference"/>
          <w:color w:val="000000" w:themeColor="text1"/>
          <w:sz w:val="20"/>
          <w:szCs w:val="20"/>
        </w:rPr>
        <w:footnoteRef/>
      </w:r>
      <w:r w:rsidRPr="00687C21">
        <w:rPr>
          <w:color w:val="000000" w:themeColor="text1"/>
          <w:sz w:val="20"/>
          <w:szCs w:val="20"/>
        </w:rPr>
        <w:t xml:space="preserve"> </w:t>
      </w:r>
      <w:r w:rsidRPr="00687C21">
        <w:rPr>
          <w:rStyle w:val="apple-converted-space"/>
          <w:color w:val="000000" w:themeColor="text1"/>
          <w:sz w:val="20"/>
          <w:szCs w:val="20"/>
        </w:rPr>
        <w:t>Nonetheless</w:t>
      </w:r>
      <w:r w:rsidRPr="00687C21">
        <w:rPr>
          <w:color w:val="000000" w:themeColor="text1"/>
          <w:sz w:val="20"/>
          <w:szCs w:val="20"/>
        </w:rPr>
        <w:t xml:space="preserve">, the restrictions should be </w:t>
      </w:r>
      <w:r w:rsidRPr="00687C21">
        <w:rPr>
          <w:color w:val="000000" w:themeColor="text1"/>
          <w:sz w:val="20"/>
          <w:szCs w:val="20"/>
          <w:shd w:val="clear" w:color="auto" w:fill="FFFFFF"/>
        </w:rPr>
        <w:t>necessary and proportionate in a democratic society to safeguard public security and in compliance with Charter and in the European Convention for the</w:t>
      </w:r>
      <w:r w:rsidRPr="00687C21">
        <w:rPr>
          <w:color w:val="000000" w:themeColor="text1"/>
          <w:sz w:val="20"/>
          <w:szCs w:val="20"/>
        </w:rPr>
        <w:t> </w:t>
      </w:r>
      <w:r w:rsidRPr="00687C21">
        <w:rPr>
          <w:color w:val="000000" w:themeColor="text1"/>
          <w:sz w:val="20"/>
          <w:szCs w:val="20"/>
          <w:shd w:val="clear" w:color="auto" w:fill="FFFFFF"/>
        </w:rPr>
        <w:t>Protection</w:t>
      </w:r>
      <w:r w:rsidRPr="00687C21">
        <w:rPr>
          <w:color w:val="000000" w:themeColor="text1"/>
          <w:sz w:val="20"/>
          <w:szCs w:val="20"/>
        </w:rPr>
        <w:t> </w:t>
      </w:r>
      <w:r w:rsidRPr="00687C21">
        <w:rPr>
          <w:color w:val="000000" w:themeColor="text1"/>
          <w:sz w:val="20"/>
          <w:szCs w:val="20"/>
          <w:shd w:val="clear" w:color="auto" w:fill="FFFFFF"/>
        </w:rPr>
        <w:t>of Human Rights and Fundamental Freedoms.</w:t>
      </w:r>
      <w:r w:rsidRPr="00687C21">
        <w:rPr>
          <w:rStyle w:val="apple-converted-space"/>
          <w:color w:val="000000" w:themeColor="text1"/>
          <w:sz w:val="20"/>
          <w:szCs w:val="20"/>
        </w:rPr>
        <w:t xml:space="preserve"> </w:t>
      </w:r>
    </w:p>
  </w:footnote>
  <w:footnote w:id="213">
    <w:p w14:paraId="7F03A7EC" w14:textId="4FAEBEA4" w:rsidR="00BB5B8C" w:rsidRPr="00687C21" w:rsidRDefault="00BB5B8C" w:rsidP="00687C21">
      <w:pPr>
        <w:pStyle w:val="FootnoteText"/>
        <w:jc w:val="both"/>
        <w:rPr>
          <w:color w:val="000000" w:themeColor="text1"/>
          <w:sz w:val="20"/>
          <w:szCs w:val="20"/>
        </w:rPr>
      </w:pPr>
      <w:r w:rsidRPr="00687C21">
        <w:rPr>
          <w:rStyle w:val="FootnoteReference"/>
          <w:color w:val="000000" w:themeColor="text1"/>
          <w:sz w:val="20"/>
          <w:szCs w:val="20"/>
        </w:rPr>
        <w:footnoteRef/>
      </w:r>
      <w:r w:rsidRPr="00687C21">
        <w:rPr>
          <w:color w:val="000000" w:themeColor="text1"/>
          <w:sz w:val="20"/>
          <w:szCs w:val="20"/>
        </w:rPr>
        <w:t xml:space="preserve"> The GDPR provides that the algorithmic decision-making for purposes authorised by EU or national law should be “conducted in accordance with the regulations, standards and recommendations of Union institutions or national oversight bodies.” (recital 71). Even though it may be interpreted as referring only to fraud and tax evasion, it would be absurd to exclude other purposes specifically authorised by the law (the reference is illustrative, not exhaustive). </w:t>
      </w:r>
      <w:r w:rsidR="00E315C1">
        <w:rPr>
          <w:color w:val="000000" w:themeColor="text1"/>
          <w:sz w:val="20"/>
          <w:szCs w:val="20"/>
        </w:rPr>
        <w:t>It is submitted that t</w:t>
      </w:r>
      <w:r w:rsidRPr="00687C21">
        <w:rPr>
          <w:color w:val="000000" w:themeColor="text1"/>
          <w:sz w:val="20"/>
          <w:szCs w:val="20"/>
        </w:rPr>
        <w:t>he data protection authorities should be deemed as oversight bodies and the data protection laws should still apply even when an algorithmic decision is allowed.</w:t>
      </w:r>
    </w:p>
  </w:footnote>
  <w:footnote w:id="214">
    <w:p w14:paraId="20FFEABF" w14:textId="0B585B42" w:rsidR="00BB5B8C" w:rsidRPr="00687C21" w:rsidRDefault="00BB5B8C" w:rsidP="00687C21">
      <w:pPr>
        <w:jc w:val="both"/>
        <w:rPr>
          <w:color w:val="000000" w:themeColor="text1"/>
          <w:sz w:val="20"/>
          <w:szCs w:val="20"/>
        </w:rPr>
      </w:pPr>
      <w:r w:rsidRPr="00687C21">
        <w:rPr>
          <w:rStyle w:val="FootnoteReference"/>
          <w:color w:val="000000" w:themeColor="text1"/>
          <w:sz w:val="20"/>
          <w:szCs w:val="20"/>
        </w:rPr>
        <w:footnoteRef/>
      </w:r>
      <w:r w:rsidRPr="00687C21">
        <w:rPr>
          <w:color w:val="000000" w:themeColor="text1"/>
          <w:sz w:val="20"/>
          <w:szCs w:val="20"/>
        </w:rPr>
        <w:t xml:space="preserve"> </w:t>
      </w:r>
      <w:r w:rsidRPr="00687C21">
        <w:rPr>
          <w:rFonts w:eastAsiaTheme="minorEastAsia"/>
          <w:color w:val="000000" w:themeColor="text1"/>
          <w:sz w:val="20"/>
          <w:szCs w:val="20"/>
          <w:bdr w:val="none" w:sz="0" w:space="0" w:color="auto" w:frame="1"/>
        </w:rPr>
        <w:t>Data Protection Bill [HL] 2017-19</w:t>
      </w:r>
      <w:r w:rsidRPr="00687C21">
        <w:rPr>
          <w:color w:val="000000" w:themeColor="text1"/>
          <w:sz w:val="20"/>
          <w:szCs w:val="20"/>
        </w:rPr>
        <w:t>, s 14.</w:t>
      </w:r>
    </w:p>
  </w:footnote>
  <w:footnote w:id="215">
    <w:p w14:paraId="41BD89E7" w14:textId="3C107FE0" w:rsidR="00BB5B8C" w:rsidRPr="00687C21" w:rsidRDefault="00BB5B8C" w:rsidP="00687C21">
      <w:pPr>
        <w:jc w:val="both"/>
        <w:rPr>
          <w:color w:val="000000" w:themeColor="text1"/>
          <w:sz w:val="20"/>
          <w:szCs w:val="20"/>
        </w:rPr>
      </w:pPr>
      <w:r w:rsidRPr="00687C21">
        <w:rPr>
          <w:rStyle w:val="FootnoteReference"/>
          <w:color w:val="000000" w:themeColor="text1"/>
          <w:sz w:val="20"/>
          <w:szCs w:val="20"/>
        </w:rPr>
        <w:footnoteRef/>
      </w:r>
      <w:r w:rsidRPr="00687C21">
        <w:rPr>
          <w:color w:val="000000" w:themeColor="text1"/>
          <w:sz w:val="20"/>
          <w:szCs w:val="20"/>
        </w:rPr>
        <w:t xml:space="preserve"> </w:t>
      </w:r>
      <w:r w:rsidRPr="00687C21">
        <w:rPr>
          <w:color w:val="000000" w:themeColor="text1"/>
          <w:sz w:val="20"/>
          <w:szCs w:val="20"/>
          <w:lang w:eastAsia="ko-KR"/>
        </w:rPr>
        <w:t>The GDPR is very clear in stressing that the data controller “shall not refuse to act on the request of the data subject for exercising his or her rights under Articles 15 to 22, unless the controller demonstrates that it is not in a position to identify the data subject” (art 12(2).</w:t>
      </w:r>
    </w:p>
  </w:footnote>
  <w:footnote w:id="216">
    <w:p w14:paraId="20EFB1D5" w14:textId="32DCF241" w:rsidR="00BB5B8C" w:rsidRPr="00687C21" w:rsidRDefault="00BB5B8C" w:rsidP="00687C21">
      <w:pPr>
        <w:jc w:val="both"/>
        <w:rPr>
          <w:color w:val="000000" w:themeColor="text1"/>
          <w:sz w:val="20"/>
          <w:szCs w:val="20"/>
        </w:rPr>
      </w:pPr>
      <w:r w:rsidRPr="00687C21">
        <w:rPr>
          <w:rStyle w:val="FootnoteReference"/>
          <w:color w:val="000000" w:themeColor="text1"/>
          <w:sz w:val="20"/>
          <w:szCs w:val="20"/>
        </w:rPr>
        <w:footnoteRef/>
      </w:r>
      <w:r w:rsidRPr="00687C21">
        <w:rPr>
          <w:color w:val="000000" w:themeColor="text1"/>
          <w:sz w:val="20"/>
          <w:szCs w:val="20"/>
        </w:rPr>
        <w:t xml:space="preserve"> </w:t>
      </w:r>
      <w:r w:rsidRPr="00687C21">
        <w:rPr>
          <w:color w:val="000000" w:themeColor="text1"/>
          <w:sz w:val="20"/>
          <w:szCs w:val="20"/>
          <w:lang w:eastAsia="ko-KR"/>
        </w:rPr>
        <w:t>Under the Data Protection Act, s 12(4), the data subject’s request not to take solely algorithmic decisions does not have effect in relation to an exempt decision; and nothing in s 12(2), regarding the data controller’s notice, applies to an exempt decision.</w:t>
      </w:r>
    </w:p>
  </w:footnote>
  <w:footnote w:id="217">
    <w:p w14:paraId="5C594CEE" w14:textId="77777777" w:rsidR="00BB5B8C" w:rsidRPr="00687C21" w:rsidRDefault="00BB5B8C" w:rsidP="00687C21">
      <w:pPr>
        <w:pStyle w:val="FootnoteText"/>
        <w:contextualSpacing/>
        <w:mirrorIndents/>
        <w:jc w:val="both"/>
        <w:rPr>
          <w:color w:val="000000" w:themeColor="text1"/>
          <w:sz w:val="20"/>
          <w:szCs w:val="20"/>
        </w:rPr>
      </w:pPr>
      <w:r w:rsidRPr="00687C21">
        <w:rPr>
          <w:rStyle w:val="FootnoteReference"/>
          <w:color w:val="000000" w:themeColor="text1"/>
          <w:sz w:val="20"/>
          <w:szCs w:val="20"/>
        </w:rPr>
        <w:footnoteRef/>
      </w:r>
      <w:r w:rsidRPr="00687C21">
        <w:rPr>
          <w:color w:val="000000" w:themeColor="text1"/>
          <w:sz w:val="20"/>
          <w:szCs w:val="20"/>
        </w:rPr>
        <w:t xml:space="preserve"> GDPR, recital 71.</w:t>
      </w:r>
    </w:p>
  </w:footnote>
  <w:footnote w:id="218">
    <w:p w14:paraId="2F1A14F9" w14:textId="21424D16" w:rsidR="00BB5B8C" w:rsidRPr="00687C21" w:rsidRDefault="00BB5B8C" w:rsidP="00687C21">
      <w:pPr>
        <w:pStyle w:val="FootnoteText"/>
        <w:jc w:val="both"/>
        <w:rPr>
          <w:color w:val="000000" w:themeColor="text1"/>
          <w:sz w:val="20"/>
          <w:szCs w:val="20"/>
        </w:rPr>
      </w:pPr>
      <w:r w:rsidRPr="00687C21">
        <w:rPr>
          <w:rStyle w:val="FootnoteReference"/>
          <w:color w:val="000000" w:themeColor="text1"/>
          <w:sz w:val="20"/>
          <w:szCs w:val="20"/>
        </w:rPr>
        <w:footnoteRef/>
      </w:r>
      <w:r w:rsidRPr="00687C21">
        <w:rPr>
          <w:color w:val="000000" w:themeColor="text1"/>
          <w:sz w:val="20"/>
          <w:szCs w:val="20"/>
        </w:rPr>
        <w:t xml:space="preserve"> See Article 29 Working Party (n 9) 12.</w:t>
      </w:r>
    </w:p>
  </w:footnote>
  <w:footnote w:id="219">
    <w:p w14:paraId="6AFC16A5" w14:textId="0CACB3A0" w:rsidR="00BB5B8C" w:rsidRPr="00687C21" w:rsidRDefault="00BB5B8C" w:rsidP="00687C21">
      <w:pPr>
        <w:pStyle w:val="FootnoteText"/>
        <w:contextualSpacing/>
        <w:mirrorIndents/>
        <w:jc w:val="both"/>
        <w:rPr>
          <w:color w:val="000000" w:themeColor="text1"/>
          <w:sz w:val="20"/>
          <w:szCs w:val="20"/>
        </w:rPr>
      </w:pPr>
      <w:r w:rsidRPr="00687C21">
        <w:rPr>
          <w:rStyle w:val="FootnoteReference"/>
          <w:color w:val="000000" w:themeColor="text1"/>
          <w:sz w:val="20"/>
          <w:szCs w:val="20"/>
        </w:rPr>
        <w:footnoteRef/>
      </w:r>
      <w:r w:rsidRPr="00687C21">
        <w:rPr>
          <w:color w:val="000000" w:themeColor="text1"/>
          <w:sz w:val="20"/>
          <w:szCs w:val="20"/>
        </w:rPr>
        <w:t xml:space="preserve"> </w:t>
      </w:r>
      <w:r w:rsidRPr="00687C21">
        <w:rPr>
          <w:rStyle w:val="apple-converted-space"/>
          <w:color w:val="000000" w:themeColor="text1"/>
          <w:sz w:val="20"/>
          <w:szCs w:val="20"/>
        </w:rPr>
        <w:t>GDPR, art 22(3).</w:t>
      </w:r>
    </w:p>
  </w:footnote>
  <w:footnote w:id="220">
    <w:p w14:paraId="63FDA3FC" w14:textId="7DD47031" w:rsidR="00BB5B8C" w:rsidRPr="00687C21" w:rsidRDefault="00BB5B8C" w:rsidP="00687C21">
      <w:pPr>
        <w:pStyle w:val="FootnoteText"/>
        <w:contextualSpacing/>
        <w:mirrorIndents/>
        <w:jc w:val="both"/>
        <w:rPr>
          <w:color w:val="000000" w:themeColor="text1"/>
          <w:sz w:val="20"/>
          <w:szCs w:val="20"/>
        </w:rPr>
      </w:pPr>
      <w:r w:rsidRPr="00687C21">
        <w:rPr>
          <w:rStyle w:val="FootnoteReference"/>
          <w:color w:val="000000" w:themeColor="text1"/>
          <w:sz w:val="20"/>
          <w:szCs w:val="20"/>
        </w:rPr>
        <w:footnoteRef/>
      </w:r>
      <w:r w:rsidRPr="00687C21">
        <w:rPr>
          <w:color w:val="000000" w:themeColor="text1"/>
          <w:sz w:val="20"/>
          <w:szCs w:val="20"/>
        </w:rPr>
        <w:t xml:space="preserve"> The wording of the provision is not crystal clear. Indeed, </w:t>
      </w:r>
      <w:r w:rsidRPr="00687C21">
        <w:rPr>
          <w:rStyle w:val="apple-converted-space"/>
          <w:color w:val="000000" w:themeColor="text1"/>
          <w:sz w:val="20"/>
          <w:szCs w:val="20"/>
        </w:rPr>
        <w:t>art</w:t>
      </w:r>
      <w:r w:rsidRPr="00687C21">
        <w:rPr>
          <w:color w:val="000000" w:themeColor="text1"/>
          <w:sz w:val="20"/>
          <w:szCs w:val="20"/>
        </w:rPr>
        <w:t xml:space="preserve"> 22(2)(b) applies the said measures to the algorithmic decision-making authorised by the law. Then, the following paragraph extend</w:t>
      </w:r>
      <w:r w:rsidR="00E315C1">
        <w:rPr>
          <w:color w:val="000000" w:themeColor="text1"/>
          <w:sz w:val="20"/>
          <w:szCs w:val="20"/>
        </w:rPr>
        <w:t>s</w:t>
      </w:r>
      <w:r w:rsidRPr="00687C21">
        <w:rPr>
          <w:color w:val="000000" w:themeColor="text1"/>
          <w:sz w:val="20"/>
          <w:szCs w:val="20"/>
        </w:rPr>
        <w:t xml:space="preserve"> these measures to the other two exceptions and it specifies that they include “at least” the right to human intervention, to express the viewpoint, and to contest the decision. It may be argued, therefore, that when the law authorises algorithmic decision-making, the mere right to express one’s viewpoint (as provided under the old regime) would be sufficient. However, this would seem to go against the overall purpose of the GDPR and of </w:t>
      </w:r>
      <w:r w:rsidRPr="00687C21">
        <w:rPr>
          <w:rStyle w:val="apple-converted-space"/>
          <w:color w:val="000000" w:themeColor="text1"/>
          <w:sz w:val="20"/>
          <w:szCs w:val="20"/>
        </w:rPr>
        <w:t>art</w:t>
      </w:r>
      <w:r w:rsidRPr="00687C21">
        <w:rPr>
          <w:color w:val="000000" w:themeColor="text1"/>
          <w:sz w:val="20"/>
          <w:szCs w:val="20"/>
        </w:rPr>
        <w:t xml:space="preserve"> 22, moreover the express reference to “at least” is likely to mean that those three rights are the minimum core of the measures that safeguard the data subject’s rights, freedoms, and legitimate interests. Furthermore, recital 71 suggests that these measures should be put in place “[i]n any case”.</w:t>
      </w:r>
    </w:p>
  </w:footnote>
  <w:footnote w:id="221">
    <w:p w14:paraId="1488F80E" w14:textId="77777777" w:rsidR="00BB5B8C" w:rsidRPr="00687C21" w:rsidRDefault="00BB5B8C" w:rsidP="00687C21">
      <w:pPr>
        <w:pStyle w:val="FootnoteText"/>
        <w:contextualSpacing/>
        <w:mirrorIndents/>
        <w:jc w:val="both"/>
        <w:rPr>
          <w:color w:val="000000" w:themeColor="text1"/>
          <w:sz w:val="20"/>
          <w:szCs w:val="20"/>
        </w:rPr>
      </w:pPr>
      <w:r w:rsidRPr="00687C21">
        <w:rPr>
          <w:rStyle w:val="FootnoteReference"/>
          <w:color w:val="000000" w:themeColor="text1"/>
          <w:sz w:val="20"/>
          <w:szCs w:val="20"/>
        </w:rPr>
        <w:footnoteRef/>
      </w:r>
      <w:r w:rsidRPr="00687C21">
        <w:rPr>
          <w:color w:val="000000" w:themeColor="text1"/>
          <w:sz w:val="20"/>
          <w:szCs w:val="20"/>
        </w:rPr>
        <w:t xml:space="preserve"> Obviously, if such a system is not in place or if the data subject is not satisfied, the usual judicial remedies will be available. </w:t>
      </w:r>
    </w:p>
  </w:footnote>
  <w:footnote w:id="222">
    <w:p w14:paraId="65A0EE13" w14:textId="23B24076" w:rsidR="00BB5B8C" w:rsidRPr="00687C21" w:rsidRDefault="00BB5B8C" w:rsidP="00687C21">
      <w:pPr>
        <w:pStyle w:val="Default"/>
        <w:contextualSpacing/>
        <w:mirrorIndents/>
        <w:jc w:val="both"/>
        <w:rPr>
          <w:rFonts w:ascii="Times New Roman" w:hAnsi="Times New Roman" w:cs="Times New Roman"/>
          <w:color w:val="000000" w:themeColor="text1"/>
          <w:sz w:val="20"/>
          <w:szCs w:val="20"/>
        </w:rPr>
      </w:pPr>
      <w:r w:rsidRPr="00687C21">
        <w:rPr>
          <w:rStyle w:val="FootnoteReference"/>
          <w:rFonts w:ascii="Times New Roman" w:hAnsi="Times New Roman" w:cs="Times New Roman"/>
          <w:color w:val="000000" w:themeColor="text1"/>
          <w:sz w:val="20"/>
          <w:szCs w:val="20"/>
        </w:rPr>
        <w:footnoteRef/>
      </w:r>
      <w:r w:rsidRPr="00687C21">
        <w:rPr>
          <w:rFonts w:ascii="Times New Roman" w:hAnsi="Times New Roman" w:cs="Times New Roman"/>
          <w:color w:val="000000" w:themeColor="text1"/>
          <w:sz w:val="20"/>
          <w:szCs w:val="20"/>
        </w:rPr>
        <w:t xml:space="preserve"> A slightly different perspective is taken by Kamarinou (n </w:t>
      </w:r>
      <w:r w:rsidR="00C97818">
        <w:rPr>
          <w:rFonts w:ascii="Times New Roman" w:hAnsi="Times New Roman" w:cs="Times New Roman"/>
          <w:color w:val="000000" w:themeColor="text1"/>
          <w:sz w:val="20"/>
          <w:szCs w:val="20"/>
        </w:rPr>
        <w:t>76</w:t>
      </w:r>
      <w:r w:rsidRPr="00687C21">
        <w:rPr>
          <w:rFonts w:ascii="Times New Roman" w:hAnsi="Times New Roman" w:cs="Times New Roman"/>
          <w:color w:val="000000" w:themeColor="text1"/>
          <w:sz w:val="20"/>
          <w:szCs w:val="20"/>
        </w:rPr>
        <w:t>) 22, who observe that “it may already in some contexts make sense to replace the current model, whereby individuals can appeal to a human against a machine decision, with the reverse model whereby individuals would have a right to appeal to a machine against a decision made by a human”.</w:t>
      </w:r>
    </w:p>
  </w:footnote>
  <w:footnote w:id="223">
    <w:p w14:paraId="270E32E2" w14:textId="53034184" w:rsidR="00BB5B8C" w:rsidRPr="00687C21" w:rsidRDefault="00BB5B8C" w:rsidP="00687C21">
      <w:pPr>
        <w:pStyle w:val="FootnoteText"/>
        <w:jc w:val="both"/>
        <w:rPr>
          <w:color w:val="000000" w:themeColor="text1"/>
          <w:sz w:val="20"/>
          <w:szCs w:val="20"/>
        </w:rPr>
      </w:pPr>
      <w:r w:rsidRPr="00687C21">
        <w:rPr>
          <w:rStyle w:val="FootnoteReference"/>
          <w:color w:val="000000" w:themeColor="text1"/>
          <w:sz w:val="20"/>
          <w:szCs w:val="20"/>
        </w:rPr>
        <w:footnoteRef/>
      </w:r>
      <w:r w:rsidRPr="00687C21">
        <w:rPr>
          <w:color w:val="000000" w:themeColor="text1"/>
          <w:sz w:val="20"/>
          <w:szCs w:val="20"/>
        </w:rPr>
        <w:t xml:space="preserve"> Article 29 Working Party (n 9) 15.</w:t>
      </w:r>
    </w:p>
  </w:footnote>
  <w:footnote w:id="224">
    <w:p w14:paraId="4A6DFC2A" w14:textId="4111436E" w:rsidR="00BB5B8C" w:rsidRPr="00687C21" w:rsidRDefault="00BB5B8C" w:rsidP="00687C21">
      <w:pPr>
        <w:pStyle w:val="FootnoteText"/>
        <w:contextualSpacing/>
        <w:mirrorIndents/>
        <w:jc w:val="both"/>
        <w:rPr>
          <w:color w:val="000000" w:themeColor="text1"/>
          <w:sz w:val="20"/>
          <w:szCs w:val="20"/>
        </w:rPr>
      </w:pPr>
      <w:r w:rsidRPr="00687C21">
        <w:rPr>
          <w:rStyle w:val="FootnoteReference"/>
          <w:color w:val="000000" w:themeColor="text1"/>
          <w:sz w:val="20"/>
          <w:szCs w:val="20"/>
        </w:rPr>
        <w:footnoteRef/>
      </w:r>
      <w:r w:rsidRPr="00687C21">
        <w:rPr>
          <w:color w:val="000000" w:themeColor="text1"/>
          <w:sz w:val="20"/>
          <w:szCs w:val="20"/>
        </w:rPr>
        <w:t xml:space="preserve"> They are new at a EU level, but not necessarily at the national one. For instance, the Data Protection Act 1998 provides the controller’s obligation </w:t>
      </w:r>
      <w:r w:rsidRPr="00687C21">
        <w:rPr>
          <w:rStyle w:val="apple-converted-space"/>
          <w:color w:val="000000" w:themeColor="text1"/>
          <w:sz w:val="20"/>
          <w:szCs w:val="20"/>
          <w:shd w:val="clear" w:color="auto" w:fill="FFFFFF"/>
        </w:rPr>
        <w:t>to</w:t>
      </w:r>
      <w:r w:rsidRPr="00687C21">
        <w:rPr>
          <w:color w:val="000000" w:themeColor="text1"/>
          <w:sz w:val="20"/>
          <w:szCs w:val="20"/>
          <w:shd w:val="clear" w:color="auto" w:fill="FFFFFF"/>
        </w:rPr>
        <w:t xml:space="preserve"> notify the data subject that the decision was algorithmic (s 12(2)(a)), unless the data subject already required that the decision is not taken based solely on automated processing (s 12(1)-(2)).</w:t>
      </w:r>
    </w:p>
  </w:footnote>
  <w:footnote w:id="225">
    <w:p w14:paraId="786FB032" w14:textId="187D99CE" w:rsidR="00BB5B8C" w:rsidRPr="00687C21" w:rsidRDefault="00BB5B8C" w:rsidP="00687C21">
      <w:pPr>
        <w:pStyle w:val="FootnoteText"/>
        <w:contextualSpacing/>
        <w:mirrorIndents/>
        <w:jc w:val="both"/>
        <w:rPr>
          <w:color w:val="000000" w:themeColor="text1"/>
          <w:sz w:val="20"/>
          <w:szCs w:val="20"/>
        </w:rPr>
      </w:pPr>
      <w:r w:rsidRPr="00687C21">
        <w:rPr>
          <w:rStyle w:val="FootnoteReference"/>
          <w:color w:val="000000" w:themeColor="text1"/>
          <w:sz w:val="20"/>
          <w:szCs w:val="20"/>
        </w:rPr>
        <w:footnoteRef/>
      </w:r>
      <w:r w:rsidRPr="00687C21">
        <w:rPr>
          <w:color w:val="000000" w:themeColor="text1"/>
          <w:sz w:val="20"/>
          <w:szCs w:val="20"/>
        </w:rPr>
        <w:t xml:space="preserve"> Data Protection Directive, </w:t>
      </w:r>
      <w:r w:rsidRPr="00687C21">
        <w:rPr>
          <w:rStyle w:val="apple-converted-space"/>
          <w:color w:val="000000" w:themeColor="text1"/>
          <w:sz w:val="20"/>
          <w:szCs w:val="20"/>
        </w:rPr>
        <w:t>art</w:t>
      </w:r>
      <w:r w:rsidRPr="00687C21">
        <w:rPr>
          <w:color w:val="000000" w:themeColor="text1"/>
          <w:sz w:val="20"/>
          <w:szCs w:val="20"/>
        </w:rPr>
        <w:t xml:space="preserve"> 12(a).</w:t>
      </w:r>
    </w:p>
  </w:footnote>
  <w:footnote w:id="226">
    <w:p w14:paraId="04ACEF55" w14:textId="60BBEBD3" w:rsidR="00BB5B8C" w:rsidRPr="00687C21" w:rsidRDefault="00BB5B8C" w:rsidP="00687C21">
      <w:pPr>
        <w:pStyle w:val="FootnoteText"/>
        <w:jc w:val="both"/>
        <w:rPr>
          <w:color w:val="000000" w:themeColor="text1"/>
          <w:sz w:val="20"/>
          <w:szCs w:val="20"/>
        </w:rPr>
      </w:pPr>
      <w:r w:rsidRPr="00687C21">
        <w:rPr>
          <w:rStyle w:val="FootnoteReference"/>
          <w:color w:val="000000" w:themeColor="text1"/>
          <w:sz w:val="20"/>
          <w:szCs w:val="20"/>
        </w:rPr>
        <w:footnoteRef/>
      </w:r>
      <w:r w:rsidRPr="00687C21">
        <w:rPr>
          <w:color w:val="000000" w:themeColor="text1"/>
          <w:sz w:val="20"/>
          <w:szCs w:val="20"/>
        </w:rPr>
        <w:t xml:space="preserve"> </w:t>
      </w:r>
      <w:r w:rsidRPr="00687C21">
        <w:rPr>
          <w:color w:val="000000" w:themeColor="text1"/>
          <w:sz w:val="20"/>
          <w:szCs w:val="20"/>
          <w:shd w:val="clear" w:color="auto" w:fill="FFFFFF"/>
        </w:rPr>
        <w:t>Information rights exist under the GDPR also when there is no algorithmic decision significantly affecting a data subject. See the principles of fair and transparent processing and arts 13 and 14 of the GDPR. According to Article 29 Working Party (n 9) 13 considers as “good practice to provide the above information whether or not the processing falls within the narrow Article 22(1) definition.”</w:t>
      </w:r>
    </w:p>
  </w:footnote>
  <w:footnote w:id="227">
    <w:p w14:paraId="6FC75F4E" w14:textId="2086AFB0" w:rsidR="00BB5B8C" w:rsidRPr="00687C21" w:rsidRDefault="00BB5B8C" w:rsidP="00687C21">
      <w:pPr>
        <w:pStyle w:val="FootnoteText"/>
        <w:contextualSpacing/>
        <w:mirrorIndents/>
        <w:jc w:val="both"/>
        <w:rPr>
          <w:color w:val="000000" w:themeColor="text1"/>
          <w:sz w:val="20"/>
          <w:szCs w:val="20"/>
        </w:rPr>
      </w:pPr>
      <w:r w:rsidRPr="00687C21">
        <w:rPr>
          <w:rStyle w:val="FootnoteReference"/>
          <w:color w:val="000000" w:themeColor="text1"/>
          <w:sz w:val="20"/>
          <w:szCs w:val="20"/>
        </w:rPr>
        <w:footnoteRef/>
      </w:r>
      <w:r w:rsidRPr="00687C21">
        <w:rPr>
          <w:color w:val="000000" w:themeColor="text1"/>
          <w:sz w:val="20"/>
          <w:szCs w:val="20"/>
        </w:rPr>
        <w:t xml:space="preserve"> GDPR, </w:t>
      </w:r>
      <w:r w:rsidRPr="00687C21">
        <w:rPr>
          <w:rStyle w:val="apple-converted-space"/>
          <w:color w:val="000000" w:themeColor="text1"/>
          <w:sz w:val="20"/>
          <w:szCs w:val="20"/>
        </w:rPr>
        <w:t>art</w:t>
      </w:r>
      <w:r w:rsidRPr="00687C21">
        <w:rPr>
          <w:color w:val="000000" w:themeColor="text1"/>
          <w:sz w:val="20"/>
          <w:szCs w:val="20"/>
        </w:rPr>
        <w:t xml:space="preserve"> 13(2)(f).</w:t>
      </w:r>
    </w:p>
  </w:footnote>
  <w:footnote w:id="228">
    <w:p w14:paraId="1345E378" w14:textId="77777777" w:rsidR="00BB5B8C" w:rsidRPr="00687C21" w:rsidRDefault="00BB5B8C" w:rsidP="00687C21">
      <w:pPr>
        <w:pStyle w:val="FootnoteText"/>
        <w:contextualSpacing/>
        <w:mirrorIndents/>
        <w:jc w:val="both"/>
        <w:rPr>
          <w:color w:val="000000" w:themeColor="text1"/>
          <w:sz w:val="20"/>
          <w:szCs w:val="20"/>
        </w:rPr>
      </w:pPr>
      <w:r w:rsidRPr="00687C21">
        <w:rPr>
          <w:rStyle w:val="FootnoteReference"/>
          <w:color w:val="000000" w:themeColor="text1"/>
          <w:sz w:val="20"/>
          <w:szCs w:val="20"/>
        </w:rPr>
        <w:footnoteRef/>
      </w:r>
      <w:r w:rsidRPr="00687C21">
        <w:rPr>
          <w:color w:val="000000" w:themeColor="text1"/>
          <w:sz w:val="20"/>
          <w:szCs w:val="20"/>
        </w:rPr>
        <w:t xml:space="preserve"> This is similar to the UK provision, which refers to “</w:t>
      </w:r>
      <w:r w:rsidRPr="00687C21">
        <w:rPr>
          <w:color w:val="000000" w:themeColor="text1"/>
          <w:sz w:val="20"/>
          <w:szCs w:val="20"/>
          <w:shd w:val="clear" w:color="auto" w:fill="FFFFFF"/>
        </w:rPr>
        <w:t>as soon as reasonably practicable” (Data Protection Act 1998, s 12(2)(a)).</w:t>
      </w:r>
    </w:p>
  </w:footnote>
  <w:footnote w:id="229">
    <w:p w14:paraId="7B343ABF" w14:textId="77777777" w:rsidR="00BB5B8C" w:rsidRPr="00687C21" w:rsidRDefault="00BB5B8C" w:rsidP="00687C21">
      <w:pPr>
        <w:pStyle w:val="FootnoteText"/>
        <w:contextualSpacing/>
        <w:mirrorIndents/>
        <w:jc w:val="both"/>
        <w:rPr>
          <w:color w:val="000000" w:themeColor="text1"/>
          <w:sz w:val="20"/>
          <w:szCs w:val="20"/>
        </w:rPr>
      </w:pPr>
      <w:r w:rsidRPr="00687C21">
        <w:rPr>
          <w:rStyle w:val="FootnoteReference"/>
          <w:color w:val="000000" w:themeColor="text1"/>
          <w:sz w:val="20"/>
          <w:szCs w:val="20"/>
        </w:rPr>
        <w:footnoteRef/>
      </w:r>
      <w:r w:rsidRPr="00687C21">
        <w:rPr>
          <w:color w:val="000000" w:themeColor="text1"/>
          <w:sz w:val="20"/>
          <w:szCs w:val="20"/>
        </w:rPr>
        <w:t xml:space="preserve"> GDPR, </w:t>
      </w:r>
      <w:r w:rsidRPr="00687C21">
        <w:rPr>
          <w:rStyle w:val="apple-converted-space"/>
          <w:color w:val="000000" w:themeColor="text1"/>
          <w:sz w:val="20"/>
          <w:szCs w:val="20"/>
        </w:rPr>
        <w:t>art</w:t>
      </w:r>
      <w:r w:rsidRPr="00687C21">
        <w:rPr>
          <w:color w:val="000000" w:themeColor="text1"/>
          <w:sz w:val="20"/>
          <w:szCs w:val="20"/>
        </w:rPr>
        <w:t xml:space="preserve"> 14(3)(a).</w:t>
      </w:r>
    </w:p>
  </w:footnote>
  <w:footnote w:id="230">
    <w:p w14:paraId="1DBEAE85" w14:textId="77777777" w:rsidR="00BB5B8C" w:rsidRPr="00687C21" w:rsidRDefault="00BB5B8C" w:rsidP="00687C21">
      <w:pPr>
        <w:pStyle w:val="FootnoteText"/>
        <w:contextualSpacing/>
        <w:mirrorIndents/>
        <w:jc w:val="both"/>
        <w:rPr>
          <w:color w:val="000000" w:themeColor="text1"/>
          <w:sz w:val="20"/>
          <w:szCs w:val="20"/>
        </w:rPr>
      </w:pPr>
      <w:r w:rsidRPr="00687C21">
        <w:rPr>
          <w:rStyle w:val="FootnoteReference"/>
          <w:color w:val="000000" w:themeColor="text1"/>
          <w:sz w:val="20"/>
          <w:szCs w:val="20"/>
        </w:rPr>
        <w:footnoteRef/>
      </w:r>
      <w:r w:rsidRPr="00687C21">
        <w:rPr>
          <w:color w:val="000000" w:themeColor="text1"/>
          <w:sz w:val="20"/>
          <w:szCs w:val="20"/>
        </w:rPr>
        <w:t xml:space="preserve"> GDPR, </w:t>
      </w:r>
      <w:r w:rsidRPr="00687C21">
        <w:rPr>
          <w:rStyle w:val="apple-converted-space"/>
          <w:color w:val="000000" w:themeColor="text1"/>
          <w:sz w:val="20"/>
          <w:szCs w:val="20"/>
        </w:rPr>
        <w:t>art</w:t>
      </w:r>
      <w:r w:rsidRPr="00687C21">
        <w:rPr>
          <w:color w:val="000000" w:themeColor="text1"/>
          <w:sz w:val="20"/>
          <w:szCs w:val="20"/>
        </w:rPr>
        <w:t xml:space="preserve"> 14(3)(b).</w:t>
      </w:r>
    </w:p>
  </w:footnote>
  <w:footnote w:id="231">
    <w:p w14:paraId="3739E4FB" w14:textId="77777777" w:rsidR="00BB5B8C" w:rsidRPr="00687C21" w:rsidRDefault="00BB5B8C" w:rsidP="00687C21">
      <w:pPr>
        <w:pStyle w:val="FootnoteText"/>
        <w:contextualSpacing/>
        <w:mirrorIndents/>
        <w:jc w:val="both"/>
        <w:rPr>
          <w:color w:val="000000" w:themeColor="text1"/>
          <w:sz w:val="20"/>
          <w:szCs w:val="20"/>
        </w:rPr>
      </w:pPr>
      <w:r w:rsidRPr="00687C21">
        <w:rPr>
          <w:rStyle w:val="FootnoteReference"/>
          <w:color w:val="000000" w:themeColor="text1"/>
          <w:sz w:val="20"/>
          <w:szCs w:val="20"/>
        </w:rPr>
        <w:footnoteRef/>
      </w:r>
      <w:r w:rsidRPr="00687C21">
        <w:rPr>
          <w:color w:val="000000" w:themeColor="text1"/>
          <w:sz w:val="20"/>
          <w:szCs w:val="20"/>
        </w:rPr>
        <w:t xml:space="preserve"> GDPR, </w:t>
      </w:r>
      <w:r w:rsidRPr="00687C21">
        <w:rPr>
          <w:rStyle w:val="apple-converted-space"/>
          <w:color w:val="000000" w:themeColor="text1"/>
          <w:sz w:val="20"/>
          <w:szCs w:val="20"/>
        </w:rPr>
        <w:t>art</w:t>
      </w:r>
      <w:r w:rsidRPr="00687C21">
        <w:rPr>
          <w:color w:val="000000" w:themeColor="text1"/>
          <w:sz w:val="20"/>
          <w:szCs w:val="20"/>
        </w:rPr>
        <w:t xml:space="preserve"> 14(3)(c).</w:t>
      </w:r>
    </w:p>
  </w:footnote>
  <w:footnote w:id="232">
    <w:p w14:paraId="431241A8" w14:textId="77777777" w:rsidR="00BB5B8C" w:rsidRPr="00687C21" w:rsidRDefault="00BB5B8C" w:rsidP="00687C21">
      <w:pPr>
        <w:pStyle w:val="FootnoteText"/>
        <w:contextualSpacing/>
        <w:mirrorIndents/>
        <w:jc w:val="both"/>
        <w:rPr>
          <w:color w:val="000000" w:themeColor="text1"/>
          <w:sz w:val="20"/>
          <w:szCs w:val="20"/>
        </w:rPr>
      </w:pPr>
      <w:r w:rsidRPr="00687C21">
        <w:rPr>
          <w:rStyle w:val="FootnoteReference"/>
          <w:color w:val="000000" w:themeColor="text1"/>
          <w:sz w:val="20"/>
          <w:szCs w:val="20"/>
        </w:rPr>
        <w:footnoteRef/>
      </w:r>
      <w:r w:rsidRPr="00687C21">
        <w:rPr>
          <w:color w:val="000000" w:themeColor="text1"/>
          <w:sz w:val="20"/>
          <w:szCs w:val="20"/>
        </w:rPr>
        <w:t xml:space="preserve"> GDPR, </w:t>
      </w:r>
      <w:r w:rsidRPr="00687C21">
        <w:rPr>
          <w:rStyle w:val="apple-converted-space"/>
          <w:color w:val="000000" w:themeColor="text1"/>
          <w:sz w:val="20"/>
          <w:szCs w:val="20"/>
        </w:rPr>
        <w:t>art</w:t>
      </w:r>
      <w:r w:rsidRPr="00687C21">
        <w:rPr>
          <w:color w:val="000000" w:themeColor="text1"/>
          <w:sz w:val="20"/>
          <w:szCs w:val="20"/>
        </w:rPr>
        <w:t xml:space="preserve"> 15(1)(h).</w:t>
      </w:r>
    </w:p>
  </w:footnote>
  <w:footnote w:id="233">
    <w:p w14:paraId="06466F57" w14:textId="18F6B063" w:rsidR="00BB5B8C" w:rsidRPr="00687C21" w:rsidRDefault="00BB5B8C" w:rsidP="00687C21">
      <w:pPr>
        <w:pStyle w:val="FootnoteText"/>
        <w:jc w:val="both"/>
        <w:rPr>
          <w:color w:val="000000" w:themeColor="text1"/>
          <w:sz w:val="20"/>
          <w:szCs w:val="20"/>
        </w:rPr>
      </w:pPr>
      <w:r w:rsidRPr="00687C21">
        <w:rPr>
          <w:rStyle w:val="FootnoteReference"/>
          <w:color w:val="000000" w:themeColor="text1"/>
          <w:sz w:val="20"/>
          <w:szCs w:val="20"/>
        </w:rPr>
        <w:footnoteRef/>
      </w:r>
      <w:r w:rsidRPr="00687C21">
        <w:rPr>
          <w:color w:val="000000" w:themeColor="text1"/>
          <w:sz w:val="20"/>
          <w:szCs w:val="20"/>
        </w:rPr>
        <w:t xml:space="preserve"> Article 29 Working Party (n 9) 14.</w:t>
      </w:r>
    </w:p>
  </w:footnote>
  <w:footnote w:id="234">
    <w:p w14:paraId="43E6840A" w14:textId="2DF2BA72" w:rsidR="00BB5B8C" w:rsidRPr="00687C21" w:rsidRDefault="00BB5B8C" w:rsidP="00687C21">
      <w:pPr>
        <w:pStyle w:val="FootnoteText"/>
        <w:jc w:val="both"/>
        <w:rPr>
          <w:color w:val="000000" w:themeColor="text1"/>
          <w:sz w:val="20"/>
          <w:szCs w:val="20"/>
        </w:rPr>
      </w:pPr>
      <w:r w:rsidRPr="00687C21">
        <w:rPr>
          <w:rStyle w:val="FootnoteReference"/>
          <w:color w:val="000000" w:themeColor="text1"/>
          <w:sz w:val="20"/>
          <w:szCs w:val="20"/>
        </w:rPr>
        <w:footnoteRef/>
      </w:r>
      <w:r w:rsidRPr="00687C21">
        <w:rPr>
          <w:color w:val="000000" w:themeColor="text1"/>
          <w:sz w:val="20"/>
          <w:szCs w:val="20"/>
        </w:rPr>
        <w:t xml:space="preserve"> ibid 14.</w:t>
      </w:r>
    </w:p>
  </w:footnote>
  <w:footnote w:id="235">
    <w:p w14:paraId="0B5ABDD6" w14:textId="17872E06" w:rsidR="00BB5B8C" w:rsidRPr="00687C21" w:rsidRDefault="00BB5B8C" w:rsidP="00687C21">
      <w:pPr>
        <w:pStyle w:val="FootnoteText"/>
        <w:jc w:val="both"/>
        <w:rPr>
          <w:color w:val="000000" w:themeColor="text1"/>
          <w:sz w:val="20"/>
          <w:szCs w:val="20"/>
        </w:rPr>
      </w:pPr>
      <w:r w:rsidRPr="00687C21">
        <w:rPr>
          <w:rStyle w:val="FootnoteReference"/>
          <w:color w:val="000000" w:themeColor="text1"/>
          <w:sz w:val="20"/>
          <w:szCs w:val="20"/>
        </w:rPr>
        <w:footnoteRef/>
      </w:r>
      <w:r w:rsidRPr="00687C21">
        <w:rPr>
          <w:color w:val="000000" w:themeColor="text1"/>
          <w:sz w:val="20"/>
          <w:szCs w:val="20"/>
        </w:rPr>
        <w:t xml:space="preserve"> Article 29 Working Party (n 9) 14.</w:t>
      </w:r>
    </w:p>
  </w:footnote>
  <w:footnote w:id="236">
    <w:p w14:paraId="0D530A08" w14:textId="0BF4110F" w:rsidR="00BB5B8C" w:rsidRPr="00687C21" w:rsidRDefault="00BB5B8C" w:rsidP="00687C21">
      <w:pPr>
        <w:pStyle w:val="FootnoteText"/>
        <w:jc w:val="both"/>
        <w:rPr>
          <w:color w:val="000000" w:themeColor="text1"/>
          <w:sz w:val="20"/>
          <w:szCs w:val="20"/>
        </w:rPr>
      </w:pPr>
      <w:r w:rsidRPr="00687C21">
        <w:rPr>
          <w:rStyle w:val="FootnoteReference"/>
          <w:color w:val="000000" w:themeColor="text1"/>
          <w:sz w:val="20"/>
          <w:szCs w:val="20"/>
        </w:rPr>
        <w:footnoteRef/>
      </w:r>
      <w:r w:rsidRPr="00687C21">
        <w:rPr>
          <w:color w:val="000000" w:themeColor="text1"/>
          <w:sz w:val="20"/>
          <w:szCs w:val="20"/>
        </w:rPr>
        <w:t xml:space="preserve"> This is the interpretation given to recital 60 of the GDPR by Article 29 Working Party (n 9) 13.</w:t>
      </w:r>
    </w:p>
  </w:footnote>
  <w:footnote w:id="237">
    <w:p w14:paraId="45B4944C" w14:textId="77777777" w:rsidR="00BB5B8C" w:rsidRPr="00687C21" w:rsidRDefault="00BB5B8C" w:rsidP="00687C21">
      <w:pPr>
        <w:pStyle w:val="FootnoteText"/>
        <w:jc w:val="both"/>
        <w:rPr>
          <w:color w:val="000000" w:themeColor="text1"/>
          <w:sz w:val="20"/>
          <w:szCs w:val="20"/>
        </w:rPr>
      </w:pPr>
      <w:r w:rsidRPr="00687C21">
        <w:rPr>
          <w:rStyle w:val="FootnoteReference"/>
          <w:color w:val="000000" w:themeColor="text1"/>
          <w:sz w:val="20"/>
          <w:szCs w:val="20"/>
        </w:rPr>
        <w:footnoteRef/>
      </w:r>
      <w:r w:rsidRPr="00687C21">
        <w:rPr>
          <w:color w:val="000000" w:themeColor="text1"/>
          <w:sz w:val="20"/>
          <w:szCs w:val="20"/>
        </w:rPr>
        <w:t xml:space="preserve"> Charter of Fundamental Rights of the European Union, art 47.</w:t>
      </w:r>
    </w:p>
  </w:footnote>
  <w:footnote w:id="238">
    <w:p w14:paraId="2EAFEC9C" w14:textId="708BC5A8" w:rsidR="00BB5B8C" w:rsidRPr="00687C21" w:rsidRDefault="00BB5B8C" w:rsidP="00687C21">
      <w:pPr>
        <w:pStyle w:val="FootnoteText"/>
        <w:contextualSpacing/>
        <w:mirrorIndents/>
        <w:jc w:val="both"/>
        <w:rPr>
          <w:color w:val="000000" w:themeColor="text1"/>
          <w:sz w:val="20"/>
          <w:szCs w:val="20"/>
        </w:rPr>
      </w:pPr>
      <w:r w:rsidRPr="00687C21">
        <w:rPr>
          <w:rStyle w:val="FootnoteReference"/>
          <w:color w:val="000000" w:themeColor="text1"/>
          <w:sz w:val="20"/>
          <w:szCs w:val="20"/>
        </w:rPr>
        <w:footnoteRef/>
      </w:r>
      <w:r w:rsidRPr="00687C21">
        <w:rPr>
          <w:color w:val="000000" w:themeColor="text1"/>
          <w:sz w:val="20"/>
          <w:szCs w:val="20"/>
        </w:rPr>
        <w:t xml:space="preserve"> Kuner (n </w:t>
      </w:r>
      <w:r w:rsidR="00C97818">
        <w:rPr>
          <w:color w:val="000000" w:themeColor="text1"/>
          <w:sz w:val="20"/>
          <w:szCs w:val="20"/>
        </w:rPr>
        <w:t>76</w:t>
      </w:r>
      <w:r w:rsidRPr="00687C21">
        <w:rPr>
          <w:color w:val="000000" w:themeColor="text1"/>
          <w:sz w:val="20"/>
          <w:szCs w:val="20"/>
        </w:rPr>
        <w:t>) 1, who suggest that a “high-level, non-technical, description of the decision-making process is more likely to be meaningful” (ibid 2).</w:t>
      </w:r>
    </w:p>
  </w:footnote>
  <w:footnote w:id="239">
    <w:p w14:paraId="117B4516" w14:textId="2A04EFF5" w:rsidR="00BB5B8C" w:rsidRPr="00687C21" w:rsidRDefault="00BB5B8C" w:rsidP="00687C21">
      <w:pPr>
        <w:pStyle w:val="FootnoteText"/>
        <w:contextualSpacing/>
        <w:mirrorIndents/>
        <w:jc w:val="both"/>
        <w:rPr>
          <w:rFonts w:eastAsiaTheme="majorEastAsia"/>
          <w:color w:val="000000" w:themeColor="text1"/>
          <w:sz w:val="20"/>
          <w:szCs w:val="20"/>
          <w:lang w:eastAsia="en-GB"/>
        </w:rPr>
      </w:pPr>
      <w:r w:rsidRPr="00687C21">
        <w:rPr>
          <w:rStyle w:val="FootnoteReference"/>
          <w:color w:val="000000" w:themeColor="text1"/>
          <w:sz w:val="20"/>
          <w:szCs w:val="20"/>
        </w:rPr>
        <w:footnoteRef/>
      </w:r>
      <w:r w:rsidRPr="00687C21">
        <w:rPr>
          <w:color w:val="000000" w:themeColor="text1"/>
          <w:sz w:val="20"/>
          <w:szCs w:val="20"/>
        </w:rPr>
        <w:t xml:space="preserve"> Sandra Wachter et al., ‘Why a Right to Explanation of Automated Decision-Making Does Not Exist in the General Data Protection Regulation’ (2017) 7(2) International Data Privacy Law 76. </w:t>
      </w:r>
      <w:r w:rsidR="00687C21" w:rsidRPr="00687C21">
        <w:rPr>
          <w:color w:val="000000" w:themeColor="text1"/>
          <w:sz w:val="20"/>
          <w:szCs w:val="20"/>
        </w:rPr>
        <w:t>For</w:t>
      </w:r>
      <w:r w:rsidRPr="00687C21">
        <w:rPr>
          <w:color w:val="000000" w:themeColor="text1"/>
          <w:sz w:val="20"/>
          <w:szCs w:val="20"/>
        </w:rPr>
        <w:t xml:space="preserve"> similar </w:t>
      </w:r>
      <w:r w:rsidR="00687C21" w:rsidRPr="00687C21">
        <w:rPr>
          <w:color w:val="000000" w:themeColor="text1"/>
          <w:sz w:val="20"/>
          <w:szCs w:val="20"/>
        </w:rPr>
        <w:t xml:space="preserve">somehow pessimist take see </w:t>
      </w:r>
      <w:r w:rsidRPr="00687C21">
        <w:rPr>
          <w:color w:val="000000" w:themeColor="text1"/>
          <w:sz w:val="20"/>
          <w:szCs w:val="20"/>
        </w:rPr>
        <w:t>Lilian Edwards and Michael Veale, ‘Slave to the algorithm? Why a ‘right to an explanation’ is probably not the remedy you are looking for’ (2017) 16(1) Duke Law &amp; Technology Review 18.</w:t>
      </w:r>
    </w:p>
  </w:footnote>
  <w:footnote w:id="240">
    <w:p w14:paraId="41C7B8F3" w14:textId="7E348D1B" w:rsidR="00687C21" w:rsidRPr="00687C21" w:rsidRDefault="00687C21" w:rsidP="00687C21">
      <w:pPr>
        <w:pStyle w:val="FootnoteText"/>
        <w:contextualSpacing/>
        <w:mirrorIndents/>
        <w:jc w:val="both"/>
        <w:rPr>
          <w:color w:val="000000" w:themeColor="text1"/>
          <w:sz w:val="20"/>
          <w:szCs w:val="20"/>
        </w:rPr>
      </w:pPr>
      <w:r w:rsidRPr="00687C21">
        <w:rPr>
          <w:rStyle w:val="FootnoteReference"/>
          <w:color w:val="000000" w:themeColor="text1"/>
          <w:sz w:val="20"/>
          <w:szCs w:val="20"/>
        </w:rPr>
        <w:footnoteRef/>
      </w:r>
      <w:r w:rsidRPr="00687C21">
        <w:rPr>
          <w:color w:val="000000" w:themeColor="text1"/>
          <w:sz w:val="20"/>
          <w:szCs w:val="20"/>
        </w:rPr>
        <w:t xml:space="preserve"> Gianclaudio Malgieri and Giovanni Comandé, ‘Why a Right to Legibility of Automated Decision-Making Exists in the General Data Protection Regulation’ (2017) 7(4) International Data Privacy Law 243. On the optimistic front, see also Julia Powles and Hal Hodson, ‘Google DeepMind and healthcare in an age of algorithms’ (2017) 7 Health Technol 351. Between the two poles, see e.g. Tal Zarsky, ‘The Trouble with Algorithmic Decisions: An Analytic Road Map to Examine Efficiency and Fairness in Automated and Opaque Decision Making’ (2016) 41(1) Science, Technology, &amp; Human Values 118; Mireille Hildebrandt, ‘The New Imbroglio - Living with Machine Algorithms’, in Liisa Janssens (ed) </w:t>
      </w:r>
      <w:r w:rsidRPr="00687C21">
        <w:rPr>
          <w:i/>
          <w:color w:val="000000" w:themeColor="text1"/>
          <w:sz w:val="20"/>
          <w:szCs w:val="20"/>
        </w:rPr>
        <w:t>The Art of Ethics in the Information Society</w:t>
      </w:r>
      <w:r w:rsidRPr="00687C21">
        <w:rPr>
          <w:color w:val="000000" w:themeColor="text1"/>
          <w:sz w:val="20"/>
          <w:szCs w:val="20"/>
        </w:rPr>
        <w:t xml:space="preserve"> (Amsterdam University Press 2016)</w:t>
      </w:r>
    </w:p>
  </w:footnote>
  <w:footnote w:id="241">
    <w:p w14:paraId="4116291F" w14:textId="4D164556" w:rsidR="00BB5B8C" w:rsidRPr="00687C21" w:rsidRDefault="00BB5B8C" w:rsidP="00687C21">
      <w:pPr>
        <w:pStyle w:val="FootnoteText"/>
        <w:contextualSpacing/>
        <w:mirrorIndents/>
        <w:jc w:val="both"/>
        <w:rPr>
          <w:color w:val="000000" w:themeColor="text1"/>
          <w:sz w:val="20"/>
          <w:szCs w:val="20"/>
        </w:rPr>
      </w:pPr>
      <w:r w:rsidRPr="00687C21">
        <w:rPr>
          <w:rStyle w:val="FootnoteReference"/>
          <w:color w:val="000000" w:themeColor="text1"/>
          <w:sz w:val="20"/>
          <w:szCs w:val="20"/>
        </w:rPr>
        <w:footnoteRef/>
      </w:r>
      <w:r w:rsidRPr="00687C21">
        <w:rPr>
          <w:color w:val="000000" w:themeColor="text1"/>
          <w:sz w:val="20"/>
          <w:szCs w:val="20"/>
        </w:rPr>
        <w:t xml:space="preserve"> There is the risk, however, the courts will interpret the analysed provisions in a narrow way, focusing on the weaknesses of the new regime. </w:t>
      </w:r>
    </w:p>
  </w:footnote>
  <w:footnote w:id="242">
    <w:p w14:paraId="0A3452B9" w14:textId="1B1FBA4F" w:rsidR="00BB5B8C" w:rsidRPr="00687C21" w:rsidRDefault="00BB5B8C" w:rsidP="00687C21">
      <w:pPr>
        <w:pStyle w:val="FootnoteText"/>
        <w:contextualSpacing/>
        <w:mirrorIndents/>
        <w:jc w:val="both"/>
        <w:rPr>
          <w:color w:val="000000" w:themeColor="text1"/>
          <w:sz w:val="20"/>
          <w:szCs w:val="20"/>
        </w:rPr>
      </w:pPr>
      <w:r w:rsidRPr="00687C21">
        <w:rPr>
          <w:rStyle w:val="FootnoteReference"/>
          <w:color w:val="000000" w:themeColor="text1"/>
          <w:sz w:val="20"/>
          <w:szCs w:val="20"/>
        </w:rPr>
        <w:footnoteRef/>
      </w:r>
      <w:r w:rsidRPr="00687C21">
        <w:rPr>
          <w:color w:val="000000" w:themeColor="text1"/>
          <w:sz w:val="20"/>
          <w:szCs w:val="20"/>
        </w:rPr>
        <w:t xml:space="preserve"> Wachter (n 238) 96</w:t>
      </w:r>
      <w:r w:rsidRPr="00687C21">
        <w:rPr>
          <w:color w:val="000000" w:themeColor="text1"/>
          <w:sz w:val="20"/>
          <w:szCs w:val="20"/>
          <w:shd w:val="clear" w:color="auto" w:fill="FFFFFF"/>
        </w:rPr>
        <w:t>.</w:t>
      </w:r>
    </w:p>
  </w:footnote>
  <w:footnote w:id="243">
    <w:p w14:paraId="14562920" w14:textId="6DF484DE" w:rsidR="00BB5B8C" w:rsidRPr="00687C21" w:rsidRDefault="00BB5B8C" w:rsidP="00687C21">
      <w:pPr>
        <w:pStyle w:val="FootnoteText"/>
        <w:contextualSpacing/>
        <w:mirrorIndents/>
        <w:jc w:val="both"/>
        <w:rPr>
          <w:color w:val="000000" w:themeColor="text1"/>
          <w:sz w:val="20"/>
          <w:szCs w:val="20"/>
        </w:rPr>
      </w:pPr>
      <w:r w:rsidRPr="00687C21">
        <w:rPr>
          <w:rStyle w:val="FootnoteReference"/>
          <w:color w:val="000000" w:themeColor="text1"/>
          <w:sz w:val="20"/>
          <w:szCs w:val="20"/>
        </w:rPr>
        <w:footnoteRef/>
      </w:r>
      <w:r w:rsidRPr="00687C21">
        <w:rPr>
          <w:color w:val="000000" w:themeColor="text1"/>
          <w:sz w:val="20"/>
          <w:szCs w:val="20"/>
        </w:rPr>
        <w:t xml:space="preserve"> Roberto Baratta, ‘Complexity of EU law in the domestic implementing process’ (2014) 19th Quality of legislation seminar “EU legislative drafting: Views from those applying EU law in the Member States” 4 &lt;</w:t>
      </w:r>
      <w:hyperlink r:id="rId13" w:history="1">
        <w:r w:rsidRPr="00687C21">
          <w:rPr>
            <w:color w:val="000000" w:themeColor="text1"/>
            <w:sz w:val="20"/>
            <w:szCs w:val="20"/>
          </w:rPr>
          <w:t>http://ec.europa.eu/dgs/legal_service/seminars/20140703_baratta_speech.pdf</w:t>
        </w:r>
      </w:hyperlink>
      <w:r w:rsidRPr="00687C21">
        <w:rPr>
          <w:color w:val="000000" w:themeColor="text1"/>
          <w:sz w:val="20"/>
          <w:szCs w:val="20"/>
        </w:rPr>
        <w:t>&gt; accessed 1 March 2018.</w:t>
      </w:r>
    </w:p>
  </w:footnote>
  <w:footnote w:id="244">
    <w:p w14:paraId="415F43DE" w14:textId="6C483D60" w:rsidR="00BB5B8C" w:rsidRPr="00687C21" w:rsidRDefault="00BB5B8C" w:rsidP="00687C21">
      <w:pPr>
        <w:pStyle w:val="FootnoteText"/>
        <w:jc w:val="both"/>
        <w:rPr>
          <w:color w:val="000000" w:themeColor="text1"/>
          <w:sz w:val="20"/>
          <w:szCs w:val="20"/>
        </w:rPr>
      </w:pPr>
      <w:r w:rsidRPr="00687C21">
        <w:rPr>
          <w:rStyle w:val="FootnoteReference"/>
          <w:color w:val="000000" w:themeColor="text1"/>
          <w:sz w:val="20"/>
          <w:szCs w:val="20"/>
        </w:rPr>
        <w:footnoteRef/>
      </w:r>
      <w:r w:rsidRPr="00687C21">
        <w:rPr>
          <w:color w:val="000000" w:themeColor="text1"/>
          <w:sz w:val="20"/>
          <w:szCs w:val="20"/>
        </w:rPr>
        <w:t xml:space="preserve"> GDPR, art 12(1).</w:t>
      </w:r>
    </w:p>
  </w:footnote>
  <w:footnote w:id="245">
    <w:p w14:paraId="15D3B074" w14:textId="513DB494" w:rsidR="00BB5B8C" w:rsidRPr="00687C21" w:rsidRDefault="00BB5B8C" w:rsidP="00687C21">
      <w:pPr>
        <w:pStyle w:val="FootnoteText"/>
        <w:jc w:val="both"/>
        <w:rPr>
          <w:color w:val="000000" w:themeColor="text1"/>
          <w:sz w:val="20"/>
          <w:szCs w:val="20"/>
        </w:rPr>
      </w:pPr>
      <w:r w:rsidRPr="00687C21">
        <w:rPr>
          <w:rStyle w:val="FootnoteReference"/>
          <w:color w:val="000000" w:themeColor="text1"/>
          <w:sz w:val="20"/>
          <w:szCs w:val="20"/>
        </w:rPr>
        <w:footnoteRef/>
      </w:r>
      <w:r w:rsidRPr="00687C21">
        <w:rPr>
          <w:color w:val="000000" w:themeColor="text1"/>
          <w:sz w:val="20"/>
          <w:szCs w:val="20"/>
        </w:rPr>
        <w:t xml:space="preserve"> GDPR, art 12(3).</w:t>
      </w:r>
    </w:p>
  </w:footnote>
  <w:footnote w:id="246">
    <w:p w14:paraId="1AE2E7BF" w14:textId="289EB75D" w:rsidR="00BB5B8C" w:rsidRPr="00687C21" w:rsidRDefault="00BB5B8C" w:rsidP="00687C21">
      <w:pPr>
        <w:pStyle w:val="FootnoteText"/>
        <w:jc w:val="both"/>
        <w:rPr>
          <w:color w:val="000000" w:themeColor="text1"/>
          <w:sz w:val="20"/>
          <w:szCs w:val="20"/>
        </w:rPr>
      </w:pPr>
      <w:r w:rsidRPr="00687C21">
        <w:rPr>
          <w:rStyle w:val="FootnoteReference"/>
          <w:color w:val="000000" w:themeColor="text1"/>
          <w:sz w:val="20"/>
          <w:szCs w:val="20"/>
        </w:rPr>
        <w:footnoteRef/>
      </w:r>
      <w:r w:rsidRPr="00687C21">
        <w:rPr>
          <w:color w:val="000000" w:themeColor="text1"/>
          <w:sz w:val="20"/>
          <w:szCs w:val="20"/>
        </w:rPr>
        <w:t xml:space="preserve"> If the data controller proves that the more time is necessary to respond, because the request is very complex and there is a high number of requests, there may be an extension by two further months. See GDPR, art 12(3).</w:t>
      </w:r>
    </w:p>
  </w:footnote>
  <w:footnote w:id="247">
    <w:p w14:paraId="118C1FE5" w14:textId="2BD3D1C2" w:rsidR="00BB5B8C" w:rsidRPr="00687C21" w:rsidRDefault="00BB5B8C" w:rsidP="00687C21">
      <w:pPr>
        <w:pStyle w:val="FootnoteText"/>
        <w:contextualSpacing/>
        <w:mirrorIndents/>
        <w:jc w:val="both"/>
        <w:rPr>
          <w:color w:val="000000" w:themeColor="text1"/>
          <w:sz w:val="20"/>
          <w:szCs w:val="20"/>
        </w:rPr>
      </w:pPr>
      <w:r w:rsidRPr="00687C21">
        <w:rPr>
          <w:rStyle w:val="FootnoteReference"/>
          <w:color w:val="000000" w:themeColor="text1"/>
          <w:sz w:val="20"/>
          <w:szCs w:val="20"/>
        </w:rPr>
        <w:footnoteRef/>
      </w:r>
      <w:r w:rsidRPr="00687C21">
        <w:rPr>
          <w:color w:val="000000" w:themeColor="text1"/>
          <w:sz w:val="20"/>
          <w:szCs w:val="20"/>
        </w:rPr>
        <w:t xml:space="preserve"> Kuner (n </w:t>
      </w:r>
      <w:r w:rsidR="00C97818">
        <w:rPr>
          <w:color w:val="000000" w:themeColor="text1"/>
          <w:sz w:val="20"/>
          <w:szCs w:val="20"/>
        </w:rPr>
        <w:t>76</w:t>
      </w:r>
      <w:r w:rsidRPr="00687C21">
        <w:rPr>
          <w:color w:val="000000" w:themeColor="text1"/>
          <w:sz w:val="20"/>
          <w:szCs w:val="20"/>
        </w:rPr>
        <w:t>) 2.</w:t>
      </w:r>
    </w:p>
  </w:footnote>
  <w:footnote w:id="248">
    <w:p w14:paraId="46D16B33" w14:textId="77777777" w:rsidR="00BB5B8C" w:rsidRPr="00687C21" w:rsidRDefault="00BB5B8C" w:rsidP="00687C21">
      <w:pPr>
        <w:pStyle w:val="FootnoteText"/>
        <w:jc w:val="both"/>
        <w:rPr>
          <w:color w:val="000000" w:themeColor="text1"/>
          <w:sz w:val="20"/>
          <w:szCs w:val="20"/>
        </w:rPr>
      </w:pPr>
      <w:r w:rsidRPr="00687C21">
        <w:rPr>
          <w:rStyle w:val="FootnoteReference"/>
          <w:color w:val="000000" w:themeColor="text1"/>
          <w:sz w:val="20"/>
          <w:szCs w:val="20"/>
        </w:rPr>
        <w:footnoteRef/>
      </w:r>
      <w:r w:rsidRPr="00687C21">
        <w:rPr>
          <w:color w:val="000000" w:themeColor="text1"/>
          <w:sz w:val="20"/>
          <w:szCs w:val="20"/>
        </w:rPr>
        <w:t xml:space="preserve"> Yilun Wang and Michal Kosinski, ‘Deep neural networks are more accurate than humans at detecting sexual orientation from facial images’ (OSFHome, 15 February 2017) &lt;https://osf.io/zn79k/&gt; accessed 1 March 2018 (forthcoming in Journal of Personality and Social Psychology).</w:t>
      </w:r>
    </w:p>
  </w:footnote>
  <w:footnote w:id="249">
    <w:p w14:paraId="6B0A64DB" w14:textId="77777777" w:rsidR="00BB5B8C" w:rsidRPr="00687C21" w:rsidRDefault="00BB5B8C" w:rsidP="00687C21">
      <w:pPr>
        <w:pStyle w:val="FootnoteText"/>
        <w:contextualSpacing/>
        <w:mirrorIndents/>
        <w:jc w:val="both"/>
        <w:rPr>
          <w:color w:val="000000" w:themeColor="text1"/>
          <w:sz w:val="20"/>
          <w:szCs w:val="20"/>
        </w:rPr>
      </w:pPr>
      <w:r w:rsidRPr="00687C21">
        <w:rPr>
          <w:rStyle w:val="FootnoteReference"/>
          <w:color w:val="000000" w:themeColor="text1"/>
          <w:sz w:val="20"/>
          <w:szCs w:val="20"/>
        </w:rPr>
        <w:footnoteRef/>
      </w:r>
      <w:r w:rsidRPr="00687C21">
        <w:rPr>
          <w:color w:val="000000" w:themeColor="text1"/>
          <w:sz w:val="20"/>
          <w:szCs w:val="20"/>
        </w:rPr>
        <w:t xml:space="preserve"> GDPR, </w:t>
      </w:r>
      <w:r w:rsidRPr="00687C21">
        <w:rPr>
          <w:rStyle w:val="apple-converted-space"/>
          <w:color w:val="000000" w:themeColor="text1"/>
          <w:sz w:val="20"/>
          <w:szCs w:val="20"/>
        </w:rPr>
        <w:t>art</w:t>
      </w:r>
      <w:r w:rsidRPr="00687C21">
        <w:rPr>
          <w:color w:val="000000" w:themeColor="text1"/>
          <w:sz w:val="20"/>
          <w:szCs w:val="20"/>
        </w:rPr>
        <w:t xml:space="preserve"> 22(4).</w:t>
      </w:r>
    </w:p>
  </w:footnote>
  <w:footnote w:id="250">
    <w:p w14:paraId="08CC23E4" w14:textId="77777777" w:rsidR="00BB5B8C" w:rsidRPr="00687C21" w:rsidRDefault="00BB5B8C" w:rsidP="00687C21">
      <w:pPr>
        <w:pStyle w:val="FootnoteText"/>
        <w:contextualSpacing/>
        <w:mirrorIndents/>
        <w:jc w:val="both"/>
        <w:rPr>
          <w:color w:val="000000" w:themeColor="text1"/>
          <w:sz w:val="20"/>
          <w:szCs w:val="20"/>
        </w:rPr>
      </w:pPr>
      <w:r w:rsidRPr="00687C21">
        <w:rPr>
          <w:rStyle w:val="FootnoteReference"/>
          <w:color w:val="000000" w:themeColor="text1"/>
          <w:sz w:val="20"/>
          <w:szCs w:val="20"/>
        </w:rPr>
        <w:footnoteRef/>
      </w:r>
      <w:r w:rsidRPr="00687C21">
        <w:rPr>
          <w:color w:val="000000" w:themeColor="text1"/>
          <w:sz w:val="20"/>
          <w:szCs w:val="20"/>
        </w:rPr>
        <w:t xml:space="preserve"> GDPR, </w:t>
      </w:r>
      <w:r w:rsidRPr="00687C21">
        <w:rPr>
          <w:rStyle w:val="apple-converted-space"/>
          <w:color w:val="000000" w:themeColor="text1"/>
          <w:sz w:val="20"/>
          <w:szCs w:val="20"/>
        </w:rPr>
        <w:t>art</w:t>
      </w:r>
      <w:r w:rsidRPr="00687C21">
        <w:rPr>
          <w:color w:val="000000" w:themeColor="text1"/>
          <w:sz w:val="20"/>
          <w:szCs w:val="20"/>
        </w:rPr>
        <w:t xml:space="preserve"> 9(2)(a).</w:t>
      </w:r>
    </w:p>
  </w:footnote>
  <w:footnote w:id="251">
    <w:p w14:paraId="44B5DD61" w14:textId="1CD8FBB4" w:rsidR="00BB5B8C" w:rsidRPr="00687C21" w:rsidRDefault="00BB5B8C" w:rsidP="00687C21">
      <w:pPr>
        <w:pStyle w:val="FootnoteText"/>
        <w:jc w:val="both"/>
        <w:rPr>
          <w:color w:val="000000" w:themeColor="text1"/>
          <w:sz w:val="20"/>
          <w:szCs w:val="20"/>
        </w:rPr>
      </w:pPr>
      <w:r w:rsidRPr="00687C21">
        <w:rPr>
          <w:rStyle w:val="FootnoteReference"/>
          <w:color w:val="000000" w:themeColor="text1"/>
          <w:sz w:val="20"/>
          <w:szCs w:val="20"/>
        </w:rPr>
        <w:footnoteRef/>
      </w:r>
      <w:r w:rsidRPr="00687C21">
        <w:rPr>
          <w:color w:val="000000" w:themeColor="text1"/>
          <w:sz w:val="20"/>
          <w:szCs w:val="20"/>
        </w:rPr>
        <w:t xml:space="preserve"> See Article 29 Working Party, ‘Guidelines on Data Protection Impact Assessment (DPIA) and determining whether processing is “likely to result in a high risk” for the purposes of Regulation 2016/679’ (European Commission, 4 April 2017), &lt;http://ec.europa.eu/newsroom/document.cfm?doc_id=44137&gt; accessed 7 March 2018.</w:t>
      </w:r>
    </w:p>
  </w:footnote>
  <w:footnote w:id="252">
    <w:p w14:paraId="120F9DA0" w14:textId="19A7F6CC" w:rsidR="00BB5B8C" w:rsidRPr="00687C21" w:rsidRDefault="00BB5B8C" w:rsidP="00687C21">
      <w:pPr>
        <w:pStyle w:val="FootnoteText"/>
        <w:contextualSpacing/>
        <w:mirrorIndents/>
        <w:jc w:val="both"/>
        <w:rPr>
          <w:color w:val="000000" w:themeColor="text1"/>
          <w:sz w:val="20"/>
          <w:szCs w:val="20"/>
        </w:rPr>
      </w:pPr>
      <w:r w:rsidRPr="00687C21">
        <w:rPr>
          <w:rStyle w:val="FootnoteReference"/>
          <w:color w:val="000000" w:themeColor="text1"/>
          <w:sz w:val="20"/>
          <w:szCs w:val="20"/>
        </w:rPr>
        <w:footnoteRef/>
      </w:r>
      <w:r w:rsidRPr="00687C21">
        <w:rPr>
          <w:color w:val="000000" w:themeColor="text1"/>
          <w:sz w:val="20"/>
          <w:szCs w:val="20"/>
        </w:rPr>
        <w:t xml:space="preserve"> This is the theory of Reuben Binns, ‘Data protection impact assessments: a meta-regulatory approach’ (2017) 7(1) </w:t>
      </w:r>
      <w:r w:rsidRPr="00687C21">
        <w:rPr>
          <w:iCs/>
          <w:color w:val="000000" w:themeColor="text1"/>
          <w:sz w:val="20"/>
          <w:szCs w:val="20"/>
        </w:rPr>
        <w:t>International Data Privacy Law</w:t>
      </w:r>
      <w:r w:rsidRPr="00687C21">
        <w:rPr>
          <w:color w:val="000000" w:themeColor="text1"/>
          <w:sz w:val="20"/>
          <w:szCs w:val="20"/>
        </w:rPr>
        <w:t> 22, 23. The notion of meta-regulation was developed by C Parker, ‘Meta-regulation: Legal Accountability for Corporate Social Responsibility’ in D McBarnet, A Voiculescu and T Campbell (eds), </w:t>
      </w:r>
      <w:r w:rsidRPr="00687C21">
        <w:rPr>
          <w:i/>
          <w:iCs/>
          <w:color w:val="000000" w:themeColor="text1"/>
          <w:sz w:val="20"/>
          <w:szCs w:val="20"/>
        </w:rPr>
        <w:t>The New Corporate Accountability: Corporate Social Responsibility and the Law</w:t>
      </w:r>
      <w:r w:rsidRPr="00687C21">
        <w:rPr>
          <w:i/>
          <w:color w:val="000000" w:themeColor="text1"/>
          <w:sz w:val="20"/>
          <w:szCs w:val="20"/>
        </w:rPr>
        <w:t xml:space="preserve"> </w:t>
      </w:r>
      <w:r w:rsidRPr="00687C21">
        <w:rPr>
          <w:color w:val="000000" w:themeColor="text1"/>
          <w:sz w:val="20"/>
          <w:szCs w:val="20"/>
        </w:rPr>
        <w:t>(CUP 2007</w:t>
      </w:r>
      <w:r w:rsidRPr="00687C21">
        <w:rPr>
          <w:color w:val="000000" w:themeColor="text1"/>
          <w:sz w:val="20"/>
          <w:szCs w:val="20"/>
          <w:shd w:val="clear" w:color="auto" w:fill="FFFFFF"/>
        </w:rPr>
        <w:t xml:space="preserve">) </w:t>
      </w:r>
      <w:r w:rsidRPr="00687C21">
        <w:rPr>
          <w:color w:val="000000" w:themeColor="text1"/>
          <w:sz w:val="20"/>
          <w:szCs w:val="20"/>
        </w:rPr>
        <w:t>29</w:t>
      </w:r>
      <w:r w:rsidRPr="00687C21">
        <w:rPr>
          <w:color w:val="000000" w:themeColor="text1"/>
          <w:sz w:val="20"/>
          <w:szCs w:val="20"/>
          <w:shd w:val="clear" w:color="auto" w:fill="FFFFFF"/>
        </w:rPr>
        <w:t>.</w:t>
      </w:r>
    </w:p>
  </w:footnote>
  <w:footnote w:id="253">
    <w:p w14:paraId="2852D786" w14:textId="6C509AE5" w:rsidR="00BB5B8C" w:rsidRPr="00687C21" w:rsidRDefault="00BB5B8C" w:rsidP="00687C21">
      <w:pPr>
        <w:pStyle w:val="FootnoteText"/>
        <w:jc w:val="both"/>
        <w:rPr>
          <w:color w:val="000000" w:themeColor="text1"/>
          <w:sz w:val="20"/>
          <w:szCs w:val="20"/>
        </w:rPr>
      </w:pPr>
      <w:r w:rsidRPr="00687C21">
        <w:rPr>
          <w:rStyle w:val="FootnoteReference"/>
          <w:color w:val="000000" w:themeColor="text1"/>
          <w:sz w:val="20"/>
          <w:szCs w:val="20"/>
        </w:rPr>
        <w:footnoteRef/>
      </w:r>
      <w:r w:rsidRPr="00687C21">
        <w:rPr>
          <w:color w:val="000000" w:themeColor="text1"/>
          <w:sz w:val="20"/>
          <w:szCs w:val="20"/>
        </w:rPr>
        <w:t xml:space="preserve"> Article 29 Working Party (n 9) 27.</w:t>
      </w:r>
    </w:p>
  </w:footnote>
  <w:footnote w:id="254">
    <w:p w14:paraId="33ACD111" w14:textId="653C71BD" w:rsidR="00BB5B8C" w:rsidRPr="00687C21" w:rsidRDefault="00BB5B8C" w:rsidP="00687C21">
      <w:pPr>
        <w:pStyle w:val="FootnoteText"/>
        <w:contextualSpacing/>
        <w:mirrorIndents/>
        <w:jc w:val="both"/>
        <w:rPr>
          <w:color w:val="000000" w:themeColor="text1"/>
          <w:sz w:val="20"/>
          <w:szCs w:val="20"/>
        </w:rPr>
      </w:pPr>
      <w:r w:rsidRPr="00687C21">
        <w:rPr>
          <w:rStyle w:val="FootnoteReference"/>
          <w:color w:val="000000" w:themeColor="text1"/>
          <w:sz w:val="20"/>
          <w:szCs w:val="20"/>
        </w:rPr>
        <w:footnoteRef/>
      </w:r>
      <w:r w:rsidRPr="00687C21">
        <w:rPr>
          <w:color w:val="000000" w:themeColor="text1"/>
          <w:sz w:val="20"/>
          <w:szCs w:val="20"/>
        </w:rPr>
        <w:t xml:space="preserve"> GDPR, art 35(3)(a).</w:t>
      </w:r>
    </w:p>
  </w:footnote>
  <w:footnote w:id="255">
    <w:p w14:paraId="19F356DF" w14:textId="6F8D6211" w:rsidR="00BB5B8C" w:rsidRPr="00687C21" w:rsidRDefault="00BB5B8C" w:rsidP="00687C21">
      <w:pPr>
        <w:pStyle w:val="FootnoteText"/>
        <w:jc w:val="both"/>
        <w:rPr>
          <w:color w:val="000000" w:themeColor="text1"/>
          <w:sz w:val="20"/>
          <w:szCs w:val="20"/>
        </w:rPr>
      </w:pPr>
      <w:r w:rsidRPr="00687C21">
        <w:rPr>
          <w:rStyle w:val="FootnoteReference"/>
          <w:color w:val="000000" w:themeColor="text1"/>
          <w:sz w:val="20"/>
          <w:szCs w:val="20"/>
        </w:rPr>
        <w:footnoteRef/>
      </w:r>
      <w:r w:rsidRPr="00687C21">
        <w:rPr>
          <w:color w:val="000000" w:themeColor="text1"/>
          <w:sz w:val="20"/>
          <w:szCs w:val="20"/>
        </w:rPr>
        <w:t xml:space="preserve"> Article 29 Working Party (n 9) 27.</w:t>
      </w:r>
    </w:p>
  </w:footnote>
  <w:footnote w:id="256">
    <w:p w14:paraId="5FEC9E32" w14:textId="77777777" w:rsidR="00BB5B8C" w:rsidRPr="00687C21" w:rsidRDefault="00BB5B8C" w:rsidP="00687C21">
      <w:pPr>
        <w:pStyle w:val="FootnoteText"/>
        <w:contextualSpacing/>
        <w:mirrorIndents/>
        <w:jc w:val="both"/>
        <w:rPr>
          <w:color w:val="000000" w:themeColor="text1"/>
          <w:sz w:val="20"/>
          <w:szCs w:val="20"/>
        </w:rPr>
      </w:pPr>
      <w:r w:rsidRPr="00687C21">
        <w:rPr>
          <w:rStyle w:val="FootnoteReference"/>
          <w:color w:val="000000" w:themeColor="text1"/>
          <w:sz w:val="20"/>
          <w:szCs w:val="20"/>
        </w:rPr>
        <w:footnoteRef/>
      </w:r>
      <w:r w:rsidRPr="00687C21">
        <w:rPr>
          <w:color w:val="000000" w:themeColor="text1"/>
          <w:sz w:val="20"/>
          <w:szCs w:val="20"/>
        </w:rPr>
        <w:t xml:space="preserve"> GDPR, recital 71.</w:t>
      </w:r>
    </w:p>
  </w:footnote>
  <w:footnote w:id="257">
    <w:p w14:paraId="0DE0319D" w14:textId="509DCEBF" w:rsidR="00BB5B8C" w:rsidRPr="00687C21" w:rsidRDefault="00BB5B8C" w:rsidP="00687C21">
      <w:pPr>
        <w:pStyle w:val="FootnoteText"/>
        <w:jc w:val="both"/>
        <w:rPr>
          <w:color w:val="000000" w:themeColor="text1"/>
          <w:sz w:val="20"/>
          <w:szCs w:val="20"/>
        </w:rPr>
      </w:pPr>
      <w:r w:rsidRPr="00687C21">
        <w:rPr>
          <w:rStyle w:val="FootnoteReference"/>
          <w:color w:val="000000" w:themeColor="text1"/>
          <w:sz w:val="20"/>
          <w:szCs w:val="20"/>
        </w:rPr>
        <w:footnoteRef/>
      </w:r>
      <w:r w:rsidRPr="00687C21">
        <w:rPr>
          <w:color w:val="000000" w:themeColor="text1"/>
          <w:sz w:val="20"/>
          <w:szCs w:val="20"/>
        </w:rPr>
        <w:t xml:space="preserve"> Article 29 Working Party (n 9) 26.</w:t>
      </w:r>
    </w:p>
  </w:footnote>
  <w:footnote w:id="258">
    <w:p w14:paraId="16DF9D96" w14:textId="5C11F710" w:rsidR="00BB5B8C" w:rsidRPr="00687C21" w:rsidRDefault="00BB5B8C" w:rsidP="00687C21">
      <w:pPr>
        <w:pStyle w:val="FootnoteText"/>
        <w:jc w:val="both"/>
        <w:rPr>
          <w:color w:val="000000" w:themeColor="text1"/>
          <w:sz w:val="20"/>
          <w:szCs w:val="20"/>
        </w:rPr>
      </w:pPr>
      <w:r w:rsidRPr="00687C21">
        <w:rPr>
          <w:rStyle w:val="FootnoteReference"/>
          <w:color w:val="000000" w:themeColor="text1"/>
          <w:sz w:val="20"/>
          <w:szCs w:val="20"/>
        </w:rPr>
        <w:footnoteRef/>
      </w:r>
      <w:r w:rsidRPr="00687C21">
        <w:rPr>
          <w:color w:val="000000" w:themeColor="text1"/>
          <w:sz w:val="20"/>
          <w:szCs w:val="20"/>
        </w:rPr>
        <w:t xml:space="preserve"> ibid 26.</w:t>
      </w:r>
    </w:p>
  </w:footnote>
  <w:footnote w:id="259">
    <w:p w14:paraId="79515953" w14:textId="5C7ED144" w:rsidR="00BB5B8C" w:rsidRPr="00687C21" w:rsidRDefault="00BB5B8C" w:rsidP="00687C21">
      <w:pPr>
        <w:pStyle w:val="FootnoteText"/>
        <w:jc w:val="both"/>
        <w:rPr>
          <w:color w:val="000000" w:themeColor="text1"/>
          <w:sz w:val="20"/>
          <w:szCs w:val="20"/>
        </w:rPr>
      </w:pPr>
      <w:r w:rsidRPr="00687C21">
        <w:rPr>
          <w:rStyle w:val="FootnoteReference"/>
          <w:color w:val="000000" w:themeColor="text1"/>
          <w:sz w:val="20"/>
          <w:szCs w:val="20"/>
        </w:rPr>
        <w:footnoteRef/>
      </w:r>
      <w:r w:rsidRPr="00687C21">
        <w:rPr>
          <w:color w:val="000000" w:themeColor="text1"/>
          <w:sz w:val="20"/>
          <w:szCs w:val="20"/>
        </w:rPr>
        <w:t xml:space="preserve"> ibid 26.</w:t>
      </w:r>
    </w:p>
  </w:footnote>
  <w:footnote w:id="260">
    <w:p w14:paraId="5C2264B0" w14:textId="17D8F73C" w:rsidR="00BB5B8C" w:rsidRPr="00687C21" w:rsidRDefault="00BB5B8C" w:rsidP="00687C21">
      <w:pPr>
        <w:pStyle w:val="FootnoteText"/>
        <w:contextualSpacing/>
        <w:mirrorIndents/>
        <w:jc w:val="both"/>
        <w:rPr>
          <w:color w:val="000000" w:themeColor="text1"/>
          <w:sz w:val="20"/>
          <w:szCs w:val="20"/>
          <w:lang w:val="it-IT"/>
        </w:rPr>
      </w:pPr>
      <w:r w:rsidRPr="00687C21">
        <w:rPr>
          <w:rStyle w:val="FootnoteReference"/>
          <w:color w:val="000000" w:themeColor="text1"/>
          <w:sz w:val="20"/>
          <w:szCs w:val="20"/>
        </w:rPr>
        <w:footnoteRef/>
      </w:r>
      <w:r w:rsidRPr="00687C21">
        <w:rPr>
          <w:color w:val="000000" w:themeColor="text1"/>
          <w:sz w:val="20"/>
          <w:szCs w:val="20"/>
          <w:lang w:val="it-IT"/>
        </w:rPr>
        <w:t xml:space="preserve"> Kamarinou (n </w:t>
      </w:r>
      <w:r w:rsidR="00C97818">
        <w:rPr>
          <w:color w:val="000000" w:themeColor="text1"/>
          <w:sz w:val="20"/>
          <w:szCs w:val="20"/>
          <w:lang w:val="it-IT"/>
        </w:rPr>
        <w:t>76</w:t>
      </w:r>
      <w:r w:rsidRPr="00687C21">
        <w:rPr>
          <w:color w:val="000000" w:themeColor="text1"/>
          <w:sz w:val="20"/>
          <w:szCs w:val="20"/>
          <w:lang w:val="it-IT"/>
        </w:rPr>
        <w:t>) 10.</w:t>
      </w:r>
    </w:p>
  </w:footnote>
  <w:footnote w:id="261">
    <w:p w14:paraId="3070EDF3" w14:textId="40160C5D" w:rsidR="00BB5B8C" w:rsidRPr="00687C21" w:rsidRDefault="00BB5B8C" w:rsidP="00687C21">
      <w:pPr>
        <w:pStyle w:val="FootnoteText"/>
        <w:contextualSpacing/>
        <w:mirrorIndents/>
        <w:jc w:val="both"/>
        <w:rPr>
          <w:color w:val="000000" w:themeColor="text1"/>
          <w:sz w:val="20"/>
          <w:szCs w:val="20"/>
        </w:rPr>
      </w:pPr>
      <w:r w:rsidRPr="00687C21">
        <w:rPr>
          <w:rStyle w:val="FootnoteReference"/>
          <w:color w:val="000000" w:themeColor="text1"/>
          <w:sz w:val="20"/>
          <w:szCs w:val="20"/>
        </w:rPr>
        <w:footnoteRef/>
      </w:r>
      <w:r w:rsidRPr="00687C21">
        <w:rPr>
          <w:color w:val="000000" w:themeColor="text1"/>
          <w:sz w:val="20"/>
          <w:szCs w:val="20"/>
        </w:rPr>
        <w:t xml:space="preserve"> Alessandro Mantelero, ‘Personal data for decisional purposes in the age of analytics: From an individual to a collective dimension of Data Protection’ (2016) 32(2) Computer Law &amp; Security Review 238.</w:t>
      </w:r>
    </w:p>
  </w:footnote>
  <w:footnote w:id="262">
    <w:p w14:paraId="2153215D" w14:textId="0F25B11E" w:rsidR="00BB5B8C" w:rsidRPr="00687C21" w:rsidRDefault="00BB5B8C" w:rsidP="00687C21">
      <w:pPr>
        <w:pStyle w:val="FootnoteText"/>
        <w:contextualSpacing/>
        <w:mirrorIndents/>
        <w:jc w:val="both"/>
        <w:rPr>
          <w:color w:val="000000" w:themeColor="text1"/>
          <w:sz w:val="20"/>
          <w:szCs w:val="20"/>
          <w:lang w:val="it-IT"/>
        </w:rPr>
      </w:pPr>
      <w:r w:rsidRPr="00687C21">
        <w:rPr>
          <w:rStyle w:val="FootnoteReference"/>
          <w:color w:val="000000" w:themeColor="text1"/>
          <w:sz w:val="20"/>
          <w:szCs w:val="20"/>
        </w:rPr>
        <w:footnoteRef/>
      </w:r>
      <w:r w:rsidRPr="00687C21">
        <w:rPr>
          <w:color w:val="000000" w:themeColor="text1"/>
          <w:sz w:val="20"/>
          <w:szCs w:val="20"/>
          <w:lang w:val="it-IT"/>
        </w:rPr>
        <w:t xml:space="preserve"> Kamarinou (n </w:t>
      </w:r>
      <w:r w:rsidR="00C97818">
        <w:rPr>
          <w:color w:val="000000" w:themeColor="text1"/>
          <w:sz w:val="20"/>
          <w:szCs w:val="20"/>
          <w:lang w:val="it-IT"/>
        </w:rPr>
        <w:t>76</w:t>
      </w:r>
      <w:r w:rsidRPr="00687C21">
        <w:rPr>
          <w:color w:val="000000" w:themeColor="text1"/>
          <w:sz w:val="20"/>
          <w:szCs w:val="20"/>
          <w:lang w:val="it-IT"/>
        </w:rPr>
        <w:t>) 10.</w:t>
      </w:r>
    </w:p>
  </w:footnote>
  <w:footnote w:id="263">
    <w:p w14:paraId="253FD93B" w14:textId="77777777" w:rsidR="00BB5B8C" w:rsidRPr="00687C21" w:rsidRDefault="00BB5B8C" w:rsidP="00687C21">
      <w:pPr>
        <w:pStyle w:val="FootnoteText"/>
        <w:contextualSpacing/>
        <w:mirrorIndents/>
        <w:jc w:val="both"/>
        <w:rPr>
          <w:color w:val="000000" w:themeColor="text1"/>
          <w:sz w:val="20"/>
          <w:szCs w:val="20"/>
        </w:rPr>
      </w:pPr>
      <w:r w:rsidRPr="00687C21">
        <w:rPr>
          <w:rStyle w:val="FootnoteReference"/>
          <w:color w:val="000000" w:themeColor="text1"/>
          <w:sz w:val="20"/>
          <w:szCs w:val="20"/>
        </w:rPr>
        <w:footnoteRef/>
      </w:r>
      <w:r w:rsidRPr="00687C21">
        <w:rPr>
          <w:color w:val="000000" w:themeColor="text1"/>
          <w:sz w:val="20"/>
          <w:szCs w:val="20"/>
        </w:rPr>
        <w:t xml:space="preserve"> GDPR, art 20.</w:t>
      </w:r>
    </w:p>
  </w:footnote>
  <w:footnote w:id="264">
    <w:p w14:paraId="1D7D8514" w14:textId="01313F7F" w:rsidR="00BB5B8C" w:rsidRPr="00687C21" w:rsidRDefault="00BB5B8C" w:rsidP="00687C21">
      <w:pPr>
        <w:pStyle w:val="FootnoteText"/>
        <w:contextualSpacing/>
        <w:mirrorIndents/>
        <w:jc w:val="both"/>
        <w:rPr>
          <w:color w:val="000000" w:themeColor="text1"/>
          <w:sz w:val="20"/>
          <w:szCs w:val="20"/>
        </w:rPr>
      </w:pPr>
      <w:r w:rsidRPr="00687C21">
        <w:rPr>
          <w:rStyle w:val="FootnoteReference"/>
          <w:color w:val="000000" w:themeColor="text1"/>
          <w:sz w:val="20"/>
          <w:szCs w:val="20"/>
        </w:rPr>
        <w:footnoteRef/>
      </w:r>
      <w:r w:rsidRPr="00687C21">
        <w:rPr>
          <w:color w:val="000000" w:themeColor="text1"/>
          <w:sz w:val="20"/>
          <w:szCs w:val="20"/>
        </w:rPr>
        <w:t xml:space="preserve"> Schermer (n 10) 52.</w:t>
      </w:r>
    </w:p>
  </w:footnote>
  <w:footnote w:id="265">
    <w:p w14:paraId="7366FF2B" w14:textId="77777777" w:rsidR="00BB5B8C" w:rsidRPr="00687C21" w:rsidRDefault="00BB5B8C" w:rsidP="00687C21">
      <w:pPr>
        <w:pStyle w:val="FootnoteText"/>
        <w:contextualSpacing/>
        <w:mirrorIndents/>
        <w:jc w:val="both"/>
        <w:rPr>
          <w:color w:val="000000" w:themeColor="text1"/>
          <w:sz w:val="20"/>
          <w:szCs w:val="20"/>
        </w:rPr>
      </w:pPr>
      <w:r w:rsidRPr="00687C21">
        <w:rPr>
          <w:rStyle w:val="FootnoteReference"/>
          <w:color w:val="000000" w:themeColor="text1"/>
          <w:sz w:val="20"/>
          <w:szCs w:val="20"/>
        </w:rPr>
        <w:footnoteRef/>
      </w:r>
      <w:r w:rsidRPr="00687C21">
        <w:rPr>
          <w:color w:val="000000" w:themeColor="text1"/>
          <w:sz w:val="20"/>
          <w:szCs w:val="20"/>
        </w:rPr>
        <w:t xml:space="preserve"> ibid 52. </w:t>
      </w:r>
    </w:p>
  </w:footnote>
  <w:footnote w:id="266">
    <w:p w14:paraId="51580995" w14:textId="77777777" w:rsidR="00BB5B8C" w:rsidRPr="00687C21" w:rsidRDefault="00BB5B8C" w:rsidP="00687C21">
      <w:pPr>
        <w:pStyle w:val="FootnoteText"/>
        <w:contextualSpacing/>
        <w:mirrorIndents/>
        <w:jc w:val="both"/>
        <w:rPr>
          <w:color w:val="000000" w:themeColor="text1"/>
          <w:sz w:val="20"/>
          <w:szCs w:val="20"/>
        </w:rPr>
      </w:pPr>
      <w:r w:rsidRPr="00687C21">
        <w:rPr>
          <w:rStyle w:val="FootnoteReference"/>
          <w:color w:val="000000" w:themeColor="text1"/>
          <w:sz w:val="20"/>
          <w:szCs w:val="20"/>
        </w:rPr>
        <w:footnoteRef/>
      </w:r>
      <w:r w:rsidRPr="00687C21">
        <w:rPr>
          <w:color w:val="000000" w:themeColor="text1"/>
          <w:sz w:val="20"/>
          <w:szCs w:val="20"/>
        </w:rPr>
        <w:t xml:space="preserve"> GDPR, </w:t>
      </w:r>
      <w:r w:rsidRPr="00687C21">
        <w:rPr>
          <w:rStyle w:val="apple-converted-space"/>
          <w:color w:val="000000" w:themeColor="text1"/>
          <w:sz w:val="20"/>
          <w:szCs w:val="20"/>
        </w:rPr>
        <w:t>art</w:t>
      </w:r>
      <w:r w:rsidRPr="00687C21">
        <w:rPr>
          <w:color w:val="000000" w:themeColor="text1"/>
          <w:sz w:val="20"/>
          <w:szCs w:val="20"/>
        </w:rPr>
        <w:t xml:space="preserve"> 5(1)(c).</w:t>
      </w:r>
    </w:p>
  </w:footnote>
  <w:footnote w:id="267">
    <w:p w14:paraId="33684058" w14:textId="2D1600EB" w:rsidR="00BB5B8C" w:rsidRPr="00687C21" w:rsidRDefault="00BB5B8C" w:rsidP="00687C21">
      <w:pPr>
        <w:pStyle w:val="FootnoteText"/>
        <w:contextualSpacing/>
        <w:mirrorIndents/>
        <w:jc w:val="both"/>
        <w:rPr>
          <w:color w:val="000000" w:themeColor="text1"/>
          <w:sz w:val="20"/>
          <w:szCs w:val="20"/>
        </w:rPr>
      </w:pPr>
      <w:r w:rsidRPr="00687C21">
        <w:rPr>
          <w:rStyle w:val="FootnoteReference"/>
          <w:color w:val="000000" w:themeColor="text1"/>
          <w:sz w:val="20"/>
          <w:szCs w:val="20"/>
        </w:rPr>
        <w:footnoteRef/>
      </w:r>
      <w:r w:rsidRPr="00687C21">
        <w:rPr>
          <w:color w:val="000000" w:themeColor="text1"/>
          <w:sz w:val="20"/>
          <w:szCs w:val="20"/>
        </w:rPr>
        <w:t xml:space="preserve"> Regulation (EC) No 45/2001 of the European Parliament and of the Council of 18 December 2000 on the protection of individuals with regard to the processing of personal data by the Community institutions and bodies and on the free movement of such data, arts 13 and 19, recital 29.</w:t>
      </w:r>
    </w:p>
  </w:footnote>
  <w:footnote w:id="268">
    <w:p w14:paraId="41795173" w14:textId="303D2715" w:rsidR="00BB5B8C" w:rsidRPr="00687C21" w:rsidRDefault="00BB5B8C" w:rsidP="00687C21">
      <w:pPr>
        <w:pStyle w:val="FootnoteText"/>
        <w:contextualSpacing/>
        <w:mirrorIndents/>
        <w:jc w:val="both"/>
        <w:rPr>
          <w:color w:val="000000" w:themeColor="text1"/>
          <w:sz w:val="20"/>
          <w:szCs w:val="20"/>
        </w:rPr>
      </w:pPr>
      <w:r w:rsidRPr="00687C21">
        <w:rPr>
          <w:rStyle w:val="FootnoteReference"/>
          <w:color w:val="000000" w:themeColor="text1"/>
          <w:sz w:val="20"/>
          <w:szCs w:val="20"/>
        </w:rPr>
        <w:footnoteRef/>
      </w:r>
      <w:r w:rsidRPr="00687C21">
        <w:rPr>
          <w:color w:val="000000" w:themeColor="text1"/>
          <w:sz w:val="20"/>
          <w:szCs w:val="20"/>
        </w:rPr>
        <w:t xml:space="preserve"> Proposal for a Regulation of the European Parliament and of the Council on the protection of individuals with regard to the processing of personal data by the Union institutions, bodies, offices and agencies and on the free movement of such data, and repealing Regulation (EC) No 45/2001 and Decision No 1247/2002/EC (hereinafter ‘draft regulation on the protection of individuals with regard to the processing of personal data by the Union institutions’). For the Commission proposal, the first reading Position of the European Parliament and the General Approach of the Council, see Council of the EU 13436/17 of 30 October 2017.</w:t>
      </w:r>
    </w:p>
  </w:footnote>
  <w:footnote w:id="269">
    <w:p w14:paraId="66368EAE" w14:textId="497CFD0C" w:rsidR="00BB5B8C" w:rsidRPr="00687C21" w:rsidRDefault="00BB5B8C" w:rsidP="00687C21">
      <w:pPr>
        <w:pStyle w:val="FootnoteText"/>
        <w:contextualSpacing/>
        <w:mirrorIndents/>
        <w:jc w:val="both"/>
        <w:rPr>
          <w:color w:val="000000" w:themeColor="text1"/>
          <w:sz w:val="20"/>
          <w:szCs w:val="20"/>
        </w:rPr>
      </w:pPr>
      <w:r w:rsidRPr="00687C21">
        <w:rPr>
          <w:rStyle w:val="FootnoteReference"/>
          <w:color w:val="000000" w:themeColor="text1"/>
          <w:sz w:val="20"/>
          <w:szCs w:val="20"/>
        </w:rPr>
        <w:footnoteRef/>
      </w:r>
      <w:r w:rsidRPr="00687C21">
        <w:rPr>
          <w:color w:val="000000" w:themeColor="text1"/>
          <w:sz w:val="20"/>
          <w:szCs w:val="20"/>
        </w:rPr>
        <w:t xml:space="preserve"> Draft regulation on the protection of individuals with regard to the processing of personal data by the Union institutions, arts 15(2)(f) and 16(2)(f).</w:t>
      </w:r>
    </w:p>
  </w:footnote>
  <w:footnote w:id="270">
    <w:p w14:paraId="560C843F" w14:textId="77D1F579" w:rsidR="00BB5B8C" w:rsidRPr="00687C21" w:rsidRDefault="00BB5B8C" w:rsidP="00687C21">
      <w:pPr>
        <w:pStyle w:val="FootnoteText"/>
        <w:contextualSpacing/>
        <w:mirrorIndents/>
        <w:jc w:val="both"/>
        <w:rPr>
          <w:color w:val="000000" w:themeColor="text1"/>
          <w:sz w:val="20"/>
          <w:szCs w:val="20"/>
        </w:rPr>
      </w:pPr>
      <w:r w:rsidRPr="00687C21">
        <w:rPr>
          <w:rStyle w:val="FootnoteReference"/>
          <w:color w:val="000000" w:themeColor="text1"/>
          <w:sz w:val="20"/>
          <w:szCs w:val="20"/>
        </w:rPr>
        <w:footnoteRef/>
      </w:r>
      <w:r w:rsidRPr="00687C21">
        <w:rPr>
          <w:color w:val="000000" w:themeColor="text1"/>
          <w:sz w:val="20"/>
          <w:szCs w:val="20"/>
        </w:rPr>
        <w:t xml:space="preserve"> Draft regulation on the protection of individuals with regard to the processing of personal data by the Union institutions, art 17(1)(h).</w:t>
      </w:r>
    </w:p>
  </w:footnote>
  <w:footnote w:id="271">
    <w:p w14:paraId="393A5953" w14:textId="46EA0B35" w:rsidR="00BB5B8C" w:rsidRPr="00687C21" w:rsidRDefault="00BB5B8C" w:rsidP="00687C21">
      <w:pPr>
        <w:pStyle w:val="FootnoteText"/>
        <w:contextualSpacing/>
        <w:mirrorIndents/>
        <w:jc w:val="both"/>
        <w:rPr>
          <w:color w:val="000000" w:themeColor="text1"/>
          <w:sz w:val="20"/>
          <w:szCs w:val="20"/>
        </w:rPr>
      </w:pPr>
      <w:r w:rsidRPr="00687C21">
        <w:rPr>
          <w:rStyle w:val="FootnoteReference"/>
          <w:color w:val="000000" w:themeColor="text1"/>
          <w:sz w:val="20"/>
          <w:szCs w:val="20"/>
        </w:rPr>
        <w:footnoteRef/>
      </w:r>
      <w:r w:rsidRPr="00687C21">
        <w:rPr>
          <w:color w:val="000000" w:themeColor="text1"/>
          <w:sz w:val="20"/>
          <w:szCs w:val="20"/>
        </w:rPr>
        <w:t xml:space="preserve"> Draft regulation on the protection of individuals with regard to the processing of personal data by the Union institutions, art 23.</w:t>
      </w:r>
    </w:p>
  </w:footnote>
  <w:footnote w:id="272">
    <w:p w14:paraId="0E81A956" w14:textId="0743355F" w:rsidR="00BB5B8C" w:rsidRPr="00687C21" w:rsidRDefault="00BB5B8C" w:rsidP="00687C21">
      <w:pPr>
        <w:pStyle w:val="FootnoteText"/>
        <w:contextualSpacing/>
        <w:mirrorIndents/>
        <w:jc w:val="both"/>
        <w:rPr>
          <w:color w:val="000000" w:themeColor="text1"/>
          <w:sz w:val="20"/>
          <w:szCs w:val="20"/>
        </w:rPr>
      </w:pPr>
      <w:r w:rsidRPr="00687C21">
        <w:rPr>
          <w:rStyle w:val="FootnoteReference"/>
          <w:color w:val="000000" w:themeColor="text1"/>
          <w:sz w:val="20"/>
          <w:szCs w:val="20"/>
        </w:rPr>
        <w:footnoteRef/>
      </w:r>
      <w:r w:rsidRPr="00687C21">
        <w:rPr>
          <w:color w:val="000000" w:themeColor="text1"/>
          <w:sz w:val="20"/>
          <w:szCs w:val="20"/>
        </w:rPr>
        <w:t xml:space="preserve"> Draft regulation on the protection of individuals with regard to the processing of personal data by the Union institutions, art 39.</w:t>
      </w:r>
    </w:p>
  </w:footnote>
  <w:footnote w:id="273">
    <w:p w14:paraId="1F49F61A" w14:textId="167F459B" w:rsidR="00BB5B8C" w:rsidRPr="00687C21" w:rsidRDefault="00BB5B8C" w:rsidP="00687C21">
      <w:pPr>
        <w:pStyle w:val="FootnoteText"/>
        <w:contextualSpacing/>
        <w:mirrorIndents/>
        <w:jc w:val="both"/>
        <w:rPr>
          <w:color w:val="000000" w:themeColor="text1"/>
          <w:sz w:val="20"/>
          <w:szCs w:val="20"/>
        </w:rPr>
      </w:pPr>
      <w:r w:rsidRPr="00687C21">
        <w:rPr>
          <w:rStyle w:val="FootnoteReference"/>
          <w:color w:val="000000" w:themeColor="text1"/>
          <w:sz w:val="20"/>
          <w:szCs w:val="20"/>
        </w:rPr>
        <w:footnoteRef/>
      </w:r>
      <w:r w:rsidRPr="00687C21">
        <w:rPr>
          <w:color w:val="000000" w:themeColor="text1"/>
          <w:sz w:val="20"/>
          <w:szCs w:val="20"/>
        </w:rPr>
        <w:t xml:space="preserve"> Chris Reed et al., ‘Responsibility, Autonomy and Accountability: Legal Liability for Machine Learning’ (Queen Mary School of Law Legal Studies Research Paper No. 243/2016) 29 &lt;</w:t>
      </w:r>
      <w:hyperlink r:id="rId14" w:tgtFrame="_blank" w:history="1">
        <w:r w:rsidRPr="00687C21">
          <w:rPr>
            <w:color w:val="000000" w:themeColor="text1"/>
            <w:sz w:val="20"/>
            <w:szCs w:val="20"/>
          </w:rPr>
          <w:t>https://ssrn.com/abstract=2853462</w:t>
        </w:r>
      </w:hyperlink>
      <w:r w:rsidRPr="00687C21">
        <w:rPr>
          <w:color w:val="000000" w:themeColor="text1"/>
          <w:sz w:val="20"/>
          <w:szCs w:val="20"/>
        </w:rPr>
        <w:t>&gt; accessed 1 March 2018.</w:t>
      </w:r>
    </w:p>
  </w:footnote>
  <w:footnote w:id="274">
    <w:p w14:paraId="7372FD36" w14:textId="1AA1BD78" w:rsidR="00BB5B8C" w:rsidRPr="00687C21" w:rsidRDefault="00BB5B8C" w:rsidP="00687C21">
      <w:pPr>
        <w:pStyle w:val="FootnoteText"/>
        <w:contextualSpacing/>
        <w:mirrorIndents/>
        <w:jc w:val="both"/>
        <w:rPr>
          <w:color w:val="000000" w:themeColor="text1"/>
          <w:sz w:val="20"/>
          <w:szCs w:val="20"/>
        </w:rPr>
      </w:pPr>
      <w:r w:rsidRPr="00687C21">
        <w:rPr>
          <w:rStyle w:val="FootnoteReference"/>
          <w:color w:val="000000" w:themeColor="text1"/>
          <w:sz w:val="20"/>
          <w:szCs w:val="20"/>
        </w:rPr>
        <w:footnoteRef/>
      </w:r>
      <w:r w:rsidRPr="00687C21">
        <w:rPr>
          <w:color w:val="000000" w:themeColor="text1"/>
          <w:sz w:val="20"/>
          <w:szCs w:val="20"/>
        </w:rPr>
        <w:t xml:space="preserve"> Bygrave (n </w:t>
      </w:r>
      <w:r w:rsidR="00C97818">
        <w:rPr>
          <w:color w:val="000000" w:themeColor="text1"/>
          <w:sz w:val="20"/>
          <w:szCs w:val="20"/>
        </w:rPr>
        <w:t>165</w:t>
      </w:r>
      <w:r w:rsidRPr="00687C21">
        <w:rPr>
          <w:color w:val="000000" w:themeColor="text1"/>
          <w:sz w:val="20"/>
          <w:szCs w:val="20"/>
        </w:rPr>
        <w:t>) 22.</w:t>
      </w:r>
    </w:p>
  </w:footnote>
  <w:footnote w:id="275">
    <w:p w14:paraId="67725F25" w14:textId="77777777" w:rsidR="00BB5B8C" w:rsidRPr="00687C21" w:rsidRDefault="00BB5B8C" w:rsidP="00687C21">
      <w:pPr>
        <w:pStyle w:val="FootnoteText"/>
        <w:contextualSpacing/>
        <w:mirrorIndents/>
        <w:jc w:val="both"/>
        <w:rPr>
          <w:color w:val="000000" w:themeColor="text1"/>
          <w:sz w:val="20"/>
          <w:szCs w:val="20"/>
        </w:rPr>
      </w:pPr>
      <w:r w:rsidRPr="00687C21">
        <w:rPr>
          <w:rStyle w:val="FootnoteReference"/>
          <w:color w:val="000000" w:themeColor="text1"/>
          <w:sz w:val="20"/>
          <w:szCs w:val="20"/>
        </w:rPr>
        <w:footnoteRef/>
      </w:r>
      <w:r w:rsidRPr="00687C21">
        <w:rPr>
          <w:color w:val="000000" w:themeColor="text1"/>
          <w:sz w:val="20"/>
          <w:szCs w:val="20"/>
        </w:rPr>
        <w:t xml:space="preserve"> </w:t>
      </w:r>
      <w:r w:rsidRPr="00687C21">
        <w:rPr>
          <w:rStyle w:val="Strong"/>
          <w:b w:val="0"/>
          <w:color w:val="000000" w:themeColor="text1"/>
          <w:sz w:val="20"/>
          <w:szCs w:val="20"/>
          <w:bdr w:val="none" w:sz="0" w:space="0" w:color="auto" w:frame="1"/>
          <w:shd w:val="clear" w:color="auto" w:fill="FFFFFF"/>
        </w:rPr>
        <w:t xml:space="preserve">Commission d’accès aux documents administratifs, </w:t>
      </w:r>
      <w:r w:rsidRPr="00687C21">
        <w:rPr>
          <w:rStyle w:val="Strong"/>
          <w:b w:val="0"/>
          <w:i/>
          <w:color w:val="000000" w:themeColor="text1"/>
          <w:sz w:val="20"/>
          <w:szCs w:val="20"/>
          <w:bdr w:val="none" w:sz="0" w:space="0" w:color="auto" w:frame="1"/>
          <w:shd w:val="clear" w:color="auto" w:fill="FFFFFF"/>
        </w:rPr>
        <w:t>avis</w:t>
      </w:r>
      <w:r w:rsidRPr="00687C21">
        <w:rPr>
          <w:rStyle w:val="Strong"/>
          <w:b w:val="0"/>
          <w:color w:val="000000" w:themeColor="text1"/>
          <w:sz w:val="20"/>
          <w:szCs w:val="20"/>
          <w:bdr w:val="none" w:sz="0" w:space="0" w:color="auto" w:frame="1"/>
          <w:shd w:val="clear" w:color="auto" w:fill="FFFFFF"/>
        </w:rPr>
        <w:t xml:space="preserve"> 20144578 - 8 January 2015,</w:t>
      </w:r>
      <w:r w:rsidRPr="00687C21">
        <w:rPr>
          <w:color w:val="000000" w:themeColor="text1"/>
          <w:sz w:val="20"/>
          <w:szCs w:val="20"/>
          <w:lang w:val="fr-FR"/>
        </w:rPr>
        <w:t xml:space="preserve"> &lt;</w:t>
      </w:r>
      <w:hyperlink r:id="rId15" w:history="1">
        <w:r w:rsidRPr="00687C21">
          <w:rPr>
            <w:rStyle w:val="Hyperlink"/>
            <w:color w:val="000000" w:themeColor="text1"/>
            <w:sz w:val="20"/>
            <w:szCs w:val="20"/>
            <w:u w:val="none"/>
            <w:lang w:val="fr-FR"/>
          </w:rPr>
          <w:t>http://www.cada.fr/avis-20144578,20144578.html</w:t>
        </w:r>
      </w:hyperlink>
      <w:r w:rsidRPr="00687C21">
        <w:rPr>
          <w:rStyle w:val="Hyperlink"/>
          <w:color w:val="000000" w:themeColor="text1"/>
          <w:sz w:val="20"/>
          <w:szCs w:val="20"/>
          <w:u w:val="none"/>
          <w:lang w:val="fr-FR"/>
        </w:rPr>
        <w:t>&gt; accessed 1 March 2018</w:t>
      </w:r>
      <w:r w:rsidRPr="00687C21">
        <w:rPr>
          <w:color w:val="000000" w:themeColor="text1"/>
          <w:sz w:val="20"/>
          <w:szCs w:val="20"/>
          <w:lang w:val="fr-FR"/>
        </w:rPr>
        <w:t xml:space="preserve">. </w:t>
      </w:r>
    </w:p>
  </w:footnote>
  <w:footnote w:id="276">
    <w:p w14:paraId="3EB82B40" w14:textId="77777777" w:rsidR="00BB5B8C" w:rsidRPr="00687C21" w:rsidRDefault="00BB5B8C" w:rsidP="00687C21">
      <w:pPr>
        <w:pStyle w:val="FootnoteText"/>
        <w:contextualSpacing/>
        <w:mirrorIndents/>
        <w:jc w:val="both"/>
        <w:rPr>
          <w:color w:val="000000" w:themeColor="text1"/>
          <w:sz w:val="20"/>
          <w:szCs w:val="20"/>
        </w:rPr>
      </w:pPr>
      <w:r w:rsidRPr="00687C21">
        <w:rPr>
          <w:rStyle w:val="FootnoteReference"/>
          <w:color w:val="000000" w:themeColor="text1"/>
          <w:sz w:val="20"/>
          <w:szCs w:val="20"/>
        </w:rPr>
        <w:footnoteRef/>
      </w:r>
      <w:r w:rsidRPr="00687C21">
        <w:rPr>
          <w:color w:val="000000" w:themeColor="text1"/>
          <w:sz w:val="20"/>
          <w:szCs w:val="20"/>
        </w:rPr>
        <w:t xml:space="preserve"> </w:t>
      </w:r>
      <w:r w:rsidRPr="00687C21">
        <w:rPr>
          <w:color w:val="000000" w:themeColor="text1"/>
          <w:sz w:val="20"/>
          <w:szCs w:val="20"/>
          <w:shd w:val="clear" w:color="auto" w:fill="FFFFFF"/>
        </w:rPr>
        <w:t>TAR Lazio, chamber III bis, 22 March 2017, No 3769.</w:t>
      </w:r>
    </w:p>
  </w:footnote>
  <w:footnote w:id="277">
    <w:p w14:paraId="34AE7209" w14:textId="77777777" w:rsidR="00BB5B8C" w:rsidRPr="00687C21" w:rsidRDefault="00BB5B8C" w:rsidP="00687C21">
      <w:pPr>
        <w:pStyle w:val="FootnoteText"/>
        <w:contextualSpacing/>
        <w:mirrorIndents/>
        <w:jc w:val="both"/>
        <w:rPr>
          <w:color w:val="000000" w:themeColor="text1"/>
          <w:sz w:val="20"/>
          <w:szCs w:val="20"/>
        </w:rPr>
      </w:pPr>
      <w:r w:rsidRPr="00687C21">
        <w:rPr>
          <w:rStyle w:val="FootnoteReference"/>
          <w:color w:val="000000" w:themeColor="text1"/>
          <w:sz w:val="20"/>
          <w:szCs w:val="20"/>
        </w:rPr>
        <w:footnoteRef/>
      </w:r>
      <w:r w:rsidRPr="00687C21">
        <w:rPr>
          <w:color w:val="000000" w:themeColor="text1"/>
          <w:sz w:val="20"/>
          <w:szCs w:val="20"/>
        </w:rPr>
        <w:t xml:space="preserve"> These courts administer justice mainly when a citizen claim the violation of their legitimate interest by a public body.</w:t>
      </w:r>
    </w:p>
  </w:footnote>
  <w:footnote w:id="278">
    <w:p w14:paraId="2359A102" w14:textId="5943335A" w:rsidR="00BB5B8C" w:rsidRPr="00687C21" w:rsidRDefault="00BB5B8C" w:rsidP="00687C21">
      <w:pPr>
        <w:pStyle w:val="FootnoteText"/>
        <w:contextualSpacing/>
        <w:mirrorIndents/>
        <w:jc w:val="both"/>
        <w:rPr>
          <w:i/>
          <w:color w:val="000000" w:themeColor="text1"/>
          <w:sz w:val="20"/>
          <w:szCs w:val="20"/>
          <w:lang w:val="it-IT"/>
        </w:rPr>
      </w:pPr>
      <w:r w:rsidRPr="00687C21">
        <w:rPr>
          <w:rStyle w:val="FootnoteReference"/>
          <w:color w:val="000000" w:themeColor="text1"/>
          <w:sz w:val="20"/>
          <w:szCs w:val="20"/>
        </w:rPr>
        <w:footnoteRef/>
      </w:r>
      <w:r w:rsidRPr="00687C21">
        <w:rPr>
          <w:color w:val="000000" w:themeColor="text1"/>
          <w:sz w:val="20"/>
          <w:szCs w:val="20"/>
          <w:lang w:val="it-IT"/>
        </w:rPr>
        <w:t xml:space="preserve"> </w:t>
      </w:r>
      <w:r w:rsidRPr="00687C21">
        <w:rPr>
          <w:i/>
          <w:color w:val="000000" w:themeColor="text1"/>
          <w:sz w:val="20"/>
          <w:szCs w:val="20"/>
          <w:shd w:val="clear" w:color="auto" w:fill="FFFFFF"/>
          <w:lang w:val="it-IT"/>
        </w:rPr>
        <w:t>L</w:t>
      </w:r>
      <w:r w:rsidRPr="00687C21">
        <w:rPr>
          <w:bCs/>
          <w:i/>
          <w:color w:val="000000" w:themeColor="text1"/>
          <w:sz w:val="20"/>
          <w:szCs w:val="20"/>
          <w:shd w:val="clear" w:color="auto" w:fill="FFFFFF"/>
          <w:lang w:val="it-IT"/>
        </w:rPr>
        <w:t>egge</w:t>
      </w:r>
      <w:r w:rsidRPr="00687C21">
        <w:rPr>
          <w:bCs/>
          <w:color w:val="000000" w:themeColor="text1"/>
          <w:sz w:val="20"/>
          <w:szCs w:val="20"/>
          <w:shd w:val="clear" w:color="auto" w:fill="FFFFFF"/>
          <w:lang w:val="it-IT"/>
        </w:rPr>
        <w:t xml:space="preserve"> 7 August 1990, No 241</w:t>
      </w:r>
      <w:r w:rsidRPr="00687C21">
        <w:rPr>
          <w:rStyle w:val="apple-converted-space"/>
          <w:color w:val="000000" w:themeColor="text1"/>
          <w:sz w:val="20"/>
          <w:szCs w:val="20"/>
          <w:shd w:val="clear" w:color="auto" w:fill="FFFFFF"/>
          <w:lang w:val="it-IT"/>
        </w:rPr>
        <w:t> </w:t>
      </w:r>
      <w:r w:rsidRPr="00687C21">
        <w:rPr>
          <w:i/>
          <w:iCs/>
          <w:color w:val="000000" w:themeColor="text1"/>
          <w:sz w:val="20"/>
          <w:szCs w:val="20"/>
          <w:shd w:val="clear" w:color="auto" w:fill="FFFFFF"/>
          <w:lang w:val="it-IT"/>
        </w:rPr>
        <w:t>Nuove norme in materia di procedimento amministrativo e di diritto di accesso ai documenti amministrativi</w:t>
      </w:r>
      <w:r w:rsidRPr="00687C21">
        <w:rPr>
          <w:iCs/>
          <w:color w:val="000000" w:themeColor="text1"/>
          <w:sz w:val="20"/>
          <w:szCs w:val="20"/>
          <w:shd w:val="clear" w:color="auto" w:fill="FFFFFF"/>
          <w:lang w:val="it-IT"/>
        </w:rPr>
        <w:t xml:space="preserve"> (hereinafter ‘Administrative Procedure Act’)</w:t>
      </w:r>
      <w:r w:rsidRPr="00687C21">
        <w:rPr>
          <w:rStyle w:val="apple-converted-space"/>
          <w:color w:val="000000" w:themeColor="text1"/>
          <w:sz w:val="20"/>
          <w:szCs w:val="20"/>
          <w:shd w:val="clear" w:color="auto" w:fill="FFFFFF"/>
          <w:lang w:val="it-IT"/>
        </w:rPr>
        <w:t xml:space="preserve">, Articles 22-28. </w:t>
      </w:r>
      <w:r w:rsidRPr="00687C21">
        <w:rPr>
          <w:rStyle w:val="apple-converted-space"/>
          <w:i/>
          <w:color w:val="000000" w:themeColor="text1"/>
          <w:sz w:val="20"/>
          <w:szCs w:val="20"/>
          <w:shd w:val="clear" w:color="auto" w:fill="FFFFFF"/>
          <w:lang w:val="it-IT"/>
        </w:rPr>
        <w:t>Decreto del Presidente della Repubblica</w:t>
      </w:r>
      <w:r w:rsidRPr="00687C21">
        <w:rPr>
          <w:rStyle w:val="apple-converted-space"/>
          <w:color w:val="000000" w:themeColor="text1"/>
          <w:sz w:val="20"/>
          <w:szCs w:val="20"/>
          <w:shd w:val="clear" w:color="auto" w:fill="FFFFFF"/>
          <w:lang w:val="it-IT"/>
        </w:rPr>
        <w:t xml:space="preserve"> 12 April 2006, No 184 </w:t>
      </w:r>
      <w:r w:rsidRPr="00687C21">
        <w:rPr>
          <w:bCs/>
          <w:i/>
          <w:color w:val="000000" w:themeColor="text1"/>
          <w:sz w:val="20"/>
          <w:szCs w:val="20"/>
          <w:shd w:val="clear" w:color="auto" w:fill="F5FDFE"/>
          <w:lang w:val="it-IT"/>
        </w:rPr>
        <w:t>Regolamento recante disciplina in materia di accesso ai documenti amministrativi.</w:t>
      </w:r>
    </w:p>
  </w:footnote>
  <w:footnote w:id="279">
    <w:p w14:paraId="4082861E" w14:textId="7A283AE4" w:rsidR="00BB5B8C" w:rsidRPr="00687C21" w:rsidRDefault="00BB5B8C" w:rsidP="00687C21">
      <w:pPr>
        <w:pStyle w:val="FootnoteText"/>
        <w:contextualSpacing/>
        <w:mirrorIndents/>
        <w:jc w:val="both"/>
        <w:rPr>
          <w:color w:val="000000" w:themeColor="text1"/>
          <w:sz w:val="20"/>
          <w:szCs w:val="20"/>
        </w:rPr>
      </w:pPr>
      <w:r w:rsidRPr="00687C21">
        <w:rPr>
          <w:rStyle w:val="FootnoteReference"/>
          <w:color w:val="000000" w:themeColor="text1"/>
          <w:sz w:val="20"/>
          <w:szCs w:val="20"/>
        </w:rPr>
        <w:footnoteRef/>
      </w:r>
      <w:r w:rsidRPr="00687C21">
        <w:rPr>
          <w:color w:val="000000" w:themeColor="text1"/>
          <w:sz w:val="20"/>
          <w:szCs w:val="20"/>
        </w:rPr>
        <w:t xml:space="preserve"> </w:t>
      </w:r>
      <w:r w:rsidRPr="00687C21">
        <w:rPr>
          <w:iCs/>
          <w:color w:val="000000" w:themeColor="text1"/>
          <w:sz w:val="20"/>
          <w:szCs w:val="20"/>
          <w:shd w:val="clear" w:color="auto" w:fill="FFFFFF"/>
        </w:rPr>
        <w:t xml:space="preserve">Administrative Procedure Act, </w:t>
      </w:r>
      <w:r w:rsidRPr="00687C21">
        <w:rPr>
          <w:color w:val="000000" w:themeColor="text1"/>
          <w:sz w:val="20"/>
          <w:szCs w:val="20"/>
        </w:rPr>
        <w:t>art 22(1)(a).</w:t>
      </w:r>
    </w:p>
  </w:footnote>
  <w:footnote w:id="280">
    <w:p w14:paraId="033F77B2" w14:textId="51DD0B6D" w:rsidR="00BB5B8C" w:rsidRPr="00687C21" w:rsidRDefault="00BB5B8C" w:rsidP="00687C21">
      <w:pPr>
        <w:pStyle w:val="FootnoteText"/>
        <w:contextualSpacing/>
        <w:mirrorIndents/>
        <w:jc w:val="both"/>
        <w:rPr>
          <w:color w:val="000000" w:themeColor="text1"/>
          <w:sz w:val="20"/>
          <w:szCs w:val="20"/>
          <w:lang w:val="it-IT"/>
        </w:rPr>
      </w:pPr>
      <w:r w:rsidRPr="00687C21">
        <w:rPr>
          <w:rStyle w:val="FootnoteReference"/>
          <w:color w:val="000000" w:themeColor="text1"/>
          <w:sz w:val="20"/>
          <w:szCs w:val="20"/>
        </w:rPr>
        <w:footnoteRef/>
      </w:r>
      <w:r w:rsidRPr="00687C21">
        <w:rPr>
          <w:rStyle w:val="FootnoteReference"/>
          <w:color w:val="000000" w:themeColor="text1"/>
          <w:sz w:val="20"/>
          <w:szCs w:val="20"/>
        </w:rPr>
        <w:t xml:space="preserve"> </w:t>
      </w:r>
      <w:r w:rsidRPr="00687C21">
        <w:rPr>
          <w:color w:val="000000" w:themeColor="text1"/>
          <w:sz w:val="20"/>
          <w:szCs w:val="20"/>
        </w:rPr>
        <w:t xml:space="preserve">Administrative documents are defined in a very broad way, that is “every graphical, photographical, electromagnetic representation (or any other kind of representation) of the content of documents - be they even internal or not related to a specific administrative procedure – which are in the possession of a public body and concern public interest activities, being immaterial the public or private nature of the relevant regime” (Administrative Procedure Act, art 22(1)(d)). </w:t>
      </w:r>
      <w:r w:rsidRPr="00687C21">
        <w:rPr>
          <w:color w:val="000000" w:themeColor="text1"/>
          <w:sz w:val="20"/>
          <w:szCs w:val="20"/>
          <w:lang w:val="it-IT"/>
        </w:rPr>
        <w:t xml:space="preserve">For an even broader definition see </w:t>
      </w:r>
      <w:r w:rsidRPr="00687C21">
        <w:rPr>
          <w:i/>
          <w:color w:val="000000" w:themeColor="text1"/>
          <w:sz w:val="20"/>
          <w:szCs w:val="20"/>
          <w:lang w:val="it-IT"/>
        </w:rPr>
        <w:t>Decreto del Presidente della Repubblica</w:t>
      </w:r>
      <w:r w:rsidRPr="00687C21">
        <w:rPr>
          <w:color w:val="000000" w:themeColor="text1"/>
          <w:sz w:val="20"/>
          <w:szCs w:val="20"/>
          <w:lang w:val="it-IT"/>
        </w:rPr>
        <w:t xml:space="preserve"> 28 December 2000, No 445 </w:t>
      </w:r>
      <w:r w:rsidRPr="00687C21">
        <w:rPr>
          <w:i/>
          <w:color w:val="000000" w:themeColor="text1"/>
          <w:sz w:val="20"/>
          <w:szCs w:val="20"/>
          <w:lang w:val="it-IT"/>
        </w:rPr>
        <w:t>Testo unico delle disposizioni legislative e regolamentari in materia di documentazione amministrativa</w:t>
      </w:r>
      <w:r w:rsidRPr="00687C21">
        <w:rPr>
          <w:color w:val="000000" w:themeColor="text1"/>
          <w:sz w:val="20"/>
          <w:szCs w:val="20"/>
          <w:lang w:val="it-IT"/>
        </w:rPr>
        <w:t>, art 1(1)(b).</w:t>
      </w:r>
    </w:p>
  </w:footnote>
  <w:footnote w:id="281">
    <w:p w14:paraId="34DF95BF" w14:textId="02A15C4C" w:rsidR="00BB5B8C" w:rsidRPr="00687C21" w:rsidRDefault="00BB5B8C" w:rsidP="00687C21">
      <w:pPr>
        <w:pStyle w:val="FootnoteText"/>
        <w:contextualSpacing/>
        <w:mirrorIndents/>
        <w:jc w:val="both"/>
        <w:rPr>
          <w:color w:val="000000" w:themeColor="text1"/>
          <w:sz w:val="20"/>
          <w:szCs w:val="20"/>
          <w:lang w:val="it-IT"/>
        </w:rPr>
      </w:pPr>
      <w:r w:rsidRPr="00687C21">
        <w:rPr>
          <w:rStyle w:val="FootnoteReference"/>
          <w:color w:val="000000" w:themeColor="text1"/>
          <w:sz w:val="20"/>
          <w:szCs w:val="20"/>
        </w:rPr>
        <w:footnoteRef/>
      </w:r>
      <w:r w:rsidRPr="00687C21">
        <w:rPr>
          <w:color w:val="000000" w:themeColor="text1"/>
          <w:sz w:val="20"/>
          <w:szCs w:val="20"/>
        </w:rPr>
        <w:t xml:space="preserve"> </w:t>
      </w:r>
      <w:r w:rsidRPr="00687C21">
        <w:rPr>
          <w:iCs/>
          <w:color w:val="000000" w:themeColor="text1"/>
          <w:sz w:val="20"/>
          <w:szCs w:val="20"/>
          <w:shd w:val="clear" w:color="auto" w:fill="FFFFFF"/>
        </w:rPr>
        <w:t>Administrative Procedure Act,</w:t>
      </w:r>
      <w:r w:rsidRPr="00687C21">
        <w:rPr>
          <w:color w:val="000000" w:themeColor="text1"/>
          <w:sz w:val="20"/>
          <w:szCs w:val="20"/>
        </w:rPr>
        <w:t xml:space="preserve"> art 24(6)(d). </w:t>
      </w:r>
      <w:r w:rsidRPr="00687C21">
        <w:rPr>
          <w:color w:val="000000" w:themeColor="text1"/>
          <w:sz w:val="20"/>
          <w:szCs w:val="20"/>
          <w:lang w:val="it-IT"/>
        </w:rPr>
        <w:t xml:space="preserve">See, for instance, </w:t>
      </w:r>
      <w:r w:rsidRPr="00687C21">
        <w:rPr>
          <w:i/>
          <w:color w:val="000000" w:themeColor="text1"/>
          <w:sz w:val="20"/>
          <w:szCs w:val="20"/>
          <w:lang w:val="it-IT"/>
        </w:rPr>
        <w:t>Regolamento del Comune di Salerno sull’accesso agli atti e sulla tutela della riservatezza dei dati contenuti in archivi e banche dati comunali</w:t>
      </w:r>
      <w:r w:rsidRPr="00687C21">
        <w:rPr>
          <w:color w:val="000000" w:themeColor="text1"/>
          <w:sz w:val="20"/>
          <w:szCs w:val="20"/>
          <w:lang w:val="it-IT"/>
        </w:rPr>
        <w:t>, art 5(2)(m).</w:t>
      </w:r>
    </w:p>
  </w:footnote>
  <w:footnote w:id="282">
    <w:p w14:paraId="00808F11" w14:textId="77777777" w:rsidR="00BB5B8C" w:rsidRPr="00687C21" w:rsidRDefault="00BB5B8C" w:rsidP="00687C21">
      <w:pPr>
        <w:pStyle w:val="FootnoteText"/>
        <w:contextualSpacing/>
        <w:mirrorIndents/>
        <w:jc w:val="both"/>
        <w:rPr>
          <w:color w:val="000000" w:themeColor="text1"/>
          <w:sz w:val="20"/>
          <w:szCs w:val="20"/>
          <w:lang w:val="it-IT"/>
        </w:rPr>
      </w:pPr>
      <w:r w:rsidRPr="00687C21">
        <w:rPr>
          <w:rStyle w:val="FootnoteReference"/>
          <w:color w:val="000000" w:themeColor="text1"/>
          <w:sz w:val="20"/>
          <w:szCs w:val="20"/>
        </w:rPr>
        <w:footnoteRef/>
      </w:r>
      <w:r w:rsidRPr="00687C21">
        <w:rPr>
          <w:color w:val="000000" w:themeColor="text1"/>
          <w:sz w:val="20"/>
          <w:szCs w:val="20"/>
          <w:lang w:val="it-IT"/>
        </w:rPr>
        <w:t xml:space="preserve"> </w:t>
      </w:r>
      <w:r w:rsidRPr="00687C21">
        <w:rPr>
          <w:color w:val="000000" w:themeColor="text1"/>
          <w:sz w:val="20"/>
          <w:szCs w:val="20"/>
          <w:shd w:val="clear" w:color="auto" w:fill="FFFFFF"/>
          <w:lang w:val="it-IT"/>
        </w:rPr>
        <w:t xml:space="preserve">Consiglio di Stato, chamber V, 28 September 2007, No 4999; Consiglio di Stato, chamber VI, 20 April 2006, No 2223; Consiglio di Stato, plenary session, </w:t>
      </w:r>
      <w:r w:rsidRPr="00687C21">
        <w:rPr>
          <w:iCs/>
          <w:color w:val="000000" w:themeColor="text1"/>
          <w:sz w:val="20"/>
          <w:szCs w:val="20"/>
          <w:bdr w:val="none" w:sz="0" w:space="0" w:color="auto" w:frame="1"/>
          <w:shd w:val="clear" w:color="auto" w:fill="FFFFFF"/>
          <w:lang w:val="it-IT"/>
        </w:rPr>
        <w:t>18 April 2006, No 6.</w:t>
      </w:r>
    </w:p>
  </w:footnote>
  <w:footnote w:id="283">
    <w:p w14:paraId="5EFD3F03" w14:textId="77777777" w:rsidR="00BB5B8C" w:rsidRPr="00687C21" w:rsidRDefault="00BB5B8C" w:rsidP="00687C21">
      <w:pPr>
        <w:pStyle w:val="FootnoteText"/>
        <w:contextualSpacing/>
        <w:mirrorIndents/>
        <w:jc w:val="both"/>
        <w:rPr>
          <w:color w:val="000000" w:themeColor="text1"/>
          <w:sz w:val="20"/>
          <w:szCs w:val="20"/>
        </w:rPr>
      </w:pPr>
      <w:r w:rsidRPr="00687C21">
        <w:rPr>
          <w:rStyle w:val="FootnoteReference"/>
          <w:color w:val="000000" w:themeColor="text1"/>
          <w:sz w:val="20"/>
          <w:szCs w:val="20"/>
        </w:rPr>
        <w:footnoteRef/>
      </w:r>
      <w:r w:rsidRPr="00687C21">
        <w:rPr>
          <w:color w:val="000000" w:themeColor="text1"/>
          <w:sz w:val="20"/>
          <w:szCs w:val="20"/>
        </w:rPr>
        <w:t xml:space="preserve"> </w:t>
      </w:r>
      <w:r w:rsidRPr="00687C21">
        <w:rPr>
          <w:bCs/>
          <w:color w:val="000000" w:themeColor="text1"/>
          <w:sz w:val="20"/>
          <w:szCs w:val="20"/>
        </w:rPr>
        <w:t>TAR Toscana, chamber I, 10 February 2017, No 200.</w:t>
      </w:r>
    </w:p>
  </w:footnote>
  <w:footnote w:id="284">
    <w:p w14:paraId="34674D01" w14:textId="5AD2206F" w:rsidR="00BB5B8C" w:rsidRPr="00687C21" w:rsidRDefault="00BB5B8C" w:rsidP="00687C21">
      <w:pPr>
        <w:pStyle w:val="FootnoteText"/>
        <w:contextualSpacing/>
        <w:mirrorIndents/>
        <w:jc w:val="both"/>
        <w:rPr>
          <w:color w:val="000000" w:themeColor="text1"/>
          <w:sz w:val="20"/>
          <w:szCs w:val="20"/>
          <w:lang w:val="it-IT"/>
        </w:rPr>
      </w:pPr>
      <w:r w:rsidRPr="00687C21">
        <w:rPr>
          <w:rStyle w:val="FootnoteReference"/>
          <w:color w:val="000000" w:themeColor="text1"/>
          <w:sz w:val="20"/>
          <w:szCs w:val="20"/>
        </w:rPr>
        <w:footnoteRef/>
      </w:r>
      <w:r w:rsidRPr="00687C21">
        <w:rPr>
          <w:color w:val="000000" w:themeColor="text1"/>
          <w:sz w:val="20"/>
          <w:szCs w:val="20"/>
          <w:lang w:val="it-IT"/>
        </w:rPr>
        <w:t xml:space="preserve"> D</w:t>
      </w:r>
      <w:r w:rsidRPr="00687C21">
        <w:rPr>
          <w:color w:val="000000" w:themeColor="text1"/>
          <w:sz w:val="20"/>
          <w:szCs w:val="20"/>
          <w:shd w:val="clear" w:color="auto" w:fill="FFFFFF"/>
          <w:lang w:val="it-IT"/>
        </w:rPr>
        <w:t xml:space="preserve">ecreto legislativo 30 June 2003, No 196, </w:t>
      </w:r>
      <w:r w:rsidRPr="00687C21">
        <w:rPr>
          <w:i/>
          <w:color w:val="000000" w:themeColor="text1"/>
          <w:sz w:val="20"/>
          <w:szCs w:val="20"/>
          <w:lang w:val="it-IT"/>
        </w:rPr>
        <w:t>Codice in materia di protezione dei dati personali</w:t>
      </w:r>
      <w:r w:rsidRPr="00687C21">
        <w:rPr>
          <w:color w:val="000000" w:themeColor="text1"/>
          <w:sz w:val="20"/>
          <w:szCs w:val="20"/>
          <w:lang w:val="it-IT"/>
        </w:rPr>
        <w:t xml:space="preserve"> (Privacy Code).</w:t>
      </w:r>
    </w:p>
  </w:footnote>
  <w:footnote w:id="285">
    <w:p w14:paraId="7A01E86A" w14:textId="26AC58E0" w:rsidR="00BB5B8C" w:rsidRPr="00687C21" w:rsidRDefault="00BB5B8C" w:rsidP="00687C21">
      <w:pPr>
        <w:pStyle w:val="FootnoteText"/>
        <w:contextualSpacing/>
        <w:mirrorIndents/>
        <w:jc w:val="both"/>
        <w:rPr>
          <w:color w:val="000000" w:themeColor="text1"/>
          <w:sz w:val="20"/>
          <w:szCs w:val="20"/>
        </w:rPr>
      </w:pPr>
      <w:r w:rsidRPr="00687C21">
        <w:rPr>
          <w:rStyle w:val="FootnoteReference"/>
          <w:color w:val="000000" w:themeColor="text1"/>
          <w:sz w:val="20"/>
          <w:szCs w:val="20"/>
        </w:rPr>
        <w:footnoteRef/>
      </w:r>
      <w:r w:rsidRPr="00687C21">
        <w:rPr>
          <w:color w:val="000000" w:themeColor="text1"/>
          <w:sz w:val="20"/>
          <w:szCs w:val="20"/>
        </w:rPr>
        <w:t xml:space="preserve"> Privacy Code, art 59. </w:t>
      </w:r>
    </w:p>
  </w:footnote>
  <w:footnote w:id="286">
    <w:p w14:paraId="0D18C6B8" w14:textId="317333D7" w:rsidR="00BB5B8C" w:rsidRPr="00687C21" w:rsidRDefault="00BB5B8C" w:rsidP="00687C21">
      <w:pPr>
        <w:pStyle w:val="FootnoteText"/>
        <w:jc w:val="both"/>
        <w:rPr>
          <w:color w:val="000000" w:themeColor="text1"/>
          <w:sz w:val="20"/>
          <w:szCs w:val="20"/>
        </w:rPr>
      </w:pPr>
      <w:r w:rsidRPr="00687C21">
        <w:rPr>
          <w:rStyle w:val="FootnoteReference"/>
          <w:color w:val="000000" w:themeColor="text1"/>
          <w:sz w:val="20"/>
          <w:szCs w:val="20"/>
        </w:rPr>
        <w:footnoteRef/>
      </w:r>
      <w:r w:rsidRPr="00687C21">
        <w:rPr>
          <w:color w:val="000000" w:themeColor="text1"/>
          <w:sz w:val="20"/>
          <w:szCs w:val="20"/>
        </w:rPr>
        <w:t xml:space="preserve"> By personality rights, it is meant rights, such as life and honor, that are absolute and refer to fundamental aspects of the human being. This is a civil law notion, which should not be confused with the common law one, where personality rights are the rights to control the commercial use of one’s own name or other aspects of one’s identity (name, likeness, etc.). </w:t>
      </w:r>
    </w:p>
  </w:footnote>
  <w:footnote w:id="287">
    <w:p w14:paraId="363E2E88" w14:textId="2D2DC45D" w:rsidR="00BB5B8C" w:rsidRPr="00687C21" w:rsidRDefault="00BB5B8C" w:rsidP="00687C21">
      <w:pPr>
        <w:pStyle w:val="FootnoteText"/>
        <w:contextualSpacing/>
        <w:mirrorIndents/>
        <w:jc w:val="both"/>
        <w:rPr>
          <w:color w:val="000000" w:themeColor="text1"/>
          <w:sz w:val="20"/>
          <w:szCs w:val="20"/>
          <w:lang w:val="it-IT"/>
        </w:rPr>
      </w:pPr>
      <w:r w:rsidRPr="00687C21">
        <w:rPr>
          <w:rStyle w:val="FootnoteReference"/>
          <w:color w:val="000000" w:themeColor="text1"/>
          <w:sz w:val="20"/>
          <w:szCs w:val="20"/>
        </w:rPr>
        <w:footnoteRef/>
      </w:r>
      <w:r w:rsidRPr="00687C21">
        <w:rPr>
          <w:color w:val="000000" w:themeColor="text1"/>
          <w:sz w:val="20"/>
          <w:szCs w:val="20"/>
          <w:lang w:val="it-IT"/>
        </w:rPr>
        <w:t xml:space="preserve"> Privacy Code, art 60.</w:t>
      </w:r>
    </w:p>
  </w:footnote>
  <w:footnote w:id="288">
    <w:p w14:paraId="49239FDA" w14:textId="2D25ADAE" w:rsidR="00BB5B8C" w:rsidRPr="00687C21" w:rsidRDefault="00BB5B8C" w:rsidP="00687C21">
      <w:pPr>
        <w:pStyle w:val="FootnoteText"/>
        <w:jc w:val="both"/>
        <w:rPr>
          <w:color w:val="000000" w:themeColor="text1"/>
          <w:sz w:val="20"/>
          <w:szCs w:val="20"/>
        </w:rPr>
      </w:pPr>
      <w:r w:rsidRPr="00687C21">
        <w:rPr>
          <w:rStyle w:val="FootnoteReference"/>
          <w:color w:val="000000" w:themeColor="text1"/>
          <w:sz w:val="20"/>
          <w:szCs w:val="20"/>
        </w:rPr>
        <w:footnoteRef/>
      </w:r>
      <w:r w:rsidRPr="00687C21">
        <w:rPr>
          <w:color w:val="000000" w:themeColor="text1"/>
          <w:sz w:val="20"/>
          <w:szCs w:val="20"/>
        </w:rPr>
        <w:t xml:space="preserve"> </w:t>
      </w:r>
      <w:r w:rsidR="00223F3D" w:rsidRPr="00687C21">
        <w:rPr>
          <w:color w:val="000000" w:themeColor="text1"/>
          <w:sz w:val="20"/>
          <w:szCs w:val="20"/>
          <w:shd w:val="clear" w:color="auto" w:fill="FFFFFF"/>
          <w:lang w:val="it-IT"/>
        </w:rPr>
        <w:t>Draft GDPR implementing decree, art 55.</w:t>
      </w:r>
    </w:p>
  </w:footnote>
  <w:footnote w:id="289">
    <w:p w14:paraId="0A8BF359" w14:textId="77777777" w:rsidR="00BB5B8C" w:rsidRPr="00687C21" w:rsidRDefault="00BB5B8C" w:rsidP="00687C21">
      <w:pPr>
        <w:pStyle w:val="FootnoteText"/>
        <w:contextualSpacing/>
        <w:mirrorIndents/>
        <w:jc w:val="both"/>
        <w:rPr>
          <w:color w:val="000000" w:themeColor="text1"/>
          <w:sz w:val="20"/>
          <w:szCs w:val="20"/>
          <w:lang w:val="it-IT"/>
        </w:rPr>
      </w:pPr>
      <w:r w:rsidRPr="00687C21">
        <w:rPr>
          <w:rStyle w:val="FootnoteReference"/>
          <w:color w:val="000000" w:themeColor="text1"/>
          <w:sz w:val="20"/>
          <w:szCs w:val="20"/>
        </w:rPr>
        <w:footnoteRef/>
      </w:r>
      <w:r w:rsidRPr="00687C21">
        <w:rPr>
          <w:color w:val="000000" w:themeColor="text1"/>
          <w:sz w:val="20"/>
          <w:szCs w:val="20"/>
          <w:lang w:val="it-IT"/>
        </w:rPr>
        <w:t xml:space="preserve"> </w:t>
      </w:r>
      <w:bookmarkStart w:id="2" w:name="inizio"/>
      <w:r w:rsidRPr="00687C21">
        <w:rPr>
          <w:i/>
          <w:color w:val="000000" w:themeColor="text1"/>
          <w:sz w:val="20"/>
          <w:szCs w:val="20"/>
          <w:shd w:val="clear" w:color="auto" w:fill="FFFFFF"/>
          <w:lang w:val="it-IT"/>
        </w:rPr>
        <w:t>Decreto legislativo</w:t>
      </w:r>
      <w:bookmarkEnd w:id="2"/>
      <w:r w:rsidRPr="00687C21">
        <w:rPr>
          <w:color w:val="000000" w:themeColor="text1"/>
          <w:sz w:val="20"/>
          <w:szCs w:val="20"/>
          <w:shd w:val="clear" w:color="auto" w:fill="FFFFFF"/>
          <w:lang w:val="it-IT"/>
        </w:rPr>
        <w:t> 14 March 2013, No 33 </w:t>
      </w:r>
      <w:r w:rsidRPr="00687C21">
        <w:rPr>
          <w:i/>
          <w:color w:val="000000" w:themeColor="text1"/>
          <w:sz w:val="20"/>
          <w:szCs w:val="20"/>
          <w:shd w:val="clear" w:color="auto" w:fill="FFFFFF"/>
          <w:lang w:val="it-IT"/>
        </w:rPr>
        <w:t>Riordino della disciplina riguardante il diritto di accesso civico e gli obblighi di pubblicità, trasparenza e diffusione di informazioni da parte delle pubbliche amministrazioni</w:t>
      </w:r>
      <w:r w:rsidRPr="00687C21">
        <w:rPr>
          <w:color w:val="000000" w:themeColor="text1"/>
          <w:sz w:val="20"/>
          <w:szCs w:val="20"/>
          <w:shd w:val="clear" w:color="auto" w:fill="FFFFFF"/>
          <w:lang w:val="it-IT"/>
        </w:rPr>
        <w:t xml:space="preserve"> (Citizen Access Act), as amended by the </w:t>
      </w:r>
      <w:r w:rsidRPr="00687C21">
        <w:rPr>
          <w:i/>
          <w:color w:val="000000" w:themeColor="text1"/>
          <w:sz w:val="20"/>
          <w:szCs w:val="20"/>
          <w:shd w:val="clear" w:color="auto" w:fill="FFFFFF"/>
          <w:lang w:val="it-IT"/>
        </w:rPr>
        <w:t>Decreto legislativo</w:t>
      </w:r>
      <w:r w:rsidRPr="00687C21">
        <w:rPr>
          <w:color w:val="000000" w:themeColor="text1"/>
          <w:sz w:val="20"/>
          <w:szCs w:val="20"/>
          <w:shd w:val="clear" w:color="auto" w:fill="FFFFFF"/>
          <w:lang w:val="it-IT"/>
        </w:rPr>
        <w:t xml:space="preserve"> 25 May 2016, No 97 </w:t>
      </w:r>
      <w:r w:rsidRPr="00687C21">
        <w:rPr>
          <w:i/>
          <w:color w:val="000000" w:themeColor="text1"/>
          <w:sz w:val="20"/>
          <w:szCs w:val="20"/>
          <w:shd w:val="clear" w:color="auto" w:fill="FFFFFF"/>
          <w:lang w:val="it-IT"/>
        </w:rPr>
        <w:t>Revisione e semplificazione delle disposizioni in materia di prevenzione della corruzione, pubblicità e trasparenza, correttivo della legge 6 novembre 2012, n. 190 e del decreto legislativo 14 marzo 2013, n. 33, ai sensi dell'articolo 7 della legge 7 agosto 2015, n. 124, in materia di riorganizzazione delle amministrazioni pubbliche</w:t>
      </w:r>
      <w:r w:rsidRPr="00687C21">
        <w:rPr>
          <w:color w:val="000000" w:themeColor="text1"/>
          <w:sz w:val="20"/>
          <w:szCs w:val="20"/>
          <w:shd w:val="clear" w:color="auto" w:fill="FFFFFF"/>
          <w:lang w:val="it-IT"/>
        </w:rPr>
        <w:t xml:space="preserve"> (Prevention of Corruption Act).</w:t>
      </w:r>
    </w:p>
  </w:footnote>
  <w:footnote w:id="290">
    <w:p w14:paraId="36034BF0" w14:textId="526D3962" w:rsidR="00BB5B8C" w:rsidRPr="00687C21" w:rsidRDefault="00BB5B8C" w:rsidP="00687C21">
      <w:pPr>
        <w:pStyle w:val="FootnoteText"/>
        <w:contextualSpacing/>
        <w:mirrorIndents/>
        <w:jc w:val="both"/>
        <w:rPr>
          <w:color w:val="000000" w:themeColor="text1"/>
          <w:sz w:val="20"/>
          <w:szCs w:val="20"/>
        </w:rPr>
      </w:pPr>
      <w:r w:rsidRPr="00687C21">
        <w:rPr>
          <w:rStyle w:val="FootnoteReference"/>
          <w:color w:val="000000" w:themeColor="text1"/>
          <w:sz w:val="20"/>
          <w:szCs w:val="20"/>
        </w:rPr>
        <w:footnoteRef/>
      </w:r>
      <w:r w:rsidRPr="00687C21">
        <w:rPr>
          <w:color w:val="000000" w:themeColor="text1"/>
          <w:sz w:val="20"/>
          <w:szCs w:val="20"/>
        </w:rPr>
        <w:t xml:space="preserve"> Citizen Access Act, art 5(1).</w:t>
      </w:r>
    </w:p>
  </w:footnote>
  <w:footnote w:id="291">
    <w:p w14:paraId="37850F47" w14:textId="77777777" w:rsidR="00BB5B8C" w:rsidRPr="00687C21" w:rsidRDefault="00BB5B8C" w:rsidP="00687C21">
      <w:pPr>
        <w:pStyle w:val="FootnoteText"/>
        <w:contextualSpacing/>
        <w:mirrorIndents/>
        <w:jc w:val="both"/>
        <w:rPr>
          <w:color w:val="000000" w:themeColor="text1"/>
          <w:sz w:val="20"/>
          <w:szCs w:val="20"/>
        </w:rPr>
      </w:pPr>
      <w:r w:rsidRPr="00687C21">
        <w:rPr>
          <w:rStyle w:val="FootnoteReference"/>
          <w:color w:val="000000" w:themeColor="text1"/>
          <w:sz w:val="20"/>
          <w:szCs w:val="20"/>
        </w:rPr>
        <w:footnoteRef/>
      </w:r>
      <w:r w:rsidRPr="00687C21">
        <w:rPr>
          <w:color w:val="000000" w:themeColor="text1"/>
          <w:sz w:val="20"/>
          <w:szCs w:val="20"/>
        </w:rPr>
        <w:t xml:space="preserve"> Unless the public body proves that there was no obligation to publish or that the document, information or data is already published.</w:t>
      </w:r>
    </w:p>
  </w:footnote>
  <w:footnote w:id="292">
    <w:p w14:paraId="06A7EF83" w14:textId="5E1A5436" w:rsidR="00BB5B8C" w:rsidRPr="00687C21" w:rsidRDefault="00BB5B8C" w:rsidP="00687C21">
      <w:pPr>
        <w:pStyle w:val="FootnoteText"/>
        <w:contextualSpacing/>
        <w:mirrorIndents/>
        <w:jc w:val="both"/>
        <w:rPr>
          <w:color w:val="000000" w:themeColor="text1"/>
          <w:sz w:val="20"/>
          <w:szCs w:val="20"/>
        </w:rPr>
      </w:pPr>
      <w:r w:rsidRPr="00687C21">
        <w:rPr>
          <w:rStyle w:val="FootnoteReference"/>
          <w:color w:val="000000" w:themeColor="text1"/>
          <w:sz w:val="20"/>
          <w:szCs w:val="20"/>
        </w:rPr>
        <w:footnoteRef/>
      </w:r>
      <w:r w:rsidRPr="00687C21">
        <w:rPr>
          <w:color w:val="000000" w:themeColor="text1"/>
          <w:sz w:val="20"/>
          <w:szCs w:val="20"/>
        </w:rPr>
        <w:t xml:space="preserve"> Citizen Access Act, art 5(2).</w:t>
      </w:r>
    </w:p>
  </w:footnote>
  <w:footnote w:id="293">
    <w:p w14:paraId="739C2A76" w14:textId="2246935F" w:rsidR="00BB5B8C" w:rsidRPr="00687C21" w:rsidRDefault="00BB5B8C" w:rsidP="00687C21">
      <w:pPr>
        <w:pStyle w:val="FootnoteText"/>
        <w:contextualSpacing/>
        <w:mirrorIndents/>
        <w:jc w:val="both"/>
        <w:rPr>
          <w:color w:val="000000" w:themeColor="text1"/>
          <w:sz w:val="20"/>
          <w:szCs w:val="20"/>
        </w:rPr>
      </w:pPr>
      <w:r w:rsidRPr="00687C21">
        <w:rPr>
          <w:rStyle w:val="FootnoteReference"/>
          <w:color w:val="000000" w:themeColor="text1"/>
          <w:sz w:val="20"/>
          <w:szCs w:val="20"/>
        </w:rPr>
        <w:footnoteRef/>
      </w:r>
      <w:r w:rsidRPr="00687C21">
        <w:rPr>
          <w:color w:val="000000" w:themeColor="text1"/>
          <w:sz w:val="20"/>
          <w:szCs w:val="20"/>
        </w:rPr>
        <w:t xml:space="preserve"> Most European jurisdictions have similar provisions. In the UK, the Freedom of Information Act 2000, that covers all recorded information held by a public authority (Information Commissioner’s Office, </w:t>
      </w:r>
      <w:r w:rsidRPr="00687C21">
        <w:rPr>
          <w:i/>
          <w:color w:val="000000" w:themeColor="text1"/>
          <w:sz w:val="20"/>
          <w:szCs w:val="20"/>
        </w:rPr>
        <w:t>Freedom of Information Act Awareness Guidance No. 12</w:t>
      </w:r>
      <w:r w:rsidRPr="00687C21">
        <w:rPr>
          <w:color w:val="000000" w:themeColor="text1"/>
          <w:sz w:val="20"/>
          <w:szCs w:val="20"/>
        </w:rPr>
        <w:t xml:space="preserve">). However, an access may be denied for a number of reasons, including trade secrets and other commercial interests (Freedom of Information Act 2000, Section 43). It is notable that, unlike other commercial interests, if the algorithm is covered by a trade secret, the access request </w:t>
      </w:r>
      <w:r w:rsidR="00486D6F">
        <w:rPr>
          <w:color w:val="000000" w:themeColor="text1"/>
          <w:sz w:val="20"/>
          <w:szCs w:val="20"/>
        </w:rPr>
        <w:t>may</w:t>
      </w:r>
      <w:r w:rsidRPr="00687C21">
        <w:rPr>
          <w:color w:val="000000" w:themeColor="text1"/>
          <w:sz w:val="20"/>
          <w:szCs w:val="20"/>
        </w:rPr>
        <w:t xml:space="preserve"> be denied without considering whether or not the release may cause harm (Information Commissioner’s Office, </w:t>
      </w:r>
      <w:r w:rsidRPr="00687C21">
        <w:rPr>
          <w:i/>
          <w:color w:val="000000" w:themeColor="text1"/>
          <w:sz w:val="20"/>
          <w:szCs w:val="20"/>
        </w:rPr>
        <w:t>Freedom of Information Act Awareness Guidance No. 5</w:t>
      </w:r>
      <w:r w:rsidRPr="00687C21">
        <w:rPr>
          <w:color w:val="000000" w:themeColor="text1"/>
          <w:sz w:val="20"/>
          <w:szCs w:val="20"/>
        </w:rPr>
        <w:t>).</w:t>
      </w:r>
    </w:p>
  </w:footnote>
  <w:footnote w:id="294">
    <w:p w14:paraId="4915E1B5" w14:textId="10C78649" w:rsidR="00BB5B8C" w:rsidRPr="00687C21" w:rsidRDefault="00BB5B8C" w:rsidP="00687C21">
      <w:pPr>
        <w:pStyle w:val="FootnoteText"/>
        <w:contextualSpacing/>
        <w:mirrorIndents/>
        <w:jc w:val="both"/>
        <w:rPr>
          <w:i/>
          <w:color w:val="000000" w:themeColor="text1"/>
          <w:sz w:val="20"/>
          <w:szCs w:val="20"/>
        </w:rPr>
      </w:pPr>
      <w:r w:rsidRPr="00687C21">
        <w:rPr>
          <w:rStyle w:val="FootnoteReference"/>
          <w:color w:val="000000" w:themeColor="text1"/>
          <w:sz w:val="20"/>
          <w:szCs w:val="20"/>
        </w:rPr>
        <w:footnoteRef/>
      </w:r>
      <w:r w:rsidRPr="00687C21">
        <w:rPr>
          <w:color w:val="000000" w:themeColor="text1"/>
          <w:sz w:val="20"/>
          <w:szCs w:val="20"/>
        </w:rPr>
        <w:t xml:space="preserve"> Citizen Access Act, art 5 </w:t>
      </w:r>
      <w:r w:rsidRPr="00687C21">
        <w:rPr>
          <w:i/>
          <w:color w:val="000000" w:themeColor="text1"/>
          <w:sz w:val="20"/>
          <w:szCs w:val="20"/>
        </w:rPr>
        <w:t>bis.</w:t>
      </w:r>
    </w:p>
  </w:footnote>
  <w:footnote w:id="295">
    <w:p w14:paraId="6780CBDF" w14:textId="69DF11D1" w:rsidR="00BB5B8C" w:rsidRPr="00687C21" w:rsidRDefault="00BB5B8C" w:rsidP="00687C21">
      <w:pPr>
        <w:pStyle w:val="FootnoteText"/>
        <w:contextualSpacing/>
        <w:mirrorIndents/>
        <w:jc w:val="both"/>
        <w:rPr>
          <w:color w:val="000000" w:themeColor="text1"/>
          <w:sz w:val="20"/>
          <w:szCs w:val="20"/>
        </w:rPr>
      </w:pPr>
      <w:r w:rsidRPr="00687C21">
        <w:rPr>
          <w:rStyle w:val="FootnoteReference"/>
          <w:color w:val="000000" w:themeColor="text1"/>
          <w:sz w:val="20"/>
          <w:szCs w:val="20"/>
        </w:rPr>
        <w:footnoteRef/>
      </w:r>
      <w:r w:rsidRPr="00687C21">
        <w:rPr>
          <w:color w:val="000000" w:themeColor="text1"/>
          <w:sz w:val="20"/>
          <w:szCs w:val="20"/>
        </w:rPr>
        <w:t xml:space="preserve"> Citizen Access Act, art 5 </w:t>
      </w:r>
      <w:r w:rsidRPr="00687C21">
        <w:rPr>
          <w:i/>
          <w:color w:val="000000" w:themeColor="text1"/>
          <w:sz w:val="20"/>
          <w:szCs w:val="20"/>
        </w:rPr>
        <w:t xml:space="preserve">bis </w:t>
      </w:r>
      <w:r w:rsidRPr="00687C21">
        <w:rPr>
          <w:color w:val="000000" w:themeColor="text1"/>
          <w:sz w:val="20"/>
          <w:szCs w:val="20"/>
        </w:rPr>
        <w:t>(2)(a).</w:t>
      </w:r>
    </w:p>
  </w:footnote>
  <w:footnote w:id="296">
    <w:p w14:paraId="531A1229" w14:textId="7F128FD7" w:rsidR="00BB5B8C" w:rsidRPr="00687C21" w:rsidRDefault="00BB5B8C" w:rsidP="00687C21">
      <w:pPr>
        <w:pStyle w:val="FootnoteText"/>
        <w:contextualSpacing/>
        <w:mirrorIndents/>
        <w:jc w:val="both"/>
        <w:rPr>
          <w:color w:val="000000" w:themeColor="text1"/>
          <w:sz w:val="20"/>
          <w:szCs w:val="20"/>
        </w:rPr>
      </w:pPr>
      <w:r w:rsidRPr="00687C21">
        <w:rPr>
          <w:rStyle w:val="FootnoteReference"/>
          <w:color w:val="000000" w:themeColor="text1"/>
          <w:sz w:val="20"/>
          <w:szCs w:val="20"/>
        </w:rPr>
        <w:footnoteRef/>
      </w:r>
      <w:r w:rsidRPr="00687C21">
        <w:rPr>
          <w:color w:val="000000" w:themeColor="text1"/>
          <w:sz w:val="20"/>
          <w:szCs w:val="20"/>
        </w:rPr>
        <w:t xml:space="preserve"> Citizen Access Act, art 5</w:t>
      </w:r>
      <w:r w:rsidRPr="00687C21">
        <w:rPr>
          <w:i/>
          <w:color w:val="000000" w:themeColor="text1"/>
          <w:sz w:val="20"/>
          <w:szCs w:val="20"/>
        </w:rPr>
        <w:t xml:space="preserve"> bis </w:t>
      </w:r>
      <w:r w:rsidRPr="00687C21">
        <w:rPr>
          <w:color w:val="000000" w:themeColor="text1"/>
          <w:sz w:val="20"/>
          <w:szCs w:val="20"/>
        </w:rPr>
        <w:t>(2)(c).</w:t>
      </w:r>
    </w:p>
  </w:footnote>
  <w:footnote w:id="297">
    <w:p w14:paraId="2A379B2B" w14:textId="77777777" w:rsidR="00BB5B8C" w:rsidRPr="00687C21" w:rsidRDefault="00BB5B8C" w:rsidP="00687C21">
      <w:pPr>
        <w:pStyle w:val="FootnoteText"/>
        <w:contextualSpacing/>
        <w:mirrorIndents/>
        <w:jc w:val="both"/>
        <w:rPr>
          <w:color w:val="000000" w:themeColor="text1"/>
          <w:sz w:val="20"/>
          <w:szCs w:val="20"/>
          <w:shd w:val="clear" w:color="auto" w:fill="FFFFFF"/>
          <w:lang w:val="it-IT"/>
        </w:rPr>
      </w:pPr>
      <w:r w:rsidRPr="00687C21">
        <w:rPr>
          <w:color w:val="000000" w:themeColor="text1"/>
          <w:sz w:val="20"/>
          <w:szCs w:val="20"/>
          <w:shd w:val="clear" w:color="auto" w:fill="FFFFFF"/>
        </w:rPr>
        <w:footnoteRef/>
      </w:r>
      <w:r w:rsidRPr="00687C21">
        <w:rPr>
          <w:color w:val="000000" w:themeColor="text1"/>
          <w:sz w:val="20"/>
          <w:szCs w:val="20"/>
          <w:shd w:val="clear" w:color="auto" w:fill="FFFFFF"/>
          <w:lang w:val="it-IT"/>
        </w:rPr>
        <w:t xml:space="preserve"> </w:t>
      </w:r>
      <w:r w:rsidRPr="00687C21">
        <w:rPr>
          <w:i/>
          <w:color w:val="000000" w:themeColor="text1"/>
          <w:sz w:val="20"/>
          <w:szCs w:val="20"/>
          <w:shd w:val="clear" w:color="auto" w:fill="FFFFFF"/>
          <w:lang w:val="it-IT"/>
        </w:rPr>
        <w:t>Decreto legislativo</w:t>
      </w:r>
      <w:r w:rsidRPr="00687C21">
        <w:rPr>
          <w:color w:val="000000" w:themeColor="text1"/>
          <w:sz w:val="20"/>
          <w:szCs w:val="20"/>
          <w:shd w:val="clear" w:color="auto" w:fill="FFFFFF"/>
          <w:lang w:val="it-IT"/>
        </w:rPr>
        <w:t xml:space="preserve"> 7 March 2005, No 82 </w:t>
      </w:r>
      <w:r w:rsidRPr="00687C21">
        <w:rPr>
          <w:i/>
          <w:color w:val="000000" w:themeColor="text1"/>
          <w:sz w:val="20"/>
          <w:szCs w:val="20"/>
          <w:shd w:val="clear" w:color="auto" w:fill="FFFFFF"/>
          <w:lang w:val="it-IT"/>
        </w:rPr>
        <w:t>Codice dell'amministrazione digitale</w:t>
      </w:r>
      <w:r w:rsidRPr="00687C21">
        <w:rPr>
          <w:color w:val="000000" w:themeColor="text1"/>
          <w:sz w:val="20"/>
          <w:szCs w:val="20"/>
          <w:shd w:val="clear" w:color="auto" w:fill="FFFFFF"/>
          <w:lang w:val="it-IT"/>
        </w:rPr>
        <w:t xml:space="preserve"> (Digital Administration Code), as amended by </w:t>
      </w:r>
      <w:r w:rsidRPr="00687C21">
        <w:rPr>
          <w:i/>
          <w:color w:val="000000" w:themeColor="text1"/>
          <w:sz w:val="20"/>
          <w:szCs w:val="20"/>
          <w:shd w:val="clear" w:color="auto" w:fill="FFFFFF"/>
          <w:lang w:val="it-IT"/>
        </w:rPr>
        <w:t>Decreto legislativo</w:t>
      </w:r>
      <w:r w:rsidRPr="00687C21">
        <w:rPr>
          <w:color w:val="000000" w:themeColor="text1"/>
          <w:sz w:val="20"/>
          <w:szCs w:val="20"/>
          <w:shd w:val="clear" w:color="auto" w:fill="FFFFFF"/>
          <w:lang w:val="it-IT"/>
        </w:rPr>
        <w:t xml:space="preserve"> 26 August 2016, No 179 </w:t>
      </w:r>
      <w:r w:rsidRPr="00687C21">
        <w:rPr>
          <w:i/>
          <w:color w:val="000000" w:themeColor="text1"/>
          <w:sz w:val="20"/>
          <w:szCs w:val="20"/>
          <w:shd w:val="clear" w:color="auto" w:fill="FFFFFF"/>
          <w:lang w:val="it-IT"/>
        </w:rPr>
        <w:t>recante “Modifiche e integrazioni al. Codice dell'amministrazione digitale, di cui al decreto legislativo 7 marzo 2005, n. 82, ai sensi dell'articolo 1 della legge 7 agosto 2015, n. 124, in materia di riorganizzazione delle amministrazioni pubbliche”</w:t>
      </w:r>
      <w:r w:rsidRPr="00687C21">
        <w:rPr>
          <w:color w:val="000000" w:themeColor="text1"/>
          <w:sz w:val="20"/>
          <w:szCs w:val="20"/>
          <w:shd w:val="clear" w:color="auto" w:fill="FFFFFF"/>
          <w:lang w:val="it-IT"/>
        </w:rPr>
        <w:t>.</w:t>
      </w:r>
    </w:p>
  </w:footnote>
  <w:footnote w:id="298">
    <w:p w14:paraId="32488628" w14:textId="5BC47E64" w:rsidR="00BB5B8C" w:rsidRPr="00687C21" w:rsidRDefault="00BB5B8C" w:rsidP="00687C21">
      <w:pPr>
        <w:pStyle w:val="FootnoteText"/>
        <w:contextualSpacing/>
        <w:mirrorIndents/>
        <w:jc w:val="both"/>
        <w:rPr>
          <w:color w:val="000000" w:themeColor="text1"/>
          <w:sz w:val="20"/>
          <w:szCs w:val="20"/>
        </w:rPr>
      </w:pPr>
      <w:r w:rsidRPr="00687C21">
        <w:rPr>
          <w:rStyle w:val="FootnoteReference"/>
          <w:color w:val="000000" w:themeColor="text1"/>
          <w:sz w:val="20"/>
          <w:szCs w:val="20"/>
        </w:rPr>
        <w:footnoteRef/>
      </w:r>
      <w:r w:rsidRPr="00687C21">
        <w:rPr>
          <w:color w:val="000000" w:themeColor="text1"/>
          <w:sz w:val="20"/>
          <w:szCs w:val="20"/>
        </w:rPr>
        <w:t xml:space="preserve"> Digital Administration Code, art 69(1).</w:t>
      </w:r>
    </w:p>
  </w:footnote>
  <w:footnote w:id="299">
    <w:p w14:paraId="234F7597" w14:textId="39FE243A" w:rsidR="00BB5B8C" w:rsidRPr="00687C21" w:rsidRDefault="00BB5B8C" w:rsidP="00687C21">
      <w:pPr>
        <w:pStyle w:val="FootnoteText"/>
        <w:contextualSpacing/>
        <w:mirrorIndents/>
        <w:jc w:val="both"/>
        <w:rPr>
          <w:color w:val="000000" w:themeColor="text1"/>
          <w:sz w:val="20"/>
          <w:szCs w:val="20"/>
        </w:rPr>
      </w:pPr>
      <w:r w:rsidRPr="00687C21">
        <w:rPr>
          <w:rStyle w:val="FootnoteReference"/>
          <w:color w:val="000000" w:themeColor="text1"/>
          <w:sz w:val="20"/>
          <w:szCs w:val="20"/>
        </w:rPr>
        <w:footnoteRef/>
      </w:r>
      <w:r w:rsidRPr="00687C21">
        <w:rPr>
          <w:color w:val="000000" w:themeColor="text1"/>
          <w:sz w:val="20"/>
          <w:szCs w:val="20"/>
        </w:rPr>
        <w:t xml:space="preserve"> Digital Administration Code, art 69(1). The wording is very vague; it is likely to refer primarily to all the documentation necessary to adapt the computer program to the applicant’s needs.</w:t>
      </w:r>
    </w:p>
  </w:footnote>
  <w:footnote w:id="300">
    <w:p w14:paraId="3A5ED927" w14:textId="2ADC33F6" w:rsidR="00BB5B8C" w:rsidRPr="00687C21" w:rsidRDefault="00BB5B8C" w:rsidP="00687C21">
      <w:pPr>
        <w:pStyle w:val="FootnoteText"/>
        <w:contextualSpacing/>
        <w:mirrorIndents/>
        <w:jc w:val="both"/>
        <w:rPr>
          <w:color w:val="000000" w:themeColor="text1"/>
          <w:sz w:val="20"/>
          <w:szCs w:val="20"/>
        </w:rPr>
      </w:pPr>
      <w:r w:rsidRPr="00687C21">
        <w:rPr>
          <w:rStyle w:val="FootnoteReference"/>
          <w:color w:val="000000" w:themeColor="text1"/>
          <w:sz w:val="20"/>
          <w:szCs w:val="20"/>
        </w:rPr>
        <w:footnoteRef/>
      </w:r>
      <w:r w:rsidRPr="00687C21">
        <w:rPr>
          <w:color w:val="000000" w:themeColor="text1"/>
          <w:sz w:val="20"/>
          <w:szCs w:val="20"/>
        </w:rPr>
        <w:t xml:space="preserve"> Digital Administration Code, art 69(1).</w:t>
      </w:r>
    </w:p>
  </w:footnote>
  <w:footnote w:id="301">
    <w:p w14:paraId="63BD88F4" w14:textId="28FF19C7" w:rsidR="00BB5B8C" w:rsidRPr="00687C21" w:rsidRDefault="00BB5B8C" w:rsidP="00687C21">
      <w:pPr>
        <w:pStyle w:val="FootnoteText"/>
        <w:contextualSpacing/>
        <w:mirrorIndents/>
        <w:jc w:val="both"/>
        <w:rPr>
          <w:color w:val="000000" w:themeColor="text1"/>
          <w:sz w:val="20"/>
          <w:szCs w:val="20"/>
        </w:rPr>
      </w:pPr>
      <w:r w:rsidRPr="00687C21">
        <w:rPr>
          <w:color w:val="000000" w:themeColor="text1"/>
          <w:sz w:val="20"/>
          <w:szCs w:val="20"/>
        </w:rPr>
        <w:footnoteRef/>
      </w:r>
      <w:r w:rsidRPr="00687C21">
        <w:rPr>
          <w:color w:val="000000" w:themeColor="text1"/>
          <w:sz w:val="20"/>
          <w:szCs w:val="20"/>
        </w:rPr>
        <w:t xml:space="preserve"> In the UK, there is the right to access datasets for reuse and it is broader than the Italian regime, because it regards all copyright works (Freedom of Information Act 2000, s 11A)..</w:t>
      </w:r>
    </w:p>
  </w:footnote>
  <w:footnote w:id="302">
    <w:p w14:paraId="793BE608" w14:textId="49614682" w:rsidR="00BB5B8C" w:rsidRPr="00687C21" w:rsidRDefault="00BB5B8C" w:rsidP="00687C21">
      <w:pPr>
        <w:pStyle w:val="FootnoteText"/>
        <w:contextualSpacing/>
        <w:mirrorIndents/>
        <w:jc w:val="both"/>
        <w:rPr>
          <w:color w:val="000000" w:themeColor="text1"/>
          <w:sz w:val="20"/>
          <w:szCs w:val="20"/>
        </w:rPr>
      </w:pPr>
      <w:r w:rsidRPr="00687C21">
        <w:rPr>
          <w:rStyle w:val="FootnoteReference"/>
          <w:color w:val="000000" w:themeColor="text1"/>
          <w:sz w:val="20"/>
          <w:szCs w:val="20"/>
        </w:rPr>
        <w:footnoteRef/>
      </w:r>
      <w:r w:rsidRPr="00687C21">
        <w:rPr>
          <w:color w:val="000000" w:themeColor="text1"/>
          <w:sz w:val="20"/>
          <w:szCs w:val="20"/>
        </w:rPr>
        <w:t xml:space="preserve"> Currently, in Italy, the Privacy Code does not regulate algorithmic decision-making. The GDPR, being a regulation as opposed to a directive, will play an important role in strongly harmonising the relevant national regimes, in some instances by innovatively recognising the right to be informed about and object to algorithmic decision-making (e.g. in Italy), in others by updating the existing regime (e.g. in the UK). </w:t>
      </w:r>
      <w:r w:rsidR="00486D6F">
        <w:rPr>
          <w:color w:val="000000" w:themeColor="text1"/>
          <w:sz w:val="20"/>
          <w:szCs w:val="20"/>
        </w:rPr>
        <w:t>As seen above, the implementing measures of said countries seem to partly or completely overlook the matter.</w:t>
      </w:r>
    </w:p>
  </w:footnote>
  <w:footnote w:id="303">
    <w:p w14:paraId="09F4C89B" w14:textId="42A67173" w:rsidR="00BB5B8C" w:rsidRPr="00687C21" w:rsidRDefault="00BB5B8C" w:rsidP="00687C21">
      <w:pPr>
        <w:pStyle w:val="FootnoteText"/>
        <w:contextualSpacing/>
        <w:mirrorIndents/>
        <w:jc w:val="both"/>
        <w:rPr>
          <w:color w:val="000000" w:themeColor="text1"/>
          <w:sz w:val="20"/>
          <w:szCs w:val="20"/>
        </w:rPr>
      </w:pPr>
      <w:r w:rsidRPr="00687C21">
        <w:rPr>
          <w:rStyle w:val="FootnoteReference"/>
          <w:color w:val="000000" w:themeColor="text1"/>
          <w:sz w:val="20"/>
          <w:szCs w:val="20"/>
        </w:rPr>
        <w:footnoteRef/>
      </w:r>
      <w:r w:rsidRPr="00687C21">
        <w:rPr>
          <w:color w:val="000000" w:themeColor="text1"/>
          <w:sz w:val="20"/>
          <w:szCs w:val="20"/>
        </w:rPr>
        <w:t xml:space="preserve"> Administrative Procedure Act, art 22(1)(d).</w:t>
      </w:r>
    </w:p>
  </w:footnote>
  <w:footnote w:id="304">
    <w:p w14:paraId="0EC093FD" w14:textId="093EE957" w:rsidR="00BB5B8C" w:rsidRPr="00687C21" w:rsidRDefault="00BB5B8C" w:rsidP="00687C21">
      <w:pPr>
        <w:pStyle w:val="FootnoteText"/>
        <w:contextualSpacing/>
        <w:mirrorIndents/>
        <w:jc w:val="both"/>
        <w:rPr>
          <w:color w:val="000000" w:themeColor="text1"/>
          <w:sz w:val="20"/>
          <w:szCs w:val="20"/>
        </w:rPr>
      </w:pPr>
      <w:r w:rsidRPr="00687C21">
        <w:rPr>
          <w:color w:val="000000" w:themeColor="text1"/>
          <w:sz w:val="20"/>
          <w:szCs w:val="20"/>
        </w:rPr>
        <w:footnoteRef/>
      </w:r>
      <w:r w:rsidRPr="00687C21">
        <w:rPr>
          <w:color w:val="000000" w:themeColor="text1"/>
          <w:sz w:val="20"/>
          <w:szCs w:val="20"/>
        </w:rPr>
        <w:t xml:space="preserve"> In Italy, the discretional power of the public administration is a fundamental principle, whereas only in a limited number of instances the State or other public body take a non-discretionary decision (with the content as well as the requirements rigidly predetermined by the law), for instance when an authorisation shall be released as a necessary consequence of the positive assessment of the existence of certain requirements. Some authors affirm that administrative power is always discretionary (</w:t>
      </w:r>
      <w:r w:rsidR="00486D6F">
        <w:rPr>
          <w:color w:val="000000" w:themeColor="text1"/>
          <w:sz w:val="20"/>
          <w:szCs w:val="20"/>
        </w:rPr>
        <w:t>e.g.</w:t>
      </w:r>
      <w:r w:rsidRPr="00687C21">
        <w:rPr>
          <w:color w:val="000000" w:themeColor="text1"/>
          <w:sz w:val="20"/>
          <w:szCs w:val="20"/>
        </w:rPr>
        <w:t xml:space="preserve"> Fabio Massimo Nicosia, </w:t>
      </w:r>
      <w:r w:rsidRPr="00687C21">
        <w:rPr>
          <w:i/>
          <w:color w:val="000000" w:themeColor="text1"/>
          <w:sz w:val="20"/>
          <w:szCs w:val="20"/>
        </w:rPr>
        <w:t>Potere ed eccesso di potere nell’attività amministrativa non discrezionale</w:t>
      </w:r>
      <w:r w:rsidRPr="00687C21">
        <w:rPr>
          <w:color w:val="000000" w:themeColor="text1"/>
          <w:sz w:val="20"/>
          <w:szCs w:val="20"/>
        </w:rPr>
        <w:t xml:space="preserve"> (Jovene 1991), but this theory is not widely accepted (</w:t>
      </w:r>
      <w:r w:rsidR="00486D6F">
        <w:rPr>
          <w:color w:val="000000" w:themeColor="text1"/>
          <w:sz w:val="20"/>
          <w:szCs w:val="20"/>
        </w:rPr>
        <w:t xml:space="preserve">e.g. </w:t>
      </w:r>
      <w:r w:rsidRPr="00687C21">
        <w:rPr>
          <w:color w:val="000000" w:themeColor="text1"/>
          <w:sz w:val="20"/>
          <w:szCs w:val="20"/>
        </w:rPr>
        <w:t xml:space="preserve">Paola Rossi, </w:t>
      </w:r>
      <w:r w:rsidRPr="00687C21">
        <w:rPr>
          <w:i/>
          <w:color w:val="000000" w:themeColor="text1"/>
          <w:sz w:val="20"/>
          <w:szCs w:val="20"/>
        </w:rPr>
        <w:t>Il riesame degli atti di accertamento</w:t>
      </w:r>
      <w:r w:rsidRPr="00687C21">
        <w:rPr>
          <w:color w:val="000000" w:themeColor="text1"/>
          <w:sz w:val="20"/>
          <w:szCs w:val="20"/>
        </w:rPr>
        <w:t xml:space="preserve"> (Giuffrè 2008)).</w:t>
      </w:r>
    </w:p>
  </w:footnote>
  <w:footnote w:id="305">
    <w:p w14:paraId="0CFA14CC" w14:textId="77777777" w:rsidR="00BB5B8C" w:rsidRPr="00687C21" w:rsidRDefault="00BB5B8C" w:rsidP="00687C21">
      <w:pPr>
        <w:pStyle w:val="FootnoteText"/>
        <w:contextualSpacing/>
        <w:mirrorIndents/>
        <w:jc w:val="both"/>
        <w:rPr>
          <w:color w:val="000000" w:themeColor="text1"/>
          <w:sz w:val="20"/>
          <w:szCs w:val="20"/>
        </w:rPr>
      </w:pPr>
      <w:r w:rsidRPr="00687C21">
        <w:rPr>
          <w:rStyle w:val="FootnoteReference"/>
          <w:color w:val="000000" w:themeColor="text1"/>
          <w:sz w:val="20"/>
          <w:szCs w:val="20"/>
        </w:rPr>
        <w:footnoteRef/>
      </w:r>
      <w:r w:rsidRPr="00687C21">
        <w:rPr>
          <w:color w:val="000000" w:themeColor="text1"/>
          <w:sz w:val="20"/>
          <w:szCs w:val="20"/>
        </w:rPr>
        <w:t xml:space="preserve"> The Italian Court of Cassation defined the digital administrative document in a narrow way by including only those documents which are directly and automatically processed from the computer, in as much as they do not require discretional assessments and argumentations linked to the specificities of the case at hand (Corte di Cassazione, chamber I, 28 December 2000, No 16204).</w:t>
      </w:r>
    </w:p>
  </w:footnote>
  <w:footnote w:id="306">
    <w:p w14:paraId="70FC9F50" w14:textId="16ED2388" w:rsidR="00BB5B8C" w:rsidRPr="00687C21" w:rsidRDefault="00BB5B8C" w:rsidP="00687C21">
      <w:pPr>
        <w:pStyle w:val="FootnoteText"/>
        <w:contextualSpacing/>
        <w:mirrorIndents/>
        <w:jc w:val="both"/>
        <w:rPr>
          <w:color w:val="000000" w:themeColor="text1"/>
          <w:sz w:val="20"/>
          <w:szCs w:val="20"/>
        </w:rPr>
      </w:pPr>
      <w:r w:rsidRPr="00687C21">
        <w:rPr>
          <w:rStyle w:val="FootnoteReference"/>
          <w:color w:val="000000" w:themeColor="text1"/>
          <w:sz w:val="20"/>
          <w:szCs w:val="20"/>
        </w:rPr>
        <w:footnoteRef/>
      </w:r>
      <w:r w:rsidRPr="00687C21">
        <w:rPr>
          <w:color w:val="000000" w:themeColor="text1"/>
          <w:sz w:val="20"/>
          <w:szCs w:val="20"/>
        </w:rPr>
        <w:t xml:space="preserve"> Administrative Procedure Act, art 22(1)(d).</w:t>
      </w:r>
    </w:p>
  </w:footnote>
  <w:footnote w:id="307">
    <w:p w14:paraId="2678ABA9" w14:textId="0F8B8AC5" w:rsidR="00BB5B8C" w:rsidRPr="00687C21" w:rsidRDefault="00BB5B8C" w:rsidP="00687C21">
      <w:pPr>
        <w:pStyle w:val="FootnoteText"/>
        <w:contextualSpacing/>
        <w:mirrorIndents/>
        <w:jc w:val="both"/>
        <w:rPr>
          <w:color w:val="000000" w:themeColor="text1"/>
          <w:sz w:val="20"/>
          <w:szCs w:val="20"/>
        </w:rPr>
      </w:pPr>
      <w:r w:rsidRPr="00687C21">
        <w:rPr>
          <w:rStyle w:val="FootnoteReference"/>
          <w:color w:val="000000" w:themeColor="text1"/>
          <w:sz w:val="20"/>
          <w:szCs w:val="20"/>
        </w:rPr>
        <w:footnoteRef/>
      </w:r>
      <w:r w:rsidRPr="00687C21">
        <w:rPr>
          <w:color w:val="000000" w:themeColor="text1"/>
          <w:sz w:val="20"/>
          <w:szCs w:val="20"/>
        </w:rPr>
        <w:t xml:space="preserve"> In particular, the document must be in a public body’s possession and it must regard public interest activities (Administrative Procedure Act, art 22(1)(d)). It is immaterial if the algorithm was developed as a consequence of contract (a private law tool), as long as the relevant activity is of public interest, which is the case here, given that the purpose of the program is to improve the management of a public service (education). </w:t>
      </w:r>
    </w:p>
  </w:footnote>
  <w:footnote w:id="308">
    <w:p w14:paraId="7E5E45F0" w14:textId="6102EF0A" w:rsidR="00BB5B8C" w:rsidRPr="00687C21" w:rsidRDefault="00BB5B8C" w:rsidP="00687C21">
      <w:pPr>
        <w:pStyle w:val="FootnoteText"/>
        <w:contextualSpacing/>
        <w:mirrorIndents/>
        <w:jc w:val="both"/>
        <w:rPr>
          <w:color w:val="000000" w:themeColor="text1"/>
          <w:sz w:val="20"/>
          <w:szCs w:val="20"/>
        </w:rPr>
      </w:pPr>
      <w:r w:rsidRPr="00687C21">
        <w:rPr>
          <w:rStyle w:val="FootnoteReference"/>
          <w:color w:val="000000" w:themeColor="text1"/>
          <w:sz w:val="20"/>
          <w:szCs w:val="20"/>
        </w:rPr>
        <w:footnoteRef/>
      </w:r>
      <w:r w:rsidRPr="00687C21">
        <w:rPr>
          <w:color w:val="000000" w:themeColor="text1"/>
          <w:sz w:val="20"/>
          <w:szCs w:val="20"/>
        </w:rPr>
        <w:t xml:space="preserve"> Art 47.</w:t>
      </w:r>
    </w:p>
  </w:footnote>
  <w:footnote w:id="309">
    <w:p w14:paraId="01ADF656" w14:textId="2ED4CBA4" w:rsidR="00BB5B8C" w:rsidRPr="00687C21" w:rsidRDefault="00BB5B8C" w:rsidP="00687C21">
      <w:pPr>
        <w:pStyle w:val="FootnoteText"/>
        <w:contextualSpacing/>
        <w:mirrorIndents/>
        <w:jc w:val="both"/>
        <w:rPr>
          <w:color w:val="000000" w:themeColor="text1"/>
          <w:sz w:val="20"/>
          <w:szCs w:val="20"/>
        </w:rPr>
      </w:pPr>
      <w:r w:rsidRPr="00687C21">
        <w:rPr>
          <w:rStyle w:val="FootnoteReference"/>
          <w:color w:val="000000" w:themeColor="text1"/>
          <w:sz w:val="20"/>
          <w:szCs w:val="20"/>
        </w:rPr>
        <w:footnoteRef/>
      </w:r>
      <w:r w:rsidRPr="00687C21">
        <w:rPr>
          <w:color w:val="000000" w:themeColor="text1"/>
          <w:sz w:val="20"/>
          <w:szCs w:val="20"/>
        </w:rPr>
        <w:t xml:space="preserve"> Art 13.</w:t>
      </w:r>
    </w:p>
  </w:footnote>
  <w:footnote w:id="310">
    <w:p w14:paraId="09CFF552" w14:textId="000C8384" w:rsidR="00BB5B8C" w:rsidRPr="00687C21" w:rsidRDefault="00BB5B8C" w:rsidP="00687C21">
      <w:pPr>
        <w:pStyle w:val="FootnoteText"/>
        <w:contextualSpacing/>
        <w:mirrorIndents/>
        <w:jc w:val="both"/>
        <w:rPr>
          <w:color w:val="000000" w:themeColor="text1"/>
          <w:sz w:val="20"/>
          <w:szCs w:val="20"/>
        </w:rPr>
      </w:pPr>
      <w:r w:rsidRPr="00687C21">
        <w:rPr>
          <w:rStyle w:val="FootnoteReference"/>
          <w:color w:val="000000" w:themeColor="text1"/>
          <w:sz w:val="20"/>
          <w:szCs w:val="20"/>
        </w:rPr>
        <w:footnoteRef/>
      </w:r>
      <w:r w:rsidR="00486D6F">
        <w:rPr>
          <w:color w:val="000000" w:themeColor="text1"/>
          <w:sz w:val="20"/>
          <w:szCs w:val="20"/>
        </w:rPr>
        <w:t xml:space="preserve"> Contrarily to what </w:t>
      </w:r>
      <w:r w:rsidRPr="00687C21">
        <w:rPr>
          <w:color w:val="000000" w:themeColor="text1"/>
          <w:sz w:val="20"/>
          <w:szCs w:val="20"/>
        </w:rPr>
        <w:t>held by the court, some scholars affirm that only the administrative document drafted with the aid of a computer is a digital administrative act. See Alfonso Contaldo and Luigi Marotta, ‘L’informatizzazione dell’atto amministrativo: cenni sulle problematiche in campo’ (2002) 18(3) Diritto dell'informazione e dell'informatica 576.</w:t>
      </w:r>
    </w:p>
  </w:footnote>
  <w:footnote w:id="311">
    <w:p w14:paraId="0A03077D" w14:textId="220BBBDD" w:rsidR="00BB5B8C" w:rsidRPr="00687C21" w:rsidRDefault="00BB5B8C" w:rsidP="00687C21">
      <w:pPr>
        <w:pStyle w:val="FootnoteText"/>
        <w:contextualSpacing/>
        <w:mirrorIndents/>
        <w:jc w:val="both"/>
        <w:rPr>
          <w:color w:val="000000" w:themeColor="text1"/>
          <w:sz w:val="20"/>
          <w:szCs w:val="20"/>
        </w:rPr>
      </w:pPr>
      <w:r w:rsidRPr="00687C21">
        <w:rPr>
          <w:rStyle w:val="FootnoteReference"/>
          <w:color w:val="000000" w:themeColor="text1"/>
          <w:sz w:val="20"/>
          <w:szCs w:val="20"/>
        </w:rPr>
        <w:footnoteRef/>
      </w:r>
      <w:r w:rsidRPr="00687C21">
        <w:rPr>
          <w:color w:val="000000" w:themeColor="text1"/>
          <w:sz w:val="20"/>
          <w:szCs w:val="20"/>
          <w:lang w:val="it-IT"/>
        </w:rPr>
        <w:t xml:space="preserve"> Massimiliano </w:t>
      </w:r>
      <w:r w:rsidRPr="00687C21">
        <w:rPr>
          <w:color w:val="000000" w:themeColor="text1"/>
          <w:sz w:val="20"/>
          <w:szCs w:val="20"/>
        </w:rPr>
        <w:t>Minerva, ‘L’attività amministrativa in forma elettronica’ (1997) 4 Foro amministrativo 1300, italics added.</w:t>
      </w:r>
    </w:p>
  </w:footnote>
  <w:footnote w:id="312">
    <w:p w14:paraId="3142EF76" w14:textId="15C007FC" w:rsidR="00BB5B8C" w:rsidRPr="00687C21" w:rsidRDefault="00BB5B8C" w:rsidP="00687C21">
      <w:pPr>
        <w:pStyle w:val="FootnoteText"/>
        <w:contextualSpacing/>
        <w:mirrorIndents/>
        <w:jc w:val="both"/>
        <w:rPr>
          <w:color w:val="000000" w:themeColor="text1"/>
          <w:sz w:val="20"/>
          <w:szCs w:val="20"/>
          <w:lang w:val="it-IT"/>
        </w:rPr>
      </w:pPr>
      <w:r w:rsidRPr="00687C21">
        <w:rPr>
          <w:rStyle w:val="FootnoteReference"/>
          <w:color w:val="000000" w:themeColor="text1"/>
          <w:sz w:val="20"/>
          <w:szCs w:val="20"/>
        </w:rPr>
        <w:footnoteRef/>
      </w:r>
      <w:r w:rsidRPr="00687C21">
        <w:rPr>
          <w:color w:val="000000" w:themeColor="text1"/>
          <w:sz w:val="20"/>
          <w:szCs w:val="20"/>
          <w:lang w:val="it-IT"/>
        </w:rPr>
        <w:t xml:space="preserve"> </w:t>
      </w:r>
      <w:r w:rsidRPr="00687C21">
        <w:rPr>
          <w:color w:val="000000" w:themeColor="text1"/>
          <w:sz w:val="20"/>
          <w:szCs w:val="20"/>
        </w:rPr>
        <w:t xml:space="preserve">Carmelo Giurdanella and Elio Guarnaccia, </w:t>
      </w:r>
      <w:r w:rsidRPr="00687C21">
        <w:rPr>
          <w:i/>
          <w:color w:val="000000" w:themeColor="text1"/>
          <w:sz w:val="20"/>
          <w:szCs w:val="20"/>
        </w:rPr>
        <w:t>Elementi di diritto amministrativo elettronico</w:t>
      </w:r>
      <w:r w:rsidRPr="00687C21">
        <w:rPr>
          <w:color w:val="000000" w:themeColor="text1"/>
          <w:sz w:val="20"/>
          <w:szCs w:val="20"/>
        </w:rPr>
        <w:t xml:space="preserve"> (Halley 2005) 24.</w:t>
      </w:r>
    </w:p>
  </w:footnote>
  <w:footnote w:id="313">
    <w:p w14:paraId="6FE96120" w14:textId="0E52F894" w:rsidR="00BB5B8C" w:rsidRPr="00687C21" w:rsidRDefault="00BB5B8C" w:rsidP="00687C21">
      <w:pPr>
        <w:pStyle w:val="FootnoteText"/>
        <w:contextualSpacing/>
        <w:mirrorIndents/>
        <w:jc w:val="both"/>
        <w:rPr>
          <w:color w:val="000000" w:themeColor="text1"/>
          <w:sz w:val="20"/>
          <w:szCs w:val="20"/>
        </w:rPr>
      </w:pPr>
      <w:r w:rsidRPr="00687C21">
        <w:rPr>
          <w:rStyle w:val="FootnoteReference"/>
          <w:color w:val="000000" w:themeColor="text1"/>
          <w:sz w:val="20"/>
          <w:szCs w:val="20"/>
        </w:rPr>
        <w:footnoteRef/>
      </w:r>
      <w:r w:rsidRPr="00687C21">
        <w:rPr>
          <w:color w:val="000000" w:themeColor="text1"/>
          <w:sz w:val="20"/>
          <w:szCs w:val="20"/>
        </w:rPr>
        <w:t xml:space="preserve"> Most scholars agree, see e.g. Contaldo (n </w:t>
      </w:r>
      <w:r w:rsidR="00C97818">
        <w:rPr>
          <w:color w:val="000000" w:themeColor="text1"/>
          <w:sz w:val="20"/>
          <w:szCs w:val="20"/>
        </w:rPr>
        <w:t>309</w:t>
      </w:r>
      <w:r w:rsidRPr="00687C21">
        <w:rPr>
          <w:color w:val="000000" w:themeColor="text1"/>
          <w:sz w:val="20"/>
          <w:szCs w:val="20"/>
        </w:rPr>
        <w:t>) 580.</w:t>
      </w:r>
    </w:p>
  </w:footnote>
  <w:footnote w:id="314">
    <w:p w14:paraId="67400B13" w14:textId="213B1C1A" w:rsidR="00BB5B8C" w:rsidRPr="00687C21" w:rsidRDefault="00BB5B8C" w:rsidP="00687C21">
      <w:pPr>
        <w:pStyle w:val="FootnoteText"/>
        <w:contextualSpacing/>
        <w:mirrorIndents/>
        <w:jc w:val="both"/>
        <w:rPr>
          <w:color w:val="000000" w:themeColor="text1"/>
          <w:sz w:val="20"/>
          <w:szCs w:val="20"/>
        </w:rPr>
      </w:pPr>
      <w:r w:rsidRPr="00687C21">
        <w:rPr>
          <w:rStyle w:val="FootnoteReference"/>
          <w:color w:val="000000" w:themeColor="text1"/>
          <w:sz w:val="20"/>
          <w:szCs w:val="20"/>
        </w:rPr>
        <w:footnoteRef/>
      </w:r>
      <w:r w:rsidRPr="00687C21">
        <w:rPr>
          <w:color w:val="000000" w:themeColor="text1"/>
          <w:sz w:val="20"/>
          <w:szCs w:val="20"/>
        </w:rPr>
        <w:t xml:space="preserve"> </w:t>
      </w:r>
      <w:r w:rsidRPr="00687C21">
        <w:rPr>
          <w:color w:val="000000" w:themeColor="text1"/>
          <w:sz w:val="20"/>
          <w:szCs w:val="20"/>
          <w:shd w:val="clear" w:color="auto" w:fill="FFFFFF"/>
        </w:rPr>
        <w:t xml:space="preserve">TAR Lazio, chamber III bis, 22 March 2017, No 3769. </w:t>
      </w:r>
      <w:r w:rsidRPr="00687C21">
        <w:rPr>
          <w:color w:val="000000" w:themeColor="text1"/>
          <w:sz w:val="20"/>
          <w:szCs w:val="20"/>
          <w:shd w:val="clear" w:color="auto" w:fill="FFFFFF"/>
          <w:lang w:val="it-IT"/>
        </w:rPr>
        <w:t xml:space="preserve">This idea was first expressed by A </w:t>
      </w:r>
      <w:r w:rsidRPr="00687C21">
        <w:rPr>
          <w:color w:val="000000" w:themeColor="text1"/>
          <w:sz w:val="20"/>
          <w:szCs w:val="20"/>
        </w:rPr>
        <w:t>Ravalli, ‘Atti amministrativi emanati mediante sistemi informatici: problematiche relative alla tutela giurisdizionale’ (1989) 2 Trib. Amm. Reg. 261.</w:t>
      </w:r>
      <w:r w:rsidRPr="00687C21">
        <w:rPr>
          <w:color w:val="000000" w:themeColor="text1"/>
          <w:sz w:val="20"/>
          <w:szCs w:val="20"/>
          <w:shd w:val="clear" w:color="auto" w:fill="FFFFFF"/>
          <w:lang w:val="it-IT"/>
        </w:rPr>
        <w:t xml:space="preserve"> </w:t>
      </w:r>
      <w:r w:rsidRPr="00687C21">
        <w:rPr>
          <w:color w:val="000000" w:themeColor="text1"/>
          <w:sz w:val="20"/>
          <w:szCs w:val="20"/>
          <w:shd w:val="clear" w:color="auto" w:fill="FFFFFF"/>
        </w:rPr>
        <w:t xml:space="preserve">The traditional theory that presents a dichotomy discretionary-non-discretionary and allows algorithmic decisions (or electronically processed administrative documents) only with regards to the latter is open to criticism. However, this is not </w:t>
      </w:r>
      <w:r w:rsidR="00486D6F">
        <w:rPr>
          <w:color w:val="000000" w:themeColor="text1"/>
          <w:sz w:val="20"/>
          <w:szCs w:val="20"/>
          <w:shd w:val="clear" w:color="auto" w:fill="FFFFFF"/>
        </w:rPr>
        <w:t>because, as Ravalli thinks,</w:t>
      </w:r>
      <w:r w:rsidRPr="00687C21">
        <w:rPr>
          <w:color w:val="000000" w:themeColor="text1"/>
          <w:sz w:val="20"/>
          <w:szCs w:val="20"/>
          <w:shd w:val="clear" w:color="auto" w:fill="FFFFFF"/>
        </w:rPr>
        <w:t xml:space="preserve"> even discretionary administrative activities are rational logical processes based on predetermine</w:t>
      </w:r>
      <w:r w:rsidR="00486D6F">
        <w:rPr>
          <w:color w:val="000000" w:themeColor="text1"/>
          <w:sz w:val="20"/>
          <w:szCs w:val="20"/>
          <w:shd w:val="clear" w:color="auto" w:fill="FFFFFF"/>
        </w:rPr>
        <w:t>d criteria (which is debatable). The point is that</w:t>
      </w:r>
      <w:r w:rsidRPr="00687C21">
        <w:rPr>
          <w:color w:val="000000" w:themeColor="text1"/>
          <w:sz w:val="20"/>
          <w:szCs w:val="20"/>
          <w:shd w:val="clear" w:color="auto" w:fill="FFFFFF"/>
        </w:rPr>
        <w:t xml:space="preserve"> interpretation is always discretionary and even non-discretionary power is exercised through interpretation (given that the dichotomy interpretation-application is untenable, as shown by Hart; see Viola (n 29) 50).</w:t>
      </w:r>
    </w:p>
  </w:footnote>
  <w:footnote w:id="315">
    <w:p w14:paraId="1EF5BAE3" w14:textId="3F5A3524" w:rsidR="00BB5B8C" w:rsidRPr="00687C21" w:rsidRDefault="00BB5B8C" w:rsidP="00687C21">
      <w:pPr>
        <w:pStyle w:val="FootnoteText"/>
        <w:contextualSpacing/>
        <w:mirrorIndents/>
        <w:jc w:val="both"/>
        <w:rPr>
          <w:color w:val="000000" w:themeColor="text1"/>
          <w:sz w:val="20"/>
          <w:szCs w:val="20"/>
        </w:rPr>
      </w:pPr>
      <w:r w:rsidRPr="00687C21">
        <w:rPr>
          <w:rStyle w:val="FootnoteReference"/>
          <w:color w:val="000000" w:themeColor="text1"/>
          <w:sz w:val="20"/>
          <w:szCs w:val="20"/>
        </w:rPr>
        <w:footnoteRef/>
      </w:r>
      <w:r w:rsidRPr="00687C21">
        <w:rPr>
          <w:color w:val="000000" w:themeColor="text1"/>
          <w:sz w:val="20"/>
          <w:szCs w:val="20"/>
        </w:rPr>
        <w:t xml:space="preserve"> This passage may be interpreted as the court espousing that line of thought whereby the admissibility of algorithmic decisions (</w:t>
      </w:r>
      <w:r w:rsidRPr="00687C21">
        <w:rPr>
          <w:color w:val="000000" w:themeColor="text1"/>
          <w:sz w:val="20"/>
          <w:szCs w:val="20"/>
          <w:shd w:val="clear" w:color="auto" w:fill="FFFFFF"/>
        </w:rPr>
        <w:t xml:space="preserve">or electronically processed administrative documents) depends not on the nature of the power, but to the scientific possibility to map the reasoning underlying the document </w:t>
      </w:r>
      <w:r w:rsidR="00C97818">
        <w:rPr>
          <w:color w:val="000000" w:themeColor="text1"/>
          <w:sz w:val="20"/>
          <w:szCs w:val="20"/>
        </w:rPr>
        <w:t>(Giurdanella (n 311</w:t>
      </w:r>
      <w:r w:rsidRPr="00687C21">
        <w:rPr>
          <w:color w:val="000000" w:themeColor="text1"/>
          <w:sz w:val="20"/>
          <w:szCs w:val="20"/>
        </w:rPr>
        <w:t>) 32; Michele Corradino, ‘Inquadramento generale dell’atto amministrativo elettronico’ (Convegno DAE 2004). However, before referring to the importance of the said scientific possibility (or the lack thereof), the court is adamant in reaffirm the old contraposition. Indeed, the court states that “we can</w:t>
      </w:r>
      <w:r w:rsidRPr="00687C21">
        <w:rPr>
          <w:color w:val="000000" w:themeColor="text1"/>
          <w:sz w:val="20"/>
          <w:szCs w:val="20"/>
          <w:shd w:val="clear" w:color="auto" w:fill="FFFFFF"/>
        </w:rPr>
        <w:t xml:space="preserve"> easily agree that administrative documents which are the output of an algorithmic procedure are admissible with regards to the non-discretionary activity of the public bodies” (TAR Lazio, chamber III bis, 22 March 2017, No 3769). It then goes on to observe that “it is evident that different considerations apply to the discretionary activities” (ibid.). The reference to the fact that the admissibility of this kind of digital administrative act does not depend on the qualification of the activity as discretionary (but it would depend on the possibility of mapping the underlying reasoning) is introduced by a dubitative form (“it may be possible to assume that”) and it seems an obiter dictum. One may infer this by the observation that “we believe that we can disregard the exam of this very interesting legal question” (ibid.).</w:t>
      </w:r>
    </w:p>
  </w:footnote>
  <w:footnote w:id="316">
    <w:p w14:paraId="540F47EB" w14:textId="799A4D34" w:rsidR="00BB5B8C" w:rsidRPr="00687C21" w:rsidRDefault="00BB5B8C" w:rsidP="00687C21">
      <w:pPr>
        <w:pStyle w:val="FootnoteText"/>
        <w:contextualSpacing/>
        <w:mirrorIndents/>
        <w:jc w:val="both"/>
        <w:rPr>
          <w:color w:val="000000" w:themeColor="text1"/>
          <w:sz w:val="20"/>
          <w:szCs w:val="20"/>
        </w:rPr>
      </w:pPr>
      <w:r w:rsidRPr="00687C21">
        <w:rPr>
          <w:rStyle w:val="FootnoteReference"/>
          <w:color w:val="000000" w:themeColor="text1"/>
          <w:sz w:val="20"/>
          <w:szCs w:val="20"/>
        </w:rPr>
        <w:footnoteRef/>
      </w:r>
      <w:r w:rsidRPr="00687C21">
        <w:rPr>
          <w:color w:val="000000" w:themeColor="text1"/>
          <w:sz w:val="20"/>
          <w:szCs w:val="20"/>
        </w:rPr>
        <w:t xml:space="preserve"> Some believe that the description of the algorithm could solve the problem of making the citizen understand the software used by the public body. See Daniele Marongiu, ‘Gli atti amministrativi ad elaborazione elettronica: la compilazione di un “pre-software” in lingua italiana’ (Quaderni del DAE 2003) &lt;</w:t>
      </w:r>
      <w:hyperlink r:id="rId16" w:history="1">
        <w:r w:rsidRPr="00687C21">
          <w:rPr>
            <w:color w:val="000000" w:themeColor="text1"/>
            <w:sz w:val="20"/>
            <w:szCs w:val="20"/>
          </w:rPr>
          <w:t>http://www.cesda.it/quadernidae/pdf/MARONGIU_DAE2003.pdf</w:t>
        </w:r>
      </w:hyperlink>
      <w:r w:rsidRPr="00687C21">
        <w:rPr>
          <w:color w:val="000000" w:themeColor="text1"/>
          <w:sz w:val="20"/>
          <w:szCs w:val="20"/>
        </w:rPr>
        <w:t xml:space="preserve">&gt; accessed 1 March 2018. </w:t>
      </w:r>
    </w:p>
  </w:footnote>
  <w:footnote w:id="317">
    <w:p w14:paraId="6946D7B6" w14:textId="77777777" w:rsidR="00BB5B8C" w:rsidRPr="00687C21" w:rsidRDefault="00BB5B8C" w:rsidP="00687C21">
      <w:pPr>
        <w:pStyle w:val="FootnoteText"/>
        <w:contextualSpacing/>
        <w:mirrorIndents/>
        <w:jc w:val="both"/>
        <w:rPr>
          <w:color w:val="000000" w:themeColor="text1"/>
          <w:sz w:val="20"/>
          <w:szCs w:val="20"/>
        </w:rPr>
      </w:pPr>
      <w:r w:rsidRPr="00687C21">
        <w:rPr>
          <w:rStyle w:val="FootnoteReference"/>
          <w:color w:val="000000" w:themeColor="text1"/>
          <w:sz w:val="20"/>
          <w:szCs w:val="20"/>
        </w:rPr>
        <w:footnoteRef/>
      </w:r>
      <w:r w:rsidRPr="00687C21">
        <w:rPr>
          <w:color w:val="000000" w:themeColor="text1"/>
          <w:sz w:val="20"/>
          <w:szCs w:val="20"/>
        </w:rPr>
        <w:t xml:space="preserve"> </w:t>
      </w:r>
      <w:r w:rsidRPr="00687C21">
        <w:rPr>
          <w:color w:val="000000" w:themeColor="text1"/>
          <w:sz w:val="20"/>
          <w:szCs w:val="20"/>
          <w:shd w:val="clear" w:color="auto" w:fill="FFFFFF"/>
        </w:rPr>
        <w:t>TAR Lazio, chamber III bis, 22 March 2017, No 3769.</w:t>
      </w:r>
    </w:p>
  </w:footnote>
  <w:footnote w:id="318">
    <w:p w14:paraId="5DCE5D0C" w14:textId="3EC527FA" w:rsidR="00BB5B8C" w:rsidRPr="00687C21" w:rsidRDefault="00BB5B8C" w:rsidP="00687C21">
      <w:pPr>
        <w:pStyle w:val="FootnoteText"/>
        <w:contextualSpacing/>
        <w:mirrorIndents/>
        <w:jc w:val="both"/>
        <w:rPr>
          <w:color w:val="000000" w:themeColor="text1"/>
          <w:sz w:val="20"/>
          <w:szCs w:val="20"/>
        </w:rPr>
      </w:pPr>
      <w:r w:rsidRPr="00687C21">
        <w:rPr>
          <w:rStyle w:val="FootnoteReference"/>
          <w:color w:val="000000" w:themeColor="text1"/>
          <w:sz w:val="20"/>
          <w:szCs w:val="20"/>
        </w:rPr>
        <w:footnoteRef/>
      </w:r>
      <w:r w:rsidRPr="00687C21">
        <w:rPr>
          <w:color w:val="000000" w:themeColor="text1"/>
          <w:sz w:val="20"/>
          <w:szCs w:val="20"/>
        </w:rPr>
        <w:t xml:space="preserve"> The court accepts the Ministry of Education’s allegations on the point, because there are no elements that may suggest that there is no copyright on the computer program at hand.</w:t>
      </w:r>
    </w:p>
  </w:footnote>
  <w:footnote w:id="319">
    <w:p w14:paraId="50D47FD5" w14:textId="5A16C5E2" w:rsidR="00BB5B8C" w:rsidRPr="00687C21" w:rsidRDefault="00BB5B8C" w:rsidP="00687C21">
      <w:pPr>
        <w:pStyle w:val="FootnoteText"/>
        <w:contextualSpacing/>
        <w:mirrorIndents/>
        <w:jc w:val="both"/>
        <w:rPr>
          <w:color w:val="000000" w:themeColor="text1"/>
          <w:sz w:val="20"/>
          <w:szCs w:val="20"/>
        </w:rPr>
      </w:pPr>
      <w:r w:rsidRPr="00687C21">
        <w:rPr>
          <w:rStyle w:val="FootnoteReference"/>
          <w:color w:val="000000" w:themeColor="text1"/>
          <w:sz w:val="20"/>
          <w:szCs w:val="20"/>
        </w:rPr>
        <w:footnoteRef/>
      </w:r>
      <w:r w:rsidRPr="00687C21">
        <w:rPr>
          <w:color w:val="000000" w:themeColor="text1"/>
          <w:sz w:val="20"/>
          <w:szCs w:val="20"/>
        </w:rPr>
        <w:t xml:space="preserve"> Transactions regarding moral rights (e.g. paternity waivers) are not enforceable under Italian copyright law (</w:t>
      </w:r>
      <w:r w:rsidRPr="00687C21">
        <w:rPr>
          <w:i/>
          <w:color w:val="000000" w:themeColor="text1"/>
          <w:sz w:val="20"/>
          <w:szCs w:val="20"/>
          <w:shd w:val="clear" w:color="auto" w:fill="FFFFFF"/>
        </w:rPr>
        <w:t>Legge</w:t>
      </w:r>
      <w:r w:rsidRPr="00687C21">
        <w:rPr>
          <w:color w:val="000000" w:themeColor="text1"/>
          <w:sz w:val="20"/>
          <w:szCs w:val="20"/>
          <w:shd w:val="clear" w:color="auto" w:fill="FFFFFF"/>
        </w:rPr>
        <w:t xml:space="preserve"> 22 April 1941, No 633 </w:t>
      </w:r>
      <w:r w:rsidRPr="00687C21">
        <w:rPr>
          <w:rStyle w:val="Strong"/>
          <w:b w:val="0"/>
          <w:i/>
          <w:color w:val="000000" w:themeColor="text1"/>
          <w:sz w:val="20"/>
          <w:szCs w:val="20"/>
          <w:bdr w:val="none" w:sz="0" w:space="0" w:color="auto" w:frame="1"/>
          <w:shd w:val="clear" w:color="auto" w:fill="FFFFFF"/>
        </w:rPr>
        <w:t>Legge a protezione del diritto d'autore e di altri diritti connessi al suo esercizio</w:t>
      </w:r>
      <w:r w:rsidRPr="00687C21">
        <w:rPr>
          <w:rStyle w:val="Strong"/>
          <w:b w:val="0"/>
          <w:color w:val="000000" w:themeColor="text1"/>
          <w:sz w:val="20"/>
          <w:szCs w:val="20"/>
          <w:bdr w:val="none" w:sz="0" w:space="0" w:color="auto" w:frame="1"/>
          <w:shd w:val="clear" w:color="auto" w:fill="FFFFFF"/>
        </w:rPr>
        <w:t xml:space="preserve"> (</w:t>
      </w:r>
      <w:r w:rsidRPr="00687C21">
        <w:rPr>
          <w:color w:val="000000" w:themeColor="text1"/>
          <w:sz w:val="20"/>
          <w:szCs w:val="20"/>
        </w:rPr>
        <w:t>Copyright Act</w:t>
      </w:r>
      <w:r w:rsidRPr="00687C21">
        <w:rPr>
          <w:rStyle w:val="Strong"/>
          <w:b w:val="0"/>
          <w:color w:val="000000" w:themeColor="text1"/>
          <w:sz w:val="20"/>
          <w:szCs w:val="20"/>
          <w:bdr w:val="none" w:sz="0" w:space="0" w:color="auto" w:frame="1"/>
          <w:shd w:val="clear" w:color="auto" w:fill="FFFFFF"/>
        </w:rPr>
        <w:t>),</w:t>
      </w:r>
      <w:r w:rsidRPr="00687C21">
        <w:rPr>
          <w:color w:val="000000" w:themeColor="text1"/>
          <w:sz w:val="20"/>
          <w:szCs w:val="20"/>
          <w:shd w:val="clear" w:color="auto" w:fill="FFFFFF"/>
        </w:rPr>
        <w:t xml:space="preserve"> </w:t>
      </w:r>
      <w:r w:rsidRPr="00687C21">
        <w:rPr>
          <w:color w:val="000000" w:themeColor="text1"/>
          <w:sz w:val="20"/>
          <w:szCs w:val="20"/>
        </w:rPr>
        <w:t>art 22).</w:t>
      </w:r>
    </w:p>
  </w:footnote>
  <w:footnote w:id="320">
    <w:p w14:paraId="0338EC7E" w14:textId="1441327A" w:rsidR="00BB5B8C" w:rsidRPr="00687C21" w:rsidRDefault="00BB5B8C" w:rsidP="00687C21">
      <w:pPr>
        <w:pStyle w:val="FootnoteText"/>
        <w:contextualSpacing/>
        <w:mirrorIndents/>
        <w:jc w:val="both"/>
        <w:rPr>
          <w:color w:val="000000" w:themeColor="text1"/>
          <w:sz w:val="20"/>
          <w:szCs w:val="20"/>
        </w:rPr>
      </w:pPr>
      <w:r w:rsidRPr="00687C21">
        <w:rPr>
          <w:rStyle w:val="FootnoteReference"/>
          <w:color w:val="000000" w:themeColor="text1"/>
          <w:sz w:val="20"/>
          <w:szCs w:val="20"/>
        </w:rPr>
        <w:footnoteRef/>
      </w:r>
      <w:r w:rsidRPr="00687C21">
        <w:rPr>
          <w:color w:val="000000" w:themeColor="text1"/>
          <w:sz w:val="20"/>
          <w:szCs w:val="20"/>
        </w:rPr>
        <w:t xml:space="preserve"> In Italy, the author </w:t>
      </w:r>
      <w:r w:rsidR="00486D6F">
        <w:rPr>
          <w:color w:val="000000" w:themeColor="text1"/>
          <w:sz w:val="20"/>
          <w:szCs w:val="20"/>
        </w:rPr>
        <w:t xml:space="preserve">of a copyright work </w:t>
      </w:r>
      <w:r w:rsidRPr="00687C21">
        <w:rPr>
          <w:color w:val="000000" w:themeColor="text1"/>
          <w:sz w:val="20"/>
          <w:szCs w:val="20"/>
        </w:rPr>
        <w:t>has the exclusive right to use the work for economic purposes (Copyright Act</w:t>
      </w:r>
      <w:r w:rsidRPr="00687C21">
        <w:rPr>
          <w:rStyle w:val="Strong"/>
          <w:b w:val="0"/>
          <w:color w:val="000000" w:themeColor="text1"/>
          <w:sz w:val="20"/>
          <w:szCs w:val="20"/>
          <w:bdr w:val="none" w:sz="0" w:space="0" w:color="auto" w:frame="1"/>
          <w:shd w:val="clear" w:color="auto" w:fill="FFFFFF"/>
        </w:rPr>
        <w:t xml:space="preserve">, </w:t>
      </w:r>
      <w:r w:rsidRPr="00687C21">
        <w:rPr>
          <w:color w:val="000000" w:themeColor="text1"/>
          <w:sz w:val="20"/>
          <w:szCs w:val="20"/>
        </w:rPr>
        <w:t xml:space="preserve">art </w:t>
      </w:r>
      <w:r w:rsidRPr="00687C21">
        <w:rPr>
          <w:color w:val="000000" w:themeColor="text1"/>
          <w:sz w:val="20"/>
          <w:szCs w:val="20"/>
          <w:shd w:val="clear" w:color="auto" w:fill="FFFFFF"/>
        </w:rPr>
        <w:t>12(2)</w:t>
      </w:r>
      <w:r w:rsidRPr="00687C21">
        <w:rPr>
          <w:color w:val="000000" w:themeColor="text1"/>
          <w:sz w:val="20"/>
          <w:szCs w:val="20"/>
        </w:rPr>
        <w:t>)</w:t>
      </w:r>
    </w:p>
  </w:footnote>
  <w:footnote w:id="321">
    <w:p w14:paraId="39D556A5" w14:textId="77777777" w:rsidR="00BB5B8C" w:rsidRPr="00687C21" w:rsidRDefault="00BB5B8C" w:rsidP="00687C21">
      <w:pPr>
        <w:pStyle w:val="FootnoteText"/>
        <w:contextualSpacing/>
        <w:mirrorIndents/>
        <w:jc w:val="both"/>
        <w:rPr>
          <w:color w:val="000000" w:themeColor="text1"/>
          <w:sz w:val="20"/>
          <w:szCs w:val="20"/>
        </w:rPr>
      </w:pPr>
      <w:r w:rsidRPr="00687C21">
        <w:rPr>
          <w:rStyle w:val="FootnoteReference"/>
          <w:color w:val="000000" w:themeColor="text1"/>
          <w:sz w:val="20"/>
          <w:szCs w:val="20"/>
        </w:rPr>
        <w:footnoteRef/>
      </w:r>
      <w:r w:rsidRPr="00687C21">
        <w:rPr>
          <w:color w:val="000000" w:themeColor="text1"/>
          <w:sz w:val="20"/>
          <w:szCs w:val="20"/>
        </w:rPr>
        <w:t xml:space="preserve"> This is the doctrine of copyright exceptions in the US. It does not revolve around a list of permitted uses, but it is a flexible principle that enables the judge to assess all the circumstances of the case to ascertain whether the use of a copyright work was fair.</w:t>
      </w:r>
    </w:p>
  </w:footnote>
  <w:footnote w:id="322">
    <w:p w14:paraId="4869CC9D" w14:textId="2AD29E11" w:rsidR="00BB5B8C" w:rsidRPr="00687C21" w:rsidRDefault="00BB5B8C" w:rsidP="00687C21">
      <w:pPr>
        <w:pStyle w:val="FootnoteText"/>
        <w:contextualSpacing/>
        <w:mirrorIndents/>
        <w:jc w:val="both"/>
        <w:rPr>
          <w:color w:val="000000" w:themeColor="text1"/>
          <w:sz w:val="20"/>
          <w:szCs w:val="20"/>
        </w:rPr>
      </w:pPr>
      <w:r w:rsidRPr="00687C21">
        <w:rPr>
          <w:rStyle w:val="FootnoteReference"/>
          <w:color w:val="000000" w:themeColor="text1"/>
          <w:sz w:val="20"/>
          <w:szCs w:val="20"/>
        </w:rPr>
        <w:footnoteRef/>
      </w:r>
      <w:r w:rsidRPr="00687C21">
        <w:rPr>
          <w:color w:val="000000" w:themeColor="text1"/>
          <w:sz w:val="20"/>
          <w:szCs w:val="20"/>
        </w:rPr>
        <w:t xml:space="preserve"> The exception must fall within the exhaustive list of the Copyright Directive (</w:t>
      </w:r>
      <w:r w:rsidRPr="00687C21">
        <w:rPr>
          <w:bCs/>
          <w:color w:val="000000" w:themeColor="text1"/>
          <w:sz w:val="20"/>
          <w:szCs w:val="20"/>
          <w:shd w:val="clear" w:color="auto" w:fill="FFFFFF"/>
        </w:rPr>
        <w:t>Directive 2001/29/EC of the European Parliament and of the Council of 22 May 2001 on the harmonisation of certain aspects of copyright and related rights in the information society</w:t>
      </w:r>
      <w:r w:rsidRPr="00687C21">
        <w:rPr>
          <w:color w:val="000000" w:themeColor="text1"/>
          <w:sz w:val="20"/>
          <w:szCs w:val="20"/>
        </w:rPr>
        <w:t>), not conflict with the normal exploitation of the work and does not unreasonably prejudice the legitimate interests of the author (art 5(5)).</w:t>
      </w:r>
    </w:p>
  </w:footnote>
  <w:footnote w:id="323">
    <w:p w14:paraId="1DDB7742" w14:textId="77777777" w:rsidR="00BB5B8C" w:rsidRPr="00687C21" w:rsidRDefault="00BB5B8C" w:rsidP="00687C21">
      <w:pPr>
        <w:pStyle w:val="FootnoteText"/>
        <w:contextualSpacing/>
        <w:mirrorIndents/>
        <w:jc w:val="both"/>
        <w:rPr>
          <w:color w:val="000000" w:themeColor="text1"/>
          <w:sz w:val="20"/>
          <w:szCs w:val="20"/>
          <w:lang w:val="it-IT"/>
        </w:rPr>
      </w:pPr>
      <w:r w:rsidRPr="00687C21">
        <w:rPr>
          <w:rStyle w:val="FootnoteReference"/>
          <w:color w:val="000000" w:themeColor="text1"/>
          <w:sz w:val="20"/>
          <w:szCs w:val="20"/>
        </w:rPr>
        <w:footnoteRef/>
      </w:r>
      <w:r w:rsidRPr="00687C21">
        <w:rPr>
          <w:color w:val="000000" w:themeColor="text1"/>
          <w:sz w:val="20"/>
          <w:szCs w:val="20"/>
          <w:lang w:val="it-IT"/>
        </w:rPr>
        <w:t xml:space="preserve"> Copyright Act, </w:t>
      </w:r>
      <w:r w:rsidRPr="00687C21">
        <w:rPr>
          <w:i/>
          <w:color w:val="000000" w:themeColor="text1"/>
          <w:sz w:val="20"/>
          <w:szCs w:val="20"/>
          <w:lang w:val="it-IT"/>
        </w:rPr>
        <w:t xml:space="preserve">Titolo </w:t>
      </w:r>
      <w:r w:rsidRPr="00687C21">
        <w:rPr>
          <w:color w:val="000000" w:themeColor="text1"/>
          <w:sz w:val="20"/>
          <w:szCs w:val="20"/>
          <w:lang w:val="it-IT"/>
        </w:rPr>
        <w:t xml:space="preserve">I, </w:t>
      </w:r>
      <w:r w:rsidRPr="00687C21">
        <w:rPr>
          <w:i/>
          <w:color w:val="000000" w:themeColor="text1"/>
          <w:sz w:val="20"/>
          <w:szCs w:val="20"/>
          <w:lang w:val="it-IT"/>
        </w:rPr>
        <w:t xml:space="preserve">Capo </w:t>
      </w:r>
      <w:r w:rsidRPr="00687C21">
        <w:rPr>
          <w:color w:val="000000" w:themeColor="text1"/>
          <w:sz w:val="20"/>
          <w:szCs w:val="20"/>
          <w:lang w:val="it-IT"/>
        </w:rPr>
        <w:t xml:space="preserve">III, </w:t>
      </w:r>
      <w:r w:rsidRPr="00687C21">
        <w:rPr>
          <w:i/>
          <w:color w:val="000000" w:themeColor="text1"/>
          <w:sz w:val="20"/>
          <w:szCs w:val="20"/>
          <w:lang w:val="it-IT"/>
        </w:rPr>
        <w:t xml:space="preserve">Sezione </w:t>
      </w:r>
      <w:r w:rsidRPr="00687C21">
        <w:rPr>
          <w:color w:val="000000" w:themeColor="text1"/>
          <w:sz w:val="20"/>
          <w:szCs w:val="20"/>
          <w:lang w:val="it-IT"/>
        </w:rPr>
        <w:t>I.</w:t>
      </w:r>
    </w:p>
  </w:footnote>
  <w:footnote w:id="324">
    <w:p w14:paraId="077AD8C0" w14:textId="77257293" w:rsidR="00BB5B8C" w:rsidRPr="00687C21" w:rsidRDefault="00BB5B8C" w:rsidP="00687C21">
      <w:pPr>
        <w:pStyle w:val="FootnoteText"/>
        <w:contextualSpacing/>
        <w:mirrorIndents/>
        <w:jc w:val="both"/>
        <w:rPr>
          <w:color w:val="000000" w:themeColor="text1"/>
          <w:sz w:val="20"/>
          <w:szCs w:val="20"/>
        </w:rPr>
      </w:pPr>
      <w:r w:rsidRPr="00687C21">
        <w:rPr>
          <w:rStyle w:val="FootnoteReference"/>
          <w:color w:val="000000" w:themeColor="text1"/>
          <w:sz w:val="20"/>
          <w:szCs w:val="20"/>
        </w:rPr>
        <w:footnoteRef/>
      </w:r>
      <w:r w:rsidRPr="00687C21">
        <w:rPr>
          <w:color w:val="000000" w:themeColor="text1"/>
          <w:sz w:val="20"/>
          <w:szCs w:val="20"/>
        </w:rPr>
        <w:t xml:space="preserve"> Copyright Act, art 12(2). See arts 64 </w:t>
      </w:r>
      <w:r w:rsidRPr="00687C21">
        <w:rPr>
          <w:i/>
          <w:color w:val="000000" w:themeColor="text1"/>
          <w:sz w:val="20"/>
          <w:szCs w:val="20"/>
        </w:rPr>
        <w:t xml:space="preserve">bis </w:t>
      </w:r>
      <w:r w:rsidRPr="00687C21">
        <w:rPr>
          <w:color w:val="000000" w:themeColor="text1"/>
          <w:sz w:val="20"/>
          <w:szCs w:val="20"/>
        </w:rPr>
        <w:t xml:space="preserve">– 64 </w:t>
      </w:r>
      <w:r w:rsidRPr="00687C21">
        <w:rPr>
          <w:i/>
          <w:color w:val="000000" w:themeColor="text1"/>
          <w:sz w:val="20"/>
          <w:szCs w:val="20"/>
        </w:rPr>
        <w:t xml:space="preserve">quater </w:t>
      </w:r>
      <w:r w:rsidRPr="00687C21">
        <w:rPr>
          <w:color w:val="000000" w:themeColor="text1"/>
          <w:sz w:val="20"/>
          <w:szCs w:val="20"/>
        </w:rPr>
        <w:t>for the specific provisions on computer programs (the general rule on the economic use, however, applies also to computer programs).</w:t>
      </w:r>
    </w:p>
  </w:footnote>
  <w:footnote w:id="325">
    <w:p w14:paraId="0ED9F2F4" w14:textId="77777777" w:rsidR="00BB5B8C" w:rsidRPr="00687C21" w:rsidRDefault="00BB5B8C" w:rsidP="00687C21">
      <w:pPr>
        <w:pStyle w:val="FootnoteText"/>
        <w:contextualSpacing/>
        <w:mirrorIndents/>
        <w:jc w:val="both"/>
        <w:rPr>
          <w:color w:val="000000" w:themeColor="text1"/>
          <w:sz w:val="20"/>
          <w:szCs w:val="20"/>
        </w:rPr>
      </w:pPr>
      <w:r w:rsidRPr="00687C21">
        <w:rPr>
          <w:rStyle w:val="FootnoteReference"/>
          <w:color w:val="000000" w:themeColor="text1"/>
          <w:sz w:val="20"/>
          <w:szCs w:val="20"/>
        </w:rPr>
        <w:footnoteRef/>
      </w:r>
      <w:r w:rsidRPr="00687C21">
        <w:rPr>
          <w:color w:val="000000" w:themeColor="text1"/>
          <w:sz w:val="20"/>
          <w:szCs w:val="20"/>
        </w:rPr>
        <w:t xml:space="preserve"> Citizen Access Act, Article 5 </w:t>
      </w:r>
      <w:r w:rsidRPr="00687C21">
        <w:rPr>
          <w:i/>
          <w:color w:val="000000" w:themeColor="text1"/>
          <w:sz w:val="20"/>
          <w:szCs w:val="20"/>
        </w:rPr>
        <w:t xml:space="preserve">bis </w:t>
      </w:r>
      <w:r w:rsidRPr="00687C21">
        <w:rPr>
          <w:color w:val="000000" w:themeColor="text1"/>
          <w:sz w:val="20"/>
          <w:szCs w:val="20"/>
        </w:rPr>
        <w:t>(2)(c).</w:t>
      </w:r>
    </w:p>
  </w:footnote>
  <w:footnote w:id="326">
    <w:p w14:paraId="5A4A2CC4" w14:textId="77777777" w:rsidR="00BB5B8C" w:rsidRPr="00687C21" w:rsidRDefault="00BB5B8C" w:rsidP="00687C21">
      <w:pPr>
        <w:pStyle w:val="FootnoteText"/>
        <w:contextualSpacing/>
        <w:mirrorIndents/>
        <w:jc w:val="both"/>
        <w:rPr>
          <w:color w:val="000000" w:themeColor="text1"/>
          <w:sz w:val="20"/>
          <w:szCs w:val="20"/>
        </w:rPr>
      </w:pPr>
      <w:r w:rsidRPr="00687C21">
        <w:rPr>
          <w:rStyle w:val="FootnoteReference"/>
          <w:color w:val="000000" w:themeColor="text1"/>
          <w:sz w:val="20"/>
          <w:szCs w:val="20"/>
        </w:rPr>
        <w:footnoteRef/>
      </w:r>
      <w:r w:rsidRPr="00687C21">
        <w:rPr>
          <w:color w:val="000000" w:themeColor="text1"/>
          <w:sz w:val="20"/>
          <w:szCs w:val="20"/>
        </w:rPr>
        <w:t xml:space="preserve"> Administrative Procedure Act, Article 24(3). See, for </w:t>
      </w:r>
      <w:r w:rsidRPr="00687C21">
        <w:rPr>
          <w:color w:val="000000" w:themeColor="text1"/>
          <w:sz w:val="20"/>
          <w:szCs w:val="20"/>
          <w:shd w:val="clear" w:color="auto" w:fill="FFFFFF"/>
        </w:rPr>
        <w:t>instance, Consiglio di Stato, chamber V, 25 September 2006, No 5636.</w:t>
      </w:r>
    </w:p>
  </w:footnote>
  <w:footnote w:id="327">
    <w:p w14:paraId="6AA448E5" w14:textId="3FA81B75" w:rsidR="00BB5B8C" w:rsidRPr="00687C21" w:rsidRDefault="00BB5B8C" w:rsidP="00687C21">
      <w:pPr>
        <w:pStyle w:val="FootnoteText"/>
        <w:contextualSpacing/>
        <w:mirrorIndents/>
        <w:jc w:val="both"/>
        <w:rPr>
          <w:color w:val="000000" w:themeColor="text1"/>
          <w:sz w:val="20"/>
          <w:szCs w:val="20"/>
        </w:rPr>
      </w:pPr>
      <w:r w:rsidRPr="00687C21">
        <w:rPr>
          <w:rStyle w:val="FootnoteReference"/>
          <w:color w:val="000000" w:themeColor="text1"/>
          <w:sz w:val="20"/>
          <w:szCs w:val="20"/>
        </w:rPr>
        <w:footnoteRef/>
      </w:r>
      <w:r w:rsidRPr="00687C21">
        <w:rPr>
          <w:color w:val="000000" w:themeColor="text1"/>
          <w:sz w:val="20"/>
          <w:szCs w:val="20"/>
        </w:rPr>
        <w:t xml:space="preserve"> Citizen Access Act, art 5 </w:t>
      </w:r>
      <w:r w:rsidRPr="00687C21">
        <w:rPr>
          <w:i/>
          <w:color w:val="000000" w:themeColor="text1"/>
          <w:sz w:val="20"/>
          <w:szCs w:val="20"/>
        </w:rPr>
        <w:t xml:space="preserve">bis </w:t>
      </w:r>
      <w:r w:rsidRPr="00687C21">
        <w:rPr>
          <w:color w:val="000000" w:themeColor="text1"/>
          <w:sz w:val="20"/>
          <w:szCs w:val="20"/>
        </w:rPr>
        <w:t>(2)(c).</w:t>
      </w:r>
    </w:p>
  </w:footnote>
  <w:footnote w:id="328">
    <w:p w14:paraId="3B8D7666" w14:textId="77777777" w:rsidR="00BB5B8C" w:rsidRPr="00687C21" w:rsidRDefault="00BB5B8C" w:rsidP="00687C21">
      <w:pPr>
        <w:pStyle w:val="FootnoteText"/>
        <w:contextualSpacing/>
        <w:mirrorIndents/>
        <w:jc w:val="both"/>
        <w:rPr>
          <w:color w:val="000000" w:themeColor="text1"/>
          <w:sz w:val="20"/>
          <w:szCs w:val="20"/>
        </w:rPr>
      </w:pPr>
      <w:r w:rsidRPr="00687C21">
        <w:rPr>
          <w:rStyle w:val="FootnoteReference"/>
          <w:color w:val="000000" w:themeColor="text1"/>
          <w:sz w:val="20"/>
          <w:szCs w:val="20"/>
        </w:rPr>
        <w:footnoteRef/>
      </w:r>
      <w:r w:rsidRPr="00687C21">
        <w:rPr>
          <w:color w:val="000000" w:themeColor="text1"/>
          <w:sz w:val="20"/>
          <w:szCs w:val="20"/>
        </w:rPr>
        <w:t xml:space="preserve"> </w:t>
      </w:r>
      <w:r w:rsidRPr="00687C21">
        <w:rPr>
          <w:color w:val="000000" w:themeColor="text1"/>
          <w:sz w:val="20"/>
          <w:szCs w:val="20"/>
          <w:shd w:val="clear" w:color="auto" w:fill="FFFFFF"/>
        </w:rPr>
        <w:t>TAR Lazio, chamber III bis, 22 March 2017, No 3769.</w:t>
      </w:r>
    </w:p>
  </w:footnote>
  <w:footnote w:id="329">
    <w:p w14:paraId="3D03EE89" w14:textId="77777777" w:rsidR="00BB5B8C" w:rsidRPr="00687C21" w:rsidRDefault="00BB5B8C" w:rsidP="00687C21">
      <w:pPr>
        <w:pStyle w:val="FootnoteText"/>
        <w:contextualSpacing/>
        <w:mirrorIndents/>
        <w:jc w:val="both"/>
        <w:rPr>
          <w:color w:val="000000" w:themeColor="text1"/>
          <w:sz w:val="20"/>
          <w:szCs w:val="20"/>
        </w:rPr>
      </w:pPr>
      <w:r w:rsidRPr="00687C21">
        <w:rPr>
          <w:rStyle w:val="FootnoteReference"/>
          <w:color w:val="000000" w:themeColor="text1"/>
          <w:sz w:val="20"/>
          <w:szCs w:val="20"/>
        </w:rPr>
        <w:footnoteRef/>
      </w:r>
      <w:r w:rsidRPr="00687C21">
        <w:rPr>
          <w:color w:val="000000" w:themeColor="text1"/>
          <w:sz w:val="20"/>
          <w:szCs w:val="20"/>
        </w:rPr>
        <w:t xml:space="preserve"> It is not a coincidence that the applicant is not an individual, but a trade union, which is likely to have the resources to make sense of a source code. The fact that a lay person could hardly understand a source code has been used as an argument against the recognition of computer programs as digital administrative documents. However, the court points out that the choice of an innovative tool cannot deprive the citizens of the right to access administrative documents and that, anyway, the applicant may avail themselves of the collaboration of an IT person to decipher the code.</w:t>
      </w:r>
    </w:p>
  </w:footnote>
  <w:footnote w:id="330">
    <w:p w14:paraId="5AE2E28C" w14:textId="0F8B07AA" w:rsidR="00BB5B8C" w:rsidRPr="00687C21" w:rsidRDefault="00BB5B8C" w:rsidP="00687C21">
      <w:pPr>
        <w:jc w:val="both"/>
        <w:rPr>
          <w:color w:val="000000" w:themeColor="text1"/>
          <w:sz w:val="20"/>
          <w:szCs w:val="20"/>
        </w:rPr>
      </w:pPr>
      <w:r w:rsidRPr="00687C21">
        <w:rPr>
          <w:rStyle w:val="FootnoteReference"/>
          <w:color w:val="000000" w:themeColor="text1"/>
          <w:sz w:val="20"/>
          <w:szCs w:val="20"/>
        </w:rPr>
        <w:footnoteRef/>
      </w:r>
      <w:r w:rsidRPr="00687C21">
        <w:rPr>
          <w:color w:val="000000" w:themeColor="text1"/>
          <w:sz w:val="20"/>
          <w:szCs w:val="20"/>
          <w:lang w:val="it-IT"/>
        </w:rPr>
        <w:t xml:space="preserve"> </w:t>
      </w:r>
      <w:r w:rsidRPr="00687C21">
        <w:rPr>
          <w:color w:val="000000" w:themeColor="text1"/>
          <w:sz w:val="20"/>
          <w:szCs w:val="20"/>
        </w:rPr>
        <w:t xml:space="preserve">Giurdanella (n </w:t>
      </w:r>
      <w:r w:rsidR="00C97818">
        <w:rPr>
          <w:color w:val="000000" w:themeColor="text1"/>
          <w:sz w:val="20"/>
          <w:szCs w:val="20"/>
        </w:rPr>
        <w:t>311</w:t>
      </w:r>
      <w:r w:rsidRPr="00687C21">
        <w:rPr>
          <w:color w:val="000000" w:themeColor="text1"/>
          <w:sz w:val="20"/>
          <w:szCs w:val="20"/>
        </w:rPr>
        <w:t xml:space="preserve">) 33, referring to Giovanni Sartor, </w:t>
      </w:r>
      <w:r w:rsidRPr="00687C21">
        <w:rPr>
          <w:i/>
          <w:color w:val="000000" w:themeColor="text1"/>
          <w:sz w:val="20"/>
          <w:szCs w:val="20"/>
        </w:rPr>
        <w:t>Le applicazioni giuridiche dell’intelligenza artificiale</w:t>
      </w:r>
      <w:r w:rsidRPr="00687C21">
        <w:rPr>
          <w:color w:val="000000" w:themeColor="text1"/>
          <w:sz w:val="20"/>
          <w:szCs w:val="20"/>
        </w:rPr>
        <w:t xml:space="preserve"> (Giuffrè1990) and Giovanni Sartor, ‘Gli agenti software: nuovi soggetti del cyberdiritto?’ (2002) Contratto e impresa 465.</w:t>
      </w:r>
    </w:p>
  </w:footnote>
  <w:footnote w:id="331">
    <w:p w14:paraId="34773E36" w14:textId="69C32C20" w:rsidR="00BB5B8C" w:rsidRPr="00687C21" w:rsidRDefault="00BB5B8C" w:rsidP="00687C21">
      <w:pPr>
        <w:pStyle w:val="FootnoteText"/>
        <w:jc w:val="both"/>
        <w:rPr>
          <w:color w:val="000000" w:themeColor="text1"/>
          <w:sz w:val="20"/>
          <w:szCs w:val="20"/>
        </w:rPr>
      </w:pPr>
      <w:r w:rsidRPr="00687C21">
        <w:rPr>
          <w:rStyle w:val="FootnoteReference"/>
          <w:color w:val="000000" w:themeColor="text1"/>
          <w:sz w:val="20"/>
          <w:szCs w:val="20"/>
        </w:rPr>
        <w:footnoteRef/>
      </w:r>
      <w:r w:rsidRPr="00687C21">
        <w:rPr>
          <w:color w:val="000000" w:themeColor="text1"/>
          <w:sz w:val="20"/>
          <w:szCs w:val="20"/>
        </w:rPr>
        <w:t xml:space="preserve"> Keats (n 4) 1.</w:t>
      </w:r>
    </w:p>
  </w:footnote>
  <w:footnote w:id="332">
    <w:p w14:paraId="40230128" w14:textId="6ACF4652" w:rsidR="00BB5B8C" w:rsidRPr="00687C21" w:rsidRDefault="00BB5B8C" w:rsidP="00687C21">
      <w:pPr>
        <w:jc w:val="both"/>
        <w:rPr>
          <w:bCs/>
          <w:color w:val="000000" w:themeColor="text1"/>
          <w:sz w:val="20"/>
          <w:szCs w:val="20"/>
        </w:rPr>
      </w:pPr>
      <w:r w:rsidRPr="00687C21">
        <w:rPr>
          <w:rStyle w:val="FootnoteReference"/>
          <w:color w:val="000000" w:themeColor="text1"/>
          <w:sz w:val="20"/>
          <w:szCs w:val="20"/>
          <w:lang w:eastAsia="ko-KR"/>
        </w:rPr>
        <w:footnoteRef/>
      </w:r>
      <w:r w:rsidRPr="00687C21">
        <w:rPr>
          <w:rStyle w:val="FootnoteReference"/>
          <w:color w:val="000000" w:themeColor="text1"/>
          <w:sz w:val="20"/>
          <w:szCs w:val="20"/>
          <w:lang w:eastAsia="ko-KR"/>
        </w:rPr>
        <w:t xml:space="preserve"> </w:t>
      </w:r>
      <w:r w:rsidRPr="00687C21">
        <w:rPr>
          <w:bCs/>
          <w:color w:val="000000" w:themeColor="text1"/>
          <w:sz w:val="20"/>
          <w:szCs w:val="20"/>
        </w:rPr>
        <w:t xml:space="preserve">The trends of data protection by design, ethics by design, etc. may be explained as a tendency to anthropomorphise non-human agents. See, for example, British Standard Institution, </w:t>
      </w:r>
      <w:r w:rsidRPr="00687C21">
        <w:rPr>
          <w:bCs/>
          <w:i/>
          <w:color w:val="000000" w:themeColor="text1"/>
          <w:sz w:val="20"/>
          <w:szCs w:val="20"/>
        </w:rPr>
        <w:t>Robots and robotic devices. Guide to the ethical design and application of robots and robotic systems</w:t>
      </w:r>
      <w:r w:rsidRPr="00687C21">
        <w:rPr>
          <w:bCs/>
          <w:color w:val="000000" w:themeColor="text1"/>
          <w:sz w:val="20"/>
          <w:szCs w:val="20"/>
        </w:rPr>
        <w:t xml:space="preserve"> (BSI 2016); </w:t>
      </w:r>
      <w:r w:rsidRPr="00687C21">
        <w:rPr>
          <w:bCs/>
          <w:i/>
          <w:color w:val="000000" w:themeColor="text1"/>
          <w:sz w:val="20"/>
          <w:szCs w:val="20"/>
        </w:rPr>
        <w:t>cf</w:t>
      </w:r>
      <w:r w:rsidRPr="00687C21">
        <w:rPr>
          <w:bCs/>
          <w:color w:val="000000" w:themeColor="text1"/>
          <w:sz w:val="20"/>
          <w:szCs w:val="20"/>
        </w:rPr>
        <w:t xml:space="preserve"> Guido Noto La Diega, ‘The European strategy on robotics and artificial intelligence: too much ethics, too little security’ (2017) 3(2) European Cybersecurity Journal 6.</w:t>
      </w:r>
    </w:p>
  </w:footnote>
  <w:footnote w:id="333">
    <w:p w14:paraId="3CC6EDDF" w14:textId="0558851F" w:rsidR="00BB5B8C" w:rsidRPr="00687C21" w:rsidRDefault="00BB5B8C" w:rsidP="00687C21">
      <w:pPr>
        <w:pStyle w:val="FootnoteText"/>
        <w:jc w:val="both"/>
        <w:rPr>
          <w:color w:val="000000" w:themeColor="text1"/>
          <w:sz w:val="20"/>
          <w:szCs w:val="20"/>
        </w:rPr>
      </w:pPr>
      <w:r w:rsidRPr="00687C21">
        <w:rPr>
          <w:rStyle w:val="FootnoteReference"/>
          <w:color w:val="000000" w:themeColor="text1"/>
          <w:sz w:val="20"/>
          <w:szCs w:val="20"/>
        </w:rPr>
        <w:footnoteRef/>
      </w:r>
      <w:r w:rsidRPr="00687C21">
        <w:rPr>
          <w:color w:val="000000" w:themeColor="text1"/>
          <w:sz w:val="20"/>
          <w:szCs w:val="20"/>
        </w:rPr>
        <w:t xml:space="preserve"> For a positive step in this direction, see Bett M Frischmann and Evan Selinger, </w:t>
      </w:r>
      <w:r w:rsidRPr="00687C21">
        <w:rPr>
          <w:i/>
          <w:color w:val="000000" w:themeColor="text1"/>
          <w:sz w:val="20"/>
          <w:szCs w:val="20"/>
        </w:rPr>
        <w:t>Re-engineering humanity</w:t>
      </w:r>
      <w:r w:rsidRPr="00687C21">
        <w:rPr>
          <w:color w:val="000000" w:themeColor="text1"/>
          <w:sz w:val="20"/>
          <w:szCs w:val="20"/>
        </w:rPr>
        <w:t> (CUP 2018).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B6474"/>
    <w:multiLevelType w:val="hybridMultilevel"/>
    <w:tmpl w:val="E360A03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D019A6"/>
    <w:multiLevelType w:val="hybridMultilevel"/>
    <w:tmpl w:val="BBE6EEF0"/>
    <w:lvl w:ilvl="0" w:tplc="713A554C">
      <w:start w:val="2"/>
      <w:numFmt w:val="upp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098A19F7"/>
    <w:multiLevelType w:val="hybridMultilevel"/>
    <w:tmpl w:val="DC321AFA"/>
    <w:lvl w:ilvl="0" w:tplc="5156CF80">
      <w:start w:val="2"/>
      <w:numFmt w:val="upp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BE37EE2"/>
    <w:multiLevelType w:val="hybridMultilevel"/>
    <w:tmpl w:val="39B4FE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52285C"/>
    <w:multiLevelType w:val="hybridMultilevel"/>
    <w:tmpl w:val="923228BC"/>
    <w:lvl w:ilvl="0" w:tplc="46C0BF62">
      <w:start w:val="1"/>
      <w:numFmt w:val="upp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15:restartNumberingAfterBreak="0">
    <w:nsid w:val="2A9B355B"/>
    <w:multiLevelType w:val="hybridMultilevel"/>
    <w:tmpl w:val="E144A59C"/>
    <w:lvl w:ilvl="0" w:tplc="CE64862C">
      <w:start w:val="1"/>
      <w:numFmt w:val="upperRoman"/>
      <w:lvlText w:val="%1."/>
      <w:lvlJc w:val="left"/>
      <w:pPr>
        <w:ind w:left="2160" w:hanging="720"/>
      </w:pPr>
      <w:rPr>
        <w:rFonts w:hint="default"/>
        <w:b/>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15:restartNumberingAfterBreak="0">
    <w:nsid w:val="33DF37BD"/>
    <w:multiLevelType w:val="hybridMultilevel"/>
    <w:tmpl w:val="33547330"/>
    <w:lvl w:ilvl="0" w:tplc="70141692">
      <w:start w:val="1"/>
      <w:numFmt w:val="bullet"/>
      <w:lvlText w:val="■"/>
      <w:lvlJc w:val="left"/>
      <w:pPr>
        <w:tabs>
          <w:tab w:val="num" w:pos="720"/>
        </w:tabs>
        <w:ind w:left="720" w:hanging="360"/>
      </w:pPr>
      <w:rPr>
        <w:rFonts w:ascii="Franklin Gothic Book" w:hAnsi="Franklin Gothic Book" w:hint="default"/>
      </w:rPr>
    </w:lvl>
    <w:lvl w:ilvl="1" w:tplc="6256DE20" w:tentative="1">
      <w:start w:val="1"/>
      <w:numFmt w:val="bullet"/>
      <w:lvlText w:val="■"/>
      <w:lvlJc w:val="left"/>
      <w:pPr>
        <w:tabs>
          <w:tab w:val="num" w:pos="1440"/>
        </w:tabs>
        <w:ind w:left="1440" w:hanging="360"/>
      </w:pPr>
      <w:rPr>
        <w:rFonts w:ascii="Franklin Gothic Book" w:hAnsi="Franklin Gothic Book" w:hint="default"/>
      </w:rPr>
    </w:lvl>
    <w:lvl w:ilvl="2" w:tplc="2B584668" w:tentative="1">
      <w:start w:val="1"/>
      <w:numFmt w:val="bullet"/>
      <w:lvlText w:val="■"/>
      <w:lvlJc w:val="left"/>
      <w:pPr>
        <w:tabs>
          <w:tab w:val="num" w:pos="2160"/>
        </w:tabs>
        <w:ind w:left="2160" w:hanging="360"/>
      </w:pPr>
      <w:rPr>
        <w:rFonts w:ascii="Franklin Gothic Book" w:hAnsi="Franklin Gothic Book" w:hint="default"/>
      </w:rPr>
    </w:lvl>
    <w:lvl w:ilvl="3" w:tplc="6DAA6B50" w:tentative="1">
      <w:start w:val="1"/>
      <w:numFmt w:val="bullet"/>
      <w:lvlText w:val="■"/>
      <w:lvlJc w:val="left"/>
      <w:pPr>
        <w:tabs>
          <w:tab w:val="num" w:pos="2880"/>
        </w:tabs>
        <w:ind w:left="2880" w:hanging="360"/>
      </w:pPr>
      <w:rPr>
        <w:rFonts w:ascii="Franklin Gothic Book" w:hAnsi="Franklin Gothic Book" w:hint="default"/>
      </w:rPr>
    </w:lvl>
    <w:lvl w:ilvl="4" w:tplc="63ECF506" w:tentative="1">
      <w:start w:val="1"/>
      <w:numFmt w:val="bullet"/>
      <w:lvlText w:val="■"/>
      <w:lvlJc w:val="left"/>
      <w:pPr>
        <w:tabs>
          <w:tab w:val="num" w:pos="3600"/>
        </w:tabs>
        <w:ind w:left="3600" w:hanging="360"/>
      </w:pPr>
      <w:rPr>
        <w:rFonts w:ascii="Franklin Gothic Book" w:hAnsi="Franklin Gothic Book" w:hint="default"/>
      </w:rPr>
    </w:lvl>
    <w:lvl w:ilvl="5" w:tplc="94CE34AA" w:tentative="1">
      <w:start w:val="1"/>
      <w:numFmt w:val="bullet"/>
      <w:lvlText w:val="■"/>
      <w:lvlJc w:val="left"/>
      <w:pPr>
        <w:tabs>
          <w:tab w:val="num" w:pos="4320"/>
        </w:tabs>
        <w:ind w:left="4320" w:hanging="360"/>
      </w:pPr>
      <w:rPr>
        <w:rFonts w:ascii="Franklin Gothic Book" w:hAnsi="Franklin Gothic Book" w:hint="default"/>
      </w:rPr>
    </w:lvl>
    <w:lvl w:ilvl="6" w:tplc="EDD0D50C" w:tentative="1">
      <w:start w:val="1"/>
      <w:numFmt w:val="bullet"/>
      <w:lvlText w:val="■"/>
      <w:lvlJc w:val="left"/>
      <w:pPr>
        <w:tabs>
          <w:tab w:val="num" w:pos="5040"/>
        </w:tabs>
        <w:ind w:left="5040" w:hanging="360"/>
      </w:pPr>
      <w:rPr>
        <w:rFonts w:ascii="Franklin Gothic Book" w:hAnsi="Franklin Gothic Book" w:hint="default"/>
      </w:rPr>
    </w:lvl>
    <w:lvl w:ilvl="7" w:tplc="DDC8C9F6" w:tentative="1">
      <w:start w:val="1"/>
      <w:numFmt w:val="bullet"/>
      <w:lvlText w:val="■"/>
      <w:lvlJc w:val="left"/>
      <w:pPr>
        <w:tabs>
          <w:tab w:val="num" w:pos="5760"/>
        </w:tabs>
        <w:ind w:left="5760" w:hanging="360"/>
      </w:pPr>
      <w:rPr>
        <w:rFonts w:ascii="Franklin Gothic Book" w:hAnsi="Franklin Gothic Book" w:hint="default"/>
      </w:rPr>
    </w:lvl>
    <w:lvl w:ilvl="8" w:tplc="93967AFA" w:tentative="1">
      <w:start w:val="1"/>
      <w:numFmt w:val="bullet"/>
      <w:lvlText w:val="■"/>
      <w:lvlJc w:val="left"/>
      <w:pPr>
        <w:tabs>
          <w:tab w:val="num" w:pos="6480"/>
        </w:tabs>
        <w:ind w:left="6480" w:hanging="360"/>
      </w:pPr>
      <w:rPr>
        <w:rFonts w:ascii="Franklin Gothic Book" w:hAnsi="Franklin Gothic Book" w:hint="default"/>
      </w:rPr>
    </w:lvl>
  </w:abstractNum>
  <w:abstractNum w:abstractNumId="7" w15:restartNumberingAfterBreak="0">
    <w:nsid w:val="346377A8"/>
    <w:multiLevelType w:val="hybridMultilevel"/>
    <w:tmpl w:val="76AC20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F6A060F"/>
    <w:multiLevelType w:val="multilevel"/>
    <w:tmpl w:val="548268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10A53DB"/>
    <w:multiLevelType w:val="hybridMultilevel"/>
    <w:tmpl w:val="74E6341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687463C"/>
    <w:multiLevelType w:val="hybridMultilevel"/>
    <w:tmpl w:val="73D4FF46"/>
    <w:lvl w:ilvl="0" w:tplc="2E862CC2">
      <w:start w:val="3"/>
      <w:numFmt w:val="upp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1" w15:restartNumberingAfterBreak="0">
    <w:nsid w:val="5FA80401"/>
    <w:multiLevelType w:val="multilevel"/>
    <w:tmpl w:val="897017D4"/>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6A7720BC"/>
    <w:multiLevelType w:val="multilevel"/>
    <w:tmpl w:val="EA682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D952946"/>
    <w:multiLevelType w:val="hybridMultilevel"/>
    <w:tmpl w:val="8BAE13C4"/>
    <w:lvl w:ilvl="0" w:tplc="81482B10">
      <w:start w:val="1"/>
      <w:numFmt w:val="upperLetter"/>
      <w:lvlText w:val="%1."/>
      <w:lvlJc w:val="left"/>
      <w:pPr>
        <w:ind w:left="720" w:hanging="360"/>
      </w:pPr>
      <w:rPr>
        <w:rFonts w:ascii="TitilliumMaps29L" w:hAnsi="TitilliumMaps29L" w:hint="default"/>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D9944A3"/>
    <w:multiLevelType w:val="multilevel"/>
    <w:tmpl w:val="C6CE6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F671C1C"/>
    <w:multiLevelType w:val="multilevel"/>
    <w:tmpl w:val="1B8C39B8"/>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6" w15:restartNumberingAfterBreak="0">
    <w:nsid w:val="73207577"/>
    <w:multiLevelType w:val="multilevel"/>
    <w:tmpl w:val="454A91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FB47976"/>
    <w:multiLevelType w:val="hybridMultilevel"/>
    <w:tmpl w:val="FBFA287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3"/>
  </w:num>
  <w:num w:numId="3">
    <w:abstractNumId w:val="7"/>
  </w:num>
  <w:num w:numId="4">
    <w:abstractNumId w:val="6"/>
  </w:num>
  <w:num w:numId="5">
    <w:abstractNumId w:val="15"/>
  </w:num>
  <w:num w:numId="6">
    <w:abstractNumId w:val="11"/>
  </w:num>
  <w:num w:numId="7">
    <w:abstractNumId w:val="5"/>
  </w:num>
  <w:num w:numId="8">
    <w:abstractNumId w:val="10"/>
  </w:num>
  <w:num w:numId="9">
    <w:abstractNumId w:val="1"/>
  </w:num>
  <w:num w:numId="10">
    <w:abstractNumId w:val="2"/>
  </w:num>
  <w:num w:numId="11">
    <w:abstractNumId w:val="4"/>
  </w:num>
  <w:num w:numId="12">
    <w:abstractNumId w:val="0"/>
  </w:num>
  <w:num w:numId="13">
    <w:abstractNumId w:val="8"/>
  </w:num>
  <w:num w:numId="14">
    <w:abstractNumId w:val="16"/>
  </w:num>
  <w:num w:numId="15">
    <w:abstractNumId w:val="9"/>
  </w:num>
  <w:num w:numId="16">
    <w:abstractNumId w:val="13"/>
  </w:num>
  <w:num w:numId="17">
    <w:abstractNumId w:val="12"/>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Annotate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ewaxfxvpkvsvwlearsupfssvx5axa0d05eas&quot;&gt;My EndNote Library&lt;record-ids&gt;&lt;item&gt;75&lt;/item&gt;&lt;/record-ids&gt;&lt;/item&gt;&lt;/Libraries&gt;"/>
  </w:docVars>
  <w:rsids>
    <w:rsidRoot w:val="000D2C8C"/>
    <w:rsid w:val="0000041B"/>
    <w:rsid w:val="00005AD8"/>
    <w:rsid w:val="00006F0C"/>
    <w:rsid w:val="00014441"/>
    <w:rsid w:val="0001559F"/>
    <w:rsid w:val="00017E49"/>
    <w:rsid w:val="00024033"/>
    <w:rsid w:val="000260E3"/>
    <w:rsid w:val="00030172"/>
    <w:rsid w:val="00032347"/>
    <w:rsid w:val="00033D92"/>
    <w:rsid w:val="00041179"/>
    <w:rsid w:val="00045954"/>
    <w:rsid w:val="0005186B"/>
    <w:rsid w:val="000521D4"/>
    <w:rsid w:val="0006188F"/>
    <w:rsid w:val="00061BB7"/>
    <w:rsid w:val="000723F0"/>
    <w:rsid w:val="0007743A"/>
    <w:rsid w:val="00081BD8"/>
    <w:rsid w:val="00081E0D"/>
    <w:rsid w:val="000824E7"/>
    <w:rsid w:val="00085D98"/>
    <w:rsid w:val="00092CB9"/>
    <w:rsid w:val="0009554F"/>
    <w:rsid w:val="00096E0B"/>
    <w:rsid w:val="00097344"/>
    <w:rsid w:val="000A2897"/>
    <w:rsid w:val="000A32E7"/>
    <w:rsid w:val="000A433F"/>
    <w:rsid w:val="000A6F16"/>
    <w:rsid w:val="000A7147"/>
    <w:rsid w:val="000B2BBE"/>
    <w:rsid w:val="000B5A32"/>
    <w:rsid w:val="000B67AF"/>
    <w:rsid w:val="000C09CC"/>
    <w:rsid w:val="000C7C80"/>
    <w:rsid w:val="000D153E"/>
    <w:rsid w:val="000D2A52"/>
    <w:rsid w:val="000D2C8C"/>
    <w:rsid w:val="000D6BC9"/>
    <w:rsid w:val="000E077C"/>
    <w:rsid w:val="000E36C9"/>
    <w:rsid w:val="000E4B33"/>
    <w:rsid w:val="000F0FDE"/>
    <w:rsid w:val="000F10B1"/>
    <w:rsid w:val="000F1C81"/>
    <w:rsid w:val="000F430D"/>
    <w:rsid w:val="000F58C2"/>
    <w:rsid w:val="000F5DD7"/>
    <w:rsid w:val="000F6E5E"/>
    <w:rsid w:val="001007EA"/>
    <w:rsid w:val="00110F53"/>
    <w:rsid w:val="00111063"/>
    <w:rsid w:val="00115D3B"/>
    <w:rsid w:val="00116781"/>
    <w:rsid w:val="00120A69"/>
    <w:rsid w:val="00121456"/>
    <w:rsid w:val="00125408"/>
    <w:rsid w:val="00130D72"/>
    <w:rsid w:val="00131571"/>
    <w:rsid w:val="00132022"/>
    <w:rsid w:val="00133D67"/>
    <w:rsid w:val="00135FFA"/>
    <w:rsid w:val="00146EED"/>
    <w:rsid w:val="0015102C"/>
    <w:rsid w:val="001537A5"/>
    <w:rsid w:val="0016026E"/>
    <w:rsid w:val="00162BED"/>
    <w:rsid w:val="00177B70"/>
    <w:rsid w:val="00177FA2"/>
    <w:rsid w:val="00183CFA"/>
    <w:rsid w:val="001934C4"/>
    <w:rsid w:val="0019667B"/>
    <w:rsid w:val="001A7A0A"/>
    <w:rsid w:val="001A7E82"/>
    <w:rsid w:val="001B5E42"/>
    <w:rsid w:val="001C4A77"/>
    <w:rsid w:val="001C7452"/>
    <w:rsid w:val="001D138F"/>
    <w:rsid w:val="001D2445"/>
    <w:rsid w:val="001D5068"/>
    <w:rsid w:val="001E1148"/>
    <w:rsid w:val="001E2B43"/>
    <w:rsid w:val="001E2F59"/>
    <w:rsid w:val="001E4012"/>
    <w:rsid w:val="001E50C5"/>
    <w:rsid w:val="001E56D2"/>
    <w:rsid w:val="001F0557"/>
    <w:rsid w:val="001F200E"/>
    <w:rsid w:val="001F3499"/>
    <w:rsid w:val="001F49F0"/>
    <w:rsid w:val="001F5133"/>
    <w:rsid w:val="001F6643"/>
    <w:rsid w:val="001F7AB9"/>
    <w:rsid w:val="002111D5"/>
    <w:rsid w:val="002117EF"/>
    <w:rsid w:val="00212823"/>
    <w:rsid w:val="0022047B"/>
    <w:rsid w:val="002214FE"/>
    <w:rsid w:val="00221DB5"/>
    <w:rsid w:val="00223F3D"/>
    <w:rsid w:val="00225AEE"/>
    <w:rsid w:val="00242CEE"/>
    <w:rsid w:val="0024477A"/>
    <w:rsid w:val="00251B87"/>
    <w:rsid w:val="00252890"/>
    <w:rsid w:val="00253E22"/>
    <w:rsid w:val="00255DC4"/>
    <w:rsid w:val="00257CB6"/>
    <w:rsid w:val="00260686"/>
    <w:rsid w:val="00260D65"/>
    <w:rsid w:val="00262CC6"/>
    <w:rsid w:val="00263303"/>
    <w:rsid w:val="0026365B"/>
    <w:rsid w:val="002650A7"/>
    <w:rsid w:val="00267421"/>
    <w:rsid w:val="002717FE"/>
    <w:rsid w:val="0027254B"/>
    <w:rsid w:val="00276EAE"/>
    <w:rsid w:val="002801F7"/>
    <w:rsid w:val="0028123C"/>
    <w:rsid w:val="002812B7"/>
    <w:rsid w:val="0029345D"/>
    <w:rsid w:val="00294063"/>
    <w:rsid w:val="00297C85"/>
    <w:rsid w:val="00297D03"/>
    <w:rsid w:val="002A1E9E"/>
    <w:rsid w:val="002B049D"/>
    <w:rsid w:val="002B7765"/>
    <w:rsid w:val="002C0279"/>
    <w:rsid w:val="002C1B47"/>
    <w:rsid w:val="002C5C3F"/>
    <w:rsid w:val="002D1B6E"/>
    <w:rsid w:val="002D33F5"/>
    <w:rsid w:val="002D4840"/>
    <w:rsid w:val="002D5D67"/>
    <w:rsid w:val="002D6C9B"/>
    <w:rsid w:val="002D72C8"/>
    <w:rsid w:val="002E235B"/>
    <w:rsid w:val="002E23D7"/>
    <w:rsid w:val="002E36AE"/>
    <w:rsid w:val="002F11D1"/>
    <w:rsid w:val="002F24B9"/>
    <w:rsid w:val="002F3362"/>
    <w:rsid w:val="002F4C38"/>
    <w:rsid w:val="002F7EEB"/>
    <w:rsid w:val="0030104A"/>
    <w:rsid w:val="00304024"/>
    <w:rsid w:val="00304DD7"/>
    <w:rsid w:val="00305BEF"/>
    <w:rsid w:val="00306C74"/>
    <w:rsid w:val="0031284E"/>
    <w:rsid w:val="00313364"/>
    <w:rsid w:val="00313FBF"/>
    <w:rsid w:val="003159F9"/>
    <w:rsid w:val="00317A7F"/>
    <w:rsid w:val="00317CF1"/>
    <w:rsid w:val="00320D25"/>
    <w:rsid w:val="0032326D"/>
    <w:rsid w:val="00324497"/>
    <w:rsid w:val="00324D74"/>
    <w:rsid w:val="00327632"/>
    <w:rsid w:val="00346CF2"/>
    <w:rsid w:val="00346DD1"/>
    <w:rsid w:val="0034704B"/>
    <w:rsid w:val="00351D52"/>
    <w:rsid w:val="003527DE"/>
    <w:rsid w:val="00353553"/>
    <w:rsid w:val="0035477F"/>
    <w:rsid w:val="00354FD8"/>
    <w:rsid w:val="00357D34"/>
    <w:rsid w:val="00360718"/>
    <w:rsid w:val="003627AC"/>
    <w:rsid w:val="0036379C"/>
    <w:rsid w:val="00365FCD"/>
    <w:rsid w:val="003726DE"/>
    <w:rsid w:val="00372C8F"/>
    <w:rsid w:val="00373D37"/>
    <w:rsid w:val="003741CF"/>
    <w:rsid w:val="00375E63"/>
    <w:rsid w:val="00377EDD"/>
    <w:rsid w:val="00380BC3"/>
    <w:rsid w:val="003929F4"/>
    <w:rsid w:val="0039316A"/>
    <w:rsid w:val="00394B94"/>
    <w:rsid w:val="00395BD2"/>
    <w:rsid w:val="00396875"/>
    <w:rsid w:val="003A20F1"/>
    <w:rsid w:val="003A30C4"/>
    <w:rsid w:val="003A5433"/>
    <w:rsid w:val="003B1E95"/>
    <w:rsid w:val="003B6000"/>
    <w:rsid w:val="003B6055"/>
    <w:rsid w:val="003B6C1C"/>
    <w:rsid w:val="003C440E"/>
    <w:rsid w:val="003C5F7D"/>
    <w:rsid w:val="003C7B72"/>
    <w:rsid w:val="003E089F"/>
    <w:rsid w:val="003E603A"/>
    <w:rsid w:val="003E7125"/>
    <w:rsid w:val="003E7AAF"/>
    <w:rsid w:val="003F321E"/>
    <w:rsid w:val="003F4CE9"/>
    <w:rsid w:val="003F6378"/>
    <w:rsid w:val="003F654E"/>
    <w:rsid w:val="0041035E"/>
    <w:rsid w:val="00410FC8"/>
    <w:rsid w:val="00414705"/>
    <w:rsid w:val="00425FAB"/>
    <w:rsid w:val="00426B8A"/>
    <w:rsid w:val="00430B6F"/>
    <w:rsid w:val="00431B81"/>
    <w:rsid w:val="00431ED8"/>
    <w:rsid w:val="00433249"/>
    <w:rsid w:val="0043746F"/>
    <w:rsid w:val="00441930"/>
    <w:rsid w:val="00443163"/>
    <w:rsid w:val="00447410"/>
    <w:rsid w:val="00447B4F"/>
    <w:rsid w:val="00450791"/>
    <w:rsid w:val="0045242C"/>
    <w:rsid w:val="00455957"/>
    <w:rsid w:val="00460E01"/>
    <w:rsid w:val="00462C66"/>
    <w:rsid w:val="00463930"/>
    <w:rsid w:val="00466407"/>
    <w:rsid w:val="004672E2"/>
    <w:rsid w:val="00470897"/>
    <w:rsid w:val="0047594F"/>
    <w:rsid w:val="00486AF2"/>
    <w:rsid w:val="00486D6F"/>
    <w:rsid w:val="004874B2"/>
    <w:rsid w:val="004918D0"/>
    <w:rsid w:val="00492335"/>
    <w:rsid w:val="0049269F"/>
    <w:rsid w:val="00493AB8"/>
    <w:rsid w:val="00493B53"/>
    <w:rsid w:val="004941EB"/>
    <w:rsid w:val="0049506C"/>
    <w:rsid w:val="004958F3"/>
    <w:rsid w:val="004959BC"/>
    <w:rsid w:val="00495F96"/>
    <w:rsid w:val="004A04B1"/>
    <w:rsid w:val="004B55BA"/>
    <w:rsid w:val="004B5E0D"/>
    <w:rsid w:val="004B63BD"/>
    <w:rsid w:val="004C07D7"/>
    <w:rsid w:val="004D3C70"/>
    <w:rsid w:val="004D64E4"/>
    <w:rsid w:val="004E1B4E"/>
    <w:rsid w:val="004E7873"/>
    <w:rsid w:val="004F3AD6"/>
    <w:rsid w:val="004F4403"/>
    <w:rsid w:val="004F5EF6"/>
    <w:rsid w:val="00500B6D"/>
    <w:rsid w:val="00501BFD"/>
    <w:rsid w:val="005033ED"/>
    <w:rsid w:val="005048CF"/>
    <w:rsid w:val="005063CB"/>
    <w:rsid w:val="00513A47"/>
    <w:rsid w:val="0051607F"/>
    <w:rsid w:val="00520059"/>
    <w:rsid w:val="00525EAC"/>
    <w:rsid w:val="00527970"/>
    <w:rsid w:val="00527D5C"/>
    <w:rsid w:val="00531219"/>
    <w:rsid w:val="005328F7"/>
    <w:rsid w:val="0053525F"/>
    <w:rsid w:val="0054420D"/>
    <w:rsid w:val="005523E5"/>
    <w:rsid w:val="0055369A"/>
    <w:rsid w:val="00565BBD"/>
    <w:rsid w:val="00565D66"/>
    <w:rsid w:val="00570107"/>
    <w:rsid w:val="005723C9"/>
    <w:rsid w:val="00575CA6"/>
    <w:rsid w:val="005805C5"/>
    <w:rsid w:val="00581F98"/>
    <w:rsid w:val="00582B42"/>
    <w:rsid w:val="005834D2"/>
    <w:rsid w:val="00583814"/>
    <w:rsid w:val="00583DCC"/>
    <w:rsid w:val="00583FB7"/>
    <w:rsid w:val="00585622"/>
    <w:rsid w:val="005878A9"/>
    <w:rsid w:val="00593703"/>
    <w:rsid w:val="00593E82"/>
    <w:rsid w:val="00594124"/>
    <w:rsid w:val="005A01EC"/>
    <w:rsid w:val="005A0E28"/>
    <w:rsid w:val="005A2D7C"/>
    <w:rsid w:val="005A4A50"/>
    <w:rsid w:val="005A6D6B"/>
    <w:rsid w:val="005B1F8D"/>
    <w:rsid w:val="005B68DF"/>
    <w:rsid w:val="005B706F"/>
    <w:rsid w:val="005C11DB"/>
    <w:rsid w:val="005C4A82"/>
    <w:rsid w:val="005D1AA5"/>
    <w:rsid w:val="005D66A6"/>
    <w:rsid w:val="005E41DF"/>
    <w:rsid w:val="005E4470"/>
    <w:rsid w:val="005E5D02"/>
    <w:rsid w:val="005F2488"/>
    <w:rsid w:val="005F3EE2"/>
    <w:rsid w:val="00601DD5"/>
    <w:rsid w:val="00602536"/>
    <w:rsid w:val="00604CF6"/>
    <w:rsid w:val="00610C9C"/>
    <w:rsid w:val="00617605"/>
    <w:rsid w:val="00621249"/>
    <w:rsid w:val="0062167E"/>
    <w:rsid w:val="00621BB2"/>
    <w:rsid w:val="0062362F"/>
    <w:rsid w:val="006302BE"/>
    <w:rsid w:val="006304A3"/>
    <w:rsid w:val="00630C08"/>
    <w:rsid w:val="006337BB"/>
    <w:rsid w:val="0063457E"/>
    <w:rsid w:val="00640069"/>
    <w:rsid w:val="006413EE"/>
    <w:rsid w:val="00641AEF"/>
    <w:rsid w:val="00643ABB"/>
    <w:rsid w:val="00643CB7"/>
    <w:rsid w:val="00643E4B"/>
    <w:rsid w:val="00650A4A"/>
    <w:rsid w:val="00651626"/>
    <w:rsid w:val="00652587"/>
    <w:rsid w:val="0065367E"/>
    <w:rsid w:val="006537BA"/>
    <w:rsid w:val="00657F26"/>
    <w:rsid w:val="00663344"/>
    <w:rsid w:val="006642E4"/>
    <w:rsid w:val="00664B68"/>
    <w:rsid w:val="00672748"/>
    <w:rsid w:val="00675E07"/>
    <w:rsid w:val="00676601"/>
    <w:rsid w:val="00676619"/>
    <w:rsid w:val="00684D51"/>
    <w:rsid w:val="00687C21"/>
    <w:rsid w:val="00691D9D"/>
    <w:rsid w:val="00697545"/>
    <w:rsid w:val="006A0541"/>
    <w:rsid w:val="006A09BC"/>
    <w:rsid w:val="006A10A4"/>
    <w:rsid w:val="006A1C95"/>
    <w:rsid w:val="006A2428"/>
    <w:rsid w:val="006A46C9"/>
    <w:rsid w:val="006C00F0"/>
    <w:rsid w:val="006C0F7A"/>
    <w:rsid w:val="006C1301"/>
    <w:rsid w:val="006C1372"/>
    <w:rsid w:val="006C4521"/>
    <w:rsid w:val="006C4E69"/>
    <w:rsid w:val="006C6749"/>
    <w:rsid w:val="006D29DC"/>
    <w:rsid w:val="006D38EA"/>
    <w:rsid w:val="006D46F7"/>
    <w:rsid w:val="006D5B14"/>
    <w:rsid w:val="006D6CCF"/>
    <w:rsid w:val="006D6EBD"/>
    <w:rsid w:val="006E38EB"/>
    <w:rsid w:val="006E693B"/>
    <w:rsid w:val="006F3E4B"/>
    <w:rsid w:val="006F65B5"/>
    <w:rsid w:val="006F690B"/>
    <w:rsid w:val="007036C9"/>
    <w:rsid w:val="007058EF"/>
    <w:rsid w:val="007069DB"/>
    <w:rsid w:val="007113EF"/>
    <w:rsid w:val="00712A5D"/>
    <w:rsid w:val="00713EE1"/>
    <w:rsid w:val="007152EF"/>
    <w:rsid w:val="00715A82"/>
    <w:rsid w:val="00715E39"/>
    <w:rsid w:val="00715E9F"/>
    <w:rsid w:val="00717464"/>
    <w:rsid w:val="00720150"/>
    <w:rsid w:val="00721871"/>
    <w:rsid w:val="00730B25"/>
    <w:rsid w:val="007446C5"/>
    <w:rsid w:val="00746956"/>
    <w:rsid w:val="007515A2"/>
    <w:rsid w:val="00751B41"/>
    <w:rsid w:val="0075244E"/>
    <w:rsid w:val="00755A10"/>
    <w:rsid w:val="007604EA"/>
    <w:rsid w:val="00764862"/>
    <w:rsid w:val="007659F9"/>
    <w:rsid w:val="00767934"/>
    <w:rsid w:val="00770D80"/>
    <w:rsid w:val="00770DDF"/>
    <w:rsid w:val="00774EF7"/>
    <w:rsid w:val="0078169B"/>
    <w:rsid w:val="00786B22"/>
    <w:rsid w:val="00791382"/>
    <w:rsid w:val="007925E4"/>
    <w:rsid w:val="007977F6"/>
    <w:rsid w:val="007A0024"/>
    <w:rsid w:val="007A4D96"/>
    <w:rsid w:val="007A6DA5"/>
    <w:rsid w:val="007B131F"/>
    <w:rsid w:val="007B2875"/>
    <w:rsid w:val="007B48B2"/>
    <w:rsid w:val="007B4C10"/>
    <w:rsid w:val="007B6520"/>
    <w:rsid w:val="007C095D"/>
    <w:rsid w:val="007C4D50"/>
    <w:rsid w:val="007D104D"/>
    <w:rsid w:val="007D5728"/>
    <w:rsid w:val="007E446A"/>
    <w:rsid w:val="007E610A"/>
    <w:rsid w:val="007E70DB"/>
    <w:rsid w:val="007E78D0"/>
    <w:rsid w:val="007F133F"/>
    <w:rsid w:val="007F6329"/>
    <w:rsid w:val="007F7F05"/>
    <w:rsid w:val="00800A14"/>
    <w:rsid w:val="008014B0"/>
    <w:rsid w:val="00802659"/>
    <w:rsid w:val="00802C36"/>
    <w:rsid w:val="008068D7"/>
    <w:rsid w:val="00806953"/>
    <w:rsid w:val="00810305"/>
    <w:rsid w:val="00811647"/>
    <w:rsid w:val="0081673D"/>
    <w:rsid w:val="0081786D"/>
    <w:rsid w:val="00820D7B"/>
    <w:rsid w:val="00823CAE"/>
    <w:rsid w:val="00823E08"/>
    <w:rsid w:val="00831087"/>
    <w:rsid w:val="00844F86"/>
    <w:rsid w:val="00851892"/>
    <w:rsid w:val="008519B2"/>
    <w:rsid w:val="008523DB"/>
    <w:rsid w:val="008523FD"/>
    <w:rsid w:val="00857493"/>
    <w:rsid w:val="008620E4"/>
    <w:rsid w:val="00864F6C"/>
    <w:rsid w:val="00870930"/>
    <w:rsid w:val="00872A47"/>
    <w:rsid w:val="008747D6"/>
    <w:rsid w:val="00881BBF"/>
    <w:rsid w:val="0088513B"/>
    <w:rsid w:val="00887F4A"/>
    <w:rsid w:val="00892695"/>
    <w:rsid w:val="00894678"/>
    <w:rsid w:val="008952CE"/>
    <w:rsid w:val="008A0813"/>
    <w:rsid w:val="008A22C0"/>
    <w:rsid w:val="008A57DF"/>
    <w:rsid w:val="008A6160"/>
    <w:rsid w:val="008A7165"/>
    <w:rsid w:val="008A73D8"/>
    <w:rsid w:val="008B0475"/>
    <w:rsid w:val="008B36C2"/>
    <w:rsid w:val="008B6666"/>
    <w:rsid w:val="008C1AA7"/>
    <w:rsid w:val="008C46A1"/>
    <w:rsid w:val="008C60C9"/>
    <w:rsid w:val="008C73C4"/>
    <w:rsid w:val="008D0BDE"/>
    <w:rsid w:val="008D19CF"/>
    <w:rsid w:val="008D219E"/>
    <w:rsid w:val="008D2988"/>
    <w:rsid w:val="008D3D5A"/>
    <w:rsid w:val="008D64B9"/>
    <w:rsid w:val="008D6813"/>
    <w:rsid w:val="008E0165"/>
    <w:rsid w:val="008E5C9F"/>
    <w:rsid w:val="008E6CE0"/>
    <w:rsid w:val="008E6E26"/>
    <w:rsid w:val="008E704C"/>
    <w:rsid w:val="008E7710"/>
    <w:rsid w:val="008F16C8"/>
    <w:rsid w:val="008F1C3E"/>
    <w:rsid w:val="008F6033"/>
    <w:rsid w:val="008F75C7"/>
    <w:rsid w:val="00901470"/>
    <w:rsid w:val="00903551"/>
    <w:rsid w:val="00911888"/>
    <w:rsid w:val="009121B6"/>
    <w:rsid w:val="0091291C"/>
    <w:rsid w:val="00913047"/>
    <w:rsid w:val="00915D5E"/>
    <w:rsid w:val="0091689D"/>
    <w:rsid w:val="00921D01"/>
    <w:rsid w:val="00922316"/>
    <w:rsid w:val="00924EE2"/>
    <w:rsid w:val="00925F91"/>
    <w:rsid w:val="00926266"/>
    <w:rsid w:val="00926C0C"/>
    <w:rsid w:val="00927D3D"/>
    <w:rsid w:val="0093359C"/>
    <w:rsid w:val="0093506D"/>
    <w:rsid w:val="009358F0"/>
    <w:rsid w:val="00935ACC"/>
    <w:rsid w:val="00940984"/>
    <w:rsid w:val="00941AB1"/>
    <w:rsid w:val="00941E99"/>
    <w:rsid w:val="00943CE8"/>
    <w:rsid w:val="00945C60"/>
    <w:rsid w:val="00951FF1"/>
    <w:rsid w:val="009545E3"/>
    <w:rsid w:val="0095565F"/>
    <w:rsid w:val="00955BF4"/>
    <w:rsid w:val="0096061D"/>
    <w:rsid w:val="00970CE6"/>
    <w:rsid w:val="009713ED"/>
    <w:rsid w:val="00971E1F"/>
    <w:rsid w:val="00976B18"/>
    <w:rsid w:val="00986A48"/>
    <w:rsid w:val="00995B89"/>
    <w:rsid w:val="009A06E7"/>
    <w:rsid w:val="009A2423"/>
    <w:rsid w:val="009B2AAD"/>
    <w:rsid w:val="009C0522"/>
    <w:rsid w:val="009C7C06"/>
    <w:rsid w:val="009D177B"/>
    <w:rsid w:val="009D4ACD"/>
    <w:rsid w:val="009D5DD7"/>
    <w:rsid w:val="009E12B2"/>
    <w:rsid w:val="009E27C3"/>
    <w:rsid w:val="009E4676"/>
    <w:rsid w:val="009E51A2"/>
    <w:rsid w:val="009F579A"/>
    <w:rsid w:val="009F6902"/>
    <w:rsid w:val="009F6A7D"/>
    <w:rsid w:val="00A0499A"/>
    <w:rsid w:val="00A07657"/>
    <w:rsid w:val="00A10590"/>
    <w:rsid w:val="00A1060F"/>
    <w:rsid w:val="00A245E3"/>
    <w:rsid w:val="00A25A1D"/>
    <w:rsid w:val="00A35ACC"/>
    <w:rsid w:val="00A363D4"/>
    <w:rsid w:val="00A4275A"/>
    <w:rsid w:val="00A43EA6"/>
    <w:rsid w:val="00A4584D"/>
    <w:rsid w:val="00A534A4"/>
    <w:rsid w:val="00A57FE8"/>
    <w:rsid w:val="00A621D9"/>
    <w:rsid w:val="00A62F11"/>
    <w:rsid w:val="00A63CB2"/>
    <w:rsid w:val="00A650B1"/>
    <w:rsid w:val="00A705CE"/>
    <w:rsid w:val="00A74190"/>
    <w:rsid w:val="00A74790"/>
    <w:rsid w:val="00A80DF7"/>
    <w:rsid w:val="00A90963"/>
    <w:rsid w:val="00A93498"/>
    <w:rsid w:val="00A955A6"/>
    <w:rsid w:val="00A9641D"/>
    <w:rsid w:val="00A96F6A"/>
    <w:rsid w:val="00A977D5"/>
    <w:rsid w:val="00AB1979"/>
    <w:rsid w:val="00AB4447"/>
    <w:rsid w:val="00AB799D"/>
    <w:rsid w:val="00AC18C1"/>
    <w:rsid w:val="00AC322B"/>
    <w:rsid w:val="00AC62C4"/>
    <w:rsid w:val="00AE45A9"/>
    <w:rsid w:val="00AF0D4E"/>
    <w:rsid w:val="00AF1449"/>
    <w:rsid w:val="00AF2297"/>
    <w:rsid w:val="00AF2D26"/>
    <w:rsid w:val="00B01B80"/>
    <w:rsid w:val="00B062D3"/>
    <w:rsid w:val="00B1039E"/>
    <w:rsid w:val="00B10457"/>
    <w:rsid w:val="00B135B2"/>
    <w:rsid w:val="00B163E3"/>
    <w:rsid w:val="00B17D0F"/>
    <w:rsid w:val="00B26774"/>
    <w:rsid w:val="00B31461"/>
    <w:rsid w:val="00B34D6F"/>
    <w:rsid w:val="00B36519"/>
    <w:rsid w:val="00B45F83"/>
    <w:rsid w:val="00B473A8"/>
    <w:rsid w:val="00B506FD"/>
    <w:rsid w:val="00B51739"/>
    <w:rsid w:val="00B53687"/>
    <w:rsid w:val="00B53CC9"/>
    <w:rsid w:val="00B72501"/>
    <w:rsid w:val="00B75451"/>
    <w:rsid w:val="00B76DBB"/>
    <w:rsid w:val="00B77B7C"/>
    <w:rsid w:val="00B83693"/>
    <w:rsid w:val="00B83EA8"/>
    <w:rsid w:val="00B858F7"/>
    <w:rsid w:val="00B9415A"/>
    <w:rsid w:val="00B9552B"/>
    <w:rsid w:val="00B9553E"/>
    <w:rsid w:val="00B95D15"/>
    <w:rsid w:val="00B9647C"/>
    <w:rsid w:val="00B96756"/>
    <w:rsid w:val="00B97150"/>
    <w:rsid w:val="00B972E7"/>
    <w:rsid w:val="00BA2C4E"/>
    <w:rsid w:val="00BA68CE"/>
    <w:rsid w:val="00BB01A1"/>
    <w:rsid w:val="00BB0458"/>
    <w:rsid w:val="00BB2565"/>
    <w:rsid w:val="00BB2C4D"/>
    <w:rsid w:val="00BB3F51"/>
    <w:rsid w:val="00BB46E1"/>
    <w:rsid w:val="00BB4FB6"/>
    <w:rsid w:val="00BB5A33"/>
    <w:rsid w:val="00BB5B8C"/>
    <w:rsid w:val="00BB5BEF"/>
    <w:rsid w:val="00BB6FA9"/>
    <w:rsid w:val="00BC0D59"/>
    <w:rsid w:val="00BC14B6"/>
    <w:rsid w:val="00BC2F20"/>
    <w:rsid w:val="00BC4F85"/>
    <w:rsid w:val="00BC6306"/>
    <w:rsid w:val="00BD426D"/>
    <w:rsid w:val="00BD5D91"/>
    <w:rsid w:val="00BE37DC"/>
    <w:rsid w:val="00BE4295"/>
    <w:rsid w:val="00BE6856"/>
    <w:rsid w:val="00BE6B97"/>
    <w:rsid w:val="00BE7EE0"/>
    <w:rsid w:val="00BF32CB"/>
    <w:rsid w:val="00BF71B2"/>
    <w:rsid w:val="00C036CE"/>
    <w:rsid w:val="00C05050"/>
    <w:rsid w:val="00C060FB"/>
    <w:rsid w:val="00C06427"/>
    <w:rsid w:val="00C0737B"/>
    <w:rsid w:val="00C121F1"/>
    <w:rsid w:val="00C13B33"/>
    <w:rsid w:val="00C20382"/>
    <w:rsid w:val="00C208B6"/>
    <w:rsid w:val="00C21534"/>
    <w:rsid w:val="00C21625"/>
    <w:rsid w:val="00C304F0"/>
    <w:rsid w:val="00C312CB"/>
    <w:rsid w:val="00C3158F"/>
    <w:rsid w:val="00C32ACE"/>
    <w:rsid w:val="00C33C58"/>
    <w:rsid w:val="00C43065"/>
    <w:rsid w:val="00C43EBB"/>
    <w:rsid w:val="00C4724D"/>
    <w:rsid w:val="00C47D72"/>
    <w:rsid w:val="00C515C3"/>
    <w:rsid w:val="00C52986"/>
    <w:rsid w:val="00C52DEA"/>
    <w:rsid w:val="00C563BD"/>
    <w:rsid w:val="00C57477"/>
    <w:rsid w:val="00C62713"/>
    <w:rsid w:val="00C6411C"/>
    <w:rsid w:val="00C67E9D"/>
    <w:rsid w:val="00C73D69"/>
    <w:rsid w:val="00C83C15"/>
    <w:rsid w:val="00C866D2"/>
    <w:rsid w:val="00C8761F"/>
    <w:rsid w:val="00C92E7B"/>
    <w:rsid w:val="00C97818"/>
    <w:rsid w:val="00CA1632"/>
    <w:rsid w:val="00CA2FBA"/>
    <w:rsid w:val="00CA3773"/>
    <w:rsid w:val="00CA425F"/>
    <w:rsid w:val="00CA5225"/>
    <w:rsid w:val="00CA5236"/>
    <w:rsid w:val="00CB25C1"/>
    <w:rsid w:val="00CB58A8"/>
    <w:rsid w:val="00CB7C6A"/>
    <w:rsid w:val="00CC3C7D"/>
    <w:rsid w:val="00CC5B8C"/>
    <w:rsid w:val="00CC694B"/>
    <w:rsid w:val="00CC7124"/>
    <w:rsid w:val="00CD167F"/>
    <w:rsid w:val="00CD360E"/>
    <w:rsid w:val="00CD78B1"/>
    <w:rsid w:val="00CE12EE"/>
    <w:rsid w:val="00CE5779"/>
    <w:rsid w:val="00CF03E4"/>
    <w:rsid w:val="00CF0BA7"/>
    <w:rsid w:val="00CF2C3C"/>
    <w:rsid w:val="00CF2C4E"/>
    <w:rsid w:val="00CF36DB"/>
    <w:rsid w:val="00CF7056"/>
    <w:rsid w:val="00D01974"/>
    <w:rsid w:val="00D06ED9"/>
    <w:rsid w:val="00D0799A"/>
    <w:rsid w:val="00D126FC"/>
    <w:rsid w:val="00D132C9"/>
    <w:rsid w:val="00D1669B"/>
    <w:rsid w:val="00D1698F"/>
    <w:rsid w:val="00D1732B"/>
    <w:rsid w:val="00D25A81"/>
    <w:rsid w:val="00D267B9"/>
    <w:rsid w:val="00D327DC"/>
    <w:rsid w:val="00D34AD1"/>
    <w:rsid w:val="00D363D0"/>
    <w:rsid w:val="00D369BD"/>
    <w:rsid w:val="00D42C43"/>
    <w:rsid w:val="00D42EC3"/>
    <w:rsid w:val="00D43BA7"/>
    <w:rsid w:val="00D50BF5"/>
    <w:rsid w:val="00D50D69"/>
    <w:rsid w:val="00D52B81"/>
    <w:rsid w:val="00D57E6F"/>
    <w:rsid w:val="00D622B8"/>
    <w:rsid w:val="00D63D45"/>
    <w:rsid w:val="00D66D1D"/>
    <w:rsid w:val="00D71569"/>
    <w:rsid w:val="00D7177C"/>
    <w:rsid w:val="00D742A6"/>
    <w:rsid w:val="00D75095"/>
    <w:rsid w:val="00D774A4"/>
    <w:rsid w:val="00D81D07"/>
    <w:rsid w:val="00D8297E"/>
    <w:rsid w:val="00D83417"/>
    <w:rsid w:val="00D836DC"/>
    <w:rsid w:val="00D845F9"/>
    <w:rsid w:val="00D85664"/>
    <w:rsid w:val="00D8686B"/>
    <w:rsid w:val="00D868DB"/>
    <w:rsid w:val="00D87319"/>
    <w:rsid w:val="00D8794E"/>
    <w:rsid w:val="00D900E3"/>
    <w:rsid w:val="00D958B9"/>
    <w:rsid w:val="00DA6BDD"/>
    <w:rsid w:val="00DB15C9"/>
    <w:rsid w:val="00DB2170"/>
    <w:rsid w:val="00DC09EA"/>
    <w:rsid w:val="00DC403B"/>
    <w:rsid w:val="00DD211C"/>
    <w:rsid w:val="00DD3533"/>
    <w:rsid w:val="00DE601E"/>
    <w:rsid w:val="00DF09D5"/>
    <w:rsid w:val="00DF1F21"/>
    <w:rsid w:val="00DF7B3F"/>
    <w:rsid w:val="00E00F3D"/>
    <w:rsid w:val="00E07258"/>
    <w:rsid w:val="00E13941"/>
    <w:rsid w:val="00E20E51"/>
    <w:rsid w:val="00E23FB0"/>
    <w:rsid w:val="00E24FC7"/>
    <w:rsid w:val="00E264EE"/>
    <w:rsid w:val="00E26641"/>
    <w:rsid w:val="00E30C2F"/>
    <w:rsid w:val="00E315C1"/>
    <w:rsid w:val="00E33A66"/>
    <w:rsid w:val="00E37638"/>
    <w:rsid w:val="00E405AF"/>
    <w:rsid w:val="00E463CC"/>
    <w:rsid w:val="00E55674"/>
    <w:rsid w:val="00E73C3A"/>
    <w:rsid w:val="00E7760C"/>
    <w:rsid w:val="00E77CD3"/>
    <w:rsid w:val="00E85C9E"/>
    <w:rsid w:val="00E86065"/>
    <w:rsid w:val="00E90017"/>
    <w:rsid w:val="00E909A3"/>
    <w:rsid w:val="00E91F02"/>
    <w:rsid w:val="00E92AE7"/>
    <w:rsid w:val="00E93728"/>
    <w:rsid w:val="00EA3C4F"/>
    <w:rsid w:val="00EA4793"/>
    <w:rsid w:val="00EC06CC"/>
    <w:rsid w:val="00EC0E6B"/>
    <w:rsid w:val="00EC2077"/>
    <w:rsid w:val="00EC3A23"/>
    <w:rsid w:val="00EC4827"/>
    <w:rsid w:val="00ED4781"/>
    <w:rsid w:val="00ED5BD3"/>
    <w:rsid w:val="00ED5CCB"/>
    <w:rsid w:val="00EE2393"/>
    <w:rsid w:val="00EE300A"/>
    <w:rsid w:val="00EE56C5"/>
    <w:rsid w:val="00EE6D01"/>
    <w:rsid w:val="00EF0DB7"/>
    <w:rsid w:val="00EF343A"/>
    <w:rsid w:val="00EF3AA3"/>
    <w:rsid w:val="00EF5C0F"/>
    <w:rsid w:val="00F0221F"/>
    <w:rsid w:val="00F03652"/>
    <w:rsid w:val="00F138B6"/>
    <w:rsid w:val="00F17383"/>
    <w:rsid w:val="00F248D8"/>
    <w:rsid w:val="00F31E0F"/>
    <w:rsid w:val="00F3302E"/>
    <w:rsid w:val="00F423A9"/>
    <w:rsid w:val="00F4594B"/>
    <w:rsid w:val="00F5450D"/>
    <w:rsid w:val="00F65DA5"/>
    <w:rsid w:val="00F664D6"/>
    <w:rsid w:val="00F72AAF"/>
    <w:rsid w:val="00F7760A"/>
    <w:rsid w:val="00F815A3"/>
    <w:rsid w:val="00F84DF8"/>
    <w:rsid w:val="00F85B4C"/>
    <w:rsid w:val="00F87331"/>
    <w:rsid w:val="00F87CF3"/>
    <w:rsid w:val="00F916C1"/>
    <w:rsid w:val="00F919B7"/>
    <w:rsid w:val="00F929A4"/>
    <w:rsid w:val="00F93E88"/>
    <w:rsid w:val="00F957EB"/>
    <w:rsid w:val="00F9688F"/>
    <w:rsid w:val="00F96A2E"/>
    <w:rsid w:val="00F976AF"/>
    <w:rsid w:val="00FA1314"/>
    <w:rsid w:val="00FA3879"/>
    <w:rsid w:val="00FA57BE"/>
    <w:rsid w:val="00FB0DE4"/>
    <w:rsid w:val="00FB4529"/>
    <w:rsid w:val="00FB49F3"/>
    <w:rsid w:val="00FB57CB"/>
    <w:rsid w:val="00FC0BD7"/>
    <w:rsid w:val="00FC520B"/>
    <w:rsid w:val="00FD0416"/>
    <w:rsid w:val="00FD0B30"/>
    <w:rsid w:val="00FD1455"/>
    <w:rsid w:val="00FD14F5"/>
    <w:rsid w:val="00FD1AB7"/>
    <w:rsid w:val="00FD2CBC"/>
    <w:rsid w:val="00FD3A3F"/>
    <w:rsid w:val="00FD6DEF"/>
    <w:rsid w:val="00FE4DBF"/>
    <w:rsid w:val="00FF0383"/>
    <w:rsid w:val="00FF1C39"/>
    <w:rsid w:val="00FF2469"/>
    <w:rsid w:val="00FF6F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B4952"/>
  <w15:chartTrackingRefBased/>
  <w15:docId w15:val="{6139252A-A43F-4832-8D6E-D46DA4EDA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GB"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48D8"/>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041179"/>
    <w:pPr>
      <w:keepNext/>
      <w:keepLines/>
      <w:spacing w:before="32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41179"/>
    <w:pPr>
      <w:keepNext/>
      <w:keepLines/>
      <w:spacing w:before="80"/>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unhideWhenUsed/>
    <w:qFormat/>
    <w:rsid w:val="00041179"/>
    <w:pPr>
      <w:keepNext/>
      <w:keepLines/>
      <w:spacing w:before="40"/>
      <w:outlineLvl w:val="2"/>
    </w:pPr>
    <w:rPr>
      <w:rFonts w:asciiTheme="majorHAnsi" w:eastAsiaTheme="majorEastAsia" w:hAnsiTheme="majorHAnsi" w:cstheme="majorBidi"/>
      <w:color w:val="44546A" w:themeColor="text2"/>
    </w:rPr>
  </w:style>
  <w:style w:type="paragraph" w:styleId="Heading4">
    <w:name w:val="heading 4"/>
    <w:basedOn w:val="Normal"/>
    <w:next w:val="Normal"/>
    <w:link w:val="Heading4Char"/>
    <w:uiPriority w:val="9"/>
    <w:semiHidden/>
    <w:unhideWhenUsed/>
    <w:qFormat/>
    <w:rsid w:val="00041179"/>
    <w:pPr>
      <w:keepNext/>
      <w:keepLines/>
      <w:spacing w:before="4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unhideWhenUsed/>
    <w:qFormat/>
    <w:rsid w:val="00041179"/>
    <w:pPr>
      <w:keepNext/>
      <w:keepLines/>
      <w:spacing w:before="4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041179"/>
    <w:pPr>
      <w:keepNext/>
      <w:keepLines/>
      <w:spacing w:before="4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041179"/>
    <w:pPr>
      <w:keepNext/>
      <w:keepLines/>
      <w:spacing w:before="4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041179"/>
    <w:pPr>
      <w:keepNext/>
      <w:keepLines/>
      <w:spacing w:before="4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041179"/>
    <w:pPr>
      <w:keepNext/>
      <w:keepLines/>
      <w:spacing w:before="4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FD0416"/>
    <w:rPr>
      <w:lang w:eastAsia="ko-KR"/>
    </w:rPr>
  </w:style>
  <w:style w:type="character" w:customStyle="1" w:styleId="FootnoteTextChar">
    <w:name w:val="Footnote Text Char"/>
    <w:basedOn w:val="DefaultParagraphFont"/>
    <w:link w:val="FootnoteText"/>
    <w:qFormat/>
    <w:rsid w:val="00FD0416"/>
    <w:rPr>
      <w:rFonts w:eastAsiaTheme="minorEastAsia"/>
      <w:sz w:val="20"/>
      <w:szCs w:val="20"/>
      <w:lang w:eastAsia="ko-KR"/>
    </w:rPr>
  </w:style>
  <w:style w:type="character" w:styleId="FootnoteReference">
    <w:name w:val="footnote reference"/>
    <w:basedOn w:val="DefaultParagraphFont"/>
    <w:unhideWhenUsed/>
    <w:rsid w:val="00FD0416"/>
    <w:rPr>
      <w:vertAlign w:val="superscript"/>
    </w:rPr>
  </w:style>
  <w:style w:type="paragraph" w:styleId="ListParagraph">
    <w:name w:val="List Paragraph"/>
    <w:basedOn w:val="Normal"/>
    <w:link w:val="ListParagraphChar"/>
    <w:uiPriority w:val="34"/>
    <w:qFormat/>
    <w:rsid w:val="00FD0416"/>
    <w:pPr>
      <w:ind w:left="720"/>
      <w:contextualSpacing/>
    </w:pPr>
  </w:style>
  <w:style w:type="character" w:styleId="Hyperlink">
    <w:name w:val="Hyperlink"/>
    <w:basedOn w:val="DefaultParagraphFont"/>
    <w:uiPriority w:val="99"/>
    <w:unhideWhenUsed/>
    <w:rsid w:val="00FD0416"/>
    <w:rPr>
      <w:color w:val="0563C1" w:themeColor="hyperlink"/>
      <w:u w:val="single"/>
    </w:rPr>
  </w:style>
  <w:style w:type="character" w:customStyle="1" w:styleId="apple-converted-space">
    <w:name w:val="apple-converted-space"/>
    <w:basedOn w:val="DefaultParagraphFont"/>
    <w:rsid w:val="00395BD2"/>
  </w:style>
  <w:style w:type="character" w:customStyle="1" w:styleId="Heading1Char">
    <w:name w:val="Heading 1 Char"/>
    <w:basedOn w:val="DefaultParagraphFont"/>
    <w:link w:val="Heading1"/>
    <w:uiPriority w:val="9"/>
    <w:rsid w:val="00041179"/>
    <w:rPr>
      <w:rFonts w:asciiTheme="majorHAnsi" w:eastAsiaTheme="majorEastAsia" w:hAnsiTheme="majorHAnsi" w:cstheme="majorBidi"/>
      <w:color w:val="2E74B5" w:themeColor="accent1" w:themeShade="BF"/>
      <w:sz w:val="32"/>
      <w:szCs w:val="32"/>
    </w:rPr>
  </w:style>
  <w:style w:type="character" w:customStyle="1" w:styleId="fn">
    <w:name w:val="fn"/>
    <w:basedOn w:val="DefaultParagraphFont"/>
    <w:rsid w:val="00770DDF"/>
  </w:style>
  <w:style w:type="character" w:customStyle="1" w:styleId="Heading2Char">
    <w:name w:val="Heading 2 Char"/>
    <w:basedOn w:val="DefaultParagraphFont"/>
    <w:link w:val="Heading2"/>
    <w:uiPriority w:val="9"/>
    <w:rsid w:val="00041179"/>
    <w:rPr>
      <w:rFonts w:asciiTheme="majorHAnsi" w:eastAsiaTheme="majorEastAsia" w:hAnsiTheme="majorHAnsi" w:cstheme="majorBidi"/>
      <w:color w:val="404040" w:themeColor="text1" w:themeTint="BF"/>
      <w:sz w:val="28"/>
      <w:szCs w:val="28"/>
    </w:rPr>
  </w:style>
  <w:style w:type="paragraph" w:customStyle="1" w:styleId="Standard">
    <w:name w:val="Standard"/>
    <w:rsid w:val="00925F91"/>
    <w:pPr>
      <w:widowControl w:val="0"/>
      <w:suppressAutoHyphens/>
      <w:autoSpaceDN w:val="0"/>
      <w:spacing w:after="0" w:line="240" w:lineRule="auto"/>
    </w:pPr>
    <w:rPr>
      <w:rFonts w:ascii="Times New Roman" w:eastAsia="SimSun" w:hAnsi="Times New Roman" w:cs="Arial"/>
      <w:kern w:val="3"/>
      <w:sz w:val="24"/>
      <w:szCs w:val="24"/>
      <w:lang w:eastAsia="zh-CN" w:bidi="hi-IN"/>
    </w:rPr>
  </w:style>
  <w:style w:type="paragraph" w:customStyle="1" w:styleId="EndNoteBibliographyTitle">
    <w:name w:val="EndNote Bibliography Title"/>
    <w:basedOn w:val="Normal"/>
    <w:link w:val="EndNoteBibliographyTitleChar"/>
    <w:rsid w:val="000824E7"/>
    <w:pPr>
      <w:jc w:val="center"/>
    </w:pPr>
    <w:rPr>
      <w:rFonts w:ascii="Calibri" w:hAnsi="Calibri" w:cs="Calibri"/>
      <w:noProof/>
    </w:rPr>
  </w:style>
  <w:style w:type="character" w:customStyle="1" w:styleId="ListParagraphChar">
    <w:name w:val="List Paragraph Char"/>
    <w:basedOn w:val="DefaultParagraphFont"/>
    <w:link w:val="ListParagraph"/>
    <w:uiPriority w:val="34"/>
    <w:rsid w:val="000824E7"/>
  </w:style>
  <w:style w:type="character" w:customStyle="1" w:styleId="EndNoteBibliographyTitleChar">
    <w:name w:val="EndNote Bibliography Title Char"/>
    <w:basedOn w:val="ListParagraphChar"/>
    <w:link w:val="EndNoteBibliographyTitle"/>
    <w:rsid w:val="000824E7"/>
    <w:rPr>
      <w:rFonts w:ascii="Calibri" w:hAnsi="Calibri" w:cs="Calibri"/>
      <w:noProof/>
      <w:lang w:val="en-US"/>
    </w:rPr>
  </w:style>
  <w:style w:type="paragraph" w:customStyle="1" w:styleId="EndNoteBibliography">
    <w:name w:val="EndNote Bibliography"/>
    <w:basedOn w:val="Normal"/>
    <w:link w:val="EndNoteBibliographyChar"/>
    <w:rsid w:val="000824E7"/>
    <w:pPr>
      <w:jc w:val="both"/>
    </w:pPr>
    <w:rPr>
      <w:rFonts w:ascii="Calibri" w:hAnsi="Calibri" w:cs="Calibri"/>
      <w:noProof/>
    </w:rPr>
  </w:style>
  <w:style w:type="character" w:customStyle="1" w:styleId="EndNoteBibliographyChar">
    <w:name w:val="EndNote Bibliography Char"/>
    <w:basedOn w:val="ListParagraphChar"/>
    <w:link w:val="EndNoteBibliography"/>
    <w:rsid w:val="000824E7"/>
    <w:rPr>
      <w:rFonts w:ascii="Calibri" w:hAnsi="Calibri" w:cs="Calibri"/>
      <w:noProof/>
      <w:lang w:val="en-US"/>
    </w:rPr>
  </w:style>
  <w:style w:type="character" w:styleId="Strong">
    <w:name w:val="Strong"/>
    <w:basedOn w:val="DefaultParagraphFont"/>
    <w:uiPriority w:val="22"/>
    <w:qFormat/>
    <w:rsid w:val="00041179"/>
    <w:rPr>
      <w:b/>
      <w:bCs/>
    </w:rPr>
  </w:style>
  <w:style w:type="character" w:styleId="Emphasis">
    <w:name w:val="Emphasis"/>
    <w:basedOn w:val="DefaultParagraphFont"/>
    <w:uiPriority w:val="20"/>
    <w:qFormat/>
    <w:rsid w:val="00041179"/>
    <w:rPr>
      <w:i/>
      <w:iCs/>
    </w:rPr>
  </w:style>
  <w:style w:type="paragraph" w:styleId="NormalWeb">
    <w:name w:val="Normal (Web)"/>
    <w:basedOn w:val="Normal"/>
    <w:uiPriority w:val="99"/>
    <w:unhideWhenUsed/>
    <w:rsid w:val="00951FF1"/>
    <w:pPr>
      <w:spacing w:before="100" w:beforeAutospacing="1" w:after="100" w:afterAutospacing="1"/>
    </w:pPr>
  </w:style>
  <w:style w:type="character" w:customStyle="1" w:styleId="searchterm">
    <w:name w:val="searchterm"/>
    <w:basedOn w:val="DefaultParagraphFont"/>
    <w:rsid w:val="009F6902"/>
  </w:style>
  <w:style w:type="character" w:customStyle="1" w:styleId="legaddition5">
    <w:name w:val="legaddition5"/>
    <w:basedOn w:val="DefaultParagraphFont"/>
    <w:rsid w:val="00097344"/>
  </w:style>
  <w:style w:type="character" w:styleId="FollowedHyperlink">
    <w:name w:val="FollowedHyperlink"/>
    <w:basedOn w:val="DefaultParagraphFont"/>
    <w:uiPriority w:val="99"/>
    <w:semiHidden/>
    <w:unhideWhenUsed/>
    <w:rsid w:val="001B5E42"/>
    <w:rPr>
      <w:color w:val="954F72" w:themeColor="followedHyperlink"/>
      <w:u w:val="single"/>
    </w:rPr>
  </w:style>
  <w:style w:type="paragraph" w:customStyle="1" w:styleId="Para">
    <w:name w:val="Para"/>
    <w:rsid w:val="00C33C58"/>
    <w:pPr>
      <w:spacing w:after="0" w:line="480" w:lineRule="auto"/>
      <w:ind w:firstLine="240"/>
      <w:contextualSpacing/>
      <w:jc w:val="both"/>
    </w:pPr>
    <w:rPr>
      <w:rFonts w:ascii="Linux Libertine" w:hAnsi="Linux Libertine"/>
      <w:sz w:val="18"/>
      <w:lang w:val="en-US"/>
    </w:rPr>
  </w:style>
  <w:style w:type="paragraph" w:customStyle="1" w:styleId="Bibentry">
    <w:name w:val="Bib_entry"/>
    <w:rsid w:val="00C33C58"/>
    <w:pPr>
      <w:adjustRightInd w:val="0"/>
      <w:snapToGrid w:val="0"/>
      <w:spacing w:after="0" w:line="240" w:lineRule="auto"/>
      <w:contextualSpacing/>
      <w:jc w:val="both"/>
    </w:pPr>
    <w:rPr>
      <w:rFonts w:ascii="Times New Roman" w:hAnsi="Times New Roman" w:cs="Times New Roman"/>
      <w:lang w:val="en-US"/>
    </w:rPr>
  </w:style>
  <w:style w:type="character" w:customStyle="1" w:styleId="Hyperlink1">
    <w:name w:val="Hyperlink1"/>
    <w:basedOn w:val="DefaultParagraphFont"/>
    <w:rsid w:val="005A01EC"/>
  </w:style>
  <w:style w:type="character" w:customStyle="1" w:styleId="article-classifiergap">
    <w:name w:val="article-classifier__gap"/>
    <w:basedOn w:val="DefaultParagraphFont"/>
    <w:rsid w:val="00B45F83"/>
  </w:style>
  <w:style w:type="paragraph" w:customStyle="1" w:styleId="legclearfix">
    <w:name w:val="legclearfix"/>
    <w:basedOn w:val="Normal"/>
    <w:rsid w:val="00B45F83"/>
    <w:pPr>
      <w:spacing w:before="100" w:beforeAutospacing="1" w:after="100" w:afterAutospacing="1"/>
    </w:pPr>
  </w:style>
  <w:style w:type="character" w:customStyle="1" w:styleId="legds">
    <w:name w:val="legds"/>
    <w:basedOn w:val="DefaultParagraphFont"/>
    <w:rsid w:val="00B45F83"/>
  </w:style>
  <w:style w:type="character" w:customStyle="1" w:styleId="Heading3Char">
    <w:name w:val="Heading 3 Char"/>
    <w:basedOn w:val="DefaultParagraphFont"/>
    <w:link w:val="Heading3"/>
    <w:uiPriority w:val="9"/>
    <w:rsid w:val="00041179"/>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041179"/>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rsid w:val="00041179"/>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041179"/>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041179"/>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041179"/>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041179"/>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041179"/>
    <w:rPr>
      <w:b/>
      <w:bCs/>
      <w:smallCaps/>
      <w:color w:val="595959" w:themeColor="text1" w:themeTint="A6"/>
      <w:spacing w:val="6"/>
    </w:rPr>
  </w:style>
  <w:style w:type="paragraph" w:styleId="Title">
    <w:name w:val="Title"/>
    <w:basedOn w:val="Normal"/>
    <w:next w:val="Normal"/>
    <w:link w:val="TitleChar"/>
    <w:uiPriority w:val="10"/>
    <w:qFormat/>
    <w:rsid w:val="00041179"/>
    <w:pPr>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uiPriority w:val="10"/>
    <w:rsid w:val="00041179"/>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041179"/>
    <w:pPr>
      <w:numPr>
        <w:ilvl w:val="1"/>
      </w:numPr>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041179"/>
    <w:rPr>
      <w:rFonts w:asciiTheme="majorHAnsi" w:eastAsiaTheme="majorEastAsia" w:hAnsiTheme="majorHAnsi" w:cstheme="majorBidi"/>
      <w:sz w:val="24"/>
      <w:szCs w:val="24"/>
    </w:rPr>
  </w:style>
  <w:style w:type="paragraph" w:styleId="NoSpacing">
    <w:name w:val="No Spacing"/>
    <w:uiPriority w:val="1"/>
    <w:qFormat/>
    <w:rsid w:val="00041179"/>
    <w:pPr>
      <w:spacing w:after="0" w:line="240" w:lineRule="auto"/>
    </w:pPr>
  </w:style>
  <w:style w:type="paragraph" w:styleId="Quote">
    <w:name w:val="Quote"/>
    <w:basedOn w:val="Normal"/>
    <w:next w:val="Normal"/>
    <w:link w:val="QuoteChar"/>
    <w:uiPriority w:val="29"/>
    <w:qFormat/>
    <w:rsid w:val="00041179"/>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041179"/>
    <w:rPr>
      <w:i/>
      <w:iCs/>
      <w:color w:val="404040" w:themeColor="text1" w:themeTint="BF"/>
    </w:rPr>
  </w:style>
  <w:style w:type="paragraph" w:styleId="IntenseQuote">
    <w:name w:val="Intense Quote"/>
    <w:basedOn w:val="Normal"/>
    <w:next w:val="Normal"/>
    <w:link w:val="IntenseQuoteChar"/>
    <w:uiPriority w:val="30"/>
    <w:qFormat/>
    <w:rsid w:val="00041179"/>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041179"/>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041179"/>
    <w:rPr>
      <w:i/>
      <w:iCs/>
      <w:color w:val="404040" w:themeColor="text1" w:themeTint="BF"/>
    </w:rPr>
  </w:style>
  <w:style w:type="character" w:styleId="IntenseEmphasis">
    <w:name w:val="Intense Emphasis"/>
    <w:basedOn w:val="DefaultParagraphFont"/>
    <w:uiPriority w:val="21"/>
    <w:qFormat/>
    <w:rsid w:val="00041179"/>
    <w:rPr>
      <w:b/>
      <w:bCs/>
      <w:i/>
      <w:iCs/>
    </w:rPr>
  </w:style>
  <w:style w:type="character" w:styleId="SubtleReference">
    <w:name w:val="Subtle Reference"/>
    <w:basedOn w:val="DefaultParagraphFont"/>
    <w:uiPriority w:val="31"/>
    <w:qFormat/>
    <w:rsid w:val="00041179"/>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041179"/>
    <w:rPr>
      <w:b/>
      <w:bCs/>
      <w:smallCaps/>
      <w:spacing w:val="5"/>
      <w:u w:val="single"/>
    </w:rPr>
  </w:style>
  <w:style w:type="character" w:styleId="BookTitle">
    <w:name w:val="Book Title"/>
    <w:basedOn w:val="DefaultParagraphFont"/>
    <w:uiPriority w:val="33"/>
    <w:qFormat/>
    <w:rsid w:val="00041179"/>
    <w:rPr>
      <w:b/>
      <w:bCs/>
      <w:smallCaps/>
    </w:rPr>
  </w:style>
  <w:style w:type="paragraph" w:styleId="TOCHeading">
    <w:name w:val="TOC Heading"/>
    <w:basedOn w:val="Heading1"/>
    <w:next w:val="Normal"/>
    <w:uiPriority w:val="39"/>
    <w:semiHidden/>
    <w:unhideWhenUsed/>
    <w:qFormat/>
    <w:rsid w:val="00041179"/>
    <w:pPr>
      <w:outlineLvl w:val="9"/>
    </w:pPr>
  </w:style>
  <w:style w:type="character" w:customStyle="1" w:styleId="highlight">
    <w:name w:val="highlight"/>
    <w:basedOn w:val="DefaultParagraphFont"/>
    <w:rsid w:val="00527970"/>
  </w:style>
  <w:style w:type="character" w:styleId="HTMLCite">
    <w:name w:val="HTML Cite"/>
    <w:basedOn w:val="DefaultParagraphFont"/>
    <w:uiPriority w:val="99"/>
    <w:semiHidden/>
    <w:unhideWhenUsed/>
    <w:rsid w:val="00675E07"/>
    <w:rPr>
      <w:i/>
      <w:iCs/>
    </w:rPr>
  </w:style>
  <w:style w:type="character" w:customStyle="1" w:styleId="highlightedsearchterm">
    <w:name w:val="highlightedsearchterm"/>
    <w:basedOn w:val="DefaultParagraphFont"/>
    <w:rsid w:val="002C1B47"/>
  </w:style>
  <w:style w:type="paragraph" w:customStyle="1" w:styleId="Default">
    <w:name w:val="Default"/>
    <w:rsid w:val="007058EF"/>
    <w:pPr>
      <w:autoSpaceDE w:val="0"/>
      <w:autoSpaceDN w:val="0"/>
      <w:adjustRightInd w:val="0"/>
      <w:spacing w:after="0" w:line="240" w:lineRule="auto"/>
    </w:pPr>
    <w:rPr>
      <w:rFonts w:ascii="Arial" w:hAnsi="Arial" w:cs="Arial"/>
      <w:color w:val="000000"/>
      <w:sz w:val="24"/>
      <w:szCs w:val="24"/>
    </w:rPr>
  </w:style>
  <w:style w:type="character" w:customStyle="1" w:styleId="ng-binding">
    <w:name w:val="ng-binding"/>
    <w:basedOn w:val="DefaultParagraphFont"/>
    <w:rsid w:val="00720150"/>
  </w:style>
  <w:style w:type="character" w:customStyle="1" w:styleId="titulo">
    <w:name w:val="titulo"/>
    <w:basedOn w:val="DefaultParagraphFont"/>
    <w:rsid w:val="00B26774"/>
  </w:style>
  <w:style w:type="paragraph" w:customStyle="1" w:styleId="grassetto">
    <w:name w:val="grassetto"/>
    <w:basedOn w:val="Normal"/>
    <w:rsid w:val="001F49F0"/>
    <w:pPr>
      <w:spacing w:before="100" w:beforeAutospacing="1" w:after="100" w:afterAutospacing="1"/>
    </w:pPr>
  </w:style>
  <w:style w:type="character" w:customStyle="1" w:styleId="searchword">
    <w:name w:val="searchword"/>
    <w:basedOn w:val="DefaultParagraphFont"/>
    <w:rsid w:val="001D5068"/>
  </w:style>
  <w:style w:type="character" w:customStyle="1" w:styleId="exlresultdetails">
    <w:name w:val="exlresultdetails"/>
    <w:basedOn w:val="DefaultParagraphFont"/>
    <w:rsid w:val="001D5068"/>
  </w:style>
  <w:style w:type="character" w:styleId="CommentReference">
    <w:name w:val="annotation reference"/>
    <w:basedOn w:val="DefaultParagraphFont"/>
    <w:uiPriority w:val="99"/>
    <w:semiHidden/>
    <w:unhideWhenUsed/>
    <w:rsid w:val="00FF0383"/>
    <w:rPr>
      <w:sz w:val="16"/>
      <w:szCs w:val="16"/>
    </w:rPr>
  </w:style>
  <w:style w:type="paragraph" w:styleId="CommentText">
    <w:name w:val="annotation text"/>
    <w:basedOn w:val="Normal"/>
    <w:link w:val="CommentTextChar"/>
    <w:uiPriority w:val="99"/>
    <w:semiHidden/>
    <w:unhideWhenUsed/>
    <w:rsid w:val="00FF0383"/>
  </w:style>
  <w:style w:type="character" w:customStyle="1" w:styleId="CommentTextChar">
    <w:name w:val="Comment Text Char"/>
    <w:basedOn w:val="DefaultParagraphFont"/>
    <w:link w:val="CommentText"/>
    <w:uiPriority w:val="99"/>
    <w:semiHidden/>
    <w:rsid w:val="00FF0383"/>
  </w:style>
  <w:style w:type="paragraph" w:styleId="CommentSubject">
    <w:name w:val="annotation subject"/>
    <w:basedOn w:val="CommentText"/>
    <w:next w:val="CommentText"/>
    <w:link w:val="CommentSubjectChar"/>
    <w:uiPriority w:val="99"/>
    <w:semiHidden/>
    <w:unhideWhenUsed/>
    <w:rsid w:val="00FF0383"/>
    <w:rPr>
      <w:b/>
      <w:bCs/>
    </w:rPr>
  </w:style>
  <w:style w:type="character" w:customStyle="1" w:styleId="CommentSubjectChar">
    <w:name w:val="Comment Subject Char"/>
    <w:basedOn w:val="CommentTextChar"/>
    <w:link w:val="CommentSubject"/>
    <w:uiPriority w:val="99"/>
    <w:semiHidden/>
    <w:rsid w:val="00FF0383"/>
    <w:rPr>
      <w:b/>
      <w:bCs/>
    </w:rPr>
  </w:style>
  <w:style w:type="paragraph" w:styleId="BalloonText">
    <w:name w:val="Balloon Text"/>
    <w:basedOn w:val="Normal"/>
    <w:link w:val="BalloonTextChar"/>
    <w:uiPriority w:val="99"/>
    <w:semiHidden/>
    <w:unhideWhenUsed/>
    <w:rsid w:val="00FF0383"/>
    <w:rPr>
      <w:rFonts w:ascii="Arial" w:hAnsi="Arial" w:cs="Arial"/>
      <w:sz w:val="18"/>
      <w:szCs w:val="18"/>
    </w:rPr>
  </w:style>
  <w:style w:type="character" w:customStyle="1" w:styleId="BalloonTextChar">
    <w:name w:val="Balloon Text Char"/>
    <w:basedOn w:val="DefaultParagraphFont"/>
    <w:link w:val="BalloonText"/>
    <w:uiPriority w:val="99"/>
    <w:semiHidden/>
    <w:rsid w:val="00FF0383"/>
    <w:rPr>
      <w:rFonts w:ascii="Arial" w:hAnsi="Arial" w:cs="Arial"/>
      <w:sz w:val="18"/>
      <w:szCs w:val="18"/>
    </w:rPr>
  </w:style>
  <w:style w:type="paragraph" w:styleId="Revision">
    <w:name w:val="Revision"/>
    <w:hidden/>
    <w:uiPriority w:val="99"/>
    <w:semiHidden/>
    <w:rsid w:val="00DE601E"/>
    <w:pPr>
      <w:spacing w:after="0" w:line="240" w:lineRule="auto"/>
    </w:pPr>
  </w:style>
  <w:style w:type="character" w:customStyle="1" w:styleId="FootnoteReference1">
    <w:name w:val="Footnote Reference1"/>
    <w:rsid w:val="00D25A81"/>
    <w:rPr>
      <w:vertAlign w:val="superscript"/>
    </w:rPr>
  </w:style>
  <w:style w:type="character" w:customStyle="1" w:styleId="FootnoteCharacters">
    <w:name w:val="Footnote Characters"/>
    <w:rsid w:val="00D25A81"/>
  </w:style>
  <w:style w:type="paragraph" w:customStyle="1" w:styleId="FootnoteText1">
    <w:name w:val="Footnote Text1"/>
    <w:basedOn w:val="Normal"/>
    <w:rsid w:val="00D25A81"/>
    <w:pPr>
      <w:suppressAutoHyphens/>
      <w:spacing w:line="100" w:lineRule="atLeast"/>
    </w:pPr>
    <w:rPr>
      <w:rFonts w:ascii="Calibri" w:eastAsia="SimSun" w:hAnsi="Calibri" w:cs="font300"/>
      <w:lang w:eastAsia="ar-SA"/>
    </w:rPr>
  </w:style>
  <w:style w:type="character" w:customStyle="1" w:styleId="UnresolvedMention1">
    <w:name w:val="Unresolved Mention1"/>
    <w:basedOn w:val="DefaultParagraphFont"/>
    <w:uiPriority w:val="99"/>
    <w:semiHidden/>
    <w:unhideWhenUsed/>
    <w:rsid w:val="0030104A"/>
    <w:rPr>
      <w:color w:val="808080"/>
      <w:shd w:val="clear" w:color="auto" w:fill="E6E6E6"/>
    </w:rPr>
  </w:style>
  <w:style w:type="character" w:customStyle="1" w:styleId="a-size-large">
    <w:name w:val="a-size-large"/>
    <w:basedOn w:val="DefaultParagraphFont"/>
    <w:rsid w:val="00431B81"/>
  </w:style>
  <w:style w:type="table" w:styleId="TableGrid">
    <w:name w:val="Table Grid"/>
    <w:basedOn w:val="TableNormal"/>
    <w:uiPriority w:val="39"/>
    <w:rsid w:val="00C315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1F0557"/>
    <w:rPr>
      <w:color w:val="808080"/>
      <w:shd w:val="clear" w:color="auto" w:fill="E6E6E6"/>
    </w:rPr>
  </w:style>
  <w:style w:type="character" w:customStyle="1" w:styleId="info-type">
    <w:name w:val="info-type"/>
    <w:basedOn w:val="DefaultParagraphFont"/>
    <w:rsid w:val="00767934"/>
  </w:style>
  <w:style w:type="paragraph" w:customStyle="1" w:styleId="textbox">
    <w:name w:val="textbox"/>
    <w:basedOn w:val="Normal"/>
    <w:rsid w:val="00687C2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55377">
      <w:bodyDiv w:val="1"/>
      <w:marLeft w:val="0"/>
      <w:marRight w:val="0"/>
      <w:marTop w:val="0"/>
      <w:marBottom w:val="0"/>
      <w:divBdr>
        <w:top w:val="none" w:sz="0" w:space="0" w:color="auto"/>
        <w:left w:val="none" w:sz="0" w:space="0" w:color="auto"/>
        <w:bottom w:val="none" w:sz="0" w:space="0" w:color="auto"/>
        <w:right w:val="none" w:sz="0" w:space="0" w:color="auto"/>
      </w:divBdr>
    </w:div>
    <w:div w:id="37122410">
      <w:bodyDiv w:val="1"/>
      <w:marLeft w:val="0"/>
      <w:marRight w:val="0"/>
      <w:marTop w:val="0"/>
      <w:marBottom w:val="0"/>
      <w:divBdr>
        <w:top w:val="none" w:sz="0" w:space="0" w:color="auto"/>
        <w:left w:val="none" w:sz="0" w:space="0" w:color="auto"/>
        <w:bottom w:val="none" w:sz="0" w:space="0" w:color="auto"/>
        <w:right w:val="none" w:sz="0" w:space="0" w:color="auto"/>
      </w:divBdr>
    </w:div>
    <w:div w:id="78333267">
      <w:bodyDiv w:val="1"/>
      <w:marLeft w:val="0"/>
      <w:marRight w:val="0"/>
      <w:marTop w:val="0"/>
      <w:marBottom w:val="0"/>
      <w:divBdr>
        <w:top w:val="none" w:sz="0" w:space="0" w:color="auto"/>
        <w:left w:val="none" w:sz="0" w:space="0" w:color="auto"/>
        <w:bottom w:val="none" w:sz="0" w:space="0" w:color="auto"/>
        <w:right w:val="none" w:sz="0" w:space="0" w:color="auto"/>
      </w:divBdr>
      <w:divsChild>
        <w:div w:id="917791361">
          <w:marLeft w:val="0"/>
          <w:marRight w:val="0"/>
          <w:marTop w:val="0"/>
          <w:marBottom w:val="0"/>
          <w:divBdr>
            <w:top w:val="none" w:sz="0" w:space="0" w:color="auto"/>
            <w:left w:val="none" w:sz="0" w:space="0" w:color="auto"/>
            <w:bottom w:val="none" w:sz="0" w:space="0" w:color="auto"/>
            <w:right w:val="none" w:sz="0" w:space="0" w:color="auto"/>
          </w:divBdr>
          <w:divsChild>
            <w:div w:id="1393117507">
              <w:marLeft w:val="0"/>
              <w:marRight w:val="0"/>
              <w:marTop w:val="0"/>
              <w:marBottom w:val="0"/>
              <w:divBdr>
                <w:top w:val="none" w:sz="0" w:space="0" w:color="auto"/>
                <w:left w:val="none" w:sz="0" w:space="0" w:color="auto"/>
                <w:bottom w:val="none" w:sz="0" w:space="0" w:color="auto"/>
                <w:right w:val="none" w:sz="0" w:space="0" w:color="auto"/>
              </w:divBdr>
              <w:divsChild>
                <w:div w:id="41663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59416">
      <w:bodyDiv w:val="1"/>
      <w:marLeft w:val="0"/>
      <w:marRight w:val="0"/>
      <w:marTop w:val="0"/>
      <w:marBottom w:val="0"/>
      <w:divBdr>
        <w:top w:val="none" w:sz="0" w:space="0" w:color="auto"/>
        <w:left w:val="none" w:sz="0" w:space="0" w:color="auto"/>
        <w:bottom w:val="none" w:sz="0" w:space="0" w:color="auto"/>
        <w:right w:val="none" w:sz="0" w:space="0" w:color="auto"/>
      </w:divBdr>
    </w:div>
    <w:div w:id="126095726">
      <w:bodyDiv w:val="1"/>
      <w:marLeft w:val="0"/>
      <w:marRight w:val="0"/>
      <w:marTop w:val="0"/>
      <w:marBottom w:val="0"/>
      <w:divBdr>
        <w:top w:val="none" w:sz="0" w:space="0" w:color="auto"/>
        <w:left w:val="none" w:sz="0" w:space="0" w:color="auto"/>
        <w:bottom w:val="none" w:sz="0" w:space="0" w:color="auto"/>
        <w:right w:val="none" w:sz="0" w:space="0" w:color="auto"/>
      </w:divBdr>
    </w:div>
    <w:div w:id="175922324">
      <w:bodyDiv w:val="1"/>
      <w:marLeft w:val="0"/>
      <w:marRight w:val="0"/>
      <w:marTop w:val="0"/>
      <w:marBottom w:val="0"/>
      <w:divBdr>
        <w:top w:val="none" w:sz="0" w:space="0" w:color="auto"/>
        <w:left w:val="none" w:sz="0" w:space="0" w:color="auto"/>
        <w:bottom w:val="none" w:sz="0" w:space="0" w:color="auto"/>
        <w:right w:val="none" w:sz="0" w:space="0" w:color="auto"/>
      </w:divBdr>
      <w:divsChild>
        <w:div w:id="454714692">
          <w:marLeft w:val="0"/>
          <w:marRight w:val="0"/>
          <w:marTop w:val="0"/>
          <w:marBottom w:val="0"/>
          <w:divBdr>
            <w:top w:val="none" w:sz="0" w:space="0" w:color="auto"/>
            <w:left w:val="none" w:sz="0" w:space="0" w:color="auto"/>
            <w:bottom w:val="none" w:sz="0" w:space="0" w:color="auto"/>
            <w:right w:val="none" w:sz="0" w:space="0" w:color="auto"/>
          </w:divBdr>
          <w:divsChild>
            <w:div w:id="1614167021">
              <w:marLeft w:val="0"/>
              <w:marRight w:val="0"/>
              <w:marTop w:val="0"/>
              <w:marBottom w:val="0"/>
              <w:divBdr>
                <w:top w:val="none" w:sz="0" w:space="0" w:color="auto"/>
                <w:left w:val="none" w:sz="0" w:space="0" w:color="auto"/>
                <w:bottom w:val="none" w:sz="0" w:space="0" w:color="auto"/>
                <w:right w:val="none" w:sz="0" w:space="0" w:color="auto"/>
              </w:divBdr>
              <w:divsChild>
                <w:div w:id="80373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10776">
      <w:bodyDiv w:val="1"/>
      <w:marLeft w:val="0"/>
      <w:marRight w:val="0"/>
      <w:marTop w:val="0"/>
      <w:marBottom w:val="0"/>
      <w:divBdr>
        <w:top w:val="none" w:sz="0" w:space="0" w:color="auto"/>
        <w:left w:val="none" w:sz="0" w:space="0" w:color="auto"/>
        <w:bottom w:val="none" w:sz="0" w:space="0" w:color="auto"/>
        <w:right w:val="none" w:sz="0" w:space="0" w:color="auto"/>
      </w:divBdr>
      <w:divsChild>
        <w:div w:id="121924409">
          <w:marLeft w:val="0"/>
          <w:marRight w:val="0"/>
          <w:marTop w:val="0"/>
          <w:marBottom w:val="0"/>
          <w:divBdr>
            <w:top w:val="none" w:sz="0" w:space="0" w:color="auto"/>
            <w:left w:val="none" w:sz="0" w:space="0" w:color="auto"/>
            <w:bottom w:val="none" w:sz="0" w:space="0" w:color="auto"/>
            <w:right w:val="none" w:sz="0" w:space="0" w:color="auto"/>
          </w:divBdr>
          <w:divsChild>
            <w:div w:id="942222536">
              <w:marLeft w:val="0"/>
              <w:marRight w:val="0"/>
              <w:marTop w:val="0"/>
              <w:marBottom w:val="0"/>
              <w:divBdr>
                <w:top w:val="none" w:sz="0" w:space="0" w:color="auto"/>
                <w:left w:val="none" w:sz="0" w:space="0" w:color="auto"/>
                <w:bottom w:val="none" w:sz="0" w:space="0" w:color="auto"/>
                <w:right w:val="none" w:sz="0" w:space="0" w:color="auto"/>
              </w:divBdr>
              <w:divsChild>
                <w:div w:id="52884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012091">
      <w:bodyDiv w:val="1"/>
      <w:marLeft w:val="0"/>
      <w:marRight w:val="0"/>
      <w:marTop w:val="0"/>
      <w:marBottom w:val="0"/>
      <w:divBdr>
        <w:top w:val="none" w:sz="0" w:space="0" w:color="auto"/>
        <w:left w:val="none" w:sz="0" w:space="0" w:color="auto"/>
        <w:bottom w:val="none" w:sz="0" w:space="0" w:color="auto"/>
        <w:right w:val="none" w:sz="0" w:space="0" w:color="auto"/>
      </w:divBdr>
    </w:div>
    <w:div w:id="269748904">
      <w:bodyDiv w:val="1"/>
      <w:marLeft w:val="0"/>
      <w:marRight w:val="0"/>
      <w:marTop w:val="0"/>
      <w:marBottom w:val="0"/>
      <w:divBdr>
        <w:top w:val="none" w:sz="0" w:space="0" w:color="auto"/>
        <w:left w:val="none" w:sz="0" w:space="0" w:color="auto"/>
        <w:bottom w:val="none" w:sz="0" w:space="0" w:color="auto"/>
        <w:right w:val="none" w:sz="0" w:space="0" w:color="auto"/>
      </w:divBdr>
      <w:divsChild>
        <w:div w:id="1017537323">
          <w:marLeft w:val="0"/>
          <w:marRight w:val="0"/>
          <w:marTop w:val="0"/>
          <w:marBottom w:val="0"/>
          <w:divBdr>
            <w:top w:val="none" w:sz="0" w:space="0" w:color="auto"/>
            <w:left w:val="none" w:sz="0" w:space="0" w:color="auto"/>
            <w:bottom w:val="none" w:sz="0" w:space="0" w:color="auto"/>
            <w:right w:val="none" w:sz="0" w:space="0" w:color="auto"/>
          </w:divBdr>
          <w:divsChild>
            <w:div w:id="1359046321">
              <w:marLeft w:val="0"/>
              <w:marRight w:val="0"/>
              <w:marTop w:val="0"/>
              <w:marBottom w:val="0"/>
              <w:divBdr>
                <w:top w:val="none" w:sz="0" w:space="0" w:color="auto"/>
                <w:left w:val="none" w:sz="0" w:space="0" w:color="auto"/>
                <w:bottom w:val="none" w:sz="0" w:space="0" w:color="auto"/>
                <w:right w:val="none" w:sz="0" w:space="0" w:color="auto"/>
              </w:divBdr>
              <w:divsChild>
                <w:div w:id="1039162850">
                  <w:marLeft w:val="0"/>
                  <w:marRight w:val="0"/>
                  <w:marTop w:val="0"/>
                  <w:marBottom w:val="0"/>
                  <w:divBdr>
                    <w:top w:val="none" w:sz="0" w:space="0" w:color="auto"/>
                    <w:left w:val="none" w:sz="0" w:space="0" w:color="auto"/>
                    <w:bottom w:val="none" w:sz="0" w:space="0" w:color="auto"/>
                    <w:right w:val="none" w:sz="0" w:space="0" w:color="auto"/>
                  </w:divBdr>
                  <w:divsChild>
                    <w:div w:id="1712875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0856440">
      <w:bodyDiv w:val="1"/>
      <w:marLeft w:val="0"/>
      <w:marRight w:val="0"/>
      <w:marTop w:val="0"/>
      <w:marBottom w:val="0"/>
      <w:divBdr>
        <w:top w:val="none" w:sz="0" w:space="0" w:color="auto"/>
        <w:left w:val="none" w:sz="0" w:space="0" w:color="auto"/>
        <w:bottom w:val="none" w:sz="0" w:space="0" w:color="auto"/>
        <w:right w:val="none" w:sz="0" w:space="0" w:color="auto"/>
      </w:divBdr>
    </w:div>
    <w:div w:id="341587359">
      <w:bodyDiv w:val="1"/>
      <w:marLeft w:val="0"/>
      <w:marRight w:val="0"/>
      <w:marTop w:val="0"/>
      <w:marBottom w:val="0"/>
      <w:divBdr>
        <w:top w:val="none" w:sz="0" w:space="0" w:color="auto"/>
        <w:left w:val="none" w:sz="0" w:space="0" w:color="auto"/>
        <w:bottom w:val="none" w:sz="0" w:space="0" w:color="auto"/>
        <w:right w:val="none" w:sz="0" w:space="0" w:color="auto"/>
      </w:divBdr>
    </w:div>
    <w:div w:id="362753333">
      <w:bodyDiv w:val="1"/>
      <w:marLeft w:val="0"/>
      <w:marRight w:val="0"/>
      <w:marTop w:val="0"/>
      <w:marBottom w:val="0"/>
      <w:divBdr>
        <w:top w:val="none" w:sz="0" w:space="0" w:color="auto"/>
        <w:left w:val="none" w:sz="0" w:space="0" w:color="auto"/>
        <w:bottom w:val="none" w:sz="0" w:space="0" w:color="auto"/>
        <w:right w:val="none" w:sz="0" w:space="0" w:color="auto"/>
      </w:divBdr>
    </w:div>
    <w:div w:id="370343990">
      <w:bodyDiv w:val="1"/>
      <w:marLeft w:val="0"/>
      <w:marRight w:val="0"/>
      <w:marTop w:val="0"/>
      <w:marBottom w:val="0"/>
      <w:divBdr>
        <w:top w:val="none" w:sz="0" w:space="0" w:color="auto"/>
        <w:left w:val="none" w:sz="0" w:space="0" w:color="auto"/>
        <w:bottom w:val="none" w:sz="0" w:space="0" w:color="auto"/>
        <w:right w:val="none" w:sz="0" w:space="0" w:color="auto"/>
      </w:divBdr>
    </w:div>
    <w:div w:id="376705820">
      <w:bodyDiv w:val="1"/>
      <w:marLeft w:val="0"/>
      <w:marRight w:val="0"/>
      <w:marTop w:val="0"/>
      <w:marBottom w:val="0"/>
      <w:divBdr>
        <w:top w:val="none" w:sz="0" w:space="0" w:color="auto"/>
        <w:left w:val="none" w:sz="0" w:space="0" w:color="auto"/>
        <w:bottom w:val="none" w:sz="0" w:space="0" w:color="auto"/>
        <w:right w:val="none" w:sz="0" w:space="0" w:color="auto"/>
      </w:divBdr>
    </w:div>
    <w:div w:id="380448359">
      <w:bodyDiv w:val="1"/>
      <w:marLeft w:val="0"/>
      <w:marRight w:val="0"/>
      <w:marTop w:val="0"/>
      <w:marBottom w:val="0"/>
      <w:divBdr>
        <w:top w:val="none" w:sz="0" w:space="0" w:color="auto"/>
        <w:left w:val="none" w:sz="0" w:space="0" w:color="auto"/>
        <w:bottom w:val="none" w:sz="0" w:space="0" w:color="auto"/>
        <w:right w:val="none" w:sz="0" w:space="0" w:color="auto"/>
      </w:divBdr>
    </w:div>
    <w:div w:id="396977745">
      <w:bodyDiv w:val="1"/>
      <w:marLeft w:val="0"/>
      <w:marRight w:val="0"/>
      <w:marTop w:val="0"/>
      <w:marBottom w:val="0"/>
      <w:divBdr>
        <w:top w:val="none" w:sz="0" w:space="0" w:color="auto"/>
        <w:left w:val="none" w:sz="0" w:space="0" w:color="auto"/>
        <w:bottom w:val="none" w:sz="0" w:space="0" w:color="auto"/>
        <w:right w:val="none" w:sz="0" w:space="0" w:color="auto"/>
      </w:divBdr>
    </w:div>
    <w:div w:id="402457793">
      <w:bodyDiv w:val="1"/>
      <w:marLeft w:val="0"/>
      <w:marRight w:val="0"/>
      <w:marTop w:val="0"/>
      <w:marBottom w:val="0"/>
      <w:divBdr>
        <w:top w:val="none" w:sz="0" w:space="0" w:color="auto"/>
        <w:left w:val="none" w:sz="0" w:space="0" w:color="auto"/>
        <w:bottom w:val="none" w:sz="0" w:space="0" w:color="auto"/>
        <w:right w:val="none" w:sz="0" w:space="0" w:color="auto"/>
      </w:divBdr>
    </w:div>
    <w:div w:id="418335088">
      <w:bodyDiv w:val="1"/>
      <w:marLeft w:val="0"/>
      <w:marRight w:val="0"/>
      <w:marTop w:val="0"/>
      <w:marBottom w:val="0"/>
      <w:divBdr>
        <w:top w:val="none" w:sz="0" w:space="0" w:color="auto"/>
        <w:left w:val="none" w:sz="0" w:space="0" w:color="auto"/>
        <w:bottom w:val="none" w:sz="0" w:space="0" w:color="auto"/>
        <w:right w:val="none" w:sz="0" w:space="0" w:color="auto"/>
      </w:divBdr>
    </w:div>
    <w:div w:id="438793276">
      <w:bodyDiv w:val="1"/>
      <w:marLeft w:val="0"/>
      <w:marRight w:val="0"/>
      <w:marTop w:val="0"/>
      <w:marBottom w:val="0"/>
      <w:divBdr>
        <w:top w:val="none" w:sz="0" w:space="0" w:color="auto"/>
        <w:left w:val="none" w:sz="0" w:space="0" w:color="auto"/>
        <w:bottom w:val="none" w:sz="0" w:space="0" w:color="auto"/>
        <w:right w:val="none" w:sz="0" w:space="0" w:color="auto"/>
      </w:divBdr>
    </w:div>
    <w:div w:id="440103943">
      <w:bodyDiv w:val="1"/>
      <w:marLeft w:val="0"/>
      <w:marRight w:val="0"/>
      <w:marTop w:val="0"/>
      <w:marBottom w:val="0"/>
      <w:divBdr>
        <w:top w:val="none" w:sz="0" w:space="0" w:color="auto"/>
        <w:left w:val="none" w:sz="0" w:space="0" w:color="auto"/>
        <w:bottom w:val="none" w:sz="0" w:space="0" w:color="auto"/>
        <w:right w:val="none" w:sz="0" w:space="0" w:color="auto"/>
      </w:divBdr>
      <w:divsChild>
        <w:div w:id="1662461228">
          <w:marLeft w:val="0"/>
          <w:marRight w:val="0"/>
          <w:marTop w:val="0"/>
          <w:marBottom w:val="0"/>
          <w:divBdr>
            <w:top w:val="none" w:sz="0" w:space="0" w:color="auto"/>
            <w:left w:val="none" w:sz="0" w:space="0" w:color="auto"/>
            <w:bottom w:val="none" w:sz="0" w:space="0" w:color="auto"/>
            <w:right w:val="none" w:sz="0" w:space="0" w:color="auto"/>
          </w:divBdr>
          <w:divsChild>
            <w:div w:id="1202549781">
              <w:marLeft w:val="0"/>
              <w:marRight w:val="0"/>
              <w:marTop w:val="0"/>
              <w:marBottom w:val="0"/>
              <w:divBdr>
                <w:top w:val="none" w:sz="0" w:space="0" w:color="auto"/>
                <w:left w:val="none" w:sz="0" w:space="0" w:color="auto"/>
                <w:bottom w:val="none" w:sz="0" w:space="0" w:color="auto"/>
                <w:right w:val="none" w:sz="0" w:space="0" w:color="auto"/>
              </w:divBdr>
              <w:divsChild>
                <w:div w:id="47337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337492">
      <w:bodyDiv w:val="1"/>
      <w:marLeft w:val="0"/>
      <w:marRight w:val="0"/>
      <w:marTop w:val="0"/>
      <w:marBottom w:val="0"/>
      <w:divBdr>
        <w:top w:val="none" w:sz="0" w:space="0" w:color="auto"/>
        <w:left w:val="none" w:sz="0" w:space="0" w:color="auto"/>
        <w:bottom w:val="none" w:sz="0" w:space="0" w:color="auto"/>
        <w:right w:val="none" w:sz="0" w:space="0" w:color="auto"/>
      </w:divBdr>
    </w:div>
    <w:div w:id="477770228">
      <w:bodyDiv w:val="1"/>
      <w:marLeft w:val="0"/>
      <w:marRight w:val="0"/>
      <w:marTop w:val="0"/>
      <w:marBottom w:val="0"/>
      <w:divBdr>
        <w:top w:val="none" w:sz="0" w:space="0" w:color="auto"/>
        <w:left w:val="none" w:sz="0" w:space="0" w:color="auto"/>
        <w:bottom w:val="none" w:sz="0" w:space="0" w:color="auto"/>
        <w:right w:val="none" w:sz="0" w:space="0" w:color="auto"/>
      </w:divBdr>
    </w:div>
    <w:div w:id="500510096">
      <w:bodyDiv w:val="1"/>
      <w:marLeft w:val="0"/>
      <w:marRight w:val="0"/>
      <w:marTop w:val="0"/>
      <w:marBottom w:val="0"/>
      <w:divBdr>
        <w:top w:val="none" w:sz="0" w:space="0" w:color="auto"/>
        <w:left w:val="none" w:sz="0" w:space="0" w:color="auto"/>
        <w:bottom w:val="none" w:sz="0" w:space="0" w:color="auto"/>
        <w:right w:val="none" w:sz="0" w:space="0" w:color="auto"/>
      </w:divBdr>
    </w:div>
    <w:div w:id="504250317">
      <w:bodyDiv w:val="1"/>
      <w:marLeft w:val="0"/>
      <w:marRight w:val="0"/>
      <w:marTop w:val="0"/>
      <w:marBottom w:val="0"/>
      <w:divBdr>
        <w:top w:val="none" w:sz="0" w:space="0" w:color="auto"/>
        <w:left w:val="none" w:sz="0" w:space="0" w:color="auto"/>
        <w:bottom w:val="none" w:sz="0" w:space="0" w:color="auto"/>
        <w:right w:val="none" w:sz="0" w:space="0" w:color="auto"/>
      </w:divBdr>
    </w:div>
    <w:div w:id="533732689">
      <w:bodyDiv w:val="1"/>
      <w:marLeft w:val="0"/>
      <w:marRight w:val="0"/>
      <w:marTop w:val="0"/>
      <w:marBottom w:val="0"/>
      <w:divBdr>
        <w:top w:val="none" w:sz="0" w:space="0" w:color="auto"/>
        <w:left w:val="none" w:sz="0" w:space="0" w:color="auto"/>
        <w:bottom w:val="none" w:sz="0" w:space="0" w:color="auto"/>
        <w:right w:val="none" w:sz="0" w:space="0" w:color="auto"/>
      </w:divBdr>
    </w:div>
    <w:div w:id="538707172">
      <w:bodyDiv w:val="1"/>
      <w:marLeft w:val="0"/>
      <w:marRight w:val="0"/>
      <w:marTop w:val="0"/>
      <w:marBottom w:val="0"/>
      <w:divBdr>
        <w:top w:val="none" w:sz="0" w:space="0" w:color="auto"/>
        <w:left w:val="none" w:sz="0" w:space="0" w:color="auto"/>
        <w:bottom w:val="none" w:sz="0" w:space="0" w:color="auto"/>
        <w:right w:val="none" w:sz="0" w:space="0" w:color="auto"/>
      </w:divBdr>
    </w:div>
    <w:div w:id="539561754">
      <w:bodyDiv w:val="1"/>
      <w:marLeft w:val="0"/>
      <w:marRight w:val="0"/>
      <w:marTop w:val="0"/>
      <w:marBottom w:val="0"/>
      <w:divBdr>
        <w:top w:val="none" w:sz="0" w:space="0" w:color="auto"/>
        <w:left w:val="none" w:sz="0" w:space="0" w:color="auto"/>
        <w:bottom w:val="none" w:sz="0" w:space="0" w:color="auto"/>
        <w:right w:val="none" w:sz="0" w:space="0" w:color="auto"/>
      </w:divBdr>
    </w:div>
    <w:div w:id="547179688">
      <w:bodyDiv w:val="1"/>
      <w:marLeft w:val="0"/>
      <w:marRight w:val="0"/>
      <w:marTop w:val="0"/>
      <w:marBottom w:val="0"/>
      <w:divBdr>
        <w:top w:val="none" w:sz="0" w:space="0" w:color="auto"/>
        <w:left w:val="none" w:sz="0" w:space="0" w:color="auto"/>
        <w:bottom w:val="none" w:sz="0" w:space="0" w:color="auto"/>
        <w:right w:val="none" w:sz="0" w:space="0" w:color="auto"/>
      </w:divBdr>
    </w:div>
    <w:div w:id="553472305">
      <w:bodyDiv w:val="1"/>
      <w:marLeft w:val="0"/>
      <w:marRight w:val="0"/>
      <w:marTop w:val="0"/>
      <w:marBottom w:val="0"/>
      <w:divBdr>
        <w:top w:val="none" w:sz="0" w:space="0" w:color="auto"/>
        <w:left w:val="none" w:sz="0" w:space="0" w:color="auto"/>
        <w:bottom w:val="none" w:sz="0" w:space="0" w:color="auto"/>
        <w:right w:val="none" w:sz="0" w:space="0" w:color="auto"/>
      </w:divBdr>
    </w:div>
    <w:div w:id="573202425">
      <w:bodyDiv w:val="1"/>
      <w:marLeft w:val="0"/>
      <w:marRight w:val="0"/>
      <w:marTop w:val="0"/>
      <w:marBottom w:val="0"/>
      <w:divBdr>
        <w:top w:val="none" w:sz="0" w:space="0" w:color="auto"/>
        <w:left w:val="none" w:sz="0" w:space="0" w:color="auto"/>
        <w:bottom w:val="none" w:sz="0" w:space="0" w:color="auto"/>
        <w:right w:val="none" w:sz="0" w:space="0" w:color="auto"/>
      </w:divBdr>
    </w:div>
    <w:div w:id="574122389">
      <w:bodyDiv w:val="1"/>
      <w:marLeft w:val="0"/>
      <w:marRight w:val="0"/>
      <w:marTop w:val="0"/>
      <w:marBottom w:val="0"/>
      <w:divBdr>
        <w:top w:val="none" w:sz="0" w:space="0" w:color="auto"/>
        <w:left w:val="none" w:sz="0" w:space="0" w:color="auto"/>
        <w:bottom w:val="none" w:sz="0" w:space="0" w:color="auto"/>
        <w:right w:val="none" w:sz="0" w:space="0" w:color="auto"/>
      </w:divBdr>
      <w:divsChild>
        <w:div w:id="200213969">
          <w:marLeft w:val="0"/>
          <w:marRight w:val="0"/>
          <w:marTop w:val="0"/>
          <w:marBottom w:val="0"/>
          <w:divBdr>
            <w:top w:val="none" w:sz="0" w:space="0" w:color="auto"/>
            <w:left w:val="none" w:sz="0" w:space="0" w:color="auto"/>
            <w:bottom w:val="none" w:sz="0" w:space="0" w:color="auto"/>
            <w:right w:val="none" w:sz="0" w:space="0" w:color="auto"/>
          </w:divBdr>
          <w:divsChild>
            <w:div w:id="146436601">
              <w:marLeft w:val="0"/>
              <w:marRight w:val="0"/>
              <w:marTop w:val="0"/>
              <w:marBottom w:val="0"/>
              <w:divBdr>
                <w:top w:val="none" w:sz="0" w:space="0" w:color="auto"/>
                <w:left w:val="none" w:sz="0" w:space="0" w:color="auto"/>
                <w:bottom w:val="none" w:sz="0" w:space="0" w:color="auto"/>
                <w:right w:val="none" w:sz="0" w:space="0" w:color="auto"/>
              </w:divBdr>
              <w:divsChild>
                <w:div w:id="628510222">
                  <w:marLeft w:val="0"/>
                  <w:marRight w:val="0"/>
                  <w:marTop w:val="0"/>
                  <w:marBottom w:val="0"/>
                  <w:divBdr>
                    <w:top w:val="none" w:sz="0" w:space="0" w:color="auto"/>
                    <w:left w:val="none" w:sz="0" w:space="0" w:color="auto"/>
                    <w:bottom w:val="none" w:sz="0" w:space="0" w:color="auto"/>
                    <w:right w:val="none" w:sz="0" w:space="0" w:color="auto"/>
                  </w:divBdr>
                  <w:divsChild>
                    <w:div w:id="214723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3148194">
      <w:bodyDiv w:val="1"/>
      <w:marLeft w:val="0"/>
      <w:marRight w:val="0"/>
      <w:marTop w:val="0"/>
      <w:marBottom w:val="0"/>
      <w:divBdr>
        <w:top w:val="none" w:sz="0" w:space="0" w:color="auto"/>
        <w:left w:val="none" w:sz="0" w:space="0" w:color="auto"/>
        <w:bottom w:val="none" w:sz="0" w:space="0" w:color="auto"/>
        <w:right w:val="none" w:sz="0" w:space="0" w:color="auto"/>
      </w:divBdr>
    </w:div>
    <w:div w:id="589394981">
      <w:bodyDiv w:val="1"/>
      <w:marLeft w:val="0"/>
      <w:marRight w:val="0"/>
      <w:marTop w:val="0"/>
      <w:marBottom w:val="0"/>
      <w:divBdr>
        <w:top w:val="none" w:sz="0" w:space="0" w:color="auto"/>
        <w:left w:val="none" w:sz="0" w:space="0" w:color="auto"/>
        <w:bottom w:val="none" w:sz="0" w:space="0" w:color="auto"/>
        <w:right w:val="none" w:sz="0" w:space="0" w:color="auto"/>
      </w:divBdr>
      <w:divsChild>
        <w:div w:id="458227874">
          <w:marLeft w:val="0"/>
          <w:marRight w:val="0"/>
          <w:marTop w:val="0"/>
          <w:marBottom w:val="0"/>
          <w:divBdr>
            <w:top w:val="none" w:sz="0" w:space="0" w:color="auto"/>
            <w:left w:val="none" w:sz="0" w:space="0" w:color="auto"/>
            <w:bottom w:val="none" w:sz="0" w:space="0" w:color="auto"/>
            <w:right w:val="none" w:sz="0" w:space="0" w:color="auto"/>
          </w:divBdr>
        </w:div>
        <w:div w:id="1447232356">
          <w:marLeft w:val="0"/>
          <w:marRight w:val="0"/>
          <w:marTop w:val="0"/>
          <w:marBottom w:val="0"/>
          <w:divBdr>
            <w:top w:val="none" w:sz="0" w:space="0" w:color="auto"/>
            <w:left w:val="none" w:sz="0" w:space="0" w:color="auto"/>
            <w:bottom w:val="none" w:sz="0" w:space="0" w:color="auto"/>
            <w:right w:val="none" w:sz="0" w:space="0" w:color="auto"/>
          </w:divBdr>
        </w:div>
        <w:div w:id="385032051">
          <w:marLeft w:val="0"/>
          <w:marRight w:val="0"/>
          <w:marTop w:val="0"/>
          <w:marBottom w:val="0"/>
          <w:divBdr>
            <w:top w:val="none" w:sz="0" w:space="0" w:color="auto"/>
            <w:left w:val="none" w:sz="0" w:space="0" w:color="auto"/>
            <w:bottom w:val="none" w:sz="0" w:space="0" w:color="auto"/>
            <w:right w:val="none" w:sz="0" w:space="0" w:color="auto"/>
          </w:divBdr>
        </w:div>
      </w:divsChild>
    </w:div>
    <w:div w:id="598179798">
      <w:bodyDiv w:val="1"/>
      <w:marLeft w:val="0"/>
      <w:marRight w:val="0"/>
      <w:marTop w:val="0"/>
      <w:marBottom w:val="0"/>
      <w:divBdr>
        <w:top w:val="none" w:sz="0" w:space="0" w:color="auto"/>
        <w:left w:val="none" w:sz="0" w:space="0" w:color="auto"/>
        <w:bottom w:val="none" w:sz="0" w:space="0" w:color="auto"/>
        <w:right w:val="none" w:sz="0" w:space="0" w:color="auto"/>
      </w:divBdr>
    </w:div>
    <w:div w:id="603149185">
      <w:bodyDiv w:val="1"/>
      <w:marLeft w:val="0"/>
      <w:marRight w:val="0"/>
      <w:marTop w:val="0"/>
      <w:marBottom w:val="0"/>
      <w:divBdr>
        <w:top w:val="none" w:sz="0" w:space="0" w:color="auto"/>
        <w:left w:val="none" w:sz="0" w:space="0" w:color="auto"/>
        <w:bottom w:val="none" w:sz="0" w:space="0" w:color="auto"/>
        <w:right w:val="none" w:sz="0" w:space="0" w:color="auto"/>
      </w:divBdr>
    </w:div>
    <w:div w:id="678234965">
      <w:bodyDiv w:val="1"/>
      <w:marLeft w:val="0"/>
      <w:marRight w:val="0"/>
      <w:marTop w:val="0"/>
      <w:marBottom w:val="0"/>
      <w:divBdr>
        <w:top w:val="none" w:sz="0" w:space="0" w:color="auto"/>
        <w:left w:val="none" w:sz="0" w:space="0" w:color="auto"/>
        <w:bottom w:val="none" w:sz="0" w:space="0" w:color="auto"/>
        <w:right w:val="none" w:sz="0" w:space="0" w:color="auto"/>
      </w:divBdr>
    </w:div>
    <w:div w:id="698899674">
      <w:bodyDiv w:val="1"/>
      <w:marLeft w:val="0"/>
      <w:marRight w:val="0"/>
      <w:marTop w:val="0"/>
      <w:marBottom w:val="0"/>
      <w:divBdr>
        <w:top w:val="none" w:sz="0" w:space="0" w:color="auto"/>
        <w:left w:val="none" w:sz="0" w:space="0" w:color="auto"/>
        <w:bottom w:val="none" w:sz="0" w:space="0" w:color="auto"/>
        <w:right w:val="none" w:sz="0" w:space="0" w:color="auto"/>
      </w:divBdr>
    </w:div>
    <w:div w:id="701787514">
      <w:bodyDiv w:val="1"/>
      <w:marLeft w:val="0"/>
      <w:marRight w:val="0"/>
      <w:marTop w:val="0"/>
      <w:marBottom w:val="0"/>
      <w:divBdr>
        <w:top w:val="none" w:sz="0" w:space="0" w:color="auto"/>
        <w:left w:val="none" w:sz="0" w:space="0" w:color="auto"/>
        <w:bottom w:val="none" w:sz="0" w:space="0" w:color="auto"/>
        <w:right w:val="none" w:sz="0" w:space="0" w:color="auto"/>
      </w:divBdr>
    </w:div>
    <w:div w:id="703866572">
      <w:bodyDiv w:val="1"/>
      <w:marLeft w:val="0"/>
      <w:marRight w:val="0"/>
      <w:marTop w:val="0"/>
      <w:marBottom w:val="0"/>
      <w:divBdr>
        <w:top w:val="none" w:sz="0" w:space="0" w:color="auto"/>
        <w:left w:val="none" w:sz="0" w:space="0" w:color="auto"/>
        <w:bottom w:val="none" w:sz="0" w:space="0" w:color="auto"/>
        <w:right w:val="none" w:sz="0" w:space="0" w:color="auto"/>
      </w:divBdr>
    </w:div>
    <w:div w:id="711420611">
      <w:bodyDiv w:val="1"/>
      <w:marLeft w:val="0"/>
      <w:marRight w:val="0"/>
      <w:marTop w:val="0"/>
      <w:marBottom w:val="0"/>
      <w:divBdr>
        <w:top w:val="none" w:sz="0" w:space="0" w:color="auto"/>
        <w:left w:val="none" w:sz="0" w:space="0" w:color="auto"/>
        <w:bottom w:val="none" w:sz="0" w:space="0" w:color="auto"/>
        <w:right w:val="none" w:sz="0" w:space="0" w:color="auto"/>
      </w:divBdr>
    </w:div>
    <w:div w:id="726494991">
      <w:bodyDiv w:val="1"/>
      <w:marLeft w:val="0"/>
      <w:marRight w:val="0"/>
      <w:marTop w:val="0"/>
      <w:marBottom w:val="0"/>
      <w:divBdr>
        <w:top w:val="none" w:sz="0" w:space="0" w:color="auto"/>
        <w:left w:val="none" w:sz="0" w:space="0" w:color="auto"/>
        <w:bottom w:val="none" w:sz="0" w:space="0" w:color="auto"/>
        <w:right w:val="none" w:sz="0" w:space="0" w:color="auto"/>
      </w:divBdr>
    </w:div>
    <w:div w:id="733819503">
      <w:bodyDiv w:val="1"/>
      <w:marLeft w:val="0"/>
      <w:marRight w:val="0"/>
      <w:marTop w:val="0"/>
      <w:marBottom w:val="0"/>
      <w:divBdr>
        <w:top w:val="none" w:sz="0" w:space="0" w:color="auto"/>
        <w:left w:val="none" w:sz="0" w:space="0" w:color="auto"/>
        <w:bottom w:val="none" w:sz="0" w:space="0" w:color="auto"/>
        <w:right w:val="none" w:sz="0" w:space="0" w:color="auto"/>
      </w:divBdr>
    </w:div>
    <w:div w:id="751245624">
      <w:bodyDiv w:val="1"/>
      <w:marLeft w:val="0"/>
      <w:marRight w:val="0"/>
      <w:marTop w:val="0"/>
      <w:marBottom w:val="0"/>
      <w:divBdr>
        <w:top w:val="none" w:sz="0" w:space="0" w:color="auto"/>
        <w:left w:val="none" w:sz="0" w:space="0" w:color="auto"/>
        <w:bottom w:val="none" w:sz="0" w:space="0" w:color="auto"/>
        <w:right w:val="none" w:sz="0" w:space="0" w:color="auto"/>
      </w:divBdr>
    </w:div>
    <w:div w:id="789324310">
      <w:bodyDiv w:val="1"/>
      <w:marLeft w:val="0"/>
      <w:marRight w:val="0"/>
      <w:marTop w:val="0"/>
      <w:marBottom w:val="0"/>
      <w:divBdr>
        <w:top w:val="none" w:sz="0" w:space="0" w:color="auto"/>
        <w:left w:val="none" w:sz="0" w:space="0" w:color="auto"/>
        <w:bottom w:val="none" w:sz="0" w:space="0" w:color="auto"/>
        <w:right w:val="none" w:sz="0" w:space="0" w:color="auto"/>
      </w:divBdr>
    </w:div>
    <w:div w:id="804155712">
      <w:bodyDiv w:val="1"/>
      <w:marLeft w:val="0"/>
      <w:marRight w:val="0"/>
      <w:marTop w:val="0"/>
      <w:marBottom w:val="0"/>
      <w:divBdr>
        <w:top w:val="none" w:sz="0" w:space="0" w:color="auto"/>
        <w:left w:val="none" w:sz="0" w:space="0" w:color="auto"/>
        <w:bottom w:val="none" w:sz="0" w:space="0" w:color="auto"/>
        <w:right w:val="none" w:sz="0" w:space="0" w:color="auto"/>
      </w:divBdr>
      <w:divsChild>
        <w:div w:id="1568760860">
          <w:marLeft w:val="0"/>
          <w:marRight w:val="0"/>
          <w:marTop w:val="0"/>
          <w:marBottom w:val="0"/>
          <w:divBdr>
            <w:top w:val="none" w:sz="0" w:space="0" w:color="auto"/>
            <w:left w:val="none" w:sz="0" w:space="0" w:color="auto"/>
            <w:bottom w:val="none" w:sz="0" w:space="0" w:color="auto"/>
            <w:right w:val="none" w:sz="0" w:space="0" w:color="auto"/>
          </w:divBdr>
          <w:divsChild>
            <w:div w:id="363945326">
              <w:marLeft w:val="0"/>
              <w:marRight w:val="0"/>
              <w:marTop w:val="0"/>
              <w:marBottom w:val="0"/>
              <w:divBdr>
                <w:top w:val="none" w:sz="0" w:space="0" w:color="auto"/>
                <w:left w:val="none" w:sz="0" w:space="0" w:color="auto"/>
                <w:bottom w:val="none" w:sz="0" w:space="0" w:color="auto"/>
                <w:right w:val="none" w:sz="0" w:space="0" w:color="auto"/>
              </w:divBdr>
              <w:divsChild>
                <w:div w:id="91824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649283">
      <w:bodyDiv w:val="1"/>
      <w:marLeft w:val="0"/>
      <w:marRight w:val="0"/>
      <w:marTop w:val="0"/>
      <w:marBottom w:val="0"/>
      <w:divBdr>
        <w:top w:val="none" w:sz="0" w:space="0" w:color="auto"/>
        <w:left w:val="none" w:sz="0" w:space="0" w:color="auto"/>
        <w:bottom w:val="none" w:sz="0" w:space="0" w:color="auto"/>
        <w:right w:val="none" w:sz="0" w:space="0" w:color="auto"/>
      </w:divBdr>
      <w:divsChild>
        <w:div w:id="986395843">
          <w:marLeft w:val="0"/>
          <w:marRight w:val="0"/>
          <w:marTop w:val="0"/>
          <w:marBottom w:val="0"/>
          <w:divBdr>
            <w:top w:val="none" w:sz="0" w:space="0" w:color="auto"/>
            <w:left w:val="none" w:sz="0" w:space="0" w:color="auto"/>
            <w:bottom w:val="none" w:sz="0" w:space="0" w:color="auto"/>
            <w:right w:val="none" w:sz="0" w:space="0" w:color="auto"/>
          </w:divBdr>
          <w:divsChild>
            <w:div w:id="116025860">
              <w:marLeft w:val="0"/>
              <w:marRight w:val="0"/>
              <w:marTop w:val="0"/>
              <w:marBottom w:val="0"/>
              <w:divBdr>
                <w:top w:val="none" w:sz="0" w:space="0" w:color="auto"/>
                <w:left w:val="none" w:sz="0" w:space="0" w:color="auto"/>
                <w:bottom w:val="none" w:sz="0" w:space="0" w:color="auto"/>
                <w:right w:val="none" w:sz="0" w:space="0" w:color="auto"/>
              </w:divBdr>
              <w:divsChild>
                <w:div w:id="14852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426005">
      <w:bodyDiv w:val="1"/>
      <w:marLeft w:val="0"/>
      <w:marRight w:val="0"/>
      <w:marTop w:val="0"/>
      <w:marBottom w:val="0"/>
      <w:divBdr>
        <w:top w:val="none" w:sz="0" w:space="0" w:color="auto"/>
        <w:left w:val="none" w:sz="0" w:space="0" w:color="auto"/>
        <w:bottom w:val="none" w:sz="0" w:space="0" w:color="auto"/>
        <w:right w:val="none" w:sz="0" w:space="0" w:color="auto"/>
      </w:divBdr>
      <w:divsChild>
        <w:div w:id="2089841580">
          <w:marLeft w:val="0"/>
          <w:marRight w:val="0"/>
          <w:marTop w:val="0"/>
          <w:marBottom w:val="0"/>
          <w:divBdr>
            <w:top w:val="none" w:sz="0" w:space="0" w:color="auto"/>
            <w:left w:val="none" w:sz="0" w:space="0" w:color="auto"/>
            <w:bottom w:val="none" w:sz="0" w:space="0" w:color="auto"/>
            <w:right w:val="none" w:sz="0" w:space="0" w:color="auto"/>
          </w:divBdr>
          <w:divsChild>
            <w:div w:id="1967463509">
              <w:marLeft w:val="0"/>
              <w:marRight w:val="0"/>
              <w:marTop w:val="0"/>
              <w:marBottom w:val="0"/>
              <w:divBdr>
                <w:top w:val="none" w:sz="0" w:space="0" w:color="auto"/>
                <w:left w:val="none" w:sz="0" w:space="0" w:color="auto"/>
                <w:bottom w:val="none" w:sz="0" w:space="0" w:color="auto"/>
                <w:right w:val="none" w:sz="0" w:space="0" w:color="auto"/>
              </w:divBdr>
              <w:divsChild>
                <w:div w:id="55936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301057">
      <w:bodyDiv w:val="1"/>
      <w:marLeft w:val="0"/>
      <w:marRight w:val="0"/>
      <w:marTop w:val="0"/>
      <w:marBottom w:val="0"/>
      <w:divBdr>
        <w:top w:val="none" w:sz="0" w:space="0" w:color="auto"/>
        <w:left w:val="none" w:sz="0" w:space="0" w:color="auto"/>
        <w:bottom w:val="none" w:sz="0" w:space="0" w:color="auto"/>
        <w:right w:val="none" w:sz="0" w:space="0" w:color="auto"/>
      </w:divBdr>
    </w:div>
    <w:div w:id="948777137">
      <w:bodyDiv w:val="1"/>
      <w:marLeft w:val="0"/>
      <w:marRight w:val="0"/>
      <w:marTop w:val="0"/>
      <w:marBottom w:val="0"/>
      <w:divBdr>
        <w:top w:val="none" w:sz="0" w:space="0" w:color="auto"/>
        <w:left w:val="none" w:sz="0" w:space="0" w:color="auto"/>
        <w:bottom w:val="none" w:sz="0" w:space="0" w:color="auto"/>
        <w:right w:val="none" w:sz="0" w:space="0" w:color="auto"/>
      </w:divBdr>
    </w:div>
    <w:div w:id="979456683">
      <w:bodyDiv w:val="1"/>
      <w:marLeft w:val="0"/>
      <w:marRight w:val="0"/>
      <w:marTop w:val="0"/>
      <w:marBottom w:val="0"/>
      <w:divBdr>
        <w:top w:val="none" w:sz="0" w:space="0" w:color="auto"/>
        <w:left w:val="none" w:sz="0" w:space="0" w:color="auto"/>
        <w:bottom w:val="none" w:sz="0" w:space="0" w:color="auto"/>
        <w:right w:val="none" w:sz="0" w:space="0" w:color="auto"/>
      </w:divBdr>
    </w:div>
    <w:div w:id="989335083">
      <w:bodyDiv w:val="1"/>
      <w:marLeft w:val="0"/>
      <w:marRight w:val="0"/>
      <w:marTop w:val="0"/>
      <w:marBottom w:val="0"/>
      <w:divBdr>
        <w:top w:val="none" w:sz="0" w:space="0" w:color="auto"/>
        <w:left w:val="none" w:sz="0" w:space="0" w:color="auto"/>
        <w:bottom w:val="none" w:sz="0" w:space="0" w:color="auto"/>
        <w:right w:val="none" w:sz="0" w:space="0" w:color="auto"/>
      </w:divBdr>
    </w:div>
    <w:div w:id="1017390268">
      <w:bodyDiv w:val="1"/>
      <w:marLeft w:val="0"/>
      <w:marRight w:val="0"/>
      <w:marTop w:val="0"/>
      <w:marBottom w:val="0"/>
      <w:divBdr>
        <w:top w:val="none" w:sz="0" w:space="0" w:color="auto"/>
        <w:left w:val="none" w:sz="0" w:space="0" w:color="auto"/>
        <w:bottom w:val="none" w:sz="0" w:space="0" w:color="auto"/>
        <w:right w:val="none" w:sz="0" w:space="0" w:color="auto"/>
      </w:divBdr>
      <w:divsChild>
        <w:div w:id="1061052034">
          <w:marLeft w:val="0"/>
          <w:marRight w:val="0"/>
          <w:marTop w:val="0"/>
          <w:marBottom w:val="0"/>
          <w:divBdr>
            <w:top w:val="none" w:sz="0" w:space="0" w:color="auto"/>
            <w:left w:val="none" w:sz="0" w:space="0" w:color="auto"/>
            <w:bottom w:val="none" w:sz="0" w:space="0" w:color="auto"/>
            <w:right w:val="none" w:sz="0" w:space="0" w:color="auto"/>
          </w:divBdr>
          <w:divsChild>
            <w:div w:id="1980039657">
              <w:marLeft w:val="0"/>
              <w:marRight w:val="0"/>
              <w:marTop w:val="0"/>
              <w:marBottom w:val="0"/>
              <w:divBdr>
                <w:top w:val="none" w:sz="0" w:space="0" w:color="auto"/>
                <w:left w:val="none" w:sz="0" w:space="0" w:color="auto"/>
                <w:bottom w:val="none" w:sz="0" w:space="0" w:color="auto"/>
                <w:right w:val="none" w:sz="0" w:space="0" w:color="auto"/>
              </w:divBdr>
              <w:divsChild>
                <w:div w:id="1340692909">
                  <w:marLeft w:val="0"/>
                  <w:marRight w:val="0"/>
                  <w:marTop w:val="0"/>
                  <w:marBottom w:val="0"/>
                  <w:divBdr>
                    <w:top w:val="none" w:sz="0" w:space="0" w:color="auto"/>
                    <w:left w:val="none" w:sz="0" w:space="0" w:color="auto"/>
                    <w:bottom w:val="none" w:sz="0" w:space="0" w:color="auto"/>
                    <w:right w:val="none" w:sz="0" w:space="0" w:color="auto"/>
                  </w:divBdr>
                  <w:divsChild>
                    <w:div w:id="74838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8434506">
      <w:bodyDiv w:val="1"/>
      <w:marLeft w:val="0"/>
      <w:marRight w:val="0"/>
      <w:marTop w:val="0"/>
      <w:marBottom w:val="0"/>
      <w:divBdr>
        <w:top w:val="none" w:sz="0" w:space="0" w:color="auto"/>
        <w:left w:val="none" w:sz="0" w:space="0" w:color="auto"/>
        <w:bottom w:val="none" w:sz="0" w:space="0" w:color="auto"/>
        <w:right w:val="none" w:sz="0" w:space="0" w:color="auto"/>
      </w:divBdr>
    </w:div>
    <w:div w:id="1044331227">
      <w:bodyDiv w:val="1"/>
      <w:marLeft w:val="0"/>
      <w:marRight w:val="0"/>
      <w:marTop w:val="0"/>
      <w:marBottom w:val="0"/>
      <w:divBdr>
        <w:top w:val="none" w:sz="0" w:space="0" w:color="auto"/>
        <w:left w:val="none" w:sz="0" w:space="0" w:color="auto"/>
        <w:bottom w:val="none" w:sz="0" w:space="0" w:color="auto"/>
        <w:right w:val="none" w:sz="0" w:space="0" w:color="auto"/>
      </w:divBdr>
    </w:div>
    <w:div w:id="1045061015">
      <w:bodyDiv w:val="1"/>
      <w:marLeft w:val="0"/>
      <w:marRight w:val="0"/>
      <w:marTop w:val="0"/>
      <w:marBottom w:val="0"/>
      <w:divBdr>
        <w:top w:val="none" w:sz="0" w:space="0" w:color="auto"/>
        <w:left w:val="none" w:sz="0" w:space="0" w:color="auto"/>
        <w:bottom w:val="none" w:sz="0" w:space="0" w:color="auto"/>
        <w:right w:val="none" w:sz="0" w:space="0" w:color="auto"/>
      </w:divBdr>
    </w:div>
    <w:div w:id="1085303863">
      <w:bodyDiv w:val="1"/>
      <w:marLeft w:val="0"/>
      <w:marRight w:val="0"/>
      <w:marTop w:val="0"/>
      <w:marBottom w:val="0"/>
      <w:divBdr>
        <w:top w:val="none" w:sz="0" w:space="0" w:color="auto"/>
        <w:left w:val="none" w:sz="0" w:space="0" w:color="auto"/>
        <w:bottom w:val="none" w:sz="0" w:space="0" w:color="auto"/>
        <w:right w:val="none" w:sz="0" w:space="0" w:color="auto"/>
      </w:divBdr>
    </w:div>
    <w:div w:id="1117332194">
      <w:bodyDiv w:val="1"/>
      <w:marLeft w:val="0"/>
      <w:marRight w:val="0"/>
      <w:marTop w:val="0"/>
      <w:marBottom w:val="0"/>
      <w:divBdr>
        <w:top w:val="none" w:sz="0" w:space="0" w:color="auto"/>
        <w:left w:val="none" w:sz="0" w:space="0" w:color="auto"/>
        <w:bottom w:val="none" w:sz="0" w:space="0" w:color="auto"/>
        <w:right w:val="none" w:sz="0" w:space="0" w:color="auto"/>
      </w:divBdr>
    </w:div>
    <w:div w:id="1128858612">
      <w:bodyDiv w:val="1"/>
      <w:marLeft w:val="0"/>
      <w:marRight w:val="0"/>
      <w:marTop w:val="0"/>
      <w:marBottom w:val="0"/>
      <w:divBdr>
        <w:top w:val="none" w:sz="0" w:space="0" w:color="auto"/>
        <w:left w:val="none" w:sz="0" w:space="0" w:color="auto"/>
        <w:bottom w:val="none" w:sz="0" w:space="0" w:color="auto"/>
        <w:right w:val="none" w:sz="0" w:space="0" w:color="auto"/>
      </w:divBdr>
    </w:div>
    <w:div w:id="1132557803">
      <w:bodyDiv w:val="1"/>
      <w:marLeft w:val="0"/>
      <w:marRight w:val="0"/>
      <w:marTop w:val="0"/>
      <w:marBottom w:val="0"/>
      <w:divBdr>
        <w:top w:val="none" w:sz="0" w:space="0" w:color="auto"/>
        <w:left w:val="none" w:sz="0" w:space="0" w:color="auto"/>
        <w:bottom w:val="none" w:sz="0" w:space="0" w:color="auto"/>
        <w:right w:val="none" w:sz="0" w:space="0" w:color="auto"/>
      </w:divBdr>
      <w:divsChild>
        <w:div w:id="1868522518">
          <w:marLeft w:val="0"/>
          <w:marRight w:val="0"/>
          <w:marTop w:val="0"/>
          <w:marBottom w:val="0"/>
          <w:divBdr>
            <w:top w:val="none" w:sz="0" w:space="0" w:color="auto"/>
            <w:left w:val="none" w:sz="0" w:space="0" w:color="auto"/>
            <w:bottom w:val="none" w:sz="0" w:space="0" w:color="auto"/>
            <w:right w:val="none" w:sz="0" w:space="0" w:color="auto"/>
          </w:divBdr>
          <w:divsChild>
            <w:div w:id="1949005201">
              <w:marLeft w:val="0"/>
              <w:marRight w:val="0"/>
              <w:marTop w:val="0"/>
              <w:marBottom w:val="0"/>
              <w:divBdr>
                <w:top w:val="none" w:sz="0" w:space="0" w:color="auto"/>
                <w:left w:val="none" w:sz="0" w:space="0" w:color="auto"/>
                <w:bottom w:val="none" w:sz="0" w:space="0" w:color="auto"/>
                <w:right w:val="none" w:sz="0" w:space="0" w:color="auto"/>
              </w:divBdr>
              <w:divsChild>
                <w:div w:id="30311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037415">
      <w:bodyDiv w:val="1"/>
      <w:marLeft w:val="0"/>
      <w:marRight w:val="0"/>
      <w:marTop w:val="0"/>
      <w:marBottom w:val="0"/>
      <w:divBdr>
        <w:top w:val="none" w:sz="0" w:space="0" w:color="auto"/>
        <w:left w:val="none" w:sz="0" w:space="0" w:color="auto"/>
        <w:bottom w:val="none" w:sz="0" w:space="0" w:color="auto"/>
        <w:right w:val="none" w:sz="0" w:space="0" w:color="auto"/>
      </w:divBdr>
    </w:div>
    <w:div w:id="1143079395">
      <w:bodyDiv w:val="1"/>
      <w:marLeft w:val="0"/>
      <w:marRight w:val="0"/>
      <w:marTop w:val="0"/>
      <w:marBottom w:val="0"/>
      <w:divBdr>
        <w:top w:val="none" w:sz="0" w:space="0" w:color="auto"/>
        <w:left w:val="none" w:sz="0" w:space="0" w:color="auto"/>
        <w:bottom w:val="none" w:sz="0" w:space="0" w:color="auto"/>
        <w:right w:val="none" w:sz="0" w:space="0" w:color="auto"/>
      </w:divBdr>
    </w:div>
    <w:div w:id="1156646928">
      <w:bodyDiv w:val="1"/>
      <w:marLeft w:val="0"/>
      <w:marRight w:val="0"/>
      <w:marTop w:val="0"/>
      <w:marBottom w:val="0"/>
      <w:divBdr>
        <w:top w:val="none" w:sz="0" w:space="0" w:color="auto"/>
        <w:left w:val="none" w:sz="0" w:space="0" w:color="auto"/>
        <w:bottom w:val="none" w:sz="0" w:space="0" w:color="auto"/>
        <w:right w:val="none" w:sz="0" w:space="0" w:color="auto"/>
      </w:divBdr>
    </w:div>
    <w:div w:id="1198855619">
      <w:bodyDiv w:val="1"/>
      <w:marLeft w:val="0"/>
      <w:marRight w:val="0"/>
      <w:marTop w:val="0"/>
      <w:marBottom w:val="0"/>
      <w:divBdr>
        <w:top w:val="none" w:sz="0" w:space="0" w:color="auto"/>
        <w:left w:val="none" w:sz="0" w:space="0" w:color="auto"/>
        <w:bottom w:val="none" w:sz="0" w:space="0" w:color="auto"/>
        <w:right w:val="none" w:sz="0" w:space="0" w:color="auto"/>
      </w:divBdr>
    </w:div>
    <w:div w:id="1203637961">
      <w:bodyDiv w:val="1"/>
      <w:marLeft w:val="0"/>
      <w:marRight w:val="0"/>
      <w:marTop w:val="0"/>
      <w:marBottom w:val="0"/>
      <w:divBdr>
        <w:top w:val="none" w:sz="0" w:space="0" w:color="auto"/>
        <w:left w:val="none" w:sz="0" w:space="0" w:color="auto"/>
        <w:bottom w:val="none" w:sz="0" w:space="0" w:color="auto"/>
        <w:right w:val="none" w:sz="0" w:space="0" w:color="auto"/>
      </w:divBdr>
    </w:div>
    <w:div w:id="1213427313">
      <w:bodyDiv w:val="1"/>
      <w:marLeft w:val="0"/>
      <w:marRight w:val="0"/>
      <w:marTop w:val="0"/>
      <w:marBottom w:val="0"/>
      <w:divBdr>
        <w:top w:val="none" w:sz="0" w:space="0" w:color="auto"/>
        <w:left w:val="none" w:sz="0" w:space="0" w:color="auto"/>
        <w:bottom w:val="none" w:sz="0" w:space="0" w:color="auto"/>
        <w:right w:val="none" w:sz="0" w:space="0" w:color="auto"/>
      </w:divBdr>
      <w:divsChild>
        <w:div w:id="528833187">
          <w:marLeft w:val="0"/>
          <w:marRight w:val="0"/>
          <w:marTop w:val="0"/>
          <w:marBottom w:val="0"/>
          <w:divBdr>
            <w:top w:val="none" w:sz="0" w:space="0" w:color="auto"/>
            <w:left w:val="none" w:sz="0" w:space="0" w:color="auto"/>
            <w:bottom w:val="none" w:sz="0" w:space="0" w:color="auto"/>
            <w:right w:val="none" w:sz="0" w:space="0" w:color="auto"/>
          </w:divBdr>
          <w:divsChild>
            <w:div w:id="349646892">
              <w:marLeft w:val="0"/>
              <w:marRight w:val="0"/>
              <w:marTop w:val="0"/>
              <w:marBottom w:val="0"/>
              <w:divBdr>
                <w:top w:val="none" w:sz="0" w:space="0" w:color="auto"/>
                <w:left w:val="none" w:sz="0" w:space="0" w:color="auto"/>
                <w:bottom w:val="none" w:sz="0" w:space="0" w:color="auto"/>
                <w:right w:val="none" w:sz="0" w:space="0" w:color="auto"/>
              </w:divBdr>
              <w:divsChild>
                <w:div w:id="100120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629363">
      <w:bodyDiv w:val="1"/>
      <w:marLeft w:val="0"/>
      <w:marRight w:val="0"/>
      <w:marTop w:val="0"/>
      <w:marBottom w:val="0"/>
      <w:divBdr>
        <w:top w:val="none" w:sz="0" w:space="0" w:color="auto"/>
        <w:left w:val="none" w:sz="0" w:space="0" w:color="auto"/>
        <w:bottom w:val="none" w:sz="0" w:space="0" w:color="auto"/>
        <w:right w:val="none" w:sz="0" w:space="0" w:color="auto"/>
      </w:divBdr>
    </w:div>
    <w:div w:id="1305505850">
      <w:bodyDiv w:val="1"/>
      <w:marLeft w:val="0"/>
      <w:marRight w:val="0"/>
      <w:marTop w:val="0"/>
      <w:marBottom w:val="0"/>
      <w:divBdr>
        <w:top w:val="none" w:sz="0" w:space="0" w:color="auto"/>
        <w:left w:val="none" w:sz="0" w:space="0" w:color="auto"/>
        <w:bottom w:val="none" w:sz="0" w:space="0" w:color="auto"/>
        <w:right w:val="none" w:sz="0" w:space="0" w:color="auto"/>
      </w:divBdr>
    </w:div>
    <w:div w:id="1320962816">
      <w:bodyDiv w:val="1"/>
      <w:marLeft w:val="0"/>
      <w:marRight w:val="0"/>
      <w:marTop w:val="0"/>
      <w:marBottom w:val="0"/>
      <w:divBdr>
        <w:top w:val="none" w:sz="0" w:space="0" w:color="auto"/>
        <w:left w:val="none" w:sz="0" w:space="0" w:color="auto"/>
        <w:bottom w:val="none" w:sz="0" w:space="0" w:color="auto"/>
        <w:right w:val="none" w:sz="0" w:space="0" w:color="auto"/>
      </w:divBdr>
    </w:div>
    <w:div w:id="1336690450">
      <w:bodyDiv w:val="1"/>
      <w:marLeft w:val="0"/>
      <w:marRight w:val="0"/>
      <w:marTop w:val="0"/>
      <w:marBottom w:val="0"/>
      <w:divBdr>
        <w:top w:val="none" w:sz="0" w:space="0" w:color="auto"/>
        <w:left w:val="none" w:sz="0" w:space="0" w:color="auto"/>
        <w:bottom w:val="none" w:sz="0" w:space="0" w:color="auto"/>
        <w:right w:val="none" w:sz="0" w:space="0" w:color="auto"/>
      </w:divBdr>
    </w:div>
    <w:div w:id="1368600643">
      <w:bodyDiv w:val="1"/>
      <w:marLeft w:val="0"/>
      <w:marRight w:val="0"/>
      <w:marTop w:val="0"/>
      <w:marBottom w:val="0"/>
      <w:divBdr>
        <w:top w:val="none" w:sz="0" w:space="0" w:color="auto"/>
        <w:left w:val="none" w:sz="0" w:space="0" w:color="auto"/>
        <w:bottom w:val="none" w:sz="0" w:space="0" w:color="auto"/>
        <w:right w:val="none" w:sz="0" w:space="0" w:color="auto"/>
      </w:divBdr>
    </w:div>
    <w:div w:id="1410879882">
      <w:bodyDiv w:val="1"/>
      <w:marLeft w:val="0"/>
      <w:marRight w:val="0"/>
      <w:marTop w:val="0"/>
      <w:marBottom w:val="0"/>
      <w:divBdr>
        <w:top w:val="none" w:sz="0" w:space="0" w:color="auto"/>
        <w:left w:val="none" w:sz="0" w:space="0" w:color="auto"/>
        <w:bottom w:val="none" w:sz="0" w:space="0" w:color="auto"/>
        <w:right w:val="none" w:sz="0" w:space="0" w:color="auto"/>
      </w:divBdr>
    </w:div>
    <w:div w:id="1424763054">
      <w:bodyDiv w:val="1"/>
      <w:marLeft w:val="0"/>
      <w:marRight w:val="0"/>
      <w:marTop w:val="0"/>
      <w:marBottom w:val="0"/>
      <w:divBdr>
        <w:top w:val="none" w:sz="0" w:space="0" w:color="auto"/>
        <w:left w:val="none" w:sz="0" w:space="0" w:color="auto"/>
        <w:bottom w:val="none" w:sz="0" w:space="0" w:color="auto"/>
        <w:right w:val="none" w:sz="0" w:space="0" w:color="auto"/>
      </w:divBdr>
    </w:div>
    <w:div w:id="1427001501">
      <w:bodyDiv w:val="1"/>
      <w:marLeft w:val="0"/>
      <w:marRight w:val="0"/>
      <w:marTop w:val="0"/>
      <w:marBottom w:val="0"/>
      <w:divBdr>
        <w:top w:val="none" w:sz="0" w:space="0" w:color="auto"/>
        <w:left w:val="none" w:sz="0" w:space="0" w:color="auto"/>
        <w:bottom w:val="none" w:sz="0" w:space="0" w:color="auto"/>
        <w:right w:val="none" w:sz="0" w:space="0" w:color="auto"/>
      </w:divBdr>
    </w:div>
    <w:div w:id="1434471827">
      <w:bodyDiv w:val="1"/>
      <w:marLeft w:val="0"/>
      <w:marRight w:val="0"/>
      <w:marTop w:val="0"/>
      <w:marBottom w:val="0"/>
      <w:divBdr>
        <w:top w:val="none" w:sz="0" w:space="0" w:color="auto"/>
        <w:left w:val="none" w:sz="0" w:space="0" w:color="auto"/>
        <w:bottom w:val="none" w:sz="0" w:space="0" w:color="auto"/>
        <w:right w:val="none" w:sz="0" w:space="0" w:color="auto"/>
      </w:divBdr>
      <w:divsChild>
        <w:div w:id="1605458148">
          <w:marLeft w:val="0"/>
          <w:marRight w:val="0"/>
          <w:marTop w:val="0"/>
          <w:marBottom w:val="0"/>
          <w:divBdr>
            <w:top w:val="none" w:sz="0" w:space="0" w:color="auto"/>
            <w:left w:val="none" w:sz="0" w:space="0" w:color="auto"/>
            <w:bottom w:val="none" w:sz="0" w:space="0" w:color="auto"/>
            <w:right w:val="none" w:sz="0" w:space="0" w:color="auto"/>
          </w:divBdr>
          <w:divsChild>
            <w:div w:id="1763405410">
              <w:marLeft w:val="0"/>
              <w:marRight w:val="0"/>
              <w:marTop w:val="0"/>
              <w:marBottom w:val="0"/>
              <w:divBdr>
                <w:top w:val="none" w:sz="0" w:space="0" w:color="auto"/>
                <w:left w:val="none" w:sz="0" w:space="0" w:color="auto"/>
                <w:bottom w:val="none" w:sz="0" w:space="0" w:color="auto"/>
                <w:right w:val="none" w:sz="0" w:space="0" w:color="auto"/>
              </w:divBdr>
              <w:divsChild>
                <w:div w:id="1715277818">
                  <w:marLeft w:val="0"/>
                  <w:marRight w:val="0"/>
                  <w:marTop w:val="0"/>
                  <w:marBottom w:val="0"/>
                  <w:divBdr>
                    <w:top w:val="none" w:sz="0" w:space="0" w:color="auto"/>
                    <w:left w:val="none" w:sz="0" w:space="0" w:color="auto"/>
                    <w:bottom w:val="none" w:sz="0" w:space="0" w:color="auto"/>
                    <w:right w:val="none" w:sz="0" w:space="0" w:color="auto"/>
                  </w:divBdr>
                  <w:divsChild>
                    <w:div w:id="85500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3651500">
      <w:bodyDiv w:val="1"/>
      <w:marLeft w:val="0"/>
      <w:marRight w:val="0"/>
      <w:marTop w:val="0"/>
      <w:marBottom w:val="0"/>
      <w:divBdr>
        <w:top w:val="none" w:sz="0" w:space="0" w:color="auto"/>
        <w:left w:val="none" w:sz="0" w:space="0" w:color="auto"/>
        <w:bottom w:val="none" w:sz="0" w:space="0" w:color="auto"/>
        <w:right w:val="none" w:sz="0" w:space="0" w:color="auto"/>
      </w:divBdr>
      <w:divsChild>
        <w:div w:id="894781864">
          <w:marLeft w:val="0"/>
          <w:marRight w:val="0"/>
          <w:marTop w:val="0"/>
          <w:marBottom w:val="0"/>
          <w:divBdr>
            <w:top w:val="none" w:sz="0" w:space="0" w:color="auto"/>
            <w:left w:val="none" w:sz="0" w:space="0" w:color="auto"/>
            <w:bottom w:val="none" w:sz="0" w:space="0" w:color="auto"/>
            <w:right w:val="none" w:sz="0" w:space="0" w:color="auto"/>
          </w:divBdr>
          <w:divsChild>
            <w:div w:id="300962646">
              <w:marLeft w:val="0"/>
              <w:marRight w:val="0"/>
              <w:marTop w:val="0"/>
              <w:marBottom w:val="0"/>
              <w:divBdr>
                <w:top w:val="none" w:sz="0" w:space="0" w:color="auto"/>
                <w:left w:val="none" w:sz="0" w:space="0" w:color="auto"/>
                <w:bottom w:val="none" w:sz="0" w:space="0" w:color="auto"/>
                <w:right w:val="none" w:sz="0" w:space="0" w:color="auto"/>
              </w:divBdr>
              <w:divsChild>
                <w:div w:id="17230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978368">
      <w:bodyDiv w:val="1"/>
      <w:marLeft w:val="0"/>
      <w:marRight w:val="0"/>
      <w:marTop w:val="0"/>
      <w:marBottom w:val="0"/>
      <w:divBdr>
        <w:top w:val="none" w:sz="0" w:space="0" w:color="auto"/>
        <w:left w:val="none" w:sz="0" w:space="0" w:color="auto"/>
        <w:bottom w:val="none" w:sz="0" w:space="0" w:color="auto"/>
        <w:right w:val="none" w:sz="0" w:space="0" w:color="auto"/>
      </w:divBdr>
    </w:div>
    <w:div w:id="1507788569">
      <w:bodyDiv w:val="1"/>
      <w:marLeft w:val="0"/>
      <w:marRight w:val="0"/>
      <w:marTop w:val="0"/>
      <w:marBottom w:val="0"/>
      <w:divBdr>
        <w:top w:val="none" w:sz="0" w:space="0" w:color="auto"/>
        <w:left w:val="none" w:sz="0" w:space="0" w:color="auto"/>
        <w:bottom w:val="none" w:sz="0" w:space="0" w:color="auto"/>
        <w:right w:val="none" w:sz="0" w:space="0" w:color="auto"/>
      </w:divBdr>
    </w:div>
    <w:div w:id="1511870887">
      <w:bodyDiv w:val="1"/>
      <w:marLeft w:val="0"/>
      <w:marRight w:val="0"/>
      <w:marTop w:val="0"/>
      <w:marBottom w:val="0"/>
      <w:divBdr>
        <w:top w:val="none" w:sz="0" w:space="0" w:color="auto"/>
        <w:left w:val="none" w:sz="0" w:space="0" w:color="auto"/>
        <w:bottom w:val="none" w:sz="0" w:space="0" w:color="auto"/>
        <w:right w:val="none" w:sz="0" w:space="0" w:color="auto"/>
      </w:divBdr>
    </w:div>
    <w:div w:id="1519850101">
      <w:bodyDiv w:val="1"/>
      <w:marLeft w:val="0"/>
      <w:marRight w:val="0"/>
      <w:marTop w:val="0"/>
      <w:marBottom w:val="0"/>
      <w:divBdr>
        <w:top w:val="none" w:sz="0" w:space="0" w:color="auto"/>
        <w:left w:val="none" w:sz="0" w:space="0" w:color="auto"/>
        <w:bottom w:val="none" w:sz="0" w:space="0" w:color="auto"/>
        <w:right w:val="none" w:sz="0" w:space="0" w:color="auto"/>
      </w:divBdr>
    </w:div>
    <w:div w:id="1535384991">
      <w:bodyDiv w:val="1"/>
      <w:marLeft w:val="0"/>
      <w:marRight w:val="0"/>
      <w:marTop w:val="0"/>
      <w:marBottom w:val="0"/>
      <w:divBdr>
        <w:top w:val="none" w:sz="0" w:space="0" w:color="auto"/>
        <w:left w:val="none" w:sz="0" w:space="0" w:color="auto"/>
        <w:bottom w:val="none" w:sz="0" w:space="0" w:color="auto"/>
        <w:right w:val="none" w:sz="0" w:space="0" w:color="auto"/>
      </w:divBdr>
    </w:div>
    <w:div w:id="1550991637">
      <w:bodyDiv w:val="1"/>
      <w:marLeft w:val="0"/>
      <w:marRight w:val="0"/>
      <w:marTop w:val="0"/>
      <w:marBottom w:val="0"/>
      <w:divBdr>
        <w:top w:val="none" w:sz="0" w:space="0" w:color="auto"/>
        <w:left w:val="none" w:sz="0" w:space="0" w:color="auto"/>
        <w:bottom w:val="none" w:sz="0" w:space="0" w:color="auto"/>
        <w:right w:val="none" w:sz="0" w:space="0" w:color="auto"/>
      </w:divBdr>
    </w:div>
    <w:div w:id="1575045495">
      <w:bodyDiv w:val="1"/>
      <w:marLeft w:val="0"/>
      <w:marRight w:val="0"/>
      <w:marTop w:val="0"/>
      <w:marBottom w:val="0"/>
      <w:divBdr>
        <w:top w:val="none" w:sz="0" w:space="0" w:color="auto"/>
        <w:left w:val="none" w:sz="0" w:space="0" w:color="auto"/>
        <w:bottom w:val="none" w:sz="0" w:space="0" w:color="auto"/>
        <w:right w:val="none" w:sz="0" w:space="0" w:color="auto"/>
      </w:divBdr>
    </w:div>
    <w:div w:id="1578440474">
      <w:bodyDiv w:val="1"/>
      <w:marLeft w:val="0"/>
      <w:marRight w:val="0"/>
      <w:marTop w:val="0"/>
      <w:marBottom w:val="0"/>
      <w:divBdr>
        <w:top w:val="none" w:sz="0" w:space="0" w:color="auto"/>
        <w:left w:val="none" w:sz="0" w:space="0" w:color="auto"/>
        <w:bottom w:val="none" w:sz="0" w:space="0" w:color="auto"/>
        <w:right w:val="none" w:sz="0" w:space="0" w:color="auto"/>
      </w:divBdr>
      <w:divsChild>
        <w:div w:id="1331060188">
          <w:marLeft w:val="0"/>
          <w:marRight w:val="0"/>
          <w:marTop w:val="0"/>
          <w:marBottom w:val="0"/>
          <w:divBdr>
            <w:top w:val="none" w:sz="0" w:space="0" w:color="auto"/>
            <w:left w:val="none" w:sz="0" w:space="0" w:color="auto"/>
            <w:bottom w:val="none" w:sz="0" w:space="0" w:color="auto"/>
            <w:right w:val="none" w:sz="0" w:space="0" w:color="auto"/>
          </w:divBdr>
          <w:divsChild>
            <w:div w:id="1879464688">
              <w:marLeft w:val="0"/>
              <w:marRight w:val="0"/>
              <w:marTop w:val="0"/>
              <w:marBottom w:val="0"/>
              <w:divBdr>
                <w:top w:val="none" w:sz="0" w:space="0" w:color="auto"/>
                <w:left w:val="none" w:sz="0" w:space="0" w:color="auto"/>
                <w:bottom w:val="none" w:sz="0" w:space="0" w:color="auto"/>
                <w:right w:val="none" w:sz="0" w:space="0" w:color="auto"/>
              </w:divBdr>
              <w:divsChild>
                <w:div w:id="111463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754825">
      <w:bodyDiv w:val="1"/>
      <w:marLeft w:val="0"/>
      <w:marRight w:val="0"/>
      <w:marTop w:val="0"/>
      <w:marBottom w:val="0"/>
      <w:divBdr>
        <w:top w:val="none" w:sz="0" w:space="0" w:color="auto"/>
        <w:left w:val="none" w:sz="0" w:space="0" w:color="auto"/>
        <w:bottom w:val="none" w:sz="0" w:space="0" w:color="auto"/>
        <w:right w:val="none" w:sz="0" w:space="0" w:color="auto"/>
      </w:divBdr>
    </w:div>
    <w:div w:id="1599604813">
      <w:bodyDiv w:val="1"/>
      <w:marLeft w:val="0"/>
      <w:marRight w:val="0"/>
      <w:marTop w:val="0"/>
      <w:marBottom w:val="0"/>
      <w:divBdr>
        <w:top w:val="none" w:sz="0" w:space="0" w:color="auto"/>
        <w:left w:val="none" w:sz="0" w:space="0" w:color="auto"/>
        <w:bottom w:val="none" w:sz="0" w:space="0" w:color="auto"/>
        <w:right w:val="none" w:sz="0" w:space="0" w:color="auto"/>
      </w:divBdr>
    </w:div>
    <w:div w:id="1627618599">
      <w:bodyDiv w:val="1"/>
      <w:marLeft w:val="0"/>
      <w:marRight w:val="0"/>
      <w:marTop w:val="0"/>
      <w:marBottom w:val="0"/>
      <w:divBdr>
        <w:top w:val="none" w:sz="0" w:space="0" w:color="auto"/>
        <w:left w:val="none" w:sz="0" w:space="0" w:color="auto"/>
        <w:bottom w:val="none" w:sz="0" w:space="0" w:color="auto"/>
        <w:right w:val="none" w:sz="0" w:space="0" w:color="auto"/>
      </w:divBdr>
    </w:div>
    <w:div w:id="1640455459">
      <w:bodyDiv w:val="1"/>
      <w:marLeft w:val="0"/>
      <w:marRight w:val="0"/>
      <w:marTop w:val="0"/>
      <w:marBottom w:val="0"/>
      <w:divBdr>
        <w:top w:val="none" w:sz="0" w:space="0" w:color="auto"/>
        <w:left w:val="none" w:sz="0" w:space="0" w:color="auto"/>
        <w:bottom w:val="none" w:sz="0" w:space="0" w:color="auto"/>
        <w:right w:val="none" w:sz="0" w:space="0" w:color="auto"/>
      </w:divBdr>
    </w:div>
    <w:div w:id="1649506266">
      <w:bodyDiv w:val="1"/>
      <w:marLeft w:val="0"/>
      <w:marRight w:val="0"/>
      <w:marTop w:val="0"/>
      <w:marBottom w:val="0"/>
      <w:divBdr>
        <w:top w:val="none" w:sz="0" w:space="0" w:color="auto"/>
        <w:left w:val="none" w:sz="0" w:space="0" w:color="auto"/>
        <w:bottom w:val="none" w:sz="0" w:space="0" w:color="auto"/>
        <w:right w:val="none" w:sz="0" w:space="0" w:color="auto"/>
      </w:divBdr>
    </w:div>
    <w:div w:id="1659190516">
      <w:bodyDiv w:val="1"/>
      <w:marLeft w:val="0"/>
      <w:marRight w:val="0"/>
      <w:marTop w:val="0"/>
      <w:marBottom w:val="0"/>
      <w:divBdr>
        <w:top w:val="none" w:sz="0" w:space="0" w:color="auto"/>
        <w:left w:val="none" w:sz="0" w:space="0" w:color="auto"/>
        <w:bottom w:val="none" w:sz="0" w:space="0" w:color="auto"/>
        <w:right w:val="none" w:sz="0" w:space="0" w:color="auto"/>
      </w:divBdr>
    </w:div>
    <w:div w:id="1666663625">
      <w:bodyDiv w:val="1"/>
      <w:marLeft w:val="0"/>
      <w:marRight w:val="0"/>
      <w:marTop w:val="0"/>
      <w:marBottom w:val="0"/>
      <w:divBdr>
        <w:top w:val="none" w:sz="0" w:space="0" w:color="auto"/>
        <w:left w:val="none" w:sz="0" w:space="0" w:color="auto"/>
        <w:bottom w:val="none" w:sz="0" w:space="0" w:color="auto"/>
        <w:right w:val="none" w:sz="0" w:space="0" w:color="auto"/>
      </w:divBdr>
    </w:div>
    <w:div w:id="1673339771">
      <w:bodyDiv w:val="1"/>
      <w:marLeft w:val="0"/>
      <w:marRight w:val="0"/>
      <w:marTop w:val="0"/>
      <w:marBottom w:val="0"/>
      <w:divBdr>
        <w:top w:val="none" w:sz="0" w:space="0" w:color="auto"/>
        <w:left w:val="none" w:sz="0" w:space="0" w:color="auto"/>
        <w:bottom w:val="none" w:sz="0" w:space="0" w:color="auto"/>
        <w:right w:val="none" w:sz="0" w:space="0" w:color="auto"/>
      </w:divBdr>
      <w:divsChild>
        <w:div w:id="866875136">
          <w:marLeft w:val="0"/>
          <w:marRight w:val="0"/>
          <w:marTop w:val="0"/>
          <w:marBottom w:val="0"/>
          <w:divBdr>
            <w:top w:val="none" w:sz="0" w:space="0" w:color="auto"/>
            <w:left w:val="none" w:sz="0" w:space="0" w:color="auto"/>
            <w:bottom w:val="none" w:sz="0" w:space="0" w:color="auto"/>
            <w:right w:val="none" w:sz="0" w:space="0" w:color="auto"/>
          </w:divBdr>
          <w:divsChild>
            <w:div w:id="569734771">
              <w:marLeft w:val="0"/>
              <w:marRight w:val="0"/>
              <w:marTop w:val="0"/>
              <w:marBottom w:val="0"/>
              <w:divBdr>
                <w:top w:val="none" w:sz="0" w:space="0" w:color="auto"/>
                <w:left w:val="none" w:sz="0" w:space="0" w:color="auto"/>
                <w:bottom w:val="none" w:sz="0" w:space="0" w:color="auto"/>
                <w:right w:val="none" w:sz="0" w:space="0" w:color="auto"/>
              </w:divBdr>
              <w:divsChild>
                <w:div w:id="1712074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636676">
      <w:bodyDiv w:val="1"/>
      <w:marLeft w:val="0"/>
      <w:marRight w:val="0"/>
      <w:marTop w:val="0"/>
      <w:marBottom w:val="0"/>
      <w:divBdr>
        <w:top w:val="none" w:sz="0" w:space="0" w:color="auto"/>
        <w:left w:val="none" w:sz="0" w:space="0" w:color="auto"/>
        <w:bottom w:val="none" w:sz="0" w:space="0" w:color="auto"/>
        <w:right w:val="none" w:sz="0" w:space="0" w:color="auto"/>
      </w:divBdr>
    </w:div>
    <w:div w:id="1752506252">
      <w:bodyDiv w:val="1"/>
      <w:marLeft w:val="0"/>
      <w:marRight w:val="0"/>
      <w:marTop w:val="0"/>
      <w:marBottom w:val="0"/>
      <w:divBdr>
        <w:top w:val="none" w:sz="0" w:space="0" w:color="auto"/>
        <w:left w:val="none" w:sz="0" w:space="0" w:color="auto"/>
        <w:bottom w:val="none" w:sz="0" w:space="0" w:color="auto"/>
        <w:right w:val="none" w:sz="0" w:space="0" w:color="auto"/>
      </w:divBdr>
      <w:divsChild>
        <w:div w:id="1824396038">
          <w:marLeft w:val="0"/>
          <w:marRight w:val="0"/>
          <w:marTop w:val="0"/>
          <w:marBottom w:val="0"/>
          <w:divBdr>
            <w:top w:val="none" w:sz="0" w:space="0" w:color="auto"/>
            <w:left w:val="none" w:sz="0" w:space="0" w:color="auto"/>
            <w:bottom w:val="none" w:sz="0" w:space="0" w:color="auto"/>
            <w:right w:val="none" w:sz="0" w:space="0" w:color="auto"/>
          </w:divBdr>
          <w:divsChild>
            <w:div w:id="59436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701158">
      <w:bodyDiv w:val="1"/>
      <w:marLeft w:val="0"/>
      <w:marRight w:val="0"/>
      <w:marTop w:val="0"/>
      <w:marBottom w:val="0"/>
      <w:divBdr>
        <w:top w:val="none" w:sz="0" w:space="0" w:color="auto"/>
        <w:left w:val="none" w:sz="0" w:space="0" w:color="auto"/>
        <w:bottom w:val="none" w:sz="0" w:space="0" w:color="auto"/>
        <w:right w:val="none" w:sz="0" w:space="0" w:color="auto"/>
      </w:divBdr>
    </w:div>
    <w:div w:id="1766072462">
      <w:bodyDiv w:val="1"/>
      <w:marLeft w:val="0"/>
      <w:marRight w:val="0"/>
      <w:marTop w:val="0"/>
      <w:marBottom w:val="0"/>
      <w:divBdr>
        <w:top w:val="none" w:sz="0" w:space="0" w:color="auto"/>
        <w:left w:val="none" w:sz="0" w:space="0" w:color="auto"/>
        <w:bottom w:val="none" w:sz="0" w:space="0" w:color="auto"/>
        <w:right w:val="none" w:sz="0" w:space="0" w:color="auto"/>
      </w:divBdr>
    </w:div>
    <w:div w:id="1822574376">
      <w:bodyDiv w:val="1"/>
      <w:marLeft w:val="0"/>
      <w:marRight w:val="0"/>
      <w:marTop w:val="0"/>
      <w:marBottom w:val="0"/>
      <w:divBdr>
        <w:top w:val="none" w:sz="0" w:space="0" w:color="auto"/>
        <w:left w:val="none" w:sz="0" w:space="0" w:color="auto"/>
        <w:bottom w:val="none" w:sz="0" w:space="0" w:color="auto"/>
        <w:right w:val="none" w:sz="0" w:space="0" w:color="auto"/>
      </w:divBdr>
    </w:div>
    <w:div w:id="1823619485">
      <w:bodyDiv w:val="1"/>
      <w:marLeft w:val="0"/>
      <w:marRight w:val="0"/>
      <w:marTop w:val="0"/>
      <w:marBottom w:val="0"/>
      <w:divBdr>
        <w:top w:val="none" w:sz="0" w:space="0" w:color="auto"/>
        <w:left w:val="none" w:sz="0" w:space="0" w:color="auto"/>
        <w:bottom w:val="none" w:sz="0" w:space="0" w:color="auto"/>
        <w:right w:val="none" w:sz="0" w:space="0" w:color="auto"/>
      </w:divBdr>
    </w:div>
    <w:div w:id="1836064248">
      <w:bodyDiv w:val="1"/>
      <w:marLeft w:val="0"/>
      <w:marRight w:val="0"/>
      <w:marTop w:val="0"/>
      <w:marBottom w:val="0"/>
      <w:divBdr>
        <w:top w:val="none" w:sz="0" w:space="0" w:color="auto"/>
        <w:left w:val="none" w:sz="0" w:space="0" w:color="auto"/>
        <w:bottom w:val="none" w:sz="0" w:space="0" w:color="auto"/>
        <w:right w:val="none" w:sz="0" w:space="0" w:color="auto"/>
      </w:divBdr>
    </w:div>
    <w:div w:id="1836989855">
      <w:bodyDiv w:val="1"/>
      <w:marLeft w:val="0"/>
      <w:marRight w:val="0"/>
      <w:marTop w:val="0"/>
      <w:marBottom w:val="0"/>
      <w:divBdr>
        <w:top w:val="none" w:sz="0" w:space="0" w:color="auto"/>
        <w:left w:val="none" w:sz="0" w:space="0" w:color="auto"/>
        <w:bottom w:val="none" w:sz="0" w:space="0" w:color="auto"/>
        <w:right w:val="none" w:sz="0" w:space="0" w:color="auto"/>
      </w:divBdr>
    </w:div>
    <w:div w:id="1837183819">
      <w:bodyDiv w:val="1"/>
      <w:marLeft w:val="0"/>
      <w:marRight w:val="0"/>
      <w:marTop w:val="0"/>
      <w:marBottom w:val="0"/>
      <w:divBdr>
        <w:top w:val="none" w:sz="0" w:space="0" w:color="auto"/>
        <w:left w:val="none" w:sz="0" w:space="0" w:color="auto"/>
        <w:bottom w:val="none" w:sz="0" w:space="0" w:color="auto"/>
        <w:right w:val="none" w:sz="0" w:space="0" w:color="auto"/>
      </w:divBdr>
    </w:div>
    <w:div w:id="1840853400">
      <w:bodyDiv w:val="1"/>
      <w:marLeft w:val="0"/>
      <w:marRight w:val="0"/>
      <w:marTop w:val="0"/>
      <w:marBottom w:val="0"/>
      <w:divBdr>
        <w:top w:val="none" w:sz="0" w:space="0" w:color="auto"/>
        <w:left w:val="none" w:sz="0" w:space="0" w:color="auto"/>
        <w:bottom w:val="none" w:sz="0" w:space="0" w:color="auto"/>
        <w:right w:val="none" w:sz="0" w:space="0" w:color="auto"/>
      </w:divBdr>
      <w:divsChild>
        <w:div w:id="284308500">
          <w:marLeft w:val="0"/>
          <w:marRight w:val="0"/>
          <w:marTop w:val="0"/>
          <w:marBottom w:val="0"/>
          <w:divBdr>
            <w:top w:val="none" w:sz="0" w:space="0" w:color="auto"/>
            <w:left w:val="none" w:sz="0" w:space="0" w:color="auto"/>
            <w:bottom w:val="none" w:sz="0" w:space="0" w:color="auto"/>
            <w:right w:val="none" w:sz="0" w:space="0" w:color="auto"/>
          </w:divBdr>
          <w:divsChild>
            <w:div w:id="1471284485">
              <w:marLeft w:val="0"/>
              <w:marRight w:val="0"/>
              <w:marTop w:val="0"/>
              <w:marBottom w:val="0"/>
              <w:divBdr>
                <w:top w:val="none" w:sz="0" w:space="0" w:color="auto"/>
                <w:left w:val="none" w:sz="0" w:space="0" w:color="auto"/>
                <w:bottom w:val="none" w:sz="0" w:space="0" w:color="auto"/>
                <w:right w:val="none" w:sz="0" w:space="0" w:color="auto"/>
              </w:divBdr>
              <w:divsChild>
                <w:div w:id="1146510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977335">
      <w:bodyDiv w:val="1"/>
      <w:marLeft w:val="0"/>
      <w:marRight w:val="0"/>
      <w:marTop w:val="0"/>
      <w:marBottom w:val="0"/>
      <w:divBdr>
        <w:top w:val="none" w:sz="0" w:space="0" w:color="auto"/>
        <w:left w:val="none" w:sz="0" w:space="0" w:color="auto"/>
        <w:bottom w:val="none" w:sz="0" w:space="0" w:color="auto"/>
        <w:right w:val="none" w:sz="0" w:space="0" w:color="auto"/>
      </w:divBdr>
    </w:div>
    <w:div w:id="1883858698">
      <w:bodyDiv w:val="1"/>
      <w:marLeft w:val="0"/>
      <w:marRight w:val="0"/>
      <w:marTop w:val="0"/>
      <w:marBottom w:val="0"/>
      <w:divBdr>
        <w:top w:val="none" w:sz="0" w:space="0" w:color="auto"/>
        <w:left w:val="none" w:sz="0" w:space="0" w:color="auto"/>
        <w:bottom w:val="none" w:sz="0" w:space="0" w:color="auto"/>
        <w:right w:val="none" w:sz="0" w:space="0" w:color="auto"/>
      </w:divBdr>
    </w:div>
    <w:div w:id="1905984988">
      <w:bodyDiv w:val="1"/>
      <w:marLeft w:val="0"/>
      <w:marRight w:val="0"/>
      <w:marTop w:val="0"/>
      <w:marBottom w:val="0"/>
      <w:divBdr>
        <w:top w:val="none" w:sz="0" w:space="0" w:color="auto"/>
        <w:left w:val="none" w:sz="0" w:space="0" w:color="auto"/>
        <w:bottom w:val="none" w:sz="0" w:space="0" w:color="auto"/>
        <w:right w:val="none" w:sz="0" w:space="0" w:color="auto"/>
      </w:divBdr>
      <w:divsChild>
        <w:div w:id="685710689">
          <w:marLeft w:val="605"/>
          <w:marRight w:val="0"/>
          <w:marTop w:val="200"/>
          <w:marBottom w:val="40"/>
          <w:divBdr>
            <w:top w:val="none" w:sz="0" w:space="0" w:color="auto"/>
            <w:left w:val="none" w:sz="0" w:space="0" w:color="auto"/>
            <w:bottom w:val="none" w:sz="0" w:space="0" w:color="auto"/>
            <w:right w:val="none" w:sz="0" w:space="0" w:color="auto"/>
          </w:divBdr>
        </w:div>
        <w:div w:id="1622956620">
          <w:marLeft w:val="605"/>
          <w:marRight w:val="0"/>
          <w:marTop w:val="200"/>
          <w:marBottom w:val="40"/>
          <w:divBdr>
            <w:top w:val="none" w:sz="0" w:space="0" w:color="auto"/>
            <w:left w:val="none" w:sz="0" w:space="0" w:color="auto"/>
            <w:bottom w:val="none" w:sz="0" w:space="0" w:color="auto"/>
            <w:right w:val="none" w:sz="0" w:space="0" w:color="auto"/>
          </w:divBdr>
        </w:div>
        <w:div w:id="1498762524">
          <w:marLeft w:val="605"/>
          <w:marRight w:val="0"/>
          <w:marTop w:val="200"/>
          <w:marBottom w:val="40"/>
          <w:divBdr>
            <w:top w:val="none" w:sz="0" w:space="0" w:color="auto"/>
            <w:left w:val="none" w:sz="0" w:space="0" w:color="auto"/>
            <w:bottom w:val="none" w:sz="0" w:space="0" w:color="auto"/>
            <w:right w:val="none" w:sz="0" w:space="0" w:color="auto"/>
          </w:divBdr>
        </w:div>
        <w:div w:id="267271839">
          <w:marLeft w:val="605"/>
          <w:marRight w:val="0"/>
          <w:marTop w:val="200"/>
          <w:marBottom w:val="40"/>
          <w:divBdr>
            <w:top w:val="none" w:sz="0" w:space="0" w:color="auto"/>
            <w:left w:val="none" w:sz="0" w:space="0" w:color="auto"/>
            <w:bottom w:val="none" w:sz="0" w:space="0" w:color="auto"/>
            <w:right w:val="none" w:sz="0" w:space="0" w:color="auto"/>
          </w:divBdr>
        </w:div>
      </w:divsChild>
    </w:div>
    <w:div w:id="1917668668">
      <w:bodyDiv w:val="1"/>
      <w:marLeft w:val="0"/>
      <w:marRight w:val="0"/>
      <w:marTop w:val="0"/>
      <w:marBottom w:val="0"/>
      <w:divBdr>
        <w:top w:val="none" w:sz="0" w:space="0" w:color="auto"/>
        <w:left w:val="none" w:sz="0" w:space="0" w:color="auto"/>
        <w:bottom w:val="none" w:sz="0" w:space="0" w:color="auto"/>
        <w:right w:val="none" w:sz="0" w:space="0" w:color="auto"/>
      </w:divBdr>
    </w:div>
    <w:div w:id="1920673907">
      <w:bodyDiv w:val="1"/>
      <w:marLeft w:val="0"/>
      <w:marRight w:val="0"/>
      <w:marTop w:val="0"/>
      <w:marBottom w:val="0"/>
      <w:divBdr>
        <w:top w:val="none" w:sz="0" w:space="0" w:color="auto"/>
        <w:left w:val="none" w:sz="0" w:space="0" w:color="auto"/>
        <w:bottom w:val="none" w:sz="0" w:space="0" w:color="auto"/>
        <w:right w:val="none" w:sz="0" w:space="0" w:color="auto"/>
      </w:divBdr>
      <w:divsChild>
        <w:div w:id="205796185">
          <w:marLeft w:val="0"/>
          <w:marRight w:val="0"/>
          <w:marTop w:val="0"/>
          <w:marBottom w:val="0"/>
          <w:divBdr>
            <w:top w:val="none" w:sz="0" w:space="0" w:color="auto"/>
            <w:left w:val="none" w:sz="0" w:space="0" w:color="auto"/>
            <w:bottom w:val="none" w:sz="0" w:space="0" w:color="auto"/>
            <w:right w:val="none" w:sz="0" w:space="0" w:color="auto"/>
          </w:divBdr>
          <w:divsChild>
            <w:div w:id="1049693849">
              <w:marLeft w:val="0"/>
              <w:marRight w:val="0"/>
              <w:marTop w:val="0"/>
              <w:marBottom w:val="0"/>
              <w:divBdr>
                <w:top w:val="none" w:sz="0" w:space="0" w:color="auto"/>
                <w:left w:val="none" w:sz="0" w:space="0" w:color="auto"/>
                <w:bottom w:val="none" w:sz="0" w:space="0" w:color="auto"/>
                <w:right w:val="none" w:sz="0" w:space="0" w:color="auto"/>
              </w:divBdr>
              <w:divsChild>
                <w:div w:id="1123232496">
                  <w:marLeft w:val="0"/>
                  <w:marRight w:val="0"/>
                  <w:marTop w:val="0"/>
                  <w:marBottom w:val="0"/>
                  <w:divBdr>
                    <w:top w:val="none" w:sz="0" w:space="0" w:color="auto"/>
                    <w:left w:val="none" w:sz="0" w:space="0" w:color="auto"/>
                    <w:bottom w:val="none" w:sz="0" w:space="0" w:color="auto"/>
                    <w:right w:val="none" w:sz="0" w:space="0" w:color="auto"/>
                  </w:divBdr>
                  <w:divsChild>
                    <w:div w:id="40954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7399340">
      <w:bodyDiv w:val="1"/>
      <w:marLeft w:val="0"/>
      <w:marRight w:val="0"/>
      <w:marTop w:val="0"/>
      <w:marBottom w:val="0"/>
      <w:divBdr>
        <w:top w:val="none" w:sz="0" w:space="0" w:color="auto"/>
        <w:left w:val="none" w:sz="0" w:space="0" w:color="auto"/>
        <w:bottom w:val="none" w:sz="0" w:space="0" w:color="auto"/>
        <w:right w:val="none" w:sz="0" w:space="0" w:color="auto"/>
      </w:divBdr>
    </w:div>
    <w:div w:id="1938517204">
      <w:bodyDiv w:val="1"/>
      <w:marLeft w:val="0"/>
      <w:marRight w:val="0"/>
      <w:marTop w:val="0"/>
      <w:marBottom w:val="0"/>
      <w:divBdr>
        <w:top w:val="none" w:sz="0" w:space="0" w:color="auto"/>
        <w:left w:val="none" w:sz="0" w:space="0" w:color="auto"/>
        <w:bottom w:val="none" w:sz="0" w:space="0" w:color="auto"/>
        <w:right w:val="none" w:sz="0" w:space="0" w:color="auto"/>
      </w:divBdr>
    </w:div>
    <w:div w:id="1959336155">
      <w:bodyDiv w:val="1"/>
      <w:marLeft w:val="0"/>
      <w:marRight w:val="0"/>
      <w:marTop w:val="0"/>
      <w:marBottom w:val="0"/>
      <w:divBdr>
        <w:top w:val="none" w:sz="0" w:space="0" w:color="auto"/>
        <w:left w:val="none" w:sz="0" w:space="0" w:color="auto"/>
        <w:bottom w:val="none" w:sz="0" w:space="0" w:color="auto"/>
        <w:right w:val="none" w:sz="0" w:space="0" w:color="auto"/>
      </w:divBdr>
    </w:div>
    <w:div w:id="1964923087">
      <w:bodyDiv w:val="1"/>
      <w:marLeft w:val="0"/>
      <w:marRight w:val="0"/>
      <w:marTop w:val="0"/>
      <w:marBottom w:val="0"/>
      <w:divBdr>
        <w:top w:val="none" w:sz="0" w:space="0" w:color="auto"/>
        <w:left w:val="none" w:sz="0" w:space="0" w:color="auto"/>
        <w:bottom w:val="none" w:sz="0" w:space="0" w:color="auto"/>
        <w:right w:val="none" w:sz="0" w:space="0" w:color="auto"/>
      </w:divBdr>
    </w:div>
    <w:div w:id="2046131022">
      <w:bodyDiv w:val="1"/>
      <w:marLeft w:val="0"/>
      <w:marRight w:val="0"/>
      <w:marTop w:val="0"/>
      <w:marBottom w:val="0"/>
      <w:divBdr>
        <w:top w:val="none" w:sz="0" w:space="0" w:color="auto"/>
        <w:left w:val="none" w:sz="0" w:space="0" w:color="auto"/>
        <w:bottom w:val="none" w:sz="0" w:space="0" w:color="auto"/>
        <w:right w:val="none" w:sz="0" w:space="0" w:color="auto"/>
      </w:divBdr>
    </w:div>
    <w:div w:id="2052413425">
      <w:bodyDiv w:val="1"/>
      <w:marLeft w:val="0"/>
      <w:marRight w:val="0"/>
      <w:marTop w:val="0"/>
      <w:marBottom w:val="0"/>
      <w:divBdr>
        <w:top w:val="none" w:sz="0" w:space="0" w:color="auto"/>
        <w:left w:val="none" w:sz="0" w:space="0" w:color="auto"/>
        <w:bottom w:val="none" w:sz="0" w:space="0" w:color="auto"/>
        <w:right w:val="none" w:sz="0" w:space="0" w:color="auto"/>
      </w:divBdr>
    </w:div>
    <w:div w:id="2056003695">
      <w:bodyDiv w:val="1"/>
      <w:marLeft w:val="0"/>
      <w:marRight w:val="0"/>
      <w:marTop w:val="0"/>
      <w:marBottom w:val="0"/>
      <w:divBdr>
        <w:top w:val="none" w:sz="0" w:space="0" w:color="auto"/>
        <w:left w:val="none" w:sz="0" w:space="0" w:color="auto"/>
        <w:bottom w:val="none" w:sz="0" w:space="0" w:color="auto"/>
        <w:right w:val="none" w:sz="0" w:space="0" w:color="auto"/>
      </w:divBdr>
    </w:div>
    <w:div w:id="2058237635">
      <w:bodyDiv w:val="1"/>
      <w:marLeft w:val="0"/>
      <w:marRight w:val="0"/>
      <w:marTop w:val="0"/>
      <w:marBottom w:val="0"/>
      <w:divBdr>
        <w:top w:val="none" w:sz="0" w:space="0" w:color="auto"/>
        <w:left w:val="none" w:sz="0" w:space="0" w:color="auto"/>
        <w:bottom w:val="none" w:sz="0" w:space="0" w:color="auto"/>
        <w:right w:val="none" w:sz="0" w:space="0" w:color="auto"/>
      </w:divBdr>
    </w:div>
    <w:div w:id="2064717640">
      <w:bodyDiv w:val="1"/>
      <w:marLeft w:val="0"/>
      <w:marRight w:val="0"/>
      <w:marTop w:val="0"/>
      <w:marBottom w:val="0"/>
      <w:divBdr>
        <w:top w:val="none" w:sz="0" w:space="0" w:color="auto"/>
        <w:left w:val="none" w:sz="0" w:space="0" w:color="auto"/>
        <w:bottom w:val="none" w:sz="0" w:space="0" w:color="auto"/>
        <w:right w:val="none" w:sz="0" w:space="0" w:color="auto"/>
      </w:divBdr>
    </w:div>
    <w:div w:id="2066105224">
      <w:bodyDiv w:val="1"/>
      <w:marLeft w:val="0"/>
      <w:marRight w:val="0"/>
      <w:marTop w:val="0"/>
      <w:marBottom w:val="0"/>
      <w:divBdr>
        <w:top w:val="none" w:sz="0" w:space="0" w:color="auto"/>
        <w:left w:val="none" w:sz="0" w:space="0" w:color="auto"/>
        <w:bottom w:val="none" w:sz="0" w:space="0" w:color="auto"/>
        <w:right w:val="none" w:sz="0" w:space="0" w:color="auto"/>
      </w:divBdr>
    </w:div>
    <w:div w:id="2125152839">
      <w:bodyDiv w:val="1"/>
      <w:marLeft w:val="0"/>
      <w:marRight w:val="0"/>
      <w:marTop w:val="0"/>
      <w:marBottom w:val="0"/>
      <w:divBdr>
        <w:top w:val="none" w:sz="0" w:space="0" w:color="auto"/>
        <w:left w:val="none" w:sz="0" w:space="0" w:color="auto"/>
        <w:bottom w:val="none" w:sz="0" w:space="0" w:color="auto"/>
        <w:right w:val="none" w:sz="0" w:space="0" w:color="auto"/>
      </w:divBdr>
      <w:divsChild>
        <w:div w:id="756484116">
          <w:marLeft w:val="0"/>
          <w:marRight w:val="0"/>
          <w:marTop w:val="0"/>
          <w:marBottom w:val="0"/>
          <w:divBdr>
            <w:top w:val="none" w:sz="0" w:space="0" w:color="auto"/>
            <w:left w:val="none" w:sz="0" w:space="0" w:color="auto"/>
            <w:bottom w:val="none" w:sz="0" w:space="0" w:color="auto"/>
            <w:right w:val="none" w:sz="0" w:space="0" w:color="auto"/>
          </w:divBdr>
          <w:divsChild>
            <w:div w:id="1542093934">
              <w:marLeft w:val="0"/>
              <w:marRight w:val="0"/>
              <w:marTop w:val="0"/>
              <w:marBottom w:val="0"/>
              <w:divBdr>
                <w:top w:val="none" w:sz="0" w:space="0" w:color="auto"/>
                <w:left w:val="none" w:sz="0" w:space="0" w:color="auto"/>
                <w:bottom w:val="none" w:sz="0" w:space="0" w:color="auto"/>
                <w:right w:val="none" w:sz="0" w:space="0" w:color="auto"/>
              </w:divBdr>
              <w:divsChild>
                <w:div w:id="94805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parliament.uk/business/committees/committees-a-z/commons-select/science-and-technology-committee/inquiries/parliament-2015/inquiry9/" TargetMode="External"/><Relationship Id="rId13" Type="http://schemas.openxmlformats.org/officeDocument/2006/relationships/hyperlink" Target="http://ec.europa.eu/dgs/legal_service/seminars/20140703_baratta_speech.pdf" TargetMode="External"/><Relationship Id="rId3" Type="http://schemas.openxmlformats.org/officeDocument/2006/relationships/hyperlink" Target="https://www.nytimes.com/2017/05/01/us/politics/sent-to-prison-by-a-software-programs-secret-algorithms.html?_r=0" TargetMode="External"/><Relationship Id="rId7" Type="http://schemas.openxmlformats.org/officeDocument/2006/relationships/hyperlink" Target="http://www.technollama.co.uk/whatever-happened-to-our-dream-of-an-empowering-internet-and-how-to-get-it-back" TargetMode="External"/><Relationship Id="rId12" Type="http://schemas.openxmlformats.org/officeDocument/2006/relationships/hyperlink" Target="https://qz.com/651001/getting-banned-from-facebook-can-have-unexpected-and-professionally-devastating-consequences/" TargetMode="External"/><Relationship Id="rId2" Type="http://schemas.openxmlformats.org/officeDocument/2006/relationships/hyperlink" Target="http://www.vocativ.com/418052/false-facial-recognition-cost-denver-steve-talley-everything/" TargetMode="External"/><Relationship Id="rId16" Type="http://schemas.openxmlformats.org/officeDocument/2006/relationships/hyperlink" Target="http://www.cesda.it/quadernidae/pdf/MARONGIU_DAE2003.pdf" TargetMode="External"/><Relationship Id="rId1" Type="http://schemas.openxmlformats.org/officeDocument/2006/relationships/hyperlink" Target="https://ssrn.com/abstract=2747701" TargetMode="External"/><Relationship Id="rId6" Type="http://schemas.openxmlformats.org/officeDocument/2006/relationships/hyperlink" Target="http://www.ajlunited.org/" TargetMode="External"/><Relationship Id="rId11" Type="http://schemas.openxmlformats.org/officeDocument/2006/relationships/hyperlink" Target="https://arxiv.org/abs/1703.07047" TargetMode="External"/><Relationship Id="rId5" Type="http://schemas.openxmlformats.org/officeDocument/2006/relationships/hyperlink" Target="https://www.gov.uk/government/publications/acmd-review-of-alkyl-nitrites-poppers" TargetMode="External"/><Relationship Id="rId15" Type="http://schemas.openxmlformats.org/officeDocument/2006/relationships/hyperlink" Target="http://www.cada.fr/avis-20144578,20144578.html" TargetMode="External"/><Relationship Id="rId10" Type="http://schemas.openxmlformats.org/officeDocument/2006/relationships/hyperlink" Target="http://www.nature.com/news/can-we-open-the-black-box-of-ai-1.20731" TargetMode="External"/><Relationship Id="rId4" Type="http://schemas.openxmlformats.org/officeDocument/2006/relationships/hyperlink" Target="https://ssrn.com/abstract=2245322" TargetMode="External"/><Relationship Id="rId9" Type="http://schemas.openxmlformats.org/officeDocument/2006/relationships/hyperlink" Target="http://data.parliament.uk/writtenevidence/committeeevidence.svc/evidencedocument/science-and-technology-committee/algorithms-in-decisionmaking/written/69121.html" TargetMode="External"/><Relationship Id="rId14" Type="http://schemas.openxmlformats.org/officeDocument/2006/relationships/hyperlink" Target="https://ssrn.com/abstract=2853462"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sz="1200">
                <a:solidFill>
                  <a:sysClr val="windowText" lastClr="000000"/>
                </a:solidFill>
                <a:latin typeface="Times New Roman" panose="02020603050405020304" pitchFamily="18" charset="0"/>
                <a:cs typeface="Times New Roman" panose="02020603050405020304" pitchFamily="18" charset="0"/>
              </a:rPr>
              <a:t>Graph 1. US</a:t>
            </a:r>
            <a:r>
              <a:rPr lang="en-GB" sz="1200" baseline="0">
                <a:solidFill>
                  <a:sysClr val="windowText" lastClr="000000"/>
                </a:solidFill>
                <a:latin typeface="Times New Roman" panose="02020603050405020304" pitchFamily="18" charset="0"/>
                <a:cs typeface="Times New Roman" panose="02020603050405020304" pitchFamily="18" charset="0"/>
              </a:rPr>
              <a:t> patent trends: software and algorithm-related patents 2007-2017</a:t>
            </a:r>
            <a:endParaRPr lang="en-GB" sz="1200">
              <a:solidFill>
                <a:sysClr val="windowText" lastClr="000000"/>
              </a:solidFill>
              <a:latin typeface="Times New Roman" panose="02020603050405020304" pitchFamily="18" charset="0"/>
              <a:cs typeface="Times New Roman" panose="02020603050405020304" pitchFamily="18" charset="0"/>
            </a:endParaRPr>
          </a:p>
        </c:rich>
      </c:tx>
      <c:layout>
        <c:manualLayout>
          <c:xMode val="edge"/>
          <c:yMode val="edge"/>
          <c:x val="0.11570009477981918"/>
          <c:y val="2.7777777777777776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Sheet1!$B$1</c:f>
              <c:strCache>
                <c:ptCount val="1"/>
                <c:pt idx="0">
                  <c:v>All patents</c:v>
                </c:pt>
              </c:strCache>
            </c:strRef>
          </c:tx>
          <c:spPr>
            <a:ln w="28575" cap="rnd">
              <a:solidFill>
                <a:schemeClr val="accent1"/>
              </a:solidFill>
              <a:round/>
            </a:ln>
            <a:effectLst/>
          </c:spPr>
          <c:marker>
            <c:symbol val="none"/>
          </c:marker>
          <c:cat>
            <c:strRef>
              <c:f>Sheet1!$A$2:$A$11</c:f>
              <c:strCache>
                <c:ptCount val="10"/>
                <c:pt idx="0">
                  <c:v>2007-2008</c:v>
                </c:pt>
                <c:pt idx="1">
                  <c:v>2008-2009</c:v>
                </c:pt>
                <c:pt idx="2">
                  <c:v>2009-2010</c:v>
                </c:pt>
                <c:pt idx="3">
                  <c:v>2010-2011</c:v>
                </c:pt>
                <c:pt idx="4">
                  <c:v>2011-2012</c:v>
                </c:pt>
                <c:pt idx="5">
                  <c:v>2012-2013</c:v>
                </c:pt>
                <c:pt idx="6">
                  <c:v>2013-2014</c:v>
                </c:pt>
                <c:pt idx="7">
                  <c:v>2014-2015</c:v>
                </c:pt>
                <c:pt idx="8">
                  <c:v>2015-2016</c:v>
                </c:pt>
                <c:pt idx="9">
                  <c:v>2016-2017</c:v>
                </c:pt>
              </c:strCache>
            </c:strRef>
          </c:cat>
          <c:val>
            <c:numRef>
              <c:f>Sheet1!$B$2:$B$11</c:f>
              <c:numCache>
                <c:formatCode>General</c:formatCode>
                <c:ptCount val="10"/>
                <c:pt idx="0">
                  <c:v>185340</c:v>
                </c:pt>
                <c:pt idx="1">
                  <c:v>190285</c:v>
                </c:pt>
                <c:pt idx="2">
                  <c:v>229694</c:v>
                </c:pt>
                <c:pt idx="3">
                  <c:v>244338</c:v>
                </c:pt>
                <c:pt idx="4">
                  <c:v>268157</c:v>
                </c:pt>
                <c:pt idx="5">
                  <c:v>288989</c:v>
                </c:pt>
                <c:pt idx="6">
                  <c:v>327729</c:v>
                </c:pt>
                <c:pt idx="7">
                  <c:v>329722</c:v>
                </c:pt>
                <c:pt idx="8">
                  <c:v>333767</c:v>
                </c:pt>
                <c:pt idx="9">
                  <c:v>346543</c:v>
                </c:pt>
              </c:numCache>
            </c:numRef>
          </c:val>
          <c:smooth val="0"/>
          <c:extLst>
            <c:ext xmlns:c16="http://schemas.microsoft.com/office/drawing/2014/chart" uri="{C3380CC4-5D6E-409C-BE32-E72D297353CC}">
              <c16:uniqueId val="{00000000-0772-4F2C-90D2-1FEDDB911ACC}"/>
            </c:ext>
          </c:extLst>
        </c:ser>
        <c:ser>
          <c:idx val="1"/>
          <c:order val="1"/>
          <c:tx>
            <c:strRef>
              <c:f>Sheet1!$C$1</c:f>
              <c:strCache>
                <c:ptCount val="1"/>
                <c:pt idx="0">
                  <c:v>Software patents</c:v>
                </c:pt>
              </c:strCache>
            </c:strRef>
          </c:tx>
          <c:spPr>
            <a:ln w="28575" cap="rnd">
              <a:solidFill>
                <a:schemeClr val="accent2"/>
              </a:solidFill>
              <a:round/>
            </a:ln>
            <a:effectLst/>
          </c:spPr>
          <c:marker>
            <c:symbol val="none"/>
          </c:marker>
          <c:cat>
            <c:strRef>
              <c:f>Sheet1!$A$2:$A$11</c:f>
              <c:strCache>
                <c:ptCount val="10"/>
                <c:pt idx="0">
                  <c:v>2007-2008</c:v>
                </c:pt>
                <c:pt idx="1">
                  <c:v>2008-2009</c:v>
                </c:pt>
                <c:pt idx="2">
                  <c:v>2009-2010</c:v>
                </c:pt>
                <c:pt idx="3">
                  <c:v>2010-2011</c:v>
                </c:pt>
                <c:pt idx="4">
                  <c:v>2011-2012</c:v>
                </c:pt>
                <c:pt idx="5">
                  <c:v>2012-2013</c:v>
                </c:pt>
                <c:pt idx="6">
                  <c:v>2013-2014</c:v>
                </c:pt>
                <c:pt idx="7">
                  <c:v>2014-2015</c:v>
                </c:pt>
                <c:pt idx="8">
                  <c:v>2015-2016</c:v>
                </c:pt>
                <c:pt idx="9">
                  <c:v>2016-2017</c:v>
                </c:pt>
              </c:strCache>
            </c:strRef>
          </c:cat>
          <c:val>
            <c:numRef>
              <c:f>Sheet1!$C$2:$C$11</c:f>
              <c:numCache>
                <c:formatCode>General</c:formatCode>
                <c:ptCount val="10"/>
                <c:pt idx="0">
                  <c:v>38225</c:v>
                </c:pt>
                <c:pt idx="1">
                  <c:v>42947</c:v>
                </c:pt>
                <c:pt idx="2">
                  <c:v>56367</c:v>
                </c:pt>
                <c:pt idx="3">
                  <c:v>63638</c:v>
                </c:pt>
                <c:pt idx="4">
                  <c:v>74689</c:v>
                </c:pt>
                <c:pt idx="5">
                  <c:v>84891</c:v>
                </c:pt>
                <c:pt idx="6">
                  <c:v>103918</c:v>
                </c:pt>
                <c:pt idx="7">
                  <c:v>104212</c:v>
                </c:pt>
                <c:pt idx="8">
                  <c:v>108305</c:v>
                </c:pt>
                <c:pt idx="9">
                  <c:v>115896</c:v>
                </c:pt>
              </c:numCache>
            </c:numRef>
          </c:val>
          <c:smooth val="0"/>
          <c:extLst>
            <c:ext xmlns:c16="http://schemas.microsoft.com/office/drawing/2014/chart" uri="{C3380CC4-5D6E-409C-BE32-E72D297353CC}">
              <c16:uniqueId val="{00000001-0772-4F2C-90D2-1FEDDB911ACC}"/>
            </c:ext>
          </c:extLst>
        </c:ser>
        <c:ser>
          <c:idx val="2"/>
          <c:order val="2"/>
          <c:tx>
            <c:strRef>
              <c:f>Sheet1!$D$1</c:f>
              <c:strCache>
                <c:ptCount val="1"/>
                <c:pt idx="0">
                  <c:v>Algorithm patents</c:v>
                </c:pt>
              </c:strCache>
            </c:strRef>
          </c:tx>
          <c:spPr>
            <a:ln w="28575" cap="rnd">
              <a:solidFill>
                <a:schemeClr val="accent3"/>
              </a:solidFill>
              <a:round/>
            </a:ln>
            <a:effectLst/>
          </c:spPr>
          <c:marker>
            <c:symbol val="none"/>
          </c:marker>
          <c:cat>
            <c:strRef>
              <c:f>Sheet1!$A$2:$A$11</c:f>
              <c:strCache>
                <c:ptCount val="10"/>
                <c:pt idx="0">
                  <c:v>2007-2008</c:v>
                </c:pt>
                <c:pt idx="1">
                  <c:v>2008-2009</c:v>
                </c:pt>
                <c:pt idx="2">
                  <c:v>2009-2010</c:v>
                </c:pt>
                <c:pt idx="3">
                  <c:v>2010-2011</c:v>
                </c:pt>
                <c:pt idx="4">
                  <c:v>2011-2012</c:v>
                </c:pt>
                <c:pt idx="5">
                  <c:v>2012-2013</c:v>
                </c:pt>
                <c:pt idx="6">
                  <c:v>2013-2014</c:v>
                </c:pt>
                <c:pt idx="7">
                  <c:v>2014-2015</c:v>
                </c:pt>
                <c:pt idx="8">
                  <c:v>2015-2016</c:v>
                </c:pt>
                <c:pt idx="9">
                  <c:v>2016-2017</c:v>
                </c:pt>
              </c:strCache>
            </c:strRef>
          </c:cat>
          <c:val>
            <c:numRef>
              <c:f>Sheet1!$D$2:$D$11</c:f>
              <c:numCache>
                <c:formatCode>General</c:formatCode>
                <c:ptCount val="10"/>
                <c:pt idx="0">
                  <c:v>17871</c:v>
                </c:pt>
                <c:pt idx="1">
                  <c:v>19426</c:v>
                </c:pt>
                <c:pt idx="2">
                  <c:v>24920</c:v>
                </c:pt>
                <c:pt idx="3">
                  <c:v>27377</c:v>
                </c:pt>
                <c:pt idx="4">
                  <c:v>32070</c:v>
                </c:pt>
                <c:pt idx="5">
                  <c:v>35427</c:v>
                </c:pt>
                <c:pt idx="6">
                  <c:v>42215</c:v>
                </c:pt>
                <c:pt idx="7">
                  <c:v>41125</c:v>
                </c:pt>
                <c:pt idx="8">
                  <c:v>42481</c:v>
                </c:pt>
                <c:pt idx="9">
                  <c:v>44110</c:v>
                </c:pt>
              </c:numCache>
            </c:numRef>
          </c:val>
          <c:smooth val="0"/>
          <c:extLst>
            <c:ext xmlns:c16="http://schemas.microsoft.com/office/drawing/2014/chart" uri="{C3380CC4-5D6E-409C-BE32-E72D297353CC}">
              <c16:uniqueId val="{00000002-0772-4F2C-90D2-1FEDDB911ACC}"/>
            </c:ext>
          </c:extLst>
        </c:ser>
        <c:dLbls>
          <c:showLegendKey val="0"/>
          <c:showVal val="0"/>
          <c:showCatName val="0"/>
          <c:showSerName val="0"/>
          <c:showPercent val="0"/>
          <c:showBubbleSize val="0"/>
        </c:dLbls>
        <c:smooth val="0"/>
        <c:axId val="400149640"/>
        <c:axId val="400149968"/>
      </c:lineChart>
      <c:catAx>
        <c:axId val="4001496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00149968"/>
        <c:crosses val="autoZero"/>
        <c:auto val="1"/>
        <c:lblAlgn val="ctr"/>
        <c:lblOffset val="100"/>
        <c:noMultiLvlLbl val="0"/>
      </c:catAx>
      <c:valAx>
        <c:axId val="40014996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001496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57BC44-5CE5-4F5A-B910-F64683987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71</Pages>
  <Words>15850</Words>
  <Characters>90350</Characters>
  <Application>Microsoft Office Word</Application>
  <DocSecurity>4</DocSecurity>
  <Lines>752</Lines>
  <Paragraphs>211</Paragraphs>
  <ScaleCrop>false</ScaleCrop>
  <HeadingPairs>
    <vt:vector size="2" baseType="variant">
      <vt:variant>
        <vt:lpstr>Title</vt:lpstr>
      </vt:variant>
      <vt:variant>
        <vt:i4>1</vt:i4>
      </vt:variant>
    </vt:vector>
  </HeadingPairs>
  <TitlesOfParts>
    <vt:vector size="1" baseType="lpstr">
      <vt:lpstr/>
    </vt:vector>
  </TitlesOfParts>
  <Company>Northumbria University at Newcastle</Company>
  <LinksUpToDate>false</LinksUpToDate>
  <CharactersWithSpaces>105989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Noto La Diega</dc:creator>
  <cp:keywords/>
  <dc:description/>
  <cp:lastModifiedBy>Paul Burns</cp:lastModifiedBy>
  <cp:revision>2</cp:revision>
  <dcterms:created xsi:type="dcterms:W3CDTF">2018-04-05T13:11:00Z</dcterms:created>
  <dcterms:modified xsi:type="dcterms:W3CDTF">2018-04-05T13:11:00Z</dcterms:modified>
</cp:coreProperties>
</file>