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793" w:rsidRDefault="00A00793" w:rsidP="00EC6733">
      <w:pPr>
        <w:spacing w:line="288" w:lineRule="auto"/>
        <w:rPr>
          <w:b/>
        </w:rPr>
      </w:pPr>
      <w:r>
        <w:rPr>
          <w:b/>
        </w:rPr>
        <w:t>Legal Professional Privilege in Corporate Criminal I</w:t>
      </w:r>
      <w:r w:rsidR="009B1C88">
        <w:rPr>
          <w:b/>
        </w:rPr>
        <w:t>nvestigations:</w:t>
      </w:r>
      <w:r>
        <w:rPr>
          <w:b/>
        </w:rPr>
        <w:t xml:space="preserve"> challenges</w:t>
      </w:r>
      <w:r w:rsidR="009B1C88">
        <w:rPr>
          <w:b/>
        </w:rPr>
        <w:t xml:space="preserve"> and</w:t>
      </w:r>
      <w:r>
        <w:rPr>
          <w:b/>
        </w:rPr>
        <w:t xml:space="preserve"> solutions</w:t>
      </w:r>
      <w:r w:rsidR="009B1C88">
        <w:rPr>
          <w:b/>
        </w:rPr>
        <w:t xml:space="preserve"> in the modern age</w:t>
      </w:r>
      <w:r>
        <w:rPr>
          <w:b/>
        </w:rPr>
        <w:t>.</w:t>
      </w:r>
    </w:p>
    <w:p w:rsidR="00A00793" w:rsidRDefault="00A00793" w:rsidP="00EC6733">
      <w:pPr>
        <w:spacing w:line="288" w:lineRule="auto"/>
        <w:rPr>
          <w:b/>
        </w:rPr>
      </w:pPr>
      <w:bookmarkStart w:id="0" w:name="_GoBack"/>
      <w:bookmarkEnd w:id="0"/>
    </w:p>
    <w:p w:rsidR="00C47372" w:rsidRPr="00C47372" w:rsidRDefault="00C47372" w:rsidP="00EC6733">
      <w:pPr>
        <w:spacing w:line="288" w:lineRule="auto"/>
        <w:rPr>
          <w:b/>
        </w:rPr>
      </w:pPr>
      <w:r w:rsidRPr="00C47372">
        <w:rPr>
          <w:b/>
        </w:rPr>
        <w:t>Abstract</w:t>
      </w:r>
    </w:p>
    <w:p w:rsidR="00C47372" w:rsidRDefault="00C47372" w:rsidP="0061319A">
      <w:pPr>
        <w:spacing w:line="288" w:lineRule="auto"/>
      </w:pPr>
      <w:r>
        <w:t xml:space="preserve">This </w:t>
      </w:r>
      <w:r w:rsidR="00724530">
        <w:t>article considers two areas that arise in the</w:t>
      </w:r>
      <w:r w:rsidR="00B02CB5">
        <w:t xml:space="preserve"> context of corporate criminal investigations</w:t>
      </w:r>
      <w:r w:rsidR="00724530">
        <w:t xml:space="preserve"> relating to claims of </w:t>
      </w:r>
      <w:r w:rsidR="00B02CB5">
        <w:t xml:space="preserve">legal professional </w:t>
      </w:r>
      <w:r w:rsidR="00724530">
        <w:t xml:space="preserve">privilege: </w:t>
      </w:r>
      <w:r w:rsidR="00EC3419">
        <w:t xml:space="preserve">the extent to which </w:t>
      </w:r>
      <w:r w:rsidR="00724530">
        <w:t>litigation privilege</w:t>
      </w:r>
      <w:r w:rsidR="00EC3419">
        <w:t xml:space="preserve"> may attach to communications made in the context of </w:t>
      </w:r>
      <w:proofErr w:type="gramStart"/>
      <w:r w:rsidR="00B02CB5">
        <w:t xml:space="preserve">such </w:t>
      </w:r>
      <w:r w:rsidR="00724530">
        <w:t xml:space="preserve"> investigations</w:t>
      </w:r>
      <w:proofErr w:type="gramEnd"/>
      <w:r w:rsidR="00724530">
        <w:t>; and the difficul</w:t>
      </w:r>
      <w:r w:rsidR="00B02CB5">
        <w:t>ty</w:t>
      </w:r>
      <w:r w:rsidR="00724530">
        <w:t xml:space="preserve"> of identifying the client </w:t>
      </w:r>
      <w:r>
        <w:t xml:space="preserve">for the purposes of legal advice </w:t>
      </w:r>
      <w:r w:rsidR="00EC3419">
        <w:t>privilege. These issues are of particular significance</w:t>
      </w:r>
      <w:r>
        <w:t xml:space="preserve"> where a company is </w:t>
      </w:r>
      <w:r w:rsidR="00E13D91">
        <w:t xml:space="preserve">or may be </w:t>
      </w:r>
      <w:r>
        <w:t>the subj</w:t>
      </w:r>
      <w:r w:rsidR="00EC3419">
        <w:t xml:space="preserve">ect of an investigation </w:t>
      </w:r>
      <w:r w:rsidR="00CA4586">
        <w:t xml:space="preserve">by </w:t>
      </w:r>
      <w:r w:rsidR="00B02CB5">
        <w:t xml:space="preserve">specialist prosecuting authorities, such as </w:t>
      </w:r>
      <w:r w:rsidR="00CA4586">
        <w:t>the Serious Fraud Office</w:t>
      </w:r>
      <w:r w:rsidR="00B02CB5">
        <w:t>.</w:t>
      </w:r>
      <w:r w:rsidR="00E13D91">
        <w:t xml:space="preserve"> </w:t>
      </w:r>
      <w:r w:rsidR="00520344">
        <w:t>We identify the policy considerations justifying litigation privilege</w:t>
      </w:r>
      <w:r w:rsidR="00654E42">
        <w:t xml:space="preserve"> and</w:t>
      </w:r>
      <w:r w:rsidR="00EE71E2">
        <w:t xml:space="preserve"> whether they continue to explain the current ambit of the privilege</w:t>
      </w:r>
      <w:r w:rsidR="00654E42">
        <w:t xml:space="preserve">. </w:t>
      </w:r>
      <w:r w:rsidR="00EE71E2">
        <w:t xml:space="preserve"> </w:t>
      </w:r>
      <w:r w:rsidR="00654E42">
        <w:t xml:space="preserve">With particular reference to the extent to which the privilege is capable of attaching to communications made for the purpose of working towards a potential settlement, we </w:t>
      </w:r>
      <w:r w:rsidR="00EE71E2">
        <w:t xml:space="preserve">consider how </w:t>
      </w:r>
      <w:r w:rsidR="00520344">
        <w:t xml:space="preserve">the constraints </w:t>
      </w:r>
      <w:r w:rsidR="00EE71E2">
        <w:t>upon</w:t>
      </w:r>
      <w:r w:rsidR="00654E42">
        <w:t xml:space="preserve"> its ambit </w:t>
      </w:r>
      <w:r w:rsidR="00EE71E2">
        <w:t>operate</w:t>
      </w:r>
      <w:r w:rsidR="00520344">
        <w:t xml:space="preserve"> in the context of corporate criminal investigations</w:t>
      </w:r>
      <w:r w:rsidR="00EE71E2">
        <w:t xml:space="preserve">. </w:t>
      </w:r>
      <w:r w:rsidR="00520344">
        <w:t>In relation to legal advice privilege, we demonstrate that it is possible to give a coherent explanation of the jurisprudence in this area which, whilst accepting that decisions are fact-specific, should enable corporations and the courts to identify the client within the corporation with a greater degree of confidence.</w:t>
      </w:r>
    </w:p>
    <w:p w:rsidR="009B1C88" w:rsidRDefault="009B1C88" w:rsidP="00EC6733">
      <w:pPr>
        <w:spacing w:line="288" w:lineRule="auto"/>
        <w:rPr>
          <w:b/>
        </w:rPr>
      </w:pPr>
      <w:r>
        <w:rPr>
          <w:b/>
        </w:rPr>
        <w:t xml:space="preserve">Keywords: </w:t>
      </w:r>
      <w:r w:rsidRPr="009B1C88">
        <w:t>legal professional privilege, legal advice privilege, litigation privilege, corporate criminal in</w:t>
      </w:r>
      <w:r>
        <w:t>vestigations</w:t>
      </w:r>
    </w:p>
    <w:p w:rsidR="00C47372" w:rsidRPr="008C0881" w:rsidRDefault="00C47372" w:rsidP="00EC6733">
      <w:pPr>
        <w:spacing w:line="288" w:lineRule="auto"/>
        <w:rPr>
          <w:b/>
          <w:u w:val="single"/>
        </w:rPr>
      </w:pPr>
      <w:r w:rsidRPr="008C0881">
        <w:rPr>
          <w:b/>
          <w:u w:val="single"/>
        </w:rPr>
        <w:t>Introduction</w:t>
      </w:r>
    </w:p>
    <w:p w:rsidR="00031F90" w:rsidRDefault="00E17DD9" w:rsidP="00EC6733">
      <w:pPr>
        <w:spacing w:line="288" w:lineRule="auto"/>
      </w:pPr>
      <w:r>
        <w:t>Compan</w:t>
      </w:r>
      <w:r w:rsidR="0088447D">
        <w:t>ies</w:t>
      </w:r>
      <w:r>
        <w:t xml:space="preserve"> are becoming potentially criminally liable for an increasing number of offences. Examples include </w:t>
      </w:r>
      <w:r w:rsidR="005C3929">
        <w:t>failure to prevent bribery</w:t>
      </w:r>
      <w:r w:rsidR="005C3929">
        <w:rPr>
          <w:rStyle w:val="FootnoteReference"/>
        </w:rPr>
        <w:footnoteReference w:id="1"/>
      </w:r>
      <w:r w:rsidR="003358BF">
        <w:t xml:space="preserve"> and</w:t>
      </w:r>
      <w:r w:rsidR="005C3929">
        <w:t xml:space="preserve"> </w:t>
      </w:r>
      <w:r w:rsidR="00271CFA">
        <w:t xml:space="preserve">more recently </w:t>
      </w:r>
      <w:r w:rsidR="005C3929">
        <w:t>failure to prevent the facilitation of tax evasion</w:t>
      </w:r>
      <w:r w:rsidR="005C3929">
        <w:rPr>
          <w:rStyle w:val="FootnoteReference"/>
        </w:rPr>
        <w:footnoteReference w:id="2"/>
      </w:r>
      <w:r w:rsidR="003358BF">
        <w:t xml:space="preserve">. </w:t>
      </w:r>
      <w:r>
        <w:t xml:space="preserve"> </w:t>
      </w:r>
      <w:r w:rsidR="00271CFA">
        <w:t>Concerns about potential criminal liability can lead to</w:t>
      </w:r>
      <w:r w:rsidR="00E52D3E">
        <w:t xml:space="preserve"> internal investigations</w:t>
      </w:r>
      <w:r w:rsidR="00271CFA">
        <w:t xml:space="preserve"> by a company</w:t>
      </w:r>
      <w:r w:rsidR="00E52D3E">
        <w:t xml:space="preserve">, whether in response to </w:t>
      </w:r>
      <w:proofErr w:type="gramStart"/>
      <w:r w:rsidR="00271CFA">
        <w:t xml:space="preserve">an </w:t>
      </w:r>
      <w:r w:rsidR="00E52D3E">
        <w:t xml:space="preserve"> investigation</w:t>
      </w:r>
      <w:proofErr w:type="gramEnd"/>
      <w:r w:rsidR="00271CFA">
        <w:t xml:space="preserve"> by</w:t>
      </w:r>
      <w:r w:rsidR="00D67A34">
        <w:t xml:space="preserve"> bodies such as</w:t>
      </w:r>
      <w:r w:rsidR="00271CFA">
        <w:t xml:space="preserve"> the Serious Fraud Office</w:t>
      </w:r>
      <w:r w:rsidR="00D67A34">
        <w:t xml:space="preserve"> (SFO)</w:t>
      </w:r>
      <w:r w:rsidR="00271CFA">
        <w:t xml:space="preserve">, </w:t>
      </w:r>
      <w:r w:rsidR="00E52D3E">
        <w:t xml:space="preserve">or </w:t>
      </w:r>
      <w:r w:rsidR="00271CFA">
        <w:t>due to</w:t>
      </w:r>
      <w:r w:rsidR="00E52D3E">
        <w:t xml:space="preserve">  concerns that the company has been doing something it should not</w:t>
      </w:r>
      <w:r w:rsidR="00271CFA">
        <w:t xml:space="preserve"> in this context</w:t>
      </w:r>
      <w:r w:rsidR="00A6649B">
        <w:t>, which might, for example, result in a decision to self-report in order to potentially avoid prosecution</w:t>
      </w:r>
      <w:r w:rsidR="00A6649B">
        <w:rPr>
          <w:rStyle w:val="FootnoteReference"/>
        </w:rPr>
        <w:footnoteReference w:id="3"/>
      </w:r>
      <w:r w:rsidR="00E52D3E">
        <w:t xml:space="preserve">. </w:t>
      </w:r>
      <w:r w:rsidR="00A6649B">
        <w:t xml:space="preserve">Similarly, </w:t>
      </w:r>
      <w:r w:rsidR="00271CFA">
        <w:t>internal corporate investigations may take place in the context of preparing for and presentin</w:t>
      </w:r>
      <w:r w:rsidR="00D67A34">
        <w:t xml:space="preserve">g evidence to an </w:t>
      </w:r>
      <w:proofErr w:type="gramStart"/>
      <w:r w:rsidR="00D67A34">
        <w:t xml:space="preserve">external </w:t>
      </w:r>
      <w:r w:rsidR="00271CFA">
        <w:t xml:space="preserve"> inquiry</w:t>
      </w:r>
      <w:proofErr w:type="gramEnd"/>
      <w:r w:rsidR="00271CFA">
        <w:t xml:space="preserve">. Internal investigations, interactions with investigating bodies and legal advice taken in relation thereto </w:t>
      </w:r>
      <w:r w:rsidR="00A6649B">
        <w:t xml:space="preserve">may all produce communications which may be the subject of </w:t>
      </w:r>
      <w:r w:rsidR="00271CFA">
        <w:t xml:space="preserve">claims of </w:t>
      </w:r>
      <w:r w:rsidR="00A6649B">
        <w:t xml:space="preserve">legal professional </w:t>
      </w:r>
      <w:r w:rsidR="00E52D3E">
        <w:t xml:space="preserve">privilege, both </w:t>
      </w:r>
      <w:r w:rsidR="00271CFA">
        <w:t>litigation privilege and legal advice privilege.</w:t>
      </w:r>
      <w:r w:rsidR="009E280B">
        <w:t xml:space="preserve"> </w:t>
      </w:r>
    </w:p>
    <w:p w:rsidR="00C21660" w:rsidRDefault="00C87578" w:rsidP="00EC6733">
      <w:pPr>
        <w:spacing w:line="288" w:lineRule="auto"/>
      </w:pPr>
      <w:r>
        <w:t xml:space="preserve">The ambit of litigation privilege is subject to three significant constraints, namely, that litigation must </w:t>
      </w:r>
      <w:proofErr w:type="gramStart"/>
      <w:r>
        <w:t>be</w:t>
      </w:r>
      <w:proofErr w:type="gramEnd"/>
      <w:r>
        <w:t xml:space="preserve"> in reasonable contemplation, that it must be at least the dominant purpose of the communication and that the litigation must be adversarial.  When determining whether litigation </w:t>
      </w:r>
      <w:r>
        <w:lastRenderedPageBreak/>
        <w:t>privilege attaches to communications made in the context of a corporate criminal investigation, the crucial issue is whether the 21</w:t>
      </w:r>
      <w:r w:rsidRPr="00031F90">
        <w:rPr>
          <w:vertAlign w:val="superscript"/>
        </w:rPr>
        <w:t>st</w:t>
      </w:r>
      <w:r>
        <w:t xml:space="preserve"> Century courts will apply these constraints narrowly so as to limit the ambit of a privilege which had its origins in the adversarial litigation of an earlier age.  </w:t>
      </w:r>
      <w:r w:rsidR="004E60D0">
        <w:t>The criminal process is now less adversarial/more case managed. Further, c</w:t>
      </w:r>
      <w:r w:rsidR="005B18CB">
        <w:t>ompanies and the courts are now grappling with very different regulatory and i</w:t>
      </w:r>
      <w:r w:rsidR="009605D6">
        <w:t>nvestigatory</w:t>
      </w:r>
      <w:r w:rsidR="005B18CB">
        <w:t xml:space="preserve"> </w:t>
      </w:r>
      <w:r w:rsidR="00DE4E3D">
        <w:t xml:space="preserve">regimes </w:t>
      </w:r>
      <w:r w:rsidR="005B18CB">
        <w:t xml:space="preserve">which lead to increasingly blurred lines around when litigation will be in contemplation. </w:t>
      </w:r>
      <w:r w:rsidR="00C21660">
        <w:t xml:space="preserve">Where litigation privilege is not available, for example because </w:t>
      </w:r>
      <w:r w:rsidR="00E310B8">
        <w:t xml:space="preserve">litigation was not in reasonable contemplation at the time when </w:t>
      </w:r>
      <w:r w:rsidR="00C21660">
        <w:t xml:space="preserve">an internal investigation </w:t>
      </w:r>
      <w:r w:rsidR="00E310B8">
        <w:t xml:space="preserve">took place, </w:t>
      </w:r>
      <w:r w:rsidR="00C21660">
        <w:t xml:space="preserve">then the availability of  legal advice privilege is crucial </w:t>
      </w:r>
      <w:r w:rsidR="00896D60">
        <w:t xml:space="preserve">to protect </w:t>
      </w:r>
      <w:r w:rsidR="00C21660">
        <w:t xml:space="preserve">communications with lawyers from disclosure. In the corporate context, </w:t>
      </w:r>
      <w:r w:rsidR="00753F85">
        <w:t>legal advic</w:t>
      </w:r>
      <w:r w:rsidR="00896D60">
        <w:t>e privilege may be unavailable if communications with the company’s legal advisers are not made by a person or body within the company designated as the client. In addition, the type of communications taking place between client and lawyer impacts on the availability of legal advice privilege.</w:t>
      </w:r>
    </w:p>
    <w:p w:rsidR="00E310B8" w:rsidRDefault="00896D60" w:rsidP="00EC6733">
      <w:pPr>
        <w:spacing w:line="288" w:lineRule="auto"/>
      </w:pPr>
      <w:r>
        <w:t>This article begins by exploring the ambit of litigation privilege in corporate criminal investigations</w:t>
      </w:r>
      <w:r w:rsidR="004E60D0">
        <w:t xml:space="preserve">. It identifies the policy considerations that traditionally underlie the existence of the privilege. It considers the extent to which the ambit of the privilege has been the subject of </w:t>
      </w:r>
      <w:proofErr w:type="gramStart"/>
      <w:r w:rsidR="004E60D0">
        <w:t>a  more</w:t>
      </w:r>
      <w:proofErr w:type="gramEnd"/>
      <w:r w:rsidR="004E60D0">
        <w:t xml:space="preserve"> recent “policy of confinement” by the judicia</w:t>
      </w:r>
      <w:r w:rsidR="00D67A34">
        <w:t>ry. It also considers how the constraints upon</w:t>
      </w:r>
      <w:r w:rsidR="004E60D0">
        <w:t xml:space="preserve"> the a</w:t>
      </w:r>
      <w:r w:rsidR="00D67A34">
        <w:t>mbit of the privilege</w:t>
      </w:r>
      <w:r w:rsidR="004E60D0">
        <w:t xml:space="preserve"> impact upon its operation in the context of corporate criminal investigations. </w:t>
      </w:r>
      <w:r w:rsidR="00264046">
        <w:t>In assessing the potential scope of the privilege it takes into account the fact that the role of lawyers in such scenarios goes beyond preparation for litigation and encompasses communications for purposes such as avoiding contemplated criminal litigation</w:t>
      </w:r>
      <w:r w:rsidR="00D67A34">
        <w:t>, perhaps</w:t>
      </w:r>
      <w:r w:rsidR="00264046">
        <w:t xml:space="preserve"> by entering into a civil settlement or considering the merits of entering into a Deferred Prosecution Agreement. </w:t>
      </w:r>
    </w:p>
    <w:p w:rsidR="0073330A" w:rsidRDefault="00E50411" w:rsidP="00EC6733">
      <w:pPr>
        <w:spacing w:line="288" w:lineRule="auto"/>
      </w:pPr>
      <w:r>
        <w:t xml:space="preserve">The </w:t>
      </w:r>
      <w:r w:rsidR="00281768">
        <w:t xml:space="preserve">identification of the client for the purposes of </w:t>
      </w:r>
      <w:r w:rsidR="00F16775">
        <w:t xml:space="preserve">claiming </w:t>
      </w:r>
      <w:r w:rsidR="00281768">
        <w:t>legal advice privilege in the corporate context is then discussed</w:t>
      </w:r>
      <w:r w:rsidR="00E310B8">
        <w:t>. The major issue is that whilst the authorities require the court to identify a client within the corporation, they provide limited guidance on how to do so. Based on</w:t>
      </w:r>
      <w:r w:rsidR="00031F90">
        <w:t xml:space="preserve"> </w:t>
      </w:r>
      <w:r w:rsidR="00281768">
        <w:t>consideration of attribution theory and the nature of delegated authority</w:t>
      </w:r>
      <w:r w:rsidR="00E310B8">
        <w:t xml:space="preserve"> as it operates in the corporate context, </w:t>
      </w:r>
      <w:r w:rsidR="0073330A">
        <w:t xml:space="preserve">and with reference to the membership of, and actions performed by, the client group within the corporation, </w:t>
      </w:r>
      <w:r w:rsidR="00E310B8">
        <w:t xml:space="preserve">we </w:t>
      </w:r>
      <w:r w:rsidR="00A8356C">
        <w:t>demonstrate that it is possible to give a</w:t>
      </w:r>
      <w:r w:rsidR="00E310B8">
        <w:t xml:space="preserve"> coherent explanation of the </w:t>
      </w:r>
      <w:r w:rsidR="006D64CF">
        <w:t>jurisprudence</w:t>
      </w:r>
      <w:r w:rsidR="00E310B8">
        <w:t xml:space="preserve"> in this area which</w:t>
      </w:r>
      <w:r w:rsidR="00A8356C">
        <w:t>, whilst accepting that decisions are fact-specific,</w:t>
      </w:r>
      <w:r w:rsidR="00E310B8">
        <w:t xml:space="preserve"> </w:t>
      </w:r>
      <w:r w:rsidR="00A8356C">
        <w:t>should enable corporations and the courts to identify the client within the corporation with a greater degree of confidence</w:t>
      </w:r>
      <w:r w:rsidR="00281768">
        <w:t xml:space="preserve">. </w:t>
      </w:r>
    </w:p>
    <w:p w:rsidR="00B845FF" w:rsidRDefault="002B19EF" w:rsidP="00EC6733">
      <w:pPr>
        <w:spacing w:line="288" w:lineRule="auto"/>
      </w:pPr>
      <w:r>
        <w:t xml:space="preserve">The </w:t>
      </w:r>
      <w:r w:rsidR="0073330A">
        <w:t xml:space="preserve">final section of the article provides </w:t>
      </w:r>
      <w:r>
        <w:t xml:space="preserve">advice </w:t>
      </w:r>
      <w:r w:rsidR="0073330A">
        <w:t xml:space="preserve">for corporations </w:t>
      </w:r>
      <w:r>
        <w:t xml:space="preserve">on maximising </w:t>
      </w:r>
      <w:r w:rsidR="0073330A">
        <w:t xml:space="preserve">the protection provided by </w:t>
      </w:r>
      <w:r>
        <w:t>litigation and legal advice privilege in the corporate context.</w:t>
      </w:r>
    </w:p>
    <w:p w:rsidR="00CC2865" w:rsidRPr="008C0881" w:rsidRDefault="00CC2865" w:rsidP="00EC6733">
      <w:pPr>
        <w:pStyle w:val="ListBullet"/>
        <w:numPr>
          <w:ilvl w:val="0"/>
          <w:numId w:val="0"/>
        </w:numPr>
        <w:spacing w:line="288" w:lineRule="auto"/>
        <w:rPr>
          <w:b/>
          <w:u w:val="single"/>
        </w:rPr>
      </w:pPr>
      <w:r w:rsidRPr="008C0881">
        <w:rPr>
          <w:b/>
          <w:u w:val="single"/>
        </w:rPr>
        <w:t>Litigation Privilege and Corporate Criminal Investigations</w:t>
      </w:r>
    </w:p>
    <w:p w:rsidR="008C0881" w:rsidRDefault="008C0881" w:rsidP="00EC6733">
      <w:pPr>
        <w:pStyle w:val="ListBullet"/>
        <w:numPr>
          <w:ilvl w:val="0"/>
          <w:numId w:val="0"/>
        </w:numPr>
        <w:spacing w:line="288" w:lineRule="auto"/>
      </w:pPr>
    </w:p>
    <w:p w:rsidR="0053505D" w:rsidRDefault="00CC2865" w:rsidP="00EC6733">
      <w:pPr>
        <w:pStyle w:val="ListBullet"/>
        <w:numPr>
          <w:ilvl w:val="0"/>
          <w:numId w:val="0"/>
        </w:numPr>
        <w:spacing w:line="288" w:lineRule="auto"/>
      </w:pPr>
      <w:r>
        <w:t xml:space="preserve">In considering how the courts should approach a claim of litigation privilege arising from a corporate criminal investigation it is important to identify the policy considerations underlying the existence of the privilege </w:t>
      </w:r>
      <w:r w:rsidR="00D67A34">
        <w:t xml:space="preserve">and </w:t>
      </w:r>
      <w:r>
        <w:t>to consider whether they are applicable in the context of the 21</w:t>
      </w:r>
      <w:r w:rsidRPr="00DD6FF0">
        <w:rPr>
          <w:vertAlign w:val="superscript"/>
        </w:rPr>
        <w:t>st</w:t>
      </w:r>
      <w:r>
        <w:t xml:space="preserve"> Century English and Welsh criminal process</w:t>
      </w:r>
      <w:r w:rsidR="003C4336">
        <w:t>.</w:t>
      </w:r>
      <w:r w:rsidR="0053505D">
        <w:t xml:space="preserve"> </w:t>
      </w:r>
    </w:p>
    <w:p w:rsidR="0053505D" w:rsidRDefault="0053505D" w:rsidP="00EC6733">
      <w:pPr>
        <w:pStyle w:val="ListBullet"/>
        <w:numPr>
          <w:ilvl w:val="0"/>
          <w:numId w:val="0"/>
        </w:numPr>
        <w:spacing w:line="288" w:lineRule="auto"/>
      </w:pPr>
    </w:p>
    <w:p w:rsidR="0053505D" w:rsidRDefault="0078683D" w:rsidP="00EC6733">
      <w:pPr>
        <w:pStyle w:val="ListBullet"/>
        <w:numPr>
          <w:ilvl w:val="0"/>
          <w:numId w:val="0"/>
        </w:numPr>
        <w:spacing w:line="288" w:lineRule="auto"/>
      </w:pPr>
      <w:r>
        <w:lastRenderedPageBreak/>
        <w:t>Unlike legal advice privilege</w:t>
      </w:r>
      <w:r w:rsidR="008A1D5F">
        <w:rPr>
          <w:rStyle w:val="FootnoteReference"/>
        </w:rPr>
        <w:footnoteReference w:id="4"/>
      </w:r>
      <w:r>
        <w:t xml:space="preserve">, </w:t>
      </w:r>
      <w:r w:rsidR="0053505D">
        <w:t>protecting the confidentiality of communications between legal adviser and client does not form the sole policy justification underlying the existence of litigation privilege.</w:t>
      </w:r>
      <w:r w:rsidR="0053505D" w:rsidRPr="0053505D">
        <w:rPr>
          <w:rStyle w:val="FootnoteReference"/>
        </w:rPr>
        <w:t xml:space="preserve"> </w:t>
      </w:r>
      <w:r w:rsidR="0053505D" w:rsidRPr="003635D0">
        <w:rPr>
          <w:rStyle w:val="FootnoteReference"/>
        </w:rPr>
        <w:footnoteReference w:id="5"/>
      </w:r>
      <w:r w:rsidR="0053505D" w:rsidRPr="003635D0">
        <w:rPr>
          <w:rStyle w:val="FootnoteReference"/>
        </w:rPr>
        <w:t xml:space="preserve"> </w:t>
      </w:r>
      <w:r w:rsidR="0053505D">
        <w:t xml:space="preserve"> Rather, </w:t>
      </w:r>
      <w:r w:rsidR="007D02A5">
        <w:t>litigation privilege (which</w:t>
      </w:r>
      <w:r w:rsidR="00F93FEE">
        <w:t>, arguably,</w:t>
      </w:r>
      <w:r w:rsidR="0024252A">
        <w:t xml:space="preserve"> </w:t>
      </w:r>
      <w:r w:rsidR="007D02A5">
        <w:t>can arise where proceedings are conducted by a litigant in person</w:t>
      </w:r>
      <w:r w:rsidR="00B57FE3">
        <w:t>, with no legal adviser involved</w:t>
      </w:r>
      <w:r w:rsidR="007A0B10">
        <w:rPr>
          <w:rStyle w:val="FootnoteReference"/>
        </w:rPr>
        <w:footnoteReference w:id="6"/>
      </w:r>
      <w:r w:rsidR="007D02A5">
        <w:t>)</w:t>
      </w:r>
      <w:r w:rsidR="00B57FE3">
        <w:t xml:space="preserve"> </w:t>
      </w:r>
      <w:r w:rsidR="007D02A5">
        <w:t xml:space="preserve">is fundamentally a creature of the adversarial trial process rather </w:t>
      </w:r>
      <w:proofErr w:type="gramStart"/>
      <w:r w:rsidR="007D02A5">
        <w:t>than  one</w:t>
      </w:r>
      <w:proofErr w:type="gramEnd"/>
      <w:r w:rsidR="007D02A5">
        <w:t xml:space="preserve"> of the lawyer client relationship. </w:t>
      </w:r>
      <w:r w:rsidR="0053505D">
        <w:t xml:space="preserve">As Lord Rodger of </w:t>
      </w:r>
      <w:proofErr w:type="spellStart"/>
      <w:r w:rsidR="0053505D">
        <w:t>Earlsferry</w:t>
      </w:r>
      <w:proofErr w:type="spellEnd"/>
      <w:r w:rsidR="0053505D">
        <w:t xml:space="preserve"> explained, </w:t>
      </w:r>
      <w:r w:rsidR="007D02A5">
        <w:t>it,</w:t>
      </w:r>
      <w:r w:rsidR="0053505D">
        <w:t xml:space="preserve"> </w:t>
      </w:r>
    </w:p>
    <w:p w:rsidR="0053505D" w:rsidRDefault="0053505D" w:rsidP="00EC6733">
      <w:pPr>
        <w:pStyle w:val="ListBullet"/>
        <w:numPr>
          <w:ilvl w:val="0"/>
          <w:numId w:val="0"/>
        </w:numPr>
        <w:spacing w:line="288" w:lineRule="auto"/>
      </w:pPr>
    </w:p>
    <w:p w:rsidR="0053505D" w:rsidRDefault="0053505D" w:rsidP="00EC6733">
      <w:pPr>
        <w:pStyle w:val="ListBullet"/>
        <w:numPr>
          <w:ilvl w:val="0"/>
          <w:numId w:val="0"/>
        </w:numPr>
        <w:spacing w:line="288" w:lineRule="auto"/>
        <w:ind w:left="720"/>
      </w:pPr>
      <w:proofErr w:type="gramStart"/>
      <w:r>
        <w:t>is</w:t>
      </w:r>
      <w:proofErr w:type="gramEnd"/>
      <w:r>
        <w:t xml:space="preserve"> based on the idea that legal proceedings take the form of a contest in which each of the opposing parties assembles his own body of evidence and uses it to try to defeat the other, with the judge or jury determining the winner. In such a system each party should be free to prepare his case as fully as possible without the risk that his opponent will be able to recover the material generated by his preparations.</w:t>
      </w:r>
      <w:r w:rsidRPr="0053505D">
        <w:rPr>
          <w:rStyle w:val="FootnoteReference"/>
        </w:rPr>
        <w:t xml:space="preserve"> </w:t>
      </w:r>
      <w:r>
        <w:rPr>
          <w:rStyle w:val="FootnoteReference"/>
        </w:rPr>
        <w:footnoteReference w:id="7"/>
      </w:r>
    </w:p>
    <w:p w:rsidR="00003EB0" w:rsidRDefault="00003EB0" w:rsidP="00EC6733">
      <w:pPr>
        <w:pStyle w:val="ListBullet"/>
        <w:numPr>
          <w:ilvl w:val="0"/>
          <w:numId w:val="0"/>
        </w:numPr>
        <w:spacing w:line="288" w:lineRule="auto"/>
      </w:pPr>
    </w:p>
    <w:p w:rsidR="00CC2865" w:rsidRDefault="006D2EE0" w:rsidP="00EC6733">
      <w:pPr>
        <w:pStyle w:val="ListBullet"/>
        <w:numPr>
          <w:ilvl w:val="0"/>
          <w:numId w:val="0"/>
        </w:numPr>
        <w:spacing w:line="288" w:lineRule="auto"/>
      </w:pPr>
      <w:r>
        <w:t>R</w:t>
      </w:r>
      <w:r w:rsidR="00CC2865">
        <w:t xml:space="preserve">eference to the leading authorities that catalysed the development of </w:t>
      </w:r>
      <w:r w:rsidR="00C91B16">
        <w:t xml:space="preserve">what is now known as </w:t>
      </w:r>
      <w:r w:rsidR="00CC2865">
        <w:t>litigation privilege in the context of 19</w:t>
      </w:r>
      <w:r w:rsidR="00CC2865" w:rsidRPr="006413FD">
        <w:rPr>
          <w:vertAlign w:val="superscript"/>
        </w:rPr>
        <w:t>th</w:t>
      </w:r>
      <w:r w:rsidR="00CC2865">
        <w:t xml:space="preserve"> Century adversarial litigation </w:t>
      </w:r>
      <w:r w:rsidR="007D02A5">
        <w:t>confirms</w:t>
      </w:r>
      <w:r w:rsidR="0024252A">
        <w:t xml:space="preserve"> </w:t>
      </w:r>
      <w:r w:rsidR="00CC2865">
        <w:t xml:space="preserve">that </w:t>
      </w:r>
      <w:r w:rsidR="00C91B16">
        <w:t xml:space="preserve">it </w:t>
      </w:r>
      <w:r w:rsidR="00CC2865">
        <w:t xml:space="preserve">has long formed part of the concept of an </w:t>
      </w:r>
      <w:r w:rsidR="00CC2865" w:rsidRPr="006639F2">
        <w:t xml:space="preserve">adversarial </w:t>
      </w:r>
      <w:r w:rsidR="00CC2865">
        <w:t>trial.</w:t>
      </w:r>
      <w:r w:rsidR="007D02A5" w:rsidRPr="007D02A5">
        <w:rPr>
          <w:rStyle w:val="FootnoteReference"/>
        </w:rPr>
        <w:t xml:space="preserve"> </w:t>
      </w:r>
      <w:r w:rsidR="007D02A5">
        <w:rPr>
          <w:rStyle w:val="FootnoteReference"/>
        </w:rPr>
        <w:footnoteReference w:id="8"/>
      </w:r>
      <w:r w:rsidR="00CC2865">
        <w:t xml:space="preserve"> </w:t>
      </w:r>
      <w:r w:rsidR="007D02A5">
        <w:t>They make</w:t>
      </w:r>
      <w:r w:rsidR="0024252A">
        <w:t xml:space="preserve"> </w:t>
      </w:r>
      <w:r w:rsidR="00CC2865">
        <w:t>clear that a party, ‘i</w:t>
      </w:r>
      <w:r w:rsidR="00CC2865" w:rsidRPr="006413FD">
        <w:t>s not bound to communicate evidence</w:t>
      </w:r>
      <w:r w:rsidR="00CC2865">
        <w:t>…</w:t>
      </w:r>
      <w:r w:rsidR="00CC2865" w:rsidRPr="006413FD">
        <w:t>obtained for the purpose of litigation</w:t>
      </w:r>
      <w:r w:rsidR="00CC2865">
        <w:t>’</w:t>
      </w:r>
      <w:r w:rsidR="00CC2865">
        <w:rPr>
          <w:rStyle w:val="FootnoteReference"/>
        </w:rPr>
        <w:footnoteReference w:id="9"/>
      </w:r>
      <w:r w:rsidR="00CC2865">
        <w:t xml:space="preserve"> and that just as a party has ‘</w:t>
      </w:r>
      <w:r w:rsidR="00CC2865" w:rsidRPr="006413FD">
        <w:t xml:space="preserve">no right to see </w:t>
      </w:r>
      <w:r w:rsidR="00CC2865">
        <w:t>[an]</w:t>
      </w:r>
      <w:r w:rsidR="00CC2865" w:rsidRPr="006413FD">
        <w:t xml:space="preserve"> adversary's brief</w:t>
      </w:r>
      <w:r w:rsidR="00CC2865">
        <w:t>’ a party also has</w:t>
      </w:r>
      <w:r w:rsidR="00CC2865" w:rsidRPr="006413FD">
        <w:t xml:space="preserve"> </w:t>
      </w:r>
      <w:r w:rsidR="00CC2865">
        <w:t>‘</w:t>
      </w:r>
      <w:r w:rsidR="00CC2865" w:rsidRPr="006413FD">
        <w:t>no right to see that which comes into existence merely as the materials for the brief</w:t>
      </w:r>
      <w:r w:rsidR="00CC2865">
        <w:t>’.</w:t>
      </w:r>
      <w:r w:rsidR="00CC2865">
        <w:rPr>
          <w:rStyle w:val="FootnoteReference"/>
        </w:rPr>
        <w:footnoteReference w:id="10"/>
      </w:r>
      <w:r w:rsidR="00CC2865">
        <w:t xml:space="preserve"> </w:t>
      </w:r>
    </w:p>
    <w:p w:rsidR="00CC2865" w:rsidRDefault="00CC2865" w:rsidP="00EC6733">
      <w:pPr>
        <w:pStyle w:val="ListBullet"/>
        <w:numPr>
          <w:ilvl w:val="0"/>
          <w:numId w:val="0"/>
        </w:numPr>
        <w:spacing w:line="288" w:lineRule="auto"/>
        <w:ind w:left="360" w:hanging="360"/>
      </w:pPr>
    </w:p>
    <w:p w:rsidR="00062100" w:rsidRPr="00062100" w:rsidRDefault="00062100" w:rsidP="00EC6733">
      <w:pPr>
        <w:pStyle w:val="ListBullet"/>
        <w:numPr>
          <w:ilvl w:val="0"/>
          <w:numId w:val="0"/>
        </w:numPr>
        <w:spacing w:line="288" w:lineRule="auto"/>
        <w:ind w:left="360" w:hanging="360"/>
        <w:rPr>
          <w:b/>
        </w:rPr>
      </w:pPr>
      <w:r>
        <w:rPr>
          <w:b/>
        </w:rPr>
        <w:t>A t</w:t>
      </w:r>
      <w:r w:rsidRPr="00062100">
        <w:rPr>
          <w:b/>
        </w:rPr>
        <w:t>rend of confinement</w:t>
      </w:r>
      <w:r>
        <w:rPr>
          <w:b/>
        </w:rPr>
        <w:t>?</w:t>
      </w:r>
    </w:p>
    <w:p w:rsidR="008C0881" w:rsidRDefault="008C0881" w:rsidP="00EC6733">
      <w:pPr>
        <w:pStyle w:val="ListBullet"/>
        <w:numPr>
          <w:ilvl w:val="0"/>
          <w:numId w:val="0"/>
        </w:numPr>
        <w:spacing w:line="288" w:lineRule="auto"/>
      </w:pPr>
    </w:p>
    <w:p w:rsidR="00003EB0" w:rsidRDefault="00CC2865" w:rsidP="00EC6733">
      <w:pPr>
        <w:pStyle w:val="ListBullet"/>
        <w:numPr>
          <w:ilvl w:val="0"/>
          <w:numId w:val="0"/>
        </w:numPr>
        <w:spacing w:line="288" w:lineRule="auto"/>
      </w:pPr>
      <w:r>
        <w:t xml:space="preserve">In </w:t>
      </w:r>
      <w:r w:rsidR="00813A9F" w:rsidRPr="00203F79">
        <w:rPr>
          <w:i/>
        </w:rPr>
        <w:t>The Director of the Serious Fraud Office v Eurasian Natural Resources Corporation</w:t>
      </w:r>
      <w:r w:rsidR="00813A9F" w:rsidRPr="00003EB0">
        <w:t xml:space="preserve"> </w:t>
      </w:r>
      <w:r w:rsidR="00813A9F" w:rsidRPr="00203F79">
        <w:rPr>
          <w:i/>
        </w:rPr>
        <w:t>Ltd</w:t>
      </w:r>
      <w:r w:rsidR="00813A9F">
        <w:t xml:space="preserve"> </w:t>
      </w:r>
      <w:r>
        <w:t xml:space="preserve">Andrews J </w:t>
      </w:r>
      <w:r w:rsidR="00F76109">
        <w:t>identified</w:t>
      </w:r>
      <w:r w:rsidR="004869F2">
        <w:t xml:space="preserve"> </w:t>
      </w:r>
      <w:r>
        <w:t xml:space="preserve">a </w:t>
      </w:r>
      <w:r w:rsidR="004869F2">
        <w:t>trend of confining the scope of litigation privilege.</w:t>
      </w:r>
      <w:r w:rsidR="004869F2">
        <w:rPr>
          <w:rStyle w:val="FootnoteReference"/>
          <w:i/>
        </w:rPr>
        <w:footnoteReference w:id="11"/>
      </w:r>
      <w:r>
        <w:t xml:space="preserve"> </w:t>
      </w:r>
      <w:r w:rsidR="00CD2717">
        <w:t xml:space="preserve">The essence of such confinement is the existence of three constraints that the courts have imposed upon its operation, namely, that, </w:t>
      </w:r>
    </w:p>
    <w:p w:rsidR="00003EB0" w:rsidRDefault="00003EB0" w:rsidP="00EC6733">
      <w:pPr>
        <w:pStyle w:val="ListBullet"/>
        <w:numPr>
          <w:ilvl w:val="0"/>
          <w:numId w:val="0"/>
        </w:numPr>
        <w:spacing w:line="288" w:lineRule="auto"/>
      </w:pPr>
    </w:p>
    <w:p w:rsidR="00003EB0" w:rsidRDefault="005D3C18" w:rsidP="00EC6733">
      <w:pPr>
        <w:pStyle w:val="ListBullet"/>
        <w:numPr>
          <w:ilvl w:val="0"/>
          <w:numId w:val="0"/>
        </w:numPr>
        <w:spacing w:line="288" w:lineRule="auto"/>
        <w:ind w:left="284"/>
      </w:pPr>
      <w:r w:rsidRPr="00CD2717">
        <w:lastRenderedPageBreak/>
        <w:t xml:space="preserve">(a) </w:t>
      </w:r>
      <w:proofErr w:type="gramStart"/>
      <w:r w:rsidRPr="00CD2717">
        <w:t>litigation</w:t>
      </w:r>
      <w:proofErr w:type="gramEnd"/>
      <w:r w:rsidRPr="00CD2717">
        <w:t xml:space="preserve"> must be in progress or in contemplation; (b) the communications must have been made for the sole or dominant purpose of conducting that litigation; (c) the litigation must be adversarial, not </w:t>
      </w:r>
      <w:r w:rsidR="00003EB0">
        <w:t>investigative or inquisitorial.</w:t>
      </w:r>
      <w:r w:rsidRPr="00CD2717">
        <w:rPr>
          <w:rStyle w:val="FootnoteReference"/>
        </w:rPr>
        <w:footnoteReference w:id="12"/>
      </w:r>
      <w:r>
        <w:t xml:space="preserve"> </w:t>
      </w:r>
    </w:p>
    <w:p w:rsidR="00003EB0" w:rsidRDefault="00003EB0" w:rsidP="00EC6733">
      <w:pPr>
        <w:pStyle w:val="ListBullet"/>
        <w:numPr>
          <w:ilvl w:val="0"/>
          <w:numId w:val="0"/>
        </w:numPr>
        <w:spacing w:line="288" w:lineRule="auto"/>
      </w:pPr>
    </w:p>
    <w:p w:rsidR="004E3A22" w:rsidRDefault="00EE61E5" w:rsidP="00EC6733">
      <w:pPr>
        <w:pStyle w:val="ListBullet"/>
        <w:numPr>
          <w:ilvl w:val="0"/>
          <w:numId w:val="0"/>
        </w:numPr>
        <w:spacing w:line="288" w:lineRule="auto"/>
      </w:pPr>
      <w:r>
        <w:t>The trend of confinement had commenced in the 19</w:t>
      </w:r>
      <w:r w:rsidRPr="00FB328B">
        <w:rPr>
          <w:vertAlign w:val="superscript"/>
        </w:rPr>
        <w:t>th</w:t>
      </w:r>
      <w:r>
        <w:t xml:space="preserve"> Century jurisprudence which restricted the ambit of the privilege to material ‘obtained for the purpose of litigation’</w:t>
      </w:r>
      <w:r>
        <w:rPr>
          <w:rStyle w:val="FootnoteReference"/>
        </w:rPr>
        <w:footnoteReference w:id="13"/>
      </w:r>
      <w:r>
        <w:t xml:space="preserve"> and indicated that it only arose where ‘</w:t>
      </w:r>
      <w:r w:rsidRPr="00065E2E">
        <w:t xml:space="preserve">litigation </w:t>
      </w:r>
      <w:r>
        <w:t xml:space="preserve">[was] </w:t>
      </w:r>
      <w:r w:rsidRPr="00065E2E">
        <w:t>existing or contemplated</w:t>
      </w:r>
      <w:r w:rsidR="004565D8">
        <w:t>’</w:t>
      </w:r>
      <w:r w:rsidR="0024252A">
        <w:t xml:space="preserve"> </w:t>
      </w:r>
      <w:r w:rsidRPr="00065E2E">
        <w:t>between the parties</w:t>
      </w:r>
      <w:r>
        <w:t>’.</w:t>
      </w:r>
      <w:r>
        <w:rPr>
          <w:rStyle w:val="FootnoteReference"/>
        </w:rPr>
        <w:footnoteReference w:id="14"/>
      </w:r>
      <w:r>
        <w:t xml:space="preserve"> </w:t>
      </w:r>
      <w:r w:rsidR="00CD2717">
        <w:t xml:space="preserve">In justifying the imposition of the dominant purpose test, </w:t>
      </w:r>
      <w:r w:rsidR="00CC2865">
        <w:t xml:space="preserve">Lord Edmund-Davies  </w:t>
      </w:r>
      <w:r w:rsidR="006E4C4E">
        <w:t xml:space="preserve">in </w:t>
      </w:r>
      <w:r w:rsidR="006E4C4E" w:rsidRPr="00203F79">
        <w:rPr>
          <w:i/>
        </w:rPr>
        <w:t>Waugh v British Railways Board</w:t>
      </w:r>
      <w:r w:rsidR="006E4C4E">
        <w:t xml:space="preserve"> </w:t>
      </w:r>
      <w:r w:rsidR="00F76109">
        <w:t>believed that ‘</w:t>
      </w:r>
      <w:r w:rsidR="00CC2865" w:rsidRPr="00886236">
        <w:t>the public interest is, on balance, best served by rigidly confining within narrow limits the cases where material relevant to litigation may be lawfully withheld</w:t>
      </w:r>
      <w:r w:rsidR="00CC2865">
        <w:t xml:space="preserve"> [because]</w:t>
      </w:r>
      <w:r w:rsidR="00CC2865" w:rsidRPr="00886236">
        <w:t xml:space="preserve"> </w:t>
      </w:r>
      <w:r w:rsidR="00CC2865">
        <w:t>[j]</w:t>
      </w:r>
      <w:proofErr w:type="spellStart"/>
      <w:r w:rsidR="00CC2865" w:rsidRPr="00886236">
        <w:t>ustice</w:t>
      </w:r>
      <w:proofErr w:type="spellEnd"/>
      <w:r w:rsidR="00CC2865" w:rsidRPr="00886236">
        <w:t xml:space="preserve"> is better served by candour than by suppression</w:t>
      </w:r>
      <w:r w:rsidR="00CC2865">
        <w:t>’.</w:t>
      </w:r>
      <w:r w:rsidR="00CC2865">
        <w:rPr>
          <w:rStyle w:val="FootnoteReference"/>
        </w:rPr>
        <w:footnoteReference w:id="15"/>
      </w:r>
      <w:r w:rsidR="00CC2865">
        <w:t xml:space="preserve"> </w:t>
      </w:r>
      <w:r w:rsidR="004E3A22">
        <w:t xml:space="preserve">When determining that the operation of the privilege is confined to adversarial proceedings, </w:t>
      </w:r>
      <w:r w:rsidR="004E3A22" w:rsidRPr="006C089E">
        <w:t xml:space="preserve">Lord </w:t>
      </w:r>
      <w:proofErr w:type="spellStart"/>
      <w:r w:rsidR="004E3A22" w:rsidRPr="006C089E">
        <w:t>Jauncey</w:t>
      </w:r>
      <w:proofErr w:type="spellEnd"/>
      <w:r w:rsidR="004E3A22" w:rsidRPr="006C089E">
        <w:t xml:space="preserve"> of </w:t>
      </w:r>
      <w:proofErr w:type="spellStart"/>
      <w:r w:rsidR="004E3A22" w:rsidRPr="006C089E">
        <w:t>Tullichettle</w:t>
      </w:r>
      <w:proofErr w:type="spellEnd"/>
      <w:r w:rsidR="004E3A22">
        <w:t xml:space="preserve"> in </w:t>
      </w:r>
      <w:r w:rsidR="004E3A22" w:rsidRPr="00203F79">
        <w:rPr>
          <w:i/>
        </w:rPr>
        <w:t>In Re L (A Minor) (Police Investigation: Privilege</w:t>
      </w:r>
      <w:r w:rsidR="004E3A22">
        <w:rPr>
          <w:i/>
        </w:rPr>
        <w:t xml:space="preserve"> </w:t>
      </w:r>
      <w:r w:rsidR="004E3A22" w:rsidRPr="004E3A22">
        <w:t>indicated that,</w:t>
      </w:r>
      <w:r w:rsidR="004E3A22">
        <w:t xml:space="preserve"> ‘</w:t>
      </w:r>
      <w:r w:rsidR="004E3A22" w:rsidRPr="004E3A22">
        <w:t>in…proceedings…which are primarily non-adversarial and investigative as opposed to adversarial, the notion of a fair trial between opposing parties assumes far less importance</w:t>
      </w:r>
      <w:r w:rsidR="004E3A22">
        <w:t>’</w:t>
      </w:r>
      <w:r>
        <w:t xml:space="preserve">. </w:t>
      </w:r>
      <w:r w:rsidRPr="006C089E">
        <w:rPr>
          <w:rStyle w:val="FootnoteReference"/>
        </w:rPr>
        <w:footnoteReference w:id="16"/>
      </w:r>
    </w:p>
    <w:p w:rsidR="00062100" w:rsidRDefault="00062100" w:rsidP="00EC6733">
      <w:pPr>
        <w:pStyle w:val="ListBullet"/>
        <w:numPr>
          <w:ilvl w:val="0"/>
          <w:numId w:val="0"/>
        </w:numPr>
        <w:spacing w:line="288" w:lineRule="auto"/>
      </w:pPr>
    </w:p>
    <w:p w:rsidR="00CC2865" w:rsidRDefault="001C5096" w:rsidP="00EC6733">
      <w:pPr>
        <w:pStyle w:val="ListBullet"/>
        <w:numPr>
          <w:ilvl w:val="0"/>
          <w:numId w:val="0"/>
        </w:numPr>
        <w:spacing w:line="288" w:lineRule="auto"/>
      </w:pPr>
      <w:r>
        <w:t>R</w:t>
      </w:r>
      <w:r w:rsidR="00666327">
        <w:t>egarding</w:t>
      </w:r>
      <w:r w:rsidR="00CC2865">
        <w:t xml:space="preserve"> the trend of</w:t>
      </w:r>
      <w:r w:rsidR="00666327">
        <w:t xml:space="preserve"> confinement</w:t>
      </w:r>
      <w:r w:rsidR="00CC2865">
        <w:t xml:space="preserve">, </w:t>
      </w:r>
      <w:r>
        <w:t xml:space="preserve">in </w:t>
      </w:r>
      <w:r w:rsidRPr="0024252A">
        <w:rPr>
          <w:i/>
        </w:rPr>
        <w:t>Eurasian</w:t>
      </w:r>
      <w:r>
        <w:t xml:space="preserve"> </w:t>
      </w:r>
      <w:r w:rsidR="00CC2865">
        <w:t xml:space="preserve">Andrews J referred to the speech of Lord Scott of </w:t>
      </w:r>
      <w:proofErr w:type="spellStart"/>
      <w:r w:rsidR="00CC2865">
        <w:t>Foscote</w:t>
      </w:r>
      <w:proofErr w:type="spellEnd"/>
      <w:r w:rsidR="00CC2865">
        <w:t xml:space="preserve"> in </w:t>
      </w:r>
      <w:r w:rsidR="00CC2865" w:rsidRPr="00304D03">
        <w:rPr>
          <w:i/>
        </w:rPr>
        <w:t>Three Rivers District Council and Others v Governor and Company of the Bank of England (No.6)</w:t>
      </w:r>
      <w:r w:rsidR="00CC2865" w:rsidRPr="00003EB0">
        <w:t>,</w:t>
      </w:r>
      <w:r w:rsidR="00CC2865">
        <w:rPr>
          <w:i/>
        </w:rPr>
        <w:t xml:space="preserve"> </w:t>
      </w:r>
      <w:r w:rsidR="00CC2865" w:rsidRPr="00886236">
        <w:t xml:space="preserve">in which </w:t>
      </w:r>
      <w:r w:rsidR="00CC2865">
        <w:t>Lord Scott</w:t>
      </w:r>
      <w:r w:rsidR="00CC2865" w:rsidRPr="00886236">
        <w:t xml:space="preserve"> had</w:t>
      </w:r>
      <w:r w:rsidR="00CC2865">
        <w:t xml:space="preserve"> opined that ‘[c]</w:t>
      </w:r>
      <w:proofErr w:type="spellStart"/>
      <w:r w:rsidR="00CC2865" w:rsidRPr="00886236">
        <w:t>ivil</w:t>
      </w:r>
      <w:proofErr w:type="spellEnd"/>
      <w:r w:rsidR="00CC2865" w:rsidRPr="00886236">
        <w:t xml:space="preserve"> litigation conducted pursuant to the current Civil Procedure Rules </w:t>
      </w:r>
      <w:r w:rsidR="00CC2865">
        <w:t xml:space="preserve">(CPR) </w:t>
      </w:r>
      <w:r w:rsidR="00CC2865" w:rsidRPr="00886236">
        <w:t>is in many respects no longer adversarial</w:t>
      </w:r>
      <w:r w:rsidR="00CC2865">
        <w:t>’ and that ‘[t]</w:t>
      </w:r>
      <w:r w:rsidR="00CC2865" w:rsidRPr="00886236">
        <w:t>he decision in </w:t>
      </w:r>
      <w:r w:rsidR="00CC2865" w:rsidRPr="00031DF2">
        <w:rPr>
          <w:i/>
        </w:rPr>
        <w:t>In re L</w:t>
      </w:r>
      <w:r w:rsidR="00CC2865">
        <w:t xml:space="preserve"> </w:t>
      </w:r>
      <w:r w:rsidR="00CC2865" w:rsidRPr="00886236">
        <w:t>warrants</w:t>
      </w:r>
      <w:r w:rsidR="00CC2865">
        <w:t>…</w:t>
      </w:r>
      <w:r w:rsidR="00CC2865" w:rsidRPr="00886236">
        <w:t>a new look at the justification for litigation privilege</w:t>
      </w:r>
      <w:r w:rsidR="00CC2865">
        <w:t>’</w:t>
      </w:r>
      <w:r w:rsidR="00CC2865" w:rsidRPr="00886236">
        <w:t>.</w:t>
      </w:r>
      <w:r w:rsidR="00CC2865" w:rsidRPr="002A4307">
        <w:rPr>
          <w:rStyle w:val="FootnoteReference"/>
          <w:i/>
        </w:rPr>
        <w:t xml:space="preserve"> </w:t>
      </w:r>
      <w:r w:rsidR="00CC2865">
        <w:rPr>
          <w:rStyle w:val="FootnoteReference"/>
          <w:i/>
        </w:rPr>
        <w:footnoteReference w:id="17"/>
      </w:r>
      <w:r w:rsidR="00CC2865">
        <w:rPr>
          <w:i/>
        </w:rPr>
        <w:t xml:space="preserve"> </w:t>
      </w:r>
      <w:r w:rsidR="00CC2865" w:rsidRPr="00191A69">
        <w:t>It is suggested that contrary to</w:t>
      </w:r>
      <w:r w:rsidR="00CC2865">
        <w:t xml:space="preserve"> Lord Scott’s view, w</w:t>
      </w:r>
      <w:r w:rsidR="00CC2865" w:rsidRPr="008A1BB5">
        <w:t>hilst</w:t>
      </w:r>
      <w:r w:rsidR="00CC2865">
        <w:t xml:space="preserve"> </w:t>
      </w:r>
      <w:r w:rsidR="00CC2865" w:rsidRPr="00191A69">
        <w:rPr>
          <w:i/>
        </w:rPr>
        <w:t>In</w:t>
      </w:r>
      <w:r w:rsidR="00CC2865">
        <w:t xml:space="preserve"> </w:t>
      </w:r>
      <w:r w:rsidR="00CC2865" w:rsidRPr="00031DF2">
        <w:rPr>
          <w:i/>
        </w:rPr>
        <w:t>Re L</w:t>
      </w:r>
      <w:r w:rsidR="00CC2865">
        <w:t xml:space="preserve">, like </w:t>
      </w:r>
      <w:r w:rsidR="00CC2865" w:rsidRPr="00031DF2">
        <w:rPr>
          <w:i/>
        </w:rPr>
        <w:t>Waugh</w:t>
      </w:r>
      <w:r w:rsidR="00CC2865">
        <w:t xml:space="preserve">, is clearly a decision which confirms the limits of litigation privilege, it, again like </w:t>
      </w:r>
      <w:r w:rsidR="00CC2865" w:rsidRPr="00031DF2">
        <w:rPr>
          <w:i/>
        </w:rPr>
        <w:t>Waugh</w:t>
      </w:r>
      <w:r w:rsidR="00CC2865">
        <w:t xml:space="preserve">, is not a decision which is inconsistent with the underlying rationale of litigation privilege as a creature of adversarial proceedings. Indeed, neither the decision in </w:t>
      </w:r>
      <w:r w:rsidR="00CC2865" w:rsidRPr="00031DF2">
        <w:rPr>
          <w:i/>
        </w:rPr>
        <w:t>In re L</w:t>
      </w:r>
      <w:r w:rsidR="00CC2865">
        <w:t xml:space="preserve"> nor the fact that civil proceedings conducted under the CPR are less adversarial than was the case in the 19</w:t>
      </w:r>
      <w:r w:rsidR="00CC2865" w:rsidRPr="003574B2">
        <w:rPr>
          <w:vertAlign w:val="superscript"/>
        </w:rPr>
        <w:t>th</w:t>
      </w:r>
      <w:r w:rsidR="00CC2865">
        <w:t xml:space="preserve"> Century warrant a new look at the justification for litigation privilege. What </w:t>
      </w:r>
      <w:proofErr w:type="gramStart"/>
      <w:r>
        <w:t xml:space="preserve">is </w:t>
      </w:r>
      <w:r w:rsidR="00CC2865">
        <w:t xml:space="preserve"> warran</w:t>
      </w:r>
      <w:r w:rsidR="0099709E">
        <w:t>t</w:t>
      </w:r>
      <w:r>
        <w:t>ed</w:t>
      </w:r>
      <w:proofErr w:type="gramEnd"/>
      <w:r w:rsidR="00CC2865">
        <w:t xml:space="preserve"> is an examination of the nature of specific types of proceedings for the purposes of which communications were made in order to determine whether the adversarial justification for litigation privilege is applicable </w:t>
      </w:r>
      <w:r w:rsidR="00666327">
        <w:t xml:space="preserve">in their specific context </w:t>
      </w:r>
      <w:r w:rsidR="00CC2865">
        <w:t>(</w:t>
      </w:r>
      <w:r w:rsidR="00CC2865" w:rsidRPr="003574B2">
        <w:t xml:space="preserve">which it was </w:t>
      </w:r>
      <w:r w:rsidR="00CC2865">
        <w:t xml:space="preserve">held </w:t>
      </w:r>
      <w:r w:rsidR="00CC2865" w:rsidRPr="003574B2">
        <w:t xml:space="preserve">not </w:t>
      </w:r>
      <w:r w:rsidR="00CC2865">
        <w:t xml:space="preserve">to be both </w:t>
      </w:r>
      <w:r w:rsidR="00CC2865" w:rsidRPr="003574B2">
        <w:t xml:space="preserve">in the context of </w:t>
      </w:r>
      <w:r w:rsidR="00CC2865">
        <w:t xml:space="preserve">the </w:t>
      </w:r>
      <w:r w:rsidR="00CC2865" w:rsidRPr="003574B2">
        <w:t>care proceedings</w:t>
      </w:r>
      <w:r w:rsidR="00CC2865">
        <w:t xml:space="preserve"> that </w:t>
      </w:r>
      <w:r w:rsidR="00CC2865" w:rsidRPr="003574B2">
        <w:rPr>
          <w:i/>
        </w:rPr>
        <w:t>In re L</w:t>
      </w:r>
      <w:r w:rsidR="00CC2865">
        <w:t xml:space="preserve"> concerned and in that </w:t>
      </w:r>
      <w:r w:rsidR="00CC2865" w:rsidRPr="003574B2">
        <w:t>of the</w:t>
      </w:r>
      <w:r w:rsidR="00CC2865">
        <w:t xml:space="preserve"> private, non-statutory, inquiry</w:t>
      </w:r>
      <w:r w:rsidR="00CC2865" w:rsidRPr="003574B2">
        <w:rPr>
          <w:color w:val="FF0000"/>
        </w:rPr>
        <w:t xml:space="preserve"> </w:t>
      </w:r>
      <w:r w:rsidR="00CC2865" w:rsidRPr="003574B2">
        <w:t xml:space="preserve">which </w:t>
      </w:r>
      <w:r w:rsidR="002E522D">
        <w:rPr>
          <w:i/>
        </w:rPr>
        <w:t>Three Rivers No.6</w:t>
      </w:r>
      <w:r w:rsidR="00CC2865">
        <w:rPr>
          <w:rStyle w:val="FootnoteReference"/>
          <w:i/>
        </w:rPr>
        <w:footnoteReference w:id="18"/>
      </w:r>
      <w:r w:rsidR="00CC2865" w:rsidRPr="0033433F">
        <w:t xml:space="preserve"> </w:t>
      </w:r>
      <w:r w:rsidR="00CC2865" w:rsidRPr="00974D03">
        <w:t xml:space="preserve">concerned).  </w:t>
      </w:r>
      <w:r w:rsidR="00666327">
        <w:t>For example</w:t>
      </w:r>
      <w:r w:rsidR="00CC2865">
        <w:t>, where disclosure of communications with expert witnesses is sought in the context of care proceedings but the communications were made for the purposes of criminal proceedings</w:t>
      </w:r>
      <w:r>
        <w:t>,</w:t>
      </w:r>
      <w:r w:rsidR="00CC2865">
        <w:t xml:space="preserve"> the communications are privileged because they were made for the purposes of adversarial litigation.</w:t>
      </w:r>
      <w:r w:rsidR="00CC2865" w:rsidRPr="003635D0">
        <w:rPr>
          <w:rStyle w:val="FootnoteReference"/>
        </w:rPr>
        <w:footnoteReference w:id="19"/>
      </w:r>
      <w:r w:rsidR="00CC2865">
        <w:t xml:space="preserve">  Moreover, in order for litigation to qualify as adversarial for the purposes of the privilege, it is not necessary for proceedings to possess all of the adversarial features of the traditional 19</w:t>
      </w:r>
      <w:r w:rsidR="00CC2865" w:rsidRPr="00C43F52">
        <w:rPr>
          <w:vertAlign w:val="superscript"/>
        </w:rPr>
        <w:t>th</w:t>
      </w:r>
      <w:r w:rsidR="00CC2865">
        <w:t xml:space="preserve"> Century criminal or civil trial. Rather, as the </w:t>
      </w:r>
      <w:r w:rsidR="00CC2865" w:rsidRPr="00C43F52">
        <w:t xml:space="preserve">Upper </w:t>
      </w:r>
      <w:r w:rsidR="00CC2865" w:rsidRPr="00C43F52">
        <w:lastRenderedPageBreak/>
        <w:t>Tribunal (Administrative Appeals Chamber)</w:t>
      </w:r>
      <w:r w:rsidR="00CC2865">
        <w:t xml:space="preserve"> indicated when deciding that the privilege attached to communications made for the purposes of proceedings before the First-tier Tribunal</w:t>
      </w:r>
      <w:r w:rsidR="00CC2865">
        <w:rPr>
          <w:rStyle w:val="FootnoteReference"/>
        </w:rPr>
        <w:footnoteReference w:id="20"/>
      </w:r>
      <w:r w:rsidR="00CC2865">
        <w:t xml:space="preserve">, </w:t>
      </w:r>
    </w:p>
    <w:p w:rsidR="00CC2865" w:rsidRDefault="00CC2865" w:rsidP="00EC6733">
      <w:pPr>
        <w:pStyle w:val="ListBullet"/>
        <w:numPr>
          <w:ilvl w:val="0"/>
          <w:numId w:val="0"/>
        </w:numPr>
        <w:spacing w:line="288" w:lineRule="auto"/>
        <w:ind w:firstLine="284"/>
      </w:pPr>
    </w:p>
    <w:p w:rsidR="00CC2865" w:rsidRDefault="00CC2865" w:rsidP="00EC6733">
      <w:pPr>
        <w:pStyle w:val="ListBullet"/>
        <w:numPr>
          <w:ilvl w:val="0"/>
          <w:numId w:val="0"/>
        </w:numPr>
        <w:spacing w:line="288" w:lineRule="auto"/>
        <w:ind w:left="284"/>
      </w:pPr>
      <w:r>
        <w:t>[l]</w:t>
      </w:r>
      <w:proofErr w:type="spellStart"/>
      <w:r w:rsidRPr="00C43F52">
        <w:t>itigation</w:t>
      </w:r>
      <w:proofErr w:type="spellEnd"/>
      <w:r w:rsidRPr="00C43F52">
        <w:t xml:space="preserve"> privilege was available for the old prerogative order proceedings and applies to modern judicial review proceedings, although many of the features of a fully contested adversarial contest would be absent in such cases. We see no basis for not regarding proceedings before the First-tier Tribunal as litigation for the purposes of legal professional privilege in both </w:t>
      </w:r>
      <w:r w:rsidR="008C0881">
        <w:t xml:space="preserve">of its aspects </w:t>
      </w:r>
    </w:p>
    <w:p w:rsidR="00CC2865" w:rsidRDefault="00CC2865" w:rsidP="00EC6733">
      <w:pPr>
        <w:pStyle w:val="ListBullet"/>
        <w:numPr>
          <w:ilvl w:val="0"/>
          <w:numId w:val="0"/>
        </w:numPr>
        <w:spacing w:line="288" w:lineRule="auto"/>
      </w:pPr>
    </w:p>
    <w:p w:rsidR="00062100" w:rsidRPr="00062100" w:rsidRDefault="00062100" w:rsidP="00EC6733">
      <w:pPr>
        <w:pStyle w:val="ListBullet"/>
        <w:numPr>
          <w:ilvl w:val="0"/>
          <w:numId w:val="0"/>
        </w:numPr>
        <w:spacing w:line="288" w:lineRule="auto"/>
        <w:rPr>
          <w:b/>
        </w:rPr>
      </w:pPr>
      <w:r w:rsidRPr="00062100">
        <w:rPr>
          <w:b/>
        </w:rPr>
        <w:t>Criminal proceedings, criminal investigations and attempts to settle</w:t>
      </w:r>
    </w:p>
    <w:p w:rsidR="008C0881" w:rsidRDefault="008C0881" w:rsidP="00EC6733">
      <w:pPr>
        <w:pStyle w:val="ListBullet"/>
        <w:numPr>
          <w:ilvl w:val="0"/>
          <w:numId w:val="0"/>
        </w:numPr>
        <w:spacing w:line="288" w:lineRule="auto"/>
      </w:pPr>
    </w:p>
    <w:p w:rsidR="00CC2865" w:rsidRPr="008D3819" w:rsidRDefault="00CC2865" w:rsidP="00EC6733">
      <w:pPr>
        <w:pStyle w:val="ListBullet"/>
        <w:numPr>
          <w:ilvl w:val="0"/>
          <w:numId w:val="0"/>
        </w:numPr>
        <w:spacing w:line="288" w:lineRule="auto"/>
        <w:rPr>
          <w:color w:val="FF0000"/>
        </w:rPr>
      </w:pPr>
      <w:r>
        <w:t>So far as criminal proceedings are concerned, the Criminal Procedure Rules (</w:t>
      </w:r>
      <w:proofErr w:type="spellStart"/>
      <w:r>
        <w:t>CrimPR</w:t>
      </w:r>
      <w:proofErr w:type="spellEnd"/>
      <w:r>
        <w:t xml:space="preserve">) impose a variety of case management duties and confer a variety of case management powers upon the court. </w:t>
      </w:r>
      <w:r w:rsidR="005823E0">
        <w:t>T</w:t>
      </w:r>
      <w:r>
        <w:t xml:space="preserve">he Criminal Procedure and Investigations Act 1996 imposes disclosure obligations upon both the prosecution and, to a lesser but still significant extent, upon the defence. Even so, there is no doubt that the modern English and Welsh criminal trial remains, in essence, an adversarial contest in which the defence is entitled to rely upon the traditional adversarial safeguard of litigation privilege. </w:t>
      </w:r>
      <w:r w:rsidR="001C5096">
        <w:t>I</w:t>
      </w:r>
      <w:r>
        <w:t xml:space="preserve">n his report, which catalysed the creation of the </w:t>
      </w:r>
      <w:proofErr w:type="spellStart"/>
      <w:r>
        <w:t>CrimPR</w:t>
      </w:r>
      <w:proofErr w:type="spellEnd"/>
      <w:r>
        <w:rPr>
          <w:rStyle w:val="FootnoteReference"/>
        </w:rPr>
        <w:footnoteReference w:id="21"/>
      </w:r>
      <w:r w:rsidR="006D5144">
        <w:t>, Auld LJ took ‘</w:t>
      </w:r>
      <w:r>
        <w:t>as given…a continuation of a trial procedure t</w:t>
      </w:r>
      <w:r w:rsidR="006D5144">
        <w:t>hat is in the main adversarial…</w:t>
      </w:r>
      <w:proofErr w:type="gramStart"/>
      <w:r w:rsidR="006D5144">
        <w:t>’</w:t>
      </w:r>
      <w:r>
        <w:t>.</w:t>
      </w:r>
      <w:proofErr w:type="gramEnd"/>
      <w:r>
        <w:t xml:space="preserve"> Specifically, </w:t>
      </w:r>
      <w:r w:rsidRPr="008D3819">
        <w:t xml:space="preserve">when considering whether the defence should be required to disclose unused experts’ reports as a means of combatting “expert shopping”, </w:t>
      </w:r>
      <w:r>
        <w:t xml:space="preserve">he </w:t>
      </w:r>
      <w:r w:rsidRPr="008D3819">
        <w:t xml:space="preserve">opined that, </w:t>
      </w:r>
    </w:p>
    <w:p w:rsidR="00CC2865" w:rsidRDefault="00CC2865" w:rsidP="00EC6733">
      <w:pPr>
        <w:spacing w:line="288" w:lineRule="auto"/>
        <w:ind w:left="720"/>
      </w:pPr>
      <w:r w:rsidRPr="008D3819">
        <w:t>[s]o long as our system remains adversarial, I can see no proper basis upon which the defence should be required to disclose material of this or any sort that is unfavourable to their case. There is undoubtedly a lack of parity between the prosecution and the defence in this respect, but that is a necessary consequence of where the burden of proof lies.</w:t>
      </w:r>
      <w:r>
        <w:rPr>
          <w:rStyle w:val="FootnoteReference"/>
        </w:rPr>
        <w:footnoteReference w:id="22"/>
      </w:r>
    </w:p>
    <w:p w:rsidR="005823E0" w:rsidRDefault="00CC2865" w:rsidP="00EC6733">
      <w:pPr>
        <w:spacing w:after="0" w:line="288" w:lineRule="auto"/>
      </w:pPr>
      <w:r>
        <w:t xml:space="preserve">Having accepted that criminal proceedings themselves continue to qualify as adversarial, this does not mean that either a criminal investigation or an internal investigation so qualify. </w:t>
      </w:r>
      <w:r w:rsidR="00DB7188">
        <w:t>Consequently, in</w:t>
      </w:r>
      <w:r>
        <w:t xml:space="preserve"> </w:t>
      </w:r>
      <w:r w:rsidRPr="002A6958">
        <w:rPr>
          <w:i/>
        </w:rPr>
        <w:t>Eurasian</w:t>
      </w:r>
      <w:r>
        <w:t>, Andrews J</w:t>
      </w:r>
      <w:r w:rsidR="005823E0">
        <w:t xml:space="preserve"> </w:t>
      </w:r>
      <w:r w:rsidR="00DB7188">
        <w:t>declined to</w:t>
      </w:r>
      <w:r w:rsidR="005823E0">
        <w:t xml:space="preserve"> accept that an SFO criminal investigation amounted to adversarial litigation and also refused to equate the avoidance of such an investigation with defending a criminal prosecution.</w:t>
      </w:r>
      <w:r w:rsidR="005823E0">
        <w:rPr>
          <w:rStyle w:val="FootnoteReference"/>
          <w:i/>
        </w:rPr>
        <w:footnoteReference w:id="23"/>
      </w:r>
      <w:r w:rsidR="005823E0">
        <w:t xml:space="preserve">  </w:t>
      </w:r>
      <w:r>
        <w:t xml:space="preserve"> </w:t>
      </w:r>
    </w:p>
    <w:p w:rsidR="005823E0" w:rsidRDefault="005823E0" w:rsidP="00EC6733">
      <w:pPr>
        <w:spacing w:after="0" w:line="288" w:lineRule="auto"/>
      </w:pPr>
    </w:p>
    <w:p w:rsidR="00CC2865" w:rsidRDefault="00CC2865" w:rsidP="00EC6733">
      <w:pPr>
        <w:spacing w:after="0" w:line="288" w:lineRule="auto"/>
      </w:pPr>
      <w:r>
        <w:t>A</w:t>
      </w:r>
      <w:r w:rsidR="00DB7188">
        <w:t xml:space="preserve"> related </w:t>
      </w:r>
      <w:r>
        <w:t xml:space="preserve">issue </w:t>
      </w:r>
      <w:r w:rsidR="00DB7188">
        <w:t xml:space="preserve">not considered in </w:t>
      </w:r>
      <w:r w:rsidR="00DB7188" w:rsidRPr="00DB7188">
        <w:rPr>
          <w:i/>
        </w:rPr>
        <w:t>Eurasian</w:t>
      </w:r>
      <w:r w:rsidR="00DB7188">
        <w:t xml:space="preserve"> </w:t>
      </w:r>
      <w:r>
        <w:t xml:space="preserve">is whether the process of agreeing and approving a Deferred Prosecution Agreement (DPA) amounts to adversarial litigation. </w:t>
      </w:r>
      <w:r w:rsidRPr="00750EB9">
        <w:t xml:space="preserve">In </w:t>
      </w:r>
      <w:r w:rsidRPr="00BB1CD2">
        <w:rPr>
          <w:i/>
        </w:rPr>
        <w:t>Serious Fraud Office v Rolls-Royce PLC</w:t>
      </w:r>
      <w:r w:rsidRPr="00750EB9">
        <w:rPr>
          <w:rStyle w:val="FootnoteReference"/>
          <w:i/>
        </w:rPr>
        <w:footnoteReference w:id="24"/>
      </w:r>
      <w:r w:rsidRPr="00750EB9">
        <w:t xml:space="preserve"> </w:t>
      </w:r>
      <w:proofErr w:type="spellStart"/>
      <w:r w:rsidRPr="00750EB9">
        <w:t>Levison</w:t>
      </w:r>
      <w:proofErr w:type="spellEnd"/>
      <w:r w:rsidRPr="00750EB9">
        <w:t xml:space="preserve"> P, considering an application for approval of a </w:t>
      </w:r>
      <w:r w:rsidR="001C5096">
        <w:t xml:space="preserve">DPA </w:t>
      </w:r>
      <w:r w:rsidRPr="00750EB9">
        <w:t xml:space="preserve">did not appear to </w:t>
      </w:r>
      <w:r w:rsidRPr="00750EB9">
        <w:lastRenderedPageBreak/>
        <w:t>question the view of Rolls-Royce that legal professional privilege could arise in relation to interview transcripts produced during an internal investigation</w:t>
      </w:r>
      <w:r w:rsidR="001C5096">
        <w:t>.</w:t>
      </w:r>
      <w:r w:rsidR="0024252A">
        <w:t xml:space="preserve"> </w:t>
      </w:r>
      <w:r w:rsidR="001C5096">
        <w:t>G</w:t>
      </w:r>
      <w:r w:rsidRPr="00750EB9">
        <w:t>iven that privilege had been waived</w:t>
      </w:r>
      <w:r w:rsidR="001C5096">
        <w:t xml:space="preserve"> by Rolls-Royce,</w:t>
      </w:r>
      <w:r w:rsidRPr="00750EB9">
        <w:t xml:space="preserve"> there was no analysis by </w:t>
      </w:r>
      <w:proofErr w:type="spellStart"/>
      <w:r w:rsidRPr="00750EB9">
        <w:t>Levison</w:t>
      </w:r>
      <w:proofErr w:type="spellEnd"/>
      <w:r w:rsidRPr="00750EB9">
        <w:t xml:space="preserve"> P of the merits of the claim.</w:t>
      </w:r>
      <w:r>
        <w:t xml:space="preserve"> Since the process of obtaining a DPA, under Schedule 17 to the Crime and Courts Act 2013 is, essentially, one of agreement between the prosecutor and the person whose prosecution is under consideration followed by an application to the court by the prosecutor for approval of the DPA, it is submitted that the process via which a DPA is obtained does not amount to adversarial litigation. It is </w:t>
      </w:r>
      <w:r w:rsidR="00284AEB">
        <w:t>suggested</w:t>
      </w:r>
      <w:r>
        <w:t>, however, that communications made for the purpose of considering whether it is desirable to attempt to follow a DPA route rather than defend a prosecution</w:t>
      </w:r>
      <w:r w:rsidR="001C5096">
        <w:t>,</w:t>
      </w:r>
      <w:r>
        <w:t xml:space="preserve"> or for the purpose of avoiding prosecution by enhancing the likelihood that a DPA might be obtained</w:t>
      </w:r>
      <w:r w:rsidR="001C5096">
        <w:t>,</w:t>
      </w:r>
      <w:r>
        <w:t xml:space="preserve"> should properly be classified as falling within the ambit of the privilege. </w:t>
      </w:r>
    </w:p>
    <w:p w:rsidR="00CC2865" w:rsidRDefault="00CC2865" w:rsidP="00EC6733">
      <w:pPr>
        <w:spacing w:after="0" w:line="288" w:lineRule="auto"/>
      </w:pPr>
    </w:p>
    <w:p w:rsidR="00CC2865" w:rsidRDefault="00CC2865" w:rsidP="00EC6733">
      <w:pPr>
        <w:spacing w:after="0" w:line="288" w:lineRule="auto"/>
      </w:pPr>
      <w:r>
        <w:t>In</w:t>
      </w:r>
      <w:r w:rsidRPr="00553840">
        <w:rPr>
          <w:i/>
        </w:rPr>
        <w:t xml:space="preserve"> Eurasian</w:t>
      </w:r>
      <w:r>
        <w:t>, Andrews J</w:t>
      </w:r>
      <w:r w:rsidRPr="00553840">
        <w:rPr>
          <w:rStyle w:val="FootnoteReference"/>
          <w:i/>
        </w:rPr>
        <w:footnoteReference w:id="25"/>
      </w:r>
      <w:r w:rsidRPr="00553840">
        <w:t xml:space="preserve"> </w:t>
      </w:r>
      <w:r>
        <w:t xml:space="preserve">treated the avoidance of adversarial litigation as a purpose that fell outside the ambit of the privilege, though she did accept that </w:t>
      </w:r>
    </w:p>
    <w:p w:rsidR="00CC2865" w:rsidRDefault="00CC2865" w:rsidP="00EC6733">
      <w:pPr>
        <w:spacing w:after="0" w:line="288" w:lineRule="auto"/>
        <w:ind w:left="720"/>
      </w:pPr>
    </w:p>
    <w:p w:rsidR="00CC2865" w:rsidRDefault="00CC2865" w:rsidP="00EC6733">
      <w:pPr>
        <w:spacing w:after="0" w:line="288" w:lineRule="auto"/>
        <w:ind w:left="720"/>
      </w:pPr>
      <w:r>
        <w:t>[</w:t>
      </w:r>
      <w:proofErr w:type="spellStart"/>
      <w:r>
        <w:t>i</w:t>
      </w:r>
      <w:proofErr w:type="spellEnd"/>
      <w:r>
        <w:t>]</w:t>
      </w:r>
      <w:r w:rsidRPr="00CA3260">
        <w:t>n theory, it is conceivable that documents could be generated for the purpose of assisting a company to persuade the SFO not to prosecute but also, if that failed, to help it mount a defence to criminal proceedings; but the evidence in this case does not establish such a dual purpose, let alone that the latter purpose was the dominant one.</w:t>
      </w:r>
      <w:r>
        <w:t xml:space="preserve"> </w:t>
      </w:r>
    </w:p>
    <w:p w:rsidR="00CC2865" w:rsidRDefault="00CC2865" w:rsidP="00EC6733">
      <w:pPr>
        <w:spacing w:after="0" w:line="288" w:lineRule="auto"/>
      </w:pPr>
    </w:p>
    <w:p w:rsidR="00CC2865" w:rsidRDefault="00CC2865" w:rsidP="00EC6733">
      <w:pPr>
        <w:spacing w:after="0" w:line="288" w:lineRule="auto"/>
      </w:pPr>
      <w:r>
        <w:t xml:space="preserve">Whilst it is accepted that communications made for the purpose of avoiding a criminal investigation are not made for the purposes of adversarial litigation, Andrews J’s treatment of communications made for the purpose of avoiding adversarial litigation </w:t>
      </w:r>
      <w:r w:rsidR="00DB7188">
        <w:t xml:space="preserve">(as opposed to </w:t>
      </w:r>
      <w:r w:rsidR="00284AEB">
        <w:t xml:space="preserve">avoiding </w:t>
      </w:r>
      <w:r w:rsidR="00DB7188">
        <w:t xml:space="preserve">criminal investigation) </w:t>
      </w:r>
      <w:r>
        <w:t xml:space="preserve">is more difficult to justify. </w:t>
      </w:r>
      <w:r w:rsidR="00A24DE2">
        <w:t xml:space="preserve">Baer recently suggested that the approach from </w:t>
      </w:r>
      <w:r w:rsidR="00A24DE2" w:rsidRPr="009C468D">
        <w:rPr>
          <w:i/>
        </w:rPr>
        <w:t>Eurasian</w:t>
      </w:r>
      <w:r w:rsidR="00A24DE2">
        <w:t xml:space="preserve"> that documents created to avoid litigation are not privileged would surprise experienced litigators.</w:t>
      </w:r>
      <w:r w:rsidR="00A24DE2" w:rsidRPr="009C468D">
        <w:rPr>
          <w:rStyle w:val="FootnoteReference"/>
        </w:rPr>
        <w:t xml:space="preserve"> </w:t>
      </w:r>
      <w:r w:rsidR="00A24DE2" w:rsidRPr="00A56D67">
        <w:rPr>
          <w:rStyle w:val="FootnoteReference"/>
        </w:rPr>
        <w:footnoteReference w:id="26"/>
      </w:r>
      <w:r w:rsidR="00A24DE2">
        <w:t xml:space="preserve"> </w:t>
      </w:r>
      <w:r>
        <w:t xml:space="preserve">In </w:t>
      </w:r>
      <w:r w:rsidRPr="006F740E">
        <w:rPr>
          <w:i/>
        </w:rPr>
        <w:t xml:space="preserve">Re </w:t>
      </w:r>
      <w:proofErr w:type="spellStart"/>
      <w:r w:rsidRPr="006F740E">
        <w:rPr>
          <w:i/>
        </w:rPr>
        <w:t>Highgrade</w:t>
      </w:r>
      <w:proofErr w:type="spellEnd"/>
      <w:r w:rsidRPr="006F740E">
        <w:rPr>
          <w:i/>
        </w:rPr>
        <w:t xml:space="preserve"> Traders</w:t>
      </w:r>
      <w:r>
        <w:rPr>
          <w:rStyle w:val="FootnoteReference"/>
          <w:rFonts w:ascii="News Gothic MT" w:hAnsi="News Gothic MT" w:cs="Arial"/>
          <w:sz w:val="18"/>
        </w:rPr>
        <w:footnoteReference w:id="27"/>
      </w:r>
      <w:r>
        <w:rPr>
          <w:i/>
        </w:rPr>
        <w:t xml:space="preserve"> </w:t>
      </w:r>
      <w:r w:rsidRPr="004E3D5B">
        <w:t xml:space="preserve">the </w:t>
      </w:r>
      <w:r>
        <w:t>Court of Appeal held that, ‘</w:t>
      </w:r>
      <w:r w:rsidRPr="00DA6D26">
        <w:t>if litigation is reasonably in prospect, documents brought into being for the purpose of enabling the solicitors to advise whether a claim shall be made or resisted are protected by privilege, subject only to the caveat that that is the dominant purpose for their having been brought into being</w:t>
      </w:r>
      <w:r>
        <w:t xml:space="preserve">’. </w:t>
      </w:r>
      <w:r w:rsidR="00A24DE2">
        <w:t xml:space="preserve">Thus, their Lordships believed that </w:t>
      </w:r>
      <w:r w:rsidR="00A43583">
        <w:t>the approach that ‘</w:t>
      </w:r>
      <w:r w:rsidR="00A43583" w:rsidRPr="007B4054">
        <w:t>it was only if the documents were brought into existence for the dominant purpose of actually being used as evidence in the anticipated proceedings</w:t>
      </w:r>
      <w:r w:rsidR="00A43583">
        <w:t xml:space="preserve"> </w:t>
      </w:r>
      <w:r w:rsidR="00A43583" w:rsidRPr="003A4E77">
        <w:t xml:space="preserve">that privilege could attach’ </w:t>
      </w:r>
      <w:r w:rsidR="00A43583">
        <w:t>w</w:t>
      </w:r>
      <w:r w:rsidR="00A43583" w:rsidRPr="003A4E77">
        <w:t>a</w:t>
      </w:r>
      <w:r w:rsidR="00A43583">
        <w:t>s one which would ‘</w:t>
      </w:r>
      <w:r w:rsidR="00A43583" w:rsidRPr="003A4E77">
        <w:t>confin</w:t>
      </w:r>
      <w:r w:rsidR="00A43583">
        <w:t>e</w:t>
      </w:r>
      <w:r w:rsidR="00A43583" w:rsidRPr="003A4E77">
        <w:t xml:space="preserve"> </w:t>
      </w:r>
      <w:r w:rsidR="00A43583">
        <w:t xml:space="preserve">litigation privilege </w:t>
      </w:r>
      <w:r w:rsidR="00A43583" w:rsidRPr="003A4E77">
        <w:t>within too narrow bounds’.</w:t>
      </w:r>
      <w:r w:rsidR="00A24DE2" w:rsidRPr="003A4E77">
        <w:rPr>
          <w:rStyle w:val="FootnoteReference"/>
          <w:rFonts w:ascii="News Gothic MT" w:hAnsi="News Gothic MT" w:cs="Arial"/>
          <w:sz w:val="18"/>
        </w:rPr>
        <w:footnoteReference w:id="28"/>
      </w:r>
      <w:r w:rsidR="00A24DE2">
        <w:t xml:space="preserve"> Subsequently, i</w:t>
      </w:r>
      <w:r>
        <w:t xml:space="preserve">n </w:t>
      </w:r>
      <w:r w:rsidRPr="00B91EC9">
        <w:rPr>
          <w:i/>
        </w:rPr>
        <w:t xml:space="preserve">The </w:t>
      </w:r>
      <w:proofErr w:type="spellStart"/>
      <w:proofErr w:type="gramStart"/>
      <w:r w:rsidRPr="00B91EC9">
        <w:rPr>
          <w:i/>
        </w:rPr>
        <w:t>Sagheera</w:t>
      </w:r>
      <w:proofErr w:type="spellEnd"/>
      <w:r>
        <w:t xml:space="preserve"> ,</w:t>
      </w:r>
      <w:proofErr w:type="gramEnd"/>
      <w:r>
        <w:t xml:space="preserve"> in which </w:t>
      </w:r>
      <w:proofErr w:type="spellStart"/>
      <w:r w:rsidRPr="005A330E">
        <w:rPr>
          <w:i/>
        </w:rPr>
        <w:t>Highgrade</w:t>
      </w:r>
      <w:proofErr w:type="spellEnd"/>
      <w:r>
        <w:t xml:space="preserve"> was relied upon, Rix J held that that whilst </w:t>
      </w:r>
    </w:p>
    <w:p w:rsidR="00CC2865" w:rsidRDefault="00CC2865" w:rsidP="00EC6733">
      <w:pPr>
        <w:spacing w:after="0" w:line="288" w:lineRule="auto"/>
      </w:pPr>
    </w:p>
    <w:p w:rsidR="00CC2865" w:rsidRDefault="00CC2865" w:rsidP="00EC6733">
      <w:pPr>
        <w:spacing w:after="0" w:line="288" w:lineRule="auto"/>
        <w:ind w:left="720"/>
      </w:pPr>
      <w:r>
        <w:t xml:space="preserve">‘in the first instance the hope [may well have been] that litigation would be unnecessary [it was not] possible to distinguish between the purpose of taking legal advice concerning one’s rights or obligations, where that necessitates acquiring information from third parties, and the additional purpose of using that information in aid of litigation, should litigation be necessary, as long as litigation is reasonably in prospect. That is not…an example of a dual </w:t>
      </w:r>
      <w:r>
        <w:lastRenderedPageBreak/>
        <w:t>purpose which prevents the purpose of using information in aid of litigation from being dominant’.</w:t>
      </w:r>
      <w:r w:rsidR="002709F4">
        <w:rPr>
          <w:rStyle w:val="FootnoteReference"/>
        </w:rPr>
        <w:footnoteReference w:id="29"/>
      </w:r>
    </w:p>
    <w:p w:rsidR="00CC2865" w:rsidRDefault="00CC2865" w:rsidP="00EC6733">
      <w:pPr>
        <w:spacing w:after="0" w:line="288" w:lineRule="auto"/>
      </w:pPr>
    </w:p>
    <w:p w:rsidR="009C468D" w:rsidRDefault="009C468D" w:rsidP="00EC6733">
      <w:pPr>
        <w:autoSpaceDE w:val="0"/>
        <w:autoSpaceDN w:val="0"/>
        <w:adjustRightInd w:val="0"/>
        <w:spacing w:after="0" w:line="288" w:lineRule="auto"/>
      </w:pPr>
      <w:r>
        <w:t>B</w:t>
      </w:r>
      <w:r w:rsidR="00CC2865">
        <w:t xml:space="preserve">ased on </w:t>
      </w:r>
      <w:proofErr w:type="spellStart"/>
      <w:r w:rsidR="00CC2865" w:rsidRPr="00622236">
        <w:rPr>
          <w:i/>
        </w:rPr>
        <w:t>Highgrade</w:t>
      </w:r>
      <w:proofErr w:type="spellEnd"/>
      <w:r w:rsidR="00CC2865" w:rsidRPr="00ED13E4">
        <w:t xml:space="preserve"> and in line with the approach adopted by Rix J in</w:t>
      </w:r>
      <w:r w:rsidR="00CC2865">
        <w:rPr>
          <w:i/>
        </w:rPr>
        <w:t xml:space="preserve"> The </w:t>
      </w:r>
      <w:proofErr w:type="spellStart"/>
      <w:r w:rsidR="00CC2865">
        <w:rPr>
          <w:i/>
        </w:rPr>
        <w:t>Sagheera</w:t>
      </w:r>
      <w:proofErr w:type="spellEnd"/>
      <w:r w:rsidR="00CC2865">
        <w:t xml:space="preserve">, </w:t>
      </w:r>
      <w:r>
        <w:t xml:space="preserve">it is suggested </w:t>
      </w:r>
      <w:r w:rsidR="00CC2865">
        <w:t xml:space="preserve">that communications made for the dominant purpose of enabling a company’s legal advisers to advise whether the best course of action was </w:t>
      </w:r>
      <w:r w:rsidR="00A24DE2">
        <w:t xml:space="preserve">either </w:t>
      </w:r>
      <w:r w:rsidR="00CC2865">
        <w:t xml:space="preserve">to try to persuade the SFO not to prosecute </w:t>
      </w:r>
      <w:r w:rsidR="00A24DE2">
        <w:t>and agree a civil settlement/</w:t>
      </w:r>
      <w:r w:rsidR="00CC2865">
        <w:t>enter into a DPA</w:t>
      </w:r>
      <w:r w:rsidR="001C5096">
        <w:t>,</w:t>
      </w:r>
      <w:r w:rsidR="00CC2865">
        <w:t xml:space="preserve"> or to defend a criminal prosecution which was reasonably in contemplation</w:t>
      </w:r>
      <w:r w:rsidR="001C5096">
        <w:t>,</w:t>
      </w:r>
      <w:r w:rsidR="00CC2865">
        <w:t xml:space="preserve"> would fall within the ambit of litigation privilege. </w:t>
      </w:r>
      <w:r w:rsidR="00106E5C">
        <w:t xml:space="preserve">To the extent that this approach appears to be in conflict with that of Andrews J in </w:t>
      </w:r>
      <w:r w:rsidR="00106E5C" w:rsidRPr="0024252A">
        <w:rPr>
          <w:i/>
        </w:rPr>
        <w:t>Eurasian</w:t>
      </w:r>
      <w:r w:rsidR="00106E5C">
        <w:t xml:space="preserve"> it is worth noting that the Chancellor of the High Court</w:t>
      </w:r>
      <w:r w:rsidR="00A87EAB">
        <w:t xml:space="preserve">, in reaching a decision in which he relied upon </w:t>
      </w:r>
      <w:proofErr w:type="spellStart"/>
      <w:r w:rsidR="00A87EAB" w:rsidRPr="0024252A">
        <w:rPr>
          <w:i/>
        </w:rPr>
        <w:t>Highgrade</w:t>
      </w:r>
      <w:proofErr w:type="spellEnd"/>
      <w:r w:rsidR="00A87EAB">
        <w:t>, recognised</w:t>
      </w:r>
      <w:r w:rsidR="00106E5C">
        <w:t xml:space="preserve"> that</w:t>
      </w:r>
      <w:r w:rsidR="00701F9A">
        <w:t xml:space="preserve"> there is</w:t>
      </w:r>
      <w:r w:rsidR="00A87EAB">
        <w:t xml:space="preserve"> “something of a tension” between </w:t>
      </w:r>
      <w:r w:rsidR="00A87EAB" w:rsidRPr="0024252A">
        <w:rPr>
          <w:i/>
        </w:rPr>
        <w:t>Eurasian</w:t>
      </w:r>
      <w:r w:rsidR="00A87EAB">
        <w:t xml:space="preserve"> (a first instance decision) and </w:t>
      </w:r>
      <w:proofErr w:type="spellStart"/>
      <w:r w:rsidR="00A87EAB" w:rsidRPr="0024252A">
        <w:rPr>
          <w:i/>
        </w:rPr>
        <w:t>Highgrade</w:t>
      </w:r>
      <w:proofErr w:type="spellEnd"/>
      <w:r w:rsidR="00A87EAB">
        <w:t xml:space="preserve"> (a decision of the Court of Appeal, which was not cited in </w:t>
      </w:r>
      <w:r w:rsidR="00A87EAB" w:rsidRPr="0024252A">
        <w:rPr>
          <w:i/>
        </w:rPr>
        <w:t>Eurasian</w:t>
      </w:r>
      <w:r w:rsidR="00A87EAB">
        <w:t>).</w:t>
      </w:r>
      <w:r w:rsidR="009647A4">
        <w:rPr>
          <w:rStyle w:val="FootnoteReference"/>
        </w:rPr>
        <w:footnoteReference w:id="30"/>
      </w:r>
      <w:r w:rsidR="00A87EAB">
        <w:t xml:space="preserve"> </w:t>
      </w:r>
      <w:r w:rsidR="005A6A74">
        <w:t>He indicated that it is necessary “</w:t>
      </w:r>
      <w:r w:rsidR="005A6A74" w:rsidRPr="006F740E">
        <w:t xml:space="preserve">to take a realistic, indeed commercial, view of the facts” and did not believe it proper to “draw a general legal principle” from Andrews J’s </w:t>
      </w:r>
      <w:r w:rsidR="00796D79" w:rsidRPr="006F740E">
        <w:t>decision on the facts of the case before her that attempts to settle had prevented litigation from being the dominant purpose of the communications with which she was concerned</w:t>
      </w:r>
      <w:r w:rsidR="005A6A74" w:rsidRPr="006F740E">
        <w:t xml:space="preserve">. </w:t>
      </w:r>
      <w:r w:rsidR="005A6A74" w:rsidRPr="001528E5">
        <w:rPr>
          <w:rStyle w:val="FootnoteReference"/>
        </w:rPr>
        <w:footnoteReference w:id="31"/>
      </w:r>
    </w:p>
    <w:p w:rsidR="00106E5C" w:rsidRDefault="00106E5C" w:rsidP="00EC6733">
      <w:pPr>
        <w:spacing w:after="0" w:line="288" w:lineRule="auto"/>
      </w:pPr>
    </w:p>
    <w:p w:rsidR="00647EE2" w:rsidRDefault="00EF6A90" w:rsidP="00EC6733">
      <w:pPr>
        <w:spacing w:after="0" w:line="288" w:lineRule="auto"/>
      </w:pPr>
      <w:r>
        <w:t xml:space="preserve">Andrews J in </w:t>
      </w:r>
      <w:r w:rsidRPr="006E5BC8">
        <w:rPr>
          <w:i/>
        </w:rPr>
        <w:t xml:space="preserve">Eurasian </w:t>
      </w:r>
      <w:r>
        <w:t>held</w:t>
      </w:r>
      <w:r>
        <w:rPr>
          <w:rStyle w:val="FootnoteReference"/>
          <w:i/>
        </w:rPr>
        <w:footnoteReference w:id="32"/>
      </w:r>
      <w:r>
        <w:t xml:space="preserve"> that documents created for the purpose of showing them to the other party are not privileged, and that this is so whether they are created to persuade the other party to settle or to persuade the other party not to commence proceedings. Based upon the arguments immediately above, it is suggested that litigation privilege would attach to documents created for the dominant purpose of enabling the legal advisers to advise whether to try to persuade the SFO to follow a civil settlement route (or enter into a DPA) even though it was also intended that</w:t>
      </w:r>
      <w:r w:rsidRPr="00664070">
        <w:t xml:space="preserve"> </w:t>
      </w:r>
      <w:r>
        <w:t>if this route were followed privilege would be waived and they would be disclosed to the SFO. Indeed, Hanna suggests that where documents are created for the purpose of showing them to the other party they may still be created for the purposes of litigation and thus litigation privilege may still attach to them, with privilege being waived if and when they are disclosed to the other party.</w:t>
      </w:r>
      <w:r w:rsidRPr="005A6744">
        <w:rPr>
          <w:rStyle w:val="FootnoteReference"/>
        </w:rPr>
        <w:t xml:space="preserve"> </w:t>
      </w:r>
      <w:r>
        <w:rPr>
          <w:rStyle w:val="FootnoteReference"/>
        </w:rPr>
        <w:footnoteReference w:id="33"/>
      </w:r>
      <w:r>
        <w:t xml:space="preserve"> </w:t>
      </w:r>
      <w:r w:rsidR="00647EE2">
        <w:t>It is certainly arguable that such documents should be regarded as privileged if they were created at a stage when the legal advisers and client were still deciding whether to go down a civil settlement o</w:t>
      </w:r>
      <w:r w:rsidR="00685465">
        <w:t>r</w:t>
      </w:r>
      <w:r w:rsidR="00031F90">
        <w:t xml:space="preserve"> </w:t>
      </w:r>
      <w:r w:rsidR="00647EE2">
        <w:t>DPA route with the intention that they would be taken into consideration when making that decision and only disclosed (with consequent waiver of privilege) if the ultimate decision was to follow a civil settlement or DPA route.</w:t>
      </w:r>
    </w:p>
    <w:p w:rsidR="00701F9A" w:rsidRDefault="00701F9A" w:rsidP="00EC6733">
      <w:pPr>
        <w:spacing w:after="0" w:line="288" w:lineRule="auto"/>
      </w:pPr>
    </w:p>
    <w:p w:rsidR="00CC2865" w:rsidRDefault="002709F4" w:rsidP="00EC6733">
      <w:pPr>
        <w:spacing w:after="0" w:line="288" w:lineRule="auto"/>
      </w:pPr>
      <w:r>
        <w:t>A</w:t>
      </w:r>
      <w:r w:rsidR="00CC2865">
        <w:t xml:space="preserve">n issue that </w:t>
      </w:r>
      <w:r>
        <w:t xml:space="preserve">has the potential to </w:t>
      </w:r>
      <w:r w:rsidR="00CC2865">
        <w:t xml:space="preserve">give rise to </w:t>
      </w:r>
      <w:r>
        <w:t xml:space="preserve">significant practical </w:t>
      </w:r>
      <w:r w:rsidR="00CC2865">
        <w:t xml:space="preserve">problems </w:t>
      </w:r>
      <w:r>
        <w:t xml:space="preserve">when determining whether litigation privilege attaches to communications made prior to the commencement of criminal litigation is </w:t>
      </w:r>
      <w:r w:rsidR="00CC2865">
        <w:t xml:space="preserve">at what stage prior to </w:t>
      </w:r>
      <w:r>
        <w:t xml:space="preserve">such </w:t>
      </w:r>
      <w:r w:rsidR="00CC2865">
        <w:t xml:space="preserve">commencement criminal litigation may </w:t>
      </w:r>
      <w:r w:rsidR="00F76109">
        <w:t>p</w:t>
      </w:r>
      <w:r w:rsidR="00CC2865">
        <w:t xml:space="preserve">roperly be </w:t>
      </w:r>
      <w:r w:rsidR="00CC2865">
        <w:lastRenderedPageBreak/>
        <w:t>said to be in contemplation</w:t>
      </w:r>
      <w:r>
        <w:t>. T</w:t>
      </w:r>
      <w:r w:rsidR="00CC2865">
        <w:t>o adopt a commonly applied</w:t>
      </w:r>
      <w:r w:rsidR="0024252A">
        <w:t xml:space="preserve"> </w:t>
      </w:r>
      <w:r w:rsidR="00CC2865">
        <w:t xml:space="preserve">formulation of this test, </w:t>
      </w:r>
      <w:r>
        <w:t xml:space="preserve">the question is </w:t>
      </w:r>
      <w:r w:rsidR="00CC2865">
        <w:t xml:space="preserve">when is </w:t>
      </w:r>
      <w:r>
        <w:t xml:space="preserve">criminal </w:t>
      </w:r>
      <w:r w:rsidR="00CC2865">
        <w:t>litigation ‘reasonably in prospect’?</w:t>
      </w:r>
      <w:r w:rsidR="00CC2865">
        <w:rPr>
          <w:rStyle w:val="FootnoteReference"/>
        </w:rPr>
        <w:footnoteReference w:id="34"/>
      </w:r>
      <w:r w:rsidR="00CC2865">
        <w:t xml:space="preserve"> </w:t>
      </w:r>
      <w:r>
        <w:t>T</w:t>
      </w:r>
      <w:r w:rsidR="00CC2865">
        <w:t xml:space="preserve">he Court of Appeal in </w:t>
      </w:r>
      <w:r w:rsidR="00CC2865" w:rsidRPr="007A2BAD">
        <w:rPr>
          <w:i/>
        </w:rPr>
        <w:t>United States of America v Philip Morris Inc and others</w:t>
      </w:r>
      <w:r w:rsidR="00CC2865" w:rsidRPr="008724C0">
        <w:t xml:space="preserve"> recognis</w:t>
      </w:r>
      <w:r>
        <w:t>ing</w:t>
      </w:r>
      <w:r w:rsidR="00CC2865" w:rsidRPr="008724C0">
        <w:t xml:space="preserve"> that </w:t>
      </w:r>
      <w:r w:rsidR="00CC2865">
        <w:t>‘[s]</w:t>
      </w:r>
      <w:proofErr w:type="spellStart"/>
      <w:r w:rsidR="00CC2865" w:rsidRPr="008724C0">
        <w:t>ome</w:t>
      </w:r>
      <w:proofErr w:type="spellEnd"/>
      <w:r w:rsidR="00CC2865" w:rsidRPr="008724C0">
        <w:t xml:space="preserve"> concepts are difficult to express in words</w:t>
      </w:r>
      <w:r w:rsidR="00CC2865">
        <w:t>’, considered that the judge</w:t>
      </w:r>
      <w:r>
        <w:t xml:space="preserve"> in the instant case </w:t>
      </w:r>
      <w:r w:rsidR="00CC2865">
        <w:t>had correctly concluded that litigation privilege does not attach where there is a ‘“mere possibility” of litigation’, ‘“a distinct possibility that sooner or later someone might make a claim”’ or ‘“a general apprehension of future litigation”’ but also accepted that the judge had not suggested that in order for litigation to be reasonably in prospect ‘</w:t>
      </w:r>
      <w:r w:rsidR="00CC2865" w:rsidRPr="00E65D91">
        <w:t xml:space="preserve">there must </w:t>
      </w:r>
      <w:r w:rsidR="00CC2865">
        <w:t>[be]</w:t>
      </w:r>
      <w:r w:rsidR="00CC2865" w:rsidRPr="00E65D91">
        <w:t xml:space="preserve"> a greater than 50% chance of litigation</w:t>
      </w:r>
      <w:r w:rsidR="00CC2865">
        <w:t>’.</w:t>
      </w:r>
      <w:r w:rsidR="00CC2865">
        <w:rPr>
          <w:rStyle w:val="FootnoteReference"/>
          <w:i/>
        </w:rPr>
        <w:footnoteReference w:id="35"/>
      </w:r>
      <w:r w:rsidR="00CC2865">
        <w:t xml:space="preserve"> In confirming its view that litigation had not been reasonably in prospect at the relevant time,</w:t>
      </w:r>
      <w:r w:rsidR="00CC2865">
        <w:rPr>
          <w:i/>
        </w:rPr>
        <w:t xml:space="preserve"> </w:t>
      </w:r>
      <w:r w:rsidR="00CC2865" w:rsidRPr="006D7B59">
        <w:t>the Court of Appeal</w:t>
      </w:r>
      <w:r w:rsidR="00CC2865">
        <w:rPr>
          <w:i/>
        </w:rPr>
        <w:t xml:space="preserve"> </w:t>
      </w:r>
      <w:r w:rsidR="00CC2865" w:rsidRPr="00147737">
        <w:t xml:space="preserve">had recourse to </w:t>
      </w:r>
      <w:r w:rsidR="00CC2865">
        <w:t xml:space="preserve">‘the traditional justification for litigation privilege’, concluding that </w:t>
      </w:r>
      <w:r w:rsidR="00CC2865" w:rsidRPr="00E83339">
        <w:t xml:space="preserve"> the retainer that the case concerned ‘had nothing to do with the preparation of the brief for a trial’.</w:t>
      </w:r>
      <w:r w:rsidR="00CC2865">
        <w:rPr>
          <w:rStyle w:val="FootnoteReference"/>
          <w:i/>
        </w:rPr>
        <w:footnoteReference w:id="36"/>
      </w:r>
      <w:r w:rsidR="00CC2865">
        <w:t xml:space="preserve"> </w:t>
      </w:r>
    </w:p>
    <w:p w:rsidR="00CC2865" w:rsidRDefault="00CC2865" w:rsidP="00EC6733">
      <w:pPr>
        <w:spacing w:after="0" w:line="288" w:lineRule="auto"/>
      </w:pPr>
    </w:p>
    <w:p w:rsidR="005D4EF6" w:rsidRDefault="00CC2865" w:rsidP="00EC6733">
      <w:pPr>
        <w:spacing w:after="0" w:line="288" w:lineRule="auto"/>
      </w:pPr>
      <w:r>
        <w:t xml:space="preserve">In </w:t>
      </w:r>
      <w:r w:rsidRPr="00582493">
        <w:rPr>
          <w:i/>
        </w:rPr>
        <w:t>Eurasian</w:t>
      </w:r>
      <w:r>
        <w:t>, Andrews J rejected the submission that once a</w:t>
      </w:r>
      <w:r w:rsidR="002709F4">
        <w:t>n SFO</w:t>
      </w:r>
      <w:r>
        <w:t xml:space="preserve"> criminal investigation is in reasonable contemplation then a criminal prosecution will also be in reasonable contemplation on the basis that the two do not necessarily equate.</w:t>
      </w:r>
      <w:r w:rsidR="002709F4">
        <w:rPr>
          <w:rStyle w:val="FootnoteReference"/>
          <w:i/>
        </w:rPr>
        <w:footnoteReference w:id="37"/>
      </w:r>
      <w:r>
        <w:t xml:space="preserve"> She accepted that there may be circumstances in which the two do equate (where there is an awareness of circumstances that will make a prosecution likely once they are discovered) but treated the question as one which is fact specific and which must be considered </w:t>
      </w:r>
      <w:r w:rsidRPr="00582493">
        <w:t>‘on a case by case basis’.</w:t>
      </w:r>
      <w:r>
        <w:t xml:space="preserve"> She suggested</w:t>
      </w:r>
      <w:r w:rsidRPr="00E85D3E">
        <w:rPr>
          <w:color w:val="FF0000"/>
        </w:rPr>
        <w:t xml:space="preserve"> </w:t>
      </w:r>
      <w:r>
        <w:t xml:space="preserve">that knowledge of accusations only raises a real prospect of prosecution </w:t>
      </w:r>
      <w:r w:rsidRPr="00582493">
        <w:t>once it is discovered that there is some truth in the accusations, or at the very least that there is some material to support the allegations of corrupt</w:t>
      </w:r>
      <w:r>
        <w:t xml:space="preserve"> </w:t>
      </w:r>
      <w:r w:rsidRPr="00582493">
        <w:t>practices.</w:t>
      </w:r>
      <w:r w:rsidR="002709F4">
        <w:rPr>
          <w:rStyle w:val="FootnoteReference"/>
          <w:i/>
        </w:rPr>
        <w:footnoteReference w:id="38"/>
      </w:r>
      <w:r>
        <w:t xml:space="preserve"> </w:t>
      </w:r>
      <w:r w:rsidR="007F3561">
        <w:t>She distinguished criminal from civil proceedings on the basis that the only inhibition on the commencement of civil proceedings which lack a foundation is the imposition of a retrospective sanction</w:t>
      </w:r>
      <w:r w:rsidR="00EE6A14">
        <w:rPr>
          <w:rStyle w:val="FootnoteReference"/>
        </w:rPr>
        <w:footnoteReference w:id="39"/>
      </w:r>
      <w:r w:rsidR="007F3561">
        <w:t xml:space="preserve">  whereas the commencement of criminal proceedings is subject to the satisfaction of a</w:t>
      </w:r>
      <w:r w:rsidR="00EE6A14">
        <w:t xml:space="preserve"> test which has an</w:t>
      </w:r>
      <w:r w:rsidR="007F3561">
        <w:t xml:space="preserve"> evidential </w:t>
      </w:r>
      <w:r w:rsidR="00EE6A14">
        <w:t>limb</w:t>
      </w:r>
      <w:r w:rsidR="007F3561">
        <w:t xml:space="preserve"> and a public interest </w:t>
      </w:r>
      <w:r w:rsidR="00EE6A14">
        <w:t>limb</w:t>
      </w:r>
      <w:r w:rsidR="00EE6A14">
        <w:rPr>
          <w:rStyle w:val="FootnoteReference"/>
        </w:rPr>
        <w:footnoteReference w:id="40"/>
      </w:r>
      <w:r w:rsidR="007F3561">
        <w:t xml:space="preserve">. </w:t>
      </w:r>
      <w:r w:rsidR="00D14EE1">
        <w:t xml:space="preserve"> </w:t>
      </w:r>
    </w:p>
    <w:p w:rsidR="00701F9A" w:rsidRDefault="00701F9A" w:rsidP="00EC6733">
      <w:pPr>
        <w:spacing w:after="0" w:line="288" w:lineRule="auto"/>
        <w:rPr>
          <w:b/>
        </w:rPr>
      </w:pPr>
    </w:p>
    <w:p w:rsidR="00701F9A" w:rsidRDefault="00701F9A" w:rsidP="00EC6733">
      <w:pPr>
        <w:spacing w:after="0" w:line="288" w:lineRule="auto"/>
        <w:rPr>
          <w:b/>
        </w:rPr>
      </w:pPr>
      <w:r w:rsidRPr="00701F9A">
        <w:rPr>
          <w:b/>
        </w:rPr>
        <w:t xml:space="preserve">The significance of </w:t>
      </w:r>
      <w:r w:rsidRPr="00701F9A">
        <w:rPr>
          <w:b/>
          <w:i/>
        </w:rPr>
        <w:t>Eurasian</w:t>
      </w:r>
    </w:p>
    <w:p w:rsidR="00701F9A" w:rsidRPr="00701F9A" w:rsidRDefault="00701F9A" w:rsidP="00EC6733">
      <w:pPr>
        <w:spacing w:after="0" w:line="288" w:lineRule="auto"/>
        <w:rPr>
          <w:b/>
        </w:rPr>
      </w:pPr>
    </w:p>
    <w:p w:rsidR="00EC6733" w:rsidRDefault="00CC2865" w:rsidP="00EC6733">
      <w:pPr>
        <w:spacing w:after="0" w:line="288" w:lineRule="auto"/>
      </w:pPr>
      <w:r>
        <w:t>Carter</w:t>
      </w:r>
      <w:r w:rsidRPr="00797BF1">
        <w:rPr>
          <w:color w:val="FF0000"/>
        </w:rPr>
        <w:t xml:space="preserve"> </w:t>
      </w:r>
      <w:r>
        <w:t xml:space="preserve">regards the “alarm” caused by Andrews J’s decision in </w:t>
      </w:r>
      <w:r w:rsidRPr="00797BF1">
        <w:rPr>
          <w:i/>
        </w:rPr>
        <w:t>Eurasian</w:t>
      </w:r>
      <w:r>
        <w:t xml:space="preserve"> as “substantially overstated” and its encroachment upon the protection provided by the privilege as not serious</w:t>
      </w:r>
      <w:r w:rsidR="001C5096">
        <w:t>,</w:t>
      </w:r>
      <w:r>
        <w:t xml:space="preserve"> because </w:t>
      </w:r>
      <w:r w:rsidR="002709F4">
        <w:t xml:space="preserve">her decision was </w:t>
      </w:r>
      <w:r w:rsidR="00D65029">
        <w:t xml:space="preserve">one that was dependent upon the </w:t>
      </w:r>
      <w:r w:rsidR="002709F4">
        <w:t>specific</w:t>
      </w:r>
      <w:r w:rsidR="00D65029">
        <w:t xml:space="preserve"> facts of the case before her</w:t>
      </w:r>
      <w:r>
        <w:t>.</w:t>
      </w:r>
      <w:r>
        <w:rPr>
          <w:rStyle w:val="FootnoteReference"/>
        </w:rPr>
        <w:footnoteReference w:id="41"/>
      </w:r>
      <w:r>
        <w:t xml:space="preserve"> He suggests that this </w:t>
      </w:r>
      <w:r w:rsidR="00D65029">
        <w:t>fact specific treatment</w:t>
      </w:r>
      <w:r>
        <w:t xml:space="preserve"> of </w:t>
      </w:r>
      <w:r w:rsidRPr="00AC1194">
        <w:rPr>
          <w:i/>
        </w:rPr>
        <w:t>Eurasian</w:t>
      </w:r>
      <w:r w:rsidR="00D65029">
        <w:rPr>
          <w:i/>
        </w:rPr>
        <w:t xml:space="preserve"> </w:t>
      </w:r>
      <w:r>
        <w:t>is one that might</w:t>
      </w:r>
      <w:r w:rsidR="002709F4">
        <w:t xml:space="preserve"> commend itself to </w:t>
      </w:r>
      <w:r>
        <w:t xml:space="preserve">the Court of Appeal. </w:t>
      </w:r>
      <w:r w:rsidR="0065651A">
        <w:t xml:space="preserve">That </w:t>
      </w:r>
      <w:r w:rsidR="00596670" w:rsidRPr="0024252A">
        <w:rPr>
          <w:i/>
        </w:rPr>
        <w:t>Eurasian</w:t>
      </w:r>
      <w:r w:rsidR="00596670">
        <w:t xml:space="preserve"> is a case that can readily be distinguished on its facts </w:t>
      </w:r>
      <w:r w:rsidR="000C5091">
        <w:t>was</w:t>
      </w:r>
      <w:r w:rsidR="0065651A">
        <w:t xml:space="preserve"> effectively confirmed by the </w:t>
      </w:r>
      <w:r w:rsidR="0065651A">
        <w:lastRenderedPageBreak/>
        <w:t xml:space="preserve">Chancellor of the High Court, in a case in </w:t>
      </w:r>
      <w:r w:rsidR="004805AF">
        <w:t>which litigation privilege was claimed and</w:t>
      </w:r>
      <w:r w:rsidR="0065651A">
        <w:t xml:space="preserve"> </w:t>
      </w:r>
      <w:r w:rsidR="0065651A" w:rsidRPr="0024252A">
        <w:rPr>
          <w:i/>
        </w:rPr>
        <w:t>Eurasian</w:t>
      </w:r>
      <w:r w:rsidR="0065651A">
        <w:t xml:space="preserve"> was cited but was not regarded as “determinative”, the Chancellor</w:t>
      </w:r>
      <w:r w:rsidR="00AD7F98">
        <w:t>,</w:t>
      </w:r>
      <w:r w:rsidR="0065651A">
        <w:t xml:space="preserve"> </w:t>
      </w:r>
      <w:r w:rsidR="00AD0EE2">
        <w:t xml:space="preserve">accepting </w:t>
      </w:r>
      <w:r w:rsidR="0065651A">
        <w:t xml:space="preserve">that </w:t>
      </w:r>
      <w:r w:rsidR="00AD7F98">
        <w:t>the application of the dominant purpose test required</w:t>
      </w:r>
      <w:r w:rsidR="001804AB">
        <w:t xml:space="preserve"> him to make a</w:t>
      </w:r>
      <w:r w:rsidR="00AD7F98">
        <w:t xml:space="preserve"> fact specific determination</w:t>
      </w:r>
      <w:r w:rsidR="00D35117">
        <w:t xml:space="preserve"> and also the fact specific nature of the question whether litigation had been in reasonable contemplation</w:t>
      </w:r>
      <w:r w:rsidR="00AD7F98">
        <w:t xml:space="preserve">, </w:t>
      </w:r>
      <w:r w:rsidR="00AD0EE2">
        <w:t xml:space="preserve">recognised that </w:t>
      </w:r>
      <w:r w:rsidR="0065651A">
        <w:t>he had to focus on the facts of the case before him</w:t>
      </w:r>
      <w:r w:rsidR="00D35117">
        <w:t xml:space="preserve"> and not those of </w:t>
      </w:r>
      <w:r w:rsidR="00D35117" w:rsidRPr="0024252A">
        <w:rPr>
          <w:i/>
        </w:rPr>
        <w:t>Eurasian</w:t>
      </w:r>
      <w:r w:rsidR="0065651A">
        <w:t>.</w:t>
      </w:r>
      <w:r w:rsidR="0065651A" w:rsidRPr="0065651A">
        <w:rPr>
          <w:rStyle w:val="FootnoteReference"/>
        </w:rPr>
        <w:t xml:space="preserve"> </w:t>
      </w:r>
      <w:r w:rsidR="0065651A">
        <w:rPr>
          <w:rStyle w:val="FootnoteReference"/>
        </w:rPr>
        <w:footnoteReference w:id="42"/>
      </w:r>
      <w:r w:rsidR="000C5091">
        <w:t xml:space="preserve"> In a more recent decision of the criminal division of the Court of Appeal</w:t>
      </w:r>
      <w:r w:rsidR="009474D9">
        <w:t xml:space="preserve">, </w:t>
      </w:r>
      <w:r w:rsidR="009474D9" w:rsidRPr="00031F90">
        <w:rPr>
          <w:i/>
        </w:rPr>
        <w:t>R v Jukes</w:t>
      </w:r>
      <w:r w:rsidR="000C5091">
        <w:rPr>
          <w:rStyle w:val="FootnoteReference"/>
        </w:rPr>
        <w:footnoteReference w:id="43"/>
      </w:r>
      <w:r w:rsidR="000C5091">
        <w:t>, the court agreed with Andrews J</w:t>
      </w:r>
      <w:r w:rsidR="002C41E5">
        <w:t>’s view</w:t>
      </w:r>
      <w:r w:rsidR="000C5091">
        <w:t xml:space="preserve"> </w:t>
      </w:r>
      <w:r w:rsidR="002C41E5">
        <w:t>from</w:t>
      </w:r>
      <w:r w:rsidR="000C5091">
        <w:t xml:space="preserve"> </w:t>
      </w:r>
      <w:r w:rsidR="000C5091" w:rsidRPr="00031F90">
        <w:rPr>
          <w:i/>
        </w:rPr>
        <w:t>Eurasian</w:t>
      </w:r>
      <w:r w:rsidR="002C41E5">
        <w:rPr>
          <w:i/>
        </w:rPr>
        <w:t xml:space="preserve"> </w:t>
      </w:r>
      <w:r w:rsidR="002C41E5" w:rsidRPr="00031F90">
        <w:t xml:space="preserve">concerning the nature of those circumstances in which </w:t>
      </w:r>
      <w:r w:rsidR="000C5091" w:rsidRPr="00031F90">
        <w:t xml:space="preserve">criminal prosecution </w:t>
      </w:r>
      <w:r w:rsidR="002C41E5">
        <w:t xml:space="preserve">is </w:t>
      </w:r>
      <w:r w:rsidR="000C5091" w:rsidRPr="00031F90">
        <w:t>in reasonable contemplation</w:t>
      </w:r>
      <w:r w:rsidR="000C5091">
        <w:t xml:space="preserve">. </w:t>
      </w:r>
      <w:r w:rsidR="00C93382">
        <w:t xml:space="preserve">Their Lordships held that litigation privilege did not attach to communications in circumstances in which there was no evidence </w:t>
      </w:r>
      <w:r w:rsidR="002C41E5">
        <w:t>t</w:t>
      </w:r>
      <w:r w:rsidR="00C93382">
        <w:t>hat</w:t>
      </w:r>
      <w:r w:rsidR="00B4279A">
        <w:t>,</w:t>
      </w:r>
      <w:r w:rsidR="00C93382">
        <w:t xml:space="preserve"> </w:t>
      </w:r>
      <w:r w:rsidR="00F80E1C">
        <w:t>at the time when the statement was made</w:t>
      </w:r>
      <w:r w:rsidR="00B4279A">
        <w:t>,</w:t>
      </w:r>
      <w:r w:rsidR="00F80E1C">
        <w:t xml:space="preserve"> </w:t>
      </w:r>
      <w:r w:rsidR="002C41E5">
        <w:t>the company ‘</w:t>
      </w:r>
      <w:r w:rsidR="00C93382">
        <w:t xml:space="preserve">had enough knowledge of what </w:t>
      </w:r>
      <w:r w:rsidR="002C41E5">
        <w:t xml:space="preserve">the investigation would unearth’ </w:t>
      </w:r>
      <w:r w:rsidR="00C93382">
        <w:t xml:space="preserve">such that </w:t>
      </w:r>
      <w:r w:rsidR="002C41E5">
        <w:t>‘</w:t>
      </w:r>
      <w:r w:rsidR="00C93382" w:rsidRPr="00031F90">
        <w:t>it could be said that they appreciated that it was realistic to expect the Health and Safety Executive to be satisfied that it had enough material to stand a good chance of securing convictions</w:t>
      </w:r>
      <w:r w:rsidR="00C93382">
        <w:t>’</w:t>
      </w:r>
      <w:r w:rsidR="00C93382" w:rsidRPr="00031F90">
        <w:t>.</w:t>
      </w:r>
      <w:r w:rsidR="00C93382">
        <w:rPr>
          <w:rStyle w:val="FootnoteReference"/>
        </w:rPr>
        <w:footnoteReference w:id="44"/>
      </w:r>
      <w:r w:rsidR="00C93382">
        <w:rPr>
          <w:rFonts w:ascii="Arial" w:hAnsi="Arial" w:cs="Arial"/>
        </w:rPr>
        <w:t xml:space="preserve">  </w:t>
      </w:r>
      <w:r w:rsidR="00C93382" w:rsidRPr="00031F90">
        <w:t xml:space="preserve">They indicated that </w:t>
      </w:r>
      <w:r w:rsidR="00C93382">
        <w:t xml:space="preserve">the mere fact that </w:t>
      </w:r>
      <w:r w:rsidR="002C41E5">
        <w:t xml:space="preserve">the Health and Safety Executive normally prosecutes </w:t>
      </w:r>
      <w:r w:rsidR="00C93382">
        <w:t>‘</w:t>
      </w:r>
      <w:r w:rsidR="00C93382" w:rsidRPr="00031F90">
        <w:t>where there is a death and on the face of it a breach of duty</w:t>
      </w:r>
      <w:r w:rsidR="002C41E5">
        <w:t>’</w:t>
      </w:r>
      <w:r w:rsidR="00C93382" w:rsidRPr="00031F90">
        <w:t xml:space="preserve">, </w:t>
      </w:r>
      <w:r w:rsidR="00C93382">
        <w:t>did not compensate for ‘the critical absence of evidence’</w:t>
      </w:r>
      <w:r w:rsidR="00C93382" w:rsidRPr="00031F90">
        <w:t>.</w:t>
      </w:r>
      <w:r w:rsidR="00C93382">
        <w:rPr>
          <w:rFonts w:ascii="Arial" w:hAnsi="Arial" w:cs="Arial"/>
        </w:rPr>
        <w:t xml:space="preserve">  </w:t>
      </w:r>
      <w:r w:rsidR="00732405" w:rsidRPr="00031F90">
        <w:t>Moreover, the fa</w:t>
      </w:r>
      <w:r w:rsidR="00732405">
        <w:t>c</w:t>
      </w:r>
      <w:r w:rsidR="00732405" w:rsidRPr="00031F90">
        <w:t xml:space="preserve">t that the statement had taken the form of a </w:t>
      </w:r>
      <w:r w:rsidR="00732405" w:rsidRPr="00732405">
        <w:t>section</w:t>
      </w:r>
      <w:r w:rsidR="00732405" w:rsidRPr="00031F90">
        <w:t xml:space="preserve"> 9 statement</w:t>
      </w:r>
      <w:r w:rsidR="00732405">
        <w:rPr>
          <w:rStyle w:val="FootnoteReference"/>
        </w:rPr>
        <w:footnoteReference w:id="45"/>
      </w:r>
      <w:r w:rsidR="00732405" w:rsidRPr="00732405">
        <w:t xml:space="preserve"> was, in itself, not sufficient to establish</w:t>
      </w:r>
      <w:r w:rsidR="00732405">
        <w:t xml:space="preserve"> reasonable contemplation of prosecution. </w:t>
      </w:r>
      <w:r w:rsidR="00732405" w:rsidRPr="00732405">
        <w:t xml:space="preserve"> </w:t>
      </w:r>
    </w:p>
    <w:p w:rsidR="00EC6733" w:rsidRDefault="00EC6733" w:rsidP="00EC6733">
      <w:pPr>
        <w:spacing w:after="0" w:line="288" w:lineRule="auto"/>
      </w:pPr>
    </w:p>
    <w:p w:rsidR="00CC2865" w:rsidRDefault="00EC6733" w:rsidP="00EC6733">
      <w:pPr>
        <w:spacing w:after="0" w:line="288" w:lineRule="auto"/>
      </w:pPr>
      <w:r>
        <w:t>T</w:t>
      </w:r>
      <w:r w:rsidR="009474D9">
        <w:t xml:space="preserve">he approach in </w:t>
      </w:r>
      <w:r w:rsidR="009474D9" w:rsidRPr="00031F90">
        <w:rPr>
          <w:i/>
        </w:rPr>
        <w:t>Jukes</w:t>
      </w:r>
      <w:r w:rsidR="009474D9">
        <w:t xml:space="preserve"> and </w:t>
      </w:r>
      <w:r w:rsidR="009474D9" w:rsidRPr="00031F90">
        <w:rPr>
          <w:i/>
        </w:rPr>
        <w:t>Eurasian</w:t>
      </w:r>
      <w:r w:rsidR="009474D9">
        <w:t xml:space="preserve"> has, most recently, been endorsed by the Divisional Court, though in circumstances in which its views upon the issue of privilege clearly</w:t>
      </w:r>
      <w:r w:rsidR="00404D99">
        <w:t xml:space="preserve"> did not form part of the ratio</w:t>
      </w:r>
      <w:r w:rsidR="009474D9">
        <w:t xml:space="preserve"> of the</w:t>
      </w:r>
      <w:r w:rsidR="00404D99">
        <w:t xml:space="preserve"> court’s decision</w:t>
      </w:r>
      <w:r w:rsidR="009474D9">
        <w:rPr>
          <w:rStyle w:val="FootnoteReference"/>
        </w:rPr>
        <w:footnoteReference w:id="46"/>
      </w:r>
      <w:r w:rsidR="009474D9">
        <w:t xml:space="preserve">. </w:t>
      </w:r>
      <w:r w:rsidR="00B4279A" w:rsidRPr="00B4279A">
        <w:t xml:space="preserve">Conversely, </w:t>
      </w:r>
      <w:r w:rsidR="002C41E5">
        <w:t>i</w:t>
      </w:r>
      <w:r w:rsidR="00B4279A">
        <w:t xml:space="preserve">n giving leave to appeal in </w:t>
      </w:r>
      <w:r w:rsidR="00B4279A" w:rsidRPr="00031F90">
        <w:rPr>
          <w:i/>
        </w:rPr>
        <w:t>Eurasian</w:t>
      </w:r>
      <w:r w:rsidR="00B4279A">
        <w:t xml:space="preserve"> itself, the Civil Division of the Court of Appeal had previously indicated that the appeal in Eurasian ‘had a ‘real prospect of </w:t>
      </w:r>
      <w:proofErr w:type="gramStart"/>
      <w:r w:rsidR="00B4279A">
        <w:t>success’</w:t>
      </w:r>
      <w:proofErr w:type="gramEnd"/>
      <w:r w:rsidR="00B4279A">
        <w:t>.</w:t>
      </w:r>
      <w:r w:rsidR="00B4279A">
        <w:rPr>
          <w:rStyle w:val="FootnoteReference"/>
        </w:rPr>
        <w:footnoteReference w:id="47"/>
      </w:r>
      <w:r w:rsidR="009111AC">
        <w:t xml:space="preserve"> It is worth noting that in </w:t>
      </w:r>
      <w:r w:rsidR="009111AC" w:rsidRPr="00031F90">
        <w:rPr>
          <w:i/>
        </w:rPr>
        <w:t>Jukes</w:t>
      </w:r>
      <w:r w:rsidR="009111AC">
        <w:t xml:space="preserve"> the Criminal Division of the Court of Appeal made no reference </w:t>
      </w:r>
      <w:r w:rsidR="00915DF2">
        <w:t xml:space="preserve">to previous jurisprudence of the Court of Appeal or the House of Lords/Supreme Court concerning the ambit of litigation privilege, merely relying on the first instance decision in </w:t>
      </w:r>
      <w:r w:rsidR="00915DF2" w:rsidRPr="00031F90">
        <w:rPr>
          <w:i/>
        </w:rPr>
        <w:t>Eurasian</w:t>
      </w:r>
      <w:r w:rsidR="00915DF2">
        <w:t xml:space="preserve">. Nor did they refer </w:t>
      </w:r>
      <w:r w:rsidR="009111AC">
        <w:t xml:space="preserve">to the subsequent decision of the High Court in which </w:t>
      </w:r>
      <w:r w:rsidR="009111AC" w:rsidRPr="00031F90">
        <w:rPr>
          <w:i/>
        </w:rPr>
        <w:t>Eurasian</w:t>
      </w:r>
      <w:r w:rsidR="009111AC">
        <w:t xml:space="preserve"> wa</w:t>
      </w:r>
      <w:r w:rsidR="00474626">
        <w:t>s not regarded as determinative</w:t>
      </w:r>
      <w:r w:rsidR="002C41E5">
        <w:t>.</w:t>
      </w:r>
      <w:r w:rsidR="002C41E5">
        <w:rPr>
          <w:rStyle w:val="FootnoteReference"/>
        </w:rPr>
        <w:footnoteReference w:id="48"/>
      </w:r>
      <w:r w:rsidR="002C41E5">
        <w:t xml:space="preserve"> I</w:t>
      </w:r>
      <w:r w:rsidR="00474626">
        <w:t xml:space="preserve">t </w:t>
      </w:r>
      <w:r w:rsidR="002C41E5">
        <w:t xml:space="preserve">also </w:t>
      </w:r>
      <w:r w:rsidR="00474626">
        <w:t>held that th</w:t>
      </w:r>
      <w:r w:rsidR="00732405">
        <w:t>e</w:t>
      </w:r>
      <w:r w:rsidR="00474626">
        <w:t xml:space="preserve"> party attempting to rely on privilege in that case (not the company)</w:t>
      </w:r>
      <w:r w:rsidR="00732405">
        <w:t xml:space="preserve">, who had never been the client of the legal adviser, had not been entitled to claim privilege on his own behalf (the company had not attempted to claim it). </w:t>
      </w:r>
      <w:r w:rsidR="00B658B2">
        <w:t xml:space="preserve">Thus, even if the statement in </w:t>
      </w:r>
      <w:r w:rsidR="00B658B2" w:rsidRPr="00031F90">
        <w:rPr>
          <w:i/>
        </w:rPr>
        <w:t>Jukes</w:t>
      </w:r>
      <w:r w:rsidR="00B658B2">
        <w:t xml:space="preserve"> was privileged, the claim of privilege in that case would have failed. </w:t>
      </w:r>
      <w:r w:rsidR="00915DF2">
        <w:t>Fundamentally, post J</w:t>
      </w:r>
      <w:r w:rsidR="00915DF2" w:rsidRPr="00031F90">
        <w:rPr>
          <w:i/>
        </w:rPr>
        <w:t>ukes</w:t>
      </w:r>
      <w:r w:rsidR="00915DF2">
        <w:t xml:space="preserve"> it still </w:t>
      </w:r>
      <w:r w:rsidR="00766DE0">
        <w:t xml:space="preserve">appears to be open to the Court of Appeal in </w:t>
      </w:r>
      <w:r w:rsidR="00766DE0" w:rsidRPr="00031F90">
        <w:rPr>
          <w:i/>
        </w:rPr>
        <w:t>Eurasian</w:t>
      </w:r>
      <w:r w:rsidR="00766DE0">
        <w:t xml:space="preserve"> to treat the decisions in </w:t>
      </w:r>
      <w:r w:rsidR="00766DE0" w:rsidRPr="00031F90">
        <w:rPr>
          <w:i/>
        </w:rPr>
        <w:t>Eurasian</w:t>
      </w:r>
      <w:r w:rsidR="00766DE0">
        <w:t xml:space="preserve"> and in</w:t>
      </w:r>
      <w:r w:rsidR="00766DE0" w:rsidRPr="00031F90">
        <w:rPr>
          <w:i/>
        </w:rPr>
        <w:t xml:space="preserve"> Jukes</w:t>
      </w:r>
      <w:r w:rsidR="00766DE0">
        <w:t xml:space="preserve"> as </w:t>
      </w:r>
      <w:r w:rsidR="00915DF2">
        <w:t xml:space="preserve">not being “determinative” but at most as being </w:t>
      </w:r>
      <w:r w:rsidR="00766DE0">
        <w:t>decisions on the specific facts of the two cases</w:t>
      </w:r>
      <w:r w:rsidR="00F77F90">
        <w:t xml:space="preserve">, with the possibility of arguing that </w:t>
      </w:r>
      <w:r w:rsidR="00F77F90" w:rsidRPr="00031F90">
        <w:rPr>
          <w:i/>
        </w:rPr>
        <w:t>Jukes</w:t>
      </w:r>
      <w:r w:rsidR="00F77F90">
        <w:t xml:space="preserve"> was decided per </w:t>
      </w:r>
      <w:proofErr w:type="spellStart"/>
      <w:r w:rsidR="00F77F90">
        <w:t>incuriam</w:t>
      </w:r>
      <w:proofErr w:type="spellEnd"/>
      <w:r w:rsidR="002C41E5">
        <w:t xml:space="preserve"> and/or could be distinguished on its facts</w:t>
      </w:r>
      <w:r w:rsidR="00F77F90">
        <w:t>.</w:t>
      </w:r>
    </w:p>
    <w:p w:rsidR="00CC2865" w:rsidRDefault="00CC2865" w:rsidP="00EC6733">
      <w:pPr>
        <w:spacing w:after="0" w:line="288" w:lineRule="auto"/>
      </w:pPr>
    </w:p>
    <w:p w:rsidR="00CC2865" w:rsidRDefault="00CC2865" w:rsidP="00EC6733">
      <w:pPr>
        <w:spacing w:after="0" w:line="288" w:lineRule="auto"/>
      </w:pPr>
      <w:r>
        <w:lastRenderedPageBreak/>
        <w:t>The area of Andrews J’s judgment that Carter regarded as being ‘open to possible question’ (whilst recognising that the fact-specific nature of that judgment limited the extent to which it was necessary to question it) concerned the relationship between criminal investigations and reasonable contemplation of criminal proceedings. He asserted that,</w:t>
      </w:r>
    </w:p>
    <w:p w:rsidR="00CC2865" w:rsidRDefault="00CC2865" w:rsidP="00EC6733">
      <w:pPr>
        <w:spacing w:after="0" w:line="288" w:lineRule="auto"/>
      </w:pPr>
    </w:p>
    <w:p w:rsidR="00CC2865" w:rsidRDefault="00CC2865" w:rsidP="00EC6733">
      <w:pPr>
        <w:spacing w:after="0" w:line="288" w:lineRule="auto"/>
        <w:ind w:left="284"/>
      </w:pPr>
      <w:proofErr w:type="gramStart"/>
      <w:r w:rsidRPr="006B57F4">
        <w:t>a</w:t>
      </w:r>
      <w:proofErr w:type="gramEnd"/>
      <w:r w:rsidRPr="006B57F4">
        <w:t xml:space="preserve"> criminal investigation, or the reasonable expectation of a criminal investigation, can give rise to </w:t>
      </w:r>
    </w:p>
    <w:p w:rsidR="00CC2865" w:rsidRDefault="00CC2865" w:rsidP="00EC6733">
      <w:pPr>
        <w:spacing w:after="0" w:line="288" w:lineRule="auto"/>
        <w:ind w:left="284"/>
      </w:pPr>
      <w:proofErr w:type="gramStart"/>
      <w:r w:rsidRPr="006B57F4">
        <w:t>a</w:t>
      </w:r>
      <w:proofErr w:type="gramEnd"/>
      <w:r w:rsidRPr="006B57F4">
        <w:t xml:space="preserve"> reasonable expectation of litigation. That litigation might be by way of challenge to the lawfulness of a search warrant, or of the conduct of a search, or of a notice requiring production of material. A belief that a thorough investigation will result in a decision not to prosecute does not preclude a reasonable expectation that litigation of some sort will arise. One example is the fact that sometimes prosecutions are instituted but then abandoned.</w:t>
      </w:r>
      <w:r>
        <w:rPr>
          <w:rStyle w:val="FootnoteReference"/>
        </w:rPr>
        <w:footnoteReference w:id="49"/>
      </w:r>
      <w:r>
        <w:t xml:space="preserve">  </w:t>
      </w:r>
    </w:p>
    <w:p w:rsidR="00CC2865" w:rsidRDefault="00CC2865" w:rsidP="00EC6733">
      <w:pPr>
        <w:spacing w:after="0" w:line="288" w:lineRule="auto"/>
      </w:pPr>
    </w:p>
    <w:p w:rsidR="00F84407" w:rsidRDefault="00F84407" w:rsidP="00EC6733">
      <w:pPr>
        <w:spacing w:after="0" w:line="288" w:lineRule="auto"/>
      </w:pPr>
      <w:r>
        <w:t xml:space="preserve">Moreover, Hanna questions Andrews J’s implicit assumption that a party who lacked an arguable case would proceed with civil proceedings on the basis that </w:t>
      </w:r>
      <w:r w:rsidR="00701F9A">
        <w:t>‘</w:t>
      </w:r>
      <w:r>
        <w:t xml:space="preserve">it is a questionable empirical assumption [which] seems to ignore the opportunity </w:t>
      </w:r>
      <w:proofErr w:type="gramStart"/>
      <w:r>
        <w:t xml:space="preserve">costs’ </w:t>
      </w:r>
      <w:proofErr w:type="gramEnd"/>
      <w:r>
        <w:rPr>
          <w:rStyle w:val="FootnoteReference"/>
        </w:rPr>
        <w:footnoteReference w:id="50"/>
      </w:r>
      <w:r>
        <w:t>. He also points out that where the basis upon which a criminal investigation is in reasonable contemplation is that there is ‘verifiable or substantiated evidence…of wrongdoing’, it is arguable that criminal proceedings will also be in reasonable contemplation.</w:t>
      </w:r>
      <w:r w:rsidRPr="00A33BD4">
        <w:rPr>
          <w:rStyle w:val="FootnoteReference"/>
        </w:rPr>
        <w:t xml:space="preserve"> </w:t>
      </w:r>
      <w:r>
        <w:rPr>
          <w:rStyle w:val="FootnoteReference"/>
        </w:rPr>
        <w:footnoteReference w:id="51"/>
      </w:r>
    </w:p>
    <w:p w:rsidR="00F84407" w:rsidRDefault="00F84407" w:rsidP="00EC6733">
      <w:pPr>
        <w:spacing w:after="0" w:line="288" w:lineRule="auto"/>
      </w:pPr>
    </w:p>
    <w:p w:rsidR="00706BC5" w:rsidRDefault="00295C5B" w:rsidP="00EC6733">
      <w:pPr>
        <w:spacing w:after="0" w:line="288" w:lineRule="auto"/>
      </w:pPr>
      <w:r>
        <w:t>As was seen above, the Criminal Division of the Court of Appeal indicated that</w:t>
      </w:r>
      <w:r w:rsidRPr="00706BC5">
        <w:t xml:space="preserve"> </w:t>
      </w:r>
      <w:r>
        <w:t>the mere fact that the Health and Safety Executive normally prosecutes in particular circumstances</w:t>
      </w:r>
      <w:r w:rsidRPr="00CF54F2">
        <w:t xml:space="preserve"> </w:t>
      </w:r>
      <w:r>
        <w:t>is not in itself sufficient to justify the conclusion that relevant communications were made in reasonable contemplation of litigation.</w:t>
      </w:r>
      <w:r>
        <w:rPr>
          <w:rStyle w:val="FootnoteReference"/>
        </w:rPr>
        <w:footnoteReference w:id="52"/>
      </w:r>
      <w:r>
        <w:t xml:space="preserve"> </w:t>
      </w:r>
      <w:r w:rsidR="000C1EB9">
        <w:t>I</w:t>
      </w:r>
      <w:r w:rsidR="00CC2865">
        <w:t>t is suggested</w:t>
      </w:r>
      <w:r>
        <w:t>, however,</w:t>
      </w:r>
      <w:r w:rsidR="00CC2865">
        <w:t xml:space="preserve"> that </w:t>
      </w:r>
      <w:r w:rsidR="00D65029">
        <w:t xml:space="preserve">there will be circumstances in which it is proper to treat </w:t>
      </w:r>
      <w:r w:rsidR="00CC2865">
        <w:t xml:space="preserve">a suspect </w:t>
      </w:r>
      <w:r w:rsidR="00D65029">
        <w:t xml:space="preserve">who knows or believes herself to be innocent </w:t>
      </w:r>
      <w:r w:rsidR="00CC2865">
        <w:t xml:space="preserve">as </w:t>
      </w:r>
      <w:r w:rsidR="00B31680">
        <w:t xml:space="preserve">having a </w:t>
      </w:r>
      <w:r w:rsidR="00CC2865">
        <w:t xml:space="preserve">reasonable contemplation of </w:t>
      </w:r>
      <w:r w:rsidR="00D65029">
        <w:t xml:space="preserve">criminal </w:t>
      </w:r>
      <w:r w:rsidR="00CC2865">
        <w:t xml:space="preserve">prosecution once, for example, an arrest had been made or a search warrant </w:t>
      </w:r>
      <w:r w:rsidR="00D65029">
        <w:t xml:space="preserve">has been </w:t>
      </w:r>
      <w:r w:rsidR="00CC2865">
        <w:t>issued. The fact that the suspect kn</w:t>
      </w:r>
      <w:r w:rsidR="00D65029">
        <w:t>o</w:t>
      </w:r>
      <w:r w:rsidR="00CC2865">
        <w:t>w</w:t>
      </w:r>
      <w:r w:rsidR="00D65029">
        <w:t>s</w:t>
      </w:r>
      <w:r w:rsidR="00CC2865">
        <w:t xml:space="preserve"> or believe</w:t>
      </w:r>
      <w:r w:rsidR="00D65029">
        <w:t>s</w:t>
      </w:r>
      <w:r w:rsidR="00CC2865">
        <w:t xml:space="preserve"> herself to be innocent </w:t>
      </w:r>
      <w:r w:rsidR="00D65029">
        <w:t>does not</w:t>
      </w:r>
      <w:r w:rsidR="00CC2865">
        <w:t xml:space="preserve"> </w:t>
      </w:r>
      <w:r w:rsidR="00D65029">
        <w:t xml:space="preserve">inherently </w:t>
      </w:r>
      <w:r w:rsidR="00CC2865">
        <w:t xml:space="preserve">make </w:t>
      </w:r>
      <w:r w:rsidR="00D65029">
        <w:t xml:space="preserve">such contemplation </w:t>
      </w:r>
      <w:r w:rsidR="00CC2865">
        <w:t xml:space="preserve">unreasonable </w:t>
      </w:r>
      <w:r w:rsidR="000C1EB9">
        <w:t>since it</w:t>
      </w:r>
      <w:r w:rsidR="00CC2865">
        <w:t xml:space="preserve"> must be </w:t>
      </w:r>
      <w:r w:rsidR="000C1EB9">
        <w:t>common knowledge</w:t>
      </w:r>
      <w:r w:rsidR="00CC2865">
        <w:t xml:space="preserve"> that persons who are subsequently found not guilty of criminal offences have </w:t>
      </w:r>
      <w:r w:rsidR="000C1EB9">
        <w:t>still</w:t>
      </w:r>
      <w:r w:rsidR="00CC2865">
        <w:t xml:space="preserve"> been prosecuted in the first place. Why should this be any different for a corporation/its directors or employees who are faced with an SFO investigation, even if they believe that they are not guilty of any offences? The </w:t>
      </w:r>
      <w:r w:rsidR="000C1EB9">
        <w:t xml:space="preserve">SFO’s </w:t>
      </w:r>
      <w:r w:rsidR="00CC2865">
        <w:t>Annual Report and Accounts 2016-17 indicate during 2013-17 average conviction rates of 70.3% when calculated by defendant and 82.6% when calculated by case.</w:t>
      </w:r>
      <w:r w:rsidR="000C1EB9">
        <w:rPr>
          <w:rStyle w:val="FootnoteReference"/>
        </w:rPr>
        <w:footnoteReference w:id="53"/>
      </w:r>
      <w:r w:rsidR="00CC2865">
        <w:t xml:space="preserve"> In 2016-17 the Serious Fraud Office had “around 70” active criminal investigations, with 25 defendants being charged, 16 prosecutions concluded or in progress, three investigations concluded without charge, 33 defendants awaiting trial and two </w:t>
      </w:r>
      <w:r w:rsidR="00B31680">
        <w:t xml:space="preserve">DPA’s </w:t>
      </w:r>
      <w:r w:rsidR="00CC2865">
        <w:t xml:space="preserve">secured. Thus, given the number of prosecutions that arise out of a relatively limited number of </w:t>
      </w:r>
      <w:r w:rsidR="00B31680">
        <w:t xml:space="preserve">SFO </w:t>
      </w:r>
      <w:r w:rsidR="00CC2865">
        <w:t xml:space="preserve">investigations and the fact that the conviction rate is not 100%, once such an investigation commences there </w:t>
      </w:r>
      <w:r w:rsidR="000C1EB9">
        <w:t>must</w:t>
      </w:r>
      <w:r w:rsidR="00CC2865">
        <w:t xml:space="preserve"> be potential for suspects who </w:t>
      </w:r>
      <w:r w:rsidR="000C1EB9">
        <w:t xml:space="preserve">know or believe </w:t>
      </w:r>
      <w:r w:rsidR="00CC2865">
        <w:t xml:space="preserve">that they </w:t>
      </w:r>
      <w:r w:rsidR="000C1EB9">
        <w:t>are innocent to</w:t>
      </w:r>
      <w:r w:rsidR="00CC2865">
        <w:t xml:space="preserve"> </w:t>
      </w:r>
      <w:r>
        <w:t xml:space="preserve">still </w:t>
      </w:r>
      <w:r w:rsidR="00CC2865">
        <w:t>be in reasonab</w:t>
      </w:r>
      <w:r w:rsidR="00701F9A">
        <w:t>le apprehension of prosecution which might result in a not guilty verdict.</w:t>
      </w:r>
    </w:p>
    <w:p w:rsidR="00031F90" w:rsidRDefault="00031F90" w:rsidP="00EC6733">
      <w:pPr>
        <w:spacing w:line="288" w:lineRule="auto"/>
        <w:rPr>
          <w:b/>
          <w:u w:val="single"/>
        </w:rPr>
      </w:pPr>
    </w:p>
    <w:p w:rsidR="001803EA" w:rsidRPr="001803EA" w:rsidRDefault="001803EA" w:rsidP="00EC6733">
      <w:pPr>
        <w:spacing w:line="288" w:lineRule="auto"/>
        <w:rPr>
          <w:b/>
          <w:u w:val="single"/>
        </w:rPr>
      </w:pPr>
      <w:r>
        <w:rPr>
          <w:b/>
          <w:u w:val="single"/>
        </w:rPr>
        <w:t>Legal advice privilege and corporations – identifying the client</w:t>
      </w:r>
      <w:r w:rsidR="006D6BC5">
        <w:rPr>
          <w:b/>
          <w:u w:val="single"/>
        </w:rPr>
        <w:t xml:space="preserve"> group and preserving privilege</w:t>
      </w:r>
    </w:p>
    <w:p w:rsidR="00A13344" w:rsidRPr="00A13344" w:rsidRDefault="00CC3BE1" w:rsidP="00EC6733">
      <w:pPr>
        <w:spacing w:line="288" w:lineRule="auto"/>
      </w:pPr>
      <w:r>
        <w:t>It is well demonstrated that t</w:t>
      </w:r>
      <w:r w:rsidR="00A13344" w:rsidRPr="00A13344">
        <w:t>he</w:t>
      </w:r>
      <w:r>
        <w:t>re are</w:t>
      </w:r>
      <w:r w:rsidR="00A13344" w:rsidRPr="00A13344">
        <w:t xml:space="preserve"> </w:t>
      </w:r>
      <w:r>
        <w:t>difficulties surrounding the identification of the client for legal advice privilege purposes in the corporate context</w:t>
      </w:r>
      <w:r>
        <w:rPr>
          <w:rStyle w:val="FootnoteReference"/>
        </w:rPr>
        <w:footnoteReference w:id="54"/>
      </w:r>
      <w:r>
        <w:t xml:space="preserve">. </w:t>
      </w:r>
      <w:r w:rsidR="0099709E">
        <w:t>These difficulties are clearly significant where legal advice is sought in the context of a corporate criminal investigation</w:t>
      </w:r>
      <w:r w:rsidR="00E83C55">
        <w:t>/an internal investigation</w:t>
      </w:r>
      <w:r w:rsidR="0099709E">
        <w:t xml:space="preserve">, particularly </w:t>
      </w:r>
      <w:r w:rsidR="005B5F86">
        <w:t xml:space="preserve">where </w:t>
      </w:r>
      <w:r w:rsidR="0099709E">
        <w:t xml:space="preserve">litigation privilege does not </w:t>
      </w:r>
      <w:r w:rsidR="00E83C55">
        <w:t>attach to the</w:t>
      </w:r>
      <w:r w:rsidR="0099709E">
        <w:t xml:space="preserve"> </w:t>
      </w:r>
      <w:r w:rsidR="00E83C55">
        <w:t>communications.</w:t>
      </w:r>
      <w:r w:rsidR="0099709E">
        <w:t xml:space="preserve"> </w:t>
      </w:r>
      <w:r w:rsidR="00E16B26">
        <w:t>Difficulties</w:t>
      </w:r>
      <w:r>
        <w:t xml:space="preserve"> primarily arise because a corporate body must inevitably act through agents. </w:t>
      </w:r>
      <w:r w:rsidR="00C33035">
        <w:t>Whether legal advice privilege attaches to communications may depend upon t</w:t>
      </w:r>
      <w:r>
        <w:t xml:space="preserve">he particular authority of these agents </w:t>
      </w:r>
      <w:r w:rsidR="00C33035">
        <w:t xml:space="preserve">to </w:t>
      </w:r>
      <w:r w:rsidR="009862BA">
        <w:t>instruct/</w:t>
      </w:r>
      <w:r w:rsidR="00C33035">
        <w:t xml:space="preserve">communicate </w:t>
      </w:r>
      <w:r w:rsidR="00B95AAD">
        <w:t xml:space="preserve">with the company’s lawyers and the types of activity undertaken by </w:t>
      </w:r>
      <w:r w:rsidR="004B0A0F">
        <w:t>the agents.</w:t>
      </w:r>
      <w:r w:rsidR="00B95AAD">
        <w:t xml:space="preserve"> </w:t>
      </w:r>
      <w:r w:rsidR="009862BA">
        <w:t>Unless employees</w:t>
      </w:r>
      <w:r w:rsidR="004703C8">
        <w:t xml:space="preserve"> of the company </w:t>
      </w:r>
      <w:r w:rsidR="009862BA">
        <w:t>possess the requisite authority</w:t>
      </w:r>
      <w:r w:rsidR="005B5F86">
        <w:t xml:space="preserve"> and therefore constitute “the client”</w:t>
      </w:r>
      <w:r w:rsidR="0041629B">
        <w:t>,</w:t>
      </w:r>
      <w:r w:rsidR="009862BA">
        <w:t xml:space="preserve"> legal advice privilege will not attach to communications between them and the corporation’s legal advisers</w:t>
      </w:r>
      <w:r w:rsidR="004703C8">
        <w:t>.</w:t>
      </w:r>
      <w:r w:rsidR="004749AC">
        <w:t xml:space="preserve"> </w:t>
      </w:r>
      <w:r w:rsidR="004703C8">
        <w:t>I</w:t>
      </w:r>
      <w:r w:rsidR="009862BA">
        <w:t>f litigation privilege does not apply</w:t>
      </w:r>
      <w:r w:rsidR="004703C8">
        <w:t>,</w:t>
      </w:r>
      <w:r w:rsidR="009862BA">
        <w:t xml:space="preserve"> the communications will </w:t>
      </w:r>
      <w:r w:rsidR="004703C8">
        <w:t xml:space="preserve">therefore not </w:t>
      </w:r>
      <w:r w:rsidR="009862BA">
        <w:t>be protected by legal professional privilege</w:t>
      </w:r>
      <w:r w:rsidR="005B5F86">
        <w:t xml:space="preserve"> at all</w:t>
      </w:r>
      <w:r w:rsidR="009862BA">
        <w:t>.</w:t>
      </w:r>
      <w:r w:rsidR="004749AC">
        <w:rPr>
          <w:rStyle w:val="FootnoteReference"/>
        </w:rPr>
        <w:footnoteReference w:id="55"/>
      </w:r>
      <w:r w:rsidR="009862BA">
        <w:t xml:space="preserve">  </w:t>
      </w:r>
      <w:r w:rsidR="00682804">
        <w:t>T</w:t>
      </w:r>
      <w:r w:rsidR="008F2D00">
        <w:t xml:space="preserve">he </w:t>
      </w:r>
      <w:r w:rsidR="005B18CB">
        <w:t xml:space="preserve">approaches </w:t>
      </w:r>
      <w:proofErr w:type="gramStart"/>
      <w:r w:rsidR="005B18CB">
        <w:t xml:space="preserve">taken </w:t>
      </w:r>
      <w:r w:rsidR="008F2D00">
        <w:t xml:space="preserve"> by</w:t>
      </w:r>
      <w:proofErr w:type="gramEnd"/>
      <w:r w:rsidR="008F2D00">
        <w:t xml:space="preserve"> the courts to determine which agents of the company constitute the client </w:t>
      </w:r>
      <w:r w:rsidR="005B18CB">
        <w:t xml:space="preserve">can seem </w:t>
      </w:r>
      <w:r w:rsidR="004B0A0F">
        <w:t xml:space="preserve"> </w:t>
      </w:r>
      <w:r w:rsidR="008F2D00">
        <w:t>lack</w:t>
      </w:r>
      <w:r w:rsidR="005B18CB">
        <w:t>ing in</w:t>
      </w:r>
      <w:r w:rsidR="008F2D00">
        <w:t xml:space="preserve"> </w:t>
      </w:r>
      <w:r w:rsidR="00B50546">
        <w:t>clarity and certainty</w:t>
      </w:r>
      <w:r w:rsidR="00682804">
        <w:t xml:space="preserve">. </w:t>
      </w:r>
      <w:r w:rsidR="009605D6">
        <w:t>Using attribution theory and considering the nature of delegated authority,</w:t>
      </w:r>
      <w:r w:rsidR="0041629B">
        <w:t xml:space="preserve"> i</w:t>
      </w:r>
      <w:r w:rsidR="00B50546">
        <w:t xml:space="preserve">t is possible to </w:t>
      </w:r>
      <w:r w:rsidR="009605D6">
        <w:t>rationalise the</w:t>
      </w:r>
      <w:r w:rsidR="00291E57">
        <w:t xml:space="preserve">se approaches </w:t>
      </w:r>
      <w:r w:rsidR="009605D6">
        <w:t xml:space="preserve">and </w:t>
      </w:r>
      <w:r w:rsidR="00B50546">
        <w:t>draw conclusions regard</w:t>
      </w:r>
      <w:r w:rsidR="00291E57">
        <w:t>ing</w:t>
      </w:r>
      <w:r w:rsidR="00B50546">
        <w:t xml:space="preserve"> the de</w:t>
      </w:r>
      <w:r w:rsidR="007E3743">
        <w:t>legati</w:t>
      </w:r>
      <w:r w:rsidR="00291E57">
        <w:t xml:space="preserve">on </w:t>
      </w:r>
      <w:proofErr w:type="gramStart"/>
      <w:r w:rsidR="00291E57">
        <w:t xml:space="preserve">of </w:t>
      </w:r>
      <w:r w:rsidR="007E3743">
        <w:t xml:space="preserve"> authority</w:t>
      </w:r>
      <w:proofErr w:type="gramEnd"/>
      <w:r w:rsidR="007E3743">
        <w:t xml:space="preserve"> within a</w:t>
      </w:r>
      <w:r w:rsidR="00B50546">
        <w:t xml:space="preserve"> company to </w:t>
      </w:r>
      <w:r w:rsidR="006D6BC5">
        <w:t xml:space="preserve">a </w:t>
      </w:r>
      <w:r w:rsidR="00140582">
        <w:t>client group, and the actions</w:t>
      </w:r>
      <w:r w:rsidR="006D6BC5">
        <w:t xml:space="preserve"> of that group</w:t>
      </w:r>
      <w:r w:rsidR="008F2D00">
        <w:t xml:space="preserve"> and the company’s </w:t>
      </w:r>
      <w:r w:rsidR="00FE1EBA">
        <w:t>legal advisers</w:t>
      </w:r>
      <w:r w:rsidR="006D6BC5">
        <w:t xml:space="preserve">, to </w:t>
      </w:r>
      <w:r w:rsidR="00B50546">
        <w:t xml:space="preserve">ensure that communications </w:t>
      </w:r>
      <w:r w:rsidR="006D6BC5">
        <w:t>between the</w:t>
      </w:r>
      <w:r w:rsidR="008F2D00">
        <w:t>m</w:t>
      </w:r>
      <w:r w:rsidR="006D6BC5">
        <w:t xml:space="preserve"> </w:t>
      </w:r>
      <w:r w:rsidR="00B50546">
        <w:t>benefit from legal advice privilege.</w:t>
      </w:r>
    </w:p>
    <w:p w:rsidR="001803EA" w:rsidRPr="001803EA" w:rsidRDefault="001803EA" w:rsidP="00EC6733">
      <w:pPr>
        <w:spacing w:line="288" w:lineRule="auto"/>
        <w:rPr>
          <w:b/>
        </w:rPr>
      </w:pPr>
      <w:r w:rsidRPr="001803EA">
        <w:rPr>
          <w:b/>
        </w:rPr>
        <w:t>Identifying the client</w:t>
      </w:r>
    </w:p>
    <w:p w:rsidR="00230FD4" w:rsidRDefault="00422A88" w:rsidP="00EC6733">
      <w:pPr>
        <w:spacing w:line="288" w:lineRule="auto"/>
      </w:pPr>
      <w:r>
        <w:t>The starting point in answering the question ‘who is the client?’ in the corporate context will normally be the board of directors, as the body within the company having authority to seek legal advice on behalf of the company</w:t>
      </w:r>
      <w:r>
        <w:rPr>
          <w:rStyle w:val="FootnoteReference"/>
        </w:rPr>
        <w:footnoteReference w:id="56"/>
      </w:r>
      <w:r>
        <w:t xml:space="preserve">. </w:t>
      </w:r>
      <w:proofErr w:type="spellStart"/>
      <w:r w:rsidR="0011684B">
        <w:t>Hildyard</w:t>
      </w:r>
      <w:proofErr w:type="spellEnd"/>
      <w:r w:rsidR="0011684B">
        <w:t xml:space="preserve"> J refers to the “attribution” argument</w:t>
      </w:r>
      <w:r w:rsidR="0011684B">
        <w:rPr>
          <w:rStyle w:val="FootnoteReference"/>
        </w:rPr>
        <w:footnoteReference w:id="57"/>
      </w:r>
      <w:r w:rsidR="00594C23">
        <w:t xml:space="preserve">, referring to the judgment of </w:t>
      </w:r>
      <w:r w:rsidR="0011684B">
        <w:t xml:space="preserve">Aikens J in </w:t>
      </w:r>
      <w:r w:rsidR="0011684B" w:rsidRPr="0011684B">
        <w:rPr>
          <w:i/>
        </w:rPr>
        <w:t>Winterthur Swiss Insurance Company and Others v AG (Manchester) Limited (in liquidation) and others</w:t>
      </w:r>
      <w:r w:rsidR="0011684B">
        <w:rPr>
          <w:rStyle w:val="FootnoteReference"/>
        </w:rPr>
        <w:footnoteReference w:id="58"/>
      </w:r>
      <w:r w:rsidR="0011684B">
        <w:rPr>
          <w:i/>
        </w:rPr>
        <w:t>.</w:t>
      </w:r>
      <w:r w:rsidR="0011684B">
        <w:t xml:space="preserve"> </w:t>
      </w:r>
      <w:r w:rsidR="00AE73E6">
        <w:t>As</w:t>
      </w:r>
      <w:r w:rsidR="004D2A3A">
        <w:t xml:space="preserve"> </w:t>
      </w:r>
      <w:r w:rsidR="005B2AC7">
        <w:t>expressed</w:t>
      </w:r>
      <w:r w:rsidR="00682804">
        <w:t xml:space="preserve"> </w:t>
      </w:r>
      <w:r w:rsidR="004D2A3A">
        <w:t>by Aikens J, t</w:t>
      </w:r>
      <w:r w:rsidR="0011684B">
        <w:t xml:space="preserve">he argument goes that, in the corporate context, legal advice privilege cannot attach to communications made by employees </w:t>
      </w:r>
      <w:r w:rsidR="00BF2A6C">
        <w:t xml:space="preserve">to the legal adviser, where those employees are </w:t>
      </w:r>
      <w:r w:rsidR="0011684B">
        <w:t>not themselves part of the directing mind and will of the corporate client</w:t>
      </w:r>
      <w:r w:rsidR="00BF2A6C">
        <w:t xml:space="preserve">. The status of communications made by </w:t>
      </w:r>
      <w:r w:rsidR="005B2AC7">
        <w:t>such</w:t>
      </w:r>
      <w:r w:rsidR="00682804">
        <w:t xml:space="preserve"> </w:t>
      </w:r>
      <w:r w:rsidR="00BF2A6C">
        <w:t>employees as far as legal advice privilege is concerned is analogous to that of communications by or to other independent third parties who are not the client, which would</w:t>
      </w:r>
      <w:r w:rsidR="005B2AC7">
        <w:t xml:space="preserve"> equally</w:t>
      </w:r>
      <w:r w:rsidR="00BF2A6C">
        <w:t xml:space="preserve"> not be covered by legal advice privilege</w:t>
      </w:r>
      <w:r w:rsidR="00FA2D91">
        <w:rPr>
          <w:rStyle w:val="FootnoteReference"/>
        </w:rPr>
        <w:footnoteReference w:id="59"/>
      </w:r>
      <w:r w:rsidR="009748E0">
        <w:t>.</w:t>
      </w:r>
      <w:r w:rsidR="00FA2D91">
        <w:t xml:space="preserve"> </w:t>
      </w:r>
      <w:proofErr w:type="spellStart"/>
      <w:r w:rsidR="00FA2D91">
        <w:t>Hildyard</w:t>
      </w:r>
      <w:proofErr w:type="spellEnd"/>
      <w:r w:rsidR="00FA2D91">
        <w:t xml:space="preserve"> suggests that</w:t>
      </w:r>
      <w:r w:rsidR="009C1027">
        <w:t xml:space="preserve"> the restrictions of the attribution argument will often reflect reality, as a corporation is likely to restrict the authority to seek or receive legal advice on its behalf to “an </w:t>
      </w:r>
      <w:r w:rsidR="009C1027">
        <w:lastRenderedPageBreak/>
        <w:t>individual or body” that is its directing mind and will</w:t>
      </w:r>
      <w:r w:rsidR="009C1027">
        <w:rPr>
          <w:rStyle w:val="FootnoteReference"/>
        </w:rPr>
        <w:footnoteReference w:id="60"/>
      </w:r>
      <w:r w:rsidR="009C1027">
        <w:t>.</w:t>
      </w:r>
      <w:r w:rsidR="0011684B">
        <w:t xml:space="preserve"> </w:t>
      </w:r>
      <w:r>
        <w:t>However, the board can usually delegate its authority</w:t>
      </w:r>
      <w:r>
        <w:rPr>
          <w:rStyle w:val="FootnoteReference"/>
        </w:rPr>
        <w:footnoteReference w:id="61"/>
      </w:r>
      <w:r>
        <w:t xml:space="preserve"> so </w:t>
      </w:r>
      <w:r w:rsidR="005B2AC7">
        <w:t xml:space="preserve">to what extent </w:t>
      </w:r>
      <w:r>
        <w:t xml:space="preserve">can the authority to </w:t>
      </w:r>
      <w:r w:rsidR="009F2659">
        <w:t xml:space="preserve">instruct legal advisers </w:t>
      </w:r>
      <w:r w:rsidR="003D30E3">
        <w:t>(i.e. the authority to form part of the directing mind and will of the corporate client</w:t>
      </w:r>
      <w:r w:rsidR="003D30E3" w:rsidDel="009F2659">
        <w:t xml:space="preserve"> </w:t>
      </w:r>
      <w:r w:rsidR="003D30E3">
        <w:t xml:space="preserve">for the limited purpose of preparing and communicating instructions) </w:t>
      </w:r>
      <w:r>
        <w:t xml:space="preserve"> be  delegated </w:t>
      </w:r>
      <w:r w:rsidR="009F2659">
        <w:t xml:space="preserve">effectively </w:t>
      </w:r>
      <w:r>
        <w:t xml:space="preserve">within the company </w:t>
      </w:r>
      <w:r w:rsidR="00230FD4">
        <w:t xml:space="preserve">without losing privilege? </w:t>
      </w:r>
    </w:p>
    <w:p w:rsidR="00DE768D" w:rsidRDefault="00230FD4" w:rsidP="00EC6733">
      <w:pPr>
        <w:spacing w:line="288" w:lineRule="auto"/>
      </w:pPr>
      <w:r>
        <w:t>T</w:t>
      </w:r>
      <w:r w:rsidR="009C1027">
        <w:t xml:space="preserve">he decision in </w:t>
      </w:r>
      <w:r w:rsidR="009C1027" w:rsidRPr="009C1027">
        <w:rPr>
          <w:i/>
        </w:rPr>
        <w:t>Three Rivers</w:t>
      </w:r>
      <w:r w:rsidR="009C1027">
        <w:rPr>
          <w:i/>
        </w:rPr>
        <w:t xml:space="preserve"> </w:t>
      </w:r>
      <w:r w:rsidR="008458AE">
        <w:rPr>
          <w:i/>
        </w:rPr>
        <w:t xml:space="preserve">District Council &amp; Others v The Governor &amp; Company of the Bank of England </w:t>
      </w:r>
      <w:r w:rsidR="009C1027">
        <w:rPr>
          <w:i/>
        </w:rPr>
        <w:t>(No 5</w:t>
      </w:r>
      <w:proofErr w:type="gramStart"/>
      <w:r w:rsidR="009C1027">
        <w:rPr>
          <w:i/>
        </w:rPr>
        <w:t>)</w:t>
      </w:r>
      <w:proofErr w:type="gramEnd"/>
      <w:r w:rsidR="00480BE4">
        <w:rPr>
          <w:rStyle w:val="FootnoteReference"/>
          <w:i/>
        </w:rPr>
        <w:footnoteReference w:id="62"/>
      </w:r>
      <w:r w:rsidR="00995044">
        <w:t>(</w:t>
      </w:r>
      <w:r w:rsidR="00995044" w:rsidRPr="00085AA1">
        <w:rPr>
          <w:i/>
        </w:rPr>
        <w:t>Three Rivers</w:t>
      </w:r>
      <w:r w:rsidR="00995044">
        <w:t xml:space="preserve">) </w:t>
      </w:r>
      <w:r w:rsidR="00C93285">
        <w:t>i</w:t>
      </w:r>
      <w:r w:rsidR="00A415B8">
        <w:t>ndicates</w:t>
      </w:r>
      <w:r w:rsidR="009C1027">
        <w:t xml:space="preserve"> that a designated </w:t>
      </w:r>
      <w:r w:rsidR="00A415B8">
        <w:t xml:space="preserve">person or </w:t>
      </w:r>
      <w:r w:rsidR="009C1027">
        <w:t xml:space="preserve">body can be the client for </w:t>
      </w:r>
      <w:r w:rsidR="00BF2A6C">
        <w:t xml:space="preserve">legal advice </w:t>
      </w:r>
      <w:r w:rsidR="009C1027">
        <w:t>privilege purposes</w:t>
      </w:r>
      <w:r w:rsidR="00A415B8">
        <w:t xml:space="preserve">.  </w:t>
      </w:r>
      <w:r w:rsidR="00E475CC">
        <w:t xml:space="preserve">It was conceded in </w:t>
      </w:r>
      <w:r w:rsidR="00E475CC" w:rsidRPr="00E475CC">
        <w:rPr>
          <w:i/>
        </w:rPr>
        <w:t>Three Rivers</w:t>
      </w:r>
      <w:r w:rsidR="007C4568">
        <w:rPr>
          <w:i/>
        </w:rPr>
        <w:t xml:space="preserve"> </w:t>
      </w:r>
      <w:r w:rsidR="00E475CC">
        <w:t>that the body established by the Bank of England (the B</w:t>
      </w:r>
      <w:r w:rsidR="005960EA">
        <w:t xml:space="preserve">ingham </w:t>
      </w:r>
      <w:r w:rsidR="00E475CC">
        <w:t>I</w:t>
      </w:r>
      <w:r w:rsidR="005960EA">
        <w:t xml:space="preserve">nquiry </w:t>
      </w:r>
      <w:r w:rsidR="00E475CC">
        <w:t>U</w:t>
      </w:r>
      <w:r w:rsidR="005960EA">
        <w:t>nit (BIU)</w:t>
      </w:r>
      <w:r w:rsidR="00E475CC">
        <w:t xml:space="preserve">) to </w:t>
      </w:r>
      <w:r w:rsidR="007A683C">
        <w:t>deal with communications between the Bank and the Bingham Inquiry</w:t>
      </w:r>
      <w:r w:rsidR="00E256F2">
        <w:t>,</w:t>
      </w:r>
      <w:r w:rsidR="007A683C">
        <w:t xml:space="preserve"> and in that context to </w:t>
      </w:r>
      <w:r w:rsidR="00E475CC">
        <w:t>seek and receive advice from the lawyers</w:t>
      </w:r>
      <w:r w:rsidR="00E256F2">
        <w:t>,</w:t>
      </w:r>
      <w:r w:rsidR="00E475CC">
        <w:t xml:space="preserve"> was the client</w:t>
      </w:r>
      <w:r w:rsidR="00E475CC">
        <w:rPr>
          <w:rStyle w:val="FootnoteReference"/>
        </w:rPr>
        <w:footnoteReference w:id="63"/>
      </w:r>
      <w:r w:rsidR="00E475CC">
        <w:t>. There was therefore no further analysis of the position that the BIU held in the Bank</w:t>
      </w:r>
      <w:r w:rsidR="00511DDD">
        <w:t xml:space="preserve"> and the attribution theory was not explored. </w:t>
      </w:r>
      <w:r w:rsidR="009B3A56">
        <w:t xml:space="preserve">However, it could be argued that the BIU represented the directing mind and will of the Bank for the purpose of instructing/communicating with the Bank’s lawyers. </w:t>
      </w:r>
      <w:r w:rsidR="00FC4219">
        <w:t xml:space="preserve">The position was that three officials of the Bank of England were appointed by the Governor to deal with all communications between the Bank and those conducting the Bingham Inquiry. In connection thereto, the BIU sought and received legal advice from the Bank’s solicitors. It is not apparent that the authority delegated to them by the Governor meant that they and </w:t>
      </w:r>
      <w:r w:rsidR="00FC4219" w:rsidRPr="00AF2017">
        <w:rPr>
          <w:i/>
        </w:rPr>
        <w:t>they alone</w:t>
      </w:r>
      <w:r w:rsidR="00FC4219">
        <w:t xml:space="preserve"> made decisions regarding presentation of evidence to the Bingham Inquiry. In essence ‘The preparation and communication of information and instructions to the bank’s legal advisers to enable them to </w:t>
      </w:r>
      <w:proofErr w:type="gramStart"/>
      <w:r w:rsidR="00FC4219">
        <w:t>advise</w:t>
      </w:r>
      <w:proofErr w:type="gramEnd"/>
      <w:r w:rsidR="00FC4219">
        <w:t xml:space="preserve"> pursuant to their retainer was the central role performed by the BIU.’</w:t>
      </w:r>
      <w:r w:rsidR="00FC4219">
        <w:rPr>
          <w:rStyle w:val="FootnoteReference"/>
        </w:rPr>
        <w:footnoteReference w:id="64"/>
      </w:r>
      <w:r w:rsidR="00FC4219">
        <w:t xml:space="preserve"> So, the BIU appears to have been given authority to create information and to communicate with the lawyers, which included giving them instructions.</w:t>
      </w:r>
    </w:p>
    <w:p w:rsidR="00DE768D" w:rsidRPr="00916FE8" w:rsidRDefault="00DE768D" w:rsidP="00EC6733">
      <w:pPr>
        <w:spacing w:line="288" w:lineRule="auto"/>
        <w:rPr>
          <w:i/>
        </w:rPr>
      </w:pPr>
      <w:r>
        <w:t xml:space="preserve">It could be argued that the restrictive approach adopted in </w:t>
      </w:r>
      <w:r w:rsidRPr="00701F9A">
        <w:rPr>
          <w:i/>
        </w:rPr>
        <w:t>Three Rivers</w:t>
      </w:r>
      <w:r>
        <w:t xml:space="preserve"> of requiring the court to identify a specific client within the company was a consequence of the court applying public policy considerations in order to impose a constraint on the ambit of the privilege. Higgins suggests that in </w:t>
      </w:r>
      <w:r w:rsidRPr="006D5471">
        <w:rPr>
          <w:i/>
        </w:rPr>
        <w:t xml:space="preserve">Three Rivers </w:t>
      </w:r>
      <w:r>
        <w:t>there were public policy issues at play in the court’s decision making, to prevent large amounts of information being withheld from disclosure</w:t>
      </w:r>
      <w:r>
        <w:rPr>
          <w:rStyle w:val="FootnoteReference"/>
        </w:rPr>
        <w:footnoteReference w:id="65"/>
      </w:r>
      <w:r>
        <w:t>. It is certainly true that reference was made to a national institution gathering evidence for a Government inquiry, although this was in the context of assessing the dominant purpose for the preparation of documentary material</w:t>
      </w:r>
      <w:r>
        <w:rPr>
          <w:rStyle w:val="FootnoteReference"/>
        </w:rPr>
        <w:footnoteReference w:id="66"/>
      </w:r>
      <w:r>
        <w:t>, rather than in relation to restricting the client to the BIU. However, it is not such a stretch to suggest that the public nature of the Bank</w:t>
      </w:r>
      <w:r>
        <w:rPr>
          <w:rStyle w:val="FootnoteReference"/>
        </w:rPr>
        <w:footnoteReference w:id="67"/>
      </w:r>
      <w:r>
        <w:t xml:space="preserve"> may have been some incentive to restrict privilege to communications from and to the BIU rather than encompassing a wider group</w:t>
      </w:r>
      <w:r>
        <w:rPr>
          <w:rStyle w:val="FootnoteReference"/>
        </w:rPr>
        <w:footnoteReference w:id="68"/>
      </w:r>
      <w:r>
        <w:t xml:space="preserve">. It is possible that </w:t>
      </w:r>
      <w:r>
        <w:lastRenderedPageBreak/>
        <w:t xml:space="preserve">such an approach could be taken as a way to keep the ambit of the privilege within reasonable bounds where a company had chosen to delegate authority to a wide group, designated as the client, in order that as many communications as possible benefit from privilege. </w:t>
      </w:r>
      <w:r w:rsidR="00364A01">
        <w:t>Such an approach might well be attractive to</w:t>
      </w:r>
      <w:r>
        <w:t xml:space="preserve"> a court, faced with privilege issues where a large number of employees are within a group designated to communicate with t</w:t>
      </w:r>
      <w:r w:rsidR="00364A01">
        <w:t>he company’s lawye</w:t>
      </w:r>
      <w:r w:rsidR="00701F9A">
        <w:t>rs, and the court suspects that</w:t>
      </w:r>
      <w:r w:rsidR="00364A01">
        <w:t xml:space="preserve"> this i</w:t>
      </w:r>
      <w:r>
        <w:t>s a contrived device</w:t>
      </w:r>
      <w:r w:rsidR="00364A01">
        <w:t xml:space="preserve"> intended to attach privilege to as wide a variety of communications as possible</w:t>
      </w:r>
      <w:r>
        <w:rPr>
          <w:rStyle w:val="FootnoteReference"/>
        </w:rPr>
        <w:footnoteReference w:id="69"/>
      </w:r>
      <w:r>
        <w:t xml:space="preserve">.  </w:t>
      </w:r>
      <w:r w:rsidRPr="00916FE8">
        <w:t xml:space="preserve">The public interest concerns around courts having access to as much relevant material as possible upon which to base their judgments, and </w:t>
      </w:r>
      <w:r w:rsidR="00701F9A">
        <w:t>the effect of privilege, apply</w:t>
      </w:r>
      <w:r w:rsidRPr="00916FE8">
        <w:t xml:space="preserve"> quite generally</w:t>
      </w:r>
      <w:r w:rsidRPr="00916FE8">
        <w:rPr>
          <w:rStyle w:val="FootnoteReference"/>
        </w:rPr>
        <w:footnoteReference w:id="70"/>
      </w:r>
      <w:r w:rsidRPr="00916FE8">
        <w:t>. Whether the nature of the organisation asserting privilege brings some secondary public interest issue with it is yet to be seen.  For example, this secondary issue is unlikely to apply to most companies or limited liability partnerships, but may apply to quasi-public bodies such as Universities. The question is, does the nature of these organisations mean that privilege is more likely to be restricted through a narrow reading of who within the organisation represent</w:t>
      </w:r>
      <w:r w:rsidR="005636DB">
        <w:t xml:space="preserve">s the client? </w:t>
      </w:r>
      <w:r w:rsidR="005636DB" w:rsidRPr="005636DB">
        <w:rPr>
          <w:i/>
        </w:rPr>
        <w:t>Three Rivers</w:t>
      </w:r>
      <w:r w:rsidR="005636DB">
        <w:t xml:space="preserve"> </w:t>
      </w:r>
      <w:r w:rsidRPr="00916FE8">
        <w:t>perhaps hints that this might be the case.</w:t>
      </w:r>
      <w:r>
        <w:t xml:space="preserve"> </w:t>
      </w:r>
    </w:p>
    <w:p w:rsidR="009F2659" w:rsidRDefault="009B3A56" w:rsidP="00EC6733">
      <w:pPr>
        <w:spacing w:line="288" w:lineRule="auto"/>
      </w:pPr>
      <w:r>
        <w:t xml:space="preserve">It seems clear that different persons </w:t>
      </w:r>
      <w:r w:rsidR="00807B25">
        <w:t xml:space="preserve">within the company </w:t>
      </w:r>
      <w:r>
        <w:t>may meet the requirements of being the directing mind and w</w:t>
      </w:r>
      <w:r w:rsidR="00807B25">
        <w:t>ill of</w:t>
      </w:r>
      <w:r>
        <w:t xml:space="preserve"> a company for different purposes</w:t>
      </w:r>
      <w:r>
        <w:rPr>
          <w:rStyle w:val="FootnoteReference"/>
        </w:rPr>
        <w:footnoteReference w:id="71"/>
      </w:r>
      <w:r>
        <w:t xml:space="preserve">. </w:t>
      </w:r>
      <w:r w:rsidR="005237F0">
        <w:t xml:space="preserve">It may seem surprising that, in </w:t>
      </w:r>
      <w:r w:rsidR="005237F0" w:rsidRPr="007C4568">
        <w:rPr>
          <w:i/>
        </w:rPr>
        <w:t>Three Rivers</w:t>
      </w:r>
      <w:r w:rsidR="005237F0">
        <w:t>, the court stated that the Governor of the Bank of England was not the client</w:t>
      </w:r>
      <w:r w:rsidR="00C97AF1">
        <w:rPr>
          <w:rStyle w:val="FootnoteReference"/>
        </w:rPr>
        <w:footnoteReference w:id="72"/>
      </w:r>
      <w:r w:rsidR="00E256F2">
        <w:t>. However,</w:t>
      </w:r>
      <w:r w:rsidR="004E1FCA">
        <w:t xml:space="preserve"> </w:t>
      </w:r>
      <w:r w:rsidR="005237F0">
        <w:t>the decisio</w:t>
      </w:r>
      <w:r w:rsidR="00630875">
        <w:t>n was fact specific ‘</w:t>
      </w:r>
      <w:r w:rsidR="005237F0">
        <w:t>for t</w:t>
      </w:r>
      <w:r w:rsidR="00630875">
        <w:t>he purposes of this application’</w:t>
      </w:r>
      <w:r w:rsidR="00B069ED">
        <w:t>, and the point arose in the context of a hypothetical ques</w:t>
      </w:r>
      <w:r w:rsidR="00015738">
        <w:t>tion concerning the position had</w:t>
      </w:r>
      <w:r w:rsidR="00B069ED">
        <w:t xml:space="preserve"> the Governor noted his recollection of </w:t>
      </w:r>
      <w:r w:rsidR="00E256F2">
        <w:t xml:space="preserve">relevant </w:t>
      </w:r>
      <w:proofErr w:type="gramStart"/>
      <w:r w:rsidR="00B069ED">
        <w:t>events  and</w:t>
      </w:r>
      <w:proofErr w:type="gramEnd"/>
      <w:r w:rsidR="00B069ED">
        <w:t xml:space="preserve"> passed them to the BIU for transmission to the legal advisers.</w:t>
      </w:r>
      <w:r w:rsidR="00C97AF1">
        <w:rPr>
          <w:rStyle w:val="FootnoteReference"/>
        </w:rPr>
        <w:footnoteReference w:id="73"/>
      </w:r>
      <w:r w:rsidR="00B069ED">
        <w:t xml:space="preserve"> The </w:t>
      </w:r>
      <w:proofErr w:type="gramStart"/>
      <w:r w:rsidR="00B069ED">
        <w:t>Court  of</w:t>
      </w:r>
      <w:proofErr w:type="gramEnd"/>
      <w:r w:rsidR="00B069ED">
        <w:t xml:space="preserve"> Appeal had previously recognised that the Governor had appointed the BIU to deal with the legal advisers </w:t>
      </w:r>
      <w:r w:rsidR="00C97AF1">
        <w:rPr>
          <w:rStyle w:val="FootnoteReference"/>
        </w:rPr>
        <w:footnoteReference w:id="74"/>
      </w:r>
      <w:r w:rsidR="00C97AF1">
        <w:t xml:space="preserve"> </w:t>
      </w:r>
      <w:r w:rsidR="00B069ED">
        <w:t xml:space="preserve">; presumably the Governor could, had he wished, have decided to perform that function himself. </w:t>
      </w:r>
      <w:r w:rsidR="00630875">
        <w:t>Indeed, where a b</w:t>
      </w:r>
      <w:r w:rsidR="00015738">
        <w:t>oard delegates authority to instruct a legal adviser, it seems that both the Board and the agent will be clients for the purposes of legal professional privilege.</w:t>
      </w:r>
      <w:r w:rsidR="00015738">
        <w:rPr>
          <w:rStyle w:val="FootnoteReference"/>
        </w:rPr>
        <w:footnoteReference w:id="75"/>
      </w:r>
      <w:r w:rsidR="00015738">
        <w:t xml:space="preserve">  </w:t>
      </w:r>
      <w:r w:rsidR="0051482C">
        <w:t>Thus it seems that the client may have multiple personalities, represented not only by the board but by each person or group which the corporation authorise</w:t>
      </w:r>
      <w:r w:rsidR="0041629B">
        <w:t>d</w:t>
      </w:r>
      <w:r w:rsidR="0051482C">
        <w:t xml:space="preserve"> to instruct the lawyers</w:t>
      </w:r>
      <w:r w:rsidR="00594C23">
        <w:t xml:space="preserve"> for particular purposes</w:t>
      </w:r>
      <w:r w:rsidR="0051482C">
        <w:t>.</w:t>
      </w:r>
      <w:r w:rsidR="0051482C">
        <w:rPr>
          <w:rStyle w:val="FootnoteReference"/>
        </w:rPr>
        <w:footnoteReference w:id="76"/>
      </w:r>
      <w:r w:rsidR="005F797C">
        <w:t xml:space="preserve"> </w:t>
      </w:r>
      <w:r w:rsidR="00881C35">
        <w:t xml:space="preserve">In </w:t>
      </w:r>
      <w:r w:rsidR="008A1E1B" w:rsidRPr="007C4568">
        <w:rPr>
          <w:i/>
        </w:rPr>
        <w:t xml:space="preserve">Menon and others v </w:t>
      </w:r>
      <w:proofErr w:type="spellStart"/>
      <w:r w:rsidR="008A1E1B" w:rsidRPr="007C4568">
        <w:rPr>
          <w:i/>
        </w:rPr>
        <w:t>Heredfordshire</w:t>
      </w:r>
      <w:proofErr w:type="spellEnd"/>
      <w:r w:rsidR="008A1E1B" w:rsidRPr="007C4568">
        <w:rPr>
          <w:i/>
        </w:rPr>
        <w:t xml:space="preserve"> Council</w:t>
      </w:r>
      <w:r w:rsidR="008A1E1B">
        <w:rPr>
          <w:rStyle w:val="FootnoteReference"/>
        </w:rPr>
        <w:footnoteReference w:id="77"/>
      </w:r>
      <w:r w:rsidR="008A1E1B">
        <w:t>, Lewis LJ held that com</w:t>
      </w:r>
      <w:r w:rsidR="00594C23">
        <w:t>m</w:t>
      </w:r>
      <w:r w:rsidR="008A1E1B">
        <w:t xml:space="preserve">unications between employees of a Local Authority and the Authority’s in-house legal team were covered by legal advice privilege because he accepted </w:t>
      </w:r>
      <w:proofErr w:type="gramStart"/>
      <w:r w:rsidR="008A1E1B">
        <w:t>that  all</w:t>
      </w:r>
      <w:proofErr w:type="gramEnd"/>
      <w:r w:rsidR="008A1E1B">
        <w:t xml:space="preserve"> employees of the Local Authority were authorised to obtain legal advice from the in-house team in relation to the work they carried out as and when necessary. </w:t>
      </w:r>
      <w:r w:rsidR="00881C35">
        <w:t xml:space="preserve">In </w:t>
      </w:r>
      <w:r w:rsidR="00881C35" w:rsidRPr="007C4568">
        <w:rPr>
          <w:i/>
        </w:rPr>
        <w:t xml:space="preserve">AB </w:t>
      </w:r>
      <w:r w:rsidR="00881C35" w:rsidRPr="007C4568">
        <w:rPr>
          <w:i/>
        </w:rPr>
        <w:lastRenderedPageBreak/>
        <w:t>v Ministry of Justice</w:t>
      </w:r>
      <w:r w:rsidR="00881C35">
        <w:rPr>
          <w:rStyle w:val="FootnoteReference"/>
        </w:rPr>
        <w:footnoteReference w:id="78"/>
      </w:r>
      <w:r w:rsidR="00701F9A">
        <w:t>, Baker J</w:t>
      </w:r>
      <w:r w:rsidR="00881C35">
        <w:t xml:space="preserve"> held that, in the absence of evidence of specific delegation to another entity, a head of department had implicit authority to seek legal advice from the departments</w:t>
      </w:r>
      <w:r w:rsidR="00594C23">
        <w:t>’</w:t>
      </w:r>
      <w:r w:rsidR="00881C35">
        <w:t xml:space="preserve"> in</w:t>
      </w:r>
      <w:r w:rsidR="00995044">
        <w:t>-</w:t>
      </w:r>
      <w:r w:rsidR="00881C35">
        <w:t>house lawyers, which was covered by legal advice privilege.</w:t>
      </w:r>
      <w:r w:rsidR="006A388F">
        <w:t xml:space="preserve"> </w:t>
      </w:r>
      <w:r w:rsidR="00ED2652">
        <w:t xml:space="preserve">In these cases the legal advice sought did not concern </w:t>
      </w:r>
      <w:r w:rsidR="002A7515">
        <w:t xml:space="preserve">potential </w:t>
      </w:r>
      <w:r w:rsidR="00040F8E">
        <w:t xml:space="preserve">criminal </w:t>
      </w:r>
      <w:r w:rsidR="002A7515">
        <w:t>liability</w:t>
      </w:r>
      <w:r w:rsidR="00040F8E">
        <w:t xml:space="preserve">, however, the </w:t>
      </w:r>
      <w:r w:rsidR="002A7515">
        <w:t>position would clearly be the same if it had.</w:t>
      </w:r>
    </w:p>
    <w:p w:rsidR="00CF22AE" w:rsidRDefault="00BD69DE" w:rsidP="00EC6733">
      <w:pPr>
        <w:spacing w:line="288" w:lineRule="auto"/>
      </w:pPr>
      <w:proofErr w:type="spellStart"/>
      <w:r>
        <w:t>Ho</w:t>
      </w:r>
      <w:proofErr w:type="spellEnd"/>
      <w:r>
        <w:t xml:space="preserve"> suggests that </w:t>
      </w:r>
      <w:r w:rsidR="00A415B8">
        <w:t xml:space="preserve">there are two tenable </w:t>
      </w:r>
      <w:r w:rsidR="001730EB">
        <w:t>interpretations</w:t>
      </w:r>
      <w:r w:rsidR="00A415B8">
        <w:t xml:space="preserve"> of the rationale underlying the decision in </w:t>
      </w:r>
      <w:r w:rsidR="00A415B8" w:rsidRPr="00807B25">
        <w:rPr>
          <w:i/>
        </w:rPr>
        <w:t>Three Rivers</w:t>
      </w:r>
      <w:r w:rsidR="00A415B8">
        <w:t xml:space="preserve">. </w:t>
      </w:r>
      <w:r>
        <w:t xml:space="preserve"> </w:t>
      </w:r>
      <w:proofErr w:type="spellStart"/>
      <w:r w:rsidR="0079327F">
        <w:t>Ho</w:t>
      </w:r>
      <w:proofErr w:type="spellEnd"/>
      <w:r w:rsidR="0079327F">
        <w:t xml:space="preserve"> regards </w:t>
      </w:r>
      <w:r w:rsidR="00ED2652">
        <w:t>t</w:t>
      </w:r>
      <w:r>
        <w:t>he Bank of England as the clie</w:t>
      </w:r>
      <w:r w:rsidR="00C363B5">
        <w:t xml:space="preserve">nt and the BIU as </w:t>
      </w:r>
      <w:r w:rsidR="0079327F">
        <w:t xml:space="preserve">either </w:t>
      </w:r>
      <w:r w:rsidR="00C363B5">
        <w:t>communicating</w:t>
      </w:r>
      <w:r w:rsidR="0030560C">
        <w:rPr>
          <w:i/>
        </w:rPr>
        <w:t xml:space="preserve"> </w:t>
      </w:r>
      <w:r w:rsidR="00630875">
        <w:t xml:space="preserve">with the lawyers </w:t>
      </w:r>
      <w:proofErr w:type="gramStart"/>
      <w:r w:rsidR="00630875">
        <w:t>‘</w:t>
      </w:r>
      <w:r>
        <w:t xml:space="preserve"> </w:t>
      </w:r>
      <w:r w:rsidRPr="00BD69DE">
        <w:rPr>
          <w:i/>
        </w:rPr>
        <w:t>as</w:t>
      </w:r>
      <w:proofErr w:type="gramEnd"/>
      <w:r>
        <w:t xml:space="preserve"> the client (being employees who personified the BOE for purposes of privilege) or </w:t>
      </w:r>
      <w:r w:rsidRPr="00BD69DE">
        <w:rPr>
          <w:i/>
        </w:rPr>
        <w:t>on behalf of</w:t>
      </w:r>
      <w:r>
        <w:t xml:space="preserve"> the client (as employees authorised by the BOE to conduct privileged communications on it</w:t>
      </w:r>
      <w:r w:rsidR="00024942">
        <w:t>s</w:t>
      </w:r>
      <w:r w:rsidR="00630875">
        <w:t xml:space="preserve"> behalf with </w:t>
      </w:r>
      <w:proofErr w:type="spellStart"/>
      <w:r w:rsidR="00630875">
        <w:t>Freshfields</w:t>
      </w:r>
      <w:proofErr w:type="spellEnd"/>
      <w:r w:rsidR="00630875">
        <w:t>’</w:t>
      </w:r>
      <w:r>
        <w:t>)</w:t>
      </w:r>
      <w:r>
        <w:rPr>
          <w:rStyle w:val="FootnoteReference"/>
        </w:rPr>
        <w:footnoteReference w:id="79"/>
      </w:r>
      <w:r>
        <w:t>.</w:t>
      </w:r>
      <w:r w:rsidR="001730EB">
        <w:t xml:space="preserve"> Given that the BIU was not merely acting as a conduit</w:t>
      </w:r>
      <w:r w:rsidR="005A0B45">
        <w:t>,</w:t>
      </w:r>
      <w:r w:rsidR="00C57DE3">
        <w:t xml:space="preserve"> </w:t>
      </w:r>
      <w:r w:rsidR="001730EB">
        <w:t>communicating instructions from the Bank of England to its legal advisers</w:t>
      </w:r>
      <w:r w:rsidR="005A0B45">
        <w:t>,</w:t>
      </w:r>
      <w:r w:rsidR="001730EB">
        <w:t xml:space="preserve"> but was itself preparing those instructions, it is the former rather than the latter interpretation that appears to reflect the reality of the situation</w:t>
      </w:r>
      <w:r w:rsidR="003D30E3">
        <w:t xml:space="preserve"> in </w:t>
      </w:r>
      <w:r w:rsidR="003D30E3" w:rsidRPr="007C4568">
        <w:rPr>
          <w:i/>
        </w:rPr>
        <w:t>Three Rivers</w:t>
      </w:r>
      <w:r w:rsidR="0079327F">
        <w:t xml:space="preserve"> and is consistent with the attribution principle.</w:t>
      </w:r>
      <w:r w:rsidR="00916FE8">
        <w:t xml:space="preserve"> </w:t>
      </w:r>
      <w:proofErr w:type="spellStart"/>
      <w:r w:rsidR="0079327F">
        <w:t>Loughrey</w:t>
      </w:r>
      <w:proofErr w:type="spellEnd"/>
      <w:r w:rsidR="0079327F">
        <w:t xml:space="preserve"> suggests that the crucial point in determining whether communications between an employee of a company and a lawyer are privileged is the kind of authority the employee is exercising on behalf of the company</w:t>
      </w:r>
      <w:r w:rsidR="0079327F">
        <w:rPr>
          <w:rStyle w:val="FootnoteReference"/>
        </w:rPr>
        <w:footnoteReference w:id="80"/>
      </w:r>
      <w:r w:rsidR="0079327F">
        <w:t xml:space="preserve">. This is important because, as </w:t>
      </w:r>
      <w:proofErr w:type="spellStart"/>
      <w:r w:rsidR="0079327F">
        <w:t>Loughrey</w:t>
      </w:r>
      <w:proofErr w:type="spellEnd"/>
      <w:r w:rsidR="0079327F">
        <w:t xml:space="preserve"> points out, ‘a company can be said to act or communicate through all of its employed agents for one purpose or another’.</w:t>
      </w:r>
      <w:r w:rsidR="0079327F">
        <w:rPr>
          <w:rStyle w:val="FootnoteReference"/>
        </w:rPr>
        <w:footnoteReference w:id="81"/>
      </w:r>
      <w:r w:rsidR="0079327F">
        <w:t xml:space="preserve">What is the appropriate extent of delegated authority that is required in order to confer “client” status? </w:t>
      </w:r>
      <w:r w:rsidR="0079327F">
        <w:rPr>
          <w:i/>
        </w:rPr>
        <w:t xml:space="preserve"> </w:t>
      </w:r>
      <w:r w:rsidR="007048CC">
        <w:t xml:space="preserve">The crucial </w:t>
      </w:r>
      <w:r w:rsidR="00376AB0" w:rsidRPr="00A91425">
        <w:t>distin</w:t>
      </w:r>
      <w:r w:rsidR="00C80C0A">
        <w:t xml:space="preserve">ction </w:t>
      </w:r>
      <w:r w:rsidR="007048CC">
        <w:t>is</w:t>
      </w:r>
      <w:r w:rsidR="00C80C0A">
        <w:t xml:space="preserve"> </w:t>
      </w:r>
      <w:r w:rsidR="007048CC">
        <w:t xml:space="preserve">between </w:t>
      </w:r>
      <w:r w:rsidR="00376AB0" w:rsidRPr="00A91425">
        <w:t>an intermediate agent</w:t>
      </w:r>
      <w:r w:rsidR="007048CC">
        <w:t xml:space="preserve"> authorised to communicate instructions prepared by</w:t>
      </w:r>
      <w:r w:rsidR="00630875">
        <w:t xml:space="preserve"> </w:t>
      </w:r>
      <w:r w:rsidR="007048CC">
        <w:t xml:space="preserve">the client to the client’s legal advisers </w:t>
      </w:r>
      <w:r w:rsidR="00145630">
        <w:t xml:space="preserve"> </w:t>
      </w:r>
      <w:r w:rsidR="003D30E3">
        <w:t>(who in our view would not form part of the directing mind and will of the corporate client</w:t>
      </w:r>
      <w:r w:rsidR="003D30E3" w:rsidDel="009F2659">
        <w:t xml:space="preserve"> </w:t>
      </w:r>
      <w:r w:rsidR="003D30E3">
        <w:t>for the purpose of preparing and communicating instructions)</w:t>
      </w:r>
      <w:r w:rsidR="00630875">
        <w:t>,</w:t>
      </w:r>
      <w:r w:rsidR="003D30E3">
        <w:t xml:space="preserve"> </w:t>
      </w:r>
      <w:r w:rsidR="00145630">
        <w:t xml:space="preserve">and an agent </w:t>
      </w:r>
      <w:r w:rsidR="007048CC">
        <w:t xml:space="preserve">authorised by the client </w:t>
      </w:r>
      <w:r w:rsidR="00145630">
        <w:t xml:space="preserve">to </w:t>
      </w:r>
      <w:r w:rsidR="007048CC">
        <w:t xml:space="preserve">prepare </w:t>
      </w:r>
      <w:r w:rsidR="00145630">
        <w:t>instruct</w:t>
      </w:r>
      <w:r w:rsidR="007048CC">
        <w:t>ions to</w:t>
      </w:r>
      <w:r w:rsidR="00145630">
        <w:t xml:space="preserve"> the lawyers</w:t>
      </w:r>
      <w:r w:rsidR="007048CC">
        <w:t xml:space="preserve"> on the client’s behalf</w:t>
      </w:r>
      <w:r w:rsidR="003D30E3">
        <w:t xml:space="preserve"> (who would</w:t>
      </w:r>
      <w:r w:rsidR="00703E8A">
        <w:t>, via delegation of authority,</w:t>
      </w:r>
      <w:r w:rsidR="003D30E3">
        <w:t xml:space="preserve"> form part of the directing mind and will of the corporate client for that purpose)</w:t>
      </w:r>
      <w:r w:rsidR="00C871FE">
        <w:rPr>
          <w:rStyle w:val="FootnoteReference"/>
        </w:rPr>
        <w:footnoteReference w:id="82"/>
      </w:r>
      <w:r w:rsidR="00376AB0" w:rsidRPr="00A91425">
        <w:t>.</w:t>
      </w:r>
      <w:r w:rsidR="00630875">
        <w:t xml:space="preserve"> </w:t>
      </w:r>
      <w:r w:rsidR="00376AB0" w:rsidRPr="00A91425">
        <w:t>Although legal advice privilege can attach to communications between client and lawy</w:t>
      </w:r>
      <w:r w:rsidR="00630875">
        <w:t>er where they are made through ‘an intermediate agent of either’</w:t>
      </w:r>
      <w:r w:rsidR="00376AB0" w:rsidRPr="00A91425">
        <w:rPr>
          <w:rStyle w:val="FootnoteReference"/>
        </w:rPr>
        <w:footnoteReference w:id="83"/>
      </w:r>
      <w:r w:rsidR="00376AB0" w:rsidRPr="00A91425">
        <w:t xml:space="preserve">, this does not apply where </w:t>
      </w:r>
      <w:r w:rsidR="007048CC">
        <w:t>such an</w:t>
      </w:r>
      <w:r w:rsidR="00807B25">
        <w:t xml:space="preserve"> </w:t>
      </w:r>
      <w:r w:rsidR="00376AB0" w:rsidRPr="00A91425">
        <w:t>agent goes beyond b</w:t>
      </w:r>
      <w:r w:rsidR="00334D5E" w:rsidRPr="00A91425">
        <w:t>eing a channel of communication, for example by bringing material into existence</w:t>
      </w:r>
      <w:r w:rsidR="00334D5E" w:rsidRPr="00807B25">
        <w:rPr>
          <w:rStyle w:val="FootnoteReference"/>
          <w:i/>
        </w:rPr>
        <w:footnoteReference w:id="84"/>
      </w:r>
      <w:r w:rsidR="00334D5E" w:rsidRPr="00807B25">
        <w:rPr>
          <w:i/>
        </w:rPr>
        <w:t>.</w:t>
      </w:r>
      <w:r w:rsidR="00376AB0" w:rsidRPr="00807B25">
        <w:rPr>
          <w:i/>
        </w:rPr>
        <w:t xml:space="preserve"> </w:t>
      </w:r>
      <w:r w:rsidR="00376AB0" w:rsidRPr="00145630">
        <w:rPr>
          <w:i/>
        </w:rPr>
        <w:t xml:space="preserve"> </w:t>
      </w:r>
      <w:r w:rsidR="007048CC" w:rsidRPr="00B76963">
        <w:t>In contrast,</w:t>
      </w:r>
      <w:r w:rsidR="007048CC">
        <w:rPr>
          <w:i/>
        </w:rPr>
        <w:t xml:space="preserve"> </w:t>
      </w:r>
      <w:r w:rsidR="007048CC" w:rsidRPr="00B76963">
        <w:t xml:space="preserve">where an agent is authorised to prepare </w:t>
      </w:r>
      <w:r w:rsidR="003D30E3">
        <w:t xml:space="preserve">and communicate </w:t>
      </w:r>
      <w:r w:rsidR="007048CC" w:rsidRPr="00B76963">
        <w:t xml:space="preserve">instructions, </w:t>
      </w:r>
      <w:r w:rsidR="003D30E3">
        <w:t xml:space="preserve">it seems that </w:t>
      </w:r>
      <w:r w:rsidR="007048CC" w:rsidRPr="00B76963">
        <w:t>communication of those instructions to the client’s legal advisers is privileged even if the legal advice is to be communicated back to the client itself and not to the agent.</w:t>
      </w:r>
      <w:r w:rsidR="007D4945">
        <w:rPr>
          <w:rStyle w:val="FootnoteReference"/>
        </w:rPr>
        <w:footnoteReference w:id="85"/>
      </w:r>
      <w:r w:rsidR="00A23353">
        <w:t xml:space="preserve"> </w:t>
      </w:r>
      <w:r w:rsidR="00195B76">
        <w:t xml:space="preserve"> </w:t>
      </w:r>
    </w:p>
    <w:p w:rsidR="000C3E41" w:rsidRDefault="00C80942" w:rsidP="00EC6733">
      <w:pPr>
        <w:spacing w:line="288" w:lineRule="auto"/>
      </w:pPr>
      <w:r>
        <w:lastRenderedPageBreak/>
        <w:t>An additional distinction is between authority of the two types mentioned immediately above and authority merely to provide information to the client or the client</w:t>
      </w:r>
      <w:r w:rsidR="00701F9A">
        <w:t>’</w:t>
      </w:r>
      <w:r>
        <w:t>s legal advisers or merely to conduct preparatory work in compiling such information. Authorising an employee to provide factual information/evidence to the company’s legal advisers or to the designated client within the corporation does not make that employee the client for the purposes of legal professional privilege.</w:t>
      </w:r>
      <w:r>
        <w:rPr>
          <w:rStyle w:val="FootnoteReference"/>
        </w:rPr>
        <w:footnoteReference w:id="86"/>
      </w:r>
      <w:r>
        <w:t xml:space="preserve"> </w:t>
      </w:r>
      <w:r w:rsidR="00212005">
        <w:t>Similarly, where the purpose of a committee or group set up by the company is merely to produce such material to be used by the client in instructing legal advisers, communications from it to the corporation or its legal advisers will not be covered by legal advice privilege.</w:t>
      </w:r>
      <w:r w:rsidR="00212005">
        <w:rPr>
          <w:rStyle w:val="FootnoteReference"/>
        </w:rPr>
        <w:footnoteReference w:id="87"/>
      </w:r>
      <w:r w:rsidR="005000E7">
        <w:t xml:space="preserve"> </w:t>
      </w:r>
      <w:r w:rsidR="000C3E41">
        <w:t>In addition, documents of a factual nature, where the dominant purpose for preparation is not deemed to be that of obtaining legal advice, do not fall within the ambit of legal advice privilege</w:t>
      </w:r>
      <w:r w:rsidR="000C3E41">
        <w:rPr>
          <w:rStyle w:val="FootnoteReference"/>
        </w:rPr>
        <w:footnoteReference w:id="88"/>
      </w:r>
      <w:r w:rsidR="000C3E41">
        <w:t xml:space="preserve">. </w:t>
      </w:r>
    </w:p>
    <w:p w:rsidR="00916FE8" w:rsidRDefault="000C3E41" w:rsidP="00EC6733">
      <w:pPr>
        <w:spacing w:line="288" w:lineRule="auto"/>
      </w:pPr>
      <w:r>
        <w:t xml:space="preserve">A possibility is that in establishing a designated client group a corporation might include employees whose activities in reality amounted to evidence gathering or evidence provision. This could potentially result in communications by the group not being covered by legal advice privilege. This could be the case whether or not such inclusion was a device to artificially extend the ambit of the privilege. The device of enlarging this group to absorb as many employees as possible may therefore partially fall at this hurdle, before a court has to consider any artifice in the designation of the client. An analysis of these sort of activities in </w:t>
      </w:r>
      <w:r w:rsidRPr="00ED22ED">
        <w:rPr>
          <w:i/>
        </w:rPr>
        <w:t>Three Rivers</w:t>
      </w:r>
      <w:r>
        <w:t xml:space="preserve"> was not undertaken </w:t>
      </w:r>
      <w:r w:rsidR="00DF2017">
        <w:t>in relation to</w:t>
      </w:r>
      <w:r>
        <w:t xml:space="preserve"> the </w:t>
      </w:r>
      <w:proofErr w:type="gramStart"/>
      <w:r>
        <w:t>BIU ,</w:t>
      </w:r>
      <w:proofErr w:type="gramEnd"/>
      <w:r>
        <w:t xml:space="preserve"> however, it would seem that such an analysis would be relevant within the group designated by the corporation as the client</w:t>
      </w:r>
      <w:r w:rsidR="002A7515">
        <w:t xml:space="preserve">. </w:t>
      </w:r>
      <w:r>
        <w:t xml:space="preserve">The wide nature of the group might make it more likely that a court will examine this point in more detail. </w:t>
      </w:r>
      <w:r w:rsidRPr="00DB00FB">
        <w:rPr>
          <w:i/>
        </w:rPr>
        <w:t>Property Alliance Group Ltd v Royal Bank of Scotland plc</w:t>
      </w:r>
      <w:r>
        <w:rPr>
          <w:rStyle w:val="FootnoteReference"/>
        </w:rPr>
        <w:footnoteReference w:id="89"/>
      </w:r>
      <w:r>
        <w:t xml:space="preserve"> </w:t>
      </w:r>
      <w:r w:rsidRPr="00E74D2E">
        <w:t>provides an example of an o</w:t>
      </w:r>
      <w:r>
        <w:t>rder for inspection</w:t>
      </w:r>
      <w:r w:rsidRPr="00E74D2E">
        <w:t xml:space="preserve"> being made </w:t>
      </w:r>
      <w:r>
        <w:t xml:space="preserve">by the court </w:t>
      </w:r>
      <w:r w:rsidRPr="00E74D2E">
        <w:t xml:space="preserve">following uncertainty around the precise nature and role of an internal committee (the Executive Steering Group or ESG) and therefore whether a claim to legal advice privilege in relation to ESG documents was correctly made out. The ESG </w:t>
      </w:r>
      <w:r>
        <w:t>was set up within the Royal Bank of Scotland (RBS) in response to regulatory investigations into the rigging of LIBOR currencies. Following examination of the relevant documents, the court concluded that they formed “part of ‘a continuum of communication and meetings’ between Clifford Chance and RBS, the object of which was the giving of legal advice as and when appropriate.”</w:t>
      </w:r>
      <w:r>
        <w:rPr>
          <w:rStyle w:val="FootnoteReference"/>
        </w:rPr>
        <w:footnoteReference w:id="90"/>
      </w:r>
    </w:p>
    <w:p w:rsidR="00231245" w:rsidRPr="009E280B" w:rsidRDefault="009D3360" w:rsidP="00EC6733">
      <w:pPr>
        <w:spacing w:line="288" w:lineRule="auto"/>
      </w:pPr>
      <w:r>
        <w:t xml:space="preserve">Following </w:t>
      </w:r>
      <w:r w:rsidR="003D7AB3" w:rsidRPr="009444BF">
        <w:rPr>
          <w:i/>
        </w:rPr>
        <w:t>Three Rivers</w:t>
      </w:r>
      <w:r w:rsidR="003D7AB3">
        <w:t xml:space="preserve"> </w:t>
      </w:r>
      <w:r>
        <w:t xml:space="preserve">it seems that </w:t>
      </w:r>
      <w:r w:rsidR="003D7AB3">
        <w:t xml:space="preserve">a company is free to decide, in any </w:t>
      </w:r>
      <w:r w:rsidR="009444BF">
        <w:t xml:space="preserve">given </w:t>
      </w:r>
      <w:r w:rsidR="003D7AB3">
        <w:t xml:space="preserve">situation, who </w:t>
      </w:r>
      <w:r w:rsidR="00F7570A">
        <w:t xml:space="preserve">within the company </w:t>
      </w:r>
      <w:r w:rsidR="003D7AB3">
        <w:t xml:space="preserve">the client actually is for the purposes of </w:t>
      </w:r>
      <w:r w:rsidR="009444BF">
        <w:t>legal advice privi</w:t>
      </w:r>
      <w:r w:rsidR="003D7AB3">
        <w:t>leg</w:t>
      </w:r>
      <w:r w:rsidR="009444BF">
        <w:t>e</w:t>
      </w:r>
      <w:r w:rsidR="003D7AB3">
        <w:t xml:space="preserve">. </w:t>
      </w:r>
      <w:r w:rsidR="0030560C" w:rsidRPr="00B76963">
        <w:t xml:space="preserve"> </w:t>
      </w:r>
      <w:r w:rsidR="00AE70AA">
        <w:t xml:space="preserve">The </w:t>
      </w:r>
      <w:r w:rsidR="003D7AB3">
        <w:t xml:space="preserve">Model Articles </w:t>
      </w:r>
      <w:r w:rsidR="00AE70AA">
        <w:t>for Private Companies Limited by Shares</w:t>
      </w:r>
      <w:r w:rsidR="00AE70AA">
        <w:rPr>
          <w:rStyle w:val="FootnoteReference"/>
        </w:rPr>
        <w:footnoteReference w:id="91"/>
      </w:r>
      <w:r w:rsidR="00AE70AA">
        <w:t xml:space="preserve"> </w:t>
      </w:r>
      <w:r w:rsidR="003D7AB3">
        <w:t>allow</w:t>
      </w:r>
      <w:r w:rsidR="00AE70AA">
        <w:t>s</w:t>
      </w:r>
      <w:r w:rsidR="00B76963">
        <w:t xml:space="preserve"> the board of directors </w:t>
      </w:r>
      <w:r w:rsidR="003D7AB3">
        <w:t xml:space="preserve">to delegate </w:t>
      </w:r>
      <w:r w:rsidR="00AE70AA">
        <w:t>any of the powers conferred</w:t>
      </w:r>
      <w:r w:rsidR="00B76963">
        <w:t xml:space="preserve"> on them under the articles to ‘</w:t>
      </w:r>
      <w:r w:rsidR="00AE70AA">
        <w:t xml:space="preserve">such person or committee …to such extent; in relation to </w:t>
      </w:r>
      <w:r w:rsidR="00AE70AA">
        <w:lastRenderedPageBreak/>
        <w:t>such matters</w:t>
      </w:r>
      <w:r w:rsidR="00B76963">
        <w:t xml:space="preserve"> …as they think fit.’</w:t>
      </w:r>
      <w:r w:rsidR="00AE70AA">
        <w:rPr>
          <w:rStyle w:val="FootnoteReference"/>
        </w:rPr>
        <w:footnoteReference w:id="92"/>
      </w:r>
      <w:r w:rsidR="00AE70AA">
        <w:t xml:space="preserve"> In the Model Articles, powers conferred on the directors constitutes exercise of all the powers of the company</w:t>
      </w:r>
      <w:r w:rsidR="00AE70AA">
        <w:rPr>
          <w:rStyle w:val="FootnoteReference"/>
        </w:rPr>
        <w:footnoteReference w:id="93"/>
      </w:r>
      <w:r w:rsidR="00AE70AA">
        <w:t>, which would include the power to instruct lawyers</w:t>
      </w:r>
      <w:r w:rsidR="00995385">
        <w:t xml:space="preserve"> and receive their advice</w:t>
      </w:r>
      <w:r w:rsidR="003D7AB3">
        <w:t xml:space="preserve">. </w:t>
      </w:r>
      <w:r w:rsidR="00AE70AA">
        <w:t>Therefore there is no requirement that this delegation</w:t>
      </w:r>
      <w:r w:rsidR="003D7AB3">
        <w:t xml:space="preserve"> be sole</w:t>
      </w:r>
      <w:r w:rsidR="009444BF">
        <w:t>l</w:t>
      </w:r>
      <w:r w:rsidR="00AE70AA">
        <w:t>y to a director or committee of</w:t>
      </w:r>
      <w:r w:rsidR="003D7AB3">
        <w:t xml:space="preserve"> directors – delegation </w:t>
      </w:r>
      <w:r w:rsidR="00AE70AA">
        <w:t xml:space="preserve">can include </w:t>
      </w:r>
      <w:r w:rsidR="00242CE2">
        <w:t xml:space="preserve">to </w:t>
      </w:r>
      <w:r w:rsidR="003D7AB3">
        <w:t>employees</w:t>
      </w:r>
      <w:r w:rsidR="00AE70AA">
        <w:t xml:space="preserve"> who are not members of the board, either individually (such person) or as part of a committee</w:t>
      </w:r>
      <w:r w:rsidR="005C6CAB">
        <w:t xml:space="preserve">. </w:t>
      </w:r>
      <w:r>
        <w:t>T</w:t>
      </w:r>
      <w:r w:rsidR="003D7AB3">
        <w:t xml:space="preserve">he </w:t>
      </w:r>
      <w:r w:rsidR="00F22157">
        <w:t>b</w:t>
      </w:r>
      <w:r w:rsidR="003D7AB3">
        <w:t>oard of direc</w:t>
      </w:r>
      <w:r w:rsidR="005C6CAB">
        <w:t>tors could</w:t>
      </w:r>
      <w:r w:rsidR="009444BF">
        <w:t xml:space="preserve"> dec</w:t>
      </w:r>
      <w:r w:rsidR="003D7AB3">
        <w:t xml:space="preserve">ide that a particular </w:t>
      </w:r>
      <w:r w:rsidR="009444BF">
        <w:t>group wi</w:t>
      </w:r>
      <w:r w:rsidR="003D7AB3">
        <w:t>thin the company shou</w:t>
      </w:r>
      <w:r w:rsidR="009444BF">
        <w:t>l</w:t>
      </w:r>
      <w:r w:rsidR="003D7AB3">
        <w:t xml:space="preserve">d </w:t>
      </w:r>
      <w:r w:rsidR="00D96EF6">
        <w:t xml:space="preserve">have the delegated power to </w:t>
      </w:r>
      <w:r>
        <w:t xml:space="preserve">instruct </w:t>
      </w:r>
      <w:r w:rsidR="00D96EF6">
        <w:t xml:space="preserve">lawyers and therefore </w:t>
      </w:r>
      <w:r w:rsidR="00D7376B">
        <w:t xml:space="preserve">be designated as personifying the </w:t>
      </w:r>
      <w:r w:rsidR="00A763B7">
        <w:t xml:space="preserve">directing mind and will of the </w:t>
      </w:r>
      <w:r w:rsidR="00D7376B">
        <w:t>client</w:t>
      </w:r>
      <w:r w:rsidR="00A763B7">
        <w:t xml:space="preserve"> for this specific purpose</w:t>
      </w:r>
      <w:r w:rsidR="00B76963">
        <w:t>,</w:t>
      </w:r>
      <w:r w:rsidR="00C10BF5" w:rsidRPr="00B76963">
        <w:t xml:space="preserve"> or could delegate to a specific officer or employee</w:t>
      </w:r>
      <w:r w:rsidR="005C6CAB" w:rsidRPr="00C10BF5">
        <w:t>.</w:t>
      </w:r>
      <w:r w:rsidR="005C6CAB">
        <w:t xml:space="preserve"> The effect would be to make</w:t>
      </w:r>
      <w:r w:rsidR="003D7AB3">
        <w:t xml:space="preserve"> communications to and from the lawyer to me</w:t>
      </w:r>
      <w:r w:rsidR="009444BF">
        <w:t>m</w:t>
      </w:r>
      <w:r w:rsidR="00B76963">
        <w:t>bers of that group or to that person s</w:t>
      </w:r>
      <w:r w:rsidR="003D7AB3">
        <w:t>u</w:t>
      </w:r>
      <w:r w:rsidR="005C6CAB">
        <w:t>bject to legal advice privilege.</w:t>
      </w:r>
      <w:r w:rsidR="00F7570A">
        <w:t xml:space="preserve"> </w:t>
      </w:r>
      <w:r>
        <w:t xml:space="preserve">Alternatively, </w:t>
      </w:r>
      <w:r w:rsidR="005D5A39">
        <w:t>adopting a more restrictive approach to delegation</w:t>
      </w:r>
      <w:r w:rsidR="00B76963">
        <w:t xml:space="preserve">, </w:t>
      </w:r>
      <w:r>
        <w:t>the board could choose to prepare instructions itself and merely delegate to an intermediate agent the authority to communicate those instructions to the legal advisers</w:t>
      </w:r>
      <w:r w:rsidR="00F8786C">
        <w:rPr>
          <w:rStyle w:val="FootnoteReference"/>
        </w:rPr>
        <w:footnoteReference w:id="94"/>
      </w:r>
      <w:r>
        <w:t xml:space="preserve">. </w:t>
      </w:r>
      <w:r w:rsidR="00DC2CC4">
        <w:t>T</w:t>
      </w:r>
      <w:r w:rsidR="00DC2CC4" w:rsidRPr="00532910">
        <w:t>he mere fact that a committee charged with preparing information to be</w:t>
      </w:r>
      <w:r w:rsidR="00DF2017">
        <w:t xml:space="preserve"> communicated to a corporation’s</w:t>
      </w:r>
      <w:r w:rsidR="00DC2CC4" w:rsidRPr="00532910">
        <w:t xml:space="preserve"> legal advisers forms an internal organ of the corporation does not in itself mean that the committee is the client for the purposes of legal advice privilege</w:t>
      </w:r>
      <w:r w:rsidR="00DC2CC4" w:rsidRPr="00532910">
        <w:rPr>
          <w:rStyle w:val="FootnoteReference"/>
        </w:rPr>
        <w:footnoteReference w:id="95"/>
      </w:r>
      <w:r w:rsidR="00DC2CC4" w:rsidRPr="00532910">
        <w:t>. Whether the committee possesses delegated</w:t>
      </w:r>
      <w:r w:rsidR="00DC2CC4">
        <w:rPr>
          <w:i/>
        </w:rPr>
        <w:t xml:space="preserve"> </w:t>
      </w:r>
      <w:r w:rsidR="00DC2CC4" w:rsidRPr="00532910">
        <w:t xml:space="preserve">authority to instruct the legal advisers on behalf of the corporation will be a question to be resolved on the facts. </w:t>
      </w:r>
    </w:p>
    <w:p w:rsidR="001803EA" w:rsidRPr="001803EA" w:rsidRDefault="00D43556" w:rsidP="00EC6733">
      <w:pPr>
        <w:spacing w:line="288" w:lineRule="auto"/>
        <w:rPr>
          <w:b/>
        </w:rPr>
      </w:pPr>
      <w:r>
        <w:rPr>
          <w:b/>
        </w:rPr>
        <w:t>Membership of the client group</w:t>
      </w:r>
    </w:p>
    <w:p w:rsidR="00132F74" w:rsidRDefault="00920226" w:rsidP="00EC6733">
      <w:pPr>
        <w:spacing w:line="288" w:lineRule="auto"/>
      </w:pPr>
      <w:r>
        <w:t>In general, in terms of day to day activities, it may well be that a company is content to leave in</w:t>
      </w:r>
      <w:r w:rsidR="00956E9C">
        <w:t xml:space="preserve">structing a lawyer to </w:t>
      </w:r>
      <w:r>
        <w:t xml:space="preserve">a director or directors, who </w:t>
      </w:r>
      <w:r w:rsidR="009F2659">
        <w:t>prima facie</w:t>
      </w:r>
      <w:r>
        <w:t xml:space="preserve"> will represent the directing mind and will of the company</w:t>
      </w:r>
      <w:r w:rsidR="009F2659">
        <w:rPr>
          <w:rStyle w:val="FootnoteReference"/>
        </w:rPr>
        <w:footnoteReference w:id="96"/>
      </w:r>
      <w:r w:rsidR="005960EA">
        <w:t xml:space="preserve"> and will constitute the client</w:t>
      </w:r>
      <w:r>
        <w:t xml:space="preserve">. However, in the context of particular matters, including where internal investigations </w:t>
      </w:r>
      <w:r w:rsidR="002A7515">
        <w:t xml:space="preserve">into potential criminal liability </w:t>
      </w:r>
      <w:r>
        <w:t>are being unde</w:t>
      </w:r>
      <w:r w:rsidR="003113E4">
        <w:t>rtaken, it may</w:t>
      </w:r>
      <w:r w:rsidR="000B55C4">
        <w:t xml:space="preserve"> </w:t>
      </w:r>
      <w:r w:rsidR="003113E4">
        <w:t xml:space="preserve">be </w:t>
      </w:r>
      <w:r w:rsidR="000B55C4">
        <w:t xml:space="preserve">useful for practical </w:t>
      </w:r>
      <w:proofErr w:type="gramStart"/>
      <w:r w:rsidR="000B55C4">
        <w:t xml:space="preserve">purposes </w:t>
      </w:r>
      <w:r>
        <w:t xml:space="preserve"> to</w:t>
      </w:r>
      <w:proofErr w:type="gramEnd"/>
      <w:r>
        <w:t xml:space="preserve"> establish a delegated group</w:t>
      </w:r>
      <w:r w:rsidR="005960EA">
        <w:t xml:space="preserve"> within the company</w:t>
      </w:r>
      <w:r>
        <w:t>, perhaps beyond the di</w:t>
      </w:r>
      <w:r w:rsidR="00956E9C">
        <w:t xml:space="preserve">rectors, to instruct the lawyers and thus possess </w:t>
      </w:r>
      <w:r w:rsidR="003113E4">
        <w:t xml:space="preserve"> the appropriate </w:t>
      </w:r>
      <w:r w:rsidR="00D035CE">
        <w:t xml:space="preserve">degree of </w:t>
      </w:r>
      <w:r w:rsidR="003113E4">
        <w:t xml:space="preserve">delegated authority to ensure that communications with the lawyer are covered by </w:t>
      </w:r>
      <w:r w:rsidR="00956E9C">
        <w:t xml:space="preserve">legal advice </w:t>
      </w:r>
      <w:r w:rsidR="003113E4">
        <w:t>privilege</w:t>
      </w:r>
      <w:r>
        <w:t xml:space="preserve">. </w:t>
      </w:r>
      <w:r w:rsidR="00956E9C">
        <w:t xml:space="preserve">It may be that if </w:t>
      </w:r>
      <w:r w:rsidR="008E1378">
        <w:t xml:space="preserve">the membership of this group </w:t>
      </w:r>
      <w:r w:rsidR="00956E9C">
        <w:t xml:space="preserve">is established </w:t>
      </w:r>
      <w:r w:rsidR="008E1378">
        <w:t>at the outset</w:t>
      </w:r>
      <w:r w:rsidR="00956E9C">
        <w:t xml:space="preserve"> in such a way as to ensure that communications between it and the legal adviser are privileged, subsequent changes in membership, if managed properly, will not result in a loss of privilege. </w:t>
      </w:r>
      <w:r w:rsidR="008E1378">
        <w:t xml:space="preserve"> </w:t>
      </w:r>
      <w:r w:rsidR="00956E9C">
        <w:t>I</w:t>
      </w:r>
      <w:r w:rsidR="008E1378">
        <w:t xml:space="preserve">n </w:t>
      </w:r>
      <w:r w:rsidR="008E1378" w:rsidRPr="008E1378">
        <w:rPr>
          <w:i/>
        </w:rPr>
        <w:t>Three Rivers</w:t>
      </w:r>
      <w:r w:rsidR="007636E6">
        <w:rPr>
          <w:i/>
        </w:rPr>
        <w:t xml:space="preserve"> (no.3)</w:t>
      </w:r>
      <w:r w:rsidR="008E1378">
        <w:t xml:space="preserve">, it was apparent that the composition of the BIU was increased by other Bank officials from time to time during the process of responding to the </w:t>
      </w:r>
      <w:r w:rsidR="00427F7B">
        <w:t>Bingham I</w:t>
      </w:r>
      <w:r w:rsidR="008E1378">
        <w:t>nquiry</w:t>
      </w:r>
      <w:r w:rsidR="00F22157">
        <w:rPr>
          <w:i/>
        </w:rPr>
        <w:t xml:space="preserve"> </w:t>
      </w:r>
      <w:r w:rsidR="00F22157" w:rsidRPr="00494B0C">
        <w:t>to</w:t>
      </w:r>
      <w:r w:rsidR="00F22157">
        <w:rPr>
          <w:i/>
        </w:rPr>
        <w:t xml:space="preserve"> </w:t>
      </w:r>
      <w:r w:rsidR="00F22157" w:rsidRPr="00494B0C">
        <w:t>enable the BIU</w:t>
      </w:r>
      <w:r w:rsidR="00F22157">
        <w:rPr>
          <w:i/>
        </w:rPr>
        <w:t xml:space="preserve"> to </w:t>
      </w:r>
      <w:r w:rsidR="00956E9C">
        <w:t>‘</w:t>
      </w:r>
      <w:r w:rsidR="00F22157" w:rsidRPr="00494B0C">
        <w:t xml:space="preserve">carry out speedily and </w:t>
      </w:r>
      <w:r w:rsidR="00F22157" w:rsidRPr="00494B0C">
        <w:lastRenderedPageBreak/>
        <w:t>efficiently the various research and analysis tasks that were required to furnish information and accurate instructions to the Bank’s legal advisers</w:t>
      </w:r>
      <w:r w:rsidR="00F22157">
        <w:rPr>
          <w:i/>
        </w:rPr>
        <w:t>.</w:t>
      </w:r>
      <w:r w:rsidR="00956E9C">
        <w:rPr>
          <w:i/>
        </w:rPr>
        <w:t>’</w:t>
      </w:r>
      <w:r w:rsidR="00F22157" w:rsidRPr="00F22157">
        <w:rPr>
          <w:rStyle w:val="FootnoteReference"/>
        </w:rPr>
        <w:t xml:space="preserve"> </w:t>
      </w:r>
      <w:r w:rsidR="00F22157">
        <w:rPr>
          <w:rStyle w:val="FootnoteReference"/>
        </w:rPr>
        <w:footnoteReference w:id="97"/>
      </w:r>
      <w:r w:rsidR="008E1378">
        <w:t xml:space="preserve">. </w:t>
      </w:r>
      <w:r w:rsidR="000E2BFD">
        <w:t xml:space="preserve">Although </w:t>
      </w:r>
      <w:r w:rsidR="005960EA">
        <w:t>e</w:t>
      </w:r>
      <w:r w:rsidR="000E2BFD">
        <w:t>mployees of the Bank outside the BIU, including the Governor, were deemed analogous to third</w:t>
      </w:r>
      <w:r w:rsidR="0047555F">
        <w:t xml:space="preserve"> parties </w:t>
      </w:r>
      <w:r w:rsidR="000E2BFD">
        <w:t>from outside the Bank</w:t>
      </w:r>
      <w:r w:rsidR="005960EA">
        <w:t>,</w:t>
      </w:r>
      <w:r w:rsidR="00494B0C">
        <w:t xml:space="preserve"> </w:t>
      </w:r>
      <w:r w:rsidR="005960EA">
        <w:t>t</w:t>
      </w:r>
      <w:r w:rsidR="008E1378">
        <w:t xml:space="preserve">hese changes in composition did not appear to have </w:t>
      </w:r>
      <w:r w:rsidR="00132F74">
        <w:t xml:space="preserve">had </w:t>
      </w:r>
      <w:r w:rsidR="008E1378">
        <w:t>any effect on the privileged status of communications be</w:t>
      </w:r>
      <w:r w:rsidR="005C6CAB">
        <w:t>tween the BIU and the solicitor</w:t>
      </w:r>
      <w:r w:rsidR="008E1378">
        <w:t>s.</w:t>
      </w:r>
      <w:r w:rsidR="00E94DB1">
        <w:t xml:space="preserve"> It appears that privilege existed not in consequence of the specific offices held by these employees but because of their temporary incorporation into the committee to which the power to instruct had been delegated</w:t>
      </w:r>
      <w:r w:rsidR="00494B0C">
        <w:t>, i.e. the BIU.</w:t>
      </w:r>
      <w:r w:rsidR="00E94DB1">
        <w:t xml:space="preserve"> </w:t>
      </w:r>
      <w:r w:rsidR="00AD0BE8">
        <w:t xml:space="preserve">It is suggested that the key issue is why the specific employee has been seconded into the committee. If the purpose is </w:t>
      </w:r>
      <w:r w:rsidR="000E2BFD">
        <w:t xml:space="preserve">to </w:t>
      </w:r>
      <w:r w:rsidR="00AD0BE8">
        <w:t>prepar</w:t>
      </w:r>
      <w:r w:rsidR="000E2BFD">
        <w:t>e</w:t>
      </w:r>
      <w:r w:rsidR="0047555F">
        <w:t xml:space="preserve"> </w:t>
      </w:r>
      <w:r w:rsidR="00AD0BE8">
        <w:t xml:space="preserve">instructions, then privilege would appear to attach. If the </w:t>
      </w:r>
      <w:r w:rsidR="00606AE5">
        <w:t xml:space="preserve">true </w:t>
      </w:r>
      <w:r w:rsidR="00AD0BE8">
        <w:t xml:space="preserve">purpose is to provide the committee with factual information possessed by the employee and the secondment is </w:t>
      </w:r>
      <w:r w:rsidR="00CE566D">
        <w:t xml:space="preserve">contrived </w:t>
      </w:r>
      <w:r w:rsidR="00AD0BE8">
        <w:t xml:space="preserve">to provide a cloak of privilege to communications not otherwise privileged, the danger is that </w:t>
      </w:r>
      <w:r w:rsidR="00494B0C">
        <w:t xml:space="preserve">some </w:t>
      </w:r>
      <w:r w:rsidR="00AD0BE8">
        <w:t xml:space="preserve">communications within or by the committee might not be privileged. </w:t>
      </w:r>
      <w:r w:rsidR="00E94DB1">
        <w:t xml:space="preserve">Arguably, it may be possible to include an </w:t>
      </w:r>
      <w:r w:rsidR="00494B0C">
        <w:t>external</w:t>
      </w:r>
      <w:r w:rsidR="00E94DB1">
        <w:t xml:space="preserve"> third party, such as an accountant, as a member of such a committee. </w:t>
      </w:r>
      <w:r w:rsidR="00AD0BE8">
        <w:t>However, similar concerns will arise. If the accountant is included to provide factual information or to provide legal or accountancy advice then privilege may not attach.</w:t>
      </w:r>
      <w:r w:rsidR="00AD0BE8">
        <w:rPr>
          <w:rStyle w:val="FootnoteReference"/>
        </w:rPr>
        <w:footnoteReference w:id="98"/>
      </w:r>
      <w:r w:rsidR="00E55EEA">
        <w:t xml:space="preserve"> </w:t>
      </w:r>
    </w:p>
    <w:p w:rsidR="006D6BC5" w:rsidRPr="006D6BC5" w:rsidRDefault="006D6BC5" w:rsidP="00EC6733">
      <w:pPr>
        <w:spacing w:line="288" w:lineRule="auto"/>
        <w:rPr>
          <w:b/>
        </w:rPr>
      </w:pPr>
      <w:r w:rsidRPr="006D6BC5">
        <w:rPr>
          <w:b/>
        </w:rPr>
        <w:t>Practical guidelines</w:t>
      </w:r>
    </w:p>
    <w:p w:rsidR="006D6BC5" w:rsidRDefault="006D6BC5" w:rsidP="00EC6733">
      <w:pPr>
        <w:spacing w:line="288" w:lineRule="auto"/>
      </w:pPr>
      <w:r>
        <w:t xml:space="preserve">Do current suggestions for corporate clients grappling with issues of who is likely to be designated as the client for the purposes of privilege work? For example, </w:t>
      </w:r>
      <w:proofErr w:type="spellStart"/>
      <w:r>
        <w:t>Fortnam</w:t>
      </w:r>
      <w:proofErr w:type="spellEnd"/>
      <w:r>
        <w:t xml:space="preserve"> and Lobo advise establishing “at the outset, before giving instructions and receiving advice, the nominated body/representative who is to deal with the external lawyers.”</w:t>
      </w:r>
      <w:r>
        <w:rPr>
          <w:rStyle w:val="FootnoteReference"/>
        </w:rPr>
        <w:footnoteReference w:id="99"/>
      </w:r>
      <w:r>
        <w:t xml:space="preserve"> They suggest that the retainer letter can be used to document who the nominated body or individual is,</w:t>
      </w:r>
      <w:r>
        <w:rPr>
          <w:rStyle w:val="FootnoteReference"/>
        </w:rPr>
        <w:footnoteReference w:id="100"/>
      </w:r>
      <w:r>
        <w:t xml:space="preserve"> a point echoed by Preston-Jones and Paterson</w:t>
      </w:r>
      <w:r>
        <w:rPr>
          <w:rStyle w:val="FootnoteReference"/>
        </w:rPr>
        <w:footnoteReference w:id="101"/>
      </w:r>
      <w:r>
        <w:t xml:space="preserve">. </w:t>
      </w:r>
      <w:r w:rsidR="00A734B7">
        <w:t xml:space="preserve">Arguably, it may not be sufficient merely to identify a person or body as having authority to communicate with the legal advisers as this might merely authorise communication of instructions as an intermediate agent or communication or gathering of evidence. What would seem to be desirable is identification of the person or group that is specifically authorised to create and communicate instructions to the legal adviser. </w:t>
      </w:r>
      <w:r>
        <w:t xml:space="preserve">In addition, is the retainer letter enough to guarantee that the nominated body is regarded as the client for privilege purposes? Should this be supplemented by, for example, an appropriate board minute or partners meeting minute, to record the delegation of authority to the relevant body and, perhaps crucially, the ambit of that delegated authority? </w:t>
      </w:r>
      <w:r w:rsidR="00140582">
        <w:t xml:space="preserve">It would seem that the safest approach in terms of delegated authority is to ensure that the client group have the authority </w:t>
      </w:r>
      <w:r w:rsidR="00140582" w:rsidRPr="00031F90">
        <w:t>to create information</w:t>
      </w:r>
      <w:r w:rsidR="00140582">
        <w:t xml:space="preserve"> and to communicate with the lawyers, including giving them instructions. It does not appear to be necessary to give only this group authority to make decisions following receipt of legal advice. </w:t>
      </w:r>
      <w:r w:rsidR="00F97116">
        <w:t>Legal advice received by the client group can be disseminated within the company (for example to the board of directors) without losing its privileged status</w:t>
      </w:r>
      <w:r w:rsidR="00F97116">
        <w:rPr>
          <w:rStyle w:val="FootnoteReference"/>
        </w:rPr>
        <w:footnoteReference w:id="102"/>
      </w:r>
      <w:r w:rsidR="00F97116">
        <w:t xml:space="preserve">. Attention must also be paid to the actions of members of the client </w:t>
      </w:r>
      <w:r w:rsidR="00F97116">
        <w:lastRenderedPageBreak/>
        <w:t xml:space="preserve">group. Where a group is accepted as the client, it seems less likely that the actions of members of the group will be minutely scrutinised, but it is not impossible that this may happen. </w:t>
      </w:r>
      <w:r w:rsidR="00275CB4">
        <w:t>Care should b</w:t>
      </w:r>
      <w:r w:rsidR="00CF22AE">
        <w:t xml:space="preserve">e taken to ensure that actions taken by members of the group, such as the preparation of factual records, are taken for the purpose of obtaining legal advice. </w:t>
      </w:r>
      <w:r w:rsidR="00D83DFA">
        <w:t xml:space="preserve">Moreover, it may be that the retainer letter is itself created by the designated client if that person or body </w:t>
      </w:r>
      <w:r w:rsidR="003B7519">
        <w:t>falls in a category of persons or bodies who have</w:t>
      </w:r>
      <w:r w:rsidR="00D83DFA">
        <w:t xml:space="preserve"> been authorised by the company to instruct legal advisers, whether in-house or external, </w:t>
      </w:r>
      <w:r w:rsidR="00CA4748">
        <w:t xml:space="preserve">as and when required </w:t>
      </w:r>
      <w:r w:rsidR="00D83DFA">
        <w:t>in appropriate circumstances relating to that persons por</w:t>
      </w:r>
      <w:r w:rsidR="009E280B">
        <w:t>tfolio within the organisation.</w:t>
      </w:r>
      <w:r w:rsidR="00D83DFA">
        <w:t xml:space="preserve"> In such circumstances it </w:t>
      </w:r>
      <w:r w:rsidR="003B7519">
        <w:t xml:space="preserve">will presumably be other evidence, such as a board minute, </w:t>
      </w:r>
      <w:r w:rsidR="00D83DFA">
        <w:t>rather than the retainer letter itself that will be crucial to evidencing authority to act as the client.</w:t>
      </w:r>
    </w:p>
    <w:p w:rsidR="00F2403A" w:rsidRPr="00916FE8" w:rsidRDefault="00F2403A" w:rsidP="00EC6733">
      <w:pPr>
        <w:autoSpaceDE w:val="0"/>
        <w:autoSpaceDN w:val="0"/>
        <w:adjustRightInd w:val="0"/>
        <w:spacing w:after="0" w:line="288" w:lineRule="auto"/>
      </w:pPr>
      <w:r>
        <w:t>So far as litigation privilege is concerned, where documents are prepared for the purposes of contemplated litigation, they should be marked as such</w:t>
      </w:r>
      <w:r>
        <w:rPr>
          <w:rStyle w:val="FootnoteReference"/>
        </w:rPr>
        <w:footnoteReference w:id="103"/>
      </w:r>
      <w:r w:rsidR="00807104">
        <w:t xml:space="preserve">. Whilst the designation will not be determinative, </w:t>
      </w:r>
      <w:r w:rsidR="00BF6B75">
        <w:t xml:space="preserve">because the court is not required to accept the evidence of a party as to its intention at the relevant time, the test applied is an objective test and the evidence the court will consider in deciding whether the privilege arose includes evidence of the </w:t>
      </w:r>
      <w:proofErr w:type="gramStart"/>
      <w:r w:rsidR="00BF6B75">
        <w:t>parties</w:t>
      </w:r>
      <w:proofErr w:type="gramEnd"/>
      <w:r w:rsidR="00BF6B75">
        <w:t xml:space="preserve"> intentions at the relevant time</w:t>
      </w:r>
      <w:r w:rsidR="00BF6B75">
        <w:rPr>
          <w:rStyle w:val="FootnoteReference"/>
        </w:rPr>
        <w:footnoteReference w:id="104"/>
      </w:r>
      <w:r w:rsidR="00AC400A">
        <w:t>.</w:t>
      </w:r>
      <w:r w:rsidR="00FC361D">
        <w:t xml:space="preserve"> In addition, marking documents in this way seems particularly desirable where automated software is used to scan large numbers of documents for legally privileged content.</w:t>
      </w:r>
      <w:r w:rsidR="00FC361D">
        <w:rPr>
          <w:rStyle w:val="FootnoteReference"/>
        </w:rPr>
        <w:footnoteReference w:id="105"/>
      </w:r>
    </w:p>
    <w:p w:rsidR="00031F90" w:rsidRDefault="00031F90" w:rsidP="00EC6733">
      <w:pPr>
        <w:spacing w:line="288" w:lineRule="auto"/>
        <w:rPr>
          <w:b/>
        </w:rPr>
      </w:pPr>
    </w:p>
    <w:p w:rsidR="00106950" w:rsidRPr="00E52D3E" w:rsidRDefault="00E52D3E" w:rsidP="00EC6733">
      <w:pPr>
        <w:spacing w:line="288" w:lineRule="auto"/>
        <w:rPr>
          <w:b/>
        </w:rPr>
      </w:pPr>
      <w:r w:rsidRPr="00E52D3E">
        <w:rPr>
          <w:b/>
        </w:rPr>
        <w:t>Conclusion</w:t>
      </w:r>
    </w:p>
    <w:p w:rsidR="0011798A" w:rsidRDefault="000143BA" w:rsidP="00EC6733">
      <w:pPr>
        <w:spacing w:line="288" w:lineRule="auto"/>
      </w:pPr>
      <w:r>
        <w:t>The policy basis of litigation privilege is founded in the concept of the adversarial trial, i.e. the right of a party not to disclose to an adversary either the party’s brief or materials that came into existence for the brief. The ambit of the privilege is sub</w:t>
      </w:r>
      <w:r w:rsidR="00231245">
        <w:t>j</w:t>
      </w:r>
      <w:r>
        <w:t xml:space="preserve">ect to three major constraints, restricting its operation to adversarial litigation, to circumstances in which litigation has commenced or is in reasonable contemplation and to communications made for the purposes of litigation (dominant rather than sole purpose sufficing). Whilst it might be argued that changes in the nature of criminal proceedings justify the adoption of a “policy of confinement” in relation to the application of litigation privilege, it is suggested that criminal proceedings remain primarily adversarial and that the policy rationale underlying the existence of the privilege remains valid in their context (though it is accepted that existence of contemplation of a criminal or internal investigation does not, in itself, justify the application of the privilege). There is first instance authority for the proposition that litigation privilege does not attach to communications for the purpose of avoiding criminal litigation but it is suggested that the better view is that such communications (unlike communications for the purpose of avoiding a criminal investigation) do fall within the ambit of litigation privilege. Similarly, it is suggested that litigation privilege should potentially attach to communications for the purpose of considering the desirability of following a DPA or to communications made for the purpose of enhancing the likelihood of obtaining a DPA.   </w:t>
      </w:r>
      <w:r w:rsidR="0011798A">
        <w:t xml:space="preserve">The fact that a criminal or internal investigation is contemplated or in progress does not in itself mean that criminal litigation is in reasonable </w:t>
      </w:r>
      <w:r w:rsidR="0011798A">
        <w:lastRenderedPageBreak/>
        <w:t>contemplation. A recent first instance civil authority, followed without citation of other authorities by the Criminal Division of the Court of Appeal, suggests that criminal litigation may only</w:t>
      </w:r>
      <w:r w:rsidR="00DF2017">
        <w:t xml:space="preserve"> be in reasonable contemplation</w:t>
      </w:r>
      <w:r w:rsidR="0011798A">
        <w:t xml:space="preserve"> if the client is aware of circumstances that make a prosecution likely—i.e. where there is at least knowledge of material </w:t>
      </w:r>
      <w:proofErr w:type="gramStart"/>
      <w:r w:rsidR="0011798A">
        <w:t>supporting  the</w:t>
      </w:r>
      <w:proofErr w:type="gramEnd"/>
      <w:r w:rsidR="0011798A">
        <w:t xml:space="preserve"> truth of the allegat</w:t>
      </w:r>
      <w:r w:rsidR="00DF2017">
        <w:t xml:space="preserve">ions. It is suggested </w:t>
      </w:r>
      <w:r w:rsidR="0011798A">
        <w:t xml:space="preserve">that the better view is that the questions that the court has to determine are fact specific and that even where a client believes on the information available to it that it </w:t>
      </w:r>
      <w:r w:rsidR="00DF2017">
        <w:t>is innocent, this does not mean</w:t>
      </w:r>
      <w:r w:rsidR="0011798A">
        <w:t xml:space="preserve"> that the client cannot </w:t>
      </w:r>
      <w:r w:rsidR="00DF2017">
        <w:t>reasonably contemplate</w:t>
      </w:r>
      <w:r w:rsidR="0011798A">
        <w:t xml:space="preserve"> prosecution if the rele</w:t>
      </w:r>
      <w:r w:rsidR="00DF2017">
        <w:t xml:space="preserve">vant prosecuting authority </w:t>
      </w:r>
      <w:r w:rsidR="0011798A">
        <w:t>tend</w:t>
      </w:r>
      <w:r w:rsidR="00DF2017">
        <w:t>s</w:t>
      </w:r>
      <w:r w:rsidR="0011798A">
        <w:t xml:space="preserve"> to prosecute in circumstances of the type that the client finds itself in. </w:t>
      </w:r>
    </w:p>
    <w:p w:rsidR="004E5BF8" w:rsidRDefault="00DE4E3D" w:rsidP="00EC6733">
      <w:pPr>
        <w:spacing w:line="288" w:lineRule="auto"/>
      </w:pPr>
      <w:r>
        <w:t>The approach taken by the courts when considering claims for legal advice privilege in the corporate context involve identifying, within the company, a client</w:t>
      </w:r>
      <w:r w:rsidR="00E910F9">
        <w:t>, either an individual or a client group</w:t>
      </w:r>
      <w:r>
        <w:t xml:space="preserve">. The consequence of this approach is that only communications between this client and the company’s lawyers will be protected by legal advice privilege and then only if the communications from the client are of a particular type. That is those communications which relate to instructing the lawyers and creating information relevant to those instructions. </w:t>
      </w:r>
    </w:p>
    <w:p w:rsidR="00106950" w:rsidRDefault="00DE4E3D" w:rsidP="00EC6733">
      <w:pPr>
        <w:spacing w:line="288" w:lineRule="auto"/>
      </w:pPr>
      <w:r>
        <w:t xml:space="preserve">When identifying a client within the company, attribution theory </w:t>
      </w:r>
      <w:r w:rsidR="003925BD">
        <w:t>enables the company to create a directing mind and will for the purpose of communicating with the company’s lawyers and with delegated authorit</w:t>
      </w:r>
      <w:r w:rsidR="00515D84">
        <w:t xml:space="preserve">y to do so. In this context, if a designated group within the company only has authority to </w:t>
      </w:r>
      <w:r w:rsidR="003925BD">
        <w:t xml:space="preserve">act as a conduit for </w:t>
      </w:r>
      <w:r w:rsidR="00515D84">
        <w:t xml:space="preserve">instructions from, for example, the board of directors to the lawyers, then this group is not the client – it does not have the necessary characteristics for directing mind and will to be so. If the group has the authority to </w:t>
      </w:r>
      <w:r w:rsidR="002E5F88">
        <w:t>prepare instructions for the lawyers on behalf of the company, then the group has the necessary characteristics to be the directing mind and will of the company, and</w:t>
      </w:r>
      <w:r w:rsidR="00FF5FFE">
        <w:t xml:space="preserve"> is therefo</w:t>
      </w:r>
      <w:r w:rsidR="002E5F88">
        <w:t xml:space="preserve">re </w:t>
      </w:r>
      <w:r w:rsidR="00FF5FFE">
        <w:t>the client, for this specific purpose. It seems also to be the case that there can be more than one client within the company for legal advice privilege purposes, so for example both the group with delegated authority to instruct the lawyers and the board could constitute the client.</w:t>
      </w:r>
      <w:r w:rsidR="00390EF4">
        <w:t xml:space="preserve"> Similarly, various employees within a company might all have the authority to instruct the company’s in house or external lawyers for purposes relevant to their respective portfolios. </w:t>
      </w:r>
      <w:r w:rsidR="004E5BF8">
        <w:t xml:space="preserve"> </w:t>
      </w:r>
      <w:r w:rsidR="005970A0">
        <w:t>In terms of the evidence needed to establish both the nature of delegated authority and to whom it has been delegated, it seems that an appropriately drafted letter of retainer and a board minute giving the group the authority to create information and to communicate with the lawyers, including giving them instructions, are the optimal approach</w:t>
      </w:r>
      <w:r w:rsidR="00390EF4">
        <w:t>.</w:t>
      </w:r>
      <w:r w:rsidR="00967F30">
        <w:t xml:space="preserve">  </w:t>
      </w:r>
    </w:p>
    <w:p w:rsidR="00145630" w:rsidRDefault="004E5BF8" w:rsidP="00EC6733">
      <w:pPr>
        <w:spacing w:after="0" w:line="288" w:lineRule="auto"/>
      </w:pPr>
      <w:r>
        <w:t xml:space="preserve">Although it may seem attractive to designate a very wide group of people within the company as the client, with authority to communicate with the company’s lawyers, there do seem to be dangers with this approach. This device may encourage the court to look much more closely into the </w:t>
      </w:r>
      <w:r w:rsidR="00004DDC">
        <w:t>activities of members of the group, partic</w:t>
      </w:r>
      <w:r w:rsidR="00DF2017">
        <w:t>ularly if artifice is suspected</w:t>
      </w:r>
      <w:r w:rsidR="00004DDC">
        <w:t>. If a member of the group is essentially simply providing fac</w:t>
      </w:r>
      <w:r w:rsidR="00DF2017">
        <w:t>tual information possessed by</w:t>
      </w:r>
      <w:r w:rsidR="00004DDC">
        <w:t xml:space="preserve"> </w:t>
      </w:r>
      <w:r w:rsidR="00F8037C">
        <w:t xml:space="preserve">him or her, </w:t>
      </w:r>
      <w:r w:rsidR="00004DDC">
        <w:t xml:space="preserve">and </w:t>
      </w:r>
      <w:r w:rsidR="00F8037C">
        <w:t>in</w:t>
      </w:r>
      <w:r w:rsidR="00DF2017">
        <w:t xml:space="preserve">clusion in the client group is </w:t>
      </w:r>
      <w:r w:rsidR="00004DDC">
        <w:t xml:space="preserve">contrived </w:t>
      </w:r>
      <w:r w:rsidR="00F8037C">
        <w:t xml:space="preserve">to try and </w:t>
      </w:r>
      <w:r w:rsidR="00004DDC">
        <w:t xml:space="preserve">provide a cloak of privilege to communications not </w:t>
      </w:r>
      <w:r w:rsidR="00F8037C">
        <w:t>otherwise privileged, the risk</w:t>
      </w:r>
      <w:r w:rsidR="00004DDC">
        <w:t xml:space="preserve"> is that some communications </w:t>
      </w:r>
      <w:r w:rsidR="00F8037C">
        <w:t>from the client group to the lawyers may</w:t>
      </w:r>
      <w:r w:rsidR="00004DDC">
        <w:t xml:space="preserve"> not be </w:t>
      </w:r>
      <w:r w:rsidR="00F8037C">
        <w:t xml:space="preserve">covered by privilege. Even where artifice is not suspected, </w:t>
      </w:r>
      <w:r w:rsidR="00565C86">
        <w:t>the point remains that the wider the client group, the more likely it is that some members of it are not in fact engaged in communications of the sort that would ordinarily be covered by privilege.</w:t>
      </w:r>
      <w:r w:rsidR="00716017">
        <w:t xml:space="preserve"> Rather than creating a very wide client </w:t>
      </w:r>
      <w:r w:rsidR="00716017">
        <w:lastRenderedPageBreak/>
        <w:t xml:space="preserve">group at the outset, a better approach may be to second employees to the group as required, something that clearly took place in </w:t>
      </w:r>
      <w:r w:rsidR="00716017" w:rsidRPr="00DF2017">
        <w:rPr>
          <w:i/>
        </w:rPr>
        <w:t>Three Rivers</w:t>
      </w:r>
      <w:r w:rsidR="00716017">
        <w:t xml:space="preserve">, subject to the caveat regarding artifice. </w:t>
      </w:r>
    </w:p>
    <w:p w:rsidR="00145630" w:rsidRPr="006E2F70" w:rsidRDefault="00145630" w:rsidP="00EC6733">
      <w:pPr>
        <w:spacing w:after="0" w:line="288" w:lineRule="auto"/>
        <w:rPr>
          <w:i/>
        </w:rPr>
      </w:pPr>
    </w:p>
    <w:p w:rsidR="00106950" w:rsidRDefault="00106950" w:rsidP="00EC6733">
      <w:pPr>
        <w:spacing w:line="288" w:lineRule="auto"/>
      </w:pPr>
    </w:p>
    <w:p w:rsidR="00106950" w:rsidRDefault="00106950" w:rsidP="00EC6733">
      <w:pPr>
        <w:spacing w:line="288" w:lineRule="auto"/>
      </w:pPr>
    </w:p>
    <w:p w:rsidR="00C55E33" w:rsidRDefault="00C55E33" w:rsidP="00EC6733">
      <w:pPr>
        <w:spacing w:line="288" w:lineRule="auto"/>
      </w:pPr>
    </w:p>
    <w:sectPr w:rsidR="00C55E3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303E16" w16cid:durableId="1E5617EC"/>
  <w16cid:commentId w16cid:paraId="47C38DE8" w16cid:durableId="1E561372"/>
  <w16cid:commentId w16cid:paraId="50CBBA20" w16cid:durableId="1E561373"/>
  <w16cid:commentId w16cid:paraId="3427D433" w16cid:durableId="1E561374"/>
  <w16cid:commentId w16cid:paraId="770476F9" w16cid:durableId="1E561375"/>
  <w16cid:commentId w16cid:paraId="0155357B" w16cid:durableId="1E561376"/>
  <w16cid:commentId w16cid:paraId="2322334B" w16cid:durableId="1E561377"/>
  <w16cid:commentId w16cid:paraId="3CF16F73" w16cid:durableId="1E561378"/>
  <w16cid:commentId w16cid:paraId="4065157C" w16cid:durableId="1E561379"/>
  <w16cid:commentId w16cid:paraId="790B03F4" w16cid:durableId="1E56137A"/>
  <w16cid:commentId w16cid:paraId="418B705E" w16cid:durableId="1E56137B"/>
  <w16cid:commentId w16cid:paraId="36A3A9A4" w16cid:durableId="1E56137C"/>
  <w16cid:commentId w16cid:paraId="3FAFD81D" w16cid:durableId="1E56137D"/>
  <w16cid:commentId w16cid:paraId="446237F8" w16cid:durableId="1E56137E"/>
  <w16cid:commentId w16cid:paraId="58029AB7" w16cid:durableId="1E56137F"/>
  <w16cid:commentId w16cid:paraId="76F63193" w16cid:durableId="1E561380"/>
  <w16cid:commentId w16cid:paraId="5DD8BF19" w16cid:durableId="1E561381"/>
  <w16cid:commentId w16cid:paraId="5F281518" w16cid:durableId="1E561382"/>
  <w16cid:commentId w16cid:paraId="77CC4C64" w16cid:durableId="1E5613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426" w:rsidRDefault="009A7426" w:rsidP="0011684B">
      <w:pPr>
        <w:spacing w:after="0" w:line="240" w:lineRule="auto"/>
      </w:pPr>
      <w:r>
        <w:separator/>
      </w:r>
    </w:p>
  </w:endnote>
  <w:endnote w:type="continuationSeparator" w:id="0">
    <w:p w:rsidR="009A7426" w:rsidRDefault="009A7426" w:rsidP="00116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426" w:rsidRDefault="009A7426" w:rsidP="0011684B">
      <w:pPr>
        <w:spacing w:after="0" w:line="240" w:lineRule="auto"/>
      </w:pPr>
      <w:r>
        <w:separator/>
      </w:r>
    </w:p>
  </w:footnote>
  <w:footnote w:type="continuationSeparator" w:id="0">
    <w:p w:rsidR="009A7426" w:rsidRDefault="009A7426" w:rsidP="0011684B">
      <w:pPr>
        <w:spacing w:after="0" w:line="240" w:lineRule="auto"/>
      </w:pPr>
      <w:r>
        <w:continuationSeparator/>
      </w:r>
    </w:p>
  </w:footnote>
  <w:footnote w:id="1">
    <w:p w:rsidR="00B65016" w:rsidRDefault="00B65016">
      <w:pPr>
        <w:pStyle w:val="FootnoteText"/>
      </w:pPr>
      <w:r>
        <w:rPr>
          <w:rStyle w:val="FootnoteReference"/>
        </w:rPr>
        <w:footnoteRef/>
      </w:r>
      <w:r>
        <w:t xml:space="preserve"> Section 7 Bribery Act 2010, see</w:t>
      </w:r>
      <w:r w:rsidR="00D67A34">
        <w:t xml:space="preserve"> for example ‘CPS</w:t>
      </w:r>
      <w:r>
        <w:t xml:space="preserve"> </w:t>
      </w:r>
      <w:r w:rsidR="00D67A34">
        <w:t>secures first conviction for failure to prevent bribery’ Law Society Gazette 9</w:t>
      </w:r>
      <w:r w:rsidR="00D67A34" w:rsidRPr="00D67A34">
        <w:rPr>
          <w:vertAlign w:val="superscript"/>
        </w:rPr>
        <w:t>th</w:t>
      </w:r>
      <w:r w:rsidR="00D67A34">
        <w:t xml:space="preserve"> March 2018.</w:t>
      </w:r>
    </w:p>
  </w:footnote>
  <w:footnote w:id="2">
    <w:p w:rsidR="00B65016" w:rsidRDefault="00B65016">
      <w:pPr>
        <w:pStyle w:val="FootnoteText"/>
      </w:pPr>
      <w:r>
        <w:rPr>
          <w:rStyle w:val="FootnoteReference"/>
        </w:rPr>
        <w:footnoteRef/>
      </w:r>
      <w:r>
        <w:t xml:space="preserve"> Section 45, 46 Criminal Finances Act 2017</w:t>
      </w:r>
      <w:r w:rsidR="00D67A34">
        <w:t>.</w:t>
      </w:r>
    </w:p>
  </w:footnote>
  <w:footnote w:id="3">
    <w:p w:rsidR="00A6649B" w:rsidRPr="006F740E" w:rsidRDefault="00A6649B" w:rsidP="00031F90">
      <w:pPr>
        <w:pStyle w:val="FootnoteText"/>
      </w:pPr>
      <w:r>
        <w:rPr>
          <w:rStyle w:val="FootnoteReference"/>
        </w:rPr>
        <w:footnoteRef/>
      </w:r>
      <w:r>
        <w:t xml:space="preserve"> For example, under the SFO guidance on </w:t>
      </w:r>
      <w:proofErr w:type="gramStart"/>
      <w:r>
        <w:t>Corporate</w:t>
      </w:r>
      <w:proofErr w:type="gramEnd"/>
      <w:r>
        <w:t xml:space="preserve"> self-reporting</w:t>
      </w:r>
      <w:r w:rsidR="00D67A34">
        <w:t>.</w:t>
      </w:r>
      <w:r>
        <w:t xml:space="preserve"> </w:t>
      </w:r>
      <w:hyperlink r:id="rId1" w:history="1">
        <w:r w:rsidRPr="006F740E">
          <w:t>https://www.sfo.gov.uk/publications/guidance-policy-and-protocols/corporate-self-reporting/</w:t>
        </w:r>
      </w:hyperlink>
    </w:p>
    <w:p w:rsidR="00A6649B" w:rsidRDefault="00A6649B">
      <w:pPr>
        <w:pStyle w:val="FootnoteText"/>
      </w:pPr>
      <w:proofErr w:type="gramStart"/>
      <w:r>
        <w:t>last</w:t>
      </w:r>
      <w:proofErr w:type="gramEnd"/>
      <w:r>
        <w:t xml:space="preserve"> accessed 18/04/2018.</w:t>
      </w:r>
    </w:p>
  </w:footnote>
  <w:footnote w:id="4">
    <w:p w:rsidR="00B65016" w:rsidRDefault="00B65016" w:rsidP="00203F79">
      <w:pPr>
        <w:pStyle w:val="Heading1"/>
        <w:shd w:val="clear" w:color="auto" w:fill="FFFFFF"/>
        <w:spacing w:before="0" w:beforeAutospacing="0" w:after="0" w:afterAutospacing="0" w:line="140" w:lineRule="atLeast"/>
        <w:ind w:right="147"/>
        <w:textAlignment w:val="baseline"/>
      </w:pPr>
      <w:r w:rsidRPr="00014EBE">
        <w:rPr>
          <w:rStyle w:val="FootnoteReference"/>
          <w:rFonts w:asciiTheme="minorHAnsi" w:eastAsiaTheme="minorHAnsi" w:hAnsiTheme="minorHAnsi" w:cstheme="minorBidi"/>
          <w:b w:val="0"/>
          <w:bCs w:val="0"/>
          <w:kern w:val="0"/>
          <w:sz w:val="20"/>
          <w:szCs w:val="20"/>
          <w:lang w:eastAsia="en-US"/>
        </w:rPr>
        <w:footnoteRef/>
      </w:r>
      <w:r w:rsidRPr="0024252A">
        <w:rPr>
          <w:rStyle w:val="FootnoteReference"/>
          <w:rFonts w:eastAsiaTheme="minorHAnsi"/>
        </w:rPr>
        <w:t xml:space="preserve"> </w:t>
      </w:r>
      <w:r w:rsidRPr="00916FE8">
        <w:rPr>
          <w:rFonts w:asciiTheme="minorHAnsi" w:eastAsiaTheme="minorHAnsi" w:hAnsiTheme="minorHAnsi" w:cstheme="minorBidi"/>
          <w:b w:val="0"/>
          <w:bCs w:val="0"/>
          <w:kern w:val="0"/>
          <w:sz w:val="20"/>
          <w:szCs w:val="20"/>
          <w:lang w:eastAsia="en-US"/>
        </w:rPr>
        <w:t xml:space="preserve">In relation to the underlying policy rationale of which see </w:t>
      </w:r>
      <w:r w:rsidRPr="00203F79">
        <w:rPr>
          <w:rFonts w:asciiTheme="minorHAnsi" w:eastAsiaTheme="minorHAnsi" w:hAnsiTheme="minorHAnsi" w:cstheme="minorBidi"/>
          <w:b w:val="0"/>
          <w:bCs w:val="0"/>
          <w:i/>
          <w:kern w:val="0"/>
          <w:sz w:val="20"/>
          <w:szCs w:val="20"/>
          <w:lang w:eastAsia="en-US"/>
        </w:rPr>
        <w:t>Regina (</w:t>
      </w:r>
      <w:bookmarkStart w:id="1" w:name="ORIGHIT_1"/>
      <w:bookmarkStart w:id="2" w:name="HIT_1"/>
      <w:bookmarkEnd w:id="1"/>
      <w:bookmarkEnd w:id="2"/>
      <w:r w:rsidRPr="00203F79">
        <w:rPr>
          <w:rFonts w:asciiTheme="minorHAnsi" w:eastAsiaTheme="minorHAnsi" w:hAnsiTheme="minorHAnsi" w:cstheme="minorBidi"/>
          <w:b w:val="0"/>
          <w:bCs w:val="0"/>
          <w:i/>
          <w:kern w:val="0"/>
          <w:sz w:val="20"/>
          <w:szCs w:val="20"/>
          <w:lang w:eastAsia="en-US"/>
        </w:rPr>
        <w:t>Prudential plc and another) v Special</w:t>
      </w:r>
      <w:r w:rsidR="00203F79" w:rsidRPr="00203F79">
        <w:rPr>
          <w:rFonts w:asciiTheme="minorHAnsi" w:eastAsiaTheme="minorHAnsi" w:hAnsiTheme="minorHAnsi" w:cstheme="minorBidi"/>
          <w:b w:val="0"/>
          <w:bCs w:val="0"/>
          <w:i/>
          <w:kern w:val="0"/>
          <w:sz w:val="20"/>
          <w:szCs w:val="20"/>
          <w:lang w:eastAsia="en-US"/>
        </w:rPr>
        <w:t xml:space="preserve"> </w:t>
      </w:r>
      <w:r w:rsidRPr="00203F79">
        <w:rPr>
          <w:rFonts w:asciiTheme="minorHAnsi" w:eastAsiaTheme="minorHAnsi" w:hAnsiTheme="minorHAnsi" w:cstheme="minorBidi"/>
          <w:b w:val="0"/>
          <w:bCs w:val="0"/>
          <w:i/>
          <w:kern w:val="0"/>
          <w:sz w:val="20"/>
          <w:szCs w:val="20"/>
          <w:lang w:eastAsia="en-US"/>
        </w:rPr>
        <w:t>Commissioner of Income Tax </w:t>
      </w:r>
      <w:r w:rsidRPr="00003EB0">
        <w:rPr>
          <w:rFonts w:asciiTheme="minorHAnsi" w:eastAsiaTheme="minorHAnsi" w:hAnsiTheme="minorHAnsi" w:cstheme="minorBidi"/>
          <w:b w:val="0"/>
          <w:bCs w:val="0"/>
          <w:kern w:val="0"/>
          <w:sz w:val="20"/>
          <w:szCs w:val="20"/>
          <w:lang w:eastAsia="en-US"/>
        </w:rPr>
        <w:t>[2013] UKSC 1 at 21.</w:t>
      </w:r>
    </w:p>
  </w:footnote>
  <w:footnote w:id="5">
    <w:p w:rsidR="00B65016" w:rsidRPr="00EC7EF3" w:rsidRDefault="00B65016" w:rsidP="0053505D">
      <w:pPr>
        <w:pStyle w:val="FootnoteText"/>
        <w:rPr>
          <w:color w:val="FF0000"/>
        </w:rPr>
      </w:pPr>
      <w:r>
        <w:rPr>
          <w:rStyle w:val="FootnoteReference"/>
        </w:rPr>
        <w:footnoteRef/>
      </w:r>
      <w:r>
        <w:t xml:space="preserve"> See Charles J in</w:t>
      </w:r>
      <w:r w:rsidRPr="00240144">
        <w:rPr>
          <w:i/>
        </w:rPr>
        <w:t xml:space="preserve"> </w:t>
      </w:r>
      <w:r w:rsidRPr="00203F79">
        <w:rPr>
          <w:i/>
        </w:rPr>
        <w:t>S. County Council v B</w:t>
      </w:r>
      <w:r w:rsidRPr="00240144">
        <w:rPr>
          <w:i/>
        </w:rPr>
        <w:t xml:space="preserve"> </w:t>
      </w:r>
      <w:r>
        <w:t>[2000] Fam</w:t>
      </w:r>
      <w:r w:rsidRPr="00240144">
        <w:t xml:space="preserve"> 76 at 83-84</w:t>
      </w:r>
      <w:r>
        <w:t>.</w:t>
      </w:r>
    </w:p>
  </w:footnote>
  <w:footnote w:id="6">
    <w:p w:rsidR="00B65016" w:rsidRPr="00203F79" w:rsidRDefault="00B65016">
      <w:pPr>
        <w:pStyle w:val="FootnoteText"/>
        <w:rPr>
          <w:color w:val="333335"/>
          <w:shd w:val="clear" w:color="auto" w:fill="FFFFFF"/>
        </w:rPr>
      </w:pPr>
      <w:r>
        <w:rPr>
          <w:rStyle w:val="FootnoteReference"/>
        </w:rPr>
        <w:footnoteRef/>
      </w:r>
      <w:r>
        <w:t xml:space="preserve"> </w:t>
      </w:r>
      <w:r w:rsidRPr="00003EB0">
        <w:t xml:space="preserve">See </w:t>
      </w:r>
      <w:proofErr w:type="spellStart"/>
      <w:r w:rsidRPr="00203F79">
        <w:rPr>
          <w:i/>
        </w:rPr>
        <w:t>Ventouris</w:t>
      </w:r>
      <w:proofErr w:type="spellEnd"/>
      <w:r w:rsidRPr="00203F79">
        <w:rPr>
          <w:i/>
        </w:rPr>
        <w:t xml:space="preserve"> v Mountain</w:t>
      </w:r>
      <w:r w:rsidRPr="00003EB0">
        <w:t xml:space="preserve"> [1991] 1 WLR 607 at 611; </w:t>
      </w:r>
      <w:r w:rsidRPr="00203F79">
        <w:rPr>
          <w:i/>
        </w:rPr>
        <w:t>S County Council v B</w:t>
      </w:r>
      <w:r w:rsidRPr="00003EB0">
        <w:t xml:space="preserve"> [2000] 2 FLR 161 at 169, though see, also, </w:t>
      </w:r>
      <w:proofErr w:type="spellStart"/>
      <w:r w:rsidRPr="00203F79">
        <w:rPr>
          <w:i/>
        </w:rPr>
        <w:t>Dadourian</w:t>
      </w:r>
      <w:proofErr w:type="spellEnd"/>
      <w:r w:rsidRPr="00203F79">
        <w:rPr>
          <w:i/>
        </w:rPr>
        <w:t xml:space="preserve"> Group International Inc v </w:t>
      </w:r>
      <w:r w:rsidRPr="00203F79">
        <w:rPr>
          <w:i/>
          <w:color w:val="333335"/>
          <w:shd w:val="clear" w:color="auto" w:fill="FFFFFF"/>
        </w:rPr>
        <w:t>Simms</w:t>
      </w:r>
      <w:r w:rsidRPr="00003EB0">
        <w:rPr>
          <w:color w:val="333335"/>
          <w:shd w:val="clear" w:color="auto" w:fill="FFFFFF"/>
        </w:rPr>
        <w:t xml:space="preserve"> [2008] EWHC 1784 (</w:t>
      </w:r>
      <w:proofErr w:type="spellStart"/>
      <w:r w:rsidRPr="00003EB0">
        <w:rPr>
          <w:color w:val="333335"/>
          <w:shd w:val="clear" w:color="auto" w:fill="FFFFFF"/>
        </w:rPr>
        <w:t>Ch</w:t>
      </w:r>
      <w:proofErr w:type="spellEnd"/>
      <w:r w:rsidR="00203F79">
        <w:rPr>
          <w:color w:val="333335"/>
          <w:shd w:val="clear" w:color="auto" w:fill="FFFFFF"/>
        </w:rPr>
        <w:t>) at para. 91</w:t>
      </w:r>
      <w:r w:rsidRPr="00003EB0">
        <w:rPr>
          <w:color w:val="333335"/>
          <w:shd w:val="clear" w:color="auto" w:fill="FFFFFF"/>
        </w:rPr>
        <w:t xml:space="preserve">, which suggests that the question whether a litigant in person can rely on litigation privilege remains open. </w:t>
      </w:r>
    </w:p>
  </w:footnote>
  <w:footnote w:id="7">
    <w:p w:rsidR="00B65016" w:rsidRPr="00D0299C" w:rsidRDefault="00B65016" w:rsidP="0053505D">
      <w:pPr>
        <w:pStyle w:val="Heading1"/>
        <w:shd w:val="clear" w:color="auto" w:fill="FFFFFF"/>
        <w:spacing w:before="0" w:beforeAutospacing="0" w:after="0" w:afterAutospacing="0"/>
        <w:rPr>
          <w:rFonts w:asciiTheme="minorHAnsi" w:hAnsiTheme="minorHAnsi" w:cstheme="minorHAnsi"/>
          <w:b w:val="0"/>
          <w:bCs w:val="0"/>
          <w:kern w:val="0"/>
          <w:sz w:val="20"/>
          <w:szCs w:val="20"/>
          <w:lang w:eastAsia="en-US"/>
        </w:rPr>
      </w:pPr>
      <w:r w:rsidRPr="009E2B8B">
        <w:rPr>
          <w:rStyle w:val="FootnoteReference"/>
          <w:b w:val="0"/>
          <w:bCs w:val="0"/>
          <w:kern w:val="0"/>
          <w:sz w:val="20"/>
          <w:szCs w:val="20"/>
          <w:lang w:eastAsia="en-US"/>
        </w:rPr>
        <w:footnoteRef/>
      </w:r>
      <w:r w:rsidRPr="009E2B8B">
        <w:rPr>
          <w:rStyle w:val="FootnoteReference"/>
          <w:b w:val="0"/>
          <w:bCs w:val="0"/>
          <w:kern w:val="0"/>
          <w:sz w:val="20"/>
          <w:szCs w:val="20"/>
          <w:lang w:eastAsia="en-US"/>
        </w:rPr>
        <w:t xml:space="preserve"> </w:t>
      </w:r>
      <w:r w:rsidRPr="00D0299C">
        <w:rPr>
          <w:rFonts w:asciiTheme="minorHAnsi" w:hAnsiTheme="minorHAnsi" w:cstheme="minorHAnsi"/>
          <w:b w:val="0"/>
          <w:bCs w:val="0"/>
          <w:kern w:val="0"/>
          <w:sz w:val="20"/>
          <w:szCs w:val="20"/>
          <w:lang w:eastAsia="en-US"/>
        </w:rPr>
        <w:t xml:space="preserve">In </w:t>
      </w:r>
      <w:r w:rsidRPr="00203F79">
        <w:rPr>
          <w:rFonts w:asciiTheme="minorHAnsi" w:hAnsiTheme="minorHAnsi" w:cstheme="minorHAnsi"/>
          <w:b w:val="0"/>
          <w:bCs w:val="0"/>
          <w:i/>
          <w:kern w:val="0"/>
          <w:sz w:val="20"/>
          <w:szCs w:val="20"/>
          <w:lang w:eastAsia="en-US"/>
        </w:rPr>
        <w:t>Three Rivers District Council and Others v Governor and Company of the Bank of England</w:t>
      </w:r>
      <w:r w:rsidRPr="00203F79">
        <w:rPr>
          <w:rFonts w:asciiTheme="minorHAnsi" w:hAnsiTheme="minorHAnsi" w:cstheme="minorHAnsi"/>
          <w:i/>
          <w:color w:val="000000"/>
          <w:sz w:val="29"/>
          <w:szCs w:val="29"/>
        </w:rPr>
        <w:t> </w:t>
      </w:r>
      <w:r w:rsidRPr="00203F79">
        <w:rPr>
          <w:rFonts w:asciiTheme="minorHAnsi" w:hAnsiTheme="minorHAnsi" w:cstheme="minorHAnsi"/>
          <w:b w:val="0"/>
          <w:bCs w:val="0"/>
          <w:i/>
          <w:kern w:val="0"/>
          <w:sz w:val="20"/>
          <w:szCs w:val="20"/>
          <w:lang w:eastAsia="en-US"/>
        </w:rPr>
        <w:t>(No.6)</w:t>
      </w:r>
      <w:r>
        <w:rPr>
          <w:rFonts w:asciiTheme="minorHAnsi" w:hAnsiTheme="minorHAnsi" w:cstheme="minorHAnsi"/>
          <w:b w:val="0"/>
          <w:bCs w:val="0"/>
          <w:kern w:val="0"/>
          <w:sz w:val="20"/>
          <w:szCs w:val="20"/>
          <w:lang w:eastAsia="en-US"/>
        </w:rPr>
        <w:t xml:space="preserve"> [2005] 1 AC 610 at </w:t>
      </w:r>
      <w:r w:rsidR="00203F79">
        <w:rPr>
          <w:rFonts w:asciiTheme="minorHAnsi" w:hAnsiTheme="minorHAnsi" w:cstheme="minorHAnsi"/>
          <w:b w:val="0"/>
          <w:bCs w:val="0"/>
          <w:kern w:val="0"/>
          <w:sz w:val="20"/>
          <w:szCs w:val="20"/>
          <w:lang w:eastAsia="en-US"/>
        </w:rPr>
        <w:t xml:space="preserve">para. </w:t>
      </w:r>
      <w:r>
        <w:rPr>
          <w:rFonts w:asciiTheme="minorHAnsi" w:hAnsiTheme="minorHAnsi" w:cstheme="minorHAnsi"/>
          <w:b w:val="0"/>
          <w:bCs w:val="0"/>
          <w:kern w:val="0"/>
          <w:sz w:val="20"/>
          <w:szCs w:val="20"/>
          <w:lang w:eastAsia="en-US"/>
        </w:rPr>
        <w:t>52</w:t>
      </w:r>
      <w:r w:rsidRPr="00D0299C">
        <w:rPr>
          <w:rFonts w:asciiTheme="minorHAnsi" w:hAnsiTheme="minorHAnsi" w:cstheme="minorHAnsi"/>
          <w:b w:val="0"/>
          <w:bCs w:val="0"/>
          <w:kern w:val="0"/>
          <w:sz w:val="20"/>
          <w:szCs w:val="20"/>
          <w:lang w:eastAsia="en-US"/>
        </w:rPr>
        <w:t>.</w:t>
      </w:r>
    </w:p>
  </w:footnote>
  <w:footnote w:id="8">
    <w:p w:rsidR="00B65016" w:rsidRPr="00003EB0" w:rsidRDefault="00B65016" w:rsidP="007D02A5">
      <w:pPr>
        <w:pStyle w:val="FootnoteText"/>
      </w:pPr>
      <w:r>
        <w:rPr>
          <w:rStyle w:val="FootnoteReference"/>
        </w:rPr>
        <w:footnoteRef/>
      </w:r>
      <w:r>
        <w:t xml:space="preserve"> See, in particular, </w:t>
      </w:r>
      <w:r w:rsidRPr="00203F79">
        <w:rPr>
          <w:i/>
        </w:rPr>
        <w:t>Anderson v Bank of British Columbia</w:t>
      </w:r>
      <w:r w:rsidRPr="00003EB0">
        <w:t xml:space="preserve"> (1876) 2 </w:t>
      </w:r>
      <w:proofErr w:type="spellStart"/>
      <w:r w:rsidRPr="00003EB0">
        <w:t>Ch</w:t>
      </w:r>
      <w:proofErr w:type="spellEnd"/>
      <w:r w:rsidRPr="00003EB0">
        <w:t xml:space="preserve"> D 644; </w:t>
      </w:r>
      <w:r w:rsidRPr="00203F79">
        <w:rPr>
          <w:i/>
        </w:rPr>
        <w:t>Southwark and Vauxhall Water Co v Quick</w:t>
      </w:r>
      <w:r w:rsidRPr="00003EB0">
        <w:t xml:space="preserve"> (1878) 3 QBD 315; </w:t>
      </w:r>
      <w:r w:rsidRPr="00203F79">
        <w:rPr>
          <w:i/>
        </w:rPr>
        <w:t>Wheeler v Le Marchant</w:t>
      </w:r>
      <w:r w:rsidRPr="00003EB0">
        <w:t xml:space="preserve"> (1881) 17 </w:t>
      </w:r>
      <w:proofErr w:type="spellStart"/>
      <w:r w:rsidRPr="00003EB0">
        <w:t>Ch</w:t>
      </w:r>
      <w:proofErr w:type="spellEnd"/>
      <w:r w:rsidRPr="00003EB0">
        <w:t xml:space="preserve"> D 675. The early cases did not adopt the “legal advice privilege”/”litigation privilege” terminological dichotomy to distinguish between the two sub-categories of legal professional privilege. The first example of its use seems to be in </w:t>
      </w:r>
      <w:r w:rsidRPr="00203F79">
        <w:rPr>
          <w:i/>
        </w:rPr>
        <w:t xml:space="preserve">In Re </w:t>
      </w:r>
      <w:proofErr w:type="spellStart"/>
      <w:r w:rsidRPr="00203F79">
        <w:rPr>
          <w:i/>
        </w:rPr>
        <w:t>Highgrade</w:t>
      </w:r>
      <w:proofErr w:type="spellEnd"/>
      <w:r w:rsidRPr="00203F79">
        <w:rPr>
          <w:i/>
        </w:rPr>
        <w:t xml:space="preserve"> Traders Ltd</w:t>
      </w:r>
      <w:r w:rsidRPr="00003EB0">
        <w:t xml:space="preserve"> [1984] BCLC 151.</w:t>
      </w:r>
    </w:p>
  </w:footnote>
  <w:footnote w:id="9">
    <w:p w:rsidR="00B65016" w:rsidRPr="00003EB0" w:rsidRDefault="00B65016" w:rsidP="00CC2865">
      <w:pPr>
        <w:pStyle w:val="FootnoteText"/>
      </w:pPr>
      <w:r w:rsidRPr="00003EB0">
        <w:rPr>
          <w:rStyle w:val="FootnoteReference"/>
        </w:rPr>
        <w:footnoteRef/>
      </w:r>
      <w:r w:rsidRPr="00003EB0">
        <w:t xml:space="preserve"> </w:t>
      </w:r>
      <w:r w:rsidRPr="00203F79">
        <w:rPr>
          <w:i/>
        </w:rPr>
        <w:t>Anderson v Bank of British Columbia</w:t>
      </w:r>
      <w:r w:rsidRPr="00003EB0">
        <w:t xml:space="preserve"> (1876) 2 </w:t>
      </w:r>
      <w:proofErr w:type="spellStart"/>
      <w:r w:rsidRPr="00003EB0">
        <w:t>Ch</w:t>
      </w:r>
      <w:proofErr w:type="spellEnd"/>
      <w:r w:rsidRPr="00003EB0">
        <w:t xml:space="preserve"> D 644 per </w:t>
      </w:r>
      <w:proofErr w:type="spellStart"/>
      <w:r w:rsidRPr="00003EB0">
        <w:t>Mellish</w:t>
      </w:r>
      <w:proofErr w:type="spellEnd"/>
      <w:r w:rsidRPr="00003EB0">
        <w:t xml:space="preserve"> LJ at 658.</w:t>
      </w:r>
    </w:p>
  </w:footnote>
  <w:footnote w:id="10">
    <w:p w:rsidR="00B65016" w:rsidRPr="00003EB0" w:rsidRDefault="00B65016" w:rsidP="00CC2865">
      <w:pPr>
        <w:pStyle w:val="FootnoteText"/>
      </w:pPr>
      <w:r w:rsidRPr="00003EB0">
        <w:rPr>
          <w:rStyle w:val="FootnoteReference"/>
        </w:rPr>
        <w:footnoteRef/>
      </w:r>
      <w:r w:rsidRPr="00003EB0">
        <w:t xml:space="preserve"> </w:t>
      </w:r>
      <w:r w:rsidR="00203F79">
        <w:t>Ibid.</w:t>
      </w:r>
      <w:r w:rsidRPr="00003EB0">
        <w:t xml:space="preserve"> per James LJ at 656 and see, also, Brett LJ in </w:t>
      </w:r>
      <w:r w:rsidRPr="00203F79">
        <w:rPr>
          <w:i/>
        </w:rPr>
        <w:t>Southwark and Vauxhall Water Co v Quick</w:t>
      </w:r>
      <w:r w:rsidRPr="00003EB0">
        <w:t xml:space="preserve"> (1878) 3 QBD 315 at 320.</w:t>
      </w:r>
    </w:p>
  </w:footnote>
  <w:footnote w:id="11">
    <w:p w:rsidR="00B65016" w:rsidRPr="00003EB0" w:rsidRDefault="00B65016" w:rsidP="004869F2">
      <w:pPr>
        <w:pStyle w:val="FootnoteText"/>
      </w:pPr>
      <w:r w:rsidRPr="00003EB0">
        <w:rPr>
          <w:rStyle w:val="FootnoteReference"/>
        </w:rPr>
        <w:footnoteRef/>
      </w:r>
      <w:r w:rsidRPr="00003EB0">
        <w:t xml:space="preserve"> [2017] EWHC 1017 (QB) a</w:t>
      </w:r>
      <w:r>
        <w:t xml:space="preserve">t </w:t>
      </w:r>
      <w:r w:rsidR="00203F79">
        <w:t xml:space="preserve">para. </w:t>
      </w:r>
      <w:r>
        <w:t>54</w:t>
      </w:r>
      <w:r w:rsidRPr="00003EB0">
        <w:t>.</w:t>
      </w:r>
      <w:r w:rsidRPr="00003EB0">
        <w:rPr>
          <w:color w:val="FF0000"/>
        </w:rPr>
        <w:t xml:space="preserve"> </w:t>
      </w:r>
      <w:r w:rsidRPr="00003EB0">
        <w:t xml:space="preserve">See, also, </w:t>
      </w:r>
      <w:proofErr w:type="spellStart"/>
      <w:r w:rsidRPr="00203F79">
        <w:rPr>
          <w:i/>
        </w:rPr>
        <w:t>Visx</w:t>
      </w:r>
      <w:proofErr w:type="spellEnd"/>
      <w:r w:rsidRPr="00203F79">
        <w:rPr>
          <w:i/>
        </w:rPr>
        <w:t xml:space="preserve"> Inc. v </w:t>
      </w:r>
      <w:proofErr w:type="spellStart"/>
      <w:r w:rsidRPr="00203F79">
        <w:rPr>
          <w:i/>
        </w:rPr>
        <w:t>Nidex</w:t>
      </w:r>
      <w:proofErr w:type="spellEnd"/>
      <w:r w:rsidRPr="00203F79">
        <w:rPr>
          <w:i/>
        </w:rPr>
        <w:t xml:space="preserve"> Co. and Others</w:t>
      </w:r>
      <w:r w:rsidRPr="00003EB0">
        <w:t xml:space="preserve"> [1999] FSR 91.</w:t>
      </w:r>
    </w:p>
  </w:footnote>
  <w:footnote w:id="12">
    <w:p w:rsidR="00B65016" w:rsidRPr="00003EB0" w:rsidRDefault="00B65016" w:rsidP="005D3C18">
      <w:pPr>
        <w:pStyle w:val="Heading1"/>
        <w:shd w:val="clear" w:color="auto" w:fill="FFFFFF"/>
        <w:spacing w:before="0" w:beforeAutospacing="0" w:after="0" w:afterAutospacing="0"/>
        <w:rPr>
          <w:rStyle w:val="FootnoteReference"/>
          <w:rFonts w:asciiTheme="minorHAnsi" w:eastAsiaTheme="minorHAnsi" w:hAnsiTheme="minorHAnsi" w:cstheme="minorBidi"/>
          <w:sz w:val="22"/>
          <w:szCs w:val="22"/>
        </w:rPr>
      </w:pPr>
      <w:r w:rsidRPr="00003EB0">
        <w:rPr>
          <w:rStyle w:val="FootnoteReference"/>
          <w:rFonts w:asciiTheme="minorHAnsi" w:hAnsiTheme="minorHAnsi" w:cstheme="minorBidi"/>
          <w:b w:val="0"/>
          <w:bCs w:val="0"/>
          <w:kern w:val="0"/>
          <w:sz w:val="22"/>
          <w:szCs w:val="22"/>
          <w:lang w:eastAsia="en-US"/>
        </w:rPr>
        <w:footnoteRef/>
      </w:r>
      <w:r w:rsidRPr="00003EB0">
        <w:rPr>
          <w:rStyle w:val="FootnoteReference"/>
          <w:rFonts w:asciiTheme="minorHAnsi" w:hAnsiTheme="minorHAnsi" w:cstheme="minorBidi"/>
          <w:b w:val="0"/>
          <w:bCs w:val="0"/>
          <w:kern w:val="0"/>
          <w:sz w:val="22"/>
          <w:szCs w:val="22"/>
          <w:lang w:eastAsia="en-US"/>
        </w:rPr>
        <w:t xml:space="preserve"> </w:t>
      </w:r>
      <w:r w:rsidR="00203F79" w:rsidRPr="00203F79">
        <w:rPr>
          <w:rFonts w:asciiTheme="minorHAnsi" w:hAnsiTheme="minorHAnsi" w:cstheme="minorBidi"/>
          <w:b w:val="0"/>
          <w:bCs w:val="0"/>
          <w:kern w:val="0"/>
          <w:sz w:val="20"/>
          <w:szCs w:val="20"/>
          <w:lang w:eastAsia="en-US"/>
        </w:rPr>
        <w:t>Above n. 7</w:t>
      </w:r>
      <w:r w:rsidR="00203F79">
        <w:rPr>
          <w:rFonts w:asciiTheme="minorHAnsi" w:hAnsiTheme="minorHAnsi" w:cstheme="minorBidi"/>
          <w:b w:val="0"/>
          <w:bCs w:val="0"/>
          <w:kern w:val="0"/>
          <w:sz w:val="22"/>
          <w:szCs w:val="22"/>
          <w:lang w:eastAsia="en-US"/>
        </w:rPr>
        <w:t xml:space="preserve"> </w:t>
      </w:r>
      <w:r w:rsidRPr="00003EB0">
        <w:rPr>
          <w:rFonts w:asciiTheme="minorHAnsi" w:hAnsiTheme="minorHAnsi"/>
          <w:b w:val="0"/>
          <w:bCs w:val="0"/>
          <w:kern w:val="0"/>
          <w:sz w:val="20"/>
          <w:szCs w:val="20"/>
          <w:lang w:eastAsia="en-US"/>
        </w:rPr>
        <w:t xml:space="preserve">per Lord </w:t>
      </w:r>
      <w:proofErr w:type="spellStart"/>
      <w:r w:rsidRPr="00003EB0">
        <w:rPr>
          <w:rFonts w:asciiTheme="minorHAnsi" w:hAnsiTheme="minorHAnsi"/>
          <w:b w:val="0"/>
          <w:bCs w:val="0"/>
          <w:kern w:val="0"/>
          <w:sz w:val="20"/>
          <w:szCs w:val="20"/>
          <w:lang w:eastAsia="en-US"/>
        </w:rPr>
        <w:t>Carswell</w:t>
      </w:r>
      <w:proofErr w:type="spellEnd"/>
      <w:r w:rsidRPr="00003EB0">
        <w:rPr>
          <w:rFonts w:asciiTheme="minorHAnsi" w:hAnsiTheme="minorHAnsi"/>
          <w:b w:val="0"/>
          <w:bCs w:val="0"/>
          <w:kern w:val="0"/>
          <w:sz w:val="20"/>
          <w:szCs w:val="20"/>
          <w:lang w:eastAsia="en-US"/>
        </w:rPr>
        <w:t xml:space="preserve"> </w:t>
      </w:r>
      <w:r>
        <w:rPr>
          <w:rFonts w:asciiTheme="minorHAnsi" w:hAnsiTheme="minorHAnsi"/>
          <w:b w:val="0"/>
          <w:bCs w:val="0"/>
          <w:kern w:val="0"/>
          <w:sz w:val="20"/>
          <w:szCs w:val="20"/>
          <w:lang w:eastAsia="en-US"/>
        </w:rPr>
        <w:t xml:space="preserve">at </w:t>
      </w:r>
      <w:r w:rsidR="00203F79">
        <w:rPr>
          <w:rFonts w:asciiTheme="minorHAnsi" w:hAnsiTheme="minorHAnsi"/>
          <w:b w:val="0"/>
          <w:bCs w:val="0"/>
          <w:kern w:val="0"/>
          <w:sz w:val="20"/>
          <w:szCs w:val="20"/>
          <w:lang w:eastAsia="en-US"/>
        </w:rPr>
        <w:t xml:space="preserve">para. </w:t>
      </w:r>
      <w:r>
        <w:rPr>
          <w:rFonts w:asciiTheme="minorHAnsi" w:hAnsiTheme="minorHAnsi"/>
          <w:b w:val="0"/>
          <w:bCs w:val="0"/>
          <w:kern w:val="0"/>
          <w:sz w:val="20"/>
          <w:szCs w:val="20"/>
          <w:lang w:eastAsia="en-US"/>
        </w:rPr>
        <w:t>52</w:t>
      </w:r>
      <w:r w:rsidRPr="00003EB0">
        <w:rPr>
          <w:rFonts w:asciiTheme="minorHAnsi" w:hAnsiTheme="minorHAnsi"/>
          <w:b w:val="0"/>
          <w:bCs w:val="0"/>
          <w:kern w:val="0"/>
          <w:sz w:val="20"/>
          <w:szCs w:val="20"/>
          <w:lang w:eastAsia="en-US"/>
        </w:rPr>
        <w:t>.</w:t>
      </w:r>
    </w:p>
  </w:footnote>
  <w:footnote w:id="13">
    <w:p w:rsidR="00B65016" w:rsidRPr="00003EB0" w:rsidRDefault="00B65016" w:rsidP="00EE61E5">
      <w:pPr>
        <w:pStyle w:val="FootnoteText"/>
      </w:pPr>
      <w:r w:rsidRPr="00003EB0">
        <w:rPr>
          <w:rStyle w:val="FootnoteReference"/>
        </w:rPr>
        <w:footnoteRef/>
      </w:r>
      <w:r w:rsidRPr="00003EB0">
        <w:t xml:space="preserve"> </w:t>
      </w:r>
      <w:r w:rsidRPr="00304D03">
        <w:rPr>
          <w:i/>
        </w:rPr>
        <w:t>Anderson v Bank of British Columbia</w:t>
      </w:r>
      <w:r w:rsidRPr="00003EB0">
        <w:t xml:space="preserve"> 2 </w:t>
      </w:r>
      <w:proofErr w:type="spellStart"/>
      <w:r w:rsidRPr="00003EB0">
        <w:t>Ch</w:t>
      </w:r>
      <w:proofErr w:type="spellEnd"/>
      <w:r w:rsidRPr="00003EB0">
        <w:t xml:space="preserve"> D 644 per </w:t>
      </w:r>
      <w:proofErr w:type="spellStart"/>
      <w:r w:rsidRPr="00003EB0">
        <w:t>Mellish</w:t>
      </w:r>
      <w:proofErr w:type="spellEnd"/>
      <w:r w:rsidRPr="00003EB0">
        <w:t xml:space="preserve"> LJ at 658.</w:t>
      </w:r>
    </w:p>
  </w:footnote>
  <w:footnote w:id="14">
    <w:p w:rsidR="00B65016" w:rsidRPr="00003EB0" w:rsidRDefault="00B65016" w:rsidP="00EE61E5">
      <w:pPr>
        <w:pStyle w:val="FootnoteText"/>
      </w:pPr>
      <w:r w:rsidRPr="00003EB0">
        <w:rPr>
          <w:rStyle w:val="FootnoteReference"/>
        </w:rPr>
        <w:footnoteRef/>
      </w:r>
      <w:r w:rsidRPr="00003EB0">
        <w:t xml:space="preserve"> Cotton LJ in </w:t>
      </w:r>
      <w:r w:rsidRPr="00304D03">
        <w:rPr>
          <w:i/>
        </w:rPr>
        <w:t xml:space="preserve">Wheeler v </w:t>
      </w:r>
      <w:proofErr w:type="spellStart"/>
      <w:r w:rsidRPr="00304D03">
        <w:rPr>
          <w:i/>
        </w:rPr>
        <w:t>Lemarchant</w:t>
      </w:r>
      <w:proofErr w:type="spellEnd"/>
      <w:r w:rsidRPr="00003EB0">
        <w:t xml:space="preserve"> (1881) 17 </w:t>
      </w:r>
      <w:proofErr w:type="spellStart"/>
      <w:r w:rsidRPr="00003EB0">
        <w:t>Ch</w:t>
      </w:r>
      <w:proofErr w:type="spellEnd"/>
      <w:r w:rsidRPr="00003EB0">
        <w:t xml:space="preserve"> D 675 at 685.</w:t>
      </w:r>
    </w:p>
  </w:footnote>
  <w:footnote w:id="15">
    <w:p w:rsidR="00B65016" w:rsidRPr="00003EB0" w:rsidRDefault="00B65016" w:rsidP="00CC2865">
      <w:pPr>
        <w:pStyle w:val="FootnoteText"/>
      </w:pPr>
      <w:r w:rsidRPr="00003EB0">
        <w:rPr>
          <w:rStyle w:val="FootnoteReference"/>
        </w:rPr>
        <w:footnoteRef/>
      </w:r>
      <w:r w:rsidRPr="00003EB0">
        <w:t xml:space="preserve"> [1980] AC 521 at 543.</w:t>
      </w:r>
    </w:p>
  </w:footnote>
  <w:footnote w:id="16">
    <w:p w:rsidR="00B65016" w:rsidRDefault="00B65016" w:rsidP="00EE61E5">
      <w:pPr>
        <w:pStyle w:val="FootnoteText"/>
      </w:pPr>
      <w:r>
        <w:rPr>
          <w:rStyle w:val="FootnoteReference"/>
        </w:rPr>
        <w:footnoteRef/>
      </w:r>
      <w:r w:rsidR="00BB1CD2">
        <w:t xml:space="preserve"> [1997] AC 16 at</w:t>
      </w:r>
      <w:r>
        <w:t xml:space="preserve"> 27</w:t>
      </w:r>
      <w:r w:rsidR="00BB1CD2">
        <w:t>.</w:t>
      </w:r>
    </w:p>
  </w:footnote>
  <w:footnote w:id="17">
    <w:p w:rsidR="00B65016" w:rsidRDefault="00B65016" w:rsidP="00CC2865">
      <w:pPr>
        <w:pStyle w:val="FootnoteText"/>
      </w:pPr>
      <w:r>
        <w:rPr>
          <w:rStyle w:val="FootnoteReference"/>
        </w:rPr>
        <w:footnoteRef/>
      </w:r>
      <w:r>
        <w:t xml:space="preserve"> [2005] 1 AC 610 at </w:t>
      </w:r>
      <w:r w:rsidR="00BB1CD2">
        <w:t xml:space="preserve">para. </w:t>
      </w:r>
      <w:r>
        <w:t>52</w:t>
      </w:r>
      <w:r w:rsidRPr="00886236">
        <w:t>.</w:t>
      </w:r>
    </w:p>
  </w:footnote>
  <w:footnote w:id="18">
    <w:p w:rsidR="00B65016" w:rsidRPr="006D5144" w:rsidRDefault="00B65016" w:rsidP="00CC2865">
      <w:pPr>
        <w:pStyle w:val="FootnoteText"/>
      </w:pPr>
      <w:r>
        <w:rPr>
          <w:rStyle w:val="FootnoteReference"/>
        </w:rPr>
        <w:footnoteRef/>
      </w:r>
      <w:r>
        <w:t xml:space="preserve"> </w:t>
      </w:r>
      <w:r w:rsidR="00BB1CD2">
        <w:t>Above n.7.</w:t>
      </w:r>
    </w:p>
  </w:footnote>
  <w:footnote w:id="19">
    <w:p w:rsidR="00B65016" w:rsidRPr="006D5144" w:rsidRDefault="00B65016" w:rsidP="00CC2865">
      <w:pPr>
        <w:pStyle w:val="FootnoteText"/>
        <w:rPr>
          <w:color w:val="FF0000"/>
        </w:rPr>
      </w:pPr>
      <w:r w:rsidRPr="006D5144">
        <w:rPr>
          <w:rStyle w:val="FootnoteReference"/>
        </w:rPr>
        <w:footnoteRef/>
      </w:r>
      <w:r w:rsidRPr="006D5144">
        <w:t xml:space="preserve"> See </w:t>
      </w:r>
      <w:r w:rsidRPr="00BB1CD2">
        <w:rPr>
          <w:i/>
        </w:rPr>
        <w:t>S County Council v B</w:t>
      </w:r>
      <w:r w:rsidRPr="006D5144">
        <w:t xml:space="preserve"> [2000] Fam 76.</w:t>
      </w:r>
    </w:p>
  </w:footnote>
  <w:footnote w:id="20">
    <w:p w:rsidR="00B65016" w:rsidRPr="006D5144" w:rsidRDefault="00B65016" w:rsidP="00CC2865">
      <w:pPr>
        <w:pStyle w:val="NormalWeb"/>
        <w:shd w:val="clear" w:color="auto" w:fill="FFFFFF"/>
        <w:spacing w:before="0" w:beforeAutospacing="0" w:after="0" w:afterAutospacing="0"/>
        <w:rPr>
          <w:rFonts w:asciiTheme="minorHAnsi" w:hAnsiTheme="minorHAnsi"/>
          <w:sz w:val="20"/>
          <w:szCs w:val="20"/>
        </w:rPr>
      </w:pPr>
      <w:r w:rsidRPr="006D5144">
        <w:rPr>
          <w:rStyle w:val="FootnoteReference"/>
          <w:rFonts w:asciiTheme="minorHAnsi" w:hAnsiTheme="minorHAnsi"/>
          <w:sz w:val="20"/>
          <w:szCs w:val="20"/>
        </w:rPr>
        <w:footnoteRef/>
      </w:r>
      <w:r w:rsidRPr="006D5144">
        <w:rPr>
          <w:rFonts w:asciiTheme="minorHAnsi" w:hAnsiTheme="minorHAnsi"/>
          <w:sz w:val="20"/>
          <w:szCs w:val="20"/>
        </w:rPr>
        <w:t xml:space="preserve"> </w:t>
      </w:r>
      <w:r w:rsidRPr="00BB1CD2">
        <w:rPr>
          <w:rFonts w:asciiTheme="minorHAnsi" w:hAnsiTheme="minorHAnsi"/>
          <w:i/>
          <w:sz w:val="20"/>
          <w:szCs w:val="20"/>
          <w:lang w:eastAsia="en-US"/>
        </w:rPr>
        <w:t>LM v London Borough of Lewisham</w:t>
      </w:r>
      <w:r w:rsidRPr="006D5144">
        <w:rPr>
          <w:rFonts w:asciiTheme="minorHAnsi" w:hAnsiTheme="minorHAnsi"/>
          <w:sz w:val="20"/>
          <w:szCs w:val="20"/>
          <w:lang w:eastAsia="en-US"/>
        </w:rPr>
        <w:t xml:space="preserve"> [2009] UKUT 204 (AAC) per Mark Rowland, Judge of the Upper Tribunal at </w:t>
      </w:r>
      <w:r w:rsidR="00BB1CD2">
        <w:rPr>
          <w:rFonts w:asciiTheme="minorHAnsi" w:hAnsiTheme="minorHAnsi"/>
          <w:sz w:val="20"/>
          <w:szCs w:val="20"/>
          <w:lang w:eastAsia="en-US"/>
        </w:rPr>
        <w:t xml:space="preserve">para. </w:t>
      </w:r>
      <w:r w:rsidRPr="006D5144">
        <w:rPr>
          <w:rFonts w:asciiTheme="minorHAnsi" w:hAnsiTheme="minorHAnsi"/>
          <w:sz w:val="20"/>
          <w:szCs w:val="20"/>
          <w:lang w:eastAsia="en-US"/>
        </w:rPr>
        <w:t>30.</w:t>
      </w:r>
    </w:p>
  </w:footnote>
  <w:footnote w:id="21">
    <w:p w:rsidR="00B65016" w:rsidRPr="006D5144" w:rsidRDefault="00B65016" w:rsidP="00CC2865">
      <w:pPr>
        <w:pStyle w:val="ListBullet"/>
        <w:numPr>
          <w:ilvl w:val="0"/>
          <w:numId w:val="0"/>
        </w:numPr>
        <w:rPr>
          <w:sz w:val="20"/>
          <w:szCs w:val="20"/>
        </w:rPr>
      </w:pPr>
      <w:r w:rsidRPr="006D5144">
        <w:rPr>
          <w:rStyle w:val="FootnoteReference"/>
          <w:sz w:val="20"/>
          <w:szCs w:val="20"/>
        </w:rPr>
        <w:footnoteRef/>
      </w:r>
      <w:r w:rsidRPr="006D5144">
        <w:rPr>
          <w:sz w:val="20"/>
          <w:szCs w:val="20"/>
        </w:rPr>
        <w:t xml:space="preserve"> </w:t>
      </w:r>
      <w:r w:rsidRPr="006D5144">
        <w:rPr>
          <w:rFonts w:cs="Times New Roman"/>
          <w:sz w:val="20"/>
          <w:szCs w:val="20"/>
        </w:rPr>
        <w:t xml:space="preserve">Lord Justice Auld ‘A Review of the Criminal Courts of England and Wales’, September 2001, Chapter </w:t>
      </w:r>
      <w:r w:rsidR="00BB1CD2">
        <w:rPr>
          <w:rFonts w:cs="Times New Roman"/>
          <w:sz w:val="20"/>
          <w:szCs w:val="20"/>
        </w:rPr>
        <w:t>11 at para 77</w:t>
      </w:r>
      <w:r w:rsidRPr="006D5144">
        <w:rPr>
          <w:sz w:val="20"/>
          <w:szCs w:val="20"/>
        </w:rPr>
        <w:t xml:space="preserve"> </w:t>
      </w:r>
      <w:hyperlink r:id="rId2" w:history="1">
        <w:r w:rsidRPr="006D5144">
          <w:rPr>
            <w:rStyle w:val="Hyperlink"/>
            <w:sz w:val="20"/>
            <w:szCs w:val="20"/>
          </w:rPr>
          <w:t>http://webarchive.nationalarchives.gov.uk/+/http://www.criminal-courts-review.org.uk</w:t>
        </w:r>
      </w:hyperlink>
      <w:r w:rsidRPr="006D5144">
        <w:rPr>
          <w:sz w:val="20"/>
          <w:szCs w:val="20"/>
        </w:rPr>
        <w:t xml:space="preserve"> </w:t>
      </w:r>
      <w:r w:rsidRPr="006D5144">
        <w:rPr>
          <w:rFonts w:cs="Times New Roman"/>
          <w:sz w:val="20"/>
          <w:szCs w:val="20"/>
        </w:rPr>
        <w:t>accessed</w:t>
      </w:r>
      <w:r w:rsidRPr="006D5144">
        <w:rPr>
          <w:rFonts w:cs="Times New Roman"/>
          <w:color w:val="FF0000"/>
          <w:sz w:val="20"/>
          <w:szCs w:val="20"/>
        </w:rPr>
        <w:t xml:space="preserve"> </w:t>
      </w:r>
      <w:r w:rsidR="00BB1CD2">
        <w:rPr>
          <w:rFonts w:cs="Times New Roman"/>
          <w:sz w:val="20"/>
          <w:szCs w:val="20"/>
        </w:rPr>
        <w:t>27/04/2018</w:t>
      </w:r>
      <w:r w:rsidRPr="006D5144">
        <w:rPr>
          <w:rFonts w:cs="Times New Roman"/>
          <w:sz w:val="20"/>
          <w:szCs w:val="20"/>
        </w:rPr>
        <w:t>.</w:t>
      </w:r>
    </w:p>
  </w:footnote>
  <w:footnote w:id="22">
    <w:p w:rsidR="00B65016" w:rsidRPr="00BB1CD2" w:rsidRDefault="00B65016" w:rsidP="003A0C45">
      <w:pPr>
        <w:pStyle w:val="ListBullet"/>
        <w:numPr>
          <w:ilvl w:val="0"/>
          <w:numId w:val="0"/>
        </w:numPr>
        <w:spacing w:line="240" w:lineRule="auto"/>
        <w:rPr>
          <w:rStyle w:val="FootnoteReference"/>
          <w:sz w:val="20"/>
          <w:szCs w:val="20"/>
        </w:rPr>
      </w:pPr>
      <w:r w:rsidRPr="003A0C45">
        <w:rPr>
          <w:rStyle w:val="FootnoteReference"/>
          <w:sz w:val="20"/>
          <w:szCs w:val="20"/>
        </w:rPr>
        <w:footnoteRef/>
      </w:r>
      <w:r>
        <w:t xml:space="preserve"> </w:t>
      </w:r>
      <w:r w:rsidR="00BB1CD2" w:rsidRPr="00BB1CD2">
        <w:rPr>
          <w:sz w:val="20"/>
          <w:szCs w:val="20"/>
        </w:rPr>
        <w:t xml:space="preserve">Ibid, at </w:t>
      </w:r>
      <w:r w:rsidR="00BB1CD2" w:rsidRPr="00BB1CD2">
        <w:rPr>
          <w:rFonts w:cs="Times New Roman"/>
          <w:sz w:val="20"/>
          <w:szCs w:val="20"/>
        </w:rPr>
        <w:t>para. 149</w:t>
      </w:r>
      <w:r w:rsidRPr="00BB1CD2">
        <w:rPr>
          <w:rFonts w:cs="Times New Roman"/>
          <w:sz w:val="20"/>
          <w:szCs w:val="20"/>
        </w:rPr>
        <w:t>.</w:t>
      </w:r>
    </w:p>
  </w:footnote>
  <w:footnote w:id="23">
    <w:p w:rsidR="00B65016" w:rsidRDefault="00B65016" w:rsidP="003A0C45">
      <w:pPr>
        <w:pStyle w:val="FootnoteText"/>
      </w:pPr>
      <w:r w:rsidRPr="00BB1CD2">
        <w:rPr>
          <w:rStyle w:val="FootnoteReference"/>
        </w:rPr>
        <w:footnoteRef/>
      </w:r>
      <w:r w:rsidRPr="00BB1CD2">
        <w:t xml:space="preserve"> </w:t>
      </w:r>
      <w:r w:rsidR="003A0C45" w:rsidRPr="003A0C45">
        <w:t xml:space="preserve">Above n.11 at paras. </w:t>
      </w:r>
      <w:r w:rsidRPr="003A0C45">
        <w:t>1</w:t>
      </w:r>
      <w:r w:rsidR="003A0C45" w:rsidRPr="003A0C45">
        <w:t>50 and 166</w:t>
      </w:r>
      <w:r w:rsidRPr="003A0C45">
        <w:t xml:space="preserve">. </w:t>
      </w:r>
    </w:p>
  </w:footnote>
  <w:footnote w:id="24">
    <w:p w:rsidR="00B65016" w:rsidRDefault="00B65016" w:rsidP="00CC2865">
      <w:pPr>
        <w:pStyle w:val="FootnoteText"/>
      </w:pPr>
      <w:r>
        <w:rPr>
          <w:rStyle w:val="FootnoteReference"/>
        </w:rPr>
        <w:footnoteRef/>
      </w:r>
      <w:r>
        <w:t xml:space="preserve"> </w:t>
      </w:r>
      <w:r w:rsidRPr="00821D6E">
        <w:t>17 January 2017 Case No: U20170036</w:t>
      </w:r>
      <w:r>
        <w:t>.</w:t>
      </w:r>
    </w:p>
  </w:footnote>
  <w:footnote w:id="25">
    <w:p w:rsidR="00B65016" w:rsidRDefault="00B65016" w:rsidP="00CC2865">
      <w:pPr>
        <w:pStyle w:val="FootnoteText"/>
      </w:pPr>
      <w:r>
        <w:rPr>
          <w:rStyle w:val="FootnoteReference"/>
        </w:rPr>
        <w:footnoteRef/>
      </w:r>
      <w:r>
        <w:t xml:space="preserve"> </w:t>
      </w:r>
      <w:r w:rsidR="003A0C45">
        <w:t xml:space="preserve">Above n.11 </w:t>
      </w:r>
      <w:r w:rsidR="003A0C45" w:rsidRPr="003A0C45">
        <w:t>a</w:t>
      </w:r>
      <w:r w:rsidRPr="003A0C45">
        <w:t xml:space="preserve">t </w:t>
      </w:r>
      <w:r w:rsidR="003A0C45" w:rsidRPr="003A0C45">
        <w:t xml:space="preserve">para. </w:t>
      </w:r>
      <w:r w:rsidRPr="003A0C45">
        <w:t>168</w:t>
      </w:r>
      <w:r w:rsidRPr="005E66C1">
        <w:rPr>
          <w:color w:val="FF0000"/>
        </w:rPr>
        <w:t>.</w:t>
      </w:r>
    </w:p>
  </w:footnote>
  <w:footnote w:id="26">
    <w:p w:rsidR="00B65016" w:rsidRPr="003A0C45" w:rsidRDefault="00B65016" w:rsidP="00A24DE2">
      <w:pPr>
        <w:pStyle w:val="FootnoteText"/>
        <w:rPr>
          <w:rFonts w:ascii="Calibri" w:hAnsi="Calibri"/>
        </w:rPr>
      </w:pPr>
      <w:r>
        <w:rPr>
          <w:rStyle w:val="FootnoteReference"/>
        </w:rPr>
        <w:footnoteRef/>
      </w:r>
      <w:r>
        <w:t xml:space="preserve"> </w:t>
      </w:r>
      <w:r w:rsidRPr="003A0C45">
        <w:rPr>
          <w:rFonts w:ascii="Calibri" w:hAnsi="Calibri"/>
        </w:rPr>
        <w:t>Baer, J-J. ‘Legal advice privilege: a search for clarity?’ (2017) 167 NLJ 7772, 18.</w:t>
      </w:r>
    </w:p>
  </w:footnote>
  <w:footnote w:id="27">
    <w:p w:rsidR="00B65016" w:rsidRPr="003A0C45" w:rsidRDefault="00B65016" w:rsidP="00CC2865">
      <w:pPr>
        <w:spacing w:after="0" w:line="240" w:lineRule="auto"/>
        <w:rPr>
          <w:rFonts w:ascii="Calibri" w:hAnsi="Calibri"/>
          <w:sz w:val="20"/>
          <w:szCs w:val="20"/>
        </w:rPr>
      </w:pPr>
      <w:r w:rsidRPr="003A0C45">
        <w:rPr>
          <w:rStyle w:val="FootnoteReference"/>
          <w:rFonts w:ascii="Calibri" w:hAnsi="Calibri"/>
          <w:sz w:val="20"/>
          <w:szCs w:val="20"/>
        </w:rPr>
        <w:footnoteRef/>
      </w:r>
      <w:r w:rsidRPr="003A0C45">
        <w:rPr>
          <w:rFonts w:ascii="Calibri" w:hAnsi="Calibri"/>
          <w:sz w:val="20"/>
          <w:szCs w:val="20"/>
        </w:rPr>
        <w:t xml:space="preserve"> </w:t>
      </w:r>
      <w:r w:rsidRPr="003A0C45">
        <w:rPr>
          <w:rFonts w:ascii="Calibri" w:eastAsia="Times New Roman" w:hAnsi="Calibri" w:cs="Times New Roman"/>
          <w:sz w:val="20"/>
          <w:szCs w:val="20"/>
        </w:rPr>
        <w:t>[1984] BCLC 151 per Oliver LJ at 172.</w:t>
      </w:r>
    </w:p>
  </w:footnote>
  <w:footnote w:id="28">
    <w:p w:rsidR="00B65016" w:rsidRPr="003A0C45" w:rsidRDefault="00B65016" w:rsidP="00A24DE2">
      <w:pPr>
        <w:pStyle w:val="FootnoteText"/>
        <w:rPr>
          <w:rFonts w:ascii="Calibri" w:hAnsi="Calibri"/>
        </w:rPr>
      </w:pPr>
      <w:r w:rsidRPr="003A0C45">
        <w:rPr>
          <w:rStyle w:val="FootnoteReference"/>
          <w:rFonts w:ascii="Calibri" w:hAnsi="Calibri"/>
        </w:rPr>
        <w:footnoteRef/>
      </w:r>
      <w:r w:rsidRPr="003A0C45">
        <w:rPr>
          <w:rFonts w:ascii="Calibri" w:hAnsi="Calibri"/>
        </w:rPr>
        <w:t xml:space="preserve"> Oliver LJ at 174.</w:t>
      </w:r>
    </w:p>
  </w:footnote>
  <w:footnote w:id="29">
    <w:p w:rsidR="00B65016" w:rsidRDefault="00B65016" w:rsidP="002709F4">
      <w:pPr>
        <w:pStyle w:val="FootnoteText"/>
      </w:pPr>
      <w:r w:rsidRPr="003A0C45">
        <w:rPr>
          <w:rStyle w:val="FootnoteReference"/>
          <w:rFonts w:ascii="Calibri" w:hAnsi="Calibri"/>
        </w:rPr>
        <w:footnoteRef/>
      </w:r>
      <w:r w:rsidRPr="003A0C45">
        <w:rPr>
          <w:rFonts w:ascii="Calibri" w:hAnsi="Calibri"/>
        </w:rPr>
        <w:t xml:space="preserve"> </w:t>
      </w:r>
      <w:r w:rsidR="003A0C45" w:rsidRPr="003A0C45">
        <w:rPr>
          <w:rFonts w:ascii="Calibri" w:hAnsi="Calibri"/>
        </w:rPr>
        <w:t>[</w:t>
      </w:r>
      <w:r w:rsidRPr="003A0C45">
        <w:rPr>
          <w:rFonts w:ascii="Calibri" w:hAnsi="Calibri"/>
        </w:rPr>
        <w:t>1997] 1 Lloyd’s Rep 160</w:t>
      </w:r>
      <w:r w:rsidRPr="007849C6">
        <w:t xml:space="preserve"> at 166.</w:t>
      </w:r>
    </w:p>
  </w:footnote>
  <w:footnote w:id="30">
    <w:p w:rsidR="00B65016" w:rsidRPr="003A0C45" w:rsidRDefault="00B65016" w:rsidP="0024252A">
      <w:pPr>
        <w:pStyle w:val="FootnoteText"/>
        <w:rPr>
          <w:i/>
          <w:color w:val="000000" w:themeColor="text1"/>
        </w:rPr>
      </w:pPr>
      <w:r>
        <w:rPr>
          <w:rStyle w:val="FootnoteReference"/>
        </w:rPr>
        <w:footnoteRef/>
      </w:r>
      <w:r>
        <w:t xml:space="preserve"> </w:t>
      </w:r>
      <w:r w:rsidRPr="003A0C45">
        <w:rPr>
          <w:color w:val="000000" w:themeColor="text1"/>
        </w:rPr>
        <w:t xml:space="preserve">Geoffrey </w:t>
      </w:r>
      <w:proofErr w:type="spellStart"/>
      <w:r w:rsidRPr="003A0C45">
        <w:rPr>
          <w:color w:val="000000" w:themeColor="text1"/>
        </w:rPr>
        <w:t>Vos</w:t>
      </w:r>
      <w:proofErr w:type="spellEnd"/>
      <w:r w:rsidRPr="003A0C45">
        <w:rPr>
          <w:color w:val="000000" w:themeColor="text1"/>
        </w:rPr>
        <w:t xml:space="preserve"> C in </w:t>
      </w:r>
      <w:proofErr w:type="spellStart"/>
      <w:r w:rsidRPr="003A0C45">
        <w:rPr>
          <w:i/>
          <w:color w:val="000000" w:themeColor="text1"/>
        </w:rPr>
        <w:t>Bilta</w:t>
      </w:r>
      <w:proofErr w:type="spellEnd"/>
      <w:r w:rsidRPr="003A0C45">
        <w:rPr>
          <w:i/>
          <w:color w:val="000000" w:themeColor="text1"/>
        </w:rPr>
        <w:t xml:space="preserve"> (UK) Ltd (in Liquidation) &amp; </w:t>
      </w:r>
      <w:proofErr w:type="spellStart"/>
      <w:r w:rsidRPr="003A0C45">
        <w:rPr>
          <w:i/>
          <w:color w:val="000000" w:themeColor="text1"/>
        </w:rPr>
        <w:t>Ors</w:t>
      </w:r>
      <w:proofErr w:type="spellEnd"/>
      <w:r w:rsidRPr="003A0C45">
        <w:rPr>
          <w:i/>
          <w:color w:val="000000" w:themeColor="text1"/>
        </w:rPr>
        <w:t xml:space="preserve">. v Royal Bank of Scotland Plc, </w:t>
      </w:r>
      <w:proofErr w:type="spellStart"/>
      <w:r w:rsidRPr="003A0C45">
        <w:rPr>
          <w:i/>
          <w:color w:val="000000" w:themeColor="text1"/>
        </w:rPr>
        <w:t>Mercuria</w:t>
      </w:r>
      <w:proofErr w:type="spellEnd"/>
    </w:p>
    <w:p w:rsidR="00B65016" w:rsidRPr="003A0C45" w:rsidRDefault="00B65016" w:rsidP="009647A4">
      <w:pPr>
        <w:pStyle w:val="FootnoteText"/>
        <w:rPr>
          <w:color w:val="000000" w:themeColor="text1"/>
        </w:rPr>
      </w:pPr>
      <w:r w:rsidRPr="003A0C45">
        <w:rPr>
          <w:i/>
          <w:color w:val="000000" w:themeColor="text1"/>
        </w:rPr>
        <w:t>Energy Europe Trading Limited [2017] EWHC 3535 (</w:t>
      </w:r>
      <w:proofErr w:type="spellStart"/>
      <w:r w:rsidRPr="003A0C45">
        <w:rPr>
          <w:i/>
          <w:color w:val="000000" w:themeColor="text1"/>
        </w:rPr>
        <w:t>Ch</w:t>
      </w:r>
      <w:proofErr w:type="spellEnd"/>
      <w:r w:rsidRPr="003A0C45">
        <w:rPr>
          <w:i/>
          <w:color w:val="000000" w:themeColor="text1"/>
        </w:rPr>
        <w:t>)</w:t>
      </w:r>
      <w:r w:rsidR="003A0C45" w:rsidRPr="003A0C45">
        <w:rPr>
          <w:color w:val="000000" w:themeColor="text1"/>
        </w:rPr>
        <w:t xml:space="preserve"> at para. 58.</w:t>
      </w:r>
      <w:r w:rsidRPr="003A0C45">
        <w:rPr>
          <w:color w:val="000000" w:themeColor="text1"/>
        </w:rPr>
        <w:t xml:space="preserve"> </w:t>
      </w:r>
    </w:p>
  </w:footnote>
  <w:footnote w:id="31">
    <w:p w:rsidR="00B65016" w:rsidRPr="003A0C45" w:rsidRDefault="00B65016" w:rsidP="005A6A74">
      <w:pPr>
        <w:pStyle w:val="FootnoteText"/>
        <w:rPr>
          <w:color w:val="000000" w:themeColor="text1"/>
        </w:rPr>
      </w:pPr>
      <w:r w:rsidRPr="003A0C45">
        <w:rPr>
          <w:rStyle w:val="FootnoteReference"/>
          <w:color w:val="000000" w:themeColor="text1"/>
        </w:rPr>
        <w:footnoteRef/>
      </w:r>
      <w:r w:rsidR="003A0C45" w:rsidRPr="003A0C45">
        <w:rPr>
          <w:color w:val="000000" w:themeColor="text1"/>
        </w:rPr>
        <w:t xml:space="preserve"> Ibid. at para. 66.</w:t>
      </w:r>
    </w:p>
  </w:footnote>
  <w:footnote w:id="32">
    <w:p w:rsidR="00EF6A90" w:rsidRPr="003A0C45" w:rsidRDefault="00EF6A90" w:rsidP="00EF6A90">
      <w:pPr>
        <w:pStyle w:val="FootnoteText"/>
        <w:rPr>
          <w:color w:val="000000" w:themeColor="text1"/>
        </w:rPr>
      </w:pPr>
      <w:r w:rsidRPr="003A0C45">
        <w:rPr>
          <w:rStyle w:val="FootnoteReference"/>
          <w:color w:val="000000" w:themeColor="text1"/>
        </w:rPr>
        <w:footnoteRef/>
      </w:r>
      <w:r w:rsidRPr="003A0C45">
        <w:rPr>
          <w:color w:val="000000" w:themeColor="text1"/>
        </w:rPr>
        <w:t xml:space="preserve"> </w:t>
      </w:r>
      <w:r w:rsidR="003A0C45" w:rsidRPr="003A0C45">
        <w:rPr>
          <w:color w:val="000000" w:themeColor="text1"/>
        </w:rPr>
        <w:t xml:space="preserve">Above n.11 at para. </w:t>
      </w:r>
      <w:r w:rsidRPr="003A0C45">
        <w:rPr>
          <w:color w:val="000000" w:themeColor="text1"/>
        </w:rPr>
        <w:t>170.</w:t>
      </w:r>
    </w:p>
  </w:footnote>
  <w:footnote w:id="33">
    <w:p w:rsidR="00EF6A90" w:rsidRPr="003A0C45" w:rsidRDefault="00EF6A90" w:rsidP="00EF6A90">
      <w:pPr>
        <w:pStyle w:val="FootnoteText"/>
        <w:rPr>
          <w:color w:val="000000" w:themeColor="text1"/>
        </w:rPr>
      </w:pPr>
      <w:r w:rsidRPr="003A0C45">
        <w:rPr>
          <w:rStyle w:val="FootnoteReference"/>
          <w:color w:val="000000" w:themeColor="text1"/>
        </w:rPr>
        <w:footnoteRef/>
      </w:r>
      <w:r w:rsidRPr="003A0C45">
        <w:rPr>
          <w:color w:val="000000" w:themeColor="text1"/>
        </w:rPr>
        <w:t xml:space="preserve"> </w:t>
      </w:r>
      <w:proofErr w:type="spellStart"/>
      <w:r w:rsidRPr="003A0C45">
        <w:rPr>
          <w:color w:val="000000" w:themeColor="text1"/>
        </w:rPr>
        <w:t>A.Hanna</w:t>
      </w:r>
      <w:proofErr w:type="spellEnd"/>
      <w:r w:rsidRPr="003A0C45">
        <w:rPr>
          <w:color w:val="000000" w:themeColor="text1"/>
        </w:rPr>
        <w:t xml:space="preserve"> ‘</w:t>
      </w:r>
      <w:proofErr w:type="gramStart"/>
      <w:r w:rsidRPr="003A0C45">
        <w:rPr>
          <w:color w:val="000000" w:themeColor="text1"/>
        </w:rPr>
        <w:t>The</w:t>
      </w:r>
      <w:proofErr w:type="gramEnd"/>
      <w:r w:rsidRPr="003A0C45">
        <w:rPr>
          <w:color w:val="000000" w:themeColor="text1"/>
        </w:rPr>
        <w:t xml:space="preserve"> conundrum of the corporate client: deciphering the scope and application of legal professional privilege in the corporate context: Re RBS (Rights Issue Litigation) [2016] EWHC 3161 (</w:t>
      </w:r>
      <w:proofErr w:type="spellStart"/>
      <w:r w:rsidRPr="003A0C45">
        <w:rPr>
          <w:color w:val="000000" w:themeColor="text1"/>
        </w:rPr>
        <w:t>Ch</w:t>
      </w:r>
      <w:proofErr w:type="spellEnd"/>
      <w:r w:rsidRPr="003A0C45">
        <w:rPr>
          <w:color w:val="000000" w:themeColor="text1"/>
        </w:rPr>
        <w:t>); Director of the Serious Fraud Office v Eurasian Natural Resources Corp’ (2018), CJQ, 37(2), 172-185, 184-185.</w:t>
      </w:r>
    </w:p>
  </w:footnote>
  <w:footnote w:id="34">
    <w:p w:rsidR="00B65016" w:rsidRDefault="00B65016" w:rsidP="00CC2865">
      <w:pPr>
        <w:pStyle w:val="FootnoteText"/>
      </w:pPr>
      <w:r w:rsidRPr="003A0C45">
        <w:rPr>
          <w:rStyle w:val="FootnoteReference"/>
          <w:color w:val="000000" w:themeColor="text1"/>
        </w:rPr>
        <w:footnoteRef/>
      </w:r>
      <w:r w:rsidRPr="003A0C45">
        <w:rPr>
          <w:color w:val="000000" w:themeColor="text1"/>
        </w:rPr>
        <w:t xml:space="preserve"> See </w:t>
      </w:r>
      <w:r w:rsidRPr="003A0C45">
        <w:rPr>
          <w:i/>
          <w:iCs/>
          <w:color w:val="000000" w:themeColor="text1"/>
        </w:rPr>
        <w:t xml:space="preserve">Re </w:t>
      </w:r>
      <w:proofErr w:type="spellStart"/>
      <w:r w:rsidRPr="003A0C45">
        <w:rPr>
          <w:i/>
          <w:iCs/>
          <w:color w:val="000000" w:themeColor="text1"/>
        </w:rPr>
        <w:t>Highgrade</w:t>
      </w:r>
      <w:proofErr w:type="spellEnd"/>
      <w:r w:rsidRPr="003A0C45">
        <w:rPr>
          <w:i/>
          <w:iCs/>
          <w:color w:val="000000" w:themeColor="text1"/>
        </w:rPr>
        <w:t xml:space="preserve"> Traders Ltd</w:t>
      </w:r>
      <w:r w:rsidRPr="003A0C45">
        <w:rPr>
          <w:color w:val="000000" w:themeColor="text1"/>
        </w:rPr>
        <w:t> [1984] BCLC 151 per Oliver LJ at 172.</w:t>
      </w:r>
    </w:p>
  </w:footnote>
  <w:footnote w:id="35">
    <w:p w:rsidR="00B65016" w:rsidRDefault="00B65016" w:rsidP="00CC2865">
      <w:pPr>
        <w:pStyle w:val="FootnoteText"/>
      </w:pPr>
      <w:r>
        <w:rPr>
          <w:rStyle w:val="FootnoteReference"/>
        </w:rPr>
        <w:footnoteRef/>
      </w:r>
      <w:r>
        <w:t xml:space="preserve"> </w:t>
      </w:r>
      <w:r w:rsidRPr="00147737">
        <w:t xml:space="preserve">[2004] EWCA </w:t>
      </w:r>
      <w:proofErr w:type="spellStart"/>
      <w:r w:rsidRPr="00147737">
        <w:t>Civ</w:t>
      </w:r>
      <w:proofErr w:type="spellEnd"/>
      <w:r w:rsidRPr="00147737">
        <w:t xml:space="preserve"> 330</w:t>
      </w:r>
      <w:r w:rsidR="003A0C45">
        <w:t xml:space="preserve"> per Brooke LJ at para. 68</w:t>
      </w:r>
      <w:r>
        <w:t xml:space="preserve">. </w:t>
      </w:r>
    </w:p>
  </w:footnote>
  <w:footnote w:id="36">
    <w:p w:rsidR="00B65016" w:rsidRDefault="00B65016" w:rsidP="00CC2865">
      <w:pPr>
        <w:pStyle w:val="FootnoteText"/>
      </w:pPr>
      <w:r>
        <w:rPr>
          <w:rStyle w:val="FootnoteReference"/>
        </w:rPr>
        <w:footnoteRef/>
      </w:r>
      <w:r>
        <w:t xml:space="preserve"> </w:t>
      </w:r>
      <w:r w:rsidR="003A0C45">
        <w:t>Ibid. at 70</w:t>
      </w:r>
      <w:r>
        <w:t xml:space="preserve">. </w:t>
      </w:r>
    </w:p>
  </w:footnote>
  <w:footnote w:id="37">
    <w:p w:rsidR="00B65016" w:rsidRPr="003A0C45" w:rsidRDefault="00B65016" w:rsidP="002709F4">
      <w:pPr>
        <w:pStyle w:val="FootnoteText"/>
        <w:rPr>
          <w:color w:val="000000" w:themeColor="text1"/>
        </w:rPr>
      </w:pPr>
      <w:r>
        <w:rPr>
          <w:rStyle w:val="FootnoteReference"/>
        </w:rPr>
        <w:footnoteRef/>
      </w:r>
      <w:r>
        <w:t xml:space="preserve"> </w:t>
      </w:r>
      <w:r w:rsidR="003A0C45">
        <w:t xml:space="preserve">Above n. 11 </w:t>
      </w:r>
      <w:r w:rsidR="003A0C45" w:rsidRPr="003A0C45">
        <w:rPr>
          <w:color w:val="000000" w:themeColor="text1"/>
        </w:rPr>
        <w:t>at para. 154</w:t>
      </w:r>
      <w:r w:rsidRPr="003A0C45">
        <w:rPr>
          <w:color w:val="000000" w:themeColor="text1"/>
        </w:rPr>
        <w:t>.</w:t>
      </w:r>
    </w:p>
  </w:footnote>
  <w:footnote w:id="38">
    <w:p w:rsidR="00B65016" w:rsidRPr="003A0C45" w:rsidRDefault="00B65016" w:rsidP="002709F4">
      <w:pPr>
        <w:pStyle w:val="FootnoteText"/>
        <w:rPr>
          <w:color w:val="000000" w:themeColor="text1"/>
        </w:rPr>
      </w:pPr>
      <w:r w:rsidRPr="003A0C45">
        <w:rPr>
          <w:rStyle w:val="FootnoteReference"/>
          <w:color w:val="000000" w:themeColor="text1"/>
        </w:rPr>
        <w:footnoteRef/>
      </w:r>
      <w:r w:rsidRPr="003A0C45">
        <w:rPr>
          <w:color w:val="000000" w:themeColor="text1"/>
        </w:rPr>
        <w:t xml:space="preserve"> </w:t>
      </w:r>
      <w:r w:rsidR="003A0C45" w:rsidRPr="003A0C45">
        <w:rPr>
          <w:color w:val="000000" w:themeColor="text1"/>
        </w:rPr>
        <w:t>Ibid. at para. 155</w:t>
      </w:r>
      <w:r w:rsidRPr="003A0C45">
        <w:rPr>
          <w:color w:val="000000" w:themeColor="text1"/>
        </w:rPr>
        <w:t>.</w:t>
      </w:r>
    </w:p>
  </w:footnote>
  <w:footnote w:id="39">
    <w:p w:rsidR="00EE6A14" w:rsidRDefault="00EE6A14">
      <w:pPr>
        <w:pStyle w:val="FootnoteText"/>
      </w:pPr>
      <w:r>
        <w:rPr>
          <w:rStyle w:val="FootnoteReference"/>
        </w:rPr>
        <w:footnoteRef/>
      </w:r>
      <w:r>
        <w:t xml:space="preserve"> </w:t>
      </w:r>
      <w:r w:rsidR="0083357B">
        <w:t xml:space="preserve">For the rules of court relating to the giving of summary judgment against a claimant or a defendant see CPR part 24. </w:t>
      </w:r>
    </w:p>
  </w:footnote>
  <w:footnote w:id="40">
    <w:p w:rsidR="00EE6A14" w:rsidRDefault="00EE6A14">
      <w:pPr>
        <w:pStyle w:val="FootnoteText"/>
      </w:pPr>
      <w:r>
        <w:rPr>
          <w:rStyle w:val="FootnoteReference"/>
        </w:rPr>
        <w:footnoteRef/>
      </w:r>
      <w:r w:rsidR="005F23F7">
        <w:t xml:space="preserve"> Above n.11 a</w:t>
      </w:r>
      <w:r>
        <w:t xml:space="preserve">t </w:t>
      </w:r>
      <w:r w:rsidR="005F23F7">
        <w:t xml:space="preserve">para. </w:t>
      </w:r>
      <w:r>
        <w:t xml:space="preserve">160. For the evidential stage and the public interest stage see the Code for Crown Prosecutors </w:t>
      </w:r>
      <w:hyperlink r:id="rId3" w:history="1">
        <w:r w:rsidRPr="004B4007">
          <w:rPr>
            <w:rStyle w:val="Hyperlink"/>
          </w:rPr>
          <w:t>https://www.cps.gov.uk/sites/default/files/documents/publications/code_2013_accessible_english.pdf</w:t>
        </w:r>
      </w:hyperlink>
      <w:r>
        <w:t xml:space="preserve"> Last accessed 17</w:t>
      </w:r>
      <w:r w:rsidRPr="009306B2">
        <w:rPr>
          <w:vertAlign w:val="superscript"/>
        </w:rPr>
        <w:t>th</w:t>
      </w:r>
      <w:r>
        <w:t xml:space="preserve"> April 2018.</w:t>
      </w:r>
    </w:p>
  </w:footnote>
  <w:footnote w:id="41">
    <w:p w:rsidR="00B65016" w:rsidRPr="002A6958" w:rsidRDefault="00B65016" w:rsidP="00CC2865">
      <w:pPr>
        <w:spacing w:after="0" w:line="240" w:lineRule="auto"/>
      </w:pPr>
      <w:r>
        <w:rPr>
          <w:rStyle w:val="FootnoteReference"/>
        </w:rPr>
        <w:footnoteRef/>
      </w:r>
      <w:r>
        <w:t xml:space="preserve"> </w:t>
      </w:r>
      <w:r w:rsidRPr="005F23F7">
        <w:rPr>
          <w:rFonts w:eastAsia="Times New Roman" w:cs="Times New Roman"/>
          <w:sz w:val="20"/>
          <w:szCs w:val="20"/>
        </w:rPr>
        <w:t xml:space="preserve">Peter Carter. </w:t>
      </w:r>
      <w:r w:rsidR="005F23F7">
        <w:rPr>
          <w:rFonts w:eastAsia="Times New Roman" w:cs="Times New Roman"/>
          <w:sz w:val="20"/>
          <w:szCs w:val="20"/>
        </w:rPr>
        <w:t>‘</w:t>
      </w:r>
      <w:r w:rsidRPr="005F23F7">
        <w:rPr>
          <w:rFonts w:eastAsia="Times New Roman" w:cs="Times New Roman"/>
          <w:sz w:val="20"/>
          <w:szCs w:val="20"/>
        </w:rPr>
        <w:t>Discovery: Director of the Serious Fraud Office v Eurasian Natural Resources Corp Ltd. Queen’s Bench Divisional Court: Andrews J: 8 May 2017; [2017] EWHC 1017 (QB)</w:t>
      </w:r>
      <w:proofErr w:type="gramStart"/>
      <w:r w:rsidR="005F23F7">
        <w:rPr>
          <w:rFonts w:eastAsia="Times New Roman" w:cs="Times New Roman"/>
          <w:sz w:val="20"/>
          <w:szCs w:val="20"/>
        </w:rPr>
        <w:t>’</w:t>
      </w:r>
      <w:r w:rsidRPr="005F23F7">
        <w:rPr>
          <w:rFonts w:eastAsia="Times New Roman" w:cs="Times New Roman"/>
          <w:sz w:val="20"/>
          <w:szCs w:val="20"/>
        </w:rPr>
        <w:t xml:space="preserve">  [</w:t>
      </w:r>
      <w:proofErr w:type="gramEnd"/>
      <w:r w:rsidRPr="005F23F7">
        <w:rPr>
          <w:rFonts w:eastAsia="Times New Roman" w:cs="Times New Roman"/>
          <w:sz w:val="20"/>
          <w:szCs w:val="20"/>
        </w:rPr>
        <w:t>2018] Crim LR 63 at 66.</w:t>
      </w:r>
    </w:p>
  </w:footnote>
  <w:footnote w:id="42">
    <w:p w:rsidR="00B65016" w:rsidRDefault="00B65016" w:rsidP="0065651A">
      <w:pPr>
        <w:pStyle w:val="FootnoteText"/>
      </w:pPr>
      <w:r>
        <w:rPr>
          <w:rStyle w:val="FootnoteReference"/>
        </w:rPr>
        <w:footnoteRef/>
      </w:r>
      <w:r>
        <w:t xml:space="preserve"> </w:t>
      </w:r>
      <w:r w:rsidR="005F23F7">
        <w:t xml:space="preserve">Above n.30 </w:t>
      </w:r>
      <w:r>
        <w:t xml:space="preserve">at </w:t>
      </w:r>
      <w:r w:rsidR="005F23F7">
        <w:t>paras. 59 and 61</w:t>
      </w:r>
      <w:r>
        <w:t xml:space="preserve">. </w:t>
      </w:r>
    </w:p>
  </w:footnote>
  <w:footnote w:id="43">
    <w:p w:rsidR="000C5091" w:rsidRDefault="000C5091">
      <w:pPr>
        <w:pStyle w:val="FootnoteText"/>
      </w:pPr>
      <w:r>
        <w:rPr>
          <w:rStyle w:val="FootnoteReference"/>
        </w:rPr>
        <w:footnoteRef/>
      </w:r>
      <w:r>
        <w:t xml:space="preserve"> [2018] EWCA Crim 176</w:t>
      </w:r>
      <w:r w:rsidR="00C93382">
        <w:t xml:space="preserve"> at </w:t>
      </w:r>
      <w:r w:rsidR="006A2045">
        <w:t xml:space="preserve">para </w:t>
      </w:r>
      <w:r w:rsidR="00C93382">
        <w:t xml:space="preserve">23. </w:t>
      </w:r>
    </w:p>
  </w:footnote>
  <w:footnote w:id="44">
    <w:p w:rsidR="00C93382" w:rsidRDefault="00C93382">
      <w:pPr>
        <w:pStyle w:val="FootnoteText"/>
      </w:pPr>
      <w:r>
        <w:rPr>
          <w:rStyle w:val="FootnoteReference"/>
        </w:rPr>
        <w:footnoteRef/>
      </w:r>
      <w:r>
        <w:t xml:space="preserve"> Ibid </w:t>
      </w:r>
      <w:proofErr w:type="gramStart"/>
      <w:r>
        <w:t xml:space="preserve">at </w:t>
      </w:r>
      <w:r w:rsidR="006A2045">
        <w:t xml:space="preserve"> para</w:t>
      </w:r>
      <w:proofErr w:type="gramEnd"/>
      <w:r w:rsidR="006A2045">
        <w:t xml:space="preserve">. </w:t>
      </w:r>
      <w:r>
        <w:t xml:space="preserve">24. </w:t>
      </w:r>
    </w:p>
  </w:footnote>
  <w:footnote w:id="45">
    <w:p w:rsidR="00732405" w:rsidRDefault="00732405">
      <w:pPr>
        <w:pStyle w:val="FootnoteText"/>
      </w:pPr>
      <w:r>
        <w:rPr>
          <w:rStyle w:val="FootnoteReference"/>
        </w:rPr>
        <w:footnoteRef/>
      </w:r>
      <w:r>
        <w:t xml:space="preserve"> </w:t>
      </w:r>
      <w:proofErr w:type="gramStart"/>
      <w:r>
        <w:t>i.e</w:t>
      </w:r>
      <w:proofErr w:type="gramEnd"/>
      <w:r>
        <w:t xml:space="preserve">. a statement complying with the </w:t>
      </w:r>
      <w:r w:rsidR="00B658B2">
        <w:t xml:space="preserve">witness statement </w:t>
      </w:r>
      <w:r>
        <w:t xml:space="preserve">requirements of s.9 of the Criminal Justice Act 1967. </w:t>
      </w:r>
    </w:p>
  </w:footnote>
  <w:footnote w:id="46">
    <w:p w:rsidR="009474D9" w:rsidRDefault="009474D9">
      <w:pPr>
        <w:pStyle w:val="FootnoteText"/>
      </w:pPr>
      <w:r>
        <w:rPr>
          <w:rStyle w:val="FootnoteReference"/>
        </w:rPr>
        <w:footnoteRef/>
      </w:r>
      <w:r>
        <w:t xml:space="preserve"> </w:t>
      </w:r>
      <w:r w:rsidRPr="006A2045">
        <w:rPr>
          <w:i/>
        </w:rPr>
        <w:t>R (</w:t>
      </w:r>
      <w:r w:rsidR="006D4717">
        <w:rPr>
          <w:i/>
        </w:rPr>
        <w:t>o</w:t>
      </w:r>
      <w:r w:rsidRPr="006A2045">
        <w:rPr>
          <w:i/>
        </w:rPr>
        <w:t>n the application of AL) v Serious Fraud Office</w:t>
      </w:r>
      <w:r>
        <w:t xml:space="preserve"> [2018] EWHC 856 (Admin)</w:t>
      </w:r>
      <w:r w:rsidR="00404D99">
        <w:t xml:space="preserve"> at </w:t>
      </w:r>
      <w:r w:rsidR="006A2045">
        <w:t xml:space="preserve">paras. </w:t>
      </w:r>
      <w:r w:rsidR="00404D99">
        <w:t xml:space="preserve">105-110 and 125. </w:t>
      </w:r>
      <w:r>
        <w:t xml:space="preserve"> </w:t>
      </w:r>
    </w:p>
  </w:footnote>
  <w:footnote w:id="47">
    <w:p w:rsidR="00B4279A" w:rsidRDefault="00B4279A">
      <w:pPr>
        <w:pStyle w:val="FootnoteText"/>
      </w:pPr>
      <w:r>
        <w:rPr>
          <w:rStyle w:val="FootnoteReference"/>
        </w:rPr>
        <w:footnoteRef/>
      </w:r>
      <w:r>
        <w:t xml:space="preserve"> Walters, M. ‘Legal privilege battle to head to Court of Appeal’</w:t>
      </w:r>
      <w:r w:rsidR="006A2045">
        <w:t xml:space="preserve"> </w:t>
      </w:r>
      <w:r w:rsidR="006A2045" w:rsidRPr="006A2045">
        <w:t>Law Society G</w:t>
      </w:r>
      <w:r w:rsidRPr="006A2045">
        <w:t>azette 11 October 2017</w:t>
      </w:r>
      <w:r w:rsidR="006A2045">
        <w:t>.</w:t>
      </w:r>
    </w:p>
  </w:footnote>
  <w:footnote w:id="48">
    <w:p w:rsidR="002C41E5" w:rsidRDefault="002C41E5" w:rsidP="002C41E5">
      <w:pPr>
        <w:pStyle w:val="FootnoteText"/>
      </w:pPr>
      <w:r>
        <w:rPr>
          <w:rStyle w:val="FootnoteReference"/>
        </w:rPr>
        <w:footnoteRef/>
      </w:r>
      <w:r>
        <w:t xml:space="preserve"> </w:t>
      </w:r>
      <w:proofErr w:type="spellStart"/>
      <w:r w:rsidR="006A2045">
        <w:t>Ie</w:t>
      </w:r>
      <w:proofErr w:type="spellEnd"/>
      <w:r w:rsidR="006A2045">
        <w:t xml:space="preserve"> to </w:t>
      </w:r>
      <w:proofErr w:type="spellStart"/>
      <w:r w:rsidRPr="001970E8">
        <w:rPr>
          <w:i/>
        </w:rPr>
        <w:t>Bilta</w:t>
      </w:r>
      <w:proofErr w:type="spellEnd"/>
      <w:r w:rsidRPr="001970E8">
        <w:rPr>
          <w:i/>
        </w:rPr>
        <w:t xml:space="preserve"> (UK) Ltd (in Liquidation) &amp; </w:t>
      </w:r>
      <w:proofErr w:type="spellStart"/>
      <w:r w:rsidRPr="001970E8">
        <w:rPr>
          <w:i/>
        </w:rPr>
        <w:t>Ors</w:t>
      </w:r>
      <w:proofErr w:type="spellEnd"/>
      <w:r w:rsidRPr="001970E8">
        <w:rPr>
          <w:i/>
        </w:rPr>
        <w:t xml:space="preserve">. </w:t>
      </w:r>
      <w:proofErr w:type="gramStart"/>
      <w:r w:rsidRPr="001970E8">
        <w:rPr>
          <w:i/>
        </w:rPr>
        <w:t>v</w:t>
      </w:r>
      <w:proofErr w:type="gramEnd"/>
      <w:r w:rsidRPr="001970E8">
        <w:rPr>
          <w:i/>
        </w:rPr>
        <w:t xml:space="preserve"> Royal Bank of Scotland Plc, </w:t>
      </w:r>
      <w:proofErr w:type="spellStart"/>
      <w:r w:rsidRPr="001970E8">
        <w:rPr>
          <w:i/>
        </w:rPr>
        <w:t>Mercuria</w:t>
      </w:r>
      <w:proofErr w:type="spellEnd"/>
      <w:r>
        <w:rPr>
          <w:i/>
        </w:rPr>
        <w:t xml:space="preserve"> </w:t>
      </w:r>
      <w:r w:rsidRPr="001970E8">
        <w:rPr>
          <w:i/>
        </w:rPr>
        <w:t xml:space="preserve">Energy Europe Trading Limited </w:t>
      </w:r>
      <w:r w:rsidRPr="006A2045">
        <w:t>[2017] EWHC 3535 (</w:t>
      </w:r>
      <w:proofErr w:type="spellStart"/>
      <w:r w:rsidRPr="006A2045">
        <w:t>Ch</w:t>
      </w:r>
      <w:proofErr w:type="spellEnd"/>
      <w:r w:rsidRPr="006A2045">
        <w:t>)</w:t>
      </w:r>
      <w:r w:rsidRPr="002C41E5">
        <w:t>.</w:t>
      </w:r>
      <w:r>
        <w:t xml:space="preserve"> </w:t>
      </w:r>
    </w:p>
  </w:footnote>
  <w:footnote w:id="49">
    <w:p w:rsidR="00B65016" w:rsidRPr="002E522D" w:rsidRDefault="00B65016" w:rsidP="00CC2865">
      <w:pPr>
        <w:spacing w:after="0" w:line="240" w:lineRule="auto"/>
        <w:rPr>
          <w:sz w:val="20"/>
          <w:szCs w:val="20"/>
        </w:rPr>
      </w:pPr>
      <w:r w:rsidRPr="002A6958">
        <w:rPr>
          <w:rStyle w:val="FootnoteReference"/>
        </w:rPr>
        <w:footnoteRef/>
      </w:r>
      <w:r w:rsidRPr="002A6958">
        <w:t xml:space="preserve"> </w:t>
      </w:r>
      <w:r w:rsidR="002E522D" w:rsidRPr="002E522D">
        <w:rPr>
          <w:sz w:val="20"/>
          <w:szCs w:val="20"/>
        </w:rPr>
        <w:t xml:space="preserve">Above n.41 at </w:t>
      </w:r>
      <w:r w:rsidRPr="002E522D">
        <w:rPr>
          <w:rFonts w:ascii="Times New Roman" w:eastAsia="Times New Roman" w:hAnsi="Times New Roman" w:cs="Times New Roman"/>
          <w:sz w:val="20"/>
          <w:szCs w:val="20"/>
        </w:rPr>
        <w:t>66.</w:t>
      </w:r>
    </w:p>
  </w:footnote>
  <w:footnote w:id="50">
    <w:p w:rsidR="00F84407" w:rsidRDefault="00F84407" w:rsidP="00F84407">
      <w:pPr>
        <w:pStyle w:val="FootnoteText"/>
      </w:pPr>
      <w:r>
        <w:rPr>
          <w:rStyle w:val="FootnoteReference"/>
        </w:rPr>
        <w:footnoteRef/>
      </w:r>
      <w:r>
        <w:t xml:space="preserve"> </w:t>
      </w:r>
      <w:r w:rsidR="00701F9A">
        <w:t>Above n.33 at</w:t>
      </w:r>
      <w:r>
        <w:t xml:space="preserve"> 184.</w:t>
      </w:r>
    </w:p>
  </w:footnote>
  <w:footnote w:id="51">
    <w:p w:rsidR="00F84407" w:rsidRDefault="00F84407" w:rsidP="00F84407">
      <w:pPr>
        <w:pStyle w:val="FootnoteText"/>
      </w:pPr>
      <w:r>
        <w:rPr>
          <w:rStyle w:val="FootnoteReference"/>
        </w:rPr>
        <w:footnoteRef/>
      </w:r>
      <w:r>
        <w:t xml:space="preserve"> </w:t>
      </w:r>
      <w:r w:rsidR="00701F9A">
        <w:t>Ibid. at</w:t>
      </w:r>
      <w:r>
        <w:t xml:space="preserve"> 183.</w:t>
      </w:r>
    </w:p>
  </w:footnote>
  <w:footnote w:id="52">
    <w:p w:rsidR="00295C5B" w:rsidRDefault="00295C5B" w:rsidP="00295C5B">
      <w:pPr>
        <w:pStyle w:val="FootnoteText"/>
      </w:pPr>
      <w:r>
        <w:rPr>
          <w:rStyle w:val="FootnoteReference"/>
        </w:rPr>
        <w:footnoteRef/>
      </w:r>
      <w:r>
        <w:t xml:space="preserve"> </w:t>
      </w:r>
      <w:r w:rsidR="002E522D">
        <w:t>Above n.43 at para. 24</w:t>
      </w:r>
      <w:r>
        <w:t xml:space="preserve">. </w:t>
      </w:r>
    </w:p>
  </w:footnote>
  <w:footnote w:id="53">
    <w:p w:rsidR="00B65016" w:rsidRDefault="00B65016" w:rsidP="000C1EB9">
      <w:pPr>
        <w:pStyle w:val="FootnoteText"/>
      </w:pPr>
      <w:r>
        <w:rPr>
          <w:rStyle w:val="FootnoteReference"/>
        </w:rPr>
        <w:footnoteRef/>
      </w:r>
      <w:r w:rsidR="002E522D">
        <w:t xml:space="preserve"> </w:t>
      </w:r>
      <w:r>
        <w:t>HC 277 at 4.</w:t>
      </w:r>
    </w:p>
  </w:footnote>
  <w:footnote w:id="54">
    <w:p w:rsidR="00B65016" w:rsidRDefault="00B65016">
      <w:pPr>
        <w:pStyle w:val="FootnoteText"/>
      </w:pPr>
      <w:r>
        <w:rPr>
          <w:rStyle w:val="FootnoteReference"/>
        </w:rPr>
        <w:footnoteRef/>
      </w:r>
      <w:r>
        <w:t xml:space="preserve"> See for example J. </w:t>
      </w:r>
      <w:proofErr w:type="spellStart"/>
      <w:r>
        <w:t>Loughrey</w:t>
      </w:r>
      <w:proofErr w:type="spellEnd"/>
      <w:r>
        <w:t xml:space="preserve"> ‘Legal advice privi</w:t>
      </w:r>
      <w:r w:rsidR="002E522D">
        <w:t xml:space="preserve">lege and the corporate client’ </w:t>
      </w:r>
      <w:r w:rsidRPr="006D5144">
        <w:rPr>
          <w:i/>
        </w:rPr>
        <w:t>International Journal of Evidence and Proof</w:t>
      </w:r>
      <w:r>
        <w:t xml:space="preserve">, 2005 9(3), 183-203 and </w:t>
      </w:r>
      <w:proofErr w:type="spellStart"/>
      <w:r>
        <w:t>H.Liu</w:t>
      </w:r>
      <w:proofErr w:type="spellEnd"/>
      <w:r>
        <w:t xml:space="preserve"> and H Wong, ‘</w:t>
      </w:r>
      <w:proofErr w:type="gramStart"/>
      <w:r>
        <w:t>The</w:t>
      </w:r>
      <w:proofErr w:type="gramEnd"/>
      <w:r>
        <w:t xml:space="preserve"> scope of legal advice privilege in Hong Kong: </w:t>
      </w:r>
      <w:proofErr w:type="spellStart"/>
      <w:r>
        <w:t>Citic</w:t>
      </w:r>
      <w:proofErr w:type="spellEnd"/>
      <w:r>
        <w:t xml:space="preserve"> Pacific Limited v Secretary for Justice and Commissioner of Police [2015] HKEC 1263’ </w:t>
      </w:r>
      <w:r>
        <w:rPr>
          <w:i/>
        </w:rPr>
        <w:t>Common Law World R</w:t>
      </w:r>
      <w:r w:rsidRPr="006D5144">
        <w:rPr>
          <w:i/>
        </w:rPr>
        <w:t xml:space="preserve">eview </w:t>
      </w:r>
      <w:r>
        <w:t>45, 1 (68). This context will obviously include Limited Liability Partnerships but could also encompass other organisations acting through agents, such as Universities and Local Authorities.</w:t>
      </w:r>
    </w:p>
  </w:footnote>
  <w:footnote w:id="55">
    <w:p w:rsidR="00B65016" w:rsidRDefault="00B65016">
      <w:pPr>
        <w:pStyle w:val="FootnoteText"/>
      </w:pPr>
      <w:r>
        <w:rPr>
          <w:rStyle w:val="FootnoteReference"/>
        </w:rPr>
        <w:footnoteRef/>
      </w:r>
      <w:r>
        <w:t xml:space="preserve"> </w:t>
      </w:r>
      <w:r w:rsidRPr="00940487">
        <w:rPr>
          <w:i/>
        </w:rPr>
        <w:t xml:space="preserve">Three Rivers District Council &amp; </w:t>
      </w:r>
      <w:proofErr w:type="spellStart"/>
      <w:r w:rsidRPr="00940487">
        <w:rPr>
          <w:i/>
        </w:rPr>
        <w:t>Ors</w:t>
      </w:r>
      <w:proofErr w:type="spellEnd"/>
      <w:r w:rsidRPr="00940487">
        <w:rPr>
          <w:i/>
        </w:rPr>
        <w:t xml:space="preserve"> v The Governor &amp; Company of the Bank of England</w:t>
      </w:r>
      <w:r>
        <w:t xml:space="preserve"> [2003] EWCA </w:t>
      </w:r>
      <w:proofErr w:type="spellStart"/>
      <w:r>
        <w:t>Civ</w:t>
      </w:r>
      <w:proofErr w:type="spellEnd"/>
      <w:r>
        <w:t xml:space="preserve"> 474.</w:t>
      </w:r>
    </w:p>
  </w:footnote>
  <w:footnote w:id="56">
    <w:p w:rsidR="00B65016" w:rsidRDefault="00B65016">
      <w:pPr>
        <w:pStyle w:val="FootnoteText"/>
      </w:pPr>
      <w:r>
        <w:rPr>
          <w:rStyle w:val="FootnoteReference"/>
        </w:rPr>
        <w:footnoteRef/>
      </w:r>
      <w:r>
        <w:t xml:space="preserve"> </w:t>
      </w:r>
      <w:r w:rsidR="00940487">
        <w:t xml:space="preserve">See </w:t>
      </w:r>
      <w:r w:rsidR="00940487" w:rsidRPr="00940487">
        <w:rPr>
          <w:i/>
        </w:rPr>
        <w:t>Eurasian</w:t>
      </w:r>
      <w:r w:rsidR="00940487">
        <w:t xml:space="preserve"> above n.11 at</w:t>
      </w:r>
      <w:r>
        <w:t xml:space="preserve"> para</w:t>
      </w:r>
      <w:r w:rsidR="00940487">
        <w:t>.</w:t>
      </w:r>
      <w:r>
        <w:t xml:space="preserve"> 92</w:t>
      </w:r>
      <w:r w:rsidR="00940487">
        <w:t>.</w:t>
      </w:r>
    </w:p>
  </w:footnote>
  <w:footnote w:id="57">
    <w:p w:rsidR="00B65016" w:rsidRDefault="00B65016">
      <w:pPr>
        <w:pStyle w:val="FootnoteText"/>
      </w:pPr>
      <w:r>
        <w:rPr>
          <w:rStyle w:val="FootnoteReference"/>
        </w:rPr>
        <w:footnoteRef/>
      </w:r>
      <w:r>
        <w:t xml:space="preserve"> </w:t>
      </w:r>
      <w:r w:rsidRPr="00940487">
        <w:rPr>
          <w:i/>
        </w:rPr>
        <w:t>RBS Rights Issue Litigation</w:t>
      </w:r>
      <w:r>
        <w:t xml:space="preserve"> [2016] EWHC 3161 (</w:t>
      </w:r>
      <w:proofErr w:type="spellStart"/>
      <w:r>
        <w:t>Ch</w:t>
      </w:r>
      <w:proofErr w:type="spellEnd"/>
      <w:r>
        <w:t>), para</w:t>
      </w:r>
      <w:r w:rsidR="00940487">
        <w:t>.</w:t>
      </w:r>
      <w:r>
        <w:t xml:space="preserve"> 94</w:t>
      </w:r>
      <w:r w:rsidR="00940487">
        <w:t>.</w:t>
      </w:r>
    </w:p>
  </w:footnote>
  <w:footnote w:id="58">
    <w:p w:rsidR="00B65016" w:rsidRDefault="00B65016">
      <w:pPr>
        <w:pStyle w:val="FootnoteText"/>
      </w:pPr>
      <w:r>
        <w:rPr>
          <w:rStyle w:val="FootnoteReference"/>
        </w:rPr>
        <w:footnoteRef/>
      </w:r>
      <w:r>
        <w:t xml:space="preserve"> [2006] EWHC 839 (</w:t>
      </w:r>
      <w:proofErr w:type="spellStart"/>
      <w:r>
        <w:t>Comm</w:t>
      </w:r>
      <w:proofErr w:type="spellEnd"/>
      <w:r>
        <w:t>)</w:t>
      </w:r>
    </w:p>
  </w:footnote>
  <w:footnote w:id="59">
    <w:p w:rsidR="00B65016" w:rsidRDefault="00B65016">
      <w:pPr>
        <w:pStyle w:val="FootnoteText"/>
      </w:pPr>
      <w:r>
        <w:rPr>
          <w:rStyle w:val="FootnoteReference"/>
        </w:rPr>
        <w:footnoteRef/>
      </w:r>
      <w:r>
        <w:t xml:space="preserve"> Ibid. at para</w:t>
      </w:r>
      <w:r w:rsidR="00940487">
        <w:t>.</w:t>
      </w:r>
      <w:r>
        <w:t xml:space="preserve"> 69</w:t>
      </w:r>
      <w:r w:rsidR="00940487">
        <w:t>.</w:t>
      </w:r>
    </w:p>
  </w:footnote>
  <w:footnote w:id="60">
    <w:p w:rsidR="00B65016" w:rsidRDefault="00B65016">
      <w:pPr>
        <w:pStyle w:val="FootnoteText"/>
      </w:pPr>
      <w:r>
        <w:rPr>
          <w:rStyle w:val="FootnoteReference"/>
        </w:rPr>
        <w:footnoteRef/>
      </w:r>
      <w:r>
        <w:t xml:space="preserve"> See RBS, above n. </w:t>
      </w:r>
      <w:r w:rsidR="00940487">
        <w:t>57</w:t>
      </w:r>
      <w:r>
        <w:t xml:space="preserve"> at para</w:t>
      </w:r>
      <w:r w:rsidR="00940487">
        <w:t>.</w:t>
      </w:r>
      <w:r>
        <w:t xml:space="preserve"> 96</w:t>
      </w:r>
      <w:r w:rsidR="00940487">
        <w:t>.</w:t>
      </w:r>
    </w:p>
  </w:footnote>
  <w:footnote w:id="61">
    <w:p w:rsidR="00B65016" w:rsidRDefault="00B65016" w:rsidP="00422A88">
      <w:pPr>
        <w:pStyle w:val="FootnoteText"/>
      </w:pPr>
      <w:r>
        <w:rPr>
          <w:rStyle w:val="FootnoteReference"/>
        </w:rPr>
        <w:footnoteRef/>
      </w:r>
      <w:r>
        <w:t xml:space="preserve"> For example through provisions  in its Articles of Association - Companies Act 2006, Schedule 1, Part 2, Article 5 (1)</w:t>
      </w:r>
    </w:p>
  </w:footnote>
  <w:footnote w:id="62">
    <w:p w:rsidR="00B65016" w:rsidRDefault="00B65016">
      <w:pPr>
        <w:pStyle w:val="FootnoteText"/>
      </w:pPr>
      <w:r>
        <w:rPr>
          <w:rStyle w:val="FootnoteReference"/>
        </w:rPr>
        <w:footnoteRef/>
      </w:r>
      <w:r w:rsidR="0000588F">
        <w:t xml:space="preserve"> Above n. 55.</w:t>
      </w:r>
    </w:p>
  </w:footnote>
  <w:footnote w:id="63">
    <w:p w:rsidR="00B65016" w:rsidRDefault="00B65016">
      <w:pPr>
        <w:pStyle w:val="FootnoteText"/>
      </w:pPr>
      <w:r>
        <w:rPr>
          <w:rStyle w:val="FootnoteReference"/>
        </w:rPr>
        <w:footnoteRef/>
      </w:r>
      <w:r w:rsidR="0000588F">
        <w:t xml:space="preserve"> Above n. 55</w:t>
      </w:r>
      <w:r>
        <w:t xml:space="preserve"> at para</w:t>
      </w:r>
      <w:r w:rsidR="0000588F">
        <w:t>.</w:t>
      </w:r>
      <w:r>
        <w:t xml:space="preserve"> 31</w:t>
      </w:r>
      <w:r w:rsidR="0000588F">
        <w:t>.</w:t>
      </w:r>
    </w:p>
  </w:footnote>
  <w:footnote w:id="64">
    <w:p w:rsidR="00B65016" w:rsidRDefault="00B65016" w:rsidP="00FC4219">
      <w:pPr>
        <w:pStyle w:val="FootnoteText"/>
      </w:pPr>
      <w:r>
        <w:rPr>
          <w:rStyle w:val="FootnoteReference"/>
        </w:rPr>
        <w:footnoteRef/>
      </w:r>
      <w:r>
        <w:t xml:space="preserve"> </w:t>
      </w:r>
      <w:r w:rsidR="00777670" w:rsidRPr="0000588F">
        <w:rPr>
          <w:i/>
        </w:rPr>
        <w:t>Three Rivers Council and Others, Bank of Credit and Commerce International SA (In Liquidation) v The Governor and Company of the Bank of England</w:t>
      </w:r>
      <w:r w:rsidR="00777670">
        <w:t xml:space="preserve"> </w:t>
      </w:r>
      <w:r w:rsidR="007636E6" w:rsidRPr="007636E6">
        <w:rPr>
          <w:i/>
        </w:rPr>
        <w:t>(no.3)</w:t>
      </w:r>
      <w:r w:rsidR="007636E6">
        <w:t xml:space="preserve"> </w:t>
      </w:r>
      <w:r w:rsidR="00777670">
        <w:t xml:space="preserve">[2002] EWHC 2730, </w:t>
      </w:r>
      <w:r>
        <w:t>para</w:t>
      </w:r>
      <w:r w:rsidR="0000588F">
        <w:t>.</w:t>
      </w:r>
      <w:r>
        <w:t xml:space="preserve"> 9</w:t>
      </w:r>
      <w:r w:rsidR="0000588F">
        <w:t>.</w:t>
      </w:r>
    </w:p>
  </w:footnote>
  <w:footnote w:id="65">
    <w:p w:rsidR="00B65016" w:rsidRDefault="00B65016" w:rsidP="00DE768D">
      <w:pPr>
        <w:pStyle w:val="FootnoteText"/>
      </w:pPr>
      <w:r>
        <w:rPr>
          <w:rStyle w:val="FootnoteReference"/>
        </w:rPr>
        <w:footnoteRef/>
      </w:r>
      <w:r>
        <w:t xml:space="preserve"> A. Higgins ‘Legal Advice Privilege and its Relevance to Corporations’ MLR (2010) 73(3), 371-398, 397</w:t>
      </w:r>
      <w:r w:rsidR="0000588F">
        <w:t>.</w:t>
      </w:r>
    </w:p>
  </w:footnote>
  <w:footnote w:id="66">
    <w:p w:rsidR="00B65016" w:rsidRDefault="00B65016" w:rsidP="00DE768D">
      <w:pPr>
        <w:pStyle w:val="FootnoteText"/>
      </w:pPr>
      <w:r>
        <w:rPr>
          <w:rStyle w:val="FootnoteReference"/>
        </w:rPr>
        <w:footnoteRef/>
      </w:r>
      <w:r w:rsidR="0000588F">
        <w:t xml:space="preserve"> Above n.55</w:t>
      </w:r>
      <w:r>
        <w:t xml:space="preserve"> at para</w:t>
      </w:r>
      <w:r w:rsidR="0000588F">
        <w:t>.</w:t>
      </w:r>
      <w:r>
        <w:t xml:space="preserve"> 35</w:t>
      </w:r>
      <w:r w:rsidR="0000588F">
        <w:t>.</w:t>
      </w:r>
    </w:p>
  </w:footnote>
  <w:footnote w:id="67">
    <w:p w:rsidR="00B65016" w:rsidRDefault="00B65016" w:rsidP="00DE768D">
      <w:pPr>
        <w:pStyle w:val="FootnoteText"/>
      </w:pPr>
      <w:r>
        <w:rPr>
          <w:rStyle w:val="FootnoteReference"/>
        </w:rPr>
        <w:footnoteRef/>
      </w:r>
      <w:r w:rsidR="0000588F">
        <w:t xml:space="preserve"> A</w:t>
      </w:r>
      <w:r>
        <w:t xml:space="preserve"> corporation wholly owned by the United Kingdom government and overseen by a board of directors: www.bankofengland.co.uk/about/Pages/default.aspx</w:t>
      </w:r>
    </w:p>
  </w:footnote>
  <w:footnote w:id="68">
    <w:p w:rsidR="00B65016" w:rsidRDefault="00B65016" w:rsidP="00DE768D">
      <w:pPr>
        <w:pStyle w:val="FootnoteText"/>
      </w:pPr>
      <w:r>
        <w:rPr>
          <w:rStyle w:val="FootnoteReference"/>
        </w:rPr>
        <w:footnoteRef/>
      </w:r>
      <w:r>
        <w:t xml:space="preserve"> </w:t>
      </w:r>
      <w:r w:rsidR="004D4A33">
        <w:t xml:space="preserve">Hock Lai </w:t>
      </w:r>
      <w:proofErr w:type="spellStart"/>
      <w:r w:rsidR="004D4A33">
        <w:t>Ho</w:t>
      </w:r>
      <w:proofErr w:type="spellEnd"/>
      <w:r w:rsidR="004D4A33">
        <w:t xml:space="preserve"> ‘Legal Advice Privilege and the Corporate Client’, </w:t>
      </w:r>
      <w:r w:rsidR="004D4A33" w:rsidRPr="00256C60">
        <w:rPr>
          <w:i/>
        </w:rPr>
        <w:t>Singapore Journal of Legal Studies</w:t>
      </w:r>
      <w:r w:rsidR="004D4A33">
        <w:t>, (2006)</w:t>
      </w:r>
      <w:r>
        <w:t xml:space="preserve"> </w:t>
      </w:r>
      <w:proofErr w:type="gramStart"/>
      <w:r>
        <w:t>at  240</w:t>
      </w:r>
      <w:proofErr w:type="gramEnd"/>
      <w:r w:rsidR="0000588F">
        <w:t>.</w:t>
      </w:r>
    </w:p>
  </w:footnote>
  <w:footnote w:id="69">
    <w:p w:rsidR="00B65016" w:rsidRDefault="00B65016" w:rsidP="00DE768D">
      <w:pPr>
        <w:pStyle w:val="FootnoteText"/>
      </w:pPr>
      <w:r>
        <w:rPr>
          <w:rStyle w:val="FootnoteReference"/>
        </w:rPr>
        <w:footnoteRef/>
      </w:r>
      <w:r w:rsidR="004D4A33">
        <w:t xml:space="preserve"> Ibid</w:t>
      </w:r>
      <w:r>
        <w:t xml:space="preserve"> at 241</w:t>
      </w:r>
    </w:p>
  </w:footnote>
  <w:footnote w:id="70">
    <w:p w:rsidR="00B65016" w:rsidRDefault="00B65016" w:rsidP="00DE768D">
      <w:pPr>
        <w:pStyle w:val="FootnoteText"/>
      </w:pPr>
      <w:r>
        <w:rPr>
          <w:rStyle w:val="FootnoteReference"/>
        </w:rPr>
        <w:footnoteRef/>
      </w:r>
      <w:r w:rsidR="0000588F">
        <w:t xml:space="preserve"> Above n. 55</w:t>
      </w:r>
      <w:r>
        <w:t xml:space="preserve"> para</w:t>
      </w:r>
      <w:r w:rsidR="0000588F">
        <w:t>.</w:t>
      </w:r>
      <w:r>
        <w:t xml:space="preserve"> 26</w:t>
      </w:r>
      <w:r w:rsidR="0000588F">
        <w:t>.</w:t>
      </w:r>
    </w:p>
  </w:footnote>
  <w:footnote w:id="71">
    <w:p w:rsidR="00B65016" w:rsidRDefault="00B65016">
      <w:pPr>
        <w:pStyle w:val="FootnoteText"/>
      </w:pPr>
      <w:r>
        <w:rPr>
          <w:rStyle w:val="FootnoteReference"/>
        </w:rPr>
        <w:footnoteRef/>
      </w:r>
      <w:r>
        <w:t xml:space="preserve"> </w:t>
      </w:r>
      <w:r w:rsidRPr="004F2ECE">
        <w:rPr>
          <w:i/>
        </w:rPr>
        <w:t xml:space="preserve">El </w:t>
      </w:r>
      <w:proofErr w:type="spellStart"/>
      <w:r w:rsidRPr="004F2ECE">
        <w:rPr>
          <w:i/>
        </w:rPr>
        <w:t>Ajou</w:t>
      </w:r>
      <w:proofErr w:type="spellEnd"/>
      <w:r w:rsidRPr="004F2ECE">
        <w:rPr>
          <w:i/>
        </w:rPr>
        <w:t xml:space="preserve"> v Dollar Land Holdings plc &amp; Anor</w:t>
      </w:r>
      <w:r>
        <w:t xml:space="preserve"> [1994] B.C.C.143, paras</w:t>
      </w:r>
      <w:r w:rsidR="004F2ECE">
        <w:t>.</w:t>
      </w:r>
      <w:r>
        <w:t xml:space="preserve"> 154, 159</w:t>
      </w:r>
      <w:r w:rsidR="004F2ECE">
        <w:t>.</w:t>
      </w:r>
    </w:p>
  </w:footnote>
  <w:footnote w:id="72">
    <w:p w:rsidR="00B65016" w:rsidRDefault="00B65016" w:rsidP="00C97AF1">
      <w:pPr>
        <w:pStyle w:val="FootnoteText"/>
      </w:pPr>
      <w:r>
        <w:rPr>
          <w:rStyle w:val="FootnoteReference"/>
        </w:rPr>
        <w:footnoteRef/>
      </w:r>
      <w:r w:rsidR="004F2ECE">
        <w:t xml:space="preserve"> See </w:t>
      </w:r>
      <w:proofErr w:type="spellStart"/>
      <w:r w:rsidR="004F2ECE">
        <w:t>Loughrey</w:t>
      </w:r>
      <w:proofErr w:type="spellEnd"/>
      <w:r w:rsidR="004F2ECE">
        <w:t>, above n. 54</w:t>
      </w:r>
      <w:r>
        <w:t xml:space="preserve"> at 190</w:t>
      </w:r>
      <w:r w:rsidR="004F2ECE">
        <w:t>.</w:t>
      </w:r>
    </w:p>
  </w:footnote>
  <w:footnote w:id="73">
    <w:p w:rsidR="00B65016" w:rsidRDefault="00B65016" w:rsidP="00C97AF1">
      <w:pPr>
        <w:pStyle w:val="FootnoteText"/>
      </w:pPr>
      <w:r>
        <w:rPr>
          <w:rStyle w:val="FootnoteReference"/>
        </w:rPr>
        <w:footnoteRef/>
      </w:r>
      <w:r w:rsidR="004F2ECE">
        <w:t xml:space="preserve"> Above n.55</w:t>
      </w:r>
      <w:r>
        <w:t xml:space="preserve"> at para</w:t>
      </w:r>
      <w:r w:rsidR="004F2ECE">
        <w:t>.</w:t>
      </w:r>
      <w:r>
        <w:t xml:space="preserve"> 31</w:t>
      </w:r>
      <w:r w:rsidR="004F2ECE">
        <w:t>.</w:t>
      </w:r>
    </w:p>
  </w:footnote>
  <w:footnote w:id="74">
    <w:p w:rsidR="00B65016" w:rsidRDefault="00B65016" w:rsidP="00C97AF1">
      <w:pPr>
        <w:pStyle w:val="FootnoteText"/>
      </w:pPr>
      <w:r>
        <w:rPr>
          <w:rStyle w:val="FootnoteReference"/>
        </w:rPr>
        <w:footnoteRef/>
      </w:r>
      <w:r w:rsidR="004F2ECE">
        <w:t xml:space="preserve"> Above n.55</w:t>
      </w:r>
      <w:r>
        <w:t xml:space="preserve"> at para</w:t>
      </w:r>
      <w:r w:rsidR="004F2ECE">
        <w:t>.</w:t>
      </w:r>
      <w:r>
        <w:t xml:space="preserve"> 3</w:t>
      </w:r>
      <w:r w:rsidR="004F2ECE">
        <w:t>.</w:t>
      </w:r>
      <w:r>
        <w:t xml:space="preserve"> </w:t>
      </w:r>
    </w:p>
  </w:footnote>
  <w:footnote w:id="75">
    <w:p w:rsidR="00B65016" w:rsidRDefault="00B65016">
      <w:pPr>
        <w:pStyle w:val="FootnoteText"/>
      </w:pPr>
      <w:r>
        <w:rPr>
          <w:rStyle w:val="FootnoteReference"/>
        </w:rPr>
        <w:footnoteRef/>
      </w:r>
      <w:r w:rsidR="004F2ECE">
        <w:t xml:space="preserve"> For example, in </w:t>
      </w:r>
      <w:r w:rsidR="004F2ECE" w:rsidRPr="004F2ECE">
        <w:rPr>
          <w:i/>
        </w:rPr>
        <w:t>Eurasian</w:t>
      </w:r>
      <w:r>
        <w:t xml:space="preserve"> </w:t>
      </w:r>
      <w:r w:rsidR="004F2ECE">
        <w:t>above n. 11</w:t>
      </w:r>
      <w:r>
        <w:t>, para</w:t>
      </w:r>
      <w:r w:rsidR="004F2ECE">
        <w:t>.</w:t>
      </w:r>
      <w:r>
        <w:t xml:space="preserve"> 84, the court recognised that privilege might attach where an agent was authorised to instruct a legal adviser even though the advice was to go directly to the Board. See also </w:t>
      </w:r>
      <w:r w:rsidRPr="004F2ECE">
        <w:rPr>
          <w:i/>
        </w:rPr>
        <w:t>BBGP Managing General Partner Ltd and others v Babcock &amp; Brown Global Partners</w:t>
      </w:r>
      <w:r>
        <w:t xml:space="preserve"> [2011] Ch. 296 in which Global had the authority of General to enter into relations with the legal adviser, the contract of retainer was with General but General was not the sole client because it had entered into the contract as </w:t>
      </w:r>
      <w:proofErr w:type="spellStart"/>
      <w:r>
        <w:t>Global’s</w:t>
      </w:r>
      <w:proofErr w:type="spellEnd"/>
      <w:r>
        <w:t xml:space="preserve"> agent. </w:t>
      </w:r>
    </w:p>
  </w:footnote>
  <w:footnote w:id="76">
    <w:p w:rsidR="00B65016" w:rsidRDefault="00B65016">
      <w:pPr>
        <w:pStyle w:val="FootnoteText"/>
      </w:pPr>
      <w:r>
        <w:rPr>
          <w:rStyle w:val="FootnoteReference"/>
        </w:rPr>
        <w:footnoteRef/>
      </w:r>
      <w:r>
        <w:t xml:space="preserve"> This would seem to be the best explanation for the final paragraph of Gatehouse J’s judgement in </w:t>
      </w:r>
      <w:r w:rsidR="004F2ECE">
        <w:rPr>
          <w:i/>
        </w:rPr>
        <w:t>R</w:t>
      </w:r>
      <w:r w:rsidRPr="004F2ECE">
        <w:rPr>
          <w:i/>
        </w:rPr>
        <w:t xml:space="preserve">e British &amp; Commonwealth Holdings Plc; Samuel Montagu &amp; Co Ltd; </w:t>
      </w:r>
      <w:proofErr w:type="spellStart"/>
      <w:r w:rsidRPr="004F2ECE">
        <w:rPr>
          <w:i/>
        </w:rPr>
        <w:t>Quadrex</w:t>
      </w:r>
      <w:proofErr w:type="spellEnd"/>
      <w:r w:rsidRPr="004F2ECE">
        <w:rPr>
          <w:i/>
        </w:rPr>
        <w:t xml:space="preserve"> Holdings Inc </w:t>
      </w:r>
      <w:r>
        <w:t>[1990] Lexis Citation 2710.</w:t>
      </w:r>
    </w:p>
  </w:footnote>
  <w:footnote w:id="77">
    <w:p w:rsidR="00B65016" w:rsidRDefault="00B65016">
      <w:pPr>
        <w:pStyle w:val="FootnoteText"/>
      </w:pPr>
      <w:r>
        <w:rPr>
          <w:rStyle w:val="FootnoteReference"/>
        </w:rPr>
        <w:footnoteRef/>
      </w:r>
      <w:r>
        <w:t xml:space="preserve"> [2015] EWHC 2165 (QB)</w:t>
      </w:r>
      <w:r w:rsidR="004F2ECE">
        <w:t>.</w:t>
      </w:r>
    </w:p>
  </w:footnote>
  <w:footnote w:id="78">
    <w:p w:rsidR="00B65016" w:rsidRDefault="00B65016">
      <w:pPr>
        <w:pStyle w:val="FootnoteText"/>
      </w:pPr>
      <w:r>
        <w:rPr>
          <w:rStyle w:val="FootnoteReference"/>
        </w:rPr>
        <w:footnoteRef/>
      </w:r>
      <w:r>
        <w:t xml:space="preserve"> [2014] EWCA </w:t>
      </w:r>
      <w:proofErr w:type="spellStart"/>
      <w:r>
        <w:t>Civ</w:t>
      </w:r>
      <w:proofErr w:type="spellEnd"/>
      <w:r>
        <w:t xml:space="preserve"> 474</w:t>
      </w:r>
      <w:r w:rsidR="004F2ECE">
        <w:t>.</w:t>
      </w:r>
    </w:p>
  </w:footnote>
  <w:footnote w:id="79">
    <w:p w:rsidR="00B65016" w:rsidRDefault="00B65016">
      <w:pPr>
        <w:pStyle w:val="FootnoteText"/>
      </w:pPr>
      <w:r>
        <w:rPr>
          <w:rStyle w:val="FootnoteReference"/>
        </w:rPr>
        <w:footnoteRef/>
      </w:r>
      <w:r>
        <w:t xml:space="preserve"> </w:t>
      </w:r>
      <w:r w:rsidR="004F2ECE">
        <w:t>Above n.68</w:t>
      </w:r>
      <w:r w:rsidR="00FD5B7D">
        <w:t xml:space="preserve"> at</w:t>
      </w:r>
      <w:r>
        <w:t xml:space="preserve"> 246</w:t>
      </w:r>
      <w:r w:rsidR="004F2ECE">
        <w:t>.</w:t>
      </w:r>
    </w:p>
  </w:footnote>
  <w:footnote w:id="80">
    <w:p w:rsidR="00B65016" w:rsidRDefault="00B65016" w:rsidP="0079327F">
      <w:pPr>
        <w:pStyle w:val="FootnoteText"/>
      </w:pPr>
      <w:r>
        <w:rPr>
          <w:rStyle w:val="FootnoteReference"/>
        </w:rPr>
        <w:footnoteRef/>
      </w:r>
      <w:r w:rsidR="00307370">
        <w:t xml:space="preserve"> Above n. 54</w:t>
      </w:r>
      <w:r>
        <w:t xml:space="preserve"> at 191</w:t>
      </w:r>
      <w:r w:rsidR="00307370">
        <w:t>.</w:t>
      </w:r>
      <w:r>
        <w:t xml:space="preserve"> </w:t>
      </w:r>
    </w:p>
  </w:footnote>
  <w:footnote w:id="81">
    <w:p w:rsidR="00B65016" w:rsidRDefault="00B65016" w:rsidP="0079327F">
      <w:pPr>
        <w:pStyle w:val="FootnoteText"/>
      </w:pPr>
      <w:r>
        <w:rPr>
          <w:rStyle w:val="FootnoteReference"/>
        </w:rPr>
        <w:footnoteRef/>
      </w:r>
      <w:r w:rsidR="00307370">
        <w:t xml:space="preserve"> Ibid. </w:t>
      </w:r>
    </w:p>
  </w:footnote>
  <w:footnote w:id="82">
    <w:p w:rsidR="00B65016" w:rsidRDefault="00B65016">
      <w:pPr>
        <w:pStyle w:val="FootnoteText"/>
      </w:pPr>
      <w:r>
        <w:rPr>
          <w:rStyle w:val="FootnoteReference"/>
        </w:rPr>
        <w:footnoteRef/>
      </w:r>
      <w:r>
        <w:t xml:space="preserve"> Hanna</w:t>
      </w:r>
      <w:r w:rsidR="00307370">
        <w:t>, above n. 33 at 182</w:t>
      </w:r>
      <w:r>
        <w:t xml:space="preserve"> </w:t>
      </w:r>
      <w:r w:rsidR="00701F9A">
        <w:t>appears to suggest that client</w:t>
      </w:r>
      <w:r>
        <w:t xml:space="preserve"> status depends upon case by case authorisation by the corporation to seek or obtain legal advice and that persons constituting the corporations directing mind and will inherently fall within this category</w:t>
      </w:r>
      <w:r w:rsidR="00307370">
        <w:t>.</w:t>
      </w:r>
      <w:r>
        <w:t xml:space="preserve"> This approach would seem to suggest that there are two categories of client; those who form part of the directing mind and will and those who do not. We would argue that delegation of such authority renders the person or group to which such authority is delegated part of the directing mind and will rather than there being two categories of client. </w:t>
      </w:r>
    </w:p>
  </w:footnote>
  <w:footnote w:id="83">
    <w:p w:rsidR="00B65016" w:rsidRDefault="00B65016">
      <w:pPr>
        <w:pStyle w:val="FootnoteText"/>
      </w:pPr>
      <w:r>
        <w:rPr>
          <w:rStyle w:val="FootnoteReference"/>
        </w:rPr>
        <w:footnoteRef/>
      </w:r>
      <w:r>
        <w:t xml:space="preserve"> </w:t>
      </w:r>
      <w:r w:rsidRPr="00FB796B">
        <w:rPr>
          <w:i/>
        </w:rPr>
        <w:t>Price Waterhouse (a firm) v BCCI Holdings (Luxembourg) SA</w:t>
      </w:r>
      <w:r w:rsidR="00FB796B">
        <w:t xml:space="preserve"> [1992] BCLC 583 at</w:t>
      </w:r>
      <w:r>
        <w:t xml:space="preserve"> 588</w:t>
      </w:r>
    </w:p>
  </w:footnote>
  <w:footnote w:id="84">
    <w:p w:rsidR="00B65016" w:rsidRDefault="00B65016">
      <w:pPr>
        <w:pStyle w:val="FootnoteText"/>
      </w:pPr>
      <w:r>
        <w:rPr>
          <w:rStyle w:val="FootnoteReference"/>
        </w:rPr>
        <w:footnoteRef/>
      </w:r>
      <w:r>
        <w:t xml:space="preserve"> Ibid at 589; </w:t>
      </w:r>
      <w:r w:rsidR="00FB796B">
        <w:t xml:space="preserve">see also </w:t>
      </w:r>
      <w:r w:rsidRPr="00FB796B">
        <w:rPr>
          <w:i/>
        </w:rPr>
        <w:t xml:space="preserve">Re </w:t>
      </w:r>
      <w:proofErr w:type="spellStart"/>
      <w:r w:rsidRPr="00FB796B">
        <w:rPr>
          <w:i/>
        </w:rPr>
        <w:t>Highgrade</w:t>
      </w:r>
      <w:proofErr w:type="spellEnd"/>
      <w:r w:rsidRPr="00FB796B">
        <w:rPr>
          <w:i/>
        </w:rPr>
        <w:t xml:space="preserve"> Traders Ltd</w:t>
      </w:r>
      <w:r w:rsidR="00FB796B">
        <w:t xml:space="preserve"> [1984] BCLC 151 at</w:t>
      </w:r>
      <w:r>
        <w:t xml:space="preserve"> 164. In </w:t>
      </w:r>
      <w:r w:rsidRPr="00FB796B">
        <w:rPr>
          <w:i/>
        </w:rPr>
        <w:t>AB v Ministry of Justice</w:t>
      </w:r>
      <w:r>
        <w:t xml:space="preserve"> [2014] EWHC 1847, (QB), </w:t>
      </w:r>
      <w:proofErr w:type="gramStart"/>
      <w:r>
        <w:t>a</w:t>
      </w:r>
      <w:proofErr w:type="gramEnd"/>
      <w:r>
        <w:t xml:space="preserve"> copy of instructions to legal advisers was not privileged where it had been sent to a non-legal adviser. </w:t>
      </w:r>
    </w:p>
  </w:footnote>
  <w:footnote w:id="85">
    <w:p w:rsidR="00B65016" w:rsidRDefault="00B65016" w:rsidP="007D4945">
      <w:pPr>
        <w:pStyle w:val="FootnoteText"/>
      </w:pPr>
      <w:r>
        <w:rPr>
          <w:rStyle w:val="FootnoteReference"/>
        </w:rPr>
        <w:footnoteRef/>
      </w:r>
      <w:r>
        <w:t xml:space="preserve"> </w:t>
      </w:r>
      <w:r w:rsidR="00FB796B">
        <w:t>Above n.11</w:t>
      </w:r>
      <w:r w:rsidR="00FD5B7D">
        <w:t xml:space="preserve"> at para 84</w:t>
      </w:r>
      <w:r>
        <w:t>. In RBS</w:t>
      </w:r>
      <w:r w:rsidR="00FB796B">
        <w:t>, above n.57 at</w:t>
      </w:r>
      <w:r>
        <w:t xml:space="preserve"> para</w:t>
      </w:r>
      <w:r w:rsidR="00FD5B7D">
        <w:t xml:space="preserve"> 96,</w:t>
      </w:r>
      <w:r>
        <w:t xml:space="preserve"> it was suggested that the agent had to be authorised to seek and receive legal advice. </w:t>
      </w:r>
      <w:r w:rsidRPr="007A0203">
        <w:t>There are suggestions from</w:t>
      </w:r>
      <w:r>
        <w:rPr>
          <w:i/>
        </w:rPr>
        <w:t xml:space="preserve"> </w:t>
      </w:r>
      <w:r w:rsidRPr="00FB796B">
        <w:rPr>
          <w:i/>
        </w:rPr>
        <w:t>Pric</w:t>
      </w:r>
      <w:r w:rsidR="00FB796B" w:rsidRPr="00FB796B">
        <w:rPr>
          <w:i/>
        </w:rPr>
        <w:t>e Waterhouse</w:t>
      </w:r>
      <w:r w:rsidR="00FB796B">
        <w:t>,</w:t>
      </w:r>
      <w:r w:rsidRPr="00FD5B7D">
        <w:t xml:space="preserve"> </w:t>
      </w:r>
      <w:r w:rsidR="00FB796B">
        <w:t>above n. 83</w:t>
      </w:r>
      <w:r w:rsidRPr="00FD5B7D">
        <w:t xml:space="preserve"> </w:t>
      </w:r>
      <w:r w:rsidR="004345CF">
        <w:t xml:space="preserve">at 591 </w:t>
      </w:r>
      <w:r w:rsidRPr="00FD5B7D">
        <w:t xml:space="preserve">and </w:t>
      </w:r>
      <w:r w:rsidR="00FD5B7D" w:rsidRPr="00FB796B">
        <w:rPr>
          <w:i/>
        </w:rPr>
        <w:t>Three Rivers</w:t>
      </w:r>
      <w:r w:rsidR="00FB796B" w:rsidRPr="00FB796B">
        <w:rPr>
          <w:i/>
        </w:rPr>
        <w:t>,</w:t>
      </w:r>
      <w:r w:rsidR="00FB796B">
        <w:t xml:space="preserve"> above n.64 at </w:t>
      </w:r>
      <w:r>
        <w:t>para 32 that the scope of a committee’s terms of reference (and the width of the solicitors’ retainer) may be analysed when assessing whether privilege can be claimed. However, this analysis appears to be in the context of assessing the purpose for which documents were prepared; that is whether the dominant purpose is obtaining legal advice, or for some other purpose and where the terms of reference are ‘manifestly contrived for the specific purpose of attracting legal professional privilege.’</w:t>
      </w:r>
      <w:r w:rsidRPr="008122C3">
        <w:t xml:space="preserve"> </w:t>
      </w:r>
      <w:r w:rsidR="00FB796B">
        <w:t xml:space="preserve">See </w:t>
      </w:r>
      <w:r w:rsidR="00FB796B" w:rsidRPr="00FB796B">
        <w:rPr>
          <w:i/>
        </w:rPr>
        <w:t>Price Waterhouse</w:t>
      </w:r>
      <w:r w:rsidR="00FB796B">
        <w:t xml:space="preserve"> above n. 83</w:t>
      </w:r>
      <w:r>
        <w:t xml:space="preserve"> at 591</w:t>
      </w:r>
      <w:r w:rsidR="00F50657">
        <w:t>.</w:t>
      </w:r>
    </w:p>
  </w:footnote>
  <w:footnote w:id="86">
    <w:p w:rsidR="00B65016" w:rsidRDefault="00B65016">
      <w:pPr>
        <w:pStyle w:val="FootnoteText"/>
      </w:pPr>
      <w:r>
        <w:rPr>
          <w:rStyle w:val="FootnoteReference"/>
        </w:rPr>
        <w:footnoteRef/>
      </w:r>
      <w:r>
        <w:t xml:space="preserve"> </w:t>
      </w:r>
      <w:r w:rsidR="00F50657">
        <w:t>Above n. 11</w:t>
      </w:r>
      <w:r w:rsidR="007E2206">
        <w:t xml:space="preserve"> at paras</w:t>
      </w:r>
      <w:r>
        <w:t xml:space="preserve"> 67, 82, 87, 88</w:t>
      </w:r>
      <w:r w:rsidR="008E1404">
        <w:t>.</w:t>
      </w:r>
    </w:p>
  </w:footnote>
  <w:footnote w:id="87">
    <w:p w:rsidR="00212005" w:rsidRDefault="00212005">
      <w:pPr>
        <w:pStyle w:val="FootnoteText"/>
      </w:pPr>
      <w:r>
        <w:rPr>
          <w:rStyle w:val="FootnoteReference"/>
        </w:rPr>
        <w:footnoteRef/>
      </w:r>
      <w:r>
        <w:t xml:space="preserve"> </w:t>
      </w:r>
      <w:r w:rsidR="008E1404">
        <w:t>Above n. 83</w:t>
      </w:r>
      <w:r w:rsidR="007E2206">
        <w:t xml:space="preserve"> at</w:t>
      </w:r>
      <w:r>
        <w:t xml:space="preserve"> 591</w:t>
      </w:r>
      <w:r w:rsidR="008E1404">
        <w:t>.</w:t>
      </w:r>
    </w:p>
  </w:footnote>
  <w:footnote w:id="88">
    <w:p w:rsidR="000C3E41" w:rsidRDefault="000C3E41" w:rsidP="000C3E41">
      <w:pPr>
        <w:pStyle w:val="FootnoteText"/>
      </w:pPr>
      <w:r>
        <w:rPr>
          <w:rStyle w:val="FootnoteReference"/>
        </w:rPr>
        <w:footnoteRef/>
      </w:r>
      <w:r>
        <w:t xml:space="preserve"> </w:t>
      </w:r>
      <w:r w:rsidR="008E1404">
        <w:t>Above n.55</w:t>
      </w:r>
      <w:r>
        <w:t xml:space="preserve"> at paras</w:t>
      </w:r>
      <w:r w:rsidR="008E1404">
        <w:t>.</w:t>
      </w:r>
      <w:r>
        <w:t xml:space="preserve"> 35 </w:t>
      </w:r>
      <w:r w:rsidR="008E1404">
        <w:t>–</w:t>
      </w:r>
      <w:r>
        <w:t xml:space="preserve"> 37</w:t>
      </w:r>
      <w:r w:rsidR="008E1404">
        <w:t>.</w:t>
      </w:r>
    </w:p>
  </w:footnote>
  <w:footnote w:id="89">
    <w:p w:rsidR="000C3E41" w:rsidRDefault="000C3E41" w:rsidP="000C3E41">
      <w:pPr>
        <w:pStyle w:val="FootnoteText"/>
      </w:pPr>
      <w:r>
        <w:rPr>
          <w:rStyle w:val="FootnoteReference"/>
        </w:rPr>
        <w:footnoteRef/>
      </w:r>
      <w:r>
        <w:t xml:space="preserve"> [2015] EWHC 1557 (</w:t>
      </w:r>
      <w:proofErr w:type="spellStart"/>
      <w:r>
        <w:t>Ch</w:t>
      </w:r>
      <w:proofErr w:type="spellEnd"/>
      <w:r>
        <w:t>)</w:t>
      </w:r>
      <w:r w:rsidR="008E1404">
        <w:t>.</w:t>
      </w:r>
    </w:p>
  </w:footnote>
  <w:footnote w:id="90">
    <w:p w:rsidR="000C3E41" w:rsidRDefault="000C3E41" w:rsidP="000C3E41">
      <w:pPr>
        <w:pStyle w:val="FootnoteText"/>
      </w:pPr>
      <w:r>
        <w:rPr>
          <w:rStyle w:val="FootnoteReference"/>
        </w:rPr>
        <w:footnoteRef/>
      </w:r>
      <w:r>
        <w:t xml:space="preserve"> </w:t>
      </w:r>
      <w:r w:rsidR="00AD1971">
        <w:t>Ibid at</w:t>
      </w:r>
      <w:r>
        <w:t xml:space="preserve"> para</w:t>
      </w:r>
      <w:r w:rsidR="008E1404">
        <w:t>.</w:t>
      </w:r>
      <w:r>
        <w:t xml:space="preserve"> 28</w:t>
      </w:r>
      <w:r w:rsidR="008E1404">
        <w:t>.</w:t>
      </w:r>
    </w:p>
  </w:footnote>
  <w:footnote w:id="91">
    <w:p w:rsidR="00B65016" w:rsidRPr="007321B7" w:rsidRDefault="00B65016">
      <w:pPr>
        <w:pStyle w:val="FootnoteText"/>
        <w:rPr>
          <w:i/>
        </w:rPr>
      </w:pPr>
      <w:r>
        <w:rPr>
          <w:rStyle w:val="FootnoteReference"/>
        </w:rPr>
        <w:footnoteRef/>
      </w:r>
      <w:r>
        <w:t xml:space="preserve"> </w:t>
      </w:r>
      <w:r w:rsidR="00AD1971">
        <w:t xml:space="preserve">The </w:t>
      </w:r>
      <w:r>
        <w:t xml:space="preserve">Companies </w:t>
      </w:r>
      <w:r w:rsidR="00AD1971">
        <w:t>(Model Articles) Regulations 2008</w:t>
      </w:r>
      <w:r>
        <w:t>, Schedule 1</w:t>
      </w:r>
      <w:r w:rsidR="00AD1971">
        <w:t>.</w:t>
      </w:r>
      <w:r>
        <w:t xml:space="preserve"> </w:t>
      </w:r>
    </w:p>
  </w:footnote>
  <w:footnote w:id="92">
    <w:p w:rsidR="00B65016" w:rsidRDefault="00B65016">
      <w:pPr>
        <w:pStyle w:val="FootnoteText"/>
      </w:pPr>
      <w:r>
        <w:rPr>
          <w:rStyle w:val="FootnoteReference"/>
        </w:rPr>
        <w:footnoteRef/>
      </w:r>
      <w:r>
        <w:t xml:space="preserve"> </w:t>
      </w:r>
      <w:r w:rsidR="00F458BF">
        <w:t>Ibid</w:t>
      </w:r>
      <w:r>
        <w:t xml:space="preserve"> </w:t>
      </w:r>
      <w:r w:rsidR="00F458BF">
        <w:t xml:space="preserve">at </w:t>
      </w:r>
      <w:r>
        <w:t xml:space="preserve">Schedule 1, Part 2, Article 5 (1). </w:t>
      </w:r>
      <w:r w:rsidR="00AD1971">
        <w:t>Similar provisions are found in the Model Articles for Public Companies, Schedule 3 of the</w:t>
      </w:r>
      <w:r w:rsidR="00F458BF">
        <w:t xml:space="preserve"> 2008</w:t>
      </w:r>
      <w:r w:rsidR="00AD1971">
        <w:t xml:space="preserve"> Regulations, Part 2, </w:t>
      </w:r>
      <w:proofErr w:type="gramStart"/>
      <w:r w:rsidR="00AD1971">
        <w:t>Article</w:t>
      </w:r>
      <w:proofErr w:type="gramEnd"/>
      <w:r w:rsidR="00AD1971">
        <w:t xml:space="preserve"> 5(1). </w:t>
      </w:r>
      <w:r>
        <w:t>In terms of a limited liability partnership, the same principles regarding designating who is the client should apply (</w:t>
      </w:r>
      <w:proofErr w:type="spellStart"/>
      <w:r>
        <w:t>M.Stockdale</w:t>
      </w:r>
      <w:proofErr w:type="spellEnd"/>
      <w:r>
        <w:t xml:space="preserve"> &amp; R Mitchell ‘Who is the client? An exploration of legal professional privilege in the corporate context’, </w:t>
      </w:r>
      <w:r w:rsidRPr="00256C60">
        <w:rPr>
          <w:i/>
        </w:rPr>
        <w:t>Company Lawyer</w:t>
      </w:r>
      <w:r>
        <w:t xml:space="preserve"> 2006, </w:t>
      </w:r>
      <w:r w:rsidR="008E1404" w:rsidRPr="008E1404">
        <w:t>27 (4)</w:t>
      </w:r>
      <w:proofErr w:type="gramStart"/>
      <w:r w:rsidRPr="008E1404">
        <w:t>,</w:t>
      </w:r>
      <w:r w:rsidR="008E1404" w:rsidRPr="008E1404">
        <w:t>110</w:t>
      </w:r>
      <w:proofErr w:type="gramEnd"/>
      <w:r w:rsidR="008E1404" w:rsidRPr="008E1404">
        <w:t xml:space="preserve"> at</w:t>
      </w:r>
      <w:r w:rsidRPr="008E1404">
        <w:t xml:space="preserve"> 117). Although th</w:t>
      </w:r>
      <w:r>
        <w:t xml:space="preserve">ere are no provisions equivalent to Model Article 5, the members of an LLP may regulate their internal affairs by agreement (Limited Liability Partnership Regulations 2001, (SI 2001 No. 1090), regulation 7) and can therefore include provisions similar to Model Article 5. Arguably, the same result can therefore be achieved, allowing the LLP to designate a particular group within it, made up of members and employees, as the client for legal advice privilege purposes. </w:t>
      </w:r>
    </w:p>
  </w:footnote>
  <w:footnote w:id="93">
    <w:p w:rsidR="00B65016" w:rsidRDefault="00B65016">
      <w:pPr>
        <w:pStyle w:val="FootnoteText"/>
      </w:pPr>
      <w:r>
        <w:rPr>
          <w:rStyle w:val="FootnoteReference"/>
        </w:rPr>
        <w:footnoteRef/>
      </w:r>
      <w:r>
        <w:t xml:space="preserve"> </w:t>
      </w:r>
      <w:r w:rsidR="00F458BF">
        <w:t>Ibid at</w:t>
      </w:r>
      <w:r>
        <w:t xml:space="preserve"> Schedule 1, Part 2, Article 3</w:t>
      </w:r>
      <w:r w:rsidR="008E1404">
        <w:t>.</w:t>
      </w:r>
    </w:p>
  </w:footnote>
  <w:footnote w:id="94">
    <w:p w:rsidR="00B65016" w:rsidRDefault="00B65016">
      <w:pPr>
        <w:pStyle w:val="FootnoteText"/>
      </w:pPr>
      <w:r>
        <w:rPr>
          <w:rStyle w:val="FootnoteReference"/>
        </w:rPr>
        <w:footnoteRef/>
      </w:r>
      <w:r>
        <w:t xml:space="preserve"> A very restrictive approach to the attribution argument, as perhaps expressed in </w:t>
      </w:r>
      <w:r w:rsidR="00F458BF" w:rsidRPr="006075F6">
        <w:rPr>
          <w:i/>
        </w:rPr>
        <w:t>RBS Righ</w:t>
      </w:r>
      <w:r w:rsidR="006075F6" w:rsidRPr="006075F6">
        <w:rPr>
          <w:i/>
        </w:rPr>
        <w:t>ts Issue Litigation</w:t>
      </w:r>
      <w:r w:rsidR="006075F6">
        <w:t xml:space="preserve"> (above n. 57</w:t>
      </w:r>
      <w:r w:rsidR="00F458BF">
        <w:t xml:space="preserve">) and </w:t>
      </w:r>
      <w:r w:rsidR="00F458BF" w:rsidRPr="006075F6">
        <w:rPr>
          <w:i/>
        </w:rPr>
        <w:t>Winterthur Swiss Insurance Company and Others v AG (Manchester) Limited (in liquidation)</w:t>
      </w:r>
      <w:r w:rsidR="00F458BF" w:rsidRPr="00F458BF">
        <w:t xml:space="preserve"> </w:t>
      </w:r>
      <w:r w:rsidR="00F458BF" w:rsidRPr="006075F6">
        <w:rPr>
          <w:i/>
        </w:rPr>
        <w:t>and others</w:t>
      </w:r>
      <w:r w:rsidR="006075F6">
        <w:t xml:space="preserve"> (above n.58</w:t>
      </w:r>
      <w:r w:rsidR="00F458BF">
        <w:t>)</w:t>
      </w:r>
      <w:r>
        <w:t>, would be that only the board of directors can be the directing mind and will for this purpose.</w:t>
      </w:r>
    </w:p>
  </w:footnote>
  <w:footnote w:id="95">
    <w:p w:rsidR="00B65016" w:rsidRDefault="00B65016" w:rsidP="00DC2CC4">
      <w:pPr>
        <w:pStyle w:val="FootnoteText"/>
      </w:pPr>
      <w:r>
        <w:rPr>
          <w:rStyle w:val="FootnoteReference"/>
        </w:rPr>
        <w:footnoteRef/>
      </w:r>
      <w:r>
        <w:t xml:space="preserve"> </w:t>
      </w:r>
      <w:r w:rsidR="006075F6">
        <w:t>Above n.83</w:t>
      </w:r>
      <w:r>
        <w:t xml:space="preserve"> at 589</w:t>
      </w:r>
      <w:r w:rsidR="006075F6">
        <w:t>.</w:t>
      </w:r>
    </w:p>
  </w:footnote>
  <w:footnote w:id="96">
    <w:p w:rsidR="00B65016" w:rsidRDefault="00B65016">
      <w:pPr>
        <w:pStyle w:val="FootnoteText"/>
      </w:pPr>
      <w:r>
        <w:rPr>
          <w:rStyle w:val="FootnoteReference"/>
        </w:rPr>
        <w:footnoteRef/>
      </w:r>
      <w:r w:rsidR="00543404">
        <w:t xml:space="preserve"> Above n.71</w:t>
      </w:r>
      <w:r>
        <w:t xml:space="preserve"> at 154</w:t>
      </w:r>
      <w:r w:rsidR="007636E6">
        <w:t>.</w:t>
      </w:r>
    </w:p>
  </w:footnote>
  <w:footnote w:id="97">
    <w:p w:rsidR="00B65016" w:rsidRDefault="00B65016" w:rsidP="00F22157">
      <w:pPr>
        <w:pStyle w:val="FootnoteText"/>
      </w:pPr>
      <w:r>
        <w:rPr>
          <w:rStyle w:val="FootnoteReference"/>
        </w:rPr>
        <w:footnoteRef/>
      </w:r>
      <w:r>
        <w:t xml:space="preserve"> </w:t>
      </w:r>
      <w:r w:rsidR="007636E6">
        <w:t>Above n. 64</w:t>
      </w:r>
      <w:r>
        <w:t xml:space="preserve"> </w:t>
      </w:r>
      <w:r w:rsidR="007636E6">
        <w:t xml:space="preserve">at </w:t>
      </w:r>
      <w:r>
        <w:t>para</w:t>
      </w:r>
      <w:r w:rsidR="007636E6">
        <w:t>.</w:t>
      </w:r>
      <w:r>
        <w:t xml:space="preserve"> 9</w:t>
      </w:r>
      <w:r w:rsidR="007636E6">
        <w:t>.</w:t>
      </w:r>
    </w:p>
  </w:footnote>
  <w:footnote w:id="98">
    <w:p w:rsidR="00B65016" w:rsidRDefault="00B65016">
      <w:pPr>
        <w:pStyle w:val="FootnoteText"/>
      </w:pPr>
      <w:r>
        <w:rPr>
          <w:rStyle w:val="FootnoteReference"/>
        </w:rPr>
        <w:footnoteRef/>
      </w:r>
      <w:r>
        <w:t>.</w:t>
      </w:r>
      <w:r w:rsidR="006F740E">
        <w:t xml:space="preserve"> Above n. 83</w:t>
      </w:r>
      <w:r w:rsidR="00962A54">
        <w:t xml:space="preserve"> and </w:t>
      </w:r>
      <w:r w:rsidR="00962A54" w:rsidRPr="006F740E">
        <w:rPr>
          <w:i/>
        </w:rPr>
        <w:t>R (on the application of Prudential plc and another) v Special Commissioner of Income Tax and another</w:t>
      </w:r>
      <w:r w:rsidR="00962A54">
        <w:t xml:space="preserve"> </w:t>
      </w:r>
      <w:r w:rsidR="00DF2017">
        <w:t>above n.4.</w:t>
      </w:r>
    </w:p>
  </w:footnote>
  <w:footnote w:id="99">
    <w:p w:rsidR="00B65016" w:rsidRDefault="00B65016" w:rsidP="006D6BC5">
      <w:pPr>
        <w:pStyle w:val="FootnoteText"/>
      </w:pPr>
      <w:r>
        <w:rPr>
          <w:rStyle w:val="FootnoteReference"/>
        </w:rPr>
        <w:footnoteRef/>
      </w:r>
      <w:r>
        <w:t xml:space="preserve"> </w:t>
      </w:r>
      <w:proofErr w:type="spellStart"/>
      <w:r>
        <w:t>J.Fortnam</w:t>
      </w:r>
      <w:proofErr w:type="spellEnd"/>
      <w:r>
        <w:t xml:space="preserve"> and </w:t>
      </w:r>
      <w:proofErr w:type="spellStart"/>
      <w:r>
        <w:t>J.Lobo</w:t>
      </w:r>
      <w:proofErr w:type="spellEnd"/>
      <w:r>
        <w:t xml:space="preserve"> ‘Three Rivers: comfort or missed opportunity?’ NLJ</w:t>
      </w:r>
      <w:r w:rsidR="003859ED">
        <w:t xml:space="preserve"> (2004) </w:t>
      </w:r>
      <w:proofErr w:type="spellStart"/>
      <w:r w:rsidR="003859ED">
        <w:t>vol</w:t>
      </w:r>
      <w:proofErr w:type="spellEnd"/>
      <w:r w:rsidR="003859ED">
        <w:t xml:space="preserve"> 154, 1750</w:t>
      </w:r>
      <w:r w:rsidR="006F740E">
        <w:t>.</w:t>
      </w:r>
    </w:p>
  </w:footnote>
  <w:footnote w:id="100">
    <w:p w:rsidR="00B65016" w:rsidRDefault="00B65016" w:rsidP="006D6BC5">
      <w:pPr>
        <w:pStyle w:val="FootnoteText"/>
      </w:pPr>
      <w:r>
        <w:rPr>
          <w:rStyle w:val="FootnoteReference"/>
        </w:rPr>
        <w:footnoteRef/>
      </w:r>
      <w:r w:rsidR="003859ED">
        <w:t xml:space="preserve"> Ibid. </w:t>
      </w:r>
    </w:p>
  </w:footnote>
  <w:footnote w:id="101">
    <w:p w:rsidR="00B65016" w:rsidRDefault="00B65016" w:rsidP="006D6BC5">
      <w:pPr>
        <w:pStyle w:val="FootnoteText"/>
      </w:pPr>
      <w:r>
        <w:rPr>
          <w:rStyle w:val="FootnoteReference"/>
        </w:rPr>
        <w:footnoteRef/>
      </w:r>
      <w:r>
        <w:t xml:space="preserve"> R</w:t>
      </w:r>
      <w:r w:rsidR="003859ED">
        <w:t xml:space="preserve">. Preston-Jones and </w:t>
      </w:r>
      <w:proofErr w:type="spellStart"/>
      <w:r w:rsidR="003859ED">
        <w:t>J.Paterson</w:t>
      </w:r>
      <w:proofErr w:type="spellEnd"/>
      <w:r w:rsidR="003859ED">
        <w:t xml:space="preserve"> ‘</w:t>
      </w:r>
      <w:r>
        <w:t xml:space="preserve">Three Rivers run </w:t>
      </w:r>
      <w:proofErr w:type="spellStart"/>
      <w:r>
        <w:t>d</w:t>
      </w:r>
      <w:r w:rsidR="003859ED">
        <w:t>eep?’NLJ</w:t>
      </w:r>
      <w:proofErr w:type="spellEnd"/>
      <w:r w:rsidR="003859ED">
        <w:t xml:space="preserve"> (2004) </w:t>
      </w:r>
      <w:proofErr w:type="spellStart"/>
      <w:r w:rsidR="003859ED">
        <w:t>vol</w:t>
      </w:r>
      <w:proofErr w:type="spellEnd"/>
      <w:r w:rsidR="003859ED">
        <w:t xml:space="preserve"> 154, 1709</w:t>
      </w:r>
      <w:r w:rsidR="006F740E">
        <w:t>.</w:t>
      </w:r>
    </w:p>
  </w:footnote>
  <w:footnote w:id="102">
    <w:p w:rsidR="00B65016" w:rsidRDefault="00B65016">
      <w:pPr>
        <w:pStyle w:val="FootnoteText"/>
      </w:pPr>
      <w:r>
        <w:rPr>
          <w:rStyle w:val="FootnoteReference"/>
        </w:rPr>
        <w:footnoteRef/>
      </w:r>
      <w:r>
        <w:t xml:space="preserve"> The Good Luck [1992] Vol.2 Q.B. (Com. Ct.), 540</w:t>
      </w:r>
      <w:r w:rsidR="006F740E">
        <w:t>.</w:t>
      </w:r>
    </w:p>
  </w:footnote>
  <w:footnote w:id="103">
    <w:p w:rsidR="00F2403A" w:rsidRPr="00231245" w:rsidRDefault="00F2403A" w:rsidP="006F740E">
      <w:pPr>
        <w:spacing w:after="0" w:line="240" w:lineRule="auto"/>
        <w:rPr>
          <w:i/>
        </w:rPr>
      </w:pPr>
      <w:r>
        <w:rPr>
          <w:rStyle w:val="FootnoteReference"/>
        </w:rPr>
        <w:footnoteRef/>
      </w:r>
      <w:r>
        <w:t xml:space="preserve"> </w:t>
      </w:r>
      <w:r w:rsidRPr="00231245">
        <w:rPr>
          <w:sz w:val="20"/>
          <w:szCs w:val="20"/>
        </w:rPr>
        <w:t xml:space="preserve">M. </w:t>
      </w:r>
      <w:proofErr w:type="spellStart"/>
      <w:r w:rsidRPr="00231245">
        <w:rPr>
          <w:sz w:val="20"/>
          <w:szCs w:val="20"/>
        </w:rPr>
        <w:t>Gunnyeon</w:t>
      </w:r>
      <w:proofErr w:type="spellEnd"/>
      <w:r w:rsidRPr="00231245">
        <w:rPr>
          <w:sz w:val="20"/>
          <w:szCs w:val="20"/>
        </w:rPr>
        <w:t xml:space="preserve"> </w:t>
      </w:r>
      <w:r w:rsidRPr="006F740E">
        <w:rPr>
          <w:sz w:val="20"/>
          <w:szCs w:val="20"/>
        </w:rPr>
        <w:t>Erosion of legal privilege: should insolvency practitioners be concerned? (2017) 6 CRI 216</w:t>
      </w:r>
      <w:r w:rsidR="006F740E">
        <w:rPr>
          <w:sz w:val="20"/>
          <w:szCs w:val="20"/>
        </w:rPr>
        <w:t>.</w:t>
      </w:r>
    </w:p>
  </w:footnote>
  <w:footnote w:id="104">
    <w:p w:rsidR="00BF6B75" w:rsidRDefault="00BF6B75">
      <w:pPr>
        <w:pStyle w:val="FootnoteText"/>
      </w:pPr>
      <w:r>
        <w:rPr>
          <w:rStyle w:val="FootnoteReference"/>
        </w:rPr>
        <w:footnoteRef/>
      </w:r>
      <w:r>
        <w:t xml:space="preserve"> </w:t>
      </w:r>
      <w:r w:rsidR="006F740E">
        <w:t>Above n. 89 at p</w:t>
      </w:r>
      <w:r>
        <w:t>ara</w:t>
      </w:r>
      <w:r w:rsidR="006F740E">
        <w:t>s.</w:t>
      </w:r>
      <w:r>
        <w:t xml:space="preserve"> 32, 33</w:t>
      </w:r>
      <w:r w:rsidR="006F740E">
        <w:t>.</w:t>
      </w:r>
    </w:p>
  </w:footnote>
  <w:footnote w:id="105">
    <w:p w:rsidR="00FC361D" w:rsidRDefault="00FC361D">
      <w:pPr>
        <w:pStyle w:val="FootnoteText"/>
      </w:pPr>
      <w:r>
        <w:rPr>
          <w:rStyle w:val="FootnoteReference"/>
        </w:rPr>
        <w:footnoteRef/>
      </w:r>
      <w:r>
        <w:t xml:space="preserve"> </w:t>
      </w:r>
      <w:hyperlink r:id="rId4" w:history="1">
        <w:r w:rsidRPr="00A221AB">
          <w:rPr>
            <w:rStyle w:val="Hyperlink"/>
          </w:rPr>
          <w:t>https://www.sfo.gov.uk/2018/04/10/ai-powered-robo-lawyer-helps-step-up-the-sfos-fight-against-economic-crime/</w:t>
        </w:r>
      </w:hyperlink>
      <w:r>
        <w:t xml:space="preserve"> Last accessed 17</w:t>
      </w:r>
      <w:r w:rsidRPr="00031F90">
        <w:rPr>
          <w:vertAlign w:val="superscript"/>
        </w:rPr>
        <w:t>th</w:t>
      </w:r>
      <w:r>
        <w:t xml:space="preserve"> April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182A3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33"/>
    <w:rsid w:val="00003EB0"/>
    <w:rsid w:val="00004DDC"/>
    <w:rsid w:val="0000588F"/>
    <w:rsid w:val="0001352C"/>
    <w:rsid w:val="000143BA"/>
    <w:rsid w:val="00014EBE"/>
    <w:rsid w:val="00015738"/>
    <w:rsid w:val="00024632"/>
    <w:rsid w:val="00024942"/>
    <w:rsid w:val="00031F90"/>
    <w:rsid w:val="00036AA8"/>
    <w:rsid w:val="00040F8E"/>
    <w:rsid w:val="00051080"/>
    <w:rsid w:val="00062100"/>
    <w:rsid w:val="00073788"/>
    <w:rsid w:val="00075361"/>
    <w:rsid w:val="00083EBB"/>
    <w:rsid w:val="00085AA1"/>
    <w:rsid w:val="00092456"/>
    <w:rsid w:val="000A0E66"/>
    <w:rsid w:val="000A3A50"/>
    <w:rsid w:val="000B0888"/>
    <w:rsid w:val="000B55C4"/>
    <w:rsid w:val="000C1EB9"/>
    <w:rsid w:val="000C3E41"/>
    <w:rsid w:val="000C5091"/>
    <w:rsid w:val="000E2BFD"/>
    <w:rsid w:val="000E2D87"/>
    <w:rsid w:val="000E5863"/>
    <w:rsid w:val="000F26C9"/>
    <w:rsid w:val="000F5AB3"/>
    <w:rsid w:val="001024B9"/>
    <w:rsid w:val="00102E51"/>
    <w:rsid w:val="00106950"/>
    <w:rsid w:val="00106E5C"/>
    <w:rsid w:val="00107E22"/>
    <w:rsid w:val="0011684B"/>
    <w:rsid w:val="001170A7"/>
    <w:rsid w:val="0011798A"/>
    <w:rsid w:val="00127299"/>
    <w:rsid w:val="00132F74"/>
    <w:rsid w:val="00133C39"/>
    <w:rsid w:val="00140582"/>
    <w:rsid w:val="00140D94"/>
    <w:rsid w:val="00145630"/>
    <w:rsid w:val="001528E5"/>
    <w:rsid w:val="0015424F"/>
    <w:rsid w:val="00157621"/>
    <w:rsid w:val="00166125"/>
    <w:rsid w:val="001730EB"/>
    <w:rsid w:val="001776B4"/>
    <w:rsid w:val="001803EA"/>
    <w:rsid w:val="001804AB"/>
    <w:rsid w:val="00181847"/>
    <w:rsid w:val="001920AD"/>
    <w:rsid w:val="00195B76"/>
    <w:rsid w:val="001A69F2"/>
    <w:rsid w:val="001C5096"/>
    <w:rsid w:val="001C59C3"/>
    <w:rsid w:val="001D0F59"/>
    <w:rsid w:val="001D2C1F"/>
    <w:rsid w:val="001D6DA2"/>
    <w:rsid w:val="001E26E0"/>
    <w:rsid w:val="001F1389"/>
    <w:rsid w:val="001F3A6A"/>
    <w:rsid w:val="001F3B00"/>
    <w:rsid w:val="001F5F87"/>
    <w:rsid w:val="00203F79"/>
    <w:rsid w:val="00212005"/>
    <w:rsid w:val="002171E0"/>
    <w:rsid w:val="00230FD4"/>
    <w:rsid w:val="00231245"/>
    <w:rsid w:val="0024252A"/>
    <w:rsid w:val="00242CE2"/>
    <w:rsid w:val="00244B58"/>
    <w:rsid w:val="00245F2E"/>
    <w:rsid w:val="00246F33"/>
    <w:rsid w:val="00250DEC"/>
    <w:rsid w:val="00256C60"/>
    <w:rsid w:val="00264046"/>
    <w:rsid w:val="00264592"/>
    <w:rsid w:val="002709F4"/>
    <w:rsid w:val="00271CFA"/>
    <w:rsid w:val="00274E4A"/>
    <w:rsid w:val="00275CB4"/>
    <w:rsid w:val="002805A6"/>
    <w:rsid w:val="00281768"/>
    <w:rsid w:val="00284AEB"/>
    <w:rsid w:val="00291E57"/>
    <w:rsid w:val="0029356C"/>
    <w:rsid w:val="00295C5B"/>
    <w:rsid w:val="002A7515"/>
    <w:rsid w:val="002B19EF"/>
    <w:rsid w:val="002C41E5"/>
    <w:rsid w:val="002D622C"/>
    <w:rsid w:val="002E522D"/>
    <w:rsid w:val="002E5F88"/>
    <w:rsid w:val="002E7BA9"/>
    <w:rsid w:val="002F39BB"/>
    <w:rsid w:val="002F3B82"/>
    <w:rsid w:val="002F3C6C"/>
    <w:rsid w:val="00300598"/>
    <w:rsid w:val="00302C6C"/>
    <w:rsid w:val="00304D03"/>
    <w:rsid w:val="0030560C"/>
    <w:rsid w:val="00307370"/>
    <w:rsid w:val="003113E4"/>
    <w:rsid w:val="00313D84"/>
    <w:rsid w:val="0032641E"/>
    <w:rsid w:val="00327D66"/>
    <w:rsid w:val="00334D5E"/>
    <w:rsid w:val="003358BF"/>
    <w:rsid w:val="00335BC5"/>
    <w:rsid w:val="00364A01"/>
    <w:rsid w:val="00376AB0"/>
    <w:rsid w:val="00377E36"/>
    <w:rsid w:val="00383E55"/>
    <w:rsid w:val="003859ED"/>
    <w:rsid w:val="00386073"/>
    <w:rsid w:val="003870C2"/>
    <w:rsid w:val="00390EF4"/>
    <w:rsid w:val="003925BD"/>
    <w:rsid w:val="003979D9"/>
    <w:rsid w:val="003A0C45"/>
    <w:rsid w:val="003B2A3E"/>
    <w:rsid w:val="003B7519"/>
    <w:rsid w:val="003B7FA6"/>
    <w:rsid w:val="003C4336"/>
    <w:rsid w:val="003C7388"/>
    <w:rsid w:val="003D1342"/>
    <w:rsid w:val="003D30E3"/>
    <w:rsid w:val="003D7AB3"/>
    <w:rsid w:val="003E0A91"/>
    <w:rsid w:val="003E44C0"/>
    <w:rsid w:val="003E66A4"/>
    <w:rsid w:val="003F1806"/>
    <w:rsid w:val="0040276A"/>
    <w:rsid w:val="00404D99"/>
    <w:rsid w:val="00407A15"/>
    <w:rsid w:val="00412604"/>
    <w:rsid w:val="0041602F"/>
    <w:rsid w:val="0041629B"/>
    <w:rsid w:val="0042068E"/>
    <w:rsid w:val="00422A88"/>
    <w:rsid w:val="00426BB8"/>
    <w:rsid w:val="00427F7B"/>
    <w:rsid w:val="004316AA"/>
    <w:rsid w:val="004345CF"/>
    <w:rsid w:val="00434C84"/>
    <w:rsid w:val="00434FE8"/>
    <w:rsid w:val="0045520D"/>
    <w:rsid w:val="004565D8"/>
    <w:rsid w:val="00456748"/>
    <w:rsid w:val="00457C87"/>
    <w:rsid w:val="004626CC"/>
    <w:rsid w:val="004703C8"/>
    <w:rsid w:val="00473C6E"/>
    <w:rsid w:val="00474626"/>
    <w:rsid w:val="004749AC"/>
    <w:rsid w:val="0047555F"/>
    <w:rsid w:val="00477782"/>
    <w:rsid w:val="004805AF"/>
    <w:rsid w:val="00480BE4"/>
    <w:rsid w:val="004869F2"/>
    <w:rsid w:val="00487729"/>
    <w:rsid w:val="00494B0C"/>
    <w:rsid w:val="00495355"/>
    <w:rsid w:val="004A1F76"/>
    <w:rsid w:val="004B04AB"/>
    <w:rsid w:val="004B0A0F"/>
    <w:rsid w:val="004B3831"/>
    <w:rsid w:val="004C4E5B"/>
    <w:rsid w:val="004D0D97"/>
    <w:rsid w:val="004D2A3A"/>
    <w:rsid w:val="004D4A33"/>
    <w:rsid w:val="004D610E"/>
    <w:rsid w:val="004D6599"/>
    <w:rsid w:val="004D7586"/>
    <w:rsid w:val="004E1FCA"/>
    <w:rsid w:val="004E2073"/>
    <w:rsid w:val="004E3A22"/>
    <w:rsid w:val="004E5BF8"/>
    <w:rsid w:val="004E60D0"/>
    <w:rsid w:val="004F2ECE"/>
    <w:rsid w:val="005000E7"/>
    <w:rsid w:val="00511DDD"/>
    <w:rsid w:val="00513572"/>
    <w:rsid w:val="0051482C"/>
    <w:rsid w:val="00515D84"/>
    <w:rsid w:val="00520344"/>
    <w:rsid w:val="005237F0"/>
    <w:rsid w:val="00525777"/>
    <w:rsid w:val="0053505D"/>
    <w:rsid w:val="00543404"/>
    <w:rsid w:val="005520F3"/>
    <w:rsid w:val="005636DB"/>
    <w:rsid w:val="00563E2A"/>
    <w:rsid w:val="00565C86"/>
    <w:rsid w:val="00573076"/>
    <w:rsid w:val="00575A09"/>
    <w:rsid w:val="005818B2"/>
    <w:rsid w:val="005823E0"/>
    <w:rsid w:val="005908EA"/>
    <w:rsid w:val="00594C23"/>
    <w:rsid w:val="005958C6"/>
    <w:rsid w:val="005960EA"/>
    <w:rsid w:val="00596670"/>
    <w:rsid w:val="005970A0"/>
    <w:rsid w:val="005A0B45"/>
    <w:rsid w:val="005A6744"/>
    <w:rsid w:val="005A6A74"/>
    <w:rsid w:val="005A7200"/>
    <w:rsid w:val="005B18CB"/>
    <w:rsid w:val="005B2AC7"/>
    <w:rsid w:val="005B3249"/>
    <w:rsid w:val="005B5F86"/>
    <w:rsid w:val="005C1F14"/>
    <w:rsid w:val="005C3929"/>
    <w:rsid w:val="005C6CAB"/>
    <w:rsid w:val="005D0995"/>
    <w:rsid w:val="005D3C18"/>
    <w:rsid w:val="005D4EF6"/>
    <w:rsid w:val="005D5A39"/>
    <w:rsid w:val="005F23F7"/>
    <w:rsid w:val="005F797C"/>
    <w:rsid w:val="00606AE5"/>
    <w:rsid w:val="006075F6"/>
    <w:rsid w:val="0060789D"/>
    <w:rsid w:val="0061319A"/>
    <w:rsid w:val="006169F1"/>
    <w:rsid w:val="006234E7"/>
    <w:rsid w:val="00630875"/>
    <w:rsid w:val="006359C7"/>
    <w:rsid w:val="00647EE2"/>
    <w:rsid w:val="00654E42"/>
    <w:rsid w:val="0065651A"/>
    <w:rsid w:val="00656B27"/>
    <w:rsid w:val="00664070"/>
    <w:rsid w:val="00666327"/>
    <w:rsid w:val="0066644A"/>
    <w:rsid w:val="0066723E"/>
    <w:rsid w:val="00682804"/>
    <w:rsid w:val="00685465"/>
    <w:rsid w:val="006909F4"/>
    <w:rsid w:val="006A01F0"/>
    <w:rsid w:val="006A2045"/>
    <w:rsid w:val="006A2634"/>
    <w:rsid w:val="006A2CE2"/>
    <w:rsid w:val="006A3667"/>
    <w:rsid w:val="006A388F"/>
    <w:rsid w:val="006A4F6A"/>
    <w:rsid w:val="006B1BB5"/>
    <w:rsid w:val="006B3B64"/>
    <w:rsid w:val="006C2B69"/>
    <w:rsid w:val="006C54F9"/>
    <w:rsid w:val="006C5C38"/>
    <w:rsid w:val="006C6528"/>
    <w:rsid w:val="006D2EE0"/>
    <w:rsid w:val="006D3AD1"/>
    <w:rsid w:val="006D4069"/>
    <w:rsid w:val="006D4127"/>
    <w:rsid w:val="006D4717"/>
    <w:rsid w:val="006D5144"/>
    <w:rsid w:val="006D5471"/>
    <w:rsid w:val="006D64CF"/>
    <w:rsid w:val="006D6BC5"/>
    <w:rsid w:val="006E063E"/>
    <w:rsid w:val="006E4C4E"/>
    <w:rsid w:val="006E6BD8"/>
    <w:rsid w:val="006F3BC7"/>
    <w:rsid w:val="006F740E"/>
    <w:rsid w:val="00701F9A"/>
    <w:rsid w:val="00703E8A"/>
    <w:rsid w:val="007048CC"/>
    <w:rsid w:val="00704C14"/>
    <w:rsid w:val="00706BC5"/>
    <w:rsid w:val="00715755"/>
    <w:rsid w:val="00716017"/>
    <w:rsid w:val="00724530"/>
    <w:rsid w:val="007321B7"/>
    <w:rsid w:val="00732405"/>
    <w:rsid w:val="0073330A"/>
    <w:rsid w:val="007341F3"/>
    <w:rsid w:val="00741149"/>
    <w:rsid w:val="00747108"/>
    <w:rsid w:val="00753F85"/>
    <w:rsid w:val="0076096C"/>
    <w:rsid w:val="007636E6"/>
    <w:rsid w:val="00766DE0"/>
    <w:rsid w:val="00767183"/>
    <w:rsid w:val="00777670"/>
    <w:rsid w:val="0078683D"/>
    <w:rsid w:val="0079327F"/>
    <w:rsid w:val="00796D79"/>
    <w:rsid w:val="007A0203"/>
    <w:rsid w:val="007A0B10"/>
    <w:rsid w:val="007A683C"/>
    <w:rsid w:val="007B06DE"/>
    <w:rsid w:val="007B4406"/>
    <w:rsid w:val="007C4568"/>
    <w:rsid w:val="007C5BDC"/>
    <w:rsid w:val="007D02A5"/>
    <w:rsid w:val="007D1CBD"/>
    <w:rsid w:val="007D4945"/>
    <w:rsid w:val="007D4E58"/>
    <w:rsid w:val="007E2206"/>
    <w:rsid w:val="007E3743"/>
    <w:rsid w:val="007F3561"/>
    <w:rsid w:val="007F7DD0"/>
    <w:rsid w:val="00804B37"/>
    <w:rsid w:val="00805F58"/>
    <w:rsid w:val="00807104"/>
    <w:rsid w:val="00807B25"/>
    <w:rsid w:val="008122C3"/>
    <w:rsid w:val="00813A9F"/>
    <w:rsid w:val="0083357B"/>
    <w:rsid w:val="00840A4B"/>
    <w:rsid w:val="00842710"/>
    <w:rsid w:val="008458AE"/>
    <w:rsid w:val="00846A38"/>
    <w:rsid w:val="00853D41"/>
    <w:rsid w:val="008716B8"/>
    <w:rsid w:val="00876F7D"/>
    <w:rsid w:val="00881C35"/>
    <w:rsid w:val="0088447D"/>
    <w:rsid w:val="0088732D"/>
    <w:rsid w:val="00891B7D"/>
    <w:rsid w:val="00896D60"/>
    <w:rsid w:val="008A1D5F"/>
    <w:rsid w:val="008A1E1B"/>
    <w:rsid w:val="008A2E5D"/>
    <w:rsid w:val="008A53FA"/>
    <w:rsid w:val="008A6FC8"/>
    <w:rsid w:val="008B0CB9"/>
    <w:rsid w:val="008B2541"/>
    <w:rsid w:val="008B3693"/>
    <w:rsid w:val="008C0881"/>
    <w:rsid w:val="008C4767"/>
    <w:rsid w:val="008C740B"/>
    <w:rsid w:val="008D061E"/>
    <w:rsid w:val="008E1378"/>
    <w:rsid w:val="008E1404"/>
    <w:rsid w:val="008F2D00"/>
    <w:rsid w:val="009111AC"/>
    <w:rsid w:val="00915DF2"/>
    <w:rsid w:val="00916FE8"/>
    <w:rsid w:val="00920226"/>
    <w:rsid w:val="00922FF0"/>
    <w:rsid w:val="00923E76"/>
    <w:rsid w:val="0093336C"/>
    <w:rsid w:val="00940487"/>
    <w:rsid w:val="009444BF"/>
    <w:rsid w:val="009474D9"/>
    <w:rsid w:val="00952320"/>
    <w:rsid w:val="0095253D"/>
    <w:rsid w:val="00956E9C"/>
    <w:rsid w:val="009605D6"/>
    <w:rsid w:val="00962A54"/>
    <w:rsid w:val="009647A4"/>
    <w:rsid w:val="00967F30"/>
    <w:rsid w:val="009748E0"/>
    <w:rsid w:val="009862BA"/>
    <w:rsid w:val="009930D8"/>
    <w:rsid w:val="00995044"/>
    <w:rsid w:val="00995385"/>
    <w:rsid w:val="0099709E"/>
    <w:rsid w:val="009A7426"/>
    <w:rsid w:val="009B19BE"/>
    <w:rsid w:val="009B1C88"/>
    <w:rsid w:val="009B3A56"/>
    <w:rsid w:val="009C1027"/>
    <w:rsid w:val="009C468D"/>
    <w:rsid w:val="009D0C29"/>
    <w:rsid w:val="009D3069"/>
    <w:rsid w:val="009D3360"/>
    <w:rsid w:val="009E280B"/>
    <w:rsid w:val="009F2659"/>
    <w:rsid w:val="009F2F4F"/>
    <w:rsid w:val="00A00793"/>
    <w:rsid w:val="00A13344"/>
    <w:rsid w:val="00A23353"/>
    <w:rsid w:val="00A24084"/>
    <w:rsid w:val="00A24DE2"/>
    <w:rsid w:val="00A33BD4"/>
    <w:rsid w:val="00A415B8"/>
    <w:rsid w:val="00A43583"/>
    <w:rsid w:val="00A6649B"/>
    <w:rsid w:val="00A7143D"/>
    <w:rsid w:val="00A734B7"/>
    <w:rsid w:val="00A763B7"/>
    <w:rsid w:val="00A803FD"/>
    <w:rsid w:val="00A8356C"/>
    <w:rsid w:val="00A836A0"/>
    <w:rsid w:val="00A87B4B"/>
    <w:rsid w:val="00A87EAB"/>
    <w:rsid w:val="00A91425"/>
    <w:rsid w:val="00AA05C1"/>
    <w:rsid w:val="00AB2A86"/>
    <w:rsid w:val="00AC1E75"/>
    <w:rsid w:val="00AC400A"/>
    <w:rsid w:val="00AD0BE8"/>
    <w:rsid w:val="00AD0EE2"/>
    <w:rsid w:val="00AD1971"/>
    <w:rsid w:val="00AD7DB2"/>
    <w:rsid w:val="00AD7F98"/>
    <w:rsid w:val="00AE5376"/>
    <w:rsid w:val="00AE6427"/>
    <w:rsid w:val="00AE70AA"/>
    <w:rsid w:val="00AE73E6"/>
    <w:rsid w:val="00AF19D1"/>
    <w:rsid w:val="00AF2017"/>
    <w:rsid w:val="00AF301B"/>
    <w:rsid w:val="00B01B8B"/>
    <w:rsid w:val="00B02CB5"/>
    <w:rsid w:val="00B069ED"/>
    <w:rsid w:val="00B27101"/>
    <w:rsid w:val="00B31680"/>
    <w:rsid w:val="00B37A18"/>
    <w:rsid w:val="00B4279A"/>
    <w:rsid w:val="00B43BC2"/>
    <w:rsid w:val="00B50546"/>
    <w:rsid w:val="00B57FE3"/>
    <w:rsid w:val="00B644FF"/>
    <w:rsid w:val="00B65016"/>
    <w:rsid w:val="00B658B2"/>
    <w:rsid w:val="00B731B5"/>
    <w:rsid w:val="00B76963"/>
    <w:rsid w:val="00B845FF"/>
    <w:rsid w:val="00B95AAD"/>
    <w:rsid w:val="00BA0764"/>
    <w:rsid w:val="00BA0ACE"/>
    <w:rsid w:val="00BB1CD2"/>
    <w:rsid w:val="00BB6DCC"/>
    <w:rsid w:val="00BC408F"/>
    <w:rsid w:val="00BD48E6"/>
    <w:rsid w:val="00BD69DE"/>
    <w:rsid w:val="00BE12A6"/>
    <w:rsid w:val="00BF2305"/>
    <w:rsid w:val="00BF2A6C"/>
    <w:rsid w:val="00BF3D72"/>
    <w:rsid w:val="00BF5FF5"/>
    <w:rsid w:val="00BF6B75"/>
    <w:rsid w:val="00C10BF5"/>
    <w:rsid w:val="00C1495B"/>
    <w:rsid w:val="00C21660"/>
    <w:rsid w:val="00C2528D"/>
    <w:rsid w:val="00C304E8"/>
    <w:rsid w:val="00C33035"/>
    <w:rsid w:val="00C33BF0"/>
    <w:rsid w:val="00C363B5"/>
    <w:rsid w:val="00C47372"/>
    <w:rsid w:val="00C52FB3"/>
    <w:rsid w:val="00C55E33"/>
    <w:rsid w:val="00C57DE3"/>
    <w:rsid w:val="00C6000D"/>
    <w:rsid w:val="00C72B7C"/>
    <w:rsid w:val="00C76CF3"/>
    <w:rsid w:val="00C76E61"/>
    <w:rsid w:val="00C80942"/>
    <w:rsid w:val="00C80C0A"/>
    <w:rsid w:val="00C871FE"/>
    <w:rsid w:val="00C87578"/>
    <w:rsid w:val="00C916D6"/>
    <w:rsid w:val="00C91B16"/>
    <w:rsid w:val="00C93285"/>
    <w:rsid w:val="00C93382"/>
    <w:rsid w:val="00C946FF"/>
    <w:rsid w:val="00C97AF1"/>
    <w:rsid w:val="00CA444F"/>
    <w:rsid w:val="00CA4586"/>
    <w:rsid w:val="00CA4748"/>
    <w:rsid w:val="00CA65FD"/>
    <w:rsid w:val="00CC2865"/>
    <w:rsid w:val="00CC3BE1"/>
    <w:rsid w:val="00CD2717"/>
    <w:rsid w:val="00CD3F0F"/>
    <w:rsid w:val="00CE0192"/>
    <w:rsid w:val="00CE18BF"/>
    <w:rsid w:val="00CE566D"/>
    <w:rsid w:val="00CF22AE"/>
    <w:rsid w:val="00D0299C"/>
    <w:rsid w:val="00D035CE"/>
    <w:rsid w:val="00D05D13"/>
    <w:rsid w:val="00D06E44"/>
    <w:rsid w:val="00D14EE1"/>
    <w:rsid w:val="00D230FC"/>
    <w:rsid w:val="00D24D28"/>
    <w:rsid w:val="00D30BA7"/>
    <w:rsid w:val="00D35117"/>
    <w:rsid w:val="00D35EB7"/>
    <w:rsid w:val="00D43556"/>
    <w:rsid w:val="00D45B5E"/>
    <w:rsid w:val="00D52377"/>
    <w:rsid w:val="00D53BAD"/>
    <w:rsid w:val="00D56688"/>
    <w:rsid w:val="00D60403"/>
    <w:rsid w:val="00D62609"/>
    <w:rsid w:val="00D65029"/>
    <w:rsid w:val="00D67A34"/>
    <w:rsid w:val="00D67B80"/>
    <w:rsid w:val="00D7139C"/>
    <w:rsid w:val="00D7376B"/>
    <w:rsid w:val="00D74C21"/>
    <w:rsid w:val="00D83DFA"/>
    <w:rsid w:val="00D96EF6"/>
    <w:rsid w:val="00DA255B"/>
    <w:rsid w:val="00DA535F"/>
    <w:rsid w:val="00DB00FB"/>
    <w:rsid w:val="00DB7188"/>
    <w:rsid w:val="00DB7429"/>
    <w:rsid w:val="00DB7A2B"/>
    <w:rsid w:val="00DC2CC4"/>
    <w:rsid w:val="00DE017A"/>
    <w:rsid w:val="00DE4E3D"/>
    <w:rsid w:val="00DE67B7"/>
    <w:rsid w:val="00DE768D"/>
    <w:rsid w:val="00DF2017"/>
    <w:rsid w:val="00DF37E7"/>
    <w:rsid w:val="00E11D62"/>
    <w:rsid w:val="00E11EAE"/>
    <w:rsid w:val="00E13D91"/>
    <w:rsid w:val="00E16864"/>
    <w:rsid w:val="00E16B26"/>
    <w:rsid w:val="00E16E19"/>
    <w:rsid w:val="00E17DD9"/>
    <w:rsid w:val="00E2004D"/>
    <w:rsid w:val="00E256F2"/>
    <w:rsid w:val="00E310B8"/>
    <w:rsid w:val="00E373F8"/>
    <w:rsid w:val="00E475CC"/>
    <w:rsid w:val="00E50411"/>
    <w:rsid w:val="00E516E2"/>
    <w:rsid w:val="00E52D3E"/>
    <w:rsid w:val="00E55EEA"/>
    <w:rsid w:val="00E61961"/>
    <w:rsid w:val="00E61A84"/>
    <w:rsid w:val="00E6416D"/>
    <w:rsid w:val="00E70915"/>
    <w:rsid w:val="00E74D2E"/>
    <w:rsid w:val="00E76E3B"/>
    <w:rsid w:val="00E83C55"/>
    <w:rsid w:val="00E910F9"/>
    <w:rsid w:val="00E94DB1"/>
    <w:rsid w:val="00EA432E"/>
    <w:rsid w:val="00EA79C0"/>
    <w:rsid w:val="00EB6C27"/>
    <w:rsid w:val="00EC3419"/>
    <w:rsid w:val="00EC6733"/>
    <w:rsid w:val="00ED22ED"/>
    <w:rsid w:val="00ED2652"/>
    <w:rsid w:val="00EE61E5"/>
    <w:rsid w:val="00EE6A14"/>
    <w:rsid w:val="00EE71E2"/>
    <w:rsid w:val="00EF6A90"/>
    <w:rsid w:val="00F017A7"/>
    <w:rsid w:val="00F02FFC"/>
    <w:rsid w:val="00F07D96"/>
    <w:rsid w:val="00F15E1E"/>
    <w:rsid w:val="00F16775"/>
    <w:rsid w:val="00F176D6"/>
    <w:rsid w:val="00F22157"/>
    <w:rsid w:val="00F2403A"/>
    <w:rsid w:val="00F30309"/>
    <w:rsid w:val="00F3347E"/>
    <w:rsid w:val="00F40F8B"/>
    <w:rsid w:val="00F458BF"/>
    <w:rsid w:val="00F50657"/>
    <w:rsid w:val="00F577E1"/>
    <w:rsid w:val="00F63CCC"/>
    <w:rsid w:val="00F7570A"/>
    <w:rsid w:val="00F76109"/>
    <w:rsid w:val="00F77F90"/>
    <w:rsid w:val="00F8037C"/>
    <w:rsid w:val="00F80E1C"/>
    <w:rsid w:val="00F84399"/>
    <w:rsid w:val="00F84407"/>
    <w:rsid w:val="00F8786C"/>
    <w:rsid w:val="00F93FEE"/>
    <w:rsid w:val="00F97116"/>
    <w:rsid w:val="00FA2D91"/>
    <w:rsid w:val="00FB796B"/>
    <w:rsid w:val="00FC361D"/>
    <w:rsid w:val="00FC4219"/>
    <w:rsid w:val="00FD5B7D"/>
    <w:rsid w:val="00FD5C97"/>
    <w:rsid w:val="00FE1EBA"/>
    <w:rsid w:val="00FE33FA"/>
    <w:rsid w:val="00FF23CA"/>
    <w:rsid w:val="00FF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85D5B-8CC6-4744-B914-C48DA5AE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73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1684B"/>
    <w:pPr>
      <w:spacing w:after="0" w:line="240" w:lineRule="auto"/>
    </w:pPr>
    <w:rPr>
      <w:sz w:val="20"/>
      <w:szCs w:val="20"/>
    </w:rPr>
  </w:style>
  <w:style w:type="character" w:customStyle="1" w:styleId="FootnoteTextChar">
    <w:name w:val="Footnote Text Char"/>
    <w:basedOn w:val="DefaultParagraphFont"/>
    <w:link w:val="FootnoteText"/>
    <w:rsid w:val="0011684B"/>
    <w:rPr>
      <w:sz w:val="20"/>
      <w:szCs w:val="20"/>
    </w:rPr>
  </w:style>
  <w:style w:type="character" w:styleId="FootnoteReference">
    <w:name w:val="footnote reference"/>
    <w:basedOn w:val="DefaultParagraphFont"/>
    <w:unhideWhenUsed/>
    <w:rsid w:val="0011684B"/>
    <w:rPr>
      <w:vertAlign w:val="superscript"/>
    </w:rPr>
  </w:style>
  <w:style w:type="character" w:styleId="CommentReference">
    <w:name w:val="annotation reference"/>
    <w:basedOn w:val="DefaultParagraphFont"/>
    <w:uiPriority w:val="99"/>
    <w:semiHidden/>
    <w:unhideWhenUsed/>
    <w:rsid w:val="0030560C"/>
    <w:rPr>
      <w:sz w:val="16"/>
      <w:szCs w:val="16"/>
    </w:rPr>
  </w:style>
  <w:style w:type="paragraph" w:styleId="CommentText">
    <w:name w:val="annotation text"/>
    <w:basedOn w:val="Normal"/>
    <w:link w:val="CommentTextChar"/>
    <w:uiPriority w:val="99"/>
    <w:semiHidden/>
    <w:unhideWhenUsed/>
    <w:rsid w:val="0030560C"/>
    <w:pPr>
      <w:spacing w:line="240" w:lineRule="auto"/>
    </w:pPr>
    <w:rPr>
      <w:sz w:val="20"/>
      <w:szCs w:val="20"/>
    </w:rPr>
  </w:style>
  <w:style w:type="character" w:customStyle="1" w:styleId="CommentTextChar">
    <w:name w:val="Comment Text Char"/>
    <w:basedOn w:val="DefaultParagraphFont"/>
    <w:link w:val="CommentText"/>
    <w:uiPriority w:val="99"/>
    <w:semiHidden/>
    <w:rsid w:val="0030560C"/>
    <w:rPr>
      <w:sz w:val="20"/>
      <w:szCs w:val="20"/>
    </w:rPr>
  </w:style>
  <w:style w:type="paragraph" w:styleId="CommentSubject">
    <w:name w:val="annotation subject"/>
    <w:basedOn w:val="CommentText"/>
    <w:next w:val="CommentText"/>
    <w:link w:val="CommentSubjectChar"/>
    <w:uiPriority w:val="99"/>
    <w:semiHidden/>
    <w:unhideWhenUsed/>
    <w:rsid w:val="0030560C"/>
    <w:rPr>
      <w:b/>
      <w:bCs/>
    </w:rPr>
  </w:style>
  <w:style w:type="character" w:customStyle="1" w:styleId="CommentSubjectChar">
    <w:name w:val="Comment Subject Char"/>
    <w:basedOn w:val="CommentTextChar"/>
    <w:link w:val="CommentSubject"/>
    <w:uiPriority w:val="99"/>
    <w:semiHidden/>
    <w:rsid w:val="0030560C"/>
    <w:rPr>
      <w:b/>
      <w:bCs/>
      <w:sz w:val="20"/>
      <w:szCs w:val="20"/>
    </w:rPr>
  </w:style>
  <w:style w:type="paragraph" w:styleId="BalloonText">
    <w:name w:val="Balloon Text"/>
    <w:basedOn w:val="Normal"/>
    <w:link w:val="BalloonTextChar"/>
    <w:uiPriority w:val="99"/>
    <w:semiHidden/>
    <w:unhideWhenUsed/>
    <w:rsid w:val="00305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60C"/>
    <w:rPr>
      <w:rFonts w:ascii="Segoe UI" w:hAnsi="Segoe UI" w:cs="Segoe UI"/>
      <w:sz w:val="18"/>
      <w:szCs w:val="18"/>
    </w:rPr>
  </w:style>
  <w:style w:type="character" w:customStyle="1" w:styleId="Heading1Char">
    <w:name w:val="Heading 1 Char"/>
    <w:basedOn w:val="DefaultParagraphFont"/>
    <w:link w:val="Heading1"/>
    <w:uiPriority w:val="9"/>
    <w:rsid w:val="00C4737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C473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47372"/>
    <w:rPr>
      <w:color w:val="0000FF"/>
      <w:u w:val="single"/>
    </w:rPr>
  </w:style>
  <w:style w:type="paragraph" w:styleId="ListBullet">
    <w:name w:val="List Bullet"/>
    <w:basedOn w:val="Normal"/>
    <w:uiPriority w:val="99"/>
    <w:unhideWhenUsed/>
    <w:rsid w:val="00C47372"/>
    <w:pPr>
      <w:numPr>
        <w:numId w:val="1"/>
      </w:numPr>
      <w:spacing w:after="160" w:line="259" w:lineRule="auto"/>
      <w:contextualSpacing/>
    </w:pPr>
  </w:style>
  <w:style w:type="character" w:customStyle="1" w:styleId="hit">
    <w:name w:val="hit"/>
    <w:basedOn w:val="DefaultParagraphFont"/>
    <w:rsid w:val="004E3A22"/>
  </w:style>
  <w:style w:type="character" w:styleId="FollowedHyperlink">
    <w:name w:val="FollowedHyperlink"/>
    <w:basedOn w:val="DefaultParagraphFont"/>
    <w:uiPriority w:val="99"/>
    <w:semiHidden/>
    <w:unhideWhenUsed/>
    <w:rsid w:val="00BB1C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369670">
      <w:bodyDiv w:val="1"/>
      <w:marLeft w:val="0"/>
      <w:marRight w:val="0"/>
      <w:marTop w:val="0"/>
      <w:marBottom w:val="0"/>
      <w:divBdr>
        <w:top w:val="none" w:sz="0" w:space="0" w:color="auto"/>
        <w:left w:val="none" w:sz="0" w:space="0" w:color="auto"/>
        <w:bottom w:val="none" w:sz="0" w:space="0" w:color="auto"/>
        <w:right w:val="none" w:sz="0" w:space="0" w:color="auto"/>
      </w:divBdr>
    </w:div>
    <w:div w:id="1942637107">
      <w:bodyDiv w:val="1"/>
      <w:marLeft w:val="0"/>
      <w:marRight w:val="0"/>
      <w:marTop w:val="0"/>
      <w:marBottom w:val="0"/>
      <w:divBdr>
        <w:top w:val="none" w:sz="0" w:space="0" w:color="auto"/>
        <w:left w:val="none" w:sz="0" w:space="0" w:color="auto"/>
        <w:bottom w:val="none" w:sz="0" w:space="0" w:color="auto"/>
        <w:right w:val="none" w:sz="0" w:space="0" w:color="auto"/>
      </w:divBdr>
    </w:div>
    <w:div w:id="213660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ps.gov.uk/sites/default/files/documents/publications/code_2013_accessible_english.pdf" TargetMode="External"/><Relationship Id="rId2" Type="http://schemas.openxmlformats.org/officeDocument/2006/relationships/hyperlink" Target="http://webarchive.nationalarchives.gov.uk/+/http://www.criminal-courts-review.org.uk" TargetMode="External"/><Relationship Id="rId1" Type="http://schemas.openxmlformats.org/officeDocument/2006/relationships/hyperlink" Target="https://www.sfo.gov.uk/publications/guidance-policy-and-protocols/corporate-self-reporting/" TargetMode="External"/><Relationship Id="rId4" Type="http://schemas.openxmlformats.org/officeDocument/2006/relationships/hyperlink" Target="https://www.sfo.gov.uk/2018/04/10/ai-powered-robo-lawyer-helps-step-up-the-sfos-fight-against-economic-cr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D381-BA40-4C9A-99BB-63C0CCB5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8562</Words>
  <Characters>48804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57252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Mitchell</dc:creator>
  <cp:keywords/>
  <dc:description/>
  <cp:lastModifiedBy>Paul Burns</cp:lastModifiedBy>
  <cp:revision>2</cp:revision>
  <dcterms:created xsi:type="dcterms:W3CDTF">2018-05-09T15:30:00Z</dcterms:created>
  <dcterms:modified xsi:type="dcterms:W3CDTF">2018-05-09T15:30:00Z</dcterms:modified>
</cp:coreProperties>
</file>