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18" w:rsidRPr="00220F18" w:rsidRDefault="00220F18" w:rsidP="00A87155">
      <w:pPr>
        <w:jc w:val="center"/>
        <w:rPr>
          <w:szCs w:val="24"/>
        </w:rPr>
      </w:pPr>
    </w:p>
    <w:p w:rsidR="00220F18" w:rsidRPr="007C5644" w:rsidRDefault="00220F18" w:rsidP="00220F18">
      <w:pPr>
        <w:jc w:val="center"/>
        <w:rPr>
          <w:b/>
          <w:sz w:val="28"/>
          <w:szCs w:val="28"/>
        </w:rPr>
      </w:pPr>
      <w:r w:rsidRPr="007C5644">
        <w:rPr>
          <w:b/>
          <w:sz w:val="28"/>
          <w:szCs w:val="28"/>
        </w:rPr>
        <w:t>The impact of aggregate and disaggrega</w:t>
      </w:r>
      <w:r w:rsidR="004F3FF5">
        <w:rPr>
          <w:b/>
          <w:sz w:val="28"/>
          <w:szCs w:val="28"/>
        </w:rPr>
        <w:t>te consumption shocks on the Equity Risk Premium</w:t>
      </w:r>
      <w:r w:rsidR="00EE474D">
        <w:rPr>
          <w:b/>
          <w:sz w:val="28"/>
          <w:szCs w:val="28"/>
        </w:rPr>
        <w:t xml:space="preserve"> in the United Kingdom</w:t>
      </w:r>
      <w:bookmarkStart w:id="0" w:name="_GoBack"/>
      <w:bookmarkEnd w:id="0"/>
    </w:p>
    <w:p w:rsidR="00220F18" w:rsidRDefault="00220F18" w:rsidP="00220F18">
      <w:pPr>
        <w:jc w:val="center"/>
      </w:pPr>
    </w:p>
    <w:p w:rsidR="00220F18" w:rsidRPr="00854712" w:rsidRDefault="00220F18" w:rsidP="00220F18">
      <w:pPr>
        <w:jc w:val="center"/>
        <w:rPr>
          <w:vertAlign w:val="superscript"/>
        </w:rPr>
      </w:pPr>
      <w:r w:rsidRPr="00854712">
        <w:t xml:space="preserve">Sunil </w:t>
      </w:r>
      <w:r>
        <w:t xml:space="preserve">S. </w:t>
      </w:r>
      <w:r w:rsidRPr="00854712">
        <w:t>Poshakwale</w:t>
      </w:r>
      <w:r w:rsidR="00F07A57">
        <w:rPr>
          <w:rStyle w:val="FootnoteReference"/>
        </w:rPr>
        <w:footnoteReference w:id="1"/>
      </w:r>
      <w:r>
        <w:t xml:space="preserve"> </w:t>
      </w:r>
      <w:r w:rsidR="00F07A57">
        <w:t>Pankaj Chandorkar</w:t>
      </w:r>
      <w:r w:rsidR="00F07A57">
        <w:rPr>
          <w:rStyle w:val="FootnoteReference"/>
        </w:rPr>
        <w:footnoteReference w:id="2"/>
      </w:r>
    </w:p>
    <w:p w:rsidR="00220F18" w:rsidRDefault="00220F18" w:rsidP="00220F18">
      <w:pPr>
        <w:jc w:val="center"/>
        <w:rPr>
          <w:vertAlign w:val="superscript"/>
        </w:rPr>
      </w:pPr>
    </w:p>
    <w:p w:rsidR="003D1A3E" w:rsidRDefault="004F3FF5" w:rsidP="004F3FF5">
      <w:pPr>
        <w:spacing w:after="0"/>
        <w:ind w:left="360"/>
      </w:pPr>
      <w:r>
        <w:rPr>
          <w:vertAlign w:val="superscript"/>
        </w:rPr>
        <w:t xml:space="preserve">                                                                         </w:t>
      </w:r>
      <w:r w:rsidR="00F07A57">
        <w:rPr>
          <w:vertAlign w:val="superscript"/>
        </w:rPr>
        <w:t xml:space="preserve"> </w:t>
      </w:r>
      <w:r w:rsidR="00F07A57">
        <w:t xml:space="preserve">  </w:t>
      </w:r>
    </w:p>
    <w:p w:rsidR="003D1A3E" w:rsidRDefault="003D1A3E" w:rsidP="003D1A3E">
      <w:pPr>
        <w:spacing w:after="0"/>
        <w:jc w:val="left"/>
        <w:rPr>
          <w:rFonts w:cs="Times New Roman"/>
        </w:rPr>
      </w:pPr>
    </w:p>
    <w:p w:rsidR="003D1A3E" w:rsidRDefault="003D1A3E" w:rsidP="003D1A3E">
      <w:pPr>
        <w:spacing w:after="0"/>
        <w:jc w:val="left"/>
        <w:rPr>
          <w:rFonts w:cs="Times New Roman"/>
        </w:rPr>
      </w:pPr>
    </w:p>
    <w:p w:rsidR="00E7018F" w:rsidRDefault="00E7018F" w:rsidP="00E7018F">
      <w:pPr>
        <w:spacing w:line="276" w:lineRule="auto"/>
        <w:jc w:val="left"/>
        <w:rPr>
          <w:szCs w:val="24"/>
        </w:rPr>
      </w:pPr>
      <w:r w:rsidRPr="000877C4">
        <w:rPr>
          <w:szCs w:val="24"/>
        </w:rPr>
        <w:t xml:space="preserve">We examine the impact of aggregate and disaggregate consumption shocks on the ex-post Equity Risk Premium (ERP) of FTSE indices and the 25 Fama-French portfolios. </w:t>
      </w:r>
      <w:r>
        <w:rPr>
          <w:szCs w:val="24"/>
        </w:rPr>
        <w:t>Findings suggest that a</w:t>
      </w:r>
      <w:r w:rsidRPr="000877C4">
        <w:rPr>
          <w:szCs w:val="24"/>
        </w:rPr>
        <w:t>ggregate consumption shocks seem to explain significant time variation in the ERP.</w:t>
      </w:r>
      <w:r>
        <w:rPr>
          <w:szCs w:val="24"/>
        </w:rPr>
        <w:t xml:space="preserve"> </w:t>
      </w:r>
      <w:r w:rsidRPr="000877C4">
        <w:rPr>
          <w:szCs w:val="24"/>
        </w:rPr>
        <w:t xml:space="preserve">At disaggregated level, </w:t>
      </w:r>
      <w:r>
        <w:rPr>
          <w:szCs w:val="24"/>
        </w:rPr>
        <w:t xml:space="preserve">the ERP increases when </w:t>
      </w:r>
      <w:r w:rsidRPr="000877C4">
        <w:rPr>
          <w:szCs w:val="24"/>
        </w:rPr>
        <w:t>the actual consumption is les</w:t>
      </w:r>
      <w:r>
        <w:rPr>
          <w:szCs w:val="24"/>
        </w:rPr>
        <w:t>s than expected. Finally, d</w:t>
      </w:r>
      <w:r w:rsidRPr="000877C4">
        <w:rPr>
          <w:szCs w:val="24"/>
        </w:rPr>
        <w:t xml:space="preserve">urable and </w:t>
      </w:r>
      <w:r>
        <w:rPr>
          <w:szCs w:val="24"/>
        </w:rPr>
        <w:t>s</w:t>
      </w:r>
      <w:r w:rsidRPr="000877C4">
        <w:rPr>
          <w:szCs w:val="24"/>
        </w:rPr>
        <w:t xml:space="preserve">emi-durable consumption shocks </w:t>
      </w:r>
      <w:r>
        <w:rPr>
          <w:szCs w:val="24"/>
        </w:rPr>
        <w:t xml:space="preserve">have a greater impact on the </w:t>
      </w:r>
      <w:r w:rsidRPr="000877C4">
        <w:rPr>
          <w:szCs w:val="24"/>
        </w:rPr>
        <w:t>ERP than non-durable consumption shocks</w:t>
      </w:r>
      <w:r>
        <w:rPr>
          <w:szCs w:val="24"/>
        </w:rPr>
        <w:t>.</w:t>
      </w:r>
    </w:p>
    <w:p w:rsidR="00E7018F" w:rsidRDefault="00E7018F" w:rsidP="00E7018F">
      <w:pPr>
        <w:spacing w:line="276" w:lineRule="auto"/>
        <w:jc w:val="left"/>
        <w:rPr>
          <w:b/>
          <w:szCs w:val="24"/>
        </w:rPr>
      </w:pPr>
    </w:p>
    <w:p w:rsidR="00E7018F" w:rsidRDefault="00E7018F" w:rsidP="00E7018F">
      <w:pPr>
        <w:spacing w:line="276" w:lineRule="auto"/>
        <w:jc w:val="left"/>
        <w:rPr>
          <w:b/>
          <w:szCs w:val="24"/>
        </w:rPr>
      </w:pPr>
    </w:p>
    <w:p w:rsidR="00E7018F" w:rsidRDefault="00E7018F" w:rsidP="00E7018F">
      <w:pPr>
        <w:spacing w:line="276" w:lineRule="auto"/>
        <w:jc w:val="left"/>
        <w:rPr>
          <w:b/>
          <w:szCs w:val="24"/>
        </w:rPr>
      </w:pPr>
    </w:p>
    <w:p w:rsidR="00E7018F" w:rsidRDefault="00E7018F" w:rsidP="00E7018F">
      <w:pPr>
        <w:spacing w:line="276" w:lineRule="auto"/>
        <w:jc w:val="left"/>
        <w:rPr>
          <w:b/>
          <w:szCs w:val="24"/>
        </w:rPr>
      </w:pPr>
    </w:p>
    <w:p w:rsidR="00E7018F" w:rsidRDefault="00E7018F" w:rsidP="00E7018F">
      <w:pPr>
        <w:spacing w:line="276" w:lineRule="auto"/>
        <w:jc w:val="left"/>
        <w:rPr>
          <w:b/>
          <w:i/>
          <w:szCs w:val="24"/>
        </w:rPr>
      </w:pPr>
      <w:r w:rsidRPr="00F07A57">
        <w:rPr>
          <w:i/>
          <w:szCs w:val="24"/>
        </w:rPr>
        <w:t>Keywords</w:t>
      </w:r>
      <w:r>
        <w:rPr>
          <w:b/>
          <w:szCs w:val="24"/>
        </w:rPr>
        <w:t xml:space="preserve">: </w:t>
      </w:r>
      <w:r>
        <w:rPr>
          <w:szCs w:val="24"/>
        </w:rPr>
        <w:t>Equity Risk Premium, Consumption Wealth Channel, Consumption Shocks, Structural Vector Autoregression, Asset Pricing</w:t>
      </w:r>
      <w:r>
        <w:rPr>
          <w:b/>
          <w:i/>
          <w:szCs w:val="24"/>
        </w:rPr>
        <w:t xml:space="preserve"> </w:t>
      </w:r>
    </w:p>
    <w:p w:rsidR="00E7018F" w:rsidRPr="003C010F" w:rsidRDefault="00E7018F" w:rsidP="00E7018F">
      <w:pPr>
        <w:rPr>
          <w:szCs w:val="24"/>
        </w:rPr>
      </w:pPr>
      <w:r w:rsidRPr="00F07A57">
        <w:rPr>
          <w:i/>
          <w:szCs w:val="24"/>
        </w:rPr>
        <w:t>JEL Classification</w:t>
      </w:r>
      <w:r w:rsidRPr="003C010F">
        <w:rPr>
          <w:szCs w:val="24"/>
        </w:rPr>
        <w:t>: E0, E2, E6 and G0</w:t>
      </w:r>
    </w:p>
    <w:p w:rsidR="00B26F04" w:rsidRDefault="00B26F04" w:rsidP="00E7018F">
      <w:pPr>
        <w:spacing w:line="276" w:lineRule="auto"/>
        <w:jc w:val="left"/>
        <w:rPr>
          <w:vertAlign w:val="superscript"/>
        </w:rPr>
      </w:pPr>
    </w:p>
    <w:p w:rsidR="00B26F04" w:rsidRDefault="00B26F04" w:rsidP="00E7018F">
      <w:pPr>
        <w:spacing w:line="276" w:lineRule="auto"/>
        <w:jc w:val="left"/>
        <w:rPr>
          <w:vertAlign w:val="superscript"/>
        </w:rPr>
      </w:pPr>
    </w:p>
    <w:p w:rsidR="003C010F" w:rsidRPr="004F3FF5" w:rsidRDefault="00220F18" w:rsidP="003C010F">
      <w:pPr>
        <w:spacing w:line="276" w:lineRule="auto"/>
        <w:jc w:val="left"/>
        <w:rPr>
          <w:szCs w:val="24"/>
        </w:rPr>
      </w:pPr>
      <w:r>
        <w:rPr>
          <w:b/>
          <w:i/>
          <w:szCs w:val="24"/>
        </w:rPr>
        <w:br w:type="page"/>
      </w:r>
    </w:p>
    <w:p w:rsidR="00306430" w:rsidRPr="003C010F" w:rsidRDefault="00306430" w:rsidP="001C67D1">
      <w:pPr>
        <w:pStyle w:val="Heading1"/>
        <w:numPr>
          <w:ilvl w:val="0"/>
          <w:numId w:val="1"/>
        </w:numPr>
        <w:spacing w:line="360" w:lineRule="auto"/>
        <w:jc w:val="center"/>
        <w:rPr>
          <w:color w:val="000000" w:themeColor="text1"/>
        </w:rPr>
      </w:pPr>
      <w:r w:rsidRPr="003C010F">
        <w:rPr>
          <w:color w:val="000000" w:themeColor="text1"/>
        </w:rPr>
        <w:lastRenderedPageBreak/>
        <w:t>I</w:t>
      </w:r>
      <w:r w:rsidRPr="00C760E6">
        <w:rPr>
          <w:rFonts w:ascii="Times New Roman" w:hAnsi="Times New Roman" w:cs="Times New Roman"/>
          <w:color w:val="000000" w:themeColor="text1"/>
        </w:rPr>
        <w:t>ntroduction</w:t>
      </w:r>
    </w:p>
    <w:p w:rsidR="00074F1D" w:rsidRDefault="00074F1D" w:rsidP="004A5752">
      <w:pPr>
        <w:spacing w:line="360" w:lineRule="auto"/>
      </w:pPr>
      <w:r>
        <w:t xml:space="preserve">The classical Consumption-Based Capital Asset Pricing Model (CCAPM), first proposed by </w:t>
      </w:r>
      <w:r w:rsidRPr="00222D46">
        <w:fldChar w:fldCharType="begin" w:fldLock="1"/>
      </w:r>
      <w:r w:rsidR="00AF43D6">
        <w:instrText>ADDIN CSL_CITATION { "citationItems" : [ { "id" : "ITEM-1", "itemData" : { "author" : [ { "dropping-particle" : "", "family" : "Rubinstein", "given" : "Mark", "non-dropping-particle" : "", "parse-names" : false, "suffix" : "" } ], "container-title" : "Bell Journal of Economics", "id" : "ITEM-1", "issue" : "2", "issued" : { "date-parts" : [ [ "1976" ] ] }, "page" : "407-425", "title" : "The Valuation of Uncertain Income Streams and the Pricing of Options", "type" : "article-journal", "volume" : "7" }, "uris" : [ "http://www.mendeley.com/documents/?uuid=d61e616c-eb41-4e09-bbce-d52cd6216f44" ] } ], "mendeley" : { "formattedCitation" : "(Rubinstein 1976)", "manualFormatting" : "Rubinstein (1976)", "plainTextFormattedCitation" : "(Rubinstein 1976)", "previouslyFormattedCitation" : "(Rubinstein 1976)" }, "properties" : { "noteIndex" : 0 }, "schema" : "https://github.com/citation-style-language/schema/raw/master/csl-citation.json" }</w:instrText>
      </w:r>
      <w:r w:rsidRPr="00222D46">
        <w:fldChar w:fldCharType="separate"/>
      </w:r>
      <w:r w:rsidRPr="00222D46">
        <w:rPr>
          <w:noProof/>
        </w:rPr>
        <w:t>Rubinstein (1976)</w:t>
      </w:r>
      <w:r w:rsidRPr="00222D46">
        <w:fldChar w:fldCharType="end"/>
      </w:r>
      <w:r w:rsidRPr="00222D46">
        <w:t xml:space="preserve">, </w:t>
      </w:r>
      <w:r w:rsidR="00800E89">
        <w:fldChar w:fldCharType="begin" w:fldLock="1"/>
      </w:r>
      <w:r w:rsidR="00AF43D6">
        <w:instrText>ADDIN CSL_CITATION { "citationItems" : [ { "id" : "ITEM-1", "itemData" : { "author" : [ { "dropping-particle" : "", "family" : "Lucas", "given" : "Robert E.", "non-dropping-particle" : "", "parse-names" : false, "suffix" : "" } ], "container-title" : "Econometrica", "id" : "ITEM-1", "issue" : "6", "issued" : { "date-parts" : [ [ "1978" ] ] }, "page" : "1429-1445", "title" : "Asset Prices in an Exchange Economy", "type" : "article-journal", "volume" : "46" }, "uris" : [ "http://www.mendeley.com/documents/?uuid=2cda2080-ed6f-460b-973a-405e8aba4c16" ] } ], "mendeley" : { "formattedCitation" : "(Lucas 1978)", "manualFormatting" : "Lucas (1978)", "plainTextFormattedCitation" : "(Lucas 1978)", "previouslyFormattedCitation" : "(Lucas 1978)" }, "properties" : { "noteIndex" : 0 }, "schema" : "https://github.com/citation-style-language/schema/raw/master/csl-citation.json" }</w:instrText>
      </w:r>
      <w:r w:rsidR="00800E89">
        <w:fldChar w:fldCharType="separate"/>
      </w:r>
      <w:r w:rsidR="000352AE">
        <w:rPr>
          <w:noProof/>
        </w:rPr>
        <w:t>Lucas</w:t>
      </w:r>
      <w:r w:rsidR="00800E89" w:rsidRPr="00800E89">
        <w:rPr>
          <w:noProof/>
        </w:rPr>
        <w:t xml:space="preserve"> </w:t>
      </w:r>
      <w:r w:rsidR="00800E89">
        <w:rPr>
          <w:noProof/>
        </w:rPr>
        <w:t>(</w:t>
      </w:r>
      <w:r w:rsidR="00800E89" w:rsidRPr="00800E89">
        <w:rPr>
          <w:noProof/>
        </w:rPr>
        <w:t>1978)</w:t>
      </w:r>
      <w:r w:rsidR="00800E89">
        <w:fldChar w:fldCharType="end"/>
      </w:r>
      <w:r>
        <w:t xml:space="preserve">, </w:t>
      </w:r>
      <w:r w:rsidR="00335017">
        <w:t>and</w:t>
      </w:r>
      <w:r w:rsidR="000352AE">
        <w:t xml:space="preserve"> </w:t>
      </w:r>
      <w:r w:rsidR="000352AE">
        <w:fldChar w:fldCharType="begin" w:fldLock="1"/>
      </w:r>
      <w:r w:rsidR="00AF43D6">
        <w:instrText>ADDIN CSL_CITATION { "citationItems" : [ { "id" : "ITEM-1", "itemData" : { "DOI" : "10.1016/0304-405X(79)90016-3", "ISSN" : "0304405X", "author" : [ { "dropping-particle" : "", "family" : "Breeden", "given" : "Douglas T.", "non-dropping-particle" : "", "parse-names" : false, "suffix" : "" } ], "container-title" : "Journal of Financial Economics", "id" : "ITEM-1", "issue" : "3", "issued" : { "date-parts" : [ [ "1979", "9" ] ] }, "page" : "265-296", "title" : "An Intertemporal Asset Pricing Model with Stochastic Consumption and Investment Opportunities", "type" : "article-journal", "volume" : "7" }, "uris" : [ "http://www.mendeley.com/documents/?uuid=77ce9645-4d3f-41ca-95cc-7704b416914e" ] } ], "mendeley" : { "formattedCitation" : "(Breeden 1979)", "manualFormatting" : "Breeden (1979)", "plainTextFormattedCitation" : "(Breeden 1979)", "previouslyFormattedCitation" : "(Breeden 1979)" }, "properties" : { "noteIndex" : 0 }, "schema" : "https://github.com/citation-style-language/schema/raw/master/csl-citation.json" }</w:instrText>
      </w:r>
      <w:r w:rsidR="000352AE">
        <w:fldChar w:fldCharType="separate"/>
      </w:r>
      <w:r w:rsidR="00637DFF" w:rsidRPr="00637DFF">
        <w:rPr>
          <w:noProof/>
        </w:rPr>
        <w:t xml:space="preserve">Breeden </w:t>
      </w:r>
      <w:r w:rsidR="00AF43D6">
        <w:rPr>
          <w:noProof/>
        </w:rPr>
        <w:t>(</w:t>
      </w:r>
      <w:r w:rsidR="00637DFF" w:rsidRPr="00637DFF">
        <w:rPr>
          <w:noProof/>
        </w:rPr>
        <w:t>1979)</w:t>
      </w:r>
      <w:r w:rsidR="000352AE">
        <w:fldChar w:fldCharType="end"/>
      </w:r>
      <w:r>
        <w:t xml:space="preserve"> </w:t>
      </w:r>
      <w:r w:rsidR="00335017">
        <w:t xml:space="preserve">provided an alternative way for pricing assets. </w:t>
      </w:r>
      <w:r w:rsidR="00B612B7">
        <w:t>In this version of</w:t>
      </w:r>
      <w:r>
        <w:t xml:space="preserve"> CCAPM, </w:t>
      </w:r>
      <w:r w:rsidR="00335017">
        <w:t>a representative agent seeks</w:t>
      </w:r>
      <w:r>
        <w:t xml:space="preserve"> to maximise the time-additive discounted utility </w:t>
      </w:r>
      <w:r w:rsidR="00335017">
        <w:t xml:space="preserve">as a function of </w:t>
      </w:r>
      <w:r>
        <w:t>stochastic consumption.</w:t>
      </w:r>
      <w:r w:rsidR="00B612B7">
        <w:t xml:space="preserve"> Furthermore,</w:t>
      </w:r>
      <w:r>
        <w:t xml:space="preserve"> </w:t>
      </w:r>
      <w:r w:rsidR="00B612B7">
        <w:t>i</w:t>
      </w:r>
      <w:r w:rsidR="00335017">
        <w:t xml:space="preserve">n </w:t>
      </w:r>
      <w:r w:rsidR="00C06213">
        <w:t>CCAPM,</w:t>
      </w:r>
      <w:r w:rsidR="00335017">
        <w:t xml:space="preserve"> </w:t>
      </w:r>
      <w:r w:rsidR="00252593">
        <w:t>a representative</w:t>
      </w:r>
      <w:r w:rsidR="00335017">
        <w:t xml:space="preserve"> </w:t>
      </w:r>
      <w:r>
        <w:t xml:space="preserve">agent is assumed </w:t>
      </w:r>
      <w:r w:rsidR="00BA32B7">
        <w:t xml:space="preserve">to </w:t>
      </w:r>
      <w:r>
        <w:t>smooth-out lifetime consumption by optimally allocating wealth between consumption and savings in different time periods. Th</w:t>
      </w:r>
      <w:r w:rsidR="00BA32B7">
        <w:t>e</w:t>
      </w:r>
      <w:r>
        <w:t xml:space="preserve"> classical form</w:t>
      </w:r>
      <w:r w:rsidR="00AA4965">
        <w:t xml:space="preserve"> of CCAPM</w:t>
      </w:r>
      <w:r w:rsidR="00BA32B7">
        <w:t xml:space="preserve"> attempts to explain the </w:t>
      </w:r>
      <w:r w:rsidR="00294809">
        <w:t>Equity Risk Premium (ERP)</w:t>
      </w:r>
      <w:r>
        <w:t xml:space="preserve"> </w:t>
      </w:r>
      <w:r w:rsidR="00BA32B7">
        <w:t xml:space="preserve">by </w:t>
      </w:r>
      <w:r>
        <w:t xml:space="preserve">the risk associated with </w:t>
      </w:r>
      <w:r w:rsidR="00BA32B7">
        <w:t xml:space="preserve">the </w:t>
      </w:r>
      <w:r>
        <w:t>inter-temporal marginal rate of subst</w:t>
      </w:r>
      <w:r w:rsidR="00F741EA">
        <w:t>itution of consumption</w:t>
      </w:r>
      <w:r w:rsidR="00BA32B7">
        <w:t>. However,</w:t>
      </w:r>
      <w:r w:rsidR="00252593">
        <w:t xml:space="preserve"> </w:t>
      </w:r>
      <w:r w:rsidR="00252593">
        <w:fldChar w:fldCharType="begin" w:fldLock="1"/>
      </w:r>
      <w:r w:rsidR="00252593">
        <w:instrText>ADDIN CSL_CITATION { "citationItems" : [ { "id" : "ITEM-1", "itemData" : { "DOI" : "10.1016/0304-3932(85)90061-3", "ISSN" : "0304-3932", "author" : [ { "dropping-particle" : "", "family" : "Mehra", "given" : "Rajnish", "non-dropping-particle" : "", "parse-names" : false, "suffix" : "" }, { "dropping-particle" : "", "family" : "Prescott", "given" : "EC Edward C.", "non-dropping-particle" : "", "parse-names" : false, "suffix" : "" } ], "container-title" : "Journal of Monetary Economics", "id" : "ITEM-1", "issue" : "2", "issued" : { "date-parts" : [ [ "1985", "3" ] ] }, "page" : "145-161", "title" : "The Equity Premium: A puzzle", "title-short" : "The equity premium", "type" : "article-journal", "volume" : "15" }, "uris" : [ "http://www.mendeley.com/documents/?uuid=03a469ce-602e-46d2-aa9d-79699969d105" ] } ], "mendeley" : { "formattedCitation" : "(Mehra and Prescott 1985)", "manualFormatting" : "Mehra and Prescott (1985)", "plainTextFormattedCitation" : "(Mehra and Prescott 1985)", "previouslyFormattedCitation" : "(Mehra and Prescott 1985)" }, "properties" : { "noteIndex" : 0 }, "schema" : "https://github.com/citation-style-language/schema/raw/master/csl-citation.json" }</w:instrText>
      </w:r>
      <w:r w:rsidR="00252593">
        <w:fldChar w:fldCharType="separate"/>
      </w:r>
      <w:r w:rsidR="00252593" w:rsidRPr="00252593">
        <w:rPr>
          <w:noProof/>
        </w:rPr>
        <w:t xml:space="preserve">Mehra and Prescott </w:t>
      </w:r>
      <w:r w:rsidR="00252593">
        <w:rPr>
          <w:noProof/>
        </w:rPr>
        <w:t>(</w:t>
      </w:r>
      <w:r w:rsidR="00252593" w:rsidRPr="00252593">
        <w:rPr>
          <w:noProof/>
        </w:rPr>
        <w:t>1985)</w:t>
      </w:r>
      <w:r w:rsidR="00252593">
        <w:fldChar w:fldCharType="end"/>
      </w:r>
      <w:r w:rsidR="000352AE">
        <w:t xml:space="preserve"> </w:t>
      </w:r>
      <w:r w:rsidR="00252593">
        <w:t xml:space="preserve"> </w:t>
      </w:r>
      <w:r w:rsidR="00BE1F8E">
        <w:t xml:space="preserve">find that </w:t>
      </w:r>
      <w:r w:rsidR="00BA32B7">
        <w:t xml:space="preserve">the classic from of CCAPM </w:t>
      </w:r>
      <w:r w:rsidR="00BE1F8E">
        <w:t xml:space="preserve">does not accurately </w:t>
      </w:r>
      <w:r w:rsidR="00630543">
        <w:t xml:space="preserve">match the model implied ERP with the observed ERP </w:t>
      </w:r>
      <w:r w:rsidR="00BE1F8E">
        <w:t xml:space="preserve">thus giving rise to the well-known ‘ERP puzzle’.  </w:t>
      </w:r>
      <w:r>
        <w:t xml:space="preserve"> </w:t>
      </w:r>
    </w:p>
    <w:p w:rsidR="00074F1D" w:rsidRPr="00F20217" w:rsidRDefault="00074F1D" w:rsidP="004A5752">
      <w:pPr>
        <w:spacing w:line="360" w:lineRule="auto"/>
      </w:pPr>
      <w:r>
        <w:t xml:space="preserve">Subsequently, many new consumption-based models have been proposed in which the canonical non-linear pricing factor </w:t>
      </w:r>
      <w:r w:rsidR="00BE1F8E">
        <w:t xml:space="preserve">has </w:t>
      </w:r>
      <w:r>
        <w:t>been replaced by approximate linear pricing factor</w:t>
      </w:r>
      <w:r w:rsidR="00BE1F8E">
        <w:t xml:space="preserve"> </w:t>
      </w:r>
      <w:r>
        <w:t xml:space="preserve"> </w:t>
      </w:r>
      <w:r w:rsidR="00BE1F8E">
        <w:t xml:space="preserve">which is </w:t>
      </w:r>
      <w:r w:rsidR="0074211E">
        <w:t>a</w:t>
      </w:r>
      <w:r>
        <w:t xml:space="preserve"> linear combination of consumption growth rate and some st</w:t>
      </w:r>
      <w:r w:rsidR="00EC3B9B">
        <w:t>ate variables</w:t>
      </w:r>
      <w:r w:rsidR="00BE1F8E">
        <w:t xml:space="preserve"> [</w:t>
      </w:r>
      <w:r w:rsidR="00EC3B9B">
        <w:t>See for example,</w:t>
      </w:r>
      <w:r>
        <w:t xml:space="preserve"> </w:t>
      </w:r>
      <w:r>
        <w:fldChar w:fldCharType="begin" w:fldLock="1"/>
      </w:r>
      <w:r w:rsidR="00AF43D6">
        <w:instrText>ADDIN CSL_CITATION { "citationItems" : [ { "id" : "ITEM-1", "itemData" : { "author" : [ { "dropping-particle" : "", "family" : "Lettau", "given" : "Martin", "non-dropping-particle" : "", "parse-names" : false, "suffix" : "" }, { "dropping-particle" : "", "family" : "Ludvigson", "given" : "S", "non-dropping-particle" : "", "parse-names" : false, "suffix" : "" } ], "container-title" : "Journal of Political Economy", "id" : "ITEM-1", "issue" : "6", "issued" : { "date-parts" : [ [ "2001" ] ] }, "page" : "1238-1287", "title" : "Resurrecting the (C) CAPM: A Cross-Sectional Test When Risk Premia are Time-Varying", "type" : "article-journal", "volume" : "109" }, "uris" : [ "http://www.mendeley.com/documents/?uuid=623d8b08-521c-4f42-8e50-72a0e0b4d6b6" ] } ], "mendeley" : { "formattedCitation" : "(Lettau and Ludvigson 2001a)", "manualFormatting" : "Lettau and  Ludvigson (2001a)", "plainTextFormattedCitation" : "(Lettau and Ludvigson 2001a)", "previouslyFormattedCitation" : "(Lettau and Ludvigson 2001a)" }, "properties" : { "noteIndex" : 0 }, "schema" : "https://github.com/citation-style-language/schema/raw/master/csl-citation.json" }</w:instrText>
      </w:r>
      <w:r>
        <w:fldChar w:fldCharType="separate"/>
      </w:r>
      <w:r>
        <w:rPr>
          <w:noProof/>
        </w:rPr>
        <w:t xml:space="preserve">Lettau and </w:t>
      </w:r>
      <w:r w:rsidRPr="00384599">
        <w:rPr>
          <w:noProof/>
        </w:rPr>
        <w:t xml:space="preserve"> Ludvigson </w:t>
      </w:r>
      <w:r>
        <w:rPr>
          <w:noProof/>
        </w:rPr>
        <w:t>(</w:t>
      </w:r>
      <w:r w:rsidRPr="00384599">
        <w:rPr>
          <w:noProof/>
        </w:rPr>
        <w:t>2001</w:t>
      </w:r>
      <w:r>
        <w:rPr>
          <w:noProof/>
        </w:rPr>
        <w:t>a</w:t>
      </w:r>
      <w:r w:rsidRPr="00384599">
        <w:rPr>
          <w:noProof/>
        </w:rPr>
        <w:t>)</w:t>
      </w:r>
      <w:r>
        <w:fldChar w:fldCharType="end"/>
      </w:r>
      <w:r>
        <w:t xml:space="preserve">, </w:t>
      </w:r>
      <w:r>
        <w:fldChar w:fldCharType="begin" w:fldLock="1"/>
      </w:r>
      <w:r w:rsidR="00AF43D6">
        <w:instrText>ADDIN CSL_CITATION { "citationItems" : [ { "id" : "ITEM-1", "itemData" : { "author" : [ { "dropping-particle" : "", "family" : "Lettau", "given" : "Martin", "non-dropping-particle" : "", "parse-names" : false, "suffix" : "" }, { "dropping-particle" : "", "family" : "Ludvigson", "given" : "Sydney", "non-dropping-particle" : "", "parse-names" : false, "suffix" : "" } ], "container-title" : "The Journal of Finance", "id" : "ITEM-1", "issue" : "3", "issued" : { "date-parts" : [ [ "2001" ] ] }, "page" : "815-849", "title" : "Consumption, Aggregate Wealth, and Expected Stock Returns", "type" : "article-journal", "volume" : "56" }, "uris" : [ "http://www.mendeley.com/documents/?uuid=f8b0320e-950b-4dfa-aa63-bd227834990d" ] } ], "mendeley" : { "formattedCitation" : "(Lettau and Ludvigson 2001b)", "manualFormatting" : "Lettau and Ludvigson (2001b)", "plainTextFormattedCitation" : "(Lettau and Ludvigson 2001b)", "previouslyFormattedCitation" : "(Lettau and Ludvigson 2001b)" }, "properties" : { "noteIndex" : 0 }, "schema" : "https://github.com/citation-style-language/schema/raw/master/csl-citation.json" }</w:instrText>
      </w:r>
      <w:r>
        <w:fldChar w:fldCharType="separate"/>
      </w:r>
      <w:r>
        <w:rPr>
          <w:noProof/>
        </w:rPr>
        <w:t xml:space="preserve">Lettau and </w:t>
      </w:r>
      <w:r w:rsidRPr="006E624E">
        <w:rPr>
          <w:noProof/>
        </w:rPr>
        <w:t xml:space="preserve">Ludvigson </w:t>
      </w:r>
      <w:r>
        <w:rPr>
          <w:noProof/>
        </w:rPr>
        <w:t>(</w:t>
      </w:r>
      <w:r w:rsidRPr="006E624E">
        <w:rPr>
          <w:noProof/>
        </w:rPr>
        <w:t>2001</w:t>
      </w:r>
      <w:r>
        <w:rPr>
          <w:noProof/>
        </w:rPr>
        <w:t>b</w:t>
      </w:r>
      <w:r w:rsidRPr="006E624E">
        <w:rPr>
          <w:noProof/>
        </w:rPr>
        <w:t>)</w:t>
      </w:r>
      <w:r>
        <w:fldChar w:fldCharType="end"/>
      </w:r>
      <w:r>
        <w:t xml:space="preserve">, </w:t>
      </w:r>
      <w:r w:rsidRPr="00222D46">
        <w:fldChar w:fldCharType="begin" w:fldLock="1"/>
      </w:r>
      <w:r w:rsidR="00AF43D6">
        <w:instrText>ADDIN CSL_CITATION { "citationItems" : [ { "id" : "ITEM-1", "itemData" : { "author" : [ { "dropping-particle" : "", "family" : "Jacobs", "given" : "Kris", "non-dropping-particle" : "", "parse-names" : false, "suffix" : "" }, { "dropping-particle" : "", "family" : "Wang", "given" : "KQ", "non-dropping-particle" : "", "parse-names" : false, "suffix" : "" } ], "container-title" : "The Journal of Finance", "id" : "ITEM-1", "issue" : "5", "issued" : { "date-parts" : [ [ "2004" ] ] }, "page" : "2211-2252", "title" : "Idiosyncratic Consumption Risk and the Cross Section of Asset Returns", "type" : "article-journal", "volume" : "59" }, "uris" : [ "http://www.mendeley.com/documents/?uuid=cfaec5e9-ef84-423a-9963-273d5c32c847" ] } ], "mendeley" : { "formattedCitation" : "(Jacobs and Wang 2004)", "manualFormatting" : "Jacobs and Wang (2004)", "plainTextFormattedCitation" : "(Jacobs and Wang 2004)", "previouslyFormattedCitation" : "(Jacobs and Wang 2004)" }, "properties" : { "noteIndex" : 0 }, "schema" : "https://github.com/citation-style-language/schema/raw/master/csl-citation.json" }</w:instrText>
      </w:r>
      <w:r w:rsidRPr="00222D46">
        <w:fldChar w:fldCharType="separate"/>
      </w:r>
      <w:r w:rsidRPr="00222D46">
        <w:rPr>
          <w:noProof/>
        </w:rPr>
        <w:t>Jacobs and Wang (2004)</w:t>
      </w:r>
      <w:r w:rsidRPr="00222D46">
        <w:fldChar w:fldCharType="end"/>
      </w:r>
      <w:r w:rsidR="00BE1F8E">
        <w:t>]</w:t>
      </w:r>
      <w:r>
        <w:t xml:space="preserve">. </w:t>
      </w:r>
      <w:r>
        <w:fldChar w:fldCharType="begin" w:fldLock="1"/>
      </w:r>
      <w:r w:rsidR="00AF43D6">
        <w:instrText>ADDIN CSL_CITATION { "citationItems" : [ { "id" : "ITEM-1", "itemData" : { "author" : [ { "dropping-particle" : "", "family" : "Lettau", "given" : "Martin", "non-dropping-particle" : "", "parse-names" : false, "suffix" : "" }, { "dropping-particle" : "", "family" : "Ludvigson", "given" : "Sydney", "non-dropping-particle" : "", "parse-names" : false, "suffix" : "" } ], "container-title" : "The Journal of Finance", "id" : "ITEM-1", "issue" : "3", "issued" : { "date-parts" : [ [ "2001" ] ] }, "page" : "815-849", "title" : "Consumption, Aggregate Wealth, and Expected Stock Returns", "type" : "article-journal", "volume" : "56" }, "uris" : [ "http://www.mendeley.com/documents/?uuid=f8b0320e-950b-4dfa-aa63-bd227834990d" ] } ], "mendeley" : { "formattedCitation" : "(Lettau and Ludvigson 2001b)", "manualFormatting" : "Lettau and Ludvigson (2001b)", "plainTextFormattedCitation" : "(Lettau and Ludvigson 2001b)", "previouslyFormattedCitation" : "(Lettau and Ludvigson 2001b)" }, "properties" : { "noteIndex" : 0 }, "schema" : "https://github.com/citation-style-language/schema/raw/master/csl-citation.json" }</w:instrText>
      </w:r>
      <w:r>
        <w:fldChar w:fldCharType="separate"/>
      </w:r>
      <w:r>
        <w:rPr>
          <w:noProof/>
        </w:rPr>
        <w:t xml:space="preserve">Lettau and </w:t>
      </w:r>
      <w:r w:rsidRPr="006E624E">
        <w:rPr>
          <w:noProof/>
        </w:rPr>
        <w:t xml:space="preserve">Ludvigson </w:t>
      </w:r>
      <w:r>
        <w:rPr>
          <w:noProof/>
        </w:rPr>
        <w:t>(</w:t>
      </w:r>
      <w:r w:rsidRPr="006E624E">
        <w:rPr>
          <w:noProof/>
        </w:rPr>
        <w:t>2001</w:t>
      </w:r>
      <w:r>
        <w:rPr>
          <w:noProof/>
        </w:rPr>
        <w:t>b</w:t>
      </w:r>
      <w:r w:rsidRPr="006E624E">
        <w:rPr>
          <w:noProof/>
        </w:rPr>
        <w:t>)</w:t>
      </w:r>
      <w:r>
        <w:fldChar w:fldCharType="end"/>
      </w:r>
      <w:r>
        <w:t xml:space="preserve"> show that agent’s consumption (c), asset wealth (a) and income (y) are cointegrated and </w:t>
      </w:r>
      <w:r w:rsidR="00F741EA">
        <w:t>transitory</w:t>
      </w:r>
      <w:r>
        <w:t xml:space="preserve"> </w:t>
      </w:r>
      <w:r w:rsidR="00D53E77">
        <w:t>deviations defined as ‘</w:t>
      </w:r>
      <w:r w:rsidRPr="003E7067">
        <w:rPr>
          <w:i/>
        </w:rPr>
        <w:t>cay</w:t>
      </w:r>
      <w:r w:rsidR="00D53E77" w:rsidRPr="00D53E77">
        <w:t>’</w:t>
      </w:r>
      <w:r>
        <w:t xml:space="preserve"> </w:t>
      </w:r>
      <w:r w:rsidR="00D53E77">
        <w:t xml:space="preserve">is able to </w:t>
      </w:r>
      <w:r>
        <w:t>predict excess returns.</w:t>
      </w:r>
      <w:r w:rsidR="00F20217">
        <w:t xml:space="preserve"> </w:t>
      </w:r>
      <w:r w:rsidRPr="00222D46">
        <w:fldChar w:fldCharType="begin" w:fldLock="1"/>
      </w:r>
      <w:r w:rsidR="00AF43D6">
        <w:instrText>ADDIN CSL_CITATION { "citationItems" : [ { "id" : "ITEM-1", "itemData" : { "author" : [ { "dropping-particle" : "", "family" : "Jacobs", "given" : "Kris", "non-dropping-particle" : "", "parse-names" : false, "suffix" : "" }, { "dropping-particle" : "", "family" : "Wang", "given" : "KQ", "non-dropping-particle" : "", "parse-names" : false, "suffix" : "" } ], "container-title" : "The Journal of Finance", "id" : "ITEM-1", "issue" : "5", "issued" : { "date-parts" : [ [ "2004" ] ] }, "page" : "2211-2252", "title" : "Idiosyncratic Consumption Risk and the Cross Section of Asset Returns", "type" : "article-journal", "volume" : "59" }, "uris" : [ "http://www.mendeley.com/documents/?uuid=cfaec5e9-ef84-423a-9963-273d5c32c847" ] } ], "mendeley" : { "formattedCitation" : "(Jacobs and Wang 2004)", "manualFormatting" : "Jacobs and Wang (2004)", "plainTextFormattedCitation" : "(Jacobs and Wang 2004)", "previouslyFormattedCitation" : "(Jacobs and Wang 2004)" }, "properties" : { "noteIndex" : 0 }, "schema" : "https://github.com/citation-style-language/schema/raw/master/csl-citation.json" }</w:instrText>
      </w:r>
      <w:r w:rsidRPr="00222D46">
        <w:fldChar w:fldCharType="separate"/>
      </w:r>
      <w:r w:rsidRPr="00222D46">
        <w:rPr>
          <w:noProof/>
        </w:rPr>
        <w:t>Jacobs and Wang (2004)</w:t>
      </w:r>
      <w:r w:rsidRPr="00222D46">
        <w:fldChar w:fldCharType="end"/>
      </w:r>
      <w:r w:rsidRPr="00222D46">
        <w:t xml:space="preserve"> show that when the stochastic discount factor is expressed as </w:t>
      </w:r>
      <w:r w:rsidR="00A35C31">
        <w:t xml:space="preserve">a </w:t>
      </w:r>
      <w:r w:rsidRPr="00222D46">
        <w:t xml:space="preserve">linear function of the first two moments of consumption growth rate, then </w:t>
      </w:r>
      <w:r w:rsidR="00A35C31">
        <w:t>t</w:t>
      </w:r>
      <w:r w:rsidR="00D53E77">
        <w:t xml:space="preserve">hese factors </w:t>
      </w:r>
      <w:r w:rsidRPr="00222D46">
        <w:t>help explain the variations in the cross-sectional stock returns</w:t>
      </w:r>
      <w:r w:rsidR="00A35C31">
        <w:t xml:space="preserve">. </w:t>
      </w:r>
      <w:r w:rsidR="00F20217">
        <w:fldChar w:fldCharType="begin" w:fldLock="1"/>
      </w:r>
      <w:r w:rsidR="00AF43D6">
        <w:instrText>ADDIN CSL_CITATION { "citationItems" : [ { "id" : "ITEM-1", "itemData" : { "DOI" : "10.1016/j.jempfin.2009.10.003", "ISSN" : "09275398", "abstract" : "This paper re-examines the predictive ability of the consumption-wealth ratio (cay) on the equity premium using hand-collected annual data spanning one century for four major economies. In addition to statistical tests of out-of-sample forecast accuracy, we measure the economic value of the predictive information in cay in a stylized asset allocation strategy. We find that cay does not contain predictive power prior to World War II, when a structural break occurs for all countries. In the postwar period, while statistical tests provide mixed evidence, economic criteria uncover substantial predictive power in cay, further enhanced when allowing for economically meaningful restrictions. ?? 2009 Elsevier B.V.", "author" : [ { "dropping-particle" : "", "family" : "Corte", "given" : "Pasquale", "non-dropping-particle" : "Della", "parse-names" : false, "suffix" : "" }, { "dropping-particle" : "", "family" : "Sarno", "given" : "Lucio", "non-dropping-particle" : "", "parse-names" : false, "suffix" : "" }, { "dropping-particle" : "", "family" : "Valente", "given" : "Giorgio", "non-dropping-particle" : "", "parse-names" : false, "suffix" : "" } ], "container-title" : "Journal of Empirical Finance", "id" : "ITEM-1", "issue" : "3", "issued" : { "date-parts" : [ [ "2010" ] ] }, "page" : "313-331", "title" : "A Century of Equity Premium Predictability and the Consumption-Wealth Ratio: An International Perspective", "type" : "article-journal", "volume" : "17" }, "uris" : [ "http://www.mendeley.com/documents/?uuid=5f54fb35-fafe-4ecf-aebc-b2e7397047fa", "http://www.mendeley.com/documents/?uuid=a14c0e60-f124-436f-aa38-8f94dfc2d750" ] } ], "mendeley" : { "formattedCitation" : "(Della Corte, Sarno, and Valente 2010)", "manualFormatting" : "Della Corte, Sarno and Valente, (2010)", "plainTextFormattedCitation" : "(Della Corte, Sarno, and Valente 2010)", "previouslyFormattedCitation" : "(Della Corte, Sarno, and Valente 2010)" }, "properties" : { "noteIndex" : 0 }, "schema" : "https://github.com/citation-style-language/schema/raw/master/csl-citation.json" }</w:instrText>
      </w:r>
      <w:r w:rsidR="00F20217">
        <w:fldChar w:fldCharType="separate"/>
      </w:r>
      <w:r w:rsidR="00F20217" w:rsidRPr="00F20217">
        <w:rPr>
          <w:noProof/>
        </w:rPr>
        <w:t xml:space="preserve">Della Corte, Sarno and Valente, </w:t>
      </w:r>
      <w:r w:rsidR="00F20217">
        <w:rPr>
          <w:noProof/>
        </w:rPr>
        <w:t>(</w:t>
      </w:r>
      <w:r w:rsidR="00F20217" w:rsidRPr="00F20217">
        <w:rPr>
          <w:noProof/>
        </w:rPr>
        <w:t>2010)</w:t>
      </w:r>
      <w:r w:rsidR="00F20217">
        <w:fldChar w:fldCharType="end"/>
      </w:r>
      <w:r w:rsidR="00F20217">
        <w:t xml:space="preserve"> provide mixed evidence of predictive ability of </w:t>
      </w:r>
      <w:r w:rsidR="00D53E77">
        <w:t>‘</w:t>
      </w:r>
      <w:r w:rsidR="00F20217">
        <w:rPr>
          <w:i/>
        </w:rPr>
        <w:t>cay</w:t>
      </w:r>
      <w:r w:rsidR="00D53E77">
        <w:t>’</w:t>
      </w:r>
      <w:r w:rsidR="00F20217">
        <w:rPr>
          <w:i/>
        </w:rPr>
        <w:t xml:space="preserve"> </w:t>
      </w:r>
      <w:r w:rsidR="00F20217">
        <w:t>over a period of one hundred years in four major economies.</w:t>
      </w:r>
      <w:r w:rsidR="00EC3B9B">
        <w:t xml:space="preserve"> </w:t>
      </w:r>
      <w:r w:rsidR="00EC3B9B">
        <w:fldChar w:fldCharType="begin" w:fldLock="1"/>
      </w:r>
      <w:r w:rsidR="00AF43D6">
        <w:instrText>ADDIN CSL_CITATION { "citationItems" : [ { "id" : "ITEM-1", "itemData" : { "DOI" : "10.1016/j.jempfin.2010.02.001", "ISSN" : "09275398", "author" : [ { "dropping-particle" : "", "family" : "Sousa", "given" : "Ricardo M.", "non-dropping-particle" : "", "parse-names" : false, "suffix" : "" } ], "container-title" : "Journal of Empirical Finance", "id" : "ITEM-1", "issue" : "4", "issued" : { "date-parts" : [ [ "2010", "9" ] ] }, "page" : "606-622", "publisher" : "Elsevier B.V.", "title" : "Consumption, (Dis)aggregate Wealth, and Asset Returns", "type" : "article-journal", "volume" : "17" }, "uris" : [ "http://www.mendeley.com/documents/?uuid=3073f283-4e54-4708-929e-183f04081102", "http://www.mendeley.com/documents/?uuid=a60cc142-8616-4582-a00b-60061a529ee0" ] } ], "mendeley" : { "formattedCitation" : "(Sousa 2010)", "manualFormatting" : "Sousa (2010)", "plainTextFormattedCitation" : "(Sousa 2010)", "previouslyFormattedCitation" : "(Sousa 2010)" }, "properties" : { "noteIndex" : 0 }, "schema" : "https://github.com/citation-style-language/schema/raw/master/csl-citation.json" }</w:instrText>
      </w:r>
      <w:r w:rsidR="00EC3B9B">
        <w:fldChar w:fldCharType="separate"/>
      </w:r>
      <w:r w:rsidR="00EC3B9B" w:rsidRPr="00474D38">
        <w:rPr>
          <w:noProof/>
        </w:rPr>
        <w:t xml:space="preserve">Sousa </w:t>
      </w:r>
      <w:r w:rsidR="00EC3B9B">
        <w:rPr>
          <w:noProof/>
        </w:rPr>
        <w:t>(</w:t>
      </w:r>
      <w:r w:rsidR="00EC3B9B" w:rsidRPr="00474D38">
        <w:rPr>
          <w:noProof/>
        </w:rPr>
        <w:t>2010)</w:t>
      </w:r>
      <w:r w:rsidR="00EC3B9B">
        <w:fldChar w:fldCharType="end"/>
      </w:r>
      <w:r w:rsidR="00EC3B9B">
        <w:t xml:space="preserve"> extends the work of </w:t>
      </w:r>
      <w:r w:rsidR="00EC3B9B">
        <w:fldChar w:fldCharType="begin" w:fldLock="1"/>
      </w:r>
      <w:r w:rsidR="00AF43D6">
        <w:instrText>ADDIN CSL_CITATION { "citationItems" : [ { "id" : "ITEM-1", "itemData" : { "author" : [ { "dropping-particle" : "", "family" : "Lettau", "given" : "Martin", "non-dropping-particle" : "", "parse-names" : false, "suffix" : "" }, { "dropping-particle" : "", "family" : "Ludvigson", "given" : "Sydney", "non-dropping-particle" : "", "parse-names" : false, "suffix" : "" } ], "container-title" : "The Journal of Finance", "id" : "ITEM-1", "issue" : "3", "issued" : { "date-parts" : [ [ "2001" ] ] }, "page" : "815-849", "title" : "Consumption, Aggregate Wealth, and Expected Stock Returns", "type" : "article-journal", "volume" : "56" }, "uris" : [ "http://www.mendeley.com/documents/?uuid=f8b0320e-950b-4dfa-aa63-bd227834990d" ] } ], "mendeley" : { "formattedCitation" : "(Lettau and Ludvigson 2001b)", "manualFormatting" : "Lettau and Ludvigson (2001b)", "plainTextFormattedCitation" : "(Lettau and Ludvigson 2001b)", "previouslyFormattedCitation" : "(Lettau and Ludvigson 2001b)" }, "properties" : { "noteIndex" : 0 }, "schema" : "https://github.com/citation-style-language/schema/raw/master/csl-citation.json" }</w:instrText>
      </w:r>
      <w:r w:rsidR="00EC3B9B">
        <w:fldChar w:fldCharType="separate"/>
      </w:r>
      <w:r w:rsidR="00EC3B9B">
        <w:rPr>
          <w:noProof/>
        </w:rPr>
        <w:t xml:space="preserve">Lettau and </w:t>
      </w:r>
      <w:r w:rsidR="00EC3B9B" w:rsidRPr="006E624E">
        <w:rPr>
          <w:noProof/>
        </w:rPr>
        <w:t xml:space="preserve">Ludvigson </w:t>
      </w:r>
      <w:r w:rsidR="00EC3B9B">
        <w:rPr>
          <w:noProof/>
        </w:rPr>
        <w:t>(</w:t>
      </w:r>
      <w:r w:rsidR="00EC3B9B" w:rsidRPr="006E624E">
        <w:rPr>
          <w:noProof/>
        </w:rPr>
        <w:t>2001</w:t>
      </w:r>
      <w:r w:rsidR="00EC3B9B">
        <w:rPr>
          <w:noProof/>
        </w:rPr>
        <w:t>b</w:t>
      </w:r>
      <w:r w:rsidR="00EC3B9B" w:rsidRPr="006E624E">
        <w:rPr>
          <w:noProof/>
        </w:rPr>
        <w:t>)</w:t>
      </w:r>
      <w:r w:rsidR="00EC3B9B">
        <w:fldChar w:fldCharType="end"/>
      </w:r>
      <w:r w:rsidR="00EC3B9B">
        <w:t xml:space="preserve"> and show tha</w:t>
      </w:r>
      <w:r w:rsidR="009F44D1">
        <w:t xml:space="preserve">t the transitory deviations in the long-run relationship </w:t>
      </w:r>
      <w:r w:rsidR="00EC3B9B">
        <w:t xml:space="preserve">between consumption, asset wealth, housing wealth and income </w:t>
      </w:r>
      <w:r w:rsidR="00EC3B9B" w:rsidRPr="00EC3B9B">
        <w:rPr>
          <w:i/>
        </w:rPr>
        <w:t>(</w:t>
      </w:r>
      <w:r w:rsidR="00EC3B9B">
        <w:rPr>
          <w:i/>
        </w:rPr>
        <w:t>“</w:t>
      </w:r>
      <w:r w:rsidR="00EC3B9B" w:rsidRPr="00EC3B9B">
        <w:rPr>
          <w:i/>
        </w:rPr>
        <w:t>cday</w:t>
      </w:r>
      <w:r w:rsidR="00EC3B9B">
        <w:rPr>
          <w:i/>
        </w:rPr>
        <w:t>”</w:t>
      </w:r>
      <w:r w:rsidR="009F44D1">
        <w:t xml:space="preserve"> variable) </w:t>
      </w:r>
      <w:r w:rsidR="00D53E77">
        <w:t xml:space="preserve">is able to </w:t>
      </w:r>
      <w:r w:rsidR="009F44D1">
        <w:t>better predict</w:t>
      </w:r>
      <w:r w:rsidR="00EC3B9B">
        <w:t xml:space="preserve"> US and UK quarterly </w:t>
      </w:r>
      <w:r w:rsidR="009F44D1">
        <w:t xml:space="preserve">excess </w:t>
      </w:r>
      <w:r w:rsidR="00EC3B9B">
        <w:t xml:space="preserve">stock returns. His result suggests that housing wealth has persistent impact on consumption than financial wealth and therefore the long-term risk in these variables help </w:t>
      </w:r>
      <w:r w:rsidR="009F44D1">
        <w:t>drive</w:t>
      </w:r>
      <w:r w:rsidR="00EC3B9B">
        <w:t xml:space="preserve"> the </w:t>
      </w:r>
      <w:r w:rsidR="00BE6704">
        <w:t xml:space="preserve">excess </w:t>
      </w:r>
      <w:r w:rsidR="00EC3B9B">
        <w:t>stock returns.</w:t>
      </w:r>
    </w:p>
    <w:p w:rsidR="00074F1D" w:rsidRDefault="00074F1D" w:rsidP="004A5752">
      <w:pPr>
        <w:spacing w:line="360" w:lineRule="auto"/>
      </w:pPr>
      <w:r>
        <w:t>Further, the Long-</w:t>
      </w:r>
      <w:r w:rsidR="005B050B">
        <w:t>r</w:t>
      </w:r>
      <w:r>
        <w:t xml:space="preserve">un Risk model of </w:t>
      </w:r>
      <w:r>
        <w:fldChar w:fldCharType="begin" w:fldLock="1"/>
      </w:r>
      <w:r w:rsidR="00AF43D6">
        <w:instrText>ADDIN CSL_CITATION { "citationItems" : [ { "id" : "ITEM-1", "itemData" : { "author" : [ { "dropping-particle" : "", "family" : "Bansal", "given" : "Ravi", "non-dropping-particle" : "", "parse-names" : false, "suffix" : "" }, { "dropping-particle" : "", "family" : "Yaron", "given" : "Amir", "non-dropping-particle" : "", "parse-names" : false, "suffix" : "" } ], "container-title" : "The Journal of Finance", "id" : "ITEM-1", "issue" : "4", "issued" : { "date-parts" : [ [ "2004" ] ] }, "page" : "1481-1510", "title" : "Risks for the Long Run : A Potential Resolution of Asset Pricing Puzzles", "type" : "article-journal", "volume" : "59" }, "uris" : [ "http://www.mendeley.com/documents/?uuid=7d6b2e3b-5451-4d69-90f3-6f8c60fb5958" ] } ], "mendeley" : { "formattedCitation" : "(Bansal and Yaron 2004)", "manualFormatting" : "Bansal and Yaron, (2004)", "plainTextFormattedCitation" : "(Bansal and Yaron 2004)", "previouslyFormattedCitation" : "(Bansal and Yaron 2004)" }, "properties" : { "noteIndex" : 0 }, "schema" : "https://github.com/citation-style-language/schema/raw/master/csl-citation.json" }</w:instrText>
      </w:r>
      <w:r>
        <w:fldChar w:fldCharType="separate"/>
      </w:r>
      <w:r w:rsidRPr="003E531D">
        <w:rPr>
          <w:noProof/>
        </w:rPr>
        <w:t>Bansal and Yaron</w:t>
      </w:r>
      <w:r>
        <w:rPr>
          <w:noProof/>
        </w:rPr>
        <w:t>,</w:t>
      </w:r>
      <w:r w:rsidRPr="003E531D">
        <w:rPr>
          <w:noProof/>
        </w:rPr>
        <w:t xml:space="preserve"> </w:t>
      </w:r>
      <w:r>
        <w:rPr>
          <w:noProof/>
        </w:rPr>
        <w:t>(</w:t>
      </w:r>
      <w:r w:rsidRPr="003E531D">
        <w:rPr>
          <w:noProof/>
        </w:rPr>
        <w:t>2004)</w:t>
      </w:r>
      <w:r>
        <w:fldChar w:fldCharType="end"/>
      </w:r>
      <w:r>
        <w:t xml:space="preserve"> imply that </w:t>
      </w:r>
      <w:r w:rsidR="005B050B">
        <w:t xml:space="preserve">if </w:t>
      </w:r>
      <w:r w:rsidR="005D3D77">
        <w:t xml:space="preserve">volatility </w:t>
      </w:r>
      <w:r>
        <w:t xml:space="preserve">shocks </w:t>
      </w:r>
      <w:r w:rsidR="005D3D77">
        <w:t xml:space="preserve">to </w:t>
      </w:r>
      <w:r>
        <w:t xml:space="preserve">consumption are persistent and </w:t>
      </w:r>
      <w:r w:rsidR="005B050B">
        <w:t xml:space="preserve">are </w:t>
      </w:r>
      <w:r>
        <w:t>observ</w:t>
      </w:r>
      <w:r w:rsidR="005B050B">
        <w:t xml:space="preserve">able, then their impact </w:t>
      </w:r>
      <w:r w:rsidR="00161D82">
        <w:t>s</w:t>
      </w:r>
      <w:r>
        <w:t>hould be reflected in the asset prices. Extending the</w:t>
      </w:r>
      <w:r w:rsidR="00161D82">
        <w:t>ir</w:t>
      </w:r>
      <w:r>
        <w:t xml:space="preserve"> </w:t>
      </w:r>
      <w:r w:rsidR="00161D82">
        <w:t>L</w:t>
      </w:r>
      <w:r>
        <w:t xml:space="preserve">ong-run </w:t>
      </w:r>
      <w:r w:rsidR="00161D82">
        <w:t>R</w:t>
      </w:r>
      <w:r>
        <w:t xml:space="preserve">isk model, </w:t>
      </w:r>
      <w:r>
        <w:fldChar w:fldCharType="begin" w:fldLock="1"/>
      </w:r>
      <w:r w:rsidR="00AF43D6">
        <w:instrText>ADDIN CSL_CITATION { "citationItems" : [ { "id" : "ITEM-1", "itemData" : { "author" : [ { "dropping-particle" : "", "family" : "Bansal", "given" : "Ravi", "non-dropping-particle" : "", "parse-names" : false, "suffix" : "" }, { "dropping-particle" : "", "family" : "Dittmar", "given" : "Robert", "non-dropping-particle" : "", "parse-names" : false, "suffix" : "" }, { "dropping-particle" : "", "family" : "Kiku", "given" : "Dana", "non-dropping-particle" : "", "parse-names" : false, "suffix" : "" } ], "container-title" : "The Review of Financial Studies", "id" : "ITEM-1", "issue" : "3", "issued" : { "date-parts" : [ [ "2009" ] ] }, "page" : "1343-1375", "title" : "Cointegration and Consumption Risks in Asset Returns", "type" : "article-journal", "volume" : "22" }, "uris" : [ "http://www.mendeley.com/documents/?uuid=71d1b4f4-e8fc-41ad-86fb-56a20ecc3ebd", "http://www.mendeley.com/documents/?uuid=51a074b9-41b7-4c14-98a9-e63e34b10b59" ] } ], "mendeley" : { "formattedCitation" : "(Bansal, Dittmar, and Kiku 2009)", "manualFormatting" : "Bansal, Dittmar and Kiku, (2009)", "plainTextFormattedCitation" : "(Bansal, Dittmar, and Kiku 2009)", "previouslyFormattedCitation" : "(Bansal, Dittmar, and Kiku 2009)" }, "properties" : { "noteIndex" : 0 }, "schema" : "https://github.com/citation-style-language/schema/raw/master/csl-citation.json" }</w:instrText>
      </w:r>
      <w:r>
        <w:fldChar w:fldCharType="separate"/>
      </w:r>
      <w:r w:rsidRPr="00C92486">
        <w:rPr>
          <w:noProof/>
        </w:rPr>
        <w:t xml:space="preserve">Bansal, Dittmar and Kiku, </w:t>
      </w:r>
      <w:r>
        <w:rPr>
          <w:noProof/>
        </w:rPr>
        <w:t>(</w:t>
      </w:r>
      <w:r w:rsidRPr="00C92486">
        <w:rPr>
          <w:noProof/>
        </w:rPr>
        <w:t>2009)</w:t>
      </w:r>
      <w:r>
        <w:fldChar w:fldCharType="end"/>
      </w:r>
      <w:r>
        <w:t xml:space="preserve"> further show that incorporating the long-run relation between consumption and dividends can significantly explain the cross-sectional variance of asset risk premia at long</w:t>
      </w:r>
      <w:r w:rsidR="00161D82">
        <w:t>-term</w:t>
      </w:r>
      <w:r>
        <w:t xml:space="preserve"> investment horizons.</w:t>
      </w:r>
    </w:p>
    <w:p w:rsidR="00074F1D" w:rsidRDefault="00C1176C" w:rsidP="004A5752">
      <w:pPr>
        <w:spacing w:line="360" w:lineRule="auto"/>
        <w:rPr>
          <w:color w:val="000000" w:themeColor="text1"/>
        </w:rPr>
      </w:pPr>
      <w:r>
        <w:rPr>
          <w:color w:val="000000" w:themeColor="text1"/>
        </w:rPr>
        <w:t xml:space="preserve">Despite extensive work on </w:t>
      </w:r>
      <w:r w:rsidR="00C06213">
        <w:rPr>
          <w:color w:val="000000" w:themeColor="text1"/>
        </w:rPr>
        <w:t>consumption-based</w:t>
      </w:r>
      <w:r>
        <w:rPr>
          <w:color w:val="000000" w:themeColor="text1"/>
        </w:rPr>
        <w:t xml:space="preserve"> asset pricing, t</w:t>
      </w:r>
      <w:r w:rsidR="00D259C5">
        <w:rPr>
          <w:color w:val="000000" w:themeColor="text1"/>
        </w:rPr>
        <w:t xml:space="preserve">he extant literature ignores </w:t>
      </w:r>
      <w:r w:rsidR="00074F1D" w:rsidRPr="0002156D">
        <w:rPr>
          <w:color w:val="000000" w:themeColor="text1"/>
        </w:rPr>
        <w:t xml:space="preserve">the role of monetary </w:t>
      </w:r>
      <w:r w:rsidR="00C06213" w:rsidRPr="0002156D">
        <w:rPr>
          <w:color w:val="000000" w:themeColor="text1"/>
        </w:rPr>
        <w:t>policy, which</w:t>
      </w:r>
      <w:r w:rsidR="00D259C5">
        <w:rPr>
          <w:color w:val="000000" w:themeColor="text1"/>
        </w:rPr>
        <w:t xml:space="preserve"> has a significant impact on the investors’ </w:t>
      </w:r>
      <w:r w:rsidR="003027F9">
        <w:rPr>
          <w:color w:val="000000" w:themeColor="text1"/>
        </w:rPr>
        <w:t xml:space="preserve">consumption </w:t>
      </w:r>
      <w:r w:rsidR="00D259C5">
        <w:rPr>
          <w:color w:val="000000" w:themeColor="text1"/>
        </w:rPr>
        <w:t xml:space="preserve">choices. </w:t>
      </w:r>
      <w:r w:rsidR="003027F9">
        <w:rPr>
          <w:color w:val="000000" w:themeColor="text1"/>
        </w:rPr>
        <w:t>The classical</w:t>
      </w:r>
      <w:r w:rsidR="00074F1D" w:rsidRPr="0002156D">
        <w:rPr>
          <w:color w:val="000000" w:themeColor="text1"/>
        </w:rPr>
        <w:t xml:space="preserve"> consumption-wealth channel postulates that </w:t>
      </w:r>
      <w:r w:rsidR="00D259C5">
        <w:rPr>
          <w:color w:val="000000" w:themeColor="text1"/>
        </w:rPr>
        <w:t xml:space="preserve">the </w:t>
      </w:r>
      <w:r w:rsidR="00D259C5" w:rsidRPr="0002156D">
        <w:rPr>
          <w:color w:val="000000" w:themeColor="text1"/>
        </w:rPr>
        <w:t>current</w:t>
      </w:r>
      <w:r w:rsidR="00074F1D" w:rsidRPr="0002156D">
        <w:rPr>
          <w:color w:val="000000" w:themeColor="text1"/>
        </w:rPr>
        <w:t xml:space="preserve"> and future consumption levels </w:t>
      </w:r>
      <w:r w:rsidR="00D259C5">
        <w:rPr>
          <w:color w:val="000000" w:themeColor="text1"/>
        </w:rPr>
        <w:t xml:space="preserve">are </w:t>
      </w:r>
      <w:r w:rsidR="00074F1D" w:rsidRPr="0002156D">
        <w:rPr>
          <w:color w:val="000000" w:themeColor="text1"/>
        </w:rPr>
        <w:t xml:space="preserve">significantly influenced by </w:t>
      </w:r>
      <w:r w:rsidR="00D259C5">
        <w:rPr>
          <w:color w:val="000000" w:themeColor="text1"/>
        </w:rPr>
        <w:t xml:space="preserve">the </w:t>
      </w:r>
      <w:r w:rsidR="00074F1D" w:rsidRPr="0002156D">
        <w:rPr>
          <w:color w:val="000000" w:themeColor="text1"/>
        </w:rPr>
        <w:t xml:space="preserve">monetary policy </w:t>
      </w:r>
      <w:r w:rsidR="00D259C5">
        <w:rPr>
          <w:color w:val="000000" w:themeColor="text1"/>
        </w:rPr>
        <w:t xml:space="preserve">through the </w:t>
      </w:r>
      <w:r w:rsidR="00074F1D" w:rsidRPr="0002156D">
        <w:rPr>
          <w:color w:val="000000" w:themeColor="text1"/>
        </w:rPr>
        <w:t>stock market and/or</w:t>
      </w:r>
      <w:r w:rsidR="00074F1D">
        <w:rPr>
          <w:color w:val="000000" w:themeColor="text1"/>
        </w:rPr>
        <w:t xml:space="preserve"> housing wealth</w:t>
      </w:r>
      <w:r w:rsidR="003027F9">
        <w:rPr>
          <w:rStyle w:val="FootnoteReference"/>
          <w:color w:val="000000" w:themeColor="text1"/>
        </w:rPr>
        <w:footnoteReference w:id="3"/>
      </w:r>
      <w:r w:rsidR="00074F1D">
        <w:rPr>
          <w:color w:val="000000" w:themeColor="text1"/>
        </w:rPr>
        <w:t>. Further</w:t>
      </w:r>
      <w:r w:rsidR="00074F1D" w:rsidRPr="0002156D">
        <w:rPr>
          <w:color w:val="000000" w:themeColor="text1"/>
        </w:rPr>
        <w:t xml:space="preserve">, </w:t>
      </w:r>
      <w:r>
        <w:rPr>
          <w:color w:val="000000" w:themeColor="text1"/>
        </w:rPr>
        <w:t xml:space="preserve">the </w:t>
      </w:r>
      <w:r w:rsidR="00074F1D" w:rsidRPr="0002156D">
        <w:rPr>
          <w:color w:val="000000" w:themeColor="text1"/>
        </w:rPr>
        <w:t>deviations in agent’s consumption path c</w:t>
      </w:r>
      <w:r w:rsidR="00F741EA">
        <w:rPr>
          <w:color w:val="000000" w:themeColor="text1"/>
        </w:rPr>
        <w:t>an also be influenced by exogenous shocks</w:t>
      </w:r>
      <w:r w:rsidR="00074F1D" w:rsidRPr="0002156D">
        <w:rPr>
          <w:color w:val="000000" w:themeColor="text1"/>
        </w:rPr>
        <w:t xml:space="preserve"> in inflation.</w:t>
      </w:r>
      <w:r w:rsidR="00074F1D">
        <w:rPr>
          <w:color w:val="000000" w:themeColor="text1"/>
        </w:rPr>
        <w:t xml:space="preserve"> </w:t>
      </w:r>
      <w:r>
        <w:rPr>
          <w:color w:val="000000" w:themeColor="text1"/>
        </w:rPr>
        <w:t>I</w:t>
      </w:r>
      <w:r w:rsidR="00074F1D" w:rsidRPr="0002156D">
        <w:rPr>
          <w:color w:val="000000" w:themeColor="text1"/>
        </w:rPr>
        <w:t xml:space="preserve">n this </w:t>
      </w:r>
      <w:r w:rsidR="00BC1938">
        <w:rPr>
          <w:color w:val="000000" w:themeColor="text1"/>
        </w:rPr>
        <w:t>paper</w:t>
      </w:r>
      <w:r>
        <w:rPr>
          <w:color w:val="000000" w:themeColor="text1"/>
        </w:rPr>
        <w:t>,</w:t>
      </w:r>
      <w:r w:rsidR="00074F1D" w:rsidRPr="0002156D">
        <w:rPr>
          <w:color w:val="000000" w:themeColor="text1"/>
        </w:rPr>
        <w:t xml:space="preserve"> we investigate the </w:t>
      </w:r>
      <w:r w:rsidR="00BC1938">
        <w:rPr>
          <w:color w:val="000000" w:themeColor="text1"/>
        </w:rPr>
        <w:t xml:space="preserve">impact of </w:t>
      </w:r>
      <w:r w:rsidR="00074F1D">
        <w:rPr>
          <w:color w:val="000000" w:themeColor="text1"/>
        </w:rPr>
        <w:t>consumption shocks</w:t>
      </w:r>
      <w:r w:rsidR="00BC1938">
        <w:rPr>
          <w:color w:val="000000" w:themeColor="text1"/>
        </w:rPr>
        <w:t xml:space="preserve"> arising from </w:t>
      </w:r>
      <w:r w:rsidR="00074F1D">
        <w:rPr>
          <w:color w:val="000000" w:themeColor="text1"/>
        </w:rPr>
        <w:t xml:space="preserve">interest rate and inflation </w:t>
      </w:r>
      <w:r w:rsidR="00BC1938">
        <w:rPr>
          <w:color w:val="000000" w:themeColor="text1"/>
        </w:rPr>
        <w:t xml:space="preserve">as well changes in the </w:t>
      </w:r>
      <w:r w:rsidR="00074F1D">
        <w:rPr>
          <w:color w:val="000000" w:themeColor="text1"/>
        </w:rPr>
        <w:t xml:space="preserve">agent’s wealth and income </w:t>
      </w:r>
      <w:r w:rsidR="00BC1938">
        <w:rPr>
          <w:color w:val="000000" w:themeColor="text1"/>
        </w:rPr>
        <w:t xml:space="preserve">on the UK ERP. </w:t>
      </w:r>
    </w:p>
    <w:p w:rsidR="00AD6D4F" w:rsidRDefault="00074F1D" w:rsidP="004A5752">
      <w:pPr>
        <w:spacing w:line="360" w:lineRule="auto"/>
      </w:pPr>
      <w:r>
        <w:t xml:space="preserve">Specifically, we examine the impact of </w:t>
      </w:r>
      <w:r w:rsidR="00D21A23">
        <w:t xml:space="preserve">private consumption shocks at the </w:t>
      </w:r>
      <w:r>
        <w:t xml:space="preserve">aggregate and dis-aggregate </w:t>
      </w:r>
      <w:r w:rsidR="00D21A23">
        <w:t xml:space="preserve">levels </w:t>
      </w:r>
      <w:r>
        <w:t>on the E</w:t>
      </w:r>
      <w:r w:rsidR="00D21A23">
        <w:t xml:space="preserve">RP of the </w:t>
      </w:r>
      <w:r>
        <w:t>FTSE 100</w:t>
      </w:r>
      <w:r w:rsidR="00D21A23">
        <w:t xml:space="preserve">, </w:t>
      </w:r>
      <w:r w:rsidR="009F44D1">
        <w:t>FTSE 250 indices</w:t>
      </w:r>
      <w:r w:rsidR="00D21A23">
        <w:t xml:space="preserve"> as well as </w:t>
      </w:r>
      <w:r>
        <w:t xml:space="preserve">the ten most widely followed sectors in the in the UK. </w:t>
      </w:r>
      <w:r w:rsidR="00D21A23">
        <w:t xml:space="preserve">We also examine the impact on ERPs of </w:t>
      </w:r>
      <w:r w:rsidR="00A85384">
        <w:t>25 Fama-French value-</w:t>
      </w:r>
      <w:r>
        <w:t xml:space="preserve">weighted </w:t>
      </w:r>
      <w:r w:rsidR="00D21A23">
        <w:t xml:space="preserve">portfolios based on </w:t>
      </w:r>
      <w:r w:rsidR="00A85384">
        <w:t xml:space="preserve">size and </w:t>
      </w:r>
      <w:r>
        <w:t>book-to-market characteristics</w:t>
      </w:r>
      <w:r w:rsidR="00D21A23">
        <w:t>.</w:t>
      </w:r>
      <w:r>
        <w:t xml:space="preserve"> </w:t>
      </w:r>
      <w:r w:rsidR="00256069">
        <w:t xml:space="preserve">We believe that findings of our research will be particularly useful since FTSE indices are widely </w:t>
      </w:r>
      <w:r w:rsidR="005F7016">
        <w:t xml:space="preserve">used as benchmarks </w:t>
      </w:r>
      <w:r w:rsidR="00C1176C">
        <w:t xml:space="preserve">for asset pricing </w:t>
      </w:r>
      <w:r w:rsidR="005F7016">
        <w:t xml:space="preserve">by </w:t>
      </w:r>
      <w:r w:rsidR="00256069">
        <w:t>both retail and institutional investors. Further, t</w:t>
      </w:r>
      <w:r>
        <w:t xml:space="preserve">he consumption shocks extracted </w:t>
      </w:r>
      <w:r w:rsidR="00256069">
        <w:t>using t</w:t>
      </w:r>
      <w:r>
        <w:t xml:space="preserve">he </w:t>
      </w:r>
      <w:r w:rsidR="00256069">
        <w:t>Structural Vector Autoregression (</w:t>
      </w:r>
      <w:r>
        <w:t>SVAR</w:t>
      </w:r>
      <w:r w:rsidR="00256069">
        <w:t>)</w:t>
      </w:r>
      <w:r>
        <w:t xml:space="preserve"> </w:t>
      </w:r>
      <w:r w:rsidR="00256069">
        <w:t xml:space="preserve">model </w:t>
      </w:r>
      <w:r>
        <w:t>represent an unexpected rise or fall in</w:t>
      </w:r>
      <w:r w:rsidR="00256069">
        <w:t xml:space="preserve"> aggregate personal consumption. </w:t>
      </w:r>
      <w:r>
        <w:t>The</w:t>
      </w:r>
      <w:r w:rsidR="003027F9">
        <w:t>se structural</w:t>
      </w:r>
      <w:r>
        <w:t xml:space="preserve"> shocks </w:t>
      </w:r>
      <w:r w:rsidR="00C1176C">
        <w:t xml:space="preserve">proxy the </w:t>
      </w:r>
      <w:r>
        <w:t>deviations of the actual consumption from the expected consumption</w:t>
      </w:r>
      <w:r w:rsidR="00256069">
        <w:t xml:space="preserve"> </w:t>
      </w:r>
      <w:r>
        <w:t xml:space="preserve">under the assumption that consumption-wealth channel of transmission of monetary policy exist. Therefore, a positive consumption shock </w:t>
      </w:r>
      <w:r w:rsidR="00256069">
        <w:t xml:space="preserve">would suggest </w:t>
      </w:r>
      <w:r>
        <w:t xml:space="preserve">higher than expected </w:t>
      </w:r>
      <w:r w:rsidR="00C1176C">
        <w:t xml:space="preserve">consumption </w:t>
      </w:r>
      <w:r>
        <w:t xml:space="preserve">and a negative consumption shocks </w:t>
      </w:r>
      <w:r w:rsidR="00256069">
        <w:t>would indicate lower</w:t>
      </w:r>
      <w:r>
        <w:t xml:space="preserve"> </w:t>
      </w:r>
      <w:r w:rsidR="00256069">
        <w:t xml:space="preserve">than expected </w:t>
      </w:r>
      <w:r>
        <w:t>consumption</w:t>
      </w:r>
      <w:r w:rsidR="00256069">
        <w:t xml:space="preserve">. </w:t>
      </w:r>
      <w:r w:rsidR="00AD2940">
        <w:t xml:space="preserve">We model </w:t>
      </w:r>
      <w:r w:rsidR="006F7CAD">
        <w:t xml:space="preserve">these consumption shocks </w:t>
      </w:r>
      <w:r w:rsidR="00C1176C">
        <w:t xml:space="preserve">by considering </w:t>
      </w:r>
      <w:r w:rsidR="00AD2940">
        <w:t xml:space="preserve">the changes in interest and inflation </w:t>
      </w:r>
      <w:r w:rsidR="00C1176C">
        <w:t xml:space="preserve">rates </w:t>
      </w:r>
      <w:r w:rsidR="00AD2940">
        <w:t xml:space="preserve">which carry </w:t>
      </w:r>
      <w:r w:rsidR="00716E74">
        <w:t xml:space="preserve">information about the evolution of the expected news regarding stochastic discount factor </w:t>
      </w:r>
      <w:r w:rsidR="00716E74">
        <w:fldChar w:fldCharType="begin" w:fldLock="1"/>
      </w:r>
      <w:r w:rsidR="00AF43D6">
        <w:instrText>ADDIN CSL_CITATION { "citationItems" : [ { "id" : "ITEM-1", "itemData" : { "DOI" : "10.1111/jofi.12110", "ISBN" : "0022-1082", "ISSN" : "15406261", "abstract" : "We show that volatility movements have first-order implications for consumption dynamics and asset prices. Volatility news affects the stochastic discount factor and carries a separate risk premium. In the data, volatility risks are persistent and are strongly correlated with discount-rate news. This evidence has important implications for the return on aggregate wealth and the cross-sectional differences in risk premia. Estimation of our volatility risks based model yields an economically plausible positive correlation between the return to human capital and equity, while this correlation is implausibly negative when volatility risk is ignored. Our model setup implies a dynamics capital asset pricing model (DCAPM) which underscores the importance of volatility risk in addition to cash-flow and discount-rate risks. We show that our DCAPM accounts for the level and dispersion of risk premia across book-to-market and size sorted portfolios, and that equity portfolios carry positive volatility-risk premia.", "author" : [ { "dropping-particle" : "", "family" : "Bansal", "given" : "Ravi", "non-dropping-particle" : "", "parse-names" : false, "suffix" : "" }, { "dropping-particle" : "", "family" : "Kiku", "given" : "Dana", "non-dropping-particle" : "", "parse-names" : false, "suffix" : "" }, { "dropping-particle" : "", "family" : "Shaliastovich", "given" : "Ivan", "non-dropping-particle" : "", "parse-names" : false, "suffix" : "" }, { "dropping-particle" : "", "family" : "Yaron", "given" : "Amir", "non-dropping-particle" : "", "parse-names" : false, "suffix" : "" } ], "container-title" : "Journal of Finance", "id" : "ITEM-1", "issue" : "6", "issued" : { "date-parts" : [ [ "2014" ] ] }, "page" : "2471-2511", "title" : "Volatility, the Macroeconomy, and Asset Prices", "type" : "article-journal", "volume" : "69" }, "uris" : [ "http://www.mendeley.com/documents/?uuid=66de21e4-a969-4268-bdf9-d0240856658d", "http://www.mendeley.com/documents/?uuid=ebbde02e-dc19-4fce-81bf-5c79459d02e6" ] } ], "mendeley" : { "formattedCitation" : "(Bansal et al. 2014)", "manualFormatting" : "(Bansal et al. 2014)", "plainTextFormattedCitation" : "(Bansal et al. 2014)", "previouslyFormattedCitation" : "(Bansal et al. 2014)" }, "properties" : { "noteIndex" : 0 }, "schema" : "https://github.com/citation-style-language/schema/raw/master/csl-citation.json" }</w:instrText>
      </w:r>
      <w:r w:rsidR="00716E74">
        <w:fldChar w:fldCharType="separate"/>
      </w:r>
      <w:r w:rsidR="000352AE" w:rsidRPr="000352AE">
        <w:rPr>
          <w:noProof/>
        </w:rPr>
        <w:t>(Bansal et al. 2014)</w:t>
      </w:r>
      <w:r w:rsidR="00716E74">
        <w:fldChar w:fldCharType="end"/>
      </w:r>
      <w:r w:rsidR="00997E63">
        <w:t>.</w:t>
      </w:r>
    </w:p>
    <w:p w:rsidR="006338A7" w:rsidRDefault="00AD6D4F" w:rsidP="004A5752">
      <w:pPr>
        <w:spacing w:line="360" w:lineRule="auto"/>
      </w:pPr>
      <w:r>
        <w:t xml:space="preserve">Figure 1 </w:t>
      </w:r>
      <w:r w:rsidR="00243504">
        <w:t xml:space="preserve">provides anecdotal </w:t>
      </w:r>
      <w:r w:rsidR="00C06213">
        <w:t>evidence, which</w:t>
      </w:r>
      <w:r w:rsidR="00240B04">
        <w:t xml:space="preserve"> further motivates us to </w:t>
      </w:r>
      <w:r>
        <w:t>investigat</w:t>
      </w:r>
      <w:r w:rsidR="00240B04">
        <w:t>e</w:t>
      </w:r>
      <w:r>
        <w:t xml:space="preserve"> the impact of consumption on excess stock returns.  </w:t>
      </w:r>
      <w:r w:rsidR="00B612B7">
        <w:t>The f</w:t>
      </w:r>
      <w:r w:rsidR="00240B04">
        <w:t xml:space="preserve">igure </w:t>
      </w:r>
      <w:r>
        <w:t xml:space="preserve">shows the three main components of Gross Domestic Product (GDP) as a percentage of GDP over the past 59 years in the UK; namely personal/private consumption (C), government consumption (G) and Gross Fixed Investment (I). It is quite evident that aggregate personal/private consumption is the major contributor to the GDP in the UK. The average quarterly share of personal consumption in the GDP for the period of 1955 to 2014 is 58.11%. The private consumption as a percentage of GDP has always been above 60% since the mid-1990s. </w:t>
      </w:r>
      <w:r w:rsidR="00240B04">
        <w:t xml:space="preserve">Thus, </w:t>
      </w:r>
      <w:r>
        <w:t xml:space="preserve">personal/private sector consumption is the “engine of growth” in the UK and hence </w:t>
      </w:r>
      <w:r w:rsidR="00240B04">
        <w:t xml:space="preserve">it is </w:t>
      </w:r>
      <w:r>
        <w:t>systemically important</w:t>
      </w:r>
      <w:r w:rsidR="00240B04">
        <w:t xml:space="preserve"> to understand the impact of consumption shocks on the </w:t>
      </w:r>
      <w:r w:rsidR="00C06213">
        <w:t>ERP.</w:t>
      </w:r>
    </w:p>
    <w:p w:rsidR="006338A7" w:rsidRDefault="006338A7" w:rsidP="006338A7">
      <w:pPr>
        <w:spacing w:line="360" w:lineRule="auto"/>
        <w:jc w:val="center"/>
        <w:rPr>
          <w:i/>
        </w:rPr>
      </w:pPr>
      <w:r>
        <w:rPr>
          <w:i/>
        </w:rPr>
        <w:t>***</w:t>
      </w:r>
      <w:r w:rsidR="00AB30EF">
        <w:rPr>
          <w:i/>
        </w:rPr>
        <w:t xml:space="preserve">Pleased </w:t>
      </w:r>
      <w:r>
        <w:rPr>
          <w:i/>
        </w:rPr>
        <w:t xml:space="preserve">insert figure 1 </w:t>
      </w:r>
      <w:r w:rsidR="00AB30EF">
        <w:rPr>
          <w:i/>
        </w:rPr>
        <w:t xml:space="preserve">about </w:t>
      </w:r>
      <w:r>
        <w:rPr>
          <w:i/>
        </w:rPr>
        <w:t>here***</w:t>
      </w:r>
    </w:p>
    <w:p w:rsidR="00074F1D" w:rsidRDefault="00934BB7" w:rsidP="004A5752">
      <w:pPr>
        <w:spacing w:line="360" w:lineRule="auto"/>
      </w:pPr>
      <w:r>
        <w:t>W</w:t>
      </w:r>
      <w:r w:rsidR="00074F1D">
        <w:t>e also study the impact of d</w:t>
      </w:r>
      <w:r w:rsidR="00240B04">
        <w:t xml:space="preserve">isaggregated consumption shocks. </w:t>
      </w:r>
      <w:r w:rsidR="00B477A9">
        <w:t>That is, w</w:t>
      </w:r>
      <w:r w:rsidR="00074F1D">
        <w:t>e investigate whether durable, semi-durable and non-durable consumption shocks are able to explain significant variations in the ERPs of the various FTSE indices, both at aggregate and industry level</w:t>
      </w:r>
      <w:r>
        <w:t xml:space="preserve">. </w:t>
      </w:r>
      <w:r w:rsidR="00074F1D">
        <w:t>Th</w:t>
      </w:r>
      <w:r w:rsidR="00ED4E42">
        <w:t xml:space="preserve">ere are far fewer studies which provide evidence at the disaggregate level. We make an important contribution to the extant literature by providing the evidence of the impact of consumption shocks on the ERP at both aggregate and disaggregate levels. Such evidence will provide useful insights </w:t>
      </w:r>
      <w:r w:rsidR="00074F1D">
        <w:t xml:space="preserve">about the </w:t>
      </w:r>
      <w:r w:rsidR="00ED4E42">
        <w:t xml:space="preserve">impact of </w:t>
      </w:r>
      <w:r w:rsidR="00074F1D">
        <w:t xml:space="preserve">business cycle on </w:t>
      </w:r>
      <w:r w:rsidR="00ED4E42">
        <w:t xml:space="preserve">the </w:t>
      </w:r>
      <w:r w:rsidR="00240B04">
        <w:t>stock returns</w:t>
      </w:r>
      <w:r w:rsidR="00074F1D">
        <w:t xml:space="preserve">. </w:t>
      </w:r>
    </w:p>
    <w:p w:rsidR="00074F1D" w:rsidRDefault="00074F1D" w:rsidP="004A5752">
      <w:pPr>
        <w:spacing w:line="360" w:lineRule="auto"/>
      </w:pPr>
      <w:r>
        <w:t>The</w:t>
      </w:r>
      <w:r w:rsidR="0046282C">
        <w:t xml:space="preserve">re are several reasons why </w:t>
      </w:r>
      <w:r w:rsidR="00C6415D">
        <w:t xml:space="preserve">we believe that </w:t>
      </w:r>
      <w:r>
        <w:t xml:space="preserve">dis-aggregated consumption shocks should have a significant impact on the ERP. First, the canonical C-CAPM links consumption to asset returns using preferences which aggregates the optimising behaviour of the agents using aggregate consumption and ignore the services provided by </w:t>
      </w:r>
      <w:r w:rsidR="00C6415D">
        <w:t xml:space="preserve">the </w:t>
      </w:r>
      <w:r>
        <w:t xml:space="preserve">durable consumption. </w:t>
      </w:r>
      <w:r>
        <w:fldChar w:fldCharType="begin" w:fldLock="1"/>
      </w:r>
      <w:r w:rsidR="00AF43D6">
        <w:instrText>ADDIN CSL_CITATION { "citationItems" : [ { "id" : "ITEM-1", "itemData" : { "DOI" : "10.1016/j.jfineco.2006.01.006", "ISSN" : "0304405X", "author" : [ { "dropping-particle" : "", "family" : "Piazzesi", "given" : "Monika", "non-dropping-particle" : "", "parse-names" : false, "suffix" : "" }, { "dropping-particle" : "", "family" : "Schneider", "given" : "Martin", "non-dropping-particle" : "", "parse-names" : false, "suffix" : "" }, { "dropping-particle" : "", "family" : "Tuzel", "given" : "Selale", "non-dropping-particle" : "", "parse-names" : false, "suffix" : "" } ], "container-title" : "Journal of Financial Economics", "id" : "ITEM-1", "issue" : "3", "issued" : { "date-parts" : [ [ "2007" ] ] }, "page" : "531-569", "title" : "Housing, consumption and asset pricing", "type" : "article-journal", "volume" : "83" }, "uris" : [ "http://www.mendeley.com/documents/?uuid=bba2a71c-93d1-42bf-860a-af71f68024d7", "http://www.mendeley.com/documents/?uuid=dec06e78-4cd9-4702-aedc-760e43ef4641" ] } ], "mendeley" : { "formattedCitation" : "(Piazzesi, Schneider, and Tuzel 2007)", "manualFormatting" : "Piazzesi, Schneider and Tuzel, (2007)", "plainTextFormattedCitation" : "(Piazzesi, Schneider, and Tuzel 2007)", "previouslyFormattedCitation" : "(Piazzesi, Schneider, and Tuzel 2007)" }, "properties" : { "noteIndex" : 0 }, "schema" : "https://github.com/citation-style-language/schema/raw/master/csl-citation.json" }</w:instrText>
      </w:r>
      <w:r>
        <w:fldChar w:fldCharType="separate"/>
      </w:r>
      <w:r w:rsidRPr="00427F97">
        <w:rPr>
          <w:noProof/>
        </w:rPr>
        <w:t xml:space="preserve">Piazzesi, Schneider and Tuzel, </w:t>
      </w:r>
      <w:r>
        <w:rPr>
          <w:noProof/>
        </w:rPr>
        <w:t>(</w:t>
      </w:r>
      <w:r w:rsidRPr="00427F97">
        <w:rPr>
          <w:noProof/>
        </w:rPr>
        <w:t>2007)</w:t>
      </w:r>
      <w:r>
        <w:fldChar w:fldCharType="end"/>
      </w:r>
      <w:r w:rsidR="009D33CD">
        <w:t xml:space="preserve"> </w:t>
      </w:r>
      <w:r>
        <w:t xml:space="preserve">show that a Constant Elasticity of Substitution (CES) non-separable preference defined over both non-durable and housing services consumption (which can be interpreted as durable consumption) can help rationalise asset pricing models and also explains the behaviour of </w:t>
      </w:r>
      <w:r w:rsidR="00C6415D">
        <w:t xml:space="preserve">the </w:t>
      </w:r>
      <w:r>
        <w:t xml:space="preserve">ERP. </w:t>
      </w:r>
    </w:p>
    <w:p w:rsidR="00074F1D" w:rsidRDefault="00074F1D" w:rsidP="004A5752">
      <w:pPr>
        <w:spacing w:line="360" w:lineRule="auto"/>
      </w:pPr>
      <w:r>
        <w:t xml:space="preserve">Second, as shown by </w:t>
      </w:r>
      <w:r w:rsidR="00274018">
        <w:fldChar w:fldCharType="begin" w:fldLock="1"/>
      </w:r>
      <w:r w:rsidR="00AF43D6">
        <w:instrText>ADDIN CSL_CITATION { "citationItems" : [ { "id" : "ITEM-1", "itemData" : { "author" : [ { "dropping-particle" : "", "family" : "Yogo", "given" : "Motohiro", "non-dropping-particle" : "", "parse-names" : false, "suffix" : "" } ], "container-title" : "The Journal of Finance", "id" : "ITEM-1", "issue" : "2", "issued" : { "date-parts" : [ [ "2006" ] ] }, "page" : "539-580", "title" : "A Consumption Based Explanation of Expected Stock Returns", "type" : "article-journal", "volume" : "61" }, "uris" : [ "http://www.mendeley.com/documents/?uuid=d6d885a0-cd5a-43d0-b966-3e666181182d" ] } ], "mendeley" : { "formattedCitation" : "(Yogo 2006)", "manualFormatting" : "Yogo (2006)", "plainTextFormattedCitation" : "(Yogo 2006)", "previouslyFormattedCitation" : "(Yogo 2006)" }, "properties" : { "noteIndex" : 0 }, "schema" : "https://github.com/citation-style-language/schema/raw/master/csl-citation.json" }</w:instrText>
      </w:r>
      <w:r w:rsidR="00274018">
        <w:fldChar w:fldCharType="separate"/>
      </w:r>
      <w:r w:rsidR="00637DFF">
        <w:rPr>
          <w:noProof/>
        </w:rPr>
        <w:t xml:space="preserve">Yogo </w:t>
      </w:r>
      <w:r w:rsidR="00274018">
        <w:rPr>
          <w:noProof/>
        </w:rPr>
        <w:t>(</w:t>
      </w:r>
      <w:r w:rsidR="00274018" w:rsidRPr="00274018">
        <w:rPr>
          <w:noProof/>
        </w:rPr>
        <w:t>2006)</w:t>
      </w:r>
      <w:r w:rsidR="00274018">
        <w:fldChar w:fldCharType="end"/>
      </w:r>
      <w:r>
        <w:t>, the ERP is time-varying and counter-cyclical. The ERP rises when durable consumption falls relative to non-durable consumption. The expected returns on stocks are higher at business cycle troughs than at peaks. This may be partly because within the C-CAPM framework</w:t>
      </w:r>
      <w:r w:rsidR="00A61F95">
        <w:t>,</w:t>
      </w:r>
      <w:r>
        <w:t xml:space="preserve"> the marginal utility of consumption is a measure of risk aversion</w:t>
      </w:r>
      <w:r w:rsidR="00C6415D">
        <w:t>.</w:t>
      </w:r>
      <w:r>
        <w:t xml:space="preserve"> Yogo, (2006) </w:t>
      </w:r>
      <w:r w:rsidR="00C6415D">
        <w:t xml:space="preserve">assumes the utility of </w:t>
      </w:r>
      <w:r>
        <w:t>dura</w:t>
      </w:r>
      <w:r w:rsidR="00C6415D">
        <w:t xml:space="preserve">ble and non-durable consumption </w:t>
      </w:r>
      <w:r w:rsidR="00A61F95">
        <w:t>a</w:t>
      </w:r>
      <w:r w:rsidR="00C6415D">
        <w:t xml:space="preserve">s </w:t>
      </w:r>
      <w:r w:rsidR="00A0334F">
        <w:t>non-</w:t>
      </w:r>
      <w:r w:rsidR="00C6415D">
        <w:t xml:space="preserve">separable. </w:t>
      </w:r>
      <w:r w:rsidR="00A0334F">
        <w:t>W</w:t>
      </w:r>
      <w:r>
        <w:t xml:space="preserve">hen the elasticity of substitution between the durable and non-durable goods and service is more than the </w:t>
      </w:r>
      <w:r w:rsidR="00320AD1">
        <w:t>i</w:t>
      </w:r>
      <w:r>
        <w:t xml:space="preserve">ntertemporal </w:t>
      </w:r>
      <w:r w:rsidR="00320AD1">
        <w:t xml:space="preserve">marginal rate </w:t>
      </w:r>
      <w:r w:rsidR="00630543">
        <w:t>of substitution</w:t>
      </w:r>
      <w:r>
        <w:t xml:space="preserve">, </w:t>
      </w:r>
      <w:r w:rsidR="00A61F95">
        <w:t>the</w:t>
      </w:r>
      <w:r w:rsidR="00B612B7">
        <w:t>n as durable</w:t>
      </w:r>
      <w:r w:rsidR="00A61F95">
        <w:t xml:space="preserve"> </w:t>
      </w:r>
      <w:r>
        <w:t>consumption falls</w:t>
      </w:r>
      <w:r w:rsidR="00125780">
        <w:t>,</w:t>
      </w:r>
      <w:r w:rsidR="00357163">
        <w:t xml:space="preserve"> </w:t>
      </w:r>
      <w:r w:rsidR="00125780">
        <w:t>t</w:t>
      </w:r>
      <w:r>
        <w:t>he marginal utility of consumption rises</w:t>
      </w:r>
      <w:r w:rsidR="00C64592">
        <w:t xml:space="preserve">. </w:t>
      </w:r>
      <w:r w:rsidR="00C06213">
        <w:t>Thus,</w:t>
      </w:r>
      <w:r w:rsidR="00C6415D">
        <w:t xml:space="preserve"> it is critical to examine separately the impact of </w:t>
      </w:r>
      <w:r w:rsidR="00C0022C">
        <w:t>durable and non-durable consumption shocks on the ERP.</w:t>
      </w:r>
    </w:p>
    <w:p w:rsidR="00074F1D" w:rsidRDefault="00C0022C" w:rsidP="004A5752">
      <w:pPr>
        <w:spacing w:line="360" w:lineRule="auto"/>
      </w:pPr>
      <w:r>
        <w:t xml:space="preserve">Further, </w:t>
      </w:r>
      <w:r w:rsidR="00074F1D">
        <w:fldChar w:fldCharType="begin" w:fldLock="1"/>
      </w:r>
      <w:r w:rsidR="00AF43D6">
        <w:instrText>ADDIN CSL_CITATION { "citationItems" : [ { "id" : "ITEM-1", "itemData" : { "ISSN" : "00055166", "abstract" : "In real terms, the growth of durable spending has substantially outpaced that of spending on other goods and services since the mid-1990s. But that gap largely reflects the effects of falling relative prices: nominal spending on durables and on non-durables has grown at similar rates during that period. This article uses a simple framework to assess the behaviour of the real and nominal ratio of durables to non-durable spending in the long run. It also considers the current position of the ratios in more detail and provides some assessment of how we might expect them to have evolved given prevailing cyclical factors. [ABSTRACT FROM AUTHOR] Copyright of Bank of England Quarterly Bulletin is the property of Bank of England Bulletin Group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"Power", "given" : "John", "non-dropping-particle" : "", "parse-names" : false, "suffix" : "" } ], "container-title" : "Bank of England Quarterly Bulletin", "id" : "ITEM-1", "issue" : "1", "issued" : { "date-parts" : [ [ "2004" ] ] }, "page" : "21-31", "title" : "Durable Spending, Relative Prices and Consumption", "type" : "article-journal", "volume" : "44" }, "uris" : [ "http://www.mendeley.com/documents/?uuid=67769277-3294-408b-9ee9-b6ad171ebe6a", "http://www.mendeley.com/documents/?uuid=bd2d9f69-3326-4a4e-b171-3dec7492e0d1" ] } ], "mendeley" : { "formattedCitation" : "(Power 2004)", "manualFormatting" : "Power, (2004)", "plainTextFormattedCitation" : "(Power 2004)", "previouslyFormattedCitation" : "(Power 2004)" }, "properties" : { "noteIndex" : 0 }, "schema" : "https://github.com/citation-style-language/schema/raw/master/csl-citation.json" }</w:instrText>
      </w:r>
      <w:r w:rsidR="00074F1D">
        <w:fldChar w:fldCharType="separate"/>
      </w:r>
      <w:r w:rsidR="00074F1D" w:rsidRPr="00181742">
        <w:rPr>
          <w:noProof/>
        </w:rPr>
        <w:t xml:space="preserve">Power, </w:t>
      </w:r>
      <w:r w:rsidR="00074F1D">
        <w:rPr>
          <w:noProof/>
        </w:rPr>
        <w:t>(</w:t>
      </w:r>
      <w:r w:rsidR="00074F1D" w:rsidRPr="00181742">
        <w:rPr>
          <w:noProof/>
        </w:rPr>
        <w:t>2004)</w:t>
      </w:r>
      <w:r w:rsidR="00074F1D">
        <w:fldChar w:fldCharType="end"/>
      </w:r>
      <w:r w:rsidR="00074F1D">
        <w:t xml:space="preserve"> argues that durable and semi-durable consumption in the UK are strongly pro-cyclical. Moreover, durable consumption is more volatile than non-durable consumption.  This is partly because the services offered by durable and semi-durable goods are typically consumed over longer period of time than those offered by non-durable consumption goods and services and partly because expenditure on durable and semi-durable goods is discretionary and deferrable </w:t>
      </w:r>
      <w:r w:rsidR="00074F1D">
        <w:fldChar w:fldCharType="begin" w:fldLock="1"/>
      </w:r>
      <w:r w:rsidR="00AF43D6">
        <w:instrText>ADDIN CSL_CITATION { "citationItems" : [ { "id" : "ITEM-1", "itemData" : { "author" : [ { "dropping-particle" : "", "family" : "Black", "given" : "Susan", "non-dropping-particle" : "", "parse-names" : false, "suffix" : "" }, { "dropping-particle" : "", "family" : "Cusbert", "given" : "Tom", "non-dropping-particle" : "", "parse-names" : false, "suffix" : "" } ], "container-title" : "Reserve Bank of Australia Bulletin", "id" : "ITEM-1", "issued" : { "date-parts" : [ [ "2010" ] ] }, "page" : "11-18", "title" : "Durable Goods and the Business Cycle", "type" : "article-journal" }, "uris" : [ "http://www.mendeley.com/documents/?uuid=e0f677e1-e326-4772-8c72-862bd06750aa", "http://www.mendeley.com/documents/?uuid=6121664c-42ae-4566-ac4d-65ff0ab4fc2e" ] } ], "mendeley" : { "formattedCitation" : "(Black and Cusbert 2010)", "plainTextFormattedCitation" : "(Black and Cusbert 2010)", "previouslyFormattedCitation" : "(Black and Cusbert 2010)" }, "properties" : { "noteIndex" : 0 }, "schema" : "https://github.com/citation-style-language/schema/raw/master/csl-citation.json" }</w:instrText>
      </w:r>
      <w:r w:rsidR="00074F1D">
        <w:fldChar w:fldCharType="separate"/>
      </w:r>
      <w:r w:rsidR="000352AE" w:rsidRPr="00637DFF">
        <w:rPr>
          <w:noProof/>
        </w:rPr>
        <w:t>(Black and Cusbert 2010)</w:t>
      </w:r>
      <w:r w:rsidR="00074F1D">
        <w:fldChar w:fldCharType="end"/>
      </w:r>
      <w:r w:rsidR="00074F1D">
        <w:t>.</w:t>
      </w:r>
    </w:p>
    <w:p w:rsidR="00074F1D" w:rsidRDefault="00074F1D" w:rsidP="004A5752">
      <w:pPr>
        <w:spacing w:line="360" w:lineRule="auto"/>
      </w:pPr>
      <w:r>
        <w:t xml:space="preserve">Figures 2 and 3 illustrate above argument and exemplify the cyclical properties of dis-aggregated consumption. Figure 2 shows the time series plots of log levels of durable, semi-durable and non-durable consumption in the UK while figure 3 shows the time-series plots of </w:t>
      </w:r>
      <w:r w:rsidR="00643E97">
        <w:t>d</w:t>
      </w:r>
      <w:r>
        <w:t xml:space="preserve">urable </w:t>
      </w:r>
      <w:r w:rsidR="00643E97">
        <w:t>c</w:t>
      </w:r>
      <w:r>
        <w:t xml:space="preserve">onsumption growth rate (Panel A), </w:t>
      </w:r>
      <w:r w:rsidR="00643E97">
        <w:t>s</w:t>
      </w:r>
      <w:r>
        <w:t>emi-</w:t>
      </w:r>
      <w:r w:rsidR="00643E97">
        <w:t>d</w:t>
      </w:r>
      <w:r>
        <w:t xml:space="preserve">urable </w:t>
      </w:r>
      <w:r w:rsidR="00643E97">
        <w:t>c</w:t>
      </w:r>
      <w:r>
        <w:t xml:space="preserve">onsumption growth rate (Panel B) and </w:t>
      </w:r>
      <w:r w:rsidR="00643E97">
        <w:t>n</w:t>
      </w:r>
      <w:r>
        <w:t>on-</w:t>
      </w:r>
      <w:r w:rsidR="00643E97">
        <w:t>d</w:t>
      </w:r>
      <w:r>
        <w:t xml:space="preserve">urable </w:t>
      </w:r>
      <w:r w:rsidR="00643E97">
        <w:t>c</w:t>
      </w:r>
      <w:r>
        <w:t xml:space="preserve">onsumption growth rate (Panel C). The shaded regions in the plots </w:t>
      </w:r>
      <w:r w:rsidR="00643E97">
        <w:t xml:space="preserve">represent periods of </w:t>
      </w:r>
      <w:r>
        <w:t xml:space="preserve">recession in the </w:t>
      </w:r>
      <w:r w:rsidR="00C06213">
        <w:t>UK, which is measured,</w:t>
      </w:r>
      <w:r>
        <w:t xml:space="preserve"> as period of decline in the real GDP in two consecutive quarters. It can be seen that the </w:t>
      </w:r>
      <w:r w:rsidR="00C0022C">
        <w:t>d</w:t>
      </w:r>
      <w:r>
        <w:t xml:space="preserve">urable </w:t>
      </w:r>
      <w:r w:rsidR="00C0022C">
        <w:t>c</w:t>
      </w:r>
      <w:r>
        <w:t xml:space="preserve">onsumption growth is more volatile than semi-durable consumption </w:t>
      </w:r>
      <w:r w:rsidR="00C06213">
        <w:t>growth, which</w:t>
      </w:r>
      <w:r>
        <w:t xml:space="preserve"> in turn is more volatile than non-durable consumption growth. </w:t>
      </w:r>
      <w:r w:rsidR="008156E6">
        <w:t>The annualised standard deviations of durable, semi-durable and non-durable consumption growth rate</w:t>
      </w:r>
      <w:r w:rsidR="00C760E6">
        <w:t>s</w:t>
      </w:r>
      <w:r w:rsidR="008156E6">
        <w:t xml:space="preserve"> are 5.16%, 2.86% and 2.49% respectively</w:t>
      </w:r>
      <w:r w:rsidR="00D70592">
        <w:t>,</w:t>
      </w:r>
      <w:r w:rsidR="008156E6">
        <w:t xml:space="preserve"> for the sample shown in figure 3 (1985Q1 – 2014Q4)</w:t>
      </w:r>
      <w:r w:rsidR="00D70592">
        <w:t>.</w:t>
      </w:r>
    </w:p>
    <w:p w:rsidR="00074F1D" w:rsidRDefault="00074F1D" w:rsidP="004A5752">
      <w:pPr>
        <w:spacing w:line="360" w:lineRule="auto"/>
        <w:jc w:val="center"/>
        <w:rPr>
          <w:i/>
        </w:rPr>
      </w:pPr>
      <w:r>
        <w:rPr>
          <w:i/>
        </w:rPr>
        <w:t>***</w:t>
      </w:r>
      <w:r w:rsidR="00AB30EF">
        <w:rPr>
          <w:i/>
        </w:rPr>
        <w:t xml:space="preserve">Please </w:t>
      </w:r>
      <w:r>
        <w:rPr>
          <w:i/>
        </w:rPr>
        <w:t xml:space="preserve">insert figure 2 </w:t>
      </w:r>
      <w:r w:rsidR="00AB30EF">
        <w:rPr>
          <w:i/>
        </w:rPr>
        <w:t xml:space="preserve">about </w:t>
      </w:r>
      <w:r>
        <w:rPr>
          <w:i/>
        </w:rPr>
        <w:t>here***</w:t>
      </w:r>
    </w:p>
    <w:p w:rsidR="00074F1D" w:rsidRPr="00EB6437" w:rsidRDefault="00074F1D" w:rsidP="004A5752">
      <w:pPr>
        <w:spacing w:line="360" w:lineRule="auto"/>
        <w:jc w:val="center"/>
        <w:rPr>
          <w:i/>
        </w:rPr>
      </w:pPr>
      <w:r>
        <w:rPr>
          <w:i/>
        </w:rPr>
        <w:t>***</w:t>
      </w:r>
      <w:r w:rsidR="00AB30EF">
        <w:rPr>
          <w:i/>
        </w:rPr>
        <w:t xml:space="preserve">Please </w:t>
      </w:r>
      <w:r>
        <w:rPr>
          <w:i/>
        </w:rPr>
        <w:t xml:space="preserve">insert figure 3 </w:t>
      </w:r>
      <w:r w:rsidR="00AB30EF">
        <w:rPr>
          <w:i/>
        </w:rPr>
        <w:t xml:space="preserve">about </w:t>
      </w:r>
      <w:r>
        <w:rPr>
          <w:i/>
        </w:rPr>
        <w:t>here***</w:t>
      </w:r>
    </w:p>
    <w:p w:rsidR="00307CC6" w:rsidRDefault="00074F1D" w:rsidP="004A5752">
      <w:pPr>
        <w:spacing w:line="360" w:lineRule="auto"/>
      </w:pPr>
      <w:r>
        <w:fldChar w:fldCharType="begin" w:fldLock="1"/>
      </w:r>
      <w:r w:rsidR="00D057C3">
        <w:instrText>ADDIN CSL_CITATION { "citationItems" : [ { "id" : "ITEM-1", "itemData" : { "DOI" : "10.1016/0165-1889(95)00907-8", "ISSN" : "01651889", "abstract" : "We consider a pure exchange representative agent economy with perishable and durable commodities in which the durable good provides status as well as services. We examine the effects of the durable's attributes on demands and equilibrium prices. When the attributes are perfect substitutes, irreversibility of the durable's purchases may cause temporary excesses of actual services over their desired level. Stickiness in adjustment is asymmetric since increases in desired status level are met by immediate purchases. We show that the equilibrium interest rate depends, in particular, on the growth rates of the durable's attributes and that asset risk premia satisfy a two-beta consumption CAPM. Conditions under which durability increases asset risk premia are provided.", "author" : [ { "dropping-particle" : "", "family" : "Detemple", "given" : "J\u00e9r\u00f4me B.", "non-dropping-particle" : "", "parse-names" : false, "suffix" : "" }, { "dropping-particle" : "", "family" : "Giannikos", "given" : "Christis I.", "non-dropping-particle" : "", "parse-names" : false, "suffix" : "" } ], "container-title" : "Journal of Economic Dynamics and Control", "id" : "ITEM-1", "issue" : "8", "issued" : { "date-parts" : [ [ "1996" ] ] }, "page" : "1451-1504", "title" : "Asset and Commodity Prices with Multi-Attribute Durable Goods", "type" : "article-journal", "volume" : "20" }, "uris" : [ "http://www.mendeley.com/documents/?uuid=773fb8d1-4c12-429a-be14-3b29ba7a7ced" ] } ], "mendeley" : { "formattedCitation" : "(Detemple and Giannikos 1996)", "manualFormatting" : "Detemple and Giannikos (1996)", "plainTextFormattedCitation" : "(Detemple and Giannikos 1996)", "previouslyFormattedCitation" : "(Detemple and Giannikos 1996)" }, "properties" : { "noteIndex" : 0 }, "schema" : "https://github.com/citation-style-language/schema/raw/master/csl-citation.json" }</w:instrText>
      </w:r>
      <w:r>
        <w:fldChar w:fldCharType="separate"/>
      </w:r>
      <w:r w:rsidR="00D057C3">
        <w:rPr>
          <w:noProof/>
        </w:rPr>
        <w:t>Detemple and Giannikos</w:t>
      </w:r>
      <w:r w:rsidRPr="007857E1">
        <w:rPr>
          <w:noProof/>
        </w:rPr>
        <w:t xml:space="preserve"> </w:t>
      </w:r>
      <w:r>
        <w:rPr>
          <w:noProof/>
        </w:rPr>
        <w:t>(</w:t>
      </w:r>
      <w:r w:rsidRPr="007857E1">
        <w:rPr>
          <w:noProof/>
        </w:rPr>
        <w:t>1996)</w:t>
      </w:r>
      <w:r>
        <w:fldChar w:fldCharType="end"/>
      </w:r>
      <w:r>
        <w:t xml:space="preserve"> argue that durable consumption has two </w:t>
      </w:r>
      <w:r w:rsidR="000D437C">
        <w:t xml:space="preserve">key </w:t>
      </w:r>
      <w:r>
        <w:t>attributes</w:t>
      </w:r>
      <w:r w:rsidR="000D437C">
        <w:t>.</w:t>
      </w:r>
      <w:r>
        <w:t xml:space="preserve"> </w:t>
      </w:r>
      <w:r w:rsidR="000D437C">
        <w:t xml:space="preserve">First is known as the usage </w:t>
      </w:r>
      <w:r w:rsidR="00C06213">
        <w:t>function, which</w:t>
      </w:r>
      <w:r w:rsidR="000D437C">
        <w:t xml:space="preserve"> represents </w:t>
      </w:r>
      <w:r>
        <w:t>services provided over longer period of time than non-durable goods</w:t>
      </w:r>
      <w:r w:rsidR="000D437C">
        <w:t>.</w:t>
      </w:r>
      <w:r>
        <w:t xml:space="preserve"> Durable goods not only provide utility in the current period, but they also provide gratification over future period of time. The second attribute is that durable goods provide immediate feeling of </w:t>
      </w:r>
      <w:r w:rsidR="00C06213">
        <w:t>status, which</w:t>
      </w:r>
      <w:r>
        <w:t xml:space="preserve"> provides symbolic </w:t>
      </w:r>
      <w:r w:rsidR="000D437C">
        <w:t>value</w:t>
      </w:r>
      <w:r>
        <w:t xml:space="preserve">. They show that in presence of this multi-attribute durable good, equilibrium interest rates and asset risk premia are linked </w:t>
      </w:r>
      <w:r w:rsidR="00733863">
        <w:t xml:space="preserve">not only </w:t>
      </w:r>
      <w:r>
        <w:t>to mar</w:t>
      </w:r>
      <w:r w:rsidR="00733863">
        <w:t xml:space="preserve">ginal utilities of non-durable but also of </w:t>
      </w:r>
      <w:r>
        <w:t xml:space="preserve">status and services </w:t>
      </w:r>
      <w:r w:rsidR="00D62A62">
        <w:t xml:space="preserve">that are </w:t>
      </w:r>
      <w:r>
        <w:t>provided by</w:t>
      </w:r>
      <w:r w:rsidR="00D62A62">
        <w:t xml:space="preserve"> </w:t>
      </w:r>
      <w:r w:rsidR="009624EB">
        <w:t xml:space="preserve">durable goods. </w:t>
      </w:r>
    </w:p>
    <w:p w:rsidR="00074F1D" w:rsidRDefault="00307CC6" w:rsidP="004A5752">
      <w:pPr>
        <w:spacing w:line="360" w:lineRule="auto"/>
      </w:pPr>
      <w:r>
        <w:t xml:space="preserve">Using the data from 1988Q1 to 2014Q4 for the UK, we examine the impact of durable, non-durable and semi-durable consumptions shocks on the UK ERP. Our main findings are as follows. </w:t>
      </w:r>
      <w:r w:rsidR="00074F1D">
        <w:t xml:space="preserve">First, we find that aggregate personal consumption shocks have a negative impact on the ERPs of the various FTSE indices both at aggregate and sectoral level. A fall in </w:t>
      </w:r>
      <w:r>
        <w:t xml:space="preserve">actual </w:t>
      </w:r>
      <w:r w:rsidR="00074F1D">
        <w:t xml:space="preserve">consumption relative to </w:t>
      </w:r>
      <w:r>
        <w:t xml:space="preserve">the expected consumption </w:t>
      </w:r>
      <w:r w:rsidR="00074F1D">
        <w:t xml:space="preserve">increases the </w:t>
      </w:r>
      <w:r>
        <w:t xml:space="preserve">ERP confirming </w:t>
      </w:r>
      <w:r w:rsidR="00074F1D">
        <w:t>countercyclical</w:t>
      </w:r>
      <w:r>
        <w:t xml:space="preserve"> nature of stock returns</w:t>
      </w:r>
      <w:r w:rsidR="00074F1D">
        <w:t xml:space="preserve">. </w:t>
      </w:r>
      <w:r>
        <w:t>A</w:t>
      </w:r>
      <w:r w:rsidR="00074F1D">
        <w:t xml:space="preserve">ggregate </w:t>
      </w:r>
      <w:r>
        <w:t>c</w:t>
      </w:r>
      <w:r w:rsidR="00074F1D">
        <w:t xml:space="preserve">onsumption shocks seem to explain approximately 21.4% variations in the ERPs of </w:t>
      </w:r>
      <w:r>
        <w:t>FTSE 100 and FTSE 250 indices</w:t>
      </w:r>
      <w:r w:rsidR="00074F1D">
        <w:t xml:space="preserve"> and about 14% variations in the ERPs of the ten sectoral indices. The ERPs of cyclical industries seems to be more sensitive to </w:t>
      </w:r>
      <w:r>
        <w:t xml:space="preserve">the </w:t>
      </w:r>
      <w:r w:rsidR="00074F1D">
        <w:t>aggregate consumption shocks</w:t>
      </w:r>
      <w:r>
        <w:t>.</w:t>
      </w:r>
      <w:r w:rsidR="00074F1D">
        <w:t xml:space="preserve"> Furthermore, the traditional Fama and MacBeth</w:t>
      </w:r>
      <w:r w:rsidR="00800E89">
        <w:t>,</w:t>
      </w:r>
      <w:r w:rsidR="00074F1D">
        <w:t xml:space="preserve"> (1973) analysis shows that the exposure to aggregate consumpti</w:t>
      </w:r>
      <w:r w:rsidR="00D057C3">
        <w:t>on shocks can explain about 28</w:t>
      </w:r>
      <w:r w:rsidR="00074F1D">
        <w:t>% variation in the ERPs of the various FTSE indices and the</w:t>
      </w:r>
      <w:r w:rsidR="00733863">
        <w:t>se excess returns</w:t>
      </w:r>
      <w:r w:rsidR="00074F1D">
        <w:t xml:space="preserve"> seems to increase linearly </w:t>
      </w:r>
      <w:r>
        <w:t xml:space="preserve">with </w:t>
      </w:r>
      <w:r w:rsidR="00074F1D">
        <w:t xml:space="preserve">the </w:t>
      </w:r>
      <w:r>
        <w:t xml:space="preserve">increase in the </w:t>
      </w:r>
      <w:r w:rsidR="00074F1D">
        <w:t xml:space="preserve">exposure to aggregate consumption </w:t>
      </w:r>
      <w:r>
        <w:t>shocks.</w:t>
      </w:r>
    </w:p>
    <w:p w:rsidR="00074F1D" w:rsidRDefault="00357163" w:rsidP="004A5752">
      <w:pPr>
        <w:spacing w:line="360" w:lineRule="auto"/>
      </w:pPr>
      <w:r>
        <w:t>O</w:t>
      </w:r>
      <w:r w:rsidR="00FB63A5">
        <w:t xml:space="preserve">ur results for </w:t>
      </w:r>
      <w:r w:rsidR="00074F1D">
        <w:t xml:space="preserve">the </w:t>
      </w:r>
      <w:r w:rsidR="00C760E6">
        <w:t xml:space="preserve">ERPs of </w:t>
      </w:r>
      <w:r w:rsidR="00074F1D">
        <w:t>25 value-weighted Fama-French style portfolios</w:t>
      </w:r>
      <w:r w:rsidR="00FB63A5">
        <w:t xml:space="preserve"> are f</w:t>
      </w:r>
      <w:r w:rsidR="00074F1D">
        <w:t>airly similar</w:t>
      </w:r>
      <w:r w:rsidR="00FB63A5">
        <w:t>.</w:t>
      </w:r>
      <w:r w:rsidR="00074F1D">
        <w:t xml:space="preserve"> </w:t>
      </w:r>
      <w:r w:rsidR="00FB63A5">
        <w:t>A</w:t>
      </w:r>
      <w:r w:rsidR="00074F1D">
        <w:t>ggregate personal consumption shocks have a negative impact on the ERPs of the 25 portfolios. On the basis of size characteristic, the ERPs of portfolios of small stocks are relatively more sensitive to</w:t>
      </w:r>
      <w:r w:rsidR="00C64592">
        <w:t xml:space="preserve"> aggregate consumption shocks</w:t>
      </w:r>
      <w:r w:rsidR="00D057C3">
        <w:t xml:space="preserve"> than the ERPs of large stocks</w:t>
      </w:r>
      <w:r w:rsidR="00FB63A5">
        <w:t>.</w:t>
      </w:r>
      <w:r w:rsidR="00074F1D">
        <w:t xml:space="preserve"> </w:t>
      </w:r>
      <w:r w:rsidR="00FB63A5">
        <w:t>T</w:t>
      </w:r>
      <w:r w:rsidR="00074F1D">
        <w:t xml:space="preserve">he ERPs of portfolio of value stocks are more sensitive to the aggregate personal consumption shocks than </w:t>
      </w:r>
      <w:r w:rsidR="00FB63A5">
        <w:t xml:space="preserve">the ERPs of portfolio of </w:t>
      </w:r>
      <w:r w:rsidR="00074F1D">
        <w:t>growth stocks</w:t>
      </w:r>
      <w:r w:rsidR="000D437C">
        <w:t xml:space="preserve">. </w:t>
      </w:r>
      <w:r w:rsidR="00FB63A5">
        <w:t>A</w:t>
      </w:r>
      <w:r w:rsidR="00074F1D">
        <w:t>ggregate personal consumption sho</w:t>
      </w:r>
      <w:r w:rsidR="00D057C3">
        <w:t>cks can explain approximately 44</w:t>
      </w:r>
      <w:r w:rsidR="00074F1D">
        <w:t xml:space="preserve">% variation in the ERPs of the 25 </w:t>
      </w:r>
      <w:r w:rsidR="000D437C">
        <w:t xml:space="preserve">Fama-French </w:t>
      </w:r>
      <w:r w:rsidR="00074F1D">
        <w:t>portfolios</w:t>
      </w:r>
      <w:r w:rsidR="00D057C3">
        <w:t xml:space="preserve"> after controlling for the size, value premiums of </w:t>
      </w:r>
      <w:r w:rsidR="00D057C3">
        <w:fldChar w:fldCharType="begin" w:fldLock="1"/>
      </w:r>
      <w:r w:rsidR="00D057C3">
        <w:instrText>ADDIN CSL_CITATION { "citationItems" : [ { "id" : "ITEM-1", "itemData" : { "author" : [ { "dropping-particle" : "", "family" : "Fama", "given" : "Eugene F", "non-dropping-particle" : "", "parse-names" : false, "suffix" : "" }, { "dropping-particle" : "", "family" : "French", "given" : "Kenneth R", "non-dropping-particle" : "", "parse-names" : false, "suffix" : "" } ], "container-title" : "The Journal of Finance", "id" : "ITEM-1", "issue" : "2", "issued" : { "date-parts" : [ [ "1992" ] ] }, "page" : "427-465", "title" : "The Cross-Section of Expected Stock Returns", "type" : "article-journal", "volume" : "47" }, "uris" : [ "http://www.mendeley.com/documents/?uuid=f2c17401-50b3-4da3-93d4-322d6bc36138" ] } ], "mendeley" : { "formattedCitation" : "(E. F. Fama and French 1992)", "manualFormatting" : "Fama and French (1992)", "plainTextFormattedCitation" : "(E. F. Fama and French 1992)", "previouslyFormattedCitation" : "(E. F. Fama and French 1992)" }, "properties" : { "noteIndex" : 0 }, "schema" : "https://github.com/citation-style-language/schema/raw/master/csl-citation.json" }</w:instrText>
      </w:r>
      <w:r w:rsidR="00D057C3">
        <w:fldChar w:fldCharType="separate"/>
      </w:r>
      <w:r w:rsidR="00D057C3" w:rsidRPr="00D057C3">
        <w:rPr>
          <w:noProof/>
        </w:rPr>
        <w:t xml:space="preserve">Fama and French </w:t>
      </w:r>
      <w:r w:rsidR="00D057C3">
        <w:rPr>
          <w:noProof/>
        </w:rPr>
        <w:t>(</w:t>
      </w:r>
      <w:r w:rsidR="00D057C3" w:rsidRPr="00D057C3">
        <w:rPr>
          <w:noProof/>
        </w:rPr>
        <w:t>1992)</w:t>
      </w:r>
      <w:r w:rsidR="00D057C3">
        <w:fldChar w:fldCharType="end"/>
      </w:r>
      <w:r w:rsidR="00D057C3">
        <w:t xml:space="preserve"> and momentum premium of </w:t>
      </w:r>
      <w:r w:rsidR="00D057C3">
        <w:fldChar w:fldCharType="begin" w:fldLock="1"/>
      </w:r>
      <w:r w:rsidR="00D057C3">
        <w:instrText>ADDIN CSL_CITATION { "citationItems" : [ { "id" : "ITEM-1", "itemData" : { "author" : [ { "dropping-particle" : "", "family" : "Carhart", "given" : "Mark M.", "non-dropping-particle" : "", "parse-names" : false, "suffix" : "" } ], "container-title" : "The Journal of Finance", "id" : "ITEM-1", "issue" : "1", "issued" : { "date-parts" : [ [ "1997" ] ] }, "page" : "57-82", "title" : "On Persistence in Mutual Fund Performance", "type" : "article-journal", "volume" : "52" }, "uris" : [ "http://www.mendeley.com/documents/?uuid=253b316b-5ee3-4f46-a9de-ca186c073a1e" ] } ], "mendeley" : { "formattedCitation" : "(Carhart 1997)", "manualFormatting" : "Carhart (1997)", "plainTextFormattedCitation" : "(Carhart 1997)", "previouslyFormattedCitation" : "(Carhart 1997)" }, "properties" : { "noteIndex" : 0 }, "schema" : "https://github.com/citation-style-language/schema/raw/master/csl-citation.json" }</w:instrText>
      </w:r>
      <w:r w:rsidR="00D057C3">
        <w:fldChar w:fldCharType="separate"/>
      </w:r>
      <w:r w:rsidR="00D057C3" w:rsidRPr="00D057C3">
        <w:rPr>
          <w:noProof/>
        </w:rPr>
        <w:t xml:space="preserve">Carhart </w:t>
      </w:r>
      <w:r w:rsidR="00D057C3">
        <w:rPr>
          <w:noProof/>
        </w:rPr>
        <w:t>(</w:t>
      </w:r>
      <w:r w:rsidR="00D057C3" w:rsidRPr="00D057C3">
        <w:rPr>
          <w:noProof/>
        </w:rPr>
        <w:t>1997)</w:t>
      </w:r>
      <w:r w:rsidR="00D057C3">
        <w:fldChar w:fldCharType="end"/>
      </w:r>
      <w:r w:rsidR="00074F1D">
        <w:t>.</w:t>
      </w:r>
    </w:p>
    <w:p w:rsidR="00E74629" w:rsidRDefault="00357163" w:rsidP="004A5752">
      <w:pPr>
        <w:spacing w:line="360" w:lineRule="auto"/>
      </w:pPr>
      <w:r>
        <w:t xml:space="preserve">Finally, </w:t>
      </w:r>
      <w:r w:rsidR="00074F1D">
        <w:t xml:space="preserve">shocks to </w:t>
      </w:r>
      <w:r w:rsidR="00B97DC9">
        <w:t xml:space="preserve">the </w:t>
      </w:r>
      <w:r w:rsidR="00074F1D">
        <w:t>durable</w:t>
      </w:r>
      <w:r w:rsidR="00B97DC9">
        <w:t xml:space="preserve"> and the</w:t>
      </w:r>
      <w:r w:rsidR="00074F1D">
        <w:t xml:space="preserve"> semi-durable consumption </w:t>
      </w:r>
      <w:r w:rsidR="00FB63A5">
        <w:t xml:space="preserve">have a negative impact on the ERPs </w:t>
      </w:r>
      <w:r w:rsidR="00074F1D">
        <w:t>of the various FTSE indices</w:t>
      </w:r>
      <w:r w:rsidR="00FB63A5">
        <w:t xml:space="preserve"> as well as sectoral indices. </w:t>
      </w:r>
      <w:r w:rsidR="00074F1D">
        <w:t xml:space="preserve">On the contrary, the </w:t>
      </w:r>
      <w:r w:rsidR="006A4A65">
        <w:t>shocks to non-durable consumption exert</w:t>
      </w:r>
      <w:r w:rsidR="00074F1D">
        <w:t xml:space="preserve"> </w:t>
      </w:r>
      <w:r w:rsidR="00FB63A5">
        <w:t xml:space="preserve">a </w:t>
      </w:r>
      <w:r w:rsidR="00074F1D">
        <w:t xml:space="preserve">positive impact on the ERPs of FTSE indices. This </w:t>
      </w:r>
      <w:r w:rsidR="00FB63A5">
        <w:t xml:space="preserve">implies </w:t>
      </w:r>
      <w:r w:rsidR="00074F1D">
        <w:t>that durable and semi-durable consumption exhibits more pro-cyclical properties than non-durable consumption</w:t>
      </w:r>
      <w:r w:rsidR="00872DF3">
        <w:t xml:space="preserve">. </w:t>
      </w:r>
      <w:r w:rsidR="00074F1D">
        <w:t xml:space="preserve">Furthermore, the cross-sectional regression </w:t>
      </w:r>
      <w:r w:rsidR="00FB63A5">
        <w:t>results suggest</w:t>
      </w:r>
      <w:r w:rsidR="002B5793">
        <w:t xml:space="preserve"> that</w:t>
      </w:r>
      <w:r w:rsidR="00FB63A5">
        <w:t xml:space="preserve"> t</w:t>
      </w:r>
      <w:r w:rsidR="00074F1D">
        <w:t xml:space="preserve">he ERP increases </w:t>
      </w:r>
      <w:r w:rsidR="00FB63A5">
        <w:t xml:space="preserve">with the increase in the </w:t>
      </w:r>
      <w:r w:rsidR="00074F1D">
        <w:t xml:space="preserve">exposure to the shocks </w:t>
      </w:r>
      <w:r w:rsidR="00FB63A5">
        <w:t xml:space="preserve">in </w:t>
      </w:r>
      <w:r w:rsidR="00074F1D">
        <w:t>durable and semi-durable consumption</w:t>
      </w:r>
      <w:r w:rsidR="00FB63A5">
        <w:t>. O</w:t>
      </w:r>
      <w:r w:rsidR="00074F1D">
        <w:t>n the contrary</w:t>
      </w:r>
      <w:r w:rsidR="00FB63A5">
        <w:t>,</w:t>
      </w:r>
      <w:r w:rsidR="00074F1D">
        <w:t xml:space="preserve"> the ERP decreases </w:t>
      </w:r>
      <w:r w:rsidR="00FB63A5">
        <w:t xml:space="preserve">with the increase in </w:t>
      </w:r>
      <w:r w:rsidR="00074F1D">
        <w:t>exposure to non-durable consumption shocks</w:t>
      </w:r>
      <w:r w:rsidR="00FB63A5">
        <w:t>.</w:t>
      </w:r>
      <w:r w:rsidR="00074F1D">
        <w:t xml:space="preserve"> </w:t>
      </w:r>
      <w:r w:rsidR="00FB63A5">
        <w:t xml:space="preserve">Our results are broadly similar for </w:t>
      </w:r>
      <w:r w:rsidR="00074F1D">
        <w:t>the 2</w:t>
      </w:r>
      <w:r w:rsidR="00466255">
        <w:t>5 Fama-French portfolios.</w:t>
      </w:r>
    </w:p>
    <w:p w:rsidR="00AF14D8" w:rsidRDefault="00074F1D" w:rsidP="004A5752">
      <w:pPr>
        <w:spacing w:line="360" w:lineRule="auto"/>
      </w:pPr>
      <w:r>
        <w:t xml:space="preserve">The </w:t>
      </w:r>
      <w:r w:rsidR="00733863">
        <w:t xml:space="preserve">remainder of the </w:t>
      </w:r>
      <w:r>
        <w:t xml:space="preserve">paper is organised as follows; Section 2 </w:t>
      </w:r>
      <w:r w:rsidR="00E74629">
        <w:t xml:space="preserve">explains </w:t>
      </w:r>
      <w:r w:rsidR="005F120F">
        <w:t xml:space="preserve">the theoretical background and </w:t>
      </w:r>
      <w:r w:rsidR="00E74629">
        <w:t xml:space="preserve">our empirical approach </w:t>
      </w:r>
      <w:r w:rsidR="005F120F">
        <w:t xml:space="preserve">used in the study. </w:t>
      </w:r>
      <w:r>
        <w:t xml:space="preserve">Section 3 describes the data used. Section 4 </w:t>
      </w:r>
      <w:r w:rsidR="00E74629">
        <w:t xml:space="preserve">discusses the empirical </w:t>
      </w:r>
      <w:r>
        <w:t>results and section 5 concludes.</w:t>
      </w:r>
    </w:p>
    <w:p w:rsidR="00306430" w:rsidRPr="00C760E6" w:rsidRDefault="00AC0017" w:rsidP="001C67D1">
      <w:pPr>
        <w:pStyle w:val="Heading1"/>
        <w:numPr>
          <w:ilvl w:val="0"/>
          <w:numId w:val="1"/>
        </w:numPr>
        <w:spacing w:line="360" w:lineRule="auto"/>
        <w:jc w:val="center"/>
        <w:rPr>
          <w:rFonts w:ascii="Times New Roman" w:hAnsi="Times New Roman" w:cs="Times New Roman"/>
          <w:color w:val="000000" w:themeColor="text1"/>
        </w:rPr>
      </w:pPr>
      <w:r w:rsidRPr="00C760E6">
        <w:rPr>
          <w:rFonts w:ascii="Times New Roman" w:hAnsi="Times New Roman" w:cs="Times New Roman"/>
          <w:color w:val="000000" w:themeColor="text1"/>
        </w:rPr>
        <w:t xml:space="preserve">Theoretical background and </w:t>
      </w:r>
      <w:r w:rsidR="005D05E8" w:rsidRPr="00C760E6">
        <w:rPr>
          <w:rFonts w:ascii="Times New Roman" w:hAnsi="Times New Roman" w:cs="Times New Roman"/>
          <w:color w:val="000000" w:themeColor="text1"/>
        </w:rPr>
        <w:t>Empirical Framework</w:t>
      </w:r>
    </w:p>
    <w:p w:rsidR="001E5DA2" w:rsidRPr="003C010F" w:rsidRDefault="002F423E" w:rsidP="001C67D1">
      <w:pPr>
        <w:pStyle w:val="Heading2"/>
        <w:numPr>
          <w:ilvl w:val="1"/>
          <w:numId w:val="1"/>
        </w:numPr>
        <w:spacing w:line="360" w:lineRule="auto"/>
        <w:jc w:val="center"/>
        <w:rPr>
          <w:color w:val="000000" w:themeColor="text1"/>
        </w:rPr>
      </w:pPr>
      <w:r w:rsidRPr="00C760E6">
        <w:rPr>
          <w:rFonts w:ascii="Times New Roman" w:hAnsi="Times New Roman" w:cs="Times New Roman"/>
          <w:color w:val="000000" w:themeColor="text1"/>
        </w:rPr>
        <w:t>Theoretical Background</w:t>
      </w:r>
    </w:p>
    <w:p w:rsidR="009A3AEC" w:rsidRDefault="009A1434" w:rsidP="004A5752">
      <w:pPr>
        <w:spacing w:line="360" w:lineRule="auto"/>
      </w:pPr>
      <w:r>
        <w:t xml:space="preserve">Under the canonical </w:t>
      </w:r>
      <w:r w:rsidR="00C06213">
        <w:t>CCAPM,</w:t>
      </w:r>
      <w:r>
        <w:t xml:space="preserve"> </w:t>
      </w:r>
      <w:r w:rsidR="0002625C">
        <w:t>expected excess returns on risky assets</w:t>
      </w:r>
      <w:r>
        <w:t xml:space="preserve"> are related to consumption risk.  </w:t>
      </w:r>
      <w:r w:rsidR="009A3AEC">
        <w:t xml:space="preserve">As discussed in the introduction, a representative agent prefers not to have choppy future consumption levels and maximise the expected future utility of consumption discounted by the </w:t>
      </w:r>
      <w:r w:rsidR="009A3AEC" w:rsidRPr="00A931B3">
        <w:t>agent’s impatience</w:t>
      </w:r>
      <w:r w:rsidR="009A3AEC">
        <w:t>. This is represented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5"/>
        <w:gridCol w:w="1311"/>
      </w:tblGrid>
      <w:tr w:rsidR="009A3AEC" w:rsidTr="00D1111C">
        <w:tc>
          <w:tcPr>
            <w:tcW w:w="7905" w:type="dxa"/>
          </w:tcPr>
          <w:p w:rsidR="009A3AEC" w:rsidRDefault="009A3AEC" w:rsidP="004A5752">
            <w:pPr>
              <w:spacing w:line="360" w:lineRule="auto"/>
              <w:jc w:val="center"/>
            </w:pPr>
            <m:oMathPara>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t+1</m:t>
                        </m:r>
                      </m:sub>
                    </m:sSub>
                  </m:e>
                </m:d>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t</m:t>
                        </m:r>
                      </m:sub>
                    </m:sSub>
                  </m:e>
                </m:d>
                <m:r>
                  <w:rPr>
                    <w:rFonts w:ascii="Cambria Math" w:hAnsi="Cambria Math"/>
                  </w:rPr>
                  <m:t>+β.</m:t>
                </m:r>
                <m:sSub>
                  <m:sSubPr>
                    <m:ctrlPr>
                      <w:rPr>
                        <w:rFonts w:ascii="Cambria Math" w:hAnsi="Cambria Math"/>
                        <w:i/>
                      </w:rPr>
                    </m:ctrlPr>
                  </m:sSubPr>
                  <m:e>
                    <m:r>
                      <w:rPr>
                        <w:rFonts w:ascii="Cambria Math" w:hAnsi="Cambria Math"/>
                      </w:rPr>
                      <m:t>E</m:t>
                    </m:r>
                  </m:e>
                  <m:sub>
                    <m:r>
                      <w:rPr>
                        <w:rFonts w:ascii="Cambria Math" w:hAnsi="Cambria Math"/>
                      </w:rPr>
                      <m:t>t</m:t>
                    </m:r>
                  </m:sub>
                </m:sSub>
                <m:d>
                  <m:dPr>
                    <m:begChr m:val="["/>
                    <m:endChr m:val="]"/>
                    <m:ctrlPr>
                      <w:rPr>
                        <w:rFonts w:ascii="Cambria Math" w:hAnsi="Cambria Math"/>
                        <w:i/>
                      </w:rPr>
                    </m:ctrlPr>
                  </m:dPr>
                  <m:e>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t+1</m:t>
                            </m:r>
                          </m:sub>
                        </m:sSub>
                      </m:e>
                    </m:d>
                  </m:e>
                </m:d>
              </m:oMath>
            </m:oMathPara>
          </w:p>
        </w:tc>
        <w:tc>
          <w:tcPr>
            <w:tcW w:w="1337" w:type="dxa"/>
          </w:tcPr>
          <w:p w:rsidR="009A3AEC" w:rsidRDefault="009A3AEC" w:rsidP="004A5752">
            <w:pPr>
              <w:spacing w:line="360" w:lineRule="auto"/>
              <w:jc w:val="center"/>
            </w:pPr>
            <w:r>
              <w:t>(1)</w:t>
            </w:r>
          </w:p>
        </w:tc>
      </w:tr>
    </w:tbl>
    <w:p w:rsidR="001E5DA2" w:rsidRDefault="001E5DA2" w:rsidP="004A5752">
      <w:pPr>
        <w:spacing w:line="360" w:lineRule="auto"/>
      </w:pPr>
    </w:p>
    <w:p w:rsidR="003E3075" w:rsidRDefault="009A3AEC" w:rsidP="004A5752">
      <w:pPr>
        <w:spacing w:line="360" w:lineRule="auto"/>
        <w:rPr>
          <w:rFonts w:eastAsiaTheme="minorEastAsia"/>
        </w:rPr>
      </w:pPr>
      <w:r>
        <w:t xml:space="preserve">where, the period utility function </w:t>
      </w:r>
      <m:oMath>
        <m:r>
          <w:rPr>
            <w:rFonts w:ascii="Cambria Math" w:hAnsi="Cambria Math"/>
          </w:rPr>
          <m:t>u(.)</m:t>
        </m:r>
      </m:oMath>
      <w:r>
        <w:rPr>
          <w:rFonts w:eastAsiaTheme="minorEastAsia"/>
        </w:rPr>
        <w:t xml:space="preserve"> is concave and </w:t>
      </w:r>
      <w:r w:rsidR="00E0186C">
        <w:rPr>
          <w:rFonts w:eastAsiaTheme="minorEastAsia"/>
        </w:rPr>
        <w:t>increases with the increase in the level</w:t>
      </w:r>
      <w:r>
        <w:rPr>
          <w:rFonts w:eastAsiaTheme="minorEastAsia"/>
        </w:rPr>
        <w:t xml:space="preserve"> of consumption, </w:t>
      </w:r>
      <m:oMath>
        <m:r>
          <w:rPr>
            <w:rFonts w:ascii="Cambria Math" w:eastAsiaTheme="minorEastAsia" w:hAnsi="Cambria Math"/>
          </w:rPr>
          <m:t>0&lt;</m:t>
        </m:r>
        <m:r>
          <w:rPr>
            <w:rFonts w:ascii="Cambria Math" w:hAnsi="Cambria Math"/>
          </w:rPr>
          <m:t>β&lt;1</m:t>
        </m:r>
      </m:oMath>
      <w:r w:rsidR="00321097">
        <w:rPr>
          <w:rFonts w:eastAsiaTheme="minorEastAsia"/>
        </w:rPr>
        <w:t xml:space="preserve"> captures</w:t>
      </w:r>
      <w:r>
        <w:rPr>
          <w:rFonts w:eastAsiaTheme="minorEastAsia"/>
        </w:rPr>
        <w:t xml:space="preserve"> the agent’s impatience</w:t>
      </w:r>
      <w:r w:rsidR="00321097">
        <w:rPr>
          <w:rFonts w:eastAsiaTheme="minorEastAsia"/>
        </w:rPr>
        <w:t xml:space="preserve">. </w:t>
      </w:r>
      <w:r w:rsidR="00E0186C">
        <w:rPr>
          <w:rFonts w:eastAsiaTheme="minorEastAsia"/>
        </w:rPr>
        <w:t>The u</w:t>
      </w:r>
      <w:r w:rsidR="00321097">
        <w:rPr>
          <w:rFonts w:eastAsiaTheme="minorEastAsia"/>
        </w:rPr>
        <w:t xml:space="preserve">tility function </w:t>
      </w:r>
      <w:r w:rsidR="00E0186C">
        <w:rPr>
          <w:rFonts w:eastAsiaTheme="minorEastAsia"/>
        </w:rPr>
        <w:t xml:space="preserve">in (1) </w:t>
      </w:r>
      <w:r w:rsidR="00321097">
        <w:rPr>
          <w:rFonts w:eastAsiaTheme="minorEastAsia"/>
        </w:rPr>
        <w:t>imply that agents strictly prefer increasing consumption (“greedy”) however the marginal utility of consumption diminishes over time (</w:t>
      </w:r>
      <m:oMath>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m:t>
            </m:r>
          </m:sup>
        </m:sSup>
        <m:r>
          <w:rPr>
            <w:rFonts w:ascii="Cambria Math" w:eastAsiaTheme="minorEastAsia" w:hAnsi="Cambria Math"/>
          </w:rPr>
          <m:t>&lt;0)</m:t>
        </m:r>
      </m:oMath>
      <w:r w:rsidR="00321097">
        <w:rPr>
          <w:rFonts w:eastAsiaTheme="minorEastAsia"/>
        </w:rPr>
        <w:t>. Under the assumption that the agent can freely trade assets to smooth the consumption</w:t>
      </w:r>
      <w:r w:rsidR="00521CFD">
        <w:rPr>
          <w:rFonts w:eastAsiaTheme="minorEastAsia"/>
        </w:rPr>
        <w:t>,</w:t>
      </w:r>
      <w:r w:rsidR="00321097">
        <w:rPr>
          <w:rFonts w:eastAsiaTheme="minorEastAsia"/>
        </w:rPr>
        <w:t xml:space="preserve"> along with the objective of maximising the utility of consumption in presence of inter-temporal budget constrain, the agent</w:t>
      </w:r>
      <w:r w:rsidR="009A1434">
        <w:rPr>
          <w:rFonts w:eastAsiaTheme="minorEastAsia"/>
        </w:rPr>
        <w:t>’s first order condition for an</w:t>
      </w:r>
      <w:r w:rsidR="00321097">
        <w:rPr>
          <w:rFonts w:eastAsiaTheme="minorEastAsia"/>
        </w:rPr>
        <w:t xml:space="preserve"> optimal consumption and portfolio choice is given </w:t>
      </w:r>
      <w:r w:rsidR="00E0186C">
        <w:rPr>
          <w:rFonts w:eastAsiaTheme="minorEastAsia"/>
        </w:rPr>
        <w:t>by</w:t>
      </w:r>
      <w:r w:rsidR="00321097">
        <w:rPr>
          <w:rFonts w:eastAsiaTheme="minorEastAs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8"/>
        <w:gridCol w:w="1308"/>
      </w:tblGrid>
      <w:tr w:rsidR="003E3075" w:rsidTr="00D1111C">
        <w:tc>
          <w:tcPr>
            <w:tcW w:w="7905" w:type="dxa"/>
          </w:tcPr>
          <w:p w:rsidR="003E3075" w:rsidRDefault="005E14F1" w:rsidP="004A5752">
            <w:pPr>
              <w:spacing w:line="360" w:lineRule="auto"/>
              <w:jc w:val="cente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m:t>
                        </m:r>
                      </m:sub>
                    </m:sSub>
                  </m:e>
                </m:d>
                <m:r>
                  <w:rPr>
                    <w:rFonts w:ascii="Cambria Math" w:eastAsiaTheme="minorEastAsia" w:hAnsi="Cambria Math"/>
                  </w:rPr>
                  <m:t>=E</m:t>
                </m:r>
                <m:d>
                  <m:dPr>
                    <m:begChr m:val="["/>
                    <m:endChr m:val="]"/>
                    <m:ctrlPr>
                      <w:rPr>
                        <w:rFonts w:ascii="Cambria Math" w:eastAsiaTheme="minorEastAsia" w:hAnsi="Cambria Math"/>
                        <w:i/>
                      </w:rPr>
                    </m:ctrlPr>
                  </m:dPr>
                  <m:e>
                    <m:r>
                      <w:rPr>
                        <w:rFonts w:ascii="Cambria Math" w:eastAsiaTheme="minorEastAsia" w:hAnsi="Cambria Math"/>
                      </w:rPr>
                      <m:t>β.</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t+1</m:t>
                        </m:r>
                      </m:sub>
                    </m:sSub>
                  </m:e>
                </m:d>
              </m:oMath>
            </m:oMathPara>
          </w:p>
        </w:tc>
        <w:tc>
          <w:tcPr>
            <w:tcW w:w="1337" w:type="dxa"/>
          </w:tcPr>
          <w:p w:rsidR="003E3075" w:rsidRDefault="003E3075" w:rsidP="004A5752">
            <w:pPr>
              <w:spacing w:line="360" w:lineRule="auto"/>
              <w:jc w:val="center"/>
            </w:pPr>
            <w:r>
              <w:t>(2)</w:t>
            </w:r>
          </w:p>
        </w:tc>
      </w:tr>
    </w:tbl>
    <w:p w:rsidR="009A3AEC" w:rsidRDefault="00321097" w:rsidP="004A5752">
      <w:pPr>
        <w:spacing w:line="360" w:lineRule="auto"/>
        <w:rPr>
          <w:rFonts w:eastAsiaTheme="minorEastAsia"/>
        </w:rPr>
      </w:pPr>
      <w:r>
        <w:rPr>
          <w:rFonts w:eastAsiaTheme="minorEastAsia"/>
        </w:rPr>
        <w:t xml:space="preserve"> </w:t>
      </w:r>
      <w:r w:rsidR="009A3AEC">
        <w:rPr>
          <w:rFonts w:eastAsiaTheme="minorEastAsia"/>
        </w:rPr>
        <w:t xml:space="preserve"> </w:t>
      </w:r>
    </w:p>
    <w:p w:rsidR="00C87C3D" w:rsidRDefault="003E3075" w:rsidP="004A5752">
      <w:pPr>
        <w:spacing w:line="360" w:lineRule="auto"/>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t+1</m:t>
            </m:r>
          </m:sub>
        </m:sSub>
      </m:oMath>
      <w:r w:rsidR="002B4A10">
        <w:rPr>
          <w:rFonts w:eastAsiaTheme="minorEastAsia"/>
        </w:rPr>
        <w:t xml:space="preserve"> is the total payoff from the asset with price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oMath>
      <w:r w:rsidR="009A1434">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m:t>
            </m:r>
          </m:sub>
        </m:sSub>
      </m:oMath>
      <w:r w:rsidR="009A1434">
        <w:rPr>
          <w:rFonts w:eastAsiaTheme="minorEastAsia"/>
        </w:rPr>
        <w:t xml:space="preserve"> is the consumption level at time </w:t>
      </w:r>
      <w:r w:rsidR="009A1434">
        <w:rPr>
          <w:rFonts w:eastAsiaTheme="minorEastAsia"/>
          <w:i/>
        </w:rPr>
        <w:t>t</w:t>
      </w:r>
      <w:r w:rsidR="002B4A10">
        <w:rPr>
          <w:rFonts w:eastAsiaTheme="minorEastAsia"/>
        </w:rPr>
        <w:t xml:space="preserve">. Equation 2 implies that loss in utility by giving up the current consumption and using the proceeds to buy an asset at price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oMath>
      <w:r w:rsidR="002B4A10">
        <w:rPr>
          <w:rFonts w:eastAsiaTheme="minorEastAsia"/>
        </w:rPr>
        <w:t xml:space="preserve"> must be at the most equal to discounted future augmented utility. </w:t>
      </w:r>
      <w:r w:rsidR="00811A1B">
        <w:rPr>
          <w:rFonts w:eastAsiaTheme="minorEastAsia"/>
        </w:rPr>
        <w:t xml:space="preserve">In other words, the marginal cost of losing the consumption must be equal to marginal gain in the utility of consumption due to the expected random payoff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t+1</m:t>
            </m:r>
          </m:sub>
        </m:sSub>
      </m:oMath>
      <w:r w:rsidR="00811A1B">
        <w:rPr>
          <w:rFonts w:eastAsiaTheme="minorEastAsia"/>
        </w:rPr>
        <w:t xml:space="preserve"> f</w:t>
      </w:r>
      <w:r w:rsidR="00E0186C">
        <w:rPr>
          <w:rFonts w:eastAsiaTheme="minorEastAsia"/>
        </w:rPr>
        <w:t>ro</w:t>
      </w:r>
      <w:r w:rsidR="00811A1B">
        <w:rPr>
          <w:rFonts w:eastAsiaTheme="minorEastAsia"/>
        </w:rPr>
        <w:t xml:space="preserve">m the purchased asset. </w:t>
      </w:r>
      <w:r w:rsidR="002B4A10">
        <w:rPr>
          <w:rFonts w:eastAsiaTheme="minorEastAsia"/>
        </w:rPr>
        <w:t>This is the Euler equation</w:t>
      </w:r>
      <w:r w:rsidR="00D62A62">
        <w:rPr>
          <w:rFonts w:eastAsiaTheme="minorEastAsia"/>
        </w:rPr>
        <w:t>,</w:t>
      </w:r>
      <w:r w:rsidR="002B4A10">
        <w:rPr>
          <w:rFonts w:eastAsiaTheme="minorEastAsia"/>
        </w:rPr>
        <w:t xml:space="preserve"> </w:t>
      </w:r>
      <w:r w:rsidR="00C87C3D">
        <w:rPr>
          <w:rFonts w:eastAsiaTheme="minorEastAsia"/>
        </w:rPr>
        <w:t>which can be 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5"/>
        <w:gridCol w:w="1311"/>
      </w:tblGrid>
      <w:tr w:rsidR="00C87C3D" w:rsidTr="00D1111C">
        <w:tc>
          <w:tcPr>
            <w:tcW w:w="7905" w:type="dxa"/>
          </w:tcPr>
          <w:p w:rsidR="00C87C3D" w:rsidRDefault="00C87C3D" w:rsidP="004A5752">
            <w:pPr>
              <w:spacing w:line="360" w:lineRule="auto"/>
              <w:jc w:val="center"/>
            </w:pPr>
            <m:oMathPara>
              <m:oMath>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t+1</m:t>
                        </m:r>
                      </m:sub>
                    </m:sSub>
                    <m:sSub>
                      <m:sSubPr>
                        <m:ctrlPr>
                          <w:rPr>
                            <w:rFonts w:ascii="Cambria Math" w:hAnsi="Cambria Math"/>
                            <w:i/>
                          </w:rPr>
                        </m:ctrlPr>
                      </m:sSubPr>
                      <m:e>
                        <m:r>
                          <w:rPr>
                            <w:rFonts w:ascii="Cambria Math" w:hAnsi="Cambria Math"/>
                          </w:rPr>
                          <m:t>R</m:t>
                        </m:r>
                      </m:e>
                      <m:sub>
                        <m:r>
                          <w:rPr>
                            <w:rFonts w:ascii="Cambria Math" w:hAnsi="Cambria Math"/>
                          </w:rPr>
                          <m:t>t+1</m:t>
                        </m:r>
                      </m:sub>
                    </m:sSub>
                  </m:e>
                </m:d>
              </m:oMath>
            </m:oMathPara>
          </w:p>
        </w:tc>
        <w:tc>
          <w:tcPr>
            <w:tcW w:w="1337" w:type="dxa"/>
          </w:tcPr>
          <w:p w:rsidR="00C87C3D" w:rsidRDefault="00C87C3D" w:rsidP="004A5752">
            <w:pPr>
              <w:spacing w:line="360" w:lineRule="auto"/>
              <w:jc w:val="center"/>
            </w:pPr>
            <w:r>
              <w:t>(3)</w:t>
            </w:r>
          </w:p>
        </w:tc>
      </w:tr>
    </w:tbl>
    <w:p w:rsidR="00C87C3D" w:rsidRDefault="00C87C3D" w:rsidP="004A5752">
      <w:pPr>
        <w:spacing w:line="360" w:lineRule="auto"/>
      </w:pPr>
    </w:p>
    <w:p w:rsidR="003E3075" w:rsidRDefault="00C87C3D" w:rsidP="004A5752">
      <w:pPr>
        <w:spacing w:line="360" w:lineRule="auto"/>
        <w:rPr>
          <w:rFonts w:eastAsiaTheme="minorEastAsia"/>
        </w:rPr>
      </w:pPr>
      <w:r>
        <w:t xml:space="preserve">where </w:t>
      </w:r>
      <m:oMath>
        <m:sSub>
          <m:sSubPr>
            <m:ctrlPr>
              <w:rPr>
                <w:rFonts w:ascii="Cambria Math" w:hAnsi="Cambria Math"/>
                <w:i/>
              </w:rPr>
            </m:ctrlPr>
          </m:sSubPr>
          <m:e>
            <m:r>
              <w:rPr>
                <w:rFonts w:ascii="Cambria Math" w:hAnsi="Cambria Math"/>
              </w:rPr>
              <m:t>R</m:t>
            </m:r>
          </m:e>
          <m:sub>
            <m:r>
              <w:rPr>
                <w:rFonts w:ascii="Cambria Math" w:hAnsi="Cambria Math"/>
              </w:rPr>
              <m:t>t+1</m:t>
            </m:r>
          </m:sub>
        </m:sSub>
      </m:oMath>
      <w:r>
        <w:rPr>
          <w:rFonts w:eastAsiaTheme="minorEastAsia"/>
        </w:rPr>
        <w:t xml:space="preserve"> is the gross rate of return and  </w:t>
      </w:r>
      <m:oMath>
        <m:sSub>
          <m:sSubPr>
            <m:ctrlPr>
              <w:rPr>
                <w:rFonts w:ascii="Cambria Math" w:hAnsi="Cambria Math"/>
                <w:i/>
              </w:rPr>
            </m:ctrlPr>
          </m:sSubPr>
          <m:e>
            <m:r>
              <w:rPr>
                <w:rFonts w:ascii="Cambria Math" w:hAnsi="Cambria Math"/>
              </w:rPr>
              <m:t>m</m:t>
            </m:r>
          </m:e>
          <m:sub>
            <m:r>
              <w:rPr>
                <w:rFonts w:ascii="Cambria Math" w:hAnsi="Cambria Math"/>
              </w:rPr>
              <m:t>t+1</m:t>
            </m:r>
          </m:sub>
        </m:sSub>
        <m:r>
          <w:rPr>
            <w:rFonts w:ascii="Cambria Math" w:eastAsiaTheme="minorEastAsia" w:hAnsi="Cambria Math"/>
          </w:rPr>
          <m:t>=β.</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t+1</m:t>
                    </m:r>
                  </m:sub>
                </m:sSub>
              </m:e>
            </m:d>
          </m:num>
          <m:den>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m:t>
                    </m:r>
                  </m:sub>
                </m:sSub>
              </m:e>
            </m:d>
          </m:den>
        </m:f>
      </m:oMath>
      <w:r>
        <w:rPr>
          <w:rFonts w:eastAsiaTheme="minorEastAsia"/>
        </w:rPr>
        <w:t xml:space="preserve"> is the stochastic discount factor which is equal to the intertemporal marginal rate of substitution. Since the marginal investment in the asset results in same </w:t>
      </w:r>
      <w:r w:rsidR="00E0186C">
        <w:rPr>
          <w:rFonts w:eastAsiaTheme="minorEastAsia"/>
        </w:rPr>
        <w:t xml:space="preserve">level of </w:t>
      </w:r>
      <w:r>
        <w:rPr>
          <w:rFonts w:eastAsiaTheme="minorEastAsia"/>
        </w:rPr>
        <w:t>increase in the expected future utility,</w:t>
      </w:r>
      <w:r w:rsidR="00521CFD">
        <w:rPr>
          <w:rFonts w:eastAsiaTheme="minorEastAsia"/>
        </w:rPr>
        <w:t xml:space="preserve"> and since the excess return on any risky asset (ERP) is the </w:t>
      </w:r>
      <w:r w:rsidR="00C84CE3">
        <w:rPr>
          <w:rFonts w:eastAsiaTheme="minorEastAsia"/>
        </w:rPr>
        <w:t xml:space="preserve">return on </w:t>
      </w:r>
      <w:r w:rsidR="00521CFD">
        <w:rPr>
          <w:rFonts w:eastAsiaTheme="minorEastAsia"/>
        </w:rPr>
        <w:t>zero-cost portfolio</w:t>
      </w:r>
      <w:r w:rsidR="00C84CE3">
        <w:rPr>
          <w:rFonts w:eastAsiaTheme="minorEastAsia"/>
        </w:rPr>
        <w:t>,</w:t>
      </w:r>
      <w:r>
        <w:rPr>
          <w:rFonts w:eastAsiaTheme="minorEastAsia"/>
        </w:rPr>
        <w:t xml:space="preserve"> </w:t>
      </w:r>
      <w:r w:rsidR="00521CFD">
        <w:rPr>
          <w:rFonts w:eastAsiaTheme="minorEastAsia"/>
        </w:rPr>
        <w:t>it</w:t>
      </w:r>
      <w:r>
        <w:rPr>
          <w:rFonts w:eastAsiaTheme="minorEastAsia"/>
        </w:rPr>
        <w:t xml:space="preserve"> can </w:t>
      </w:r>
      <w:r w:rsidR="00F579B6">
        <w:rPr>
          <w:rFonts w:eastAsiaTheme="minorEastAsia"/>
        </w:rPr>
        <w:t xml:space="preserve">be </w:t>
      </w:r>
      <w:r>
        <w:rPr>
          <w:rFonts w:eastAsiaTheme="minorEastAsia"/>
        </w:rPr>
        <w:t>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7"/>
        <w:gridCol w:w="1309"/>
      </w:tblGrid>
      <w:tr w:rsidR="00C87C3D" w:rsidTr="00D1111C">
        <w:tc>
          <w:tcPr>
            <w:tcW w:w="7905" w:type="dxa"/>
          </w:tcPr>
          <w:p w:rsidR="00C87C3D" w:rsidRDefault="00C87C3D" w:rsidP="004A5752">
            <w:pPr>
              <w:spacing w:line="360" w:lineRule="auto"/>
              <w:jc w:val="center"/>
            </w:pPr>
            <m:oMathPara>
              <m:oMath>
                <m:r>
                  <w:rPr>
                    <w:rFonts w:ascii="Cambria Math" w:hAnsi="Cambria Math"/>
                  </w:rPr>
                  <m:t>0=</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t+1</m:t>
                        </m:r>
                      </m:sub>
                    </m:sSub>
                  </m:e>
                </m:d>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t+1</m:t>
                    </m:r>
                  </m:sub>
                  <m:sup>
                    <m:r>
                      <w:rPr>
                        <w:rFonts w:ascii="Cambria Math" w:hAnsi="Cambria Math"/>
                      </w:rPr>
                      <m:t>e</m:t>
                    </m:r>
                  </m:sup>
                </m:sSubSup>
                <m:r>
                  <w:rPr>
                    <w:rFonts w:ascii="Cambria Math" w:hAnsi="Cambria Math"/>
                  </w:rPr>
                  <m:t>]</m:t>
                </m:r>
              </m:oMath>
            </m:oMathPara>
          </w:p>
        </w:tc>
        <w:tc>
          <w:tcPr>
            <w:tcW w:w="1337" w:type="dxa"/>
          </w:tcPr>
          <w:p w:rsidR="00C87C3D" w:rsidRDefault="00C87C3D" w:rsidP="004A5752">
            <w:pPr>
              <w:spacing w:line="360" w:lineRule="auto"/>
              <w:jc w:val="center"/>
            </w:pPr>
            <w:r>
              <w:t>(4)</w:t>
            </w:r>
          </w:p>
        </w:tc>
      </w:tr>
    </w:tbl>
    <w:p w:rsidR="00C87C3D" w:rsidRDefault="00C87C3D" w:rsidP="004A5752">
      <w:pPr>
        <w:spacing w:line="360" w:lineRule="auto"/>
      </w:pPr>
    </w:p>
    <w:p w:rsidR="00D1111C" w:rsidRPr="001E5DA2" w:rsidRDefault="005D05E8" w:rsidP="004A5752">
      <w:pPr>
        <w:spacing w:line="360" w:lineRule="auto"/>
      </w:pPr>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t+1</m:t>
            </m:r>
          </m:sub>
          <m:sup>
            <m:r>
              <w:rPr>
                <w:rFonts w:ascii="Cambria Math" w:hAnsi="Cambria Math"/>
              </w:rPr>
              <m:t>e</m:t>
            </m:r>
          </m:sup>
        </m:sSubSup>
      </m:oMath>
      <w:r>
        <w:rPr>
          <w:rFonts w:eastAsiaTheme="minorEastAsia"/>
        </w:rPr>
        <w:t xml:space="preserve"> is the ERP of the risky asset. </w:t>
      </w:r>
      <w:r w:rsidR="00D1111C">
        <w:t>Equation (4) implies that excess returns on any risky asset are sensitive to its co</w:t>
      </w:r>
      <w:r w:rsidR="00241C28">
        <w:t>-</w:t>
      </w:r>
      <w:r w:rsidR="00D1111C">
        <w:t>movement with consumption le</w:t>
      </w:r>
      <w:r w:rsidR="00466255">
        <w:t>vel of the agent. Therefore, a</w:t>
      </w:r>
      <w:r w:rsidR="00D1111C">
        <w:t xml:space="preserve"> shock to consumption </w:t>
      </w:r>
      <w:r w:rsidR="00F12F5F">
        <w:t xml:space="preserve">level that may arise due to </w:t>
      </w:r>
      <w:r w:rsidR="00E0186C">
        <w:t xml:space="preserve">a change in </w:t>
      </w:r>
      <w:r w:rsidR="00F12F5F">
        <w:t>agent’s income or wealth or due to some exogenous factors</w:t>
      </w:r>
      <w:r w:rsidR="00D1111C">
        <w:t xml:space="preserve"> should be reflected in the</w:t>
      </w:r>
      <w:r w:rsidR="00F12F5F">
        <w:t xml:space="preserve"> </w:t>
      </w:r>
      <w:r w:rsidR="00D1111C">
        <w:t>ERP.</w:t>
      </w:r>
      <w:r w:rsidR="006138C7">
        <w:t xml:space="preserve"> It is worth pointing here that we have not made any assumption regarding the specific nature of functional form of the agent’s preferences i.e. whether it is time separable or non-separable, except that it is concave and increasing. </w:t>
      </w:r>
      <w:r w:rsidR="00B97DC9">
        <w:t>N</w:t>
      </w:r>
      <w:r w:rsidR="009A1434">
        <w:t>ext, we discuss the methodology</w:t>
      </w:r>
      <w:r w:rsidR="00B97DC9">
        <w:t>.</w:t>
      </w:r>
      <w:r w:rsidR="00D1111C">
        <w:t xml:space="preserve">    </w:t>
      </w:r>
    </w:p>
    <w:p w:rsidR="00306430" w:rsidRPr="00C760E6" w:rsidRDefault="007038BD" w:rsidP="001C67D1">
      <w:pPr>
        <w:pStyle w:val="Heading2"/>
        <w:numPr>
          <w:ilvl w:val="1"/>
          <w:numId w:val="1"/>
        </w:numPr>
        <w:spacing w:line="360" w:lineRule="auto"/>
        <w:jc w:val="center"/>
        <w:rPr>
          <w:rFonts w:ascii="Times New Roman" w:hAnsi="Times New Roman" w:cs="Times New Roman"/>
          <w:color w:val="000000" w:themeColor="text1"/>
        </w:rPr>
      </w:pPr>
      <w:r w:rsidRPr="00C760E6">
        <w:rPr>
          <w:rFonts w:ascii="Times New Roman" w:hAnsi="Times New Roman" w:cs="Times New Roman"/>
          <w:color w:val="000000" w:themeColor="text1"/>
        </w:rPr>
        <w:t>Identification of Consumption Shocks</w:t>
      </w:r>
    </w:p>
    <w:p w:rsidR="001B1492" w:rsidRDefault="005809E3" w:rsidP="004A5752">
      <w:pPr>
        <w:spacing w:line="360" w:lineRule="auto"/>
        <w:rPr>
          <w:noProof/>
        </w:rPr>
      </w:pPr>
      <w:r>
        <w:t>We use a two-step</w:t>
      </w:r>
      <w:r w:rsidR="00D03448">
        <w:t xml:space="preserve"> approach</w:t>
      </w:r>
      <w:r w:rsidR="002432FE">
        <w:t xml:space="preserve"> in our analysis</w:t>
      </w:r>
      <w:r w:rsidR="00D03448">
        <w:t>. In the first step, we use t</w:t>
      </w:r>
      <w:r w:rsidR="001222A1">
        <w:t xml:space="preserve">he </w:t>
      </w:r>
      <w:r w:rsidR="001B1492" w:rsidRPr="001222A1">
        <w:t>SVAR approach for extracting the consumption shocks</w:t>
      </w:r>
      <w:r w:rsidR="00D03448">
        <w:t xml:space="preserve">. In the second step, </w:t>
      </w:r>
      <w:r w:rsidR="001222A1">
        <w:t xml:space="preserve">we </w:t>
      </w:r>
      <w:r w:rsidR="001B1492" w:rsidRPr="001222A1">
        <w:t xml:space="preserve">examine the implications of these shocks </w:t>
      </w:r>
      <w:r w:rsidR="001222A1">
        <w:t xml:space="preserve">for the </w:t>
      </w:r>
      <w:r w:rsidR="001B1492" w:rsidRPr="001222A1">
        <w:t>asset prices in the UK</w:t>
      </w:r>
      <w:r w:rsidR="001222A1">
        <w:t xml:space="preserve">. </w:t>
      </w:r>
      <w:r w:rsidR="00D03448">
        <w:t>For this purpose, w</w:t>
      </w:r>
      <w:r w:rsidR="001222A1">
        <w:t>e use t</w:t>
      </w:r>
      <w:r w:rsidR="001B1492" w:rsidRPr="001222A1">
        <w:t xml:space="preserve">he </w:t>
      </w:r>
      <w:r w:rsidR="001B1492" w:rsidRPr="001222A1">
        <w:fldChar w:fldCharType="begin" w:fldLock="1"/>
      </w:r>
      <w:r w:rsidR="00AF43D6">
        <w:instrText>ADDIN CSL_CITATION { "citationItems" : [ { "id" : "ITEM-1", "itemData" : { "author" : [ { "dropping-particle" : "", "family" : "Fama", "given" : "EF", "non-dropping-particle" : "", "parse-names" : false, "suffix" : "" }, { "dropping-particle" : "", "family" : "MacBeth", "given" : "JD", "non-dropping-particle" : "", "parse-names" : false, "suffix" : "" } ], "container-title" : "The Journal of Political Economy", "id" : "ITEM-1", "issue" : "3", "issued" : { "date-parts" : [ [ "1973" ] ] }, "page" : "607-636", "title" : "Risk, Return, and Equilibrium: Empirical Tests", "type" : "article-journal", "volume" : "81" }, "uris" : [ "http://www.mendeley.com/documents/?uuid=e499c346-d94c-4a59-95eb-04c90949b849" ] } ], "mendeley" : { "formattedCitation" : "(E. Fama and MacBeth 1973)", "manualFormatting" : "Fama and MacBeth (1973)", "plainTextFormattedCitation" : "(E. Fama and MacBeth 1973)", "previouslyFormattedCitation" : "(E. Fama and MacBeth 1973)" }, "properties" : { "noteIndex" : 0 }, "schema" : "https://github.com/citation-style-language/schema/raw/master/csl-citation.json" }</w:instrText>
      </w:r>
      <w:r w:rsidR="001B1492" w:rsidRPr="001222A1">
        <w:fldChar w:fldCharType="separate"/>
      </w:r>
      <w:r w:rsidR="001B1492" w:rsidRPr="001222A1">
        <w:rPr>
          <w:noProof/>
        </w:rPr>
        <w:t>Fama and MacBeth (1973)</w:t>
      </w:r>
      <w:r w:rsidR="001B1492" w:rsidRPr="001222A1">
        <w:fldChar w:fldCharType="end"/>
      </w:r>
      <w:r w:rsidR="001B1492" w:rsidRPr="001222A1">
        <w:t xml:space="preserve"> regression</w:t>
      </w:r>
      <w:r w:rsidR="001222A1">
        <w:t>s</w:t>
      </w:r>
      <w:r w:rsidR="001B1492" w:rsidRPr="001222A1">
        <w:t xml:space="preserve"> to estimate the factor risk premium</w:t>
      </w:r>
      <w:r w:rsidR="001222A1">
        <w:t>s</w:t>
      </w:r>
      <w:r w:rsidR="001B1492" w:rsidRPr="001222A1">
        <w:t xml:space="preserve"> aris</w:t>
      </w:r>
      <w:r w:rsidR="001222A1">
        <w:t xml:space="preserve">ing from </w:t>
      </w:r>
      <w:r w:rsidR="001B1492" w:rsidRPr="001222A1">
        <w:t>exposure to these consumption shocks.</w:t>
      </w:r>
    </w:p>
    <w:p w:rsidR="00A31B75" w:rsidRDefault="00D03448" w:rsidP="004A5752">
      <w:pPr>
        <w:spacing w:line="360" w:lineRule="auto"/>
        <w:rPr>
          <w:noProof/>
        </w:rPr>
      </w:pPr>
      <w:r>
        <w:rPr>
          <w:noProof/>
        </w:rPr>
        <w:t>W</w:t>
      </w:r>
      <w:r w:rsidR="007038BD">
        <w:rPr>
          <w:noProof/>
        </w:rPr>
        <w:t xml:space="preserve">e begin </w:t>
      </w:r>
      <w:r w:rsidR="00B97DC9">
        <w:rPr>
          <w:noProof/>
        </w:rPr>
        <w:t xml:space="preserve">by </w:t>
      </w:r>
      <w:r w:rsidR="007038BD">
        <w:rPr>
          <w:noProof/>
        </w:rPr>
        <w:t xml:space="preserve">identifying the consumption shocks. For this we </w:t>
      </w:r>
      <w:r w:rsidR="00B97DC9">
        <w:rPr>
          <w:noProof/>
        </w:rPr>
        <w:t>u</w:t>
      </w:r>
      <w:r w:rsidR="002432FE">
        <w:rPr>
          <w:noProof/>
        </w:rPr>
        <w:t>s</w:t>
      </w:r>
      <w:r w:rsidR="00B97DC9">
        <w:rPr>
          <w:noProof/>
        </w:rPr>
        <w:t xml:space="preserve">e the </w:t>
      </w:r>
      <w:r w:rsidR="007038BD">
        <w:rPr>
          <w:noProof/>
        </w:rPr>
        <w:t>SVAR framework of Ludvigson et.al.</w:t>
      </w:r>
      <w:r w:rsidR="007038BD" w:rsidRPr="00FD0A31">
        <w:rPr>
          <w:noProof/>
        </w:rPr>
        <w:t xml:space="preserve"> </w:t>
      </w:r>
      <w:r w:rsidR="007038BD">
        <w:rPr>
          <w:noProof/>
        </w:rPr>
        <w:t>(</w:t>
      </w:r>
      <w:r w:rsidR="007038BD" w:rsidRPr="00FD0A31">
        <w:rPr>
          <w:noProof/>
        </w:rPr>
        <w:t>2002</w:t>
      </w:r>
      <w:r w:rsidR="007038BD">
        <w:rPr>
          <w:noProof/>
        </w:rPr>
        <w:t xml:space="preserve">) </w:t>
      </w:r>
      <w:r w:rsidR="00B97DC9">
        <w:rPr>
          <w:noProof/>
        </w:rPr>
        <w:t xml:space="preserve">who use it to </w:t>
      </w:r>
      <w:r w:rsidR="007038BD">
        <w:rPr>
          <w:noProof/>
        </w:rPr>
        <w:t>examine the consumption-wealth channel of the transmission of monetary policy in the US.</w:t>
      </w:r>
      <w:r w:rsidR="00646906">
        <w:rPr>
          <w:noProof/>
        </w:rPr>
        <w:t xml:space="preserve"> </w:t>
      </w:r>
      <w:r w:rsidR="00646906">
        <w:fldChar w:fldCharType="begin" w:fldLock="1"/>
      </w:r>
      <w:r w:rsidR="00AF43D6">
        <w:instrText>ADDIN CSL_CITATION { "citationItems" : [ { "id" : "ITEM-1", "itemData" : { "DOI" : "10.1080/00036840902950572", "ISBN" : "00036846", "ISSN" : "0003-6846", "abstract" : "This article examines the role of the consumption-wealth channel in\\nexplaining asymmetric effects of monetary policy changes. Towards this\\nend, we draw upon available literature on the consumption function and\\nbehavioural finance to construct a framework for asymmetric effects of\\nmonetary policy caused by the impact of wealth changes on aggregate\\nconsumption. We then employ data from the UK to examine the validity of\\nthe proposed framework. In the context of a liberalized economy with\\neasy access to consumer credit, wealth reduction due to monetary\\ntightening is expected to have weaker impact on spending than increase\\nin wealth. Our results validate the above hypothesis.", "author" : [ { "dropping-particle" : "", "family" : "MacDonald", "given" : "Garry", "non-dropping-particle" : "", "parse-names" : false, "suffix" : "" }, { "dropping-particle" : "", "family" : "Mullineux", "given" : "Andy", "non-dropping-particle" : "", "parse-names" : false, "suffix" : "" }, { "dropping-particle" : "", "family" : "Sensarma", "given" : "Rudra", "non-dropping-particle" : "", "parse-names" : false, "suffix" : "" } ], "container-title" : "Applied Economics", "id" : "ITEM-1", "issue" : "16", "issued" : { "date-parts" : [ [ "2011" ] ] }, "page" : "1991-2001", "title" : "Asymmetric Effects of Interest Rate Changes: The Role of the Consumption-Wealth Channel", "type" : "article-journal", "volume" : "43" }, "uris" : [ "http://www.mendeley.com/documents/?uuid=891c26e0-c187-47a0-b919-b1edba61d5ae" ] } ], "mendeley" : { "formattedCitation" : "(MacDonald, Mullineux, and Sensarma 2011)", "manualFormatting" : "MacDonald, Mullineux and Sensarma (2011)", "plainTextFormattedCitation" : "(MacDonald, Mullineux, and Sensarma 2011)", "previouslyFormattedCitation" : "(MacDonald, Mullineux, and Sensarma 2011)" }, "properties" : { "noteIndex" : 0 }, "schema" : "https://github.com/citation-style-language/schema/raw/master/csl-citation.json" }</w:instrText>
      </w:r>
      <w:r w:rsidR="00646906">
        <w:fldChar w:fldCharType="separate"/>
      </w:r>
      <w:r w:rsidR="00646906" w:rsidRPr="00FD0A31">
        <w:rPr>
          <w:noProof/>
        </w:rPr>
        <w:t xml:space="preserve">MacDonald, Mullineux and Sensarma </w:t>
      </w:r>
      <w:r w:rsidR="00646906">
        <w:rPr>
          <w:noProof/>
        </w:rPr>
        <w:t>(</w:t>
      </w:r>
      <w:r w:rsidR="00646906" w:rsidRPr="00FD0A31">
        <w:rPr>
          <w:noProof/>
        </w:rPr>
        <w:t>2011)</w:t>
      </w:r>
      <w:r w:rsidR="00646906">
        <w:fldChar w:fldCharType="end"/>
      </w:r>
      <w:r w:rsidR="007038BD">
        <w:rPr>
          <w:noProof/>
        </w:rPr>
        <w:t xml:space="preserve"> </w:t>
      </w:r>
      <w:r w:rsidR="009A77E0">
        <w:rPr>
          <w:noProof/>
        </w:rPr>
        <w:t>also employ</w:t>
      </w:r>
      <w:r w:rsidR="00646906">
        <w:rPr>
          <w:noProof/>
        </w:rPr>
        <w:t xml:space="preserve"> </w:t>
      </w:r>
      <w:r>
        <w:rPr>
          <w:noProof/>
        </w:rPr>
        <w:t xml:space="preserve">similar approach for examining </w:t>
      </w:r>
      <w:r w:rsidR="00646906">
        <w:rPr>
          <w:noProof/>
        </w:rPr>
        <w:t xml:space="preserve">the consumption-wealth channel in the UK. </w:t>
      </w:r>
      <w:r w:rsidR="007038BD">
        <w:rPr>
          <w:noProof/>
        </w:rPr>
        <w:t>The theoretical underpinnings of this frame</w:t>
      </w:r>
      <w:r w:rsidR="00456925">
        <w:rPr>
          <w:noProof/>
        </w:rPr>
        <w:t>work</w:t>
      </w:r>
      <w:r w:rsidR="007038BD">
        <w:rPr>
          <w:noProof/>
        </w:rPr>
        <w:t xml:space="preserve"> is deeply rooted</w:t>
      </w:r>
      <w:r w:rsidR="00456925">
        <w:rPr>
          <w:noProof/>
        </w:rPr>
        <w:t xml:space="preserve"> in the Life</w:t>
      </w:r>
      <w:r w:rsidR="00DA6D2B">
        <w:rPr>
          <w:noProof/>
        </w:rPr>
        <w:t xml:space="preserve">-Cycle theory of consumption proposed by </w:t>
      </w:r>
      <w:r w:rsidR="00456925">
        <w:rPr>
          <w:noProof/>
        </w:rPr>
        <w:t>Modigliani</w:t>
      </w:r>
      <w:r w:rsidR="00800E89">
        <w:rPr>
          <w:noProof/>
        </w:rPr>
        <w:t>,</w:t>
      </w:r>
      <w:r w:rsidR="00456925">
        <w:rPr>
          <w:noProof/>
        </w:rPr>
        <w:t xml:space="preserve"> (1963) and Ando and Modigliani</w:t>
      </w:r>
      <w:r w:rsidR="00800E89">
        <w:rPr>
          <w:noProof/>
        </w:rPr>
        <w:t>,</w:t>
      </w:r>
      <w:r w:rsidR="00456925">
        <w:rPr>
          <w:noProof/>
        </w:rPr>
        <w:t xml:space="preserve"> (1963). </w:t>
      </w:r>
      <w:r w:rsidR="00646906">
        <w:rPr>
          <w:noProof/>
        </w:rPr>
        <w:t>Th</w:t>
      </w:r>
      <w:r>
        <w:rPr>
          <w:noProof/>
        </w:rPr>
        <w:t>e consumption-wealth c</w:t>
      </w:r>
      <w:r w:rsidR="00646906">
        <w:rPr>
          <w:noProof/>
        </w:rPr>
        <w:t>hannel describe</w:t>
      </w:r>
      <w:r w:rsidR="00B97DC9">
        <w:rPr>
          <w:noProof/>
        </w:rPr>
        <w:t>s</w:t>
      </w:r>
      <w:r w:rsidR="00646906">
        <w:rPr>
          <w:noProof/>
        </w:rPr>
        <w:t xml:space="preserve"> the response of aggregate consumption to monetary policy changes </w:t>
      </w:r>
      <w:r w:rsidR="00B97DC9">
        <w:rPr>
          <w:noProof/>
        </w:rPr>
        <w:t xml:space="preserve">via the </w:t>
      </w:r>
      <w:r w:rsidR="00646906">
        <w:rPr>
          <w:noProof/>
        </w:rPr>
        <w:t xml:space="preserve">changes </w:t>
      </w:r>
      <w:r>
        <w:rPr>
          <w:noProof/>
        </w:rPr>
        <w:t xml:space="preserve">in </w:t>
      </w:r>
      <w:r w:rsidR="00B97DC9">
        <w:rPr>
          <w:noProof/>
        </w:rPr>
        <w:t xml:space="preserve">the </w:t>
      </w:r>
      <w:r w:rsidR="00A31B75">
        <w:rPr>
          <w:noProof/>
        </w:rPr>
        <w:t xml:space="preserve">aggregate </w:t>
      </w:r>
      <w:r w:rsidR="00646906">
        <w:rPr>
          <w:noProof/>
        </w:rPr>
        <w:t>wealth.</w:t>
      </w:r>
      <w:r w:rsidR="00680C70">
        <w:rPr>
          <w:noProof/>
        </w:rPr>
        <w:t xml:space="preserve"> For example, an accomodative monetary policy can boost the market value of both the financial and housing wealth which can be subsequently use</w:t>
      </w:r>
      <w:r>
        <w:rPr>
          <w:noProof/>
        </w:rPr>
        <w:t>d</w:t>
      </w:r>
      <w:r w:rsidR="00680C70">
        <w:rPr>
          <w:noProof/>
        </w:rPr>
        <w:t xml:space="preserve"> to increase household consumption either by withdrawing the equity from the housing wealth or by liquidating the financial wealth</w:t>
      </w:r>
      <w:r w:rsidR="00680C70">
        <w:rPr>
          <w:rStyle w:val="FootnoteReference"/>
          <w:noProof/>
        </w:rPr>
        <w:footnoteReference w:id="4"/>
      </w:r>
      <w:r w:rsidR="00680C70">
        <w:rPr>
          <w:noProof/>
        </w:rPr>
        <w:t xml:space="preserve">. </w:t>
      </w:r>
      <w:r w:rsidR="00A31B75">
        <w:rPr>
          <w:noProof/>
        </w:rPr>
        <w:t xml:space="preserve"> </w:t>
      </w:r>
    </w:p>
    <w:p w:rsidR="00A31B75" w:rsidRDefault="00A31B75" w:rsidP="004A5752">
      <w:pPr>
        <w:spacing w:line="360" w:lineRule="auto"/>
        <w:rPr>
          <w:noProof/>
        </w:rPr>
      </w:pPr>
      <w:r>
        <w:rPr>
          <w:noProof/>
        </w:rPr>
        <w:t xml:space="preserve">We model the UK economy </w:t>
      </w:r>
      <w:r w:rsidR="00B97DC9">
        <w:rPr>
          <w:noProof/>
        </w:rPr>
        <w:t>as</w:t>
      </w:r>
      <w:r>
        <w:rPr>
          <w:noProo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4"/>
        <w:gridCol w:w="1312"/>
      </w:tblGrid>
      <w:tr w:rsidR="00A31B75" w:rsidTr="00F97AFF">
        <w:tc>
          <w:tcPr>
            <w:tcW w:w="7905" w:type="dxa"/>
          </w:tcPr>
          <w:p w:rsidR="00A31B75" w:rsidRPr="007E4102" w:rsidRDefault="0075355A" w:rsidP="004A5752">
            <w:pPr>
              <w:spacing w:line="360" w:lineRule="auto"/>
              <w:jc w:val="center"/>
              <w:rPr>
                <w:rFonts w:eastAsiaTheme="minorEastAsia"/>
              </w:rPr>
            </w:pPr>
            <m:oMathPara>
              <m:oMathParaPr>
                <m:jc m:val="center"/>
              </m:oMathParaPr>
              <m:oMath>
                <m:r>
                  <m:rPr>
                    <m:sty m:val="bi"/>
                  </m:rP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m:t>
                    </m:r>
                  </m:sup>
                </m:sSup>
                <m:d>
                  <m:dPr>
                    <m:ctrlPr>
                      <w:rPr>
                        <w:rFonts w:ascii="Cambria Math" w:hAnsi="Cambria Math"/>
                        <w:i/>
                      </w:rPr>
                    </m:ctrlPr>
                  </m:dPr>
                  <m:e>
                    <m:r>
                      <w:rPr>
                        <w:rFonts w:ascii="Cambria Math" w:hAnsi="Cambria Math"/>
                      </w:rPr>
                      <m:t>L</m:t>
                    </m:r>
                  </m:e>
                </m:d>
                <m:sSub>
                  <m:sSubPr>
                    <m:ctrlPr>
                      <w:rPr>
                        <w:rFonts w:ascii="Cambria Math" w:hAnsi="Cambria Math"/>
                        <w:i/>
                      </w:rPr>
                    </m:ctrlPr>
                  </m:sSubPr>
                  <m:e>
                    <m:r>
                      <m:rPr>
                        <m:sty m:val="bi"/>
                      </m:rPr>
                      <w:rPr>
                        <w:rFonts w:ascii="Cambria Math" w:hAnsi="Cambria Math"/>
                      </w:rPr>
                      <m:t>Z</m:t>
                    </m:r>
                  </m:e>
                  <m:sub>
                    <m:r>
                      <w:rPr>
                        <w:rFonts w:ascii="Cambria Math" w:hAnsi="Cambria Math"/>
                      </w:rPr>
                      <m:t>t-1</m:t>
                    </m:r>
                  </m:sub>
                </m:sSub>
                <m:r>
                  <w:rPr>
                    <w:rFonts w:ascii="Cambria Math" w:hAnsi="Cambria Math"/>
                  </w:rPr>
                  <m:t>+</m:t>
                </m:r>
                <m:r>
                  <m:rPr>
                    <m:sty m:val="bi"/>
                  </m:rPr>
                  <w:rPr>
                    <w:rFonts w:ascii="Cambria Math" w:hAnsi="Cambria Math"/>
                  </w:rPr>
                  <m:t>B</m:t>
                </m:r>
                <m:sSub>
                  <m:sSubPr>
                    <m:ctrlPr>
                      <w:rPr>
                        <w:rFonts w:ascii="Cambria Math" w:hAnsi="Cambria Math"/>
                        <w:i/>
                      </w:rPr>
                    </m:ctrlPr>
                  </m:sSubPr>
                  <m:e>
                    <m:r>
                      <w:rPr>
                        <w:rFonts w:ascii="Cambria Math" w:hAnsi="Cambria Math"/>
                      </w:rPr>
                      <m:t>u</m:t>
                    </m:r>
                  </m:e>
                  <m:sub>
                    <m:r>
                      <w:rPr>
                        <w:rFonts w:ascii="Cambria Math" w:hAnsi="Cambria Math"/>
                      </w:rPr>
                      <m:t>t</m:t>
                    </m:r>
                  </m:sub>
                </m:sSub>
              </m:oMath>
            </m:oMathPara>
          </w:p>
        </w:tc>
        <w:tc>
          <w:tcPr>
            <w:tcW w:w="1337" w:type="dxa"/>
          </w:tcPr>
          <w:p w:rsidR="00A31B75" w:rsidRDefault="001F51F9" w:rsidP="004A5752">
            <w:pPr>
              <w:spacing w:line="360" w:lineRule="auto"/>
              <w:jc w:val="center"/>
              <w:rPr>
                <w:rFonts w:eastAsiaTheme="minorEastAsia"/>
              </w:rPr>
            </w:pPr>
            <w:r>
              <w:rPr>
                <w:rFonts w:eastAsiaTheme="minorEastAsia"/>
              </w:rPr>
              <w:t>(5</w:t>
            </w:r>
            <w:r w:rsidR="00A31B75">
              <w:rPr>
                <w:rFonts w:eastAsiaTheme="minorEastAsia"/>
              </w:rPr>
              <w:t>)</w:t>
            </w:r>
          </w:p>
        </w:tc>
      </w:tr>
    </w:tbl>
    <w:p w:rsidR="00654F88" w:rsidRPr="00654F88" w:rsidRDefault="00A31B75" w:rsidP="004A5752">
      <w:pPr>
        <w:spacing w:line="360" w:lineRule="auto"/>
        <w:rPr>
          <w:noProof/>
        </w:rPr>
      </w:pPr>
      <w:r>
        <w:rPr>
          <w:noProof/>
        </w:rPr>
        <w:t xml:space="preserve">where, </w:t>
      </w:r>
      <w:r w:rsidR="00653CF2" w:rsidRPr="0075355A">
        <w:rPr>
          <w:b/>
          <w:i/>
          <w:noProof/>
        </w:rPr>
        <w:t>Z</w:t>
      </w:r>
      <w:r w:rsidRPr="00654F88">
        <w:rPr>
          <w:noProof/>
        </w:rPr>
        <w:t xml:space="preserve"> is n dimensional vector of macroeconomic variables</w:t>
      </w:r>
      <w:r w:rsidR="00654F88" w:rsidRPr="00654F88">
        <w:rPr>
          <w:noProof/>
        </w:rPr>
        <w:t xml:space="preserve">, </w:t>
      </w:r>
      <m:oMath>
        <m:sSup>
          <m:sSupPr>
            <m:ctrlPr>
              <w:rPr>
                <w:rFonts w:ascii="Cambria Math" w:hAnsi="Cambria Math"/>
                <w:b/>
                <w:i/>
                <w:noProof/>
              </w:rPr>
            </m:ctrlPr>
          </m:sSupPr>
          <m:e>
            <m:r>
              <m:rPr>
                <m:sty m:val="bi"/>
              </m:rPr>
              <w:rPr>
                <w:rFonts w:ascii="Cambria Math" w:hAnsi="Cambria Math"/>
                <w:noProof/>
              </w:rPr>
              <m:t>A</m:t>
            </m:r>
          </m:e>
          <m:sup>
            <m:r>
              <m:rPr>
                <m:sty m:val="bi"/>
              </m:rPr>
              <w:rPr>
                <w:rFonts w:ascii="Cambria Math" w:hAnsi="Cambria Math"/>
                <w:noProof/>
              </w:rPr>
              <m:t>*</m:t>
            </m:r>
          </m:sup>
        </m:sSup>
        <m:d>
          <m:dPr>
            <m:ctrlPr>
              <w:rPr>
                <w:rFonts w:ascii="Cambria Math" w:hAnsi="Cambria Math"/>
                <w:b/>
                <w:i/>
                <w:noProof/>
              </w:rPr>
            </m:ctrlPr>
          </m:dPr>
          <m:e>
            <m:r>
              <m:rPr>
                <m:sty m:val="bi"/>
              </m:rPr>
              <w:rPr>
                <w:rFonts w:ascii="Cambria Math" w:hAnsi="Cambria Math"/>
                <w:noProof/>
              </w:rPr>
              <m:t>L</m:t>
            </m:r>
          </m:e>
        </m:d>
      </m:oMath>
      <w:r w:rsidR="00654F88" w:rsidRPr="00654F88">
        <w:rPr>
          <w:noProof/>
        </w:rPr>
        <w:t xml:space="preserve"> is the p</w:t>
      </w:r>
      <w:r w:rsidR="009A77E0">
        <w:rPr>
          <w:noProof/>
        </w:rPr>
        <w:t>th</w:t>
      </w:r>
      <w:r w:rsidR="00654F88" w:rsidRPr="00654F88">
        <w:rPr>
          <w:noProof/>
        </w:rPr>
        <w:t xml:space="preserve"> order polynomial matrix in the lag operator </w:t>
      </w:r>
      <w:r w:rsidR="00654F88" w:rsidRPr="000D03BE">
        <w:rPr>
          <w:i/>
          <w:noProof/>
        </w:rPr>
        <w:t>L</w:t>
      </w:r>
      <w:r w:rsidR="00654F88" w:rsidRPr="00654F88">
        <w:rPr>
          <w:noProof/>
        </w:rPr>
        <w:t xml:space="preserve">, </w:t>
      </w:r>
      <m:oMath>
        <m:r>
          <m:rPr>
            <m:sty m:val="bi"/>
          </m:rPr>
          <w:rPr>
            <w:rFonts w:ascii="Cambria Math" w:hAnsi="Cambria Math"/>
            <w:noProof/>
          </w:rPr>
          <m:t>A</m:t>
        </m:r>
      </m:oMath>
      <w:r w:rsidR="00654F88" w:rsidRPr="00654F88">
        <w:rPr>
          <w:noProof/>
        </w:rPr>
        <w:t xml:space="preserve"> is the </w:t>
      </w:r>
      <m:oMath>
        <m:r>
          <m:rPr>
            <m:sty m:val="p"/>
          </m:rPr>
          <w:rPr>
            <w:rFonts w:ascii="Cambria Math" w:hAnsi="Cambria Math"/>
            <w:noProof/>
          </w:rPr>
          <m:t>n×n</m:t>
        </m:r>
      </m:oMath>
      <w:r w:rsidR="00654F88" w:rsidRPr="00654F88">
        <w:rPr>
          <w:noProof/>
        </w:rPr>
        <w:t xml:space="preserve"> matrix of contemporaneous coefficients,  </w:t>
      </w:r>
      <m:oMath>
        <m:r>
          <m:rPr>
            <m:sty m:val="bi"/>
          </m:rPr>
          <w:rPr>
            <w:rFonts w:ascii="Cambria Math" w:hAnsi="Cambria Math"/>
            <w:noProof/>
          </w:rPr>
          <m:t>B</m:t>
        </m:r>
      </m:oMath>
      <w:r w:rsidR="00654F88" w:rsidRPr="00654F88">
        <w:rPr>
          <w:noProof/>
        </w:rPr>
        <w:t xml:space="preserve"> is a </w:t>
      </w:r>
      <m:oMath>
        <m:r>
          <m:rPr>
            <m:sty m:val="p"/>
          </m:rPr>
          <w:rPr>
            <w:rFonts w:ascii="Cambria Math" w:hAnsi="Cambria Math"/>
            <w:noProof/>
          </w:rPr>
          <m:t>n×n</m:t>
        </m:r>
      </m:oMath>
      <w:r w:rsidR="00654F88" w:rsidRPr="00654F88">
        <w:rPr>
          <w:noProof/>
        </w:rPr>
        <w:t xml:space="preserve"> matrix relating the structural innovations </w:t>
      </w:r>
      <m:oMath>
        <m:sSub>
          <m:sSubPr>
            <m:ctrlPr>
              <w:rPr>
                <w:rFonts w:ascii="Cambria Math" w:hAnsi="Cambria Math"/>
                <w:noProof/>
              </w:rPr>
            </m:ctrlPr>
          </m:sSubPr>
          <m:e>
            <m:r>
              <m:rPr>
                <m:sty m:val="p"/>
              </m:rPr>
              <w:rPr>
                <w:rFonts w:ascii="Cambria Math" w:hAnsi="Cambria Math"/>
                <w:noProof/>
              </w:rPr>
              <m:t>u</m:t>
            </m:r>
          </m:e>
          <m:sub>
            <m:r>
              <m:rPr>
                <m:sty m:val="p"/>
              </m:rPr>
              <w:rPr>
                <w:rFonts w:ascii="Cambria Math" w:hAnsi="Cambria Math"/>
                <w:noProof/>
              </w:rPr>
              <m:t>t</m:t>
            </m:r>
          </m:sub>
        </m:sSub>
      </m:oMath>
      <w:r w:rsidR="00654F88" w:rsidRPr="00654F88">
        <w:rPr>
          <w:noProof/>
        </w:rPr>
        <w:t xml:space="preserve"> to the reduced form innovations and </w:t>
      </w:r>
      <m:oMath>
        <m:sSub>
          <m:sSubPr>
            <m:ctrlPr>
              <w:rPr>
                <w:rFonts w:ascii="Cambria Math" w:hAnsi="Cambria Math"/>
                <w:noProof/>
              </w:rPr>
            </m:ctrlPr>
          </m:sSubPr>
          <m:e>
            <m:r>
              <m:rPr>
                <m:sty m:val="p"/>
              </m:rPr>
              <w:rPr>
                <w:rFonts w:ascii="Cambria Math" w:hAnsi="Cambria Math"/>
                <w:noProof/>
              </w:rPr>
              <m:t>u</m:t>
            </m:r>
          </m:e>
          <m:sub>
            <m:r>
              <m:rPr>
                <m:sty m:val="p"/>
              </m:rPr>
              <w:rPr>
                <w:rFonts w:ascii="Cambria Math" w:hAnsi="Cambria Math"/>
                <w:noProof/>
              </w:rPr>
              <m:t>t</m:t>
            </m:r>
          </m:sub>
        </m:sSub>
        <m:r>
          <m:rPr>
            <m:sty m:val="p"/>
          </m:rPr>
          <w:rPr>
            <w:rFonts w:ascii="Cambria Math" w:hAnsi="Cambria Math"/>
            <w:noProof/>
          </w:rPr>
          <m:t>~N(0,Σ)</m:t>
        </m:r>
      </m:oMath>
      <w:r w:rsidR="00654F88" w:rsidRPr="00654F88">
        <w:rPr>
          <w:noProof/>
        </w:rPr>
        <w:t xml:space="preserve"> is a </w:t>
      </w:r>
      <m:oMath>
        <m:r>
          <m:rPr>
            <m:sty m:val="p"/>
          </m:rPr>
          <w:rPr>
            <w:rFonts w:ascii="Cambria Math" w:hAnsi="Cambria Math"/>
            <w:noProof/>
          </w:rPr>
          <m:t>n×1</m:t>
        </m:r>
      </m:oMath>
      <w:r w:rsidR="00654F88" w:rsidRPr="00654F88">
        <w:rPr>
          <w:noProof/>
        </w:rPr>
        <w:t xml:space="preserve"> vector of structural shocks assumed to have ortho-normal co-variance matrix </w:t>
      </w:r>
      <w:r w:rsidR="00E4221A">
        <w:rPr>
          <w:noProof/>
        </w:rPr>
        <w:t xml:space="preserve">similar </w:t>
      </w:r>
      <w:r w:rsidR="00654F88" w:rsidRPr="00654F88">
        <w:rPr>
          <w:noProof/>
        </w:rPr>
        <w:t xml:space="preserve">to an identity matrix i.e. </w:t>
      </w:r>
      <m:oMath>
        <m:r>
          <m:rPr>
            <m:sty m:val="p"/>
          </m:rPr>
          <w:rPr>
            <w:rFonts w:ascii="Cambria Math" w:hAnsi="Cambria Math"/>
            <w:noProof/>
          </w:rPr>
          <m:t>E</m:t>
        </m:r>
        <m:d>
          <m:dPr>
            <m:begChr m:val="["/>
            <m:endChr m:val="]"/>
            <m:ctrlPr>
              <w:rPr>
                <w:rFonts w:ascii="Cambria Math" w:hAnsi="Cambria Math"/>
                <w:noProof/>
              </w:rPr>
            </m:ctrlPr>
          </m:dPr>
          <m:e>
            <m:r>
              <m:rPr>
                <m:sty m:val="p"/>
              </m:rPr>
              <w:rPr>
                <w:rFonts w:ascii="Cambria Math" w:hAnsi="Cambria Math"/>
                <w:noProof/>
              </w:rPr>
              <m:t>u,</m:t>
            </m:r>
            <m:sSup>
              <m:sSupPr>
                <m:ctrlPr>
                  <w:rPr>
                    <w:rFonts w:ascii="Cambria Math" w:hAnsi="Cambria Math"/>
                    <w:noProof/>
                  </w:rPr>
                </m:ctrlPr>
              </m:sSupPr>
              <m:e>
                <m:r>
                  <m:rPr>
                    <m:sty m:val="p"/>
                  </m:rPr>
                  <w:rPr>
                    <w:rFonts w:ascii="Cambria Math" w:hAnsi="Cambria Math"/>
                    <w:noProof/>
                  </w:rPr>
                  <m:t>u</m:t>
                </m:r>
              </m:e>
              <m:sup>
                <m:r>
                  <m:rPr>
                    <m:sty m:val="p"/>
                  </m:rPr>
                  <w:rPr>
                    <w:rFonts w:ascii="Cambria Math" w:hAnsi="Cambria Math"/>
                    <w:noProof/>
                  </w:rPr>
                  <m:t>'</m:t>
                </m:r>
              </m:sup>
            </m:sSup>
          </m:e>
        </m:d>
        <m:r>
          <m:rPr>
            <m:sty m:val="p"/>
          </m:rPr>
          <w:rPr>
            <w:rFonts w:ascii="Cambria Math" w:hAnsi="Cambria Math"/>
            <w:noProof/>
          </w:rPr>
          <m:t>=I</m:t>
        </m:r>
      </m:oMath>
      <w:r w:rsidR="001F51F9">
        <w:rPr>
          <w:noProof/>
        </w:rPr>
        <w:t>. In order to estimate (5</w:t>
      </w:r>
      <w:r w:rsidR="00654F88" w:rsidRPr="00654F88">
        <w:rPr>
          <w:noProof/>
        </w:rPr>
        <w:t>) we first es</w:t>
      </w:r>
      <w:r w:rsidR="00C64592">
        <w:rPr>
          <w:noProof/>
        </w:rPr>
        <w:t xml:space="preserve">timate the </w:t>
      </w:r>
      <w:r w:rsidR="00E4221A">
        <w:rPr>
          <w:noProof/>
        </w:rPr>
        <w:t xml:space="preserve">following </w:t>
      </w:r>
      <w:r w:rsidR="00C64592">
        <w:rPr>
          <w:noProof/>
        </w:rPr>
        <w:t>reduced form</w:t>
      </w:r>
      <w:r w:rsidR="00654F88" w:rsidRPr="00654F88">
        <w:rPr>
          <w:noProof/>
        </w:rPr>
        <w:t xml:space="preserve"> </w:t>
      </w:r>
      <w:r w:rsidR="00E4221A">
        <w:rPr>
          <w:noProof/>
        </w:rPr>
        <w:t>VAR</w:t>
      </w:r>
      <w:r w:rsidR="00654F88" w:rsidRPr="00654F88">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6"/>
        <w:gridCol w:w="1450"/>
      </w:tblGrid>
      <w:tr w:rsidR="00654F88" w:rsidTr="00F97AFF">
        <w:tc>
          <w:tcPr>
            <w:tcW w:w="7763" w:type="dxa"/>
          </w:tcPr>
          <w:p w:rsidR="00654F88" w:rsidRPr="007E4102" w:rsidRDefault="005E14F1" w:rsidP="004A5752">
            <w:pPr>
              <w:spacing w:after="200" w:line="360" w:lineRule="auto"/>
              <w:rPr>
                <w:noProof/>
              </w:rPr>
            </w:pPr>
            <m:oMathPara>
              <m:oMath>
                <m:sSub>
                  <m:sSubPr>
                    <m:ctrlPr>
                      <w:rPr>
                        <w:rFonts w:ascii="Cambria Math" w:hAnsi="Cambria Math"/>
                        <w:i/>
                      </w:rPr>
                    </m:ctrlPr>
                  </m:sSubPr>
                  <m:e>
                    <m:r>
                      <m:rPr>
                        <m:sty m:val="bi"/>
                      </m:rPr>
                      <w:rPr>
                        <w:rFonts w:ascii="Cambria Math" w:hAnsi="Cambria Math"/>
                      </w:rPr>
                      <m:t>Z</m:t>
                    </m:r>
                  </m:e>
                  <m:sub>
                    <m:r>
                      <w:rPr>
                        <w:rFonts w:ascii="Cambria Math" w:hAnsi="Cambria Math"/>
                      </w:rPr>
                      <m:t>t</m:t>
                    </m:r>
                  </m:sub>
                </m:sSub>
                <m:r>
                  <w:rPr>
                    <w:rFonts w:ascii="Cambria Math" w:hAnsi="Cambria Math"/>
                  </w:rPr>
                  <m:t>=</m:t>
                </m:r>
                <m:r>
                  <m:rPr>
                    <m:sty m:val="bi"/>
                  </m:rPr>
                  <w:rPr>
                    <w:rFonts w:ascii="Cambria Math" w:hAnsi="Cambria Math"/>
                  </w:rPr>
                  <m:t>C</m:t>
                </m:r>
                <m:d>
                  <m:dPr>
                    <m:ctrlPr>
                      <w:rPr>
                        <w:rFonts w:ascii="Cambria Math" w:hAnsi="Cambria Math"/>
                        <w:i/>
                      </w:rPr>
                    </m:ctrlPr>
                  </m:dPr>
                  <m:e>
                    <m:r>
                      <w:rPr>
                        <w:rFonts w:ascii="Cambria Math" w:hAnsi="Cambria Math"/>
                      </w:rPr>
                      <m:t>L</m:t>
                    </m:r>
                  </m:e>
                </m:d>
                <m:sSub>
                  <m:sSubPr>
                    <m:ctrlPr>
                      <w:rPr>
                        <w:rFonts w:ascii="Cambria Math" w:hAnsi="Cambria Math"/>
                        <w:i/>
                      </w:rPr>
                    </m:ctrlPr>
                  </m:sSubPr>
                  <m:e>
                    <m:r>
                      <m:rPr>
                        <m:sty m:val="bi"/>
                      </m:rP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oMath>
            </m:oMathPara>
          </w:p>
        </w:tc>
        <w:tc>
          <w:tcPr>
            <w:tcW w:w="1479" w:type="dxa"/>
          </w:tcPr>
          <w:p w:rsidR="00654F88" w:rsidRPr="00654F88" w:rsidRDefault="001F51F9" w:rsidP="003C5268">
            <w:pPr>
              <w:spacing w:after="200" w:line="360" w:lineRule="auto"/>
              <w:jc w:val="center"/>
              <w:rPr>
                <w:noProof/>
              </w:rPr>
            </w:pPr>
            <w:r>
              <w:rPr>
                <w:noProof/>
              </w:rPr>
              <w:t>(6</w:t>
            </w:r>
            <w:r w:rsidR="00654F88" w:rsidRPr="00654F88">
              <w:rPr>
                <w:noProof/>
              </w:rPr>
              <w:t>)</w:t>
            </w:r>
          </w:p>
        </w:tc>
      </w:tr>
    </w:tbl>
    <w:p w:rsidR="00654F88" w:rsidRDefault="00654F88" w:rsidP="004A5752">
      <w:pPr>
        <w:spacing w:line="360" w:lineRule="auto"/>
        <w:rPr>
          <w:noProof/>
        </w:rPr>
      </w:pPr>
      <w:r w:rsidRPr="00654F88">
        <w:rPr>
          <w:noProof/>
        </w:rPr>
        <w:t xml:space="preserve">where </w:t>
      </w:r>
      <m:oMath>
        <m:sSubSup>
          <m:sSubSupPr>
            <m:ctrlPr>
              <w:rPr>
                <w:rFonts w:ascii="Cambria Math" w:hAnsi="Cambria Math"/>
                <w:noProof/>
              </w:rPr>
            </m:ctrlPr>
          </m:sSubSupPr>
          <m:e>
            <m:r>
              <m:rPr>
                <m:sty m:val="p"/>
              </m:rPr>
              <w:rPr>
                <w:rFonts w:ascii="Cambria Math" w:hAnsi="Cambria Math"/>
                <w:noProof/>
              </w:rPr>
              <m:t>ε</m:t>
            </m:r>
          </m:e>
          <m:sub>
            <m:r>
              <m:rPr>
                <m:sty m:val="p"/>
              </m:rPr>
              <w:rPr>
                <w:rFonts w:ascii="Cambria Math" w:hAnsi="Cambria Math"/>
                <w:noProof/>
              </w:rPr>
              <m:t>t</m:t>
            </m:r>
          </m:sub>
          <m:sup>
            <m:r>
              <m:rPr>
                <m:sty m:val="p"/>
              </m:rPr>
              <w:rPr>
                <w:rFonts w:ascii="Cambria Math" w:hAnsi="Cambria Math"/>
                <w:noProof/>
              </w:rPr>
              <m:t>i</m:t>
            </m:r>
          </m:sup>
        </m:sSubSup>
      </m:oMath>
      <w:r w:rsidRPr="00654F88">
        <w:rPr>
          <w:noProof/>
        </w:rPr>
        <w:t xml:space="preserve"> is the reduced form residuals such that </w:t>
      </w:r>
      <m:oMath>
        <m:sSubSup>
          <m:sSubSupPr>
            <m:ctrlPr>
              <w:rPr>
                <w:rFonts w:ascii="Cambria Math" w:hAnsi="Cambria Math"/>
                <w:noProof/>
              </w:rPr>
            </m:ctrlPr>
          </m:sSubSupPr>
          <m:e>
            <m:r>
              <m:rPr>
                <m:sty m:val="p"/>
              </m:rPr>
              <w:rPr>
                <w:rFonts w:ascii="Cambria Math" w:hAnsi="Cambria Math"/>
                <w:noProof/>
              </w:rPr>
              <m:t>ε</m:t>
            </m:r>
          </m:e>
          <m:sub>
            <m:r>
              <m:rPr>
                <m:sty m:val="p"/>
              </m:rPr>
              <w:rPr>
                <w:rFonts w:ascii="Cambria Math" w:hAnsi="Cambria Math"/>
                <w:noProof/>
              </w:rPr>
              <m:t>t</m:t>
            </m:r>
          </m:sub>
          <m:sup>
            <m:r>
              <m:rPr>
                <m:sty m:val="p"/>
              </m:rPr>
              <w:rPr>
                <w:rFonts w:ascii="Cambria Math" w:hAnsi="Cambria Math"/>
                <w:noProof/>
              </w:rPr>
              <m:t>i</m:t>
            </m:r>
          </m:sup>
        </m:sSubSup>
        <m:r>
          <m:rPr>
            <m:sty m:val="p"/>
          </m:rPr>
          <w:rPr>
            <w:rFonts w:ascii="Cambria Math" w:hAnsi="Cambria Math"/>
            <w:noProof/>
          </w:rPr>
          <m:t>~(0,Ω)</m:t>
        </m:r>
      </m:oMath>
      <w:r w:rsidRPr="00654F88">
        <w:rPr>
          <w:noProof/>
        </w:rPr>
        <w:t xml:space="preserve"> and </w:t>
      </w:r>
      <m:oMath>
        <m:r>
          <m:rPr>
            <m:sty m:val="p"/>
          </m:rPr>
          <w:rPr>
            <w:rFonts w:ascii="Cambria Math" w:hAnsi="Cambria Math"/>
            <w:noProof/>
          </w:rPr>
          <m:t>Ω=E</m:t>
        </m:r>
        <m:d>
          <m:dPr>
            <m:begChr m:val="["/>
            <m:endChr m:val="]"/>
            <m:ctrlPr>
              <w:rPr>
                <w:rFonts w:ascii="Cambria Math" w:hAnsi="Cambria Math"/>
                <w:noProof/>
              </w:rPr>
            </m:ctrlPr>
          </m:dPr>
          <m:e>
            <m:r>
              <m:rPr>
                <m:sty m:val="p"/>
              </m:rPr>
              <w:rPr>
                <w:rFonts w:ascii="Cambria Math" w:hAnsi="Cambria Math"/>
                <w:noProof/>
              </w:rPr>
              <m:t xml:space="preserve">ε, </m:t>
            </m:r>
            <m:sSup>
              <m:sSupPr>
                <m:ctrlPr>
                  <w:rPr>
                    <w:rFonts w:ascii="Cambria Math" w:hAnsi="Cambria Math"/>
                    <w:noProof/>
                  </w:rPr>
                </m:ctrlPr>
              </m:sSupPr>
              <m:e>
                <m:r>
                  <m:rPr>
                    <m:sty m:val="p"/>
                  </m:rPr>
                  <w:rPr>
                    <w:rFonts w:ascii="Cambria Math" w:hAnsi="Cambria Math"/>
                    <w:noProof/>
                  </w:rPr>
                  <m:t>ε</m:t>
                </m:r>
              </m:e>
              <m:sup>
                <m:r>
                  <m:rPr>
                    <m:sty m:val="p"/>
                  </m:rPr>
                  <w:rPr>
                    <w:rFonts w:ascii="Cambria Math" w:hAnsi="Cambria Math"/>
                    <w:noProof/>
                  </w:rPr>
                  <m:t>'</m:t>
                </m:r>
              </m:sup>
            </m:sSup>
            <m:r>
              <m:rPr>
                <m:sty m:val="p"/>
              </m:rPr>
              <w:rPr>
                <w:rFonts w:ascii="Cambria Math" w:hAnsi="Cambria Math"/>
                <w:noProof/>
              </w:rPr>
              <m:t xml:space="preserve"> </m:t>
            </m:r>
          </m:e>
        </m:d>
      </m:oMath>
      <w:r w:rsidRPr="00654F88">
        <w:rPr>
          <w:noProof/>
        </w:rPr>
        <w:t xml:space="preserve"> is the residual covariance matrix</w:t>
      </w:r>
      <w:r w:rsidR="00C64592">
        <w:rPr>
          <w:noProof/>
        </w:rPr>
        <w:t xml:space="preserve"> and</w:t>
      </w:r>
      <m:oMath>
        <m:r>
          <w:rPr>
            <w:rFonts w:ascii="Cambria Math" w:hAnsi="Cambria Math"/>
          </w:rPr>
          <m:t xml:space="preserve"> </m:t>
        </m:r>
        <m:r>
          <m:rPr>
            <m:sty m:val="bi"/>
          </m:rPr>
          <w:rPr>
            <w:rFonts w:ascii="Cambria Math" w:hAnsi="Cambria Math"/>
          </w:rPr>
          <m:t>C</m:t>
        </m:r>
        <m:r>
          <w:rPr>
            <w:rFonts w:ascii="Cambria Math" w:eastAsiaTheme="minorEastAsia" w:hAnsi="Cambria Math"/>
            <w:noProof/>
          </w:rPr>
          <m:t>=</m:t>
        </m:r>
        <m:sSup>
          <m:sSupPr>
            <m:ctrlPr>
              <w:rPr>
                <w:rFonts w:ascii="Cambria Math" w:eastAsiaTheme="minorEastAsia" w:hAnsi="Cambria Math"/>
                <w:i/>
                <w:noProof/>
              </w:rPr>
            </m:ctrlPr>
          </m:sSupPr>
          <m:e>
            <m:r>
              <m:rPr>
                <m:sty m:val="bi"/>
              </m:rPr>
              <w:rPr>
                <w:rFonts w:ascii="Cambria Math" w:eastAsiaTheme="minorEastAsia" w:hAnsi="Cambria Math"/>
                <w:noProof/>
              </w:rPr>
              <m:t>A</m:t>
            </m:r>
          </m:e>
          <m:sup>
            <m:r>
              <w:rPr>
                <w:rFonts w:ascii="Cambria Math" w:eastAsiaTheme="minorEastAsia" w:hAnsi="Cambria Math"/>
                <w:noProof/>
              </w:rPr>
              <m:t>-1</m:t>
            </m:r>
          </m:sup>
        </m:sSup>
        <m:sSup>
          <m:sSupPr>
            <m:ctrlPr>
              <w:rPr>
                <w:rFonts w:ascii="Cambria Math" w:eastAsiaTheme="minorEastAsia" w:hAnsi="Cambria Math"/>
                <w:i/>
                <w:noProof/>
              </w:rPr>
            </m:ctrlPr>
          </m:sSupPr>
          <m:e>
            <m:r>
              <m:rPr>
                <m:sty m:val="bi"/>
              </m:rPr>
              <w:rPr>
                <w:rFonts w:ascii="Cambria Math" w:eastAsiaTheme="minorEastAsia" w:hAnsi="Cambria Math"/>
                <w:noProof/>
              </w:rPr>
              <m:t>A</m:t>
            </m:r>
          </m:e>
          <m:sup>
            <m:r>
              <w:rPr>
                <w:rFonts w:ascii="Cambria Math" w:eastAsiaTheme="minorEastAsia" w:hAnsi="Cambria Math"/>
                <w:noProof/>
              </w:rPr>
              <m:t>*</m:t>
            </m:r>
          </m:sup>
        </m:sSup>
      </m:oMath>
      <w:r w:rsidR="00C64592">
        <w:rPr>
          <w:noProof/>
        </w:rPr>
        <w:t xml:space="preserve"> </w:t>
      </w:r>
      <w:r w:rsidR="005E4778">
        <w:rPr>
          <w:noProof/>
        </w:rPr>
        <w:t>.</w:t>
      </w:r>
      <w:r w:rsidRPr="00654F88">
        <w:rPr>
          <w:noProof/>
        </w:rPr>
        <w:t xml:space="preserve">Following </w:t>
      </w:r>
      <w:r w:rsidR="005E4778">
        <w:rPr>
          <w:noProof/>
        </w:rPr>
        <w:fldChar w:fldCharType="begin" w:fldLock="1"/>
      </w:r>
      <w:r w:rsidR="00AF43D6">
        <w:rPr>
          <w:noProof/>
        </w:rPr>
        <w:instrText>ADDIN CSL_CITATION { "citationItems" : [ { "id" : "ITEM-1", "itemData" : { "author" : [ { "dropping-particle" : "", "family" : "Amisano", "given" : "Gianni", "non-dropping-particle" : "", "parse-names" : false, "suffix" : "" }, { "dropping-particle" : "", "family" : "Giannini", "given" : "Carlo", "non-dropping-particle" : "", "parse-names" : false, "suffix" : "" } ], "edition" : "Second", "id" : "ITEM-1", "issued" : { "date-parts" : [ [ "1997" ] ] }, "publisher" : "Springer", "publisher-place" : "Heidelberg and New York", "title" : "Topics in Structural VAR Econometrics", "type" : "book" }, "uris" : [ "http://www.mendeley.com/documents/?uuid=81177008-ae1e-492f-9792-be61270fc5a0", "http://www.mendeley.com/documents/?uuid=803ee443-6aaf-4481-a7d7-5312a70ace99", "http://www.mendeley.com/documents/?uuid=dda676d6-cac6-4c1b-b13e-0b58c023549a" ] } ], "mendeley" : { "formattedCitation" : "(Amisano and Giannini 1997)", "manualFormatting" : "Amisano and Giannini, (1997)", "plainTextFormattedCitation" : "(Amisano and Giannini 1997)", "previouslyFormattedCitation" : "(Amisano and Giannini 1997)" }, "properties" : { "noteIndex" : 0 }, "schema" : "https://github.com/citation-style-language/schema/raw/master/csl-citation.json" }</w:instrText>
      </w:r>
      <w:r w:rsidR="005E4778">
        <w:rPr>
          <w:noProof/>
        </w:rPr>
        <w:fldChar w:fldCharType="separate"/>
      </w:r>
      <w:r w:rsidR="005E4778" w:rsidRPr="005E4778">
        <w:rPr>
          <w:noProof/>
        </w:rPr>
        <w:t xml:space="preserve">Amisano and Giannini, </w:t>
      </w:r>
      <w:r w:rsidR="005E4778">
        <w:rPr>
          <w:noProof/>
        </w:rPr>
        <w:t>(</w:t>
      </w:r>
      <w:r w:rsidR="005E4778" w:rsidRPr="005E4778">
        <w:rPr>
          <w:noProof/>
        </w:rPr>
        <w:t>1997)</w:t>
      </w:r>
      <w:r w:rsidR="005E4778">
        <w:rPr>
          <w:noProof/>
        </w:rPr>
        <w:fldChar w:fldCharType="end"/>
      </w:r>
      <w:r w:rsidR="005E4778">
        <w:rPr>
          <w:noProof/>
        </w:rPr>
        <w:t xml:space="preserve"> and </w:t>
      </w:r>
      <w:r w:rsidR="005E4778">
        <w:rPr>
          <w:noProof/>
        </w:rPr>
        <w:fldChar w:fldCharType="begin" w:fldLock="1"/>
      </w:r>
      <w:r w:rsidR="00AF43D6">
        <w:rPr>
          <w:noProof/>
        </w:rPr>
        <w:instrText>ADDIN CSL_CITATION { "citationItems" : [ { "id" : "ITEM-1", "itemData" : { "author" : [ { "dropping-particle" : "", "family" : "Lutkepohl", "given" : "Helmut", "non-dropping-particle" : "", "parse-names" : false, "suffix" : "" } ], "edition" : "2", "id" : "ITEM-1", "issued" : { "date-parts" : [ [ "2005" ] ] }, "publisher" : "Springer", "publisher-place" : "New York", "title" : "New Introduction to Multiple Time Series Analysis", "type" : "book" }, "uris" : [ "http://www.mendeley.com/documents/?uuid=9a87b510-fa9e-4e52-b54f-70cd5da13561" ] } ], "mendeley" : { "formattedCitation" : "(Lutkepohl 2005)", "manualFormatting" : "Lutkepohl, (2005)", "plainTextFormattedCitation" : "(Lutkepohl 2005)", "previouslyFormattedCitation" : "(Lutkepohl 2005)" }, "properties" : { "noteIndex" : 0 }, "schema" : "https://github.com/citation-style-language/schema/raw/master/csl-citation.json" }</w:instrText>
      </w:r>
      <w:r w:rsidR="005E4778">
        <w:rPr>
          <w:noProof/>
        </w:rPr>
        <w:fldChar w:fldCharType="separate"/>
      </w:r>
      <w:r w:rsidR="005E4778" w:rsidRPr="005E4778">
        <w:rPr>
          <w:noProof/>
        </w:rPr>
        <w:t xml:space="preserve">Lutkepohl, </w:t>
      </w:r>
      <w:r w:rsidR="005E4778">
        <w:rPr>
          <w:noProof/>
        </w:rPr>
        <w:t>(</w:t>
      </w:r>
      <w:r w:rsidR="005E4778" w:rsidRPr="005E4778">
        <w:rPr>
          <w:noProof/>
        </w:rPr>
        <w:t>2005)</w:t>
      </w:r>
      <w:r w:rsidR="005E4778">
        <w:rPr>
          <w:noProof/>
        </w:rPr>
        <w:fldChar w:fldCharType="end"/>
      </w:r>
      <w:r w:rsidR="005E4778">
        <w:rPr>
          <w:noProof/>
        </w:rPr>
        <w:t xml:space="preserve"> </w:t>
      </w:r>
      <w:r w:rsidRPr="00654F88">
        <w:rPr>
          <w:noProof/>
        </w:rPr>
        <w:t xml:space="preserve"> </w:t>
      </w:r>
      <w:r w:rsidR="00A34A09">
        <w:rPr>
          <w:noProof/>
        </w:rPr>
        <w:t>we</w:t>
      </w:r>
      <w:r w:rsidRPr="00654F88">
        <w:rPr>
          <w:noProof/>
        </w:rPr>
        <w:t xml:space="preserve">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2"/>
        <w:gridCol w:w="1314"/>
      </w:tblGrid>
      <w:tr w:rsidR="00654F88" w:rsidTr="00F97AFF">
        <w:tc>
          <w:tcPr>
            <w:tcW w:w="7905" w:type="dxa"/>
          </w:tcPr>
          <w:p w:rsidR="00654F88" w:rsidRPr="00654F88" w:rsidRDefault="0075355A" w:rsidP="004A5752">
            <w:pPr>
              <w:spacing w:after="200" w:line="360" w:lineRule="auto"/>
              <w:rPr>
                <w:noProof/>
              </w:rPr>
            </w:pPr>
            <m:oMathPara>
              <m:oMath>
                <m:r>
                  <m:rPr>
                    <m:sty m:val="b"/>
                  </m:rPr>
                  <w:rPr>
                    <w:rFonts w:ascii="Cambria Math" w:hAnsi="Cambria Math"/>
                    <w:noProof/>
                  </w:rPr>
                  <m:t>A</m:t>
                </m:r>
                <m:sSub>
                  <m:sSubPr>
                    <m:ctrlPr>
                      <w:rPr>
                        <w:rFonts w:ascii="Cambria Math" w:hAnsi="Cambria Math"/>
                        <w:i/>
                      </w:rPr>
                    </m:ctrlPr>
                  </m:sSubPr>
                  <m:e>
                    <m:r>
                      <w:rPr>
                        <w:rFonts w:ascii="Cambria Math" w:hAnsi="Cambria Math"/>
                      </w:rPr>
                      <m:t>ε</m:t>
                    </m:r>
                  </m:e>
                  <m:sub>
                    <m:r>
                      <w:rPr>
                        <w:rFonts w:ascii="Cambria Math" w:hAnsi="Cambria Math"/>
                      </w:rPr>
                      <m:t>t</m:t>
                    </m:r>
                  </m:sub>
                </m:sSub>
                <m:r>
                  <m:rPr>
                    <m:sty m:val="p"/>
                  </m:rPr>
                  <w:rPr>
                    <w:rFonts w:ascii="Cambria Math" w:hAnsi="Cambria Math"/>
                    <w:noProof/>
                  </w:rPr>
                  <m:t>=</m:t>
                </m:r>
                <m:r>
                  <m:rPr>
                    <m:sty m:val="b"/>
                  </m:rPr>
                  <w:rPr>
                    <w:rFonts w:ascii="Cambria Math" w:hAnsi="Cambria Math"/>
                    <w:noProof/>
                  </w:rPr>
                  <m:t>B</m:t>
                </m:r>
                <m:sSub>
                  <m:sSubPr>
                    <m:ctrlPr>
                      <w:rPr>
                        <w:rFonts w:ascii="Cambria Math" w:hAnsi="Cambria Math"/>
                        <w:i/>
                      </w:rPr>
                    </m:ctrlPr>
                  </m:sSubPr>
                  <m:e>
                    <m:r>
                      <w:rPr>
                        <w:rFonts w:ascii="Cambria Math" w:hAnsi="Cambria Math"/>
                      </w:rPr>
                      <m:t>u</m:t>
                    </m:r>
                  </m:e>
                  <m:sub>
                    <m:r>
                      <w:rPr>
                        <w:rFonts w:ascii="Cambria Math" w:hAnsi="Cambria Math"/>
                      </w:rPr>
                      <m:t>t</m:t>
                    </m:r>
                  </m:sub>
                </m:sSub>
              </m:oMath>
            </m:oMathPara>
          </w:p>
        </w:tc>
        <w:tc>
          <w:tcPr>
            <w:tcW w:w="1337" w:type="dxa"/>
          </w:tcPr>
          <w:p w:rsidR="00654F88" w:rsidRPr="00654F88" w:rsidRDefault="001F51F9" w:rsidP="003C5268">
            <w:pPr>
              <w:spacing w:after="200" w:line="360" w:lineRule="auto"/>
              <w:jc w:val="center"/>
              <w:rPr>
                <w:noProof/>
              </w:rPr>
            </w:pPr>
            <w:r>
              <w:rPr>
                <w:noProof/>
              </w:rPr>
              <w:t>(7</w:t>
            </w:r>
            <w:r w:rsidR="00654F88" w:rsidRPr="00654F88">
              <w:rPr>
                <w:noProof/>
              </w:rPr>
              <w:t>)</w:t>
            </w:r>
          </w:p>
        </w:tc>
      </w:tr>
    </w:tbl>
    <w:p w:rsidR="00654F88" w:rsidRPr="00654F88" w:rsidRDefault="00654F88" w:rsidP="004A5752">
      <w:pPr>
        <w:spacing w:line="360" w:lineRule="auto"/>
        <w:rPr>
          <w:noProof/>
        </w:rPr>
      </w:pPr>
      <w:r w:rsidRPr="00654F88">
        <w:rPr>
          <w:noProof/>
        </w:rPr>
        <w:t>The assumption of ortho-normal covariance matrix of the structural shocks leads to following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2"/>
        <w:gridCol w:w="1314"/>
      </w:tblGrid>
      <w:tr w:rsidR="00654F88" w:rsidTr="00F97AFF">
        <w:tc>
          <w:tcPr>
            <w:tcW w:w="7905" w:type="dxa"/>
          </w:tcPr>
          <w:p w:rsidR="00654F88" w:rsidRPr="00654F88" w:rsidRDefault="0075355A" w:rsidP="004A5752">
            <w:pPr>
              <w:spacing w:after="200" w:line="360" w:lineRule="auto"/>
              <w:rPr>
                <w:noProof/>
              </w:rPr>
            </w:pPr>
            <m:oMathPara>
              <m:oMath>
                <m:r>
                  <m:rPr>
                    <m:sty m:val="b"/>
                  </m:rPr>
                  <w:rPr>
                    <w:rFonts w:ascii="Cambria Math" w:hAnsi="Cambria Math"/>
                    <w:noProof/>
                  </w:rPr>
                  <m:t>A</m:t>
                </m:r>
                <m:r>
                  <m:rPr>
                    <m:sty m:val="p"/>
                  </m:rPr>
                  <w:rPr>
                    <w:rFonts w:ascii="Cambria Math" w:hAnsi="Cambria Math"/>
                    <w:noProof/>
                  </w:rPr>
                  <m:t>Ω</m:t>
                </m:r>
                <m:sSup>
                  <m:sSupPr>
                    <m:ctrlPr>
                      <w:rPr>
                        <w:rFonts w:ascii="Cambria Math" w:hAnsi="Cambria Math"/>
                        <w:noProof/>
                      </w:rPr>
                    </m:ctrlPr>
                  </m:sSupPr>
                  <m:e>
                    <m:r>
                      <m:rPr>
                        <m:sty m:val="b"/>
                      </m:rPr>
                      <w:rPr>
                        <w:rFonts w:ascii="Cambria Math" w:hAnsi="Cambria Math"/>
                        <w:noProof/>
                      </w:rPr>
                      <m:t>A</m:t>
                    </m:r>
                  </m:e>
                  <m:sup>
                    <m:r>
                      <m:rPr>
                        <m:sty m:val="p"/>
                      </m:rPr>
                      <w:rPr>
                        <w:rFonts w:ascii="Cambria Math" w:hAnsi="Cambria Math"/>
                        <w:noProof/>
                      </w:rPr>
                      <m:t>'</m:t>
                    </m:r>
                  </m:sup>
                </m:sSup>
                <m:r>
                  <m:rPr>
                    <m:sty m:val="p"/>
                  </m:rPr>
                  <w:rPr>
                    <w:rFonts w:ascii="Cambria Math" w:hAnsi="Cambria Math"/>
                    <w:noProof/>
                  </w:rPr>
                  <m:t>=</m:t>
                </m:r>
                <m:r>
                  <m:rPr>
                    <m:sty m:val="b"/>
                  </m:rPr>
                  <w:rPr>
                    <w:rFonts w:ascii="Cambria Math" w:hAnsi="Cambria Math"/>
                    <w:noProof/>
                  </w:rPr>
                  <m:t>B</m:t>
                </m:r>
                <m:sSup>
                  <m:sSupPr>
                    <m:ctrlPr>
                      <w:rPr>
                        <w:rFonts w:ascii="Cambria Math" w:hAnsi="Cambria Math"/>
                        <w:b/>
                        <w:noProof/>
                      </w:rPr>
                    </m:ctrlPr>
                  </m:sSupPr>
                  <m:e>
                    <m:r>
                      <m:rPr>
                        <m:sty m:val="b"/>
                      </m:rPr>
                      <w:rPr>
                        <w:rFonts w:ascii="Cambria Math" w:hAnsi="Cambria Math"/>
                        <w:noProof/>
                      </w:rPr>
                      <m:t>B</m:t>
                    </m:r>
                  </m:e>
                  <m:sup>
                    <m:r>
                      <m:rPr>
                        <m:sty m:val="b"/>
                      </m:rPr>
                      <w:rPr>
                        <w:rFonts w:ascii="Cambria Math" w:hAnsi="Cambria Math"/>
                        <w:noProof/>
                      </w:rPr>
                      <m:t>'</m:t>
                    </m:r>
                  </m:sup>
                </m:sSup>
              </m:oMath>
            </m:oMathPara>
          </w:p>
        </w:tc>
        <w:tc>
          <w:tcPr>
            <w:tcW w:w="1337" w:type="dxa"/>
          </w:tcPr>
          <w:p w:rsidR="00654F88" w:rsidRPr="00654F88" w:rsidRDefault="001F51F9" w:rsidP="003C5268">
            <w:pPr>
              <w:spacing w:after="200" w:line="360" w:lineRule="auto"/>
              <w:jc w:val="center"/>
              <w:rPr>
                <w:noProof/>
              </w:rPr>
            </w:pPr>
            <w:r>
              <w:rPr>
                <w:noProof/>
              </w:rPr>
              <w:t>(8</w:t>
            </w:r>
            <w:r w:rsidR="00654F88" w:rsidRPr="00654F88">
              <w:rPr>
                <w:noProof/>
              </w:rPr>
              <w:t>)</w:t>
            </w:r>
          </w:p>
        </w:tc>
      </w:tr>
    </w:tbl>
    <w:p w:rsidR="00654F88" w:rsidRDefault="00654F88" w:rsidP="004A5752">
      <w:pPr>
        <w:spacing w:line="360" w:lineRule="auto"/>
        <w:rPr>
          <w:noProof/>
        </w:rPr>
      </w:pPr>
      <w:r w:rsidRPr="00654F88">
        <w:rPr>
          <w:noProof/>
        </w:rPr>
        <w:t>The shor</w:t>
      </w:r>
      <w:r w:rsidR="001F51F9">
        <w:rPr>
          <w:noProof/>
        </w:rPr>
        <w:t>t-run restrictions implied by (7</w:t>
      </w:r>
      <w:r w:rsidRPr="00654F88">
        <w:rPr>
          <w:noProof/>
        </w:rPr>
        <w:t>) wer</w:t>
      </w:r>
      <w:r w:rsidR="00F97AFF">
        <w:rPr>
          <w:noProof/>
        </w:rPr>
        <w:t>e also imposed</w:t>
      </w:r>
      <w:r w:rsidRPr="00654F88">
        <w:rPr>
          <w:noProof/>
        </w:rPr>
        <w:t xml:space="preserve"> by </w:t>
      </w:r>
      <w:r w:rsidRPr="00654F88">
        <w:rPr>
          <w:noProof/>
        </w:rPr>
        <w:fldChar w:fldCharType="begin" w:fldLock="1"/>
      </w:r>
      <w:r w:rsidR="00AF43D6">
        <w:rPr>
          <w:noProof/>
        </w:rPr>
        <w:instrText>ADDIN CSL_CITATION { "citationItems" : [ { "id" : "ITEM-1", "itemData" : { "author" : [ { "dropping-particle" : "", "family" : "Gali", "given" : "Jordi", "non-dropping-particle" : "", "parse-names" : false, "suffix" : "" } ], "container-title" : "The Quarterly Journal of Economics", "id" : "ITEM-1", "issue" : "2", "issued" : { "date-parts" : [ [ "1992" ] ] }, "page" : "709-738", "title" : "How Well does the IS-LM Model Fit Postwar U.S. Data", "type" : "article-journal", "volume" : "107" }, "uris" : [ "http://www.mendeley.com/documents/?uuid=93da5638-3e20-46a7-9de3-c2af0027a318" ] } ], "mendeley" : { "formattedCitation" : "(Gali 1992)", "manualFormatting" : "Gali, (1992)", "plainTextFormattedCitation" : "(Gali 1992)", "previouslyFormattedCitation" : "(Gali 1992)" }, "properties" : { "noteIndex" : 0 }, "schema" : "https://github.com/citation-style-language/schema/raw/master/csl-citation.json" }</w:instrText>
      </w:r>
      <w:r w:rsidRPr="00654F88">
        <w:rPr>
          <w:noProof/>
        </w:rPr>
        <w:fldChar w:fldCharType="separate"/>
      </w:r>
      <w:r w:rsidRPr="00654F88">
        <w:rPr>
          <w:noProof/>
        </w:rPr>
        <w:t>Gali</w:t>
      </w:r>
      <w:r w:rsidR="00DA6D2B">
        <w:rPr>
          <w:noProof/>
        </w:rPr>
        <w:t>,</w:t>
      </w:r>
      <w:r w:rsidRPr="00654F88">
        <w:rPr>
          <w:noProof/>
        </w:rPr>
        <w:t xml:space="preserve"> (1992)</w:t>
      </w:r>
      <w:r w:rsidRPr="00654F88">
        <w:rPr>
          <w:noProof/>
        </w:rPr>
        <w:fldChar w:fldCharType="end"/>
      </w:r>
      <w:r w:rsidRPr="00654F88">
        <w:rPr>
          <w:noProof/>
        </w:rPr>
        <w:t xml:space="preserve"> and </w:t>
      </w:r>
      <w:r w:rsidRPr="00654F88">
        <w:rPr>
          <w:noProof/>
        </w:rPr>
        <w:fldChar w:fldCharType="begin" w:fldLock="1"/>
      </w:r>
      <w:r w:rsidR="00AF43D6">
        <w:rPr>
          <w:noProof/>
        </w:rPr>
        <w:instrText>ADDIN CSL_CITATION { "citationItems" : [ { "id" : "ITEM-1", "itemData" : { "author" : [ { "dropping-particle" : "", "family" : "Pagan", "given" : "Adrian", "non-dropping-particle" : "", "parse-names" : false, "suffix" : "" } ], "container-title" : "Surveys in Econometrics", "editor" : [ { "dropping-particle" : "", "family" : "Oxley", "given" : "L", "non-dropping-particle" : "", "parse-names" : false, "suffix" : "" }, { "dropping-particle" : "", "family" : "George", "given" : "D.A.R.", "non-dropping-particle" : "", "parse-names" : false, "suffix" : "" }, { "dropping-particle" : "", "family" : "Roberts", "given" : "C.J.", "non-dropping-particle" : "", "parse-names" : false, "suffix" : "" }, { "dropping-particle" : "", "family" : "Sayer", "given" : "S.", "non-dropping-particle" : "", "parse-names" : false, "suffix" : "" } ], "id" : "ITEM-1", "issued" : { "date-parts" : [ [ "1995" ] ] }, "publisher" : "Blackwell Publishing Inc", "publisher-place" : "Oxford", "title" : "Three Econometric Methodologies: An Update", "type" : "chapter" }, "uris" : [ "http://www.mendeley.com/documents/?uuid=1cba3db6-2824-4e61-aa4c-fe7206837f90" ] } ], "mendeley" : { "formattedCitation" : "(Pagan 1995)", "manualFormatting" : "Pagan, (1995)", "plainTextFormattedCitation" : "(Pagan 1995)", "previouslyFormattedCitation" : "(Pagan 1995)" }, "properties" : { "noteIndex" : 0 }, "schema" : "https://github.com/citation-style-language/schema/raw/master/csl-citation.json" }</w:instrText>
      </w:r>
      <w:r w:rsidRPr="00654F88">
        <w:rPr>
          <w:noProof/>
        </w:rPr>
        <w:fldChar w:fldCharType="separate"/>
      </w:r>
      <w:r w:rsidRPr="00654F88">
        <w:rPr>
          <w:noProof/>
        </w:rPr>
        <w:t>Pagan</w:t>
      </w:r>
      <w:r w:rsidR="00DA6D2B">
        <w:rPr>
          <w:noProof/>
        </w:rPr>
        <w:t>,</w:t>
      </w:r>
      <w:r w:rsidRPr="00654F88">
        <w:rPr>
          <w:noProof/>
        </w:rPr>
        <w:t xml:space="preserve"> (1995)</w:t>
      </w:r>
      <w:r w:rsidRPr="00654F88">
        <w:rPr>
          <w:noProof/>
        </w:rPr>
        <w:fldChar w:fldCharType="end"/>
      </w:r>
      <w:r w:rsidRPr="00654F88">
        <w:rPr>
          <w:noProof/>
        </w:rPr>
        <w:t xml:space="preserve"> to study and test the traditional IS-LM model to the post-war US data.</w:t>
      </w:r>
    </w:p>
    <w:p w:rsidR="000D03BE" w:rsidRPr="00654F88" w:rsidRDefault="009A77E0" w:rsidP="004A5752">
      <w:pPr>
        <w:spacing w:line="360" w:lineRule="auto"/>
      </w:pPr>
      <w:r>
        <w:rPr>
          <w:noProof/>
        </w:rPr>
        <w:t>Similar to Ludvigson et.al.</w:t>
      </w:r>
      <w:r w:rsidRPr="00FD0A31">
        <w:rPr>
          <w:noProof/>
        </w:rPr>
        <w:t xml:space="preserve"> </w:t>
      </w:r>
      <w:r w:rsidR="008D5A5B">
        <w:rPr>
          <w:noProof/>
        </w:rPr>
        <w:t>(</w:t>
      </w:r>
      <w:r w:rsidR="008D5A5B" w:rsidRPr="00FD0A31">
        <w:rPr>
          <w:noProof/>
        </w:rPr>
        <w:t>2002</w:t>
      </w:r>
      <w:r w:rsidR="008D5A5B">
        <w:rPr>
          <w:noProof/>
        </w:rPr>
        <w:t xml:space="preserve">), </w:t>
      </w:r>
      <w:r w:rsidR="008D5A5B">
        <w:t xml:space="preserve">we use five macroeconomic variables in (5) i.e., inflation, aggregate income, aggregate consumption, aggregate wealth and Bank of England’s base rate.  </w:t>
      </w:r>
      <w:r w:rsidR="00C06213">
        <w:t>Thus,</w:t>
      </w:r>
      <w:r w:rsidR="000D03BE">
        <w:t xml:space="preserve"> we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7"/>
        <w:gridCol w:w="1309"/>
      </w:tblGrid>
      <w:tr w:rsidR="000D03BE" w:rsidTr="00F97AFF">
        <w:tc>
          <w:tcPr>
            <w:tcW w:w="7905" w:type="dxa"/>
          </w:tcPr>
          <w:p w:rsidR="000D03BE" w:rsidRPr="00654F88" w:rsidRDefault="005E14F1" w:rsidP="004A5752">
            <w:pPr>
              <w:spacing w:after="200" w:line="360" w:lineRule="auto"/>
              <w:rPr>
                <w:noProof/>
              </w:rPr>
            </w:pPr>
            <m:oMathPara>
              <m:oMath>
                <m:sSub>
                  <m:sSubPr>
                    <m:ctrlPr>
                      <w:rPr>
                        <w:rFonts w:ascii="Cambria Math" w:hAnsi="Cambria Math"/>
                        <w:i/>
                        <w:noProof/>
                      </w:rPr>
                    </m:ctrlPr>
                  </m:sSubPr>
                  <m:e>
                    <m:r>
                      <m:rPr>
                        <m:sty m:val="bi"/>
                      </m:rPr>
                      <w:rPr>
                        <w:rFonts w:ascii="Cambria Math" w:hAnsi="Cambria Math"/>
                        <w:noProof/>
                      </w:rPr>
                      <m:t>Z</m:t>
                    </m:r>
                  </m:e>
                  <m:sub>
                    <m:r>
                      <w:rPr>
                        <w:rFonts w:ascii="Cambria Math" w:hAnsi="Cambria Math"/>
                        <w:noProof/>
                      </w:rPr>
                      <m:t>t</m:t>
                    </m:r>
                  </m:sub>
                </m:sSub>
                <m:r>
                  <w:rPr>
                    <w:rFonts w:ascii="Cambria Math" w:hAnsi="Cambria Math"/>
                    <w:noProof/>
                  </w:rPr>
                  <m:t>=</m:t>
                </m:r>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π</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 xml:space="preserve"> y</m:t>
                            </m:r>
                          </m:e>
                          <m:sub>
                            <m:r>
                              <w:rPr>
                                <w:rFonts w:ascii="Cambria Math" w:hAnsi="Cambria Math"/>
                                <w:noProof/>
                              </w:rPr>
                              <m:t>t</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c</m:t>
                            </m:r>
                          </m:e>
                          <m:sub>
                            <m:r>
                              <w:rPr>
                                <w:rFonts w:ascii="Cambria Math" w:hAnsi="Cambria Math"/>
                                <w:noProof/>
                              </w:rPr>
                              <m:t>t</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w</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r</m:t>
                            </m:r>
                          </m:e>
                          <m:sub>
                            <m:r>
                              <w:rPr>
                                <w:rFonts w:ascii="Cambria Math" w:hAnsi="Cambria Math"/>
                                <w:noProof/>
                              </w:rPr>
                              <m:t>t</m:t>
                            </m:r>
                          </m:sub>
                        </m:sSub>
                      </m:e>
                    </m:d>
                  </m:e>
                  <m:sup>
                    <m:r>
                      <w:rPr>
                        <w:rFonts w:ascii="Cambria Math" w:hAnsi="Cambria Math"/>
                        <w:noProof/>
                      </w:rPr>
                      <m:t>'</m:t>
                    </m:r>
                  </m:sup>
                </m:sSup>
              </m:oMath>
            </m:oMathPara>
          </w:p>
        </w:tc>
        <w:tc>
          <w:tcPr>
            <w:tcW w:w="1337" w:type="dxa"/>
          </w:tcPr>
          <w:p w:rsidR="000D03BE" w:rsidRPr="00654F88" w:rsidRDefault="001F51F9" w:rsidP="003C5268">
            <w:pPr>
              <w:spacing w:after="200" w:line="360" w:lineRule="auto"/>
              <w:jc w:val="center"/>
              <w:rPr>
                <w:noProof/>
              </w:rPr>
            </w:pPr>
            <w:r>
              <w:rPr>
                <w:noProof/>
              </w:rPr>
              <w:t>(9</w:t>
            </w:r>
            <w:r w:rsidR="000D03BE" w:rsidRPr="00654F88">
              <w:rPr>
                <w:noProof/>
              </w:rPr>
              <w:t>)</w:t>
            </w:r>
          </w:p>
        </w:tc>
      </w:tr>
    </w:tbl>
    <w:p w:rsidR="00D82E9A" w:rsidRDefault="000D03BE" w:rsidP="004A5752">
      <w:pPr>
        <w:spacing w:line="360" w:lineRule="auto"/>
        <w:rPr>
          <w:noProof/>
        </w:rPr>
      </w:pPr>
      <w:r>
        <w:rPr>
          <w:noProof/>
        </w:rPr>
        <w:t xml:space="preserve">where, </w:t>
      </w:r>
      <m:oMath>
        <m:sSub>
          <m:sSubPr>
            <m:ctrlPr>
              <w:rPr>
                <w:rFonts w:ascii="Cambria Math" w:hAnsi="Cambria Math"/>
                <w:i/>
                <w:noProof/>
              </w:rPr>
            </m:ctrlPr>
          </m:sSubPr>
          <m:e>
            <m:r>
              <w:rPr>
                <w:rFonts w:ascii="Cambria Math" w:hAnsi="Cambria Math"/>
                <w:noProof/>
              </w:rPr>
              <m:t>π</m:t>
            </m:r>
          </m:e>
          <m:sub>
            <m:r>
              <w:rPr>
                <w:rFonts w:ascii="Cambria Math" w:hAnsi="Cambria Math"/>
                <w:noProof/>
              </w:rPr>
              <m:t>t</m:t>
            </m:r>
          </m:sub>
        </m:sSub>
        <m:r>
          <w:rPr>
            <w:rFonts w:ascii="Cambria Math" w:eastAsiaTheme="minorEastAsia" w:hAnsi="Cambria Math"/>
            <w:noProof/>
          </w:rPr>
          <m:t>=</m:t>
        </m:r>
        <m:func>
          <m:funcPr>
            <m:ctrlPr>
              <w:rPr>
                <w:rFonts w:ascii="Cambria Math" w:eastAsiaTheme="minorEastAsia" w:hAnsi="Cambria Math"/>
                <w:i/>
                <w:noProof/>
              </w:rPr>
            </m:ctrlPr>
          </m:funcPr>
          <m:fName>
            <m:r>
              <m:rPr>
                <m:sty m:val="p"/>
              </m:rPr>
              <w:rPr>
                <w:rFonts w:ascii="Cambria Math" w:hAnsi="Cambria Math"/>
                <w:noProof/>
              </w:rPr>
              <m:t>ln</m:t>
            </m:r>
          </m:fName>
          <m:e>
            <m:d>
              <m:dPr>
                <m:begChr m:val="["/>
                <m:endChr m:val="]"/>
                <m:ctrlPr>
                  <w:rPr>
                    <w:rFonts w:ascii="Cambria Math" w:eastAsiaTheme="minorEastAsia" w:hAnsi="Cambria Math"/>
                    <w:i/>
                    <w:noProof/>
                  </w:rPr>
                </m:ctrlPr>
              </m:dPr>
              <m:e>
                <m:f>
                  <m:fPr>
                    <m:ctrlPr>
                      <w:rPr>
                        <w:rFonts w:ascii="Cambria Math" w:eastAsiaTheme="minorEastAsia" w:hAnsi="Cambria Math"/>
                        <w:i/>
                        <w:noProof/>
                      </w:rPr>
                    </m:ctrlPr>
                  </m:fPr>
                  <m:num>
                    <m:sSub>
                      <m:sSubPr>
                        <m:ctrlPr>
                          <w:rPr>
                            <w:rFonts w:ascii="Cambria Math" w:eastAsiaTheme="minorEastAsia" w:hAnsi="Cambria Math"/>
                            <w:i/>
                            <w:noProof/>
                          </w:rPr>
                        </m:ctrlPr>
                      </m:sSubPr>
                      <m:e>
                        <m:r>
                          <w:rPr>
                            <w:rFonts w:ascii="Cambria Math" w:eastAsiaTheme="minorEastAsia" w:hAnsi="Cambria Math"/>
                            <w:noProof/>
                          </w:rPr>
                          <m:t>P</m:t>
                        </m:r>
                      </m:e>
                      <m:sub>
                        <m:r>
                          <w:rPr>
                            <w:rFonts w:ascii="Cambria Math" w:eastAsiaTheme="minorEastAsia" w:hAnsi="Cambria Math"/>
                            <w:noProof/>
                          </w:rPr>
                          <m:t>t</m:t>
                        </m:r>
                      </m:sub>
                    </m:sSub>
                  </m:num>
                  <m:den>
                    <m:sSub>
                      <m:sSubPr>
                        <m:ctrlPr>
                          <w:rPr>
                            <w:rFonts w:ascii="Cambria Math" w:eastAsiaTheme="minorEastAsia" w:hAnsi="Cambria Math"/>
                            <w:i/>
                            <w:noProof/>
                          </w:rPr>
                        </m:ctrlPr>
                      </m:sSubPr>
                      <m:e>
                        <m:r>
                          <w:rPr>
                            <w:rFonts w:ascii="Cambria Math" w:eastAsiaTheme="minorEastAsia" w:hAnsi="Cambria Math"/>
                            <w:noProof/>
                          </w:rPr>
                          <m:t>P</m:t>
                        </m:r>
                      </m:e>
                      <m:sub>
                        <m:r>
                          <w:rPr>
                            <w:rFonts w:ascii="Cambria Math" w:eastAsiaTheme="minorEastAsia" w:hAnsi="Cambria Math"/>
                            <w:noProof/>
                          </w:rPr>
                          <m:t>t-1</m:t>
                        </m:r>
                      </m:sub>
                    </m:sSub>
                  </m:den>
                </m:f>
              </m:e>
            </m:d>
          </m:e>
        </m:func>
      </m:oMath>
      <w:r>
        <w:rPr>
          <w:rFonts w:eastAsiaTheme="minorEastAsia"/>
          <w:noProof/>
        </w:rPr>
        <w:t xml:space="preserve"> is the </w:t>
      </w:r>
      <w:r w:rsidR="0065047B">
        <w:rPr>
          <w:rFonts w:eastAsiaTheme="minorEastAsia"/>
          <w:noProof/>
        </w:rPr>
        <w:t>inflation measure</w:t>
      </w:r>
      <w:r w:rsidR="00B47B2A">
        <w:rPr>
          <w:rFonts w:eastAsiaTheme="minorEastAsia"/>
          <w:noProof/>
        </w:rPr>
        <w:t>d</w:t>
      </w:r>
      <w:r w:rsidR="0065047B">
        <w:rPr>
          <w:rFonts w:eastAsiaTheme="minorEastAsia"/>
          <w:noProof/>
        </w:rPr>
        <w:t xml:space="preserve"> using log change</w:t>
      </w:r>
      <w:r w:rsidR="00E4221A">
        <w:rPr>
          <w:rFonts w:eastAsiaTheme="minorEastAsia"/>
          <w:noProof/>
        </w:rPr>
        <w:t xml:space="preserve">s in </w:t>
      </w:r>
      <w:r w:rsidR="0065047B">
        <w:rPr>
          <w:rFonts w:eastAsiaTheme="minorEastAsia"/>
          <w:noProof/>
        </w:rPr>
        <w:t xml:space="preserve">Consumer Price Index, </w:t>
      </w:r>
      <m:oMath>
        <m:sSub>
          <m:sSubPr>
            <m:ctrlPr>
              <w:rPr>
                <w:rFonts w:ascii="Cambria Math" w:hAnsi="Cambria Math"/>
                <w:i/>
                <w:noProof/>
              </w:rPr>
            </m:ctrlPr>
          </m:sSubPr>
          <m:e>
            <m:r>
              <w:rPr>
                <w:rFonts w:ascii="Cambria Math" w:hAnsi="Cambria Math"/>
                <w:noProof/>
              </w:rPr>
              <m:t xml:space="preserve"> y</m:t>
            </m:r>
          </m:e>
          <m:sub>
            <m:r>
              <w:rPr>
                <w:rFonts w:ascii="Cambria Math" w:hAnsi="Cambria Math"/>
                <w:noProof/>
              </w:rPr>
              <m:t>t</m:t>
            </m:r>
          </m:sub>
        </m:sSub>
        <m:r>
          <w:rPr>
            <w:rFonts w:ascii="Cambria Math" w:hAnsi="Cambria Math"/>
            <w:noProof/>
          </w:rPr>
          <m:t>=</m:t>
        </m:r>
        <m:func>
          <m:funcPr>
            <m:ctrlPr>
              <w:rPr>
                <w:rFonts w:ascii="Cambria Math" w:hAnsi="Cambria Math"/>
                <w:i/>
                <w:noProof/>
              </w:rPr>
            </m:ctrlPr>
          </m:funcPr>
          <m:fName>
            <m:r>
              <m:rPr>
                <m:sty m:val="p"/>
              </m:rPr>
              <w:rPr>
                <w:rFonts w:ascii="Cambria Math" w:hAnsi="Cambria Math"/>
                <w:noProof/>
              </w:rPr>
              <m:t>ln</m:t>
            </m:r>
          </m:fName>
          <m:e>
            <m:sSub>
              <m:sSubPr>
                <m:ctrlPr>
                  <w:rPr>
                    <w:rFonts w:ascii="Cambria Math" w:hAnsi="Cambria Math"/>
                    <w:i/>
                    <w:noProof/>
                  </w:rPr>
                </m:ctrlPr>
              </m:sSubPr>
              <m:e>
                <m:r>
                  <w:rPr>
                    <w:rFonts w:ascii="Cambria Math" w:hAnsi="Cambria Math"/>
                    <w:noProof/>
                  </w:rPr>
                  <m:t>I</m:t>
                </m:r>
              </m:e>
              <m:sub>
                <m:r>
                  <w:rPr>
                    <w:rFonts w:ascii="Cambria Math" w:hAnsi="Cambria Math"/>
                    <w:noProof/>
                  </w:rPr>
                  <m:t>t</m:t>
                </m:r>
              </m:sub>
            </m:sSub>
          </m:e>
        </m:func>
      </m:oMath>
      <w:r w:rsidR="0065047B">
        <w:rPr>
          <w:rFonts w:eastAsiaTheme="minorEastAsia"/>
          <w:noProof/>
        </w:rPr>
        <w:t xml:space="preserve"> is the log of aggregate income, </w:t>
      </w:r>
      <m:oMath>
        <m:sSub>
          <m:sSubPr>
            <m:ctrlPr>
              <w:rPr>
                <w:rFonts w:ascii="Cambria Math" w:hAnsi="Cambria Math"/>
                <w:i/>
                <w:noProof/>
              </w:rPr>
            </m:ctrlPr>
          </m:sSubPr>
          <m:e>
            <m:r>
              <w:rPr>
                <w:rFonts w:ascii="Cambria Math" w:hAnsi="Cambria Math"/>
                <w:noProof/>
              </w:rPr>
              <m:t xml:space="preserve"> c</m:t>
            </m:r>
          </m:e>
          <m:sub>
            <m:r>
              <w:rPr>
                <w:rFonts w:ascii="Cambria Math" w:hAnsi="Cambria Math"/>
                <w:noProof/>
              </w:rPr>
              <m:t>t</m:t>
            </m:r>
          </m:sub>
        </m:sSub>
        <m:r>
          <w:rPr>
            <w:rFonts w:ascii="Cambria Math" w:hAnsi="Cambria Math"/>
            <w:noProof/>
          </w:rPr>
          <m:t>=</m:t>
        </m:r>
        <m:func>
          <m:funcPr>
            <m:ctrlPr>
              <w:rPr>
                <w:rFonts w:ascii="Cambria Math" w:hAnsi="Cambria Math"/>
                <w:i/>
                <w:noProof/>
              </w:rPr>
            </m:ctrlPr>
          </m:funcPr>
          <m:fName>
            <m:r>
              <m:rPr>
                <m:sty m:val="p"/>
              </m:rPr>
              <w:rPr>
                <w:rFonts w:ascii="Cambria Math" w:hAnsi="Cambria Math"/>
                <w:noProof/>
              </w:rPr>
              <m:t>ln</m:t>
            </m:r>
          </m:fName>
          <m:e>
            <m:sSub>
              <m:sSubPr>
                <m:ctrlPr>
                  <w:rPr>
                    <w:rFonts w:ascii="Cambria Math" w:hAnsi="Cambria Math"/>
                    <w:i/>
                    <w:noProof/>
                  </w:rPr>
                </m:ctrlPr>
              </m:sSubPr>
              <m:e>
                <m:r>
                  <w:rPr>
                    <w:rFonts w:ascii="Cambria Math" w:hAnsi="Cambria Math"/>
                    <w:noProof/>
                  </w:rPr>
                  <m:t>C</m:t>
                </m:r>
              </m:e>
              <m:sub>
                <m:r>
                  <w:rPr>
                    <w:rFonts w:ascii="Cambria Math" w:hAnsi="Cambria Math"/>
                    <w:noProof/>
                  </w:rPr>
                  <m:t>t</m:t>
                </m:r>
              </m:sub>
            </m:sSub>
          </m:e>
        </m:func>
      </m:oMath>
      <w:r w:rsidR="0065047B">
        <w:rPr>
          <w:rFonts w:eastAsiaTheme="minorEastAsia"/>
          <w:noProof/>
        </w:rPr>
        <w:t xml:space="preserve"> is the aggregate household consumption, </w:t>
      </w:r>
      <m:oMath>
        <m:sSub>
          <m:sSubPr>
            <m:ctrlPr>
              <w:rPr>
                <w:rFonts w:ascii="Cambria Math" w:hAnsi="Cambria Math"/>
                <w:i/>
                <w:noProof/>
              </w:rPr>
            </m:ctrlPr>
          </m:sSubPr>
          <m:e>
            <m:r>
              <w:rPr>
                <w:rFonts w:ascii="Cambria Math" w:hAnsi="Cambria Math"/>
                <w:noProof/>
              </w:rPr>
              <m:t xml:space="preserve"> w</m:t>
            </m:r>
          </m:e>
          <m:sub>
            <m:r>
              <w:rPr>
                <w:rFonts w:ascii="Cambria Math" w:hAnsi="Cambria Math"/>
                <w:noProof/>
              </w:rPr>
              <m:t>t</m:t>
            </m:r>
          </m:sub>
        </m:sSub>
        <m:r>
          <w:rPr>
            <w:rFonts w:ascii="Cambria Math" w:hAnsi="Cambria Math"/>
            <w:noProof/>
          </w:rPr>
          <m:t>=</m:t>
        </m:r>
        <m:func>
          <m:funcPr>
            <m:ctrlPr>
              <w:rPr>
                <w:rFonts w:ascii="Cambria Math" w:hAnsi="Cambria Math"/>
                <w:i/>
                <w:noProof/>
              </w:rPr>
            </m:ctrlPr>
          </m:funcPr>
          <m:fName>
            <m:r>
              <m:rPr>
                <m:sty m:val="p"/>
              </m:rPr>
              <w:rPr>
                <w:rFonts w:ascii="Cambria Math" w:hAnsi="Cambria Math"/>
                <w:noProof/>
              </w:rPr>
              <m:t>ln</m:t>
            </m:r>
          </m:fName>
          <m:e>
            <m:sSub>
              <m:sSubPr>
                <m:ctrlPr>
                  <w:rPr>
                    <w:rFonts w:ascii="Cambria Math" w:hAnsi="Cambria Math"/>
                    <w:i/>
                    <w:noProof/>
                  </w:rPr>
                </m:ctrlPr>
              </m:sSubPr>
              <m:e>
                <m:r>
                  <w:rPr>
                    <w:rFonts w:ascii="Cambria Math" w:hAnsi="Cambria Math"/>
                    <w:noProof/>
                  </w:rPr>
                  <m:t>W</m:t>
                </m:r>
              </m:e>
              <m:sub>
                <m:r>
                  <w:rPr>
                    <w:rFonts w:ascii="Cambria Math" w:hAnsi="Cambria Math"/>
                    <w:noProof/>
                  </w:rPr>
                  <m:t>t</m:t>
                </m:r>
              </m:sub>
            </m:sSub>
          </m:e>
        </m:func>
      </m:oMath>
      <w:r w:rsidR="0065047B">
        <w:rPr>
          <w:rFonts w:eastAsiaTheme="minorEastAsia"/>
          <w:noProof/>
        </w:rPr>
        <w:t xml:space="preserve"> is the gross aggregate wealth, </w:t>
      </w:r>
      <m:oMath>
        <m:sSub>
          <m:sSubPr>
            <m:ctrlPr>
              <w:rPr>
                <w:rFonts w:ascii="Cambria Math" w:hAnsi="Cambria Math"/>
                <w:i/>
                <w:noProof/>
              </w:rPr>
            </m:ctrlPr>
          </m:sSubPr>
          <m:e>
            <m:r>
              <w:rPr>
                <w:rFonts w:ascii="Cambria Math" w:hAnsi="Cambria Math"/>
                <w:noProof/>
              </w:rPr>
              <m:t>r</m:t>
            </m:r>
          </m:e>
          <m:sub>
            <m:r>
              <w:rPr>
                <w:rFonts w:ascii="Cambria Math" w:hAnsi="Cambria Math"/>
                <w:noProof/>
              </w:rPr>
              <m:t>t</m:t>
            </m:r>
          </m:sub>
        </m:sSub>
      </m:oMath>
      <w:r w:rsidR="0065047B">
        <w:rPr>
          <w:rFonts w:eastAsiaTheme="minorEastAsia"/>
          <w:noProof/>
        </w:rPr>
        <w:t xml:space="preserve"> is the Bank of England’s base rate.  </w:t>
      </w:r>
      <w:r w:rsidR="006B4340">
        <w:rPr>
          <w:rFonts w:eastAsiaTheme="minorEastAsia"/>
          <w:noProof/>
        </w:rPr>
        <w:t xml:space="preserve">In order to identify the </w:t>
      </w:r>
      <w:r w:rsidR="006B4340" w:rsidRPr="0075355A">
        <w:rPr>
          <w:rFonts w:eastAsiaTheme="minorEastAsia"/>
          <w:b/>
          <w:i/>
          <w:noProof/>
        </w:rPr>
        <w:t>A</w:t>
      </w:r>
      <w:r w:rsidR="006B4340">
        <w:rPr>
          <w:rFonts w:eastAsiaTheme="minorEastAsia"/>
          <w:i/>
          <w:noProof/>
        </w:rPr>
        <w:t xml:space="preserve"> </w:t>
      </w:r>
      <w:r w:rsidR="006B4340">
        <w:rPr>
          <w:rFonts w:eastAsiaTheme="minorEastAsia"/>
          <w:noProof/>
        </w:rPr>
        <w:t xml:space="preserve">and the </w:t>
      </w:r>
      <w:r w:rsidR="006B4340" w:rsidRPr="0075355A">
        <w:rPr>
          <w:rFonts w:eastAsiaTheme="minorEastAsia"/>
          <w:b/>
          <w:i/>
          <w:noProof/>
        </w:rPr>
        <w:t>B</w:t>
      </w:r>
      <w:r w:rsidR="006B4340">
        <w:rPr>
          <w:rFonts w:eastAsiaTheme="minorEastAsia"/>
          <w:i/>
          <w:noProof/>
        </w:rPr>
        <w:t xml:space="preserve"> </w:t>
      </w:r>
      <w:r w:rsidR="003C5268">
        <w:rPr>
          <w:rFonts w:eastAsiaTheme="minorEastAsia"/>
          <w:noProof/>
        </w:rPr>
        <w:t>matrices in (7</w:t>
      </w:r>
      <w:r w:rsidR="006B4340">
        <w:rPr>
          <w:rFonts w:eastAsiaTheme="minorEastAsia"/>
          <w:noProof/>
        </w:rPr>
        <w:t xml:space="preserve">), we need </w:t>
      </w:r>
      <w:r w:rsidR="00B73311">
        <w:rPr>
          <w:rFonts w:eastAsiaTheme="minorEastAsia"/>
          <w:noProof/>
        </w:rPr>
        <w:t xml:space="preserve">to </w:t>
      </w:r>
      <w:r w:rsidR="006B4340">
        <w:rPr>
          <w:rFonts w:eastAsiaTheme="minorEastAsia"/>
          <w:noProof/>
        </w:rPr>
        <w:t>impose re</w:t>
      </w:r>
      <w:r w:rsidR="00575C2D">
        <w:rPr>
          <w:rFonts w:eastAsiaTheme="minorEastAsia"/>
          <w:noProof/>
        </w:rPr>
        <w:t>strictions on the elements that</w:t>
      </w:r>
      <w:r w:rsidR="006B4340">
        <w:rPr>
          <w:rFonts w:eastAsiaTheme="minorEastAsia"/>
          <w:noProof/>
        </w:rPr>
        <w:t xml:space="preserve"> are</w:t>
      </w:r>
      <w:r w:rsidR="00F97AFF">
        <w:rPr>
          <w:rFonts w:eastAsiaTheme="minorEastAsia"/>
          <w:noProof/>
        </w:rPr>
        <w:t xml:space="preserve"> theoretically motivated. We impose</w:t>
      </w:r>
      <w:r w:rsidR="006B4340">
        <w:rPr>
          <w:rFonts w:eastAsiaTheme="minorEastAsia"/>
          <w:noProof/>
        </w:rPr>
        <w:t xml:space="preserve"> the </w:t>
      </w:r>
      <w:r w:rsidR="00F97AFF">
        <w:rPr>
          <w:rFonts w:eastAsiaTheme="minorEastAsia"/>
          <w:noProof/>
        </w:rPr>
        <w:t xml:space="preserve">short-run </w:t>
      </w:r>
      <w:r w:rsidR="006B4340">
        <w:rPr>
          <w:rFonts w:eastAsiaTheme="minorEastAsia"/>
          <w:noProof/>
        </w:rPr>
        <w:t xml:space="preserve">restirctions suggested by </w:t>
      </w:r>
      <w:r w:rsidR="006B4340">
        <w:rPr>
          <w:noProof/>
        </w:rPr>
        <w:t>Ludvigson et.al.</w:t>
      </w:r>
      <w:r w:rsidR="006B4340" w:rsidRPr="00FD0A31">
        <w:rPr>
          <w:noProof/>
        </w:rPr>
        <w:t xml:space="preserve"> </w:t>
      </w:r>
      <w:r w:rsidR="006B4340">
        <w:rPr>
          <w:noProof/>
        </w:rPr>
        <w:t>(</w:t>
      </w:r>
      <w:r w:rsidR="006B4340" w:rsidRPr="00FD0A31">
        <w:rPr>
          <w:noProof/>
        </w:rPr>
        <w:t>2002</w:t>
      </w:r>
      <w:r w:rsidR="006B4340">
        <w:rPr>
          <w:noProof/>
        </w:rPr>
        <w:t xml:space="preserve">). The restrictions on matrix </w:t>
      </w:r>
      <w:r w:rsidR="006B4340" w:rsidRPr="0075355A">
        <w:rPr>
          <w:b/>
          <w:i/>
          <w:noProof/>
        </w:rPr>
        <w:t>A</w:t>
      </w:r>
      <w:r w:rsidR="006B4340">
        <w:rPr>
          <w:i/>
          <w:noProof/>
        </w:rPr>
        <w:t xml:space="preserve"> </w:t>
      </w:r>
      <w:r w:rsidR="006B4340">
        <w:rPr>
          <w:noProof/>
        </w:rPr>
        <w:t xml:space="preserve">are driven by the following assumptions; </w:t>
      </w:r>
      <w:r w:rsidR="00575C2D">
        <w:rPr>
          <w:noProof/>
        </w:rPr>
        <w:t xml:space="preserve">(i) </w:t>
      </w:r>
      <w:r w:rsidR="006B4340">
        <w:rPr>
          <w:noProof/>
        </w:rPr>
        <w:t>the base rate responds contemporaneously to consumption and income</w:t>
      </w:r>
      <w:r w:rsidR="00445289">
        <w:rPr>
          <w:noProof/>
        </w:rPr>
        <w:t xml:space="preserve">, </w:t>
      </w:r>
      <w:r w:rsidR="00575C2D">
        <w:rPr>
          <w:noProof/>
        </w:rPr>
        <w:t xml:space="preserve">(ii) </w:t>
      </w:r>
      <w:r w:rsidR="00445289">
        <w:rPr>
          <w:noProof/>
        </w:rPr>
        <w:t xml:space="preserve">wealth is not contemporaneously affected by consumption however, the opposite is true and finally </w:t>
      </w:r>
      <w:r w:rsidR="00575C2D">
        <w:rPr>
          <w:noProof/>
        </w:rPr>
        <w:t xml:space="preserve">(iii) </w:t>
      </w:r>
      <w:r w:rsidR="00445289">
        <w:rPr>
          <w:noProof/>
        </w:rPr>
        <w:t xml:space="preserve">the Bank of England is assumed not to react contemporaneously to changes in wealth, </w:t>
      </w:r>
      <w:r w:rsidR="00E4221A">
        <w:rPr>
          <w:noProof/>
        </w:rPr>
        <w:t xml:space="preserve">though </w:t>
      </w:r>
      <w:r w:rsidR="00445289">
        <w:rPr>
          <w:noProof/>
        </w:rPr>
        <w:t>simultaneous reaction between wealth and base rate is allowed. This final assumption impl</w:t>
      </w:r>
      <w:r w:rsidR="00E4221A">
        <w:rPr>
          <w:noProof/>
        </w:rPr>
        <w:t>ies</w:t>
      </w:r>
      <w:r w:rsidR="00445289">
        <w:rPr>
          <w:noProof/>
        </w:rPr>
        <w:t xml:space="preserve"> that Bank of England does not target wealth directly</w:t>
      </w:r>
      <w:r w:rsidR="00E4221A">
        <w:rPr>
          <w:noProof/>
        </w:rPr>
        <w:t>.</w:t>
      </w:r>
      <w:r w:rsidR="00445289">
        <w:rPr>
          <w:noProof/>
        </w:rPr>
        <w:t xml:space="preserve"> </w:t>
      </w:r>
      <w:r w:rsidR="00D82E9A">
        <w:rPr>
          <w:noProof/>
        </w:rPr>
        <w:t>With these set of assumptions the matrix</w:t>
      </w:r>
      <w:r w:rsidR="006C18BF">
        <w:rPr>
          <w:noProof/>
        </w:rPr>
        <w:t xml:space="preserve"> of contemporaneous coefficients</w:t>
      </w:r>
      <w:r w:rsidR="00D82E9A">
        <w:rPr>
          <w:noProof/>
        </w:rPr>
        <w:t xml:space="preserve"> </w:t>
      </w:r>
      <w:r w:rsidR="00D82E9A">
        <w:rPr>
          <w:i/>
          <w:noProof/>
        </w:rPr>
        <w:t xml:space="preserve">A </w:t>
      </w:r>
      <w:r w:rsidR="00D82E9A">
        <w:rPr>
          <w:noProof/>
        </w:rPr>
        <w:t>takes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8"/>
        <w:gridCol w:w="1308"/>
      </w:tblGrid>
      <w:tr w:rsidR="00D82E9A" w:rsidTr="00D82E9A">
        <w:tc>
          <w:tcPr>
            <w:tcW w:w="7905" w:type="dxa"/>
          </w:tcPr>
          <w:p w:rsidR="00D82E9A" w:rsidRPr="00654F88" w:rsidRDefault="0075355A" w:rsidP="004A5752">
            <w:pPr>
              <w:spacing w:after="200" w:line="360" w:lineRule="auto"/>
              <w:jc w:val="center"/>
              <w:rPr>
                <w:noProof/>
              </w:rPr>
            </w:pPr>
            <m:oMathPara>
              <m:oMath>
                <m:r>
                  <m:rPr>
                    <m:sty m:val="bi"/>
                  </m:rPr>
                  <w:rPr>
                    <w:rFonts w:ascii="Cambria Math" w:hAnsi="Cambria Math"/>
                    <w:noProof/>
                  </w:rPr>
                  <m:t>A</m:t>
                </m:r>
                <m:r>
                  <w:rPr>
                    <w:rFonts w:ascii="Cambria Math" w:hAnsi="Cambria Math"/>
                    <w:noProof/>
                  </w:rPr>
                  <m:t>=</m:t>
                </m:r>
                <m:d>
                  <m:dPr>
                    <m:begChr m:val="["/>
                    <m:endChr m:val="]"/>
                    <m:ctrlPr>
                      <w:rPr>
                        <w:rFonts w:ascii="Cambria Math" w:hAnsi="Cambria Math"/>
                        <w:i/>
                        <w:noProof/>
                      </w:rPr>
                    </m:ctrlPr>
                  </m:dPr>
                  <m:e>
                    <m:m>
                      <m:mPr>
                        <m:mcs>
                          <m:mc>
                            <m:mcPr>
                              <m:count m:val="5"/>
                              <m:mcJc m:val="center"/>
                            </m:mcPr>
                          </m:mc>
                        </m:mcs>
                        <m:ctrlPr>
                          <w:rPr>
                            <w:rFonts w:ascii="Cambria Math" w:hAnsi="Cambria Math"/>
                            <w:i/>
                            <w:noProof/>
                          </w:rPr>
                        </m:ctrlPr>
                      </m:mPr>
                      <m:mr>
                        <m:e>
                          <m:r>
                            <w:rPr>
                              <w:rFonts w:ascii="Cambria Math" w:hAnsi="Cambria Math"/>
                              <w:noProof/>
                            </w:rPr>
                            <m:t>1</m:t>
                          </m:r>
                        </m:e>
                        <m:e>
                          <m:r>
                            <w:rPr>
                              <w:rFonts w:ascii="Cambria Math" w:hAnsi="Cambria Math"/>
                              <w:noProof/>
                            </w:rPr>
                            <m:t>0</m:t>
                          </m:r>
                        </m:e>
                        <m:e>
                          <m:r>
                            <w:rPr>
                              <w:rFonts w:ascii="Cambria Math" w:hAnsi="Cambria Math"/>
                              <w:noProof/>
                            </w:rPr>
                            <m:t>0</m:t>
                          </m:r>
                        </m:e>
                        <m:e>
                          <m:r>
                            <w:rPr>
                              <w:rFonts w:ascii="Cambria Math" w:hAnsi="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21</m:t>
                              </m:r>
                            </m:sub>
                          </m:sSub>
                        </m:e>
                        <m:e>
                          <m:r>
                            <w:rPr>
                              <w:rFonts w:ascii="Cambria Math" w:hAnsi="Cambria Math"/>
                              <w:noProof/>
                            </w:rPr>
                            <m:t>1</m:t>
                          </m:r>
                        </m:e>
                        <m:e>
                          <m:r>
                            <w:rPr>
                              <w:rFonts w:ascii="Cambria Math" w:hAnsi="Cambria Math"/>
                              <w:noProof/>
                            </w:rPr>
                            <m:t>0</m:t>
                          </m:r>
                        </m:e>
                        <m:e>
                          <m:r>
                            <w:rPr>
                              <w:rFonts w:ascii="Cambria Math" w:hAnsi="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31</m:t>
                              </m:r>
                            </m:sub>
                          </m:sSub>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32</m:t>
                              </m:r>
                            </m:sub>
                          </m:sSub>
                          <m:ctrlPr>
                            <w:rPr>
                              <w:rFonts w:ascii="Cambria Math" w:eastAsia="Cambria Math" w:hAnsi="Cambria Math" w:cs="Cambria Math"/>
                              <w:i/>
                              <w:noProof/>
                            </w:rPr>
                          </m:ctrlPr>
                        </m:e>
                        <m:e>
                          <m:r>
                            <w:rPr>
                              <w:rFonts w:ascii="Cambria Math" w:eastAsia="Cambria Math" w:hAnsi="Cambria Math" w:cs="Cambria Math"/>
                              <w:noProof/>
                            </w:rPr>
                            <m:t>1</m:t>
                          </m:r>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34</m:t>
                              </m:r>
                            </m:sub>
                          </m:sSub>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41</m:t>
                              </m:r>
                            </m:sub>
                          </m:sSub>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42</m:t>
                              </m:r>
                            </m:sub>
                          </m:sSub>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1</m:t>
                          </m:r>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45</m:t>
                              </m:r>
                            </m:sub>
                          </m:sSub>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51</m:t>
                              </m:r>
                            </m:sub>
                          </m:sSub>
                        </m:e>
                        <m:e>
                          <m:sSub>
                            <m:sSubPr>
                              <m:ctrlPr>
                                <w:rPr>
                                  <w:rFonts w:ascii="Cambria Math" w:hAnsi="Cambria Math"/>
                                  <w:i/>
                                  <w:noProof/>
                                </w:rPr>
                              </m:ctrlPr>
                            </m:sSubPr>
                            <m:e>
                              <m:r>
                                <w:rPr>
                                  <w:rFonts w:ascii="Cambria Math" w:hAnsi="Cambria Math"/>
                                  <w:noProof/>
                                </w:rPr>
                                <m:t>a</m:t>
                              </m:r>
                            </m:e>
                            <m:sub>
                              <m:r>
                                <w:rPr>
                                  <w:rFonts w:ascii="Cambria Math" w:hAnsi="Cambria Math"/>
                                  <w:noProof/>
                                </w:rPr>
                                <m:t>52</m:t>
                              </m:r>
                            </m:sub>
                          </m:sSub>
                        </m:e>
                        <m:e>
                          <m:sSub>
                            <m:sSubPr>
                              <m:ctrlPr>
                                <w:rPr>
                                  <w:rFonts w:ascii="Cambria Math" w:hAnsi="Cambria Math"/>
                                  <w:i/>
                                  <w:noProof/>
                                </w:rPr>
                              </m:ctrlPr>
                            </m:sSubPr>
                            <m:e>
                              <m:r>
                                <w:rPr>
                                  <w:rFonts w:ascii="Cambria Math" w:hAnsi="Cambria Math"/>
                                  <w:noProof/>
                                </w:rPr>
                                <m:t>a</m:t>
                              </m:r>
                            </m:e>
                            <m:sub>
                              <m:r>
                                <w:rPr>
                                  <w:rFonts w:ascii="Cambria Math" w:hAnsi="Cambria Math"/>
                                  <w:noProof/>
                                </w:rPr>
                                <m:t>53</m:t>
                              </m:r>
                            </m:sub>
                          </m:sSub>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1</m:t>
                          </m:r>
                        </m:e>
                      </m:mr>
                    </m:m>
                  </m:e>
                </m:d>
              </m:oMath>
            </m:oMathPara>
          </w:p>
        </w:tc>
        <w:tc>
          <w:tcPr>
            <w:tcW w:w="1337" w:type="dxa"/>
            <w:vAlign w:val="center"/>
          </w:tcPr>
          <w:p w:rsidR="00D82E9A" w:rsidRPr="00654F88" w:rsidRDefault="001F51F9" w:rsidP="004A5752">
            <w:pPr>
              <w:spacing w:after="200" w:line="360" w:lineRule="auto"/>
              <w:jc w:val="center"/>
              <w:rPr>
                <w:noProof/>
              </w:rPr>
            </w:pPr>
            <w:r>
              <w:rPr>
                <w:noProof/>
              </w:rPr>
              <w:t>(10</w:t>
            </w:r>
            <w:r w:rsidR="00D82E9A">
              <w:rPr>
                <w:noProof/>
              </w:rPr>
              <w:t>)</w:t>
            </w:r>
          </w:p>
        </w:tc>
      </w:tr>
    </w:tbl>
    <w:p w:rsidR="009A77E0" w:rsidRPr="006B4340" w:rsidRDefault="009A77E0" w:rsidP="004A5752">
      <w:pPr>
        <w:spacing w:line="360" w:lineRule="auto"/>
        <w:rPr>
          <w:noProof/>
        </w:rPr>
      </w:pPr>
    </w:p>
    <w:p w:rsidR="007038BD" w:rsidRDefault="00A31B75" w:rsidP="004A5752">
      <w:pPr>
        <w:spacing w:line="360" w:lineRule="auto"/>
        <w:rPr>
          <w:noProof/>
        </w:rPr>
      </w:pPr>
      <w:r>
        <w:rPr>
          <w:noProof/>
        </w:rPr>
        <w:t xml:space="preserve"> </w:t>
      </w:r>
      <w:r w:rsidR="00646906">
        <w:rPr>
          <w:noProof/>
        </w:rPr>
        <w:t xml:space="preserve"> </w:t>
      </w:r>
      <w:r w:rsidR="007038BD">
        <w:rPr>
          <w:noProof/>
        </w:rPr>
        <w:t xml:space="preserve">   </w:t>
      </w:r>
      <w:r w:rsidR="00D82E9A">
        <w:rPr>
          <w:noProof/>
        </w:rPr>
        <w:t xml:space="preserve">While the matrix </w:t>
      </w:r>
      <w:r w:rsidR="00D82E9A" w:rsidRPr="0075355A">
        <w:rPr>
          <w:b/>
          <w:i/>
          <w:noProof/>
        </w:rPr>
        <w:t>B</w:t>
      </w:r>
      <w:r w:rsidR="00D82E9A">
        <w:rPr>
          <w:i/>
          <w:noProof/>
        </w:rPr>
        <w:t xml:space="preserve"> </w:t>
      </w:r>
      <w:r w:rsidR="00D82E9A">
        <w:rPr>
          <w:noProof/>
        </w:rPr>
        <w:t>is assumed t</w:t>
      </w:r>
      <w:r w:rsidR="001F51F9">
        <w:rPr>
          <w:noProof/>
        </w:rPr>
        <w:t>o be an identity matrix. Thus (7</w:t>
      </w:r>
      <w:r w:rsidR="00D82E9A">
        <w:rPr>
          <w:noProof/>
        </w:rPr>
        <w:t>)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0"/>
        <w:gridCol w:w="1306"/>
      </w:tblGrid>
      <w:tr w:rsidR="00F04F69" w:rsidTr="00F13BF5">
        <w:tc>
          <w:tcPr>
            <w:tcW w:w="7905" w:type="dxa"/>
          </w:tcPr>
          <w:p w:rsidR="00F04F69" w:rsidRPr="00654F88" w:rsidRDefault="005E14F1" w:rsidP="004A5752">
            <w:pPr>
              <w:spacing w:line="360" w:lineRule="auto"/>
              <w:rPr>
                <w:noProof/>
              </w:rPr>
            </w:pPr>
            <m:oMathPara>
              <m:oMath>
                <m:d>
                  <m:dPr>
                    <m:begChr m:val="["/>
                    <m:endChr m:val="]"/>
                    <m:ctrlPr>
                      <w:rPr>
                        <w:rFonts w:ascii="Cambria Math" w:hAnsi="Cambria Math"/>
                        <w:i/>
                        <w:noProof/>
                      </w:rPr>
                    </m:ctrlPr>
                  </m:dPr>
                  <m:e>
                    <m:m>
                      <m:mPr>
                        <m:mcs>
                          <m:mc>
                            <m:mcPr>
                              <m:count m:val="5"/>
                              <m:mcJc m:val="center"/>
                            </m:mcPr>
                          </m:mc>
                        </m:mcs>
                        <m:ctrlPr>
                          <w:rPr>
                            <w:rFonts w:ascii="Cambria Math" w:hAnsi="Cambria Math"/>
                            <w:i/>
                            <w:noProof/>
                          </w:rPr>
                        </m:ctrlPr>
                      </m:mPr>
                      <m:mr>
                        <m:e>
                          <m:r>
                            <w:rPr>
                              <w:rFonts w:ascii="Cambria Math" w:hAnsi="Cambria Math"/>
                              <w:noProof/>
                            </w:rPr>
                            <m:t>1</m:t>
                          </m:r>
                        </m:e>
                        <m:e>
                          <m:r>
                            <w:rPr>
                              <w:rFonts w:ascii="Cambria Math" w:hAnsi="Cambria Math"/>
                              <w:noProof/>
                            </w:rPr>
                            <m:t>0</m:t>
                          </m:r>
                        </m:e>
                        <m:e>
                          <m:r>
                            <w:rPr>
                              <w:rFonts w:ascii="Cambria Math" w:hAnsi="Cambria Math"/>
                              <w:noProof/>
                            </w:rPr>
                            <m:t>0</m:t>
                          </m:r>
                        </m:e>
                        <m:e>
                          <m:r>
                            <w:rPr>
                              <w:rFonts w:ascii="Cambria Math" w:hAnsi="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21</m:t>
                              </m:r>
                            </m:sub>
                          </m:sSub>
                        </m:e>
                        <m:e>
                          <m:r>
                            <w:rPr>
                              <w:rFonts w:ascii="Cambria Math" w:hAnsi="Cambria Math"/>
                              <w:noProof/>
                            </w:rPr>
                            <m:t>1</m:t>
                          </m:r>
                        </m:e>
                        <m:e>
                          <m:r>
                            <w:rPr>
                              <w:rFonts w:ascii="Cambria Math" w:hAnsi="Cambria Math"/>
                              <w:noProof/>
                            </w:rPr>
                            <m:t>0</m:t>
                          </m:r>
                        </m:e>
                        <m:e>
                          <m:r>
                            <w:rPr>
                              <w:rFonts w:ascii="Cambria Math" w:hAnsi="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31</m:t>
                              </m:r>
                            </m:sub>
                          </m:sSub>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32</m:t>
                              </m:r>
                            </m:sub>
                          </m:sSub>
                          <m:ctrlPr>
                            <w:rPr>
                              <w:rFonts w:ascii="Cambria Math" w:eastAsia="Cambria Math" w:hAnsi="Cambria Math" w:cs="Cambria Math"/>
                              <w:i/>
                              <w:noProof/>
                            </w:rPr>
                          </m:ctrlPr>
                        </m:e>
                        <m:e>
                          <m:r>
                            <w:rPr>
                              <w:rFonts w:ascii="Cambria Math" w:eastAsia="Cambria Math" w:hAnsi="Cambria Math" w:cs="Cambria Math"/>
                              <w:noProof/>
                            </w:rPr>
                            <m:t>1</m:t>
                          </m:r>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34</m:t>
                              </m:r>
                            </m:sub>
                          </m:sSub>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41</m:t>
                              </m:r>
                            </m:sub>
                          </m:sSub>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42</m:t>
                              </m:r>
                            </m:sub>
                          </m:sSub>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1</m:t>
                          </m:r>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45</m:t>
                              </m:r>
                            </m:sub>
                          </m:sSub>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51</m:t>
                              </m:r>
                            </m:sub>
                          </m:sSub>
                        </m:e>
                        <m:e>
                          <m:sSub>
                            <m:sSubPr>
                              <m:ctrlPr>
                                <w:rPr>
                                  <w:rFonts w:ascii="Cambria Math" w:hAnsi="Cambria Math"/>
                                  <w:i/>
                                  <w:noProof/>
                                </w:rPr>
                              </m:ctrlPr>
                            </m:sSubPr>
                            <m:e>
                              <m:r>
                                <w:rPr>
                                  <w:rFonts w:ascii="Cambria Math" w:hAnsi="Cambria Math"/>
                                  <w:noProof/>
                                </w:rPr>
                                <m:t>a</m:t>
                              </m:r>
                            </m:e>
                            <m:sub>
                              <m:r>
                                <w:rPr>
                                  <w:rFonts w:ascii="Cambria Math" w:hAnsi="Cambria Math"/>
                                  <w:noProof/>
                                </w:rPr>
                                <m:t>52</m:t>
                              </m:r>
                            </m:sub>
                          </m:sSub>
                        </m:e>
                        <m:e>
                          <m:sSub>
                            <m:sSubPr>
                              <m:ctrlPr>
                                <w:rPr>
                                  <w:rFonts w:ascii="Cambria Math" w:hAnsi="Cambria Math"/>
                                  <w:i/>
                                  <w:noProof/>
                                </w:rPr>
                              </m:ctrlPr>
                            </m:sSubPr>
                            <m:e>
                              <m:r>
                                <w:rPr>
                                  <w:rFonts w:ascii="Cambria Math" w:hAnsi="Cambria Math"/>
                                  <w:noProof/>
                                </w:rPr>
                                <m:t>a</m:t>
                              </m:r>
                            </m:e>
                            <m:sub>
                              <m:r>
                                <w:rPr>
                                  <w:rFonts w:ascii="Cambria Math" w:hAnsi="Cambria Math"/>
                                  <w:noProof/>
                                </w:rPr>
                                <m:t>53</m:t>
                              </m:r>
                            </m:sub>
                          </m:sSub>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1</m:t>
                          </m:r>
                        </m:e>
                      </m:mr>
                    </m:m>
                  </m:e>
                </m:d>
                <m:r>
                  <w:rPr>
                    <w:rFonts w:ascii="Cambria Math" w:hAnsi="Cambria Math"/>
                    <w:noProof/>
                  </w:rPr>
                  <m:t>.</m:t>
                </m:r>
                <m:d>
                  <m:dPr>
                    <m:begChr m:val="["/>
                    <m:endChr m:val="]"/>
                    <m:ctrlPr>
                      <w:rPr>
                        <w:rFonts w:ascii="Cambria Math" w:hAnsi="Cambria Math"/>
                        <w:i/>
                        <w:noProof/>
                      </w:rPr>
                    </m:ctrlPr>
                  </m:dPr>
                  <m:e>
                    <m:m>
                      <m:mPr>
                        <m:mcs>
                          <m:mc>
                            <m:mcPr>
                              <m:count m:val="1"/>
                              <m:mcJc m:val="center"/>
                            </m:mcPr>
                          </m:mc>
                        </m:mcs>
                        <m:ctrlPr>
                          <w:rPr>
                            <w:rFonts w:ascii="Cambria Math" w:hAnsi="Cambria Math"/>
                            <w:i/>
                            <w:noProof/>
                          </w:rPr>
                        </m:ctrlPr>
                      </m:mPr>
                      <m:mr>
                        <m:e>
                          <m:sSubSup>
                            <m:sSubSupPr>
                              <m:ctrlPr>
                                <w:rPr>
                                  <w:rFonts w:ascii="Cambria Math" w:hAnsi="Cambria Math"/>
                                  <w:i/>
                                  <w:noProof/>
                                </w:rPr>
                              </m:ctrlPr>
                            </m:sSubSupPr>
                            <m:e>
                              <m:r>
                                <w:rPr>
                                  <w:rFonts w:ascii="Cambria Math" w:hAnsi="Cambria Math"/>
                                  <w:noProof/>
                                </w:rPr>
                                <m:t>ε</m:t>
                              </m:r>
                            </m:e>
                            <m:sub>
                              <m:r>
                                <w:rPr>
                                  <w:rFonts w:ascii="Cambria Math" w:hAnsi="Cambria Math"/>
                                  <w:noProof/>
                                </w:rPr>
                                <m:t>t</m:t>
                              </m:r>
                            </m:sub>
                            <m:sup>
                              <m:r>
                                <w:rPr>
                                  <w:rFonts w:ascii="Cambria Math" w:hAnsi="Cambria Math"/>
                                  <w:noProof/>
                                </w:rPr>
                                <m:t>π</m:t>
                              </m:r>
                            </m:sup>
                          </m:sSubSup>
                        </m:e>
                      </m:mr>
                      <m:mr>
                        <m:e>
                          <m:sSubSup>
                            <m:sSubSupPr>
                              <m:ctrlPr>
                                <w:rPr>
                                  <w:rFonts w:ascii="Cambria Math" w:hAnsi="Cambria Math"/>
                                  <w:i/>
                                  <w:noProof/>
                                </w:rPr>
                              </m:ctrlPr>
                            </m:sSubSupPr>
                            <m:e>
                              <m:r>
                                <w:rPr>
                                  <w:rFonts w:ascii="Cambria Math" w:hAnsi="Cambria Math"/>
                                  <w:noProof/>
                                </w:rPr>
                                <m:t>ε</m:t>
                              </m:r>
                            </m:e>
                            <m:sub>
                              <m:r>
                                <w:rPr>
                                  <w:rFonts w:ascii="Cambria Math" w:hAnsi="Cambria Math"/>
                                  <w:noProof/>
                                </w:rPr>
                                <m:t>t</m:t>
                              </m:r>
                            </m:sub>
                            <m:sup>
                              <m:r>
                                <w:rPr>
                                  <w:rFonts w:ascii="Cambria Math" w:hAnsi="Cambria Math"/>
                                  <w:noProof/>
                                </w:rPr>
                                <m:t>y</m:t>
                              </m:r>
                            </m:sup>
                          </m:sSubSup>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ε</m:t>
                              </m:r>
                            </m:e>
                            <m:sub>
                              <m:r>
                                <w:rPr>
                                  <w:rFonts w:ascii="Cambria Math" w:eastAsia="Cambria Math" w:hAnsi="Cambria Math" w:cs="Cambria Math"/>
                                  <w:noProof/>
                                </w:rPr>
                                <m:t>t</m:t>
                              </m:r>
                            </m:sub>
                            <m:sup>
                              <m:r>
                                <w:rPr>
                                  <w:rFonts w:ascii="Cambria Math" w:eastAsia="Cambria Math" w:hAnsi="Cambria Math" w:cs="Cambria Math"/>
                                  <w:noProof/>
                                </w:rPr>
                                <m:t>c</m:t>
                              </m:r>
                            </m:sup>
                          </m:sSubSup>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ε</m:t>
                              </m:r>
                            </m:e>
                            <m:sub>
                              <m:r>
                                <w:rPr>
                                  <w:rFonts w:ascii="Cambria Math" w:eastAsia="Cambria Math" w:hAnsi="Cambria Math" w:cs="Cambria Math"/>
                                  <w:noProof/>
                                </w:rPr>
                                <m:t>t</m:t>
                              </m:r>
                            </m:sub>
                            <m:sup>
                              <m:r>
                                <w:rPr>
                                  <w:rFonts w:ascii="Cambria Math" w:eastAsia="Cambria Math" w:hAnsi="Cambria Math" w:cs="Cambria Math"/>
                                  <w:noProof/>
                                </w:rPr>
                                <m:t>w</m:t>
                              </m:r>
                            </m:sup>
                          </m:sSubSup>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ε</m:t>
                              </m:r>
                            </m:e>
                            <m:sub>
                              <m:r>
                                <w:rPr>
                                  <w:rFonts w:ascii="Cambria Math" w:eastAsia="Cambria Math" w:hAnsi="Cambria Math" w:cs="Cambria Math"/>
                                  <w:noProof/>
                                </w:rPr>
                                <m:t>t</m:t>
                              </m:r>
                            </m:sub>
                            <m:sup>
                              <m:r>
                                <w:rPr>
                                  <w:rFonts w:ascii="Cambria Math" w:eastAsia="Cambria Math" w:hAnsi="Cambria Math" w:cs="Cambria Math"/>
                                  <w:noProof/>
                                </w:rPr>
                                <m:t>r</m:t>
                              </m:r>
                            </m:sup>
                          </m:sSubSup>
                        </m:e>
                      </m:mr>
                    </m:m>
                  </m:e>
                </m:d>
                <m:r>
                  <w:rPr>
                    <w:rFonts w:ascii="Cambria Math" w:hAnsi="Cambria Math"/>
                    <w:noProof/>
                  </w:rPr>
                  <m:t>=</m:t>
                </m:r>
                <m:d>
                  <m:dPr>
                    <m:begChr m:val="["/>
                    <m:endChr m:val="]"/>
                    <m:ctrlPr>
                      <w:rPr>
                        <w:rFonts w:ascii="Cambria Math" w:hAnsi="Cambria Math"/>
                        <w:i/>
                        <w:noProof/>
                      </w:rPr>
                    </m:ctrlPr>
                  </m:dPr>
                  <m:e>
                    <m:m>
                      <m:mPr>
                        <m:mcs>
                          <m:mc>
                            <m:mcPr>
                              <m:count m:val="5"/>
                              <m:mcJc m:val="center"/>
                            </m:mcPr>
                          </m:mc>
                        </m:mcs>
                        <m:ctrlPr>
                          <w:rPr>
                            <w:rFonts w:ascii="Cambria Math" w:hAnsi="Cambria Math"/>
                            <w:i/>
                            <w:noProof/>
                          </w:rPr>
                        </m:ctrlPr>
                      </m:mPr>
                      <m:mr>
                        <m:e>
                          <m:r>
                            <w:rPr>
                              <w:rFonts w:ascii="Cambria Math" w:hAnsi="Cambria Math"/>
                              <w:noProof/>
                            </w:rPr>
                            <m:t>1</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e>
                        <m:e>
                          <m:r>
                            <w:rPr>
                              <w:rFonts w:ascii="Cambria Math" w:hAnsi="Cambria Math"/>
                              <w:noProof/>
                            </w:rPr>
                            <m:t>0</m:t>
                          </m:r>
                        </m:e>
                      </m:mr>
                      <m:mr>
                        <m:e>
                          <m:r>
                            <w:rPr>
                              <w:rFonts w:ascii="Cambria Math" w:hAnsi="Cambria Math"/>
                              <w:noProof/>
                            </w:rPr>
                            <m:t>0</m:t>
                          </m:r>
                          <m:ctrlPr>
                            <w:rPr>
                              <w:rFonts w:ascii="Cambria Math" w:eastAsia="Cambria Math" w:hAnsi="Cambria Math" w:cs="Cambria Math"/>
                              <w:i/>
                              <w:noProof/>
                            </w:rPr>
                          </m:ctrlPr>
                        </m:e>
                        <m:e>
                          <m:r>
                            <w:rPr>
                              <w:rFonts w:ascii="Cambria Math" w:eastAsia="Cambria Math" w:hAnsi="Cambria Math" w:cs="Cambria Math"/>
                              <w:noProof/>
                            </w:rPr>
                            <m:t>1</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1</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1</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e>
                        <m:e>
                          <m:r>
                            <w:rPr>
                              <w:rFonts w:ascii="Cambria Math" w:hAnsi="Cambria Math"/>
                              <w:noProof/>
                            </w:rPr>
                            <m:t>1</m:t>
                          </m:r>
                        </m:e>
                      </m:mr>
                    </m:m>
                  </m:e>
                </m:d>
                <m:r>
                  <w:rPr>
                    <w:rFonts w:ascii="Cambria Math" w:hAnsi="Cambria Math"/>
                    <w:noProof/>
                  </w:rPr>
                  <m:t>.</m:t>
                </m:r>
                <m:d>
                  <m:dPr>
                    <m:begChr m:val="["/>
                    <m:endChr m:val="]"/>
                    <m:ctrlPr>
                      <w:rPr>
                        <w:rFonts w:ascii="Cambria Math" w:hAnsi="Cambria Math"/>
                        <w:i/>
                        <w:noProof/>
                      </w:rPr>
                    </m:ctrlPr>
                  </m:dPr>
                  <m:e>
                    <m:m>
                      <m:mPr>
                        <m:mcs>
                          <m:mc>
                            <m:mcPr>
                              <m:count m:val="1"/>
                              <m:mcJc m:val="center"/>
                            </m:mcPr>
                          </m:mc>
                        </m:mcs>
                        <m:ctrlPr>
                          <w:rPr>
                            <w:rFonts w:ascii="Cambria Math" w:hAnsi="Cambria Math"/>
                            <w:i/>
                            <w:noProof/>
                          </w:rPr>
                        </m:ctrlPr>
                      </m:mPr>
                      <m:mr>
                        <m:e>
                          <m:sSubSup>
                            <m:sSubSupPr>
                              <m:ctrlPr>
                                <w:rPr>
                                  <w:rFonts w:ascii="Cambria Math" w:hAnsi="Cambria Math"/>
                                  <w:i/>
                                  <w:noProof/>
                                </w:rPr>
                              </m:ctrlPr>
                            </m:sSubSupPr>
                            <m:e>
                              <m:r>
                                <w:rPr>
                                  <w:rFonts w:ascii="Cambria Math" w:hAnsi="Cambria Math"/>
                                  <w:noProof/>
                                </w:rPr>
                                <m:t>u</m:t>
                              </m:r>
                            </m:e>
                            <m:sub>
                              <m:r>
                                <w:rPr>
                                  <w:rFonts w:ascii="Cambria Math" w:hAnsi="Cambria Math"/>
                                  <w:noProof/>
                                </w:rPr>
                                <m:t>t</m:t>
                              </m:r>
                            </m:sub>
                            <m:sup>
                              <m:r>
                                <w:rPr>
                                  <w:rFonts w:ascii="Cambria Math" w:hAnsi="Cambria Math"/>
                                  <w:noProof/>
                                </w:rPr>
                                <m:t>π</m:t>
                              </m:r>
                            </m:sup>
                          </m:sSubSup>
                        </m:e>
                      </m:mr>
                      <m:mr>
                        <m:e>
                          <m:sSubSup>
                            <m:sSubSupPr>
                              <m:ctrlPr>
                                <w:rPr>
                                  <w:rFonts w:ascii="Cambria Math" w:hAnsi="Cambria Math"/>
                                  <w:i/>
                                  <w:noProof/>
                                </w:rPr>
                              </m:ctrlPr>
                            </m:sSubSupPr>
                            <m:e>
                              <m:r>
                                <w:rPr>
                                  <w:rFonts w:ascii="Cambria Math" w:hAnsi="Cambria Math"/>
                                  <w:noProof/>
                                </w:rPr>
                                <m:t>u</m:t>
                              </m:r>
                            </m:e>
                            <m:sub>
                              <m:r>
                                <w:rPr>
                                  <w:rFonts w:ascii="Cambria Math" w:hAnsi="Cambria Math"/>
                                  <w:noProof/>
                                </w:rPr>
                                <m:t>t</m:t>
                              </m:r>
                            </m:sub>
                            <m:sup>
                              <m:r>
                                <w:rPr>
                                  <w:rFonts w:ascii="Cambria Math" w:hAnsi="Cambria Math"/>
                                  <w:noProof/>
                                </w:rPr>
                                <m:t>y</m:t>
                              </m:r>
                            </m:sup>
                          </m:sSubSup>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c</m:t>
                              </m:r>
                            </m:sup>
                          </m:sSubSup>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w</m:t>
                              </m:r>
                            </m:sup>
                          </m:sSubSup>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r</m:t>
                              </m:r>
                            </m:sup>
                          </m:sSubSup>
                        </m:e>
                      </m:mr>
                    </m:m>
                  </m:e>
                </m:d>
              </m:oMath>
            </m:oMathPara>
          </w:p>
        </w:tc>
        <w:tc>
          <w:tcPr>
            <w:tcW w:w="1337" w:type="dxa"/>
            <w:vAlign w:val="center"/>
          </w:tcPr>
          <w:p w:rsidR="00F04F69" w:rsidRPr="00654F88" w:rsidRDefault="001F51F9" w:rsidP="004A5752">
            <w:pPr>
              <w:spacing w:after="200" w:line="360" w:lineRule="auto"/>
              <w:jc w:val="center"/>
              <w:rPr>
                <w:noProof/>
              </w:rPr>
            </w:pPr>
            <w:r>
              <w:rPr>
                <w:noProof/>
              </w:rPr>
              <w:t>(11</w:t>
            </w:r>
            <w:r w:rsidR="00F04F69">
              <w:rPr>
                <w:noProof/>
              </w:rPr>
              <w:t>)</w:t>
            </w:r>
          </w:p>
        </w:tc>
      </w:tr>
    </w:tbl>
    <w:p w:rsidR="00D82E9A" w:rsidRDefault="00B73311" w:rsidP="004A5752">
      <w:pPr>
        <w:spacing w:line="360" w:lineRule="auto"/>
        <w:rPr>
          <w:noProof/>
        </w:rPr>
      </w:pPr>
      <w:r>
        <w:rPr>
          <w:noProof/>
        </w:rPr>
        <w:t xml:space="preserve">The structural consumption shocks </w:t>
      </w:r>
      <m:oMath>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c</m:t>
            </m:r>
          </m:sup>
        </m:sSubSup>
      </m:oMath>
      <w:r w:rsidR="001F51F9">
        <w:rPr>
          <w:rFonts w:eastAsiaTheme="minorEastAsia"/>
          <w:noProof/>
        </w:rPr>
        <w:t xml:space="preserve"> can be computed from (11</w:t>
      </w:r>
      <w:r>
        <w:rPr>
          <w:rFonts w:eastAsiaTheme="minorEastAsia"/>
          <w:noProof/>
        </w:rPr>
        <w:t xml:space="preserve">) once the </w:t>
      </w:r>
      <w:r w:rsidR="00F12F5F">
        <w:rPr>
          <w:rFonts w:eastAsiaTheme="minorEastAsia"/>
          <w:noProof/>
        </w:rPr>
        <w:t xml:space="preserve">unknown </w:t>
      </w:r>
      <w:r>
        <w:rPr>
          <w:rFonts w:eastAsiaTheme="minorEastAsia"/>
          <w:noProof/>
        </w:rPr>
        <w:t xml:space="preserve">parameters in </w:t>
      </w:r>
      <w:r>
        <w:rPr>
          <w:rFonts w:eastAsiaTheme="minorEastAsia"/>
          <w:i/>
          <w:noProof/>
        </w:rPr>
        <w:t xml:space="preserve">A </w:t>
      </w:r>
      <w:r>
        <w:rPr>
          <w:rFonts w:eastAsiaTheme="minorEastAsia"/>
          <w:noProof/>
        </w:rPr>
        <w:t>are estimated.</w:t>
      </w:r>
      <w:r>
        <w:rPr>
          <w:noProof/>
        </w:rPr>
        <w:t xml:space="preserve"> </w:t>
      </w:r>
    </w:p>
    <w:p w:rsidR="00935BA3" w:rsidRPr="00C760E6" w:rsidRDefault="00935BA3" w:rsidP="001C67D1">
      <w:pPr>
        <w:pStyle w:val="Heading2"/>
        <w:numPr>
          <w:ilvl w:val="1"/>
          <w:numId w:val="1"/>
        </w:numPr>
        <w:spacing w:line="360" w:lineRule="auto"/>
        <w:jc w:val="center"/>
        <w:rPr>
          <w:rFonts w:ascii="Times New Roman" w:hAnsi="Times New Roman" w:cs="Times New Roman"/>
          <w:noProof/>
          <w:color w:val="000000" w:themeColor="text1"/>
        </w:rPr>
      </w:pPr>
      <w:r w:rsidRPr="00C760E6">
        <w:rPr>
          <w:rFonts w:ascii="Times New Roman" w:hAnsi="Times New Roman" w:cs="Times New Roman"/>
          <w:noProof/>
          <w:color w:val="000000" w:themeColor="text1"/>
        </w:rPr>
        <w:t>Asset Pricing Implication</w:t>
      </w:r>
    </w:p>
    <w:p w:rsidR="00935BA3" w:rsidRDefault="00935BA3" w:rsidP="004A5752">
      <w:pPr>
        <w:spacing w:line="360" w:lineRule="auto"/>
      </w:pPr>
      <w:r>
        <w:t xml:space="preserve">In the previous </w:t>
      </w:r>
      <w:r w:rsidR="00C06213">
        <w:t>section,</w:t>
      </w:r>
      <w:r>
        <w:t xml:space="preserve"> we described the methodology to </w:t>
      </w:r>
      <w:r w:rsidR="006F2885">
        <w:t xml:space="preserve">extract </w:t>
      </w:r>
      <w:r>
        <w:t xml:space="preserve">the structural consumption shocks. We now outline the procedure to </w:t>
      </w:r>
      <w:r w:rsidR="0009309F">
        <w:t xml:space="preserve">investigate </w:t>
      </w:r>
      <w:r>
        <w:t xml:space="preserve">whether these consumption shocks are priced in aggregate and cross-sectional stock returns. For </w:t>
      </w:r>
      <w:r w:rsidR="00C06213">
        <w:t>this,</w:t>
      </w:r>
      <w:r>
        <w:t xml:space="preserve"> we estimate the </w:t>
      </w:r>
      <w:r w:rsidR="00527C0D">
        <w:t xml:space="preserve">factor loadings of our test portfolios on the consumption shocks by estimating the </w:t>
      </w:r>
      <w:r>
        <w:t xml:space="preserve">following </w:t>
      </w:r>
      <w:r w:rsidR="006F28C9">
        <w:t xml:space="preserve">quarterly </w:t>
      </w:r>
      <w:r w:rsidR="00527C0D">
        <w:t>time series regression</w:t>
      </w:r>
      <w:r>
        <w:t xml:space="preserve">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9"/>
        <w:gridCol w:w="1317"/>
      </w:tblGrid>
      <w:tr w:rsidR="00935BA3" w:rsidTr="00527C0D">
        <w:tc>
          <w:tcPr>
            <w:tcW w:w="7905" w:type="dxa"/>
          </w:tcPr>
          <w:p w:rsidR="00935BA3" w:rsidRPr="007E4102" w:rsidRDefault="006D2716" w:rsidP="004A5752">
            <w:pPr>
              <w:spacing w:line="360" w:lineRule="auto"/>
              <w:jc w:val="center"/>
              <w:rPr>
                <w:rFonts w:eastAsiaTheme="minorEastAsia"/>
              </w:rPr>
            </w:pPr>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c</m:t>
                  </m:r>
                </m:sub>
                <m:sup>
                  <m:r>
                    <w:rPr>
                      <w:rFonts w:ascii="Cambria Math" w:eastAsiaTheme="minorEastAsia" w:hAnsi="Cambria Math"/>
                    </w:rPr>
                    <m:t>i</m:t>
                  </m:r>
                </m:sup>
              </m:sSubSup>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c</m:t>
                  </m:r>
                </m:sup>
              </m:sSubSup>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ε</m:t>
                  </m:r>
                </m:e>
                <m:sub>
                  <m:r>
                    <w:rPr>
                      <w:rFonts w:ascii="Cambria Math" w:eastAsia="Cambria Math" w:hAnsi="Cambria Math" w:cs="Cambria Math"/>
                      <w:noProof/>
                    </w:rPr>
                    <m:t>t</m:t>
                  </m:r>
                </m:sub>
              </m:sSub>
            </m:oMath>
          </w:p>
        </w:tc>
        <w:tc>
          <w:tcPr>
            <w:tcW w:w="1337" w:type="dxa"/>
          </w:tcPr>
          <w:p w:rsidR="00935BA3" w:rsidRDefault="001F51F9" w:rsidP="004A5752">
            <w:pPr>
              <w:spacing w:line="360" w:lineRule="auto"/>
              <w:jc w:val="center"/>
              <w:rPr>
                <w:rFonts w:eastAsiaTheme="minorEastAsia"/>
              </w:rPr>
            </w:pPr>
            <w:r>
              <w:rPr>
                <w:rFonts w:eastAsiaTheme="minorEastAsia"/>
              </w:rPr>
              <w:t>(12</w:t>
            </w:r>
            <w:r w:rsidR="00935BA3">
              <w:rPr>
                <w:rFonts w:eastAsiaTheme="minorEastAsia"/>
              </w:rPr>
              <w:t>)</w:t>
            </w:r>
          </w:p>
        </w:tc>
      </w:tr>
    </w:tbl>
    <w:p w:rsidR="00A257B8" w:rsidRDefault="0009309F" w:rsidP="004A5752">
      <w:pPr>
        <w:spacing w:line="360" w:lineRule="auto"/>
        <w:rPr>
          <w:rFonts w:eastAsiaTheme="minorEastAsia"/>
        </w:rPr>
      </w:pPr>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oMath>
      <w:r w:rsidR="00240BBE">
        <w:t xml:space="preserve"> is the Equity Risk Premium (ERP)</w:t>
      </w:r>
      <w:r w:rsidR="006D2716">
        <w:t xml:space="preserve"> of the </w:t>
      </w:r>
      <w:r w:rsidR="006D2716">
        <w:rPr>
          <w:i/>
        </w:rPr>
        <w:t>i</w:t>
      </w:r>
      <w:r w:rsidR="006D2716">
        <w:rPr>
          <w:i/>
          <w:vertAlign w:val="superscript"/>
        </w:rPr>
        <w:t>th</w:t>
      </w:r>
      <w:r w:rsidR="006D2716">
        <w:t xml:space="preserve"> test portfolio</w:t>
      </w:r>
      <w:r w:rsidR="00527C0D" w:rsidRPr="006F28C9">
        <w:t xml:space="preserve"> </w:t>
      </w:r>
      <w:r w:rsidR="00A936BF">
        <w:t xml:space="preserve">measured using the total return on the portfolios </w:t>
      </w:r>
      <w:r w:rsidR="00527C0D" w:rsidRPr="006F28C9">
        <w:t xml:space="preserve">over and above risk-free interest rate, </w:t>
      </w:r>
      <m:oMath>
        <m:r>
          <m:rPr>
            <m:sty m:val="p"/>
          </m:rPr>
          <w:rPr>
            <w:rFonts w:ascii="Cambria Math" w:hAnsi="Cambria Math"/>
          </w:rPr>
          <m:t>α</m:t>
        </m:r>
      </m:oMath>
      <w:r w:rsidR="00527C0D" w:rsidRPr="006F28C9">
        <w:t xml:space="preserve"> is the constant, </w:t>
      </w:r>
      <m:oMath>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c</m:t>
            </m:r>
          </m:sub>
          <m:sup>
            <m:r>
              <w:rPr>
                <w:rFonts w:ascii="Cambria Math" w:eastAsiaTheme="minorEastAsia" w:hAnsi="Cambria Math"/>
              </w:rPr>
              <m:t>i</m:t>
            </m:r>
          </m:sup>
        </m:sSubSup>
      </m:oMath>
      <w:r w:rsidR="00527C0D" w:rsidRPr="006F28C9">
        <w:t xml:space="preserve"> is the factor loading </w:t>
      </w:r>
      <w:r w:rsidR="006D2716">
        <w:t xml:space="preserve">of the </w:t>
      </w:r>
      <w:r w:rsidR="006D2716">
        <w:rPr>
          <w:i/>
        </w:rPr>
        <w:t>i</w:t>
      </w:r>
      <w:r w:rsidR="006D2716">
        <w:rPr>
          <w:i/>
          <w:vertAlign w:val="superscript"/>
        </w:rPr>
        <w:t>th</w:t>
      </w:r>
      <w:r w:rsidR="006D2716">
        <w:rPr>
          <w:i/>
        </w:rPr>
        <w:t xml:space="preserve"> </w:t>
      </w:r>
      <w:r w:rsidR="006D2716">
        <w:t xml:space="preserve">portfolio </w:t>
      </w:r>
      <w:r w:rsidR="006F28C9" w:rsidRPr="006F28C9">
        <w:t xml:space="preserve">on the consumption shocks </w:t>
      </w:r>
      <m:oMath>
        <m:sSubSup>
          <m:sSubSupPr>
            <m:ctrlPr>
              <w:rPr>
                <w:rFonts w:ascii="Cambria Math" w:eastAsia="Cambria Math" w:hAnsi="Cambria Math" w:cs="Cambria Math"/>
              </w:rPr>
            </m:ctrlPr>
          </m:sSubSupPr>
          <m:e>
            <m:r>
              <m:rPr>
                <m:sty m:val="p"/>
              </m:rPr>
              <w:rPr>
                <w:rFonts w:ascii="Cambria Math" w:eastAsia="Cambria Math" w:hAnsi="Cambria Math" w:cs="Cambria Math"/>
              </w:rPr>
              <m:t>u</m:t>
            </m:r>
          </m:e>
          <m:sub>
            <m:r>
              <m:rPr>
                <m:sty m:val="p"/>
              </m:rPr>
              <w:rPr>
                <w:rFonts w:ascii="Cambria Math" w:eastAsia="Cambria Math" w:hAnsi="Cambria Math" w:cs="Cambria Math"/>
              </w:rPr>
              <m:t>t</m:t>
            </m:r>
          </m:sub>
          <m:sup>
            <m:r>
              <m:rPr>
                <m:sty m:val="p"/>
              </m:rPr>
              <w:rPr>
                <w:rFonts w:ascii="Cambria Math" w:eastAsia="Cambria Math" w:hAnsi="Cambria Math" w:cs="Cambria Math"/>
              </w:rPr>
              <m:t>c</m:t>
            </m:r>
          </m:sup>
        </m:sSubSup>
      </m:oMath>
      <w:r w:rsidR="002D4F04">
        <w:rPr>
          <w:rFonts w:eastAsiaTheme="minorEastAsia"/>
        </w:rPr>
        <w:t xml:space="preserve"> and</w:t>
      </w:r>
      <m:oMath>
        <m:r>
          <w:rPr>
            <w:rFonts w:ascii="Cambria Math" w:eastAsia="Cambria Math" w:hAnsi="Cambria Math" w:cs="Cambria Math"/>
            <w:noProof/>
          </w:rPr>
          <m:t xml:space="preserve"> ε</m:t>
        </m:r>
      </m:oMath>
      <w:r w:rsidR="002D4F04">
        <w:rPr>
          <w:rFonts w:eastAsiaTheme="minorEastAsia"/>
        </w:rPr>
        <w:t xml:space="preserve"> is assumed to be a white-noise process</w:t>
      </w:r>
      <w:r w:rsidR="006F28C9" w:rsidRPr="006F28C9">
        <w:t xml:space="preserve">. </w:t>
      </w:r>
      <w:bookmarkStart w:id="1" w:name="OLE_LINK3"/>
      <w:bookmarkStart w:id="2" w:name="OLE_LINK4"/>
      <w:r w:rsidR="00240BBE">
        <w:t>It is important to note that</w:t>
      </w:r>
      <w:r w:rsidR="001F51F9">
        <w:t xml:space="preserve"> since </w:t>
      </w:r>
      <m:oMath>
        <m:sSubSup>
          <m:sSubSupPr>
            <m:ctrlPr>
              <w:rPr>
                <w:rFonts w:ascii="Cambria Math" w:eastAsia="Cambria Math" w:hAnsi="Cambria Math" w:cs="Cambria Math"/>
              </w:rPr>
            </m:ctrlPr>
          </m:sSubSupPr>
          <m:e>
            <m:r>
              <m:rPr>
                <m:sty m:val="p"/>
              </m:rPr>
              <w:rPr>
                <w:rFonts w:ascii="Cambria Math" w:eastAsia="Cambria Math" w:hAnsi="Cambria Math" w:cs="Cambria Math"/>
              </w:rPr>
              <m:t>u</m:t>
            </m:r>
          </m:e>
          <m:sub>
            <m:r>
              <m:rPr>
                <m:sty m:val="p"/>
              </m:rPr>
              <w:rPr>
                <w:rFonts w:ascii="Cambria Math" w:eastAsia="Cambria Math" w:hAnsi="Cambria Math" w:cs="Cambria Math"/>
              </w:rPr>
              <m:t>t</m:t>
            </m:r>
          </m:sub>
          <m:sup>
            <m:r>
              <m:rPr>
                <m:sty m:val="p"/>
              </m:rPr>
              <w:rPr>
                <w:rFonts w:ascii="Cambria Math" w:eastAsia="Cambria Math" w:hAnsi="Cambria Math" w:cs="Cambria Math"/>
              </w:rPr>
              <m:t>c</m:t>
            </m:r>
          </m:sup>
        </m:sSubSup>
      </m:oMath>
      <w:r w:rsidR="001F51F9">
        <w:t xml:space="preserve"> in equation (12</w:t>
      </w:r>
      <w:r w:rsidR="00240BBE">
        <w:t xml:space="preserve">) is not an excess return on </w:t>
      </w:r>
      <w:r w:rsidR="00F579B6">
        <w:t xml:space="preserve">freely traded </w:t>
      </w:r>
      <w:r w:rsidR="00240BBE">
        <w:t xml:space="preserve">portfolios, the sample mean of the factor does not correspond to </w:t>
      </w:r>
      <w:r w:rsidR="00C754D7">
        <w:t>its risk premia. Therefore, under such conditions, the estimated constant term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r>
          <w:rPr>
            <w:rFonts w:ascii="Cambria Math" w:eastAsiaTheme="minorEastAsia" w:hAnsi="Cambria Math"/>
          </w:rPr>
          <m:t xml:space="preserve">) </m:t>
        </m:r>
      </m:oMath>
      <w:r w:rsidR="00F579B6">
        <w:rPr>
          <w:rFonts w:eastAsiaTheme="minorEastAsia"/>
        </w:rPr>
        <w:t>in equation (12</w:t>
      </w:r>
      <w:r w:rsidR="00C754D7">
        <w:rPr>
          <w:rFonts w:eastAsiaTheme="minorEastAsia"/>
        </w:rPr>
        <w:t xml:space="preserve">) cannot be considered as pricing error in explaining the ERPs of a particular portfolio. As such the </w:t>
      </w:r>
      <w:r w:rsidR="00FE104D">
        <w:rPr>
          <w:rFonts w:eastAsiaTheme="minorEastAsia"/>
        </w:rPr>
        <w:fldChar w:fldCharType="begin" w:fldLock="1"/>
      </w:r>
      <w:r w:rsidR="00AF43D6">
        <w:rPr>
          <w:rFonts w:eastAsiaTheme="minorEastAsia"/>
        </w:rPr>
        <w:instrText>ADDIN CSL_CITATION { "citationItems" : [ { "id" : "ITEM-1", "itemData" : { "abstract" : "A test for the ex ante efficiency of a given portfolio of assets is analyzed. The relevant statistic has a tractable small sample distribution. Its power function is derived and used to study the sensitivity of the test to the portfolio choice and to the number of assets used to determine the ex post mean-variance efficient frontier. Several intuitive interpretations of the test are provided, including a simple mean-standard deviation geometric explanation. A univariate test, equivalent to our multivariate-based method, is derived, and it suggests some useful diagnostic tools which may explain why the null hypothesis is rejected. Empirical examples suggest that the multivariate approach can lead to more appropriate conclusions than those based on traditional inference which relies on a set of dependent univariate statistics. [ABSTRACT FROM AUTHOR]", "author" : [ { "dropping-particle" : "", "family" : "Gibbons", "given" : "Michael R", "non-dropping-particle" : "", "parse-names" : false, "suffix" : "" }, { "dropping-particle" : "", "family" : "Ross", "given" : "Stephen A", "non-dropping-particle" : "", "parse-names" : false, "suffix" : "" }, { "dropping-particle" : "", "family" : "Shanken", "given" : "Jay", "non-dropping-particle" : "", "parse-names" : false, "suffix" : "" } ], "container-title" : "Econometrica", "id" : "ITEM-1", "issue" : "5", "issued" : { "date-parts" : [ [ "1989" ] ] }, "page" : "1121-1152", "title" : "A Test of the Efficiency of a Given Portfolio.", "type" : "article-journal", "volume" : "57" }, "uris" : [ "http://www.mendeley.com/documents/?uuid=4416ad3b-84d9-46d4-9635-e38c5c1d7787", "http://www.mendeley.com/documents/?uuid=836d7cab-81b3-41dd-bfcd-819e249286d5", "http://www.mendeley.com/documents/?uuid=de402e3b-6a92-4f05-a467-2d5e2c3d621c" ] } ], "mendeley" : { "formattedCitation" : "(Gibbons, Ross, and Shanken 1989)", "manualFormatting" : "Gibbons, Ross and Shanken, (1989)", "plainTextFormattedCitation" : "(Gibbons, Ross, and Shanken 1989)", "previouslyFormattedCitation" : "(Gibbons, Ross, and Shanken 1989)" }, "properties" : { "noteIndex" : 0 }, "schema" : "https://github.com/citation-style-language/schema/raw/master/csl-citation.json" }</w:instrText>
      </w:r>
      <w:r w:rsidR="00FE104D">
        <w:rPr>
          <w:rFonts w:eastAsiaTheme="minorEastAsia"/>
        </w:rPr>
        <w:fldChar w:fldCharType="separate"/>
      </w:r>
      <w:r w:rsidR="00FE104D" w:rsidRPr="00FE104D">
        <w:rPr>
          <w:rFonts w:eastAsiaTheme="minorEastAsia"/>
          <w:noProof/>
        </w:rPr>
        <w:t xml:space="preserve">Gibbons, Ross and Shanken, </w:t>
      </w:r>
      <w:r w:rsidR="00FE104D">
        <w:rPr>
          <w:rFonts w:eastAsiaTheme="minorEastAsia"/>
          <w:noProof/>
        </w:rPr>
        <w:t>(</w:t>
      </w:r>
      <w:r w:rsidR="00FE104D" w:rsidRPr="00FE104D">
        <w:rPr>
          <w:rFonts w:eastAsiaTheme="minorEastAsia"/>
          <w:noProof/>
        </w:rPr>
        <w:t>1989)</w:t>
      </w:r>
      <w:r w:rsidR="00FE104D">
        <w:rPr>
          <w:rFonts w:eastAsiaTheme="minorEastAsia"/>
        </w:rPr>
        <w:fldChar w:fldCharType="end"/>
      </w:r>
      <w:r w:rsidR="006F2885">
        <w:rPr>
          <w:rFonts w:eastAsiaTheme="minorEastAsia"/>
        </w:rPr>
        <w:t xml:space="preserve">’s approach for </w:t>
      </w:r>
      <w:r w:rsidR="00C754D7">
        <w:rPr>
          <w:rFonts w:eastAsiaTheme="minorEastAsia"/>
        </w:rPr>
        <w:t xml:space="preserve">testing the null hypothesis that </w:t>
      </w:r>
      <w:r w:rsidR="00AC4ED7">
        <w:rPr>
          <w:rFonts w:eastAsiaTheme="minorEastAsia"/>
        </w:rPr>
        <w:t xml:space="preserve">all the </w:t>
      </w:r>
      <w:r w:rsidR="00AC4ED7">
        <w:t>(</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r>
          <w:rPr>
            <w:rFonts w:ascii="Cambria Math" w:eastAsiaTheme="minorEastAsia" w:hAnsi="Cambria Math"/>
          </w:rPr>
          <m:t>)</m:t>
        </m:r>
      </m:oMath>
      <w:r w:rsidR="00AC4ED7">
        <w:rPr>
          <w:rFonts w:eastAsiaTheme="minorEastAsia"/>
        </w:rPr>
        <w:t>s</w:t>
      </w:r>
      <w:r w:rsidR="00C754D7">
        <w:rPr>
          <w:rFonts w:eastAsiaTheme="minorEastAsia"/>
        </w:rPr>
        <w:t xml:space="preserve"> </w:t>
      </w:r>
      <w:r w:rsidR="00AC4ED7">
        <w:rPr>
          <w:rFonts w:eastAsiaTheme="minorEastAsia"/>
        </w:rPr>
        <w:t>are jointly significantly different from zero is not strictly applicable here.</w:t>
      </w:r>
      <w:r w:rsidR="00C754D7">
        <w:rPr>
          <w:rFonts w:eastAsiaTheme="minorEastAsia"/>
        </w:rPr>
        <w:t xml:space="preserve"> </w:t>
      </w:r>
    </w:p>
    <w:p w:rsidR="005E1C98" w:rsidRDefault="006F28C9" w:rsidP="004A5752">
      <w:pPr>
        <w:spacing w:line="360" w:lineRule="auto"/>
      </w:pPr>
      <w:r w:rsidRPr="006F28C9">
        <w:t>We investigate the factor loadin</w:t>
      </w:r>
      <w:r>
        <w:t>g for three types of portfolios.  F</w:t>
      </w:r>
      <w:r w:rsidRPr="006F28C9">
        <w:t xml:space="preserve">irst is the total excess return on two popular and mostly tracked indices </w:t>
      </w:r>
      <w:r>
        <w:t>in the UK, th</w:t>
      </w:r>
      <w:r w:rsidR="00A936BF">
        <w:t>e FTSE 100 index and the FTSE 250</w:t>
      </w:r>
      <w:r>
        <w:t xml:space="preserve"> index. These two indices serve as a benchmark for most </w:t>
      </w:r>
      <w:r w:rsidR="006F2885">
        <w:t xml:space="preserve">UK </w:t>
      </w:r>
      <w:r>
        <w:t xml:space="preserve">fund </w:t>
      </w:r>
      <w:r w:rsidR="006F2885">
        <w:t>managers</w:t>
      </w:r>
      <w:r>
        <w:t>. The second is the excess returns on ten most widely used sectoral indices in the UK. These indices are popular with the tracker Exchange Traded Funds (ETFs) which provide opportunities to the investor</w:t>
      </w:r>
      <w:r w:rsidR="00346DCF">
        <w:t>s</w:t>
      </w:r>
      <w:r>
        <w:t xml:space="preserve"> to get sectoral exposure</w:t>
      </w:r>
      <w:r w:rsidR="00346DCF">
        <w:t xml:space="preserve">. Third, we also investigate the factor loadings for the excess returns on value-weighted 25 Fama-French-style portfolios sorted on size and book-to-market. The goal here is </w:t>
      </w:r>
      <w:r w:rsidR="00067F42">
        <w:t xml:space="preserve">to </w:t>
      </w:r>
      <w:r w:rsidR="00346DCF">
        <w:t xml:space="preserve">examine whether the </w:t>
      </w:r>
      <w:r w:rsidR="0030128D">
        <w:t xml:space="preserve">impact of </w:t>
      </w:r>
      <w:r w:rsidR="00346DCF">
        <w:t>consumption shocks is consistent</w:t>
      </w:r>
      <w:r w:rsidR="005E1C98">
        <w:t xml:space="preserve"> and significant within</w:t>
      </w:r>
      <w:r w:rsidR="00346DCF">
        <w:t xml:space="preserve"> the cross-sectional variation in the excess returns.</w:t>
      </w:r>
      <w:bookmarkEnd w:id="1"/>
      <w:bookmarkEnd w:id="2"/>
      <w:r w:rsidR="00FC7844">
        <w:t xml:space="preserve"> </w:t>
      </w:r>
      <w:r w:rsidR="0030128D">
        <w:t xml:space="preserve">The Fama-French portfolios </w:t>
      </w:r>
      <w:r w:rsidR="00FC7844">
        <w:t xml:space="preserve">reflect two most important aspects of asset returns; the “size premium” and the “value premium”.    </w:t>
      </w:r>
      <w:r w:rsidR="00346DCF">
        <w:t xml:space="preserve"> </w:t>
      </w:r>
    </w:p>
    <w:p w:rsidR="006F7CAD" w:rsidRDefault="005E1C98" w:rsidP="004A5752">
      <w:pPr>
        <w:spacing w:line="360" w:lineRule="auto"/>
        <w:rPr>
          <w:rFonts w:eastAsiaTheme="minorEastAsia"/>
        </w:rPr>
      </w:pPr>
      <w:r>
        <w:t>In order to estimate the factor risk premium due to the exposure to the consumption shoc</w:t>
      </w:r>
      <w:r w:rsidR="001F51F9">
        <w:t>ks in (12</w:t>
      </w:r>
      <w:r>
        <w:t xml:space="preserve">), we employ </w:t>
      </w:r>
      <w:r w:rsidR="00C06213">
        <w:t>two-step</w:t>
      </w:r>
      <w:r w:rsidR="006F2885">
        <w:t xml:space="preserve"> </w:t>
      </w:r>
      <w:r>
        <w:t xml:space="preserve">cross-sectional regression </w:t>
      </w:r>
      <w:r w:rsidR="00161115">
        <w:t>approaches</w:t>
      </w:r>
      <w:r>
        <w:t xml:space="preserve"> </w:t>
      </w:r>
      <w:r w:rsidR="006F2885">
        <w:t xml:space="preserve">of </w:t>
      </w:r>
      <w:r>
        <w:t>Fama and MacBeth</w:t>
      </w:r>
      <w:r w:rsidR="00FE104D">
        <w:t>,</w:t>
      </w:r>
      <w:r>
        <w:t xml:space="preserve"> (1973). The first step is to estima</w:t>
      </w:r>
      <w:r w:rsidR="001F51F9">
        <w:t>te the time-series regression (12</w:t>
      </w:r>
      <w:r>
        <w:t xml:space="preserve">) and recover the factor </w:t>
      </w:r>
      <w:r w:rsidR="00161115">
        <w:t>loadings</w:t>
      </w:r>
      <m:oMath>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 xml:space="preserve"> β</m:t>
                </m:r>
              </m:e>
              <m:sub>
                <m:r>
                  <w:rPr>
                    <w:rFonts w:ascii="Cambria Math" w:eastAsiaTheme="minorEastAsia" w:hAnsi="Cambria Math"/>
                  </w:rPr>
                  <m:t>c</m:t>
                </m:r>
              </m:sub>
            </m:sSub>
          </m:e>
        </m:acc>
      </m:oMath>
      <w:r>
        <w:rPr>
          <w:rFonts w:eastAsiaTheme="minorEastAsia"/>
        </w:rPr>
        <w:t xml:space="preserve">. </w:t>
      </w:r>
      <w:r w:rsidR="003C5268">
        <w:rPr>
          <w:rFonts w:eastAsiaTheme="minorEastAsia"/>
        </w:rPr>
        <w:t>In the second step, we estimate the cross-sectional regression of ERP on these loadings</w:t>
      </w:r>
      <m:oMath>
        <m:r>
          <w:rPr>
            <w:rFonts w:ascii="Cambria Math" w:eastAsiaTheme="minorEastAsia" w:hAnsi="Cambria Math"/>
          </w:rPr>
          <m:t xml:space="preserve"> </m:t>
        </m:r>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c</m:t>
                </m:r>
              </m:sub>
            </m:sSub>
          </m:e>
        </m:acc>
      </m:oMath>
      <w:r w:rsidR="003C5268">
        <w:rPr>
          <w:rFonts w:eastAsiaTheme="minorEastAsia"/>
        </w:rPr>
        <w:t xml:space="preserve">  obtained from the first step to examine the exposure of the excess returns to the factor loading over time</w:t>
      </w:r>
      <w:r w:rsidR="0043074F">
        <w:rPr>
          <w:rFonts w:eastAsiaTheme="minorEastAsia"/>
        </w:rPr>
        <w:t>. Thus, the second stage regression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9"/>
        <w:gridCol w:w="1317"/>
      </w:tblGrid>
      <w:tr w:rsidR="0043074F" w:rsidTr="005C273F">
        <w:tc>
          <w:tcPr>
            <w:tcW w:w="7905" w:type="dxa"/>
          </w:tcPr>
          <w:p w:rsidR="002D4F04" w:rsidRPr="007E4102" w:rsidRDefault="005E14F1" w:rsidP="004A5752">
            <w:pPr>
              <w:spacing w:line="360" w:lineRule="auto"/>
              <w:rPr>
                <w:rFonts w:eastAsiaTheme="minorEastAsia"/>
              </w:rPr>
            </w:pPr>
            <m:oMathPara>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1</m:t>
                    </m:r>
                  </m:sub>
                </m:sSub>
                <m:acc>
                  <m:accPr>
                    <m:ctrlPr>
                      <w:rPr>
                        <w:rFonts w:ascii="Cambria Math" w:eastAsia="Cambria Math" w:hAnsi="Cambria Math" w:cs="Cambria Math"/>
                        <w:i/>
                        <w:noProof/>
                      </w:rPr>
                    </m:ctrlPr>
                  </m:accPr>
                  <m:e>
                    <m:sSub>
                      <m:sSubPr>
                        <m:ctrlPr>
                          <w:rPr>
                            <w:rFonts w:ascii="Cambria Math" w:eastAsia="Cambria Math" w:hAnsi="Cambria Math" w:cs="Cambria Math"/>
                            <w:i/>
                            <w:noProof/>
                          </w:rPr>
                        </m:ctrlPr>
                      </m:sSubPr>
                      <m:e>
                        <m:r>
                          <w:rPr>
                            <w:rFonts w:ascii="Cambria Math" w:eastAsia="Cambria Math" w:hAnsi="Cambria Math" w:cs="Cambria Math"/>
                            <w:noProof/>
                          </w:rPr>
                          <m:t>β</m:t>
                        </m:r>
                      </m:e>
                      <m:sub>
                        <m:r>
                          <w:rPr>
                            <w:rFonts w:ascii="Cambria Math" w:eastAsia="Cambria Math" w:hAnsi="Cambria Math" w:cs="Cambria Math"/>
                            <w:noProof/>
                          </w:rPr>
                          <m:t>c</m:t>
                        </m:r>
                      </m:sub>
                    </m:sSub>
                  </m:e>
                </m:acc>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ϵ</m:t>
                    </m:r>
                  </m:e>
                  <m:sub>
                    <m:r>
                      <w:rPr>
                        <w:rFonts w:ascii="Cambria Math" w:eastAsia="Cambria Math" w:hAnsi="Cambria Math" w:cs="Cambria Math"/>
                        <w:noProof/>
                      </w:rPr>
                      <m:t>1</m:t>
                    </m:r>
                  </m:sub>
                </m:sSub>
              </m:oMath>
            </m:oMathPara>
          </w:p>
        </w:tc>
        <w:tc>
          <w:tcPr>
            <w:tcW w:w="1337" w:type="dxa"/>
            <w:vAlign w:val="center"/>
          </w:tcPr>
          <w:p w:rsidR="0043074F" w:rsidRDefault="001F51F9" w:rsidP="004A5752">
            <w:pPr>
              <w:spacing w:line="360" w:lineRule="auto"/>
              <w:jc w:val="center"/>
              <w:rPr>
                <w:rFonts w:eastAsiaTheme="minorEastAsia"/>
              </w:rPr>
            </w:pPr>
            <w:r>
              <w:rPr>
                <w:rFonts w:eastAsiaTheme="minorEastAsia"/>
              </w:rPr>
              <w:t>(13</w:t>
            </w:r>
            <w:r w:rsidR="0043074F">
              <w:rPr>
                <w:rFonts w:eastAsiaTheme="minorEastAsia"/>
              </w:rPr>
              <w:t>)</w:t>
            </w:r>
          </w:p>
        </w:tc>
      </w:tr>
    </w:tbl>
    <w:p w:rsidR="005C273F" w:rsidRDefault="005C273F" w:rsidP="004A5752">
      <w:pPr>
        <w:spacing w:line="360" w:lineRule="auto"/>
        <w:rPr>
          <w:rFonts w:eastAsiaTheme="minorEastAsia"/>
        </w:rPr>
      </w:pPr>
      <w:r>
        <w:rPr>
          <w:rFonts w:eastAsiaTheme="minorEastAsia"/>
        </w:rPr>
        <w:t xml:space="preserve">where, </w:t>
      </w:r>
      <m:oMath>
        <m:r>
          <w:rPr>
            <w:rFonts w:ascii="Cambria Math" w:eastAsiaTheme="minorEastAsia" w:hAnsi="Cambria Math"/>
          </w:rPr>
          <m:t>γ</m:t>
        </m:r>
      </m:oMath>
      <w:r>
        <w:rPr>
          <w:rFonts w:eastAsiaTheme="minorEastAsia"/>
        </w:rPr>
        <w:t xml:space="preserve">s are the regression coefficients that </w:t>
      </w:r>
      <w:r w:rsidR="006F2885">
        <w:rPr>
          <w:rFonts w:eastAsiaTheme="minorEastAsia"/>
        </w:rPr>
        <w:t xml:space="preserve">are </w:t>
      </w:r>
      <w:r>
        <w:rPr>
          <w:rFonts w:eastAsiaTheme="minorEastAsia"/>
        </w:rPr>
        <w:t xml:space="preserve">used </w:t>
      </w:r>
      <w:r w:rsidR="006F2885">
        <w:rPr>
          <w:rFonts w:eastAsiaTheme="minorEastAsia"/>
        </w:rPr>
        <w:t xml:space="preserve">for calculating </w:t>
      </w:r>
      <w:r>
        <w:rPr>
          <w:rFonts w:eastAsiaTheme="minorEastAsia"/>
        </w:rPr>
        <w:t xml:space="preserve">the factor risk premium due to the exposure to the consumption shocks under the assumption that </w:t>
      </w:r>
      <m:oMath>
        <m:r>
          <w:rPr>
            <w:rFonts w:ascii="Cambria Math" w:eastAsiaTheme="minorEastAsia" w:hAnsi="Cambria Math"/>
          </w:rPr>
          <m:t>ϵ</m:t>
        </m:r>
      </m:oMath>
      <w:r>
        <w:rPr>
          <w:rFonts w:eastAsiaTheme="minorEastAsia"/>
        </w:rPr>
        <w:t xml:space="preserve"> is white noise. </w:t>
      </w:r>
      <w:r w:rsidR="003C5268">
        <w:rPr>
          <w:rFonts w:eastAsiaTheme="minorEastAsia"/>
        </w:rPr>
        <w:t xml:space="preserve">The t-statistics associated with the factor risk premium is computed using </w:t>
      </w:r>
      <w:r w:rsidR="003C5268">
        <w:rPr>
          <w:rFonts w:cs="Times New Roman"/>
          <w:noProof/>
          <w:szCs w:val="24"/>
        </w:rPr>
        <w:t>Newey</w:t>
      </w:r>
      <w:r w:rsidR="003C5268" w:rsidRPr="00DA6D2B">
        <w:rPr>
          <w:rFonts w:cs="Times New Roman"/>
          <w:noProof/>
          <w:szCs w:val="24"/>
        </w:rPr>
        <w:t xml:space="preserve"> and West (1987)</w:t>
      </w:r>
      <w:r w:rsidR="003C5268">
        <w:rPr>
          <w:rFonts w:cs="Times New Roman"/>
          <w:noProof/>
          <w:szCs w:val="24"/>
        </w:rPr>
        <w:t xml:space="preserve"> heteroskedasticity and autocorrelation corrected standard errors.</w:t>
      </w:r>
    </w:p>
    <w:p w:rsidR="00800532" w:rsidRPr="00C760E6" w:rsidRDefault="00306430" w:rsidP="001C67D1">
      <w:pPr>
        <w:pStyle w:val="Heading1"/>
        <w:numPr>
          <w:ilvl w:val="0"/>
          <w:numId w:val="1"/>
        </w:numPr>
        <w:spacing w:line="360" w:lineRule="auto"/>
        <w:jc w:val="center"/>
        <w:rPr>
          <w:rFonts w:ascii="Times New Roman" w:hAnsi="Times New Roman" w:cs="Times New Roman"/>
          <w:color w:val="000000" w:themeColor="text1"/>
        </w:rPr>
      </w:pPr>
      <w:r w:rsidRPr="00C760E6">
        <w:rPr>
          <w:rFonts w:ascii="Times New Roman" w:hAnsi="Times New Roman" w:cs="Times New Roman"/>
          <w:color w:val="000000" w:themeColor="text1"/>
        </w:rPr>
        <w:t>Data</w:t>
      </w:r>
    </w:p>
    <w:p w:rsidR="009F0E0E" w:rsidRDefault="0030128D" w:rsidP="004A5752">
      <w:pPr>
        <w:spacing w:line="360" w:lineRule="auto"/>
      </w:pPr>
      <w:r>
        <w:t>W</w:t>
      </w:r>
      <w:r w:rsidR="009F0E0E">
        <w:t>e use quarterly UK data from 1988Q1 t</w:t>
      </w:r>
      <w:r w:rsidR="00077E26">
        <w:t>o 2014Q4 taken from DataStream. T</w:t>
      </w:r>
      <w:r w:rsidR="009F0E0E">
        <w:t xml:space="preserve">o estimate the impact consumption shocks, we </w:t>
      </w:r>
      <w:r w:rsidR="006F7CAD">
        <w:t xml:space="preserve">use </w:t>
      </w:r>
      <w:r w:rsidR="009F0E0E">
        <w:t xml:space="preserve">personal durable, semi-durable and non-durable </w:t>
      </w:r>
      <w:r w:rsidR="00C06213">
        <w:t>consumption, which</w:t>
      </w:r>
      <w:r w:rsidR="009F0E0E">
        <w:t xml:space="preserve"> is measured using seasonally adjusted UK </w:t>
      </w:r>
      <w:r w:rsidR="00077E26">
        <w:t>h</w:t>
      </w:r>
      <w:r w:rsidR="009F0E0E">
        <w:t xml:space="preserve">ousehold </w:t>
      </w:r>
      <w:r w:rsidR="00077E26">
        <w:t>c</w:t>
      </w:r>
      <w:r w:rsidR="006F7CAD">
        <w:t>onsumption and</w:t>
      </w:r>
      <w:r w:rsidR="009F0E0E">
        <w:t xml:space="preserve"> covers spending on goods and services except for: buying or extending a house, investment in valuables (paintings, antiques etc.) or purchasing second-hand goods. See Appendix A for more details about the measurements and comp</w:t>
      </w:r>
      <w:r w:rsidR="00077E26">
        <w:t>onents of d</w:t>
      </w:r>
      <w:r w:rsidR="009F0E0E">
        <w:t xml:space="preserve">urable, semi-durable and non-durable consumption by the Office of National Statistics. </w:t>
      </w:r>
    </w:p>
    <w:p w:rsidR="009F0E0E" w:rsidRDefault="00077E26" w:rsidP="004A5752">
      <w:pPr>
        <w:spacing w:line="360" w:lineRule="auto"/>
      </w:pPr>
      <w:r>
        <w:t>We use following va</w:t>
      </w:r>
      <w:r w:rsidR="00AB30EF">
        <w:t>riables in constructing S</w:t>
      </w:r>
      <w:r>
        <w:t xml:space="preserve">VAR. </w:t>
      </w:r>
      <w:r w:rsidR="009F0E0E">
        <w:t xml:space="preserve">Total Gross </w:t>
      </w:r>
      <w:r w:rsidR="00C06213">
        <w:t>Wealth, which</w:t>
      </w:r>
      <w:r>
        <w:t xml:space="preserve"> </w:t>
      </w:r>
      <w:r w:rsidR="009F0E0E">
        <w:t xml:space="preserve">is </w:t>
      </w:r>
      <w:r w:rsidR="009F0E0E" w:rsidRPr="0064060E">
        <w:t>the total gross value of accumulated assets by households; the sum of f</w:t>
      </w:r>
      <w:r w:rsidR="009F0E0E">
        <w:t>our components: property wealth</w:t>
      </w:r>
      <w:r w:rsidR="009F0E0E" w:rsidRPr="0064060E">
        <w:t>, physical wealth, financial wealth and private pension wealth.</w:t>
      </w:r>
      <w:r w:rsidR="009F0E0E">
        <w:t xml:space="preserve"> Aggregate personal income </w:t>
      </w:r>
      <w:r>
        <w:t xml:space="preserve">that </w:t>
      </w:r>
      <w:r w:rsidR="009F0E0E">
        <w:t xml:space="preserve">is measured using income approach of secondary distribution of income accounts and uses the disposable income of households and </w:t>
      </w:r>
      <w:r>
        <w:t xml:space="preserve">Non-Profit Institutions </w:t>
      </w:r>
      <w:r w:rsidR="00800532">
        <w:t xml:space="preserve">Serving </w:t>
      </w:r>
      <w:r>
        <w:t>Household</w:t>
      </w:r>
      <w:r w:rsidR="00800532">
        <w:t>s</w:t>
      </w:r>
      <w:r>
        <w:t xml:space="preserve"> (</w:t>
      </w:r>
      <w:r w:rsidR="009F0E0E">
        <w:t>NPISH</w:t>
      </w:r>
      <w:r>
        <w:t>)</w:t>
      </w:r>
      <w:r w:rsidR="00092DDA">
        <w:t>.</w:t>
      </w:r>
      <w:r w:rsidR="009F0E0E">
        <w:t xml:space="preserve"> Inflation is </w:t>
      </w:r>
      <w:r w:rsidR="00092DDA">
        <w:t xml:space="preserve">calculated </w:t>
      </w:r>
      <w:r w:rsidR="009F0E0E">
        <w:t xml:space="preserve">using the log difference of the harmonised consumer price index. We use Bank of England’s </w:t>
      </w:r>
      <w:r w:rsidR="00092DDA">
        <w:t xml:space="preserve">(BOE) </w:t>
      </w:r>
      <w:r w:rsidR="009F0E0E">
        <w:t xml:space="preserve">base interest rate as a proxy of </w:t>
      </w:r>
      <w:r w:rsidR="00092DDA">
        <w:t xml:space="preserve">the UK’s </w:t>
      </w:r>
      <w:r w:rsidR="009F0E0E">
        <w:t>monetary policy.</w:t>
      </w:r>
    </w:p>
    <w:p w:rsidR="00C90334" w:rsidRDefault="009F0E0E" w:rsidP="004A5752">
      <w:pPr>
        <w:spacing w:line="360" w:lineRule="auto"/>
      </w:pPr>
      <w:r>
        <w:t>The ERP of the FTSE indices are estimated using the difference between the returns on the total return indices, which includes dividends, and the 3-month UK treasury bills rate. The ERP</w:t>
      </w:r>
      <w:r w:rsidR="0030128D">
        <w:t>s</w:t>
      </w:r>
      <w:r>
        <w:t xml:space="preserve"> of the 25 value-weighted Fama-French style portfolios </w:t>
      </w:r>
      <w:r w:rsidR="0030128D">
        <w:t>are c</w:t>
      </w:r>
      <w:r>
        <w:t>alculated using the difference between the returns on these portfolios and the 3-month UK treasury bills rate.</w:t>
      </w:r>
      <w:r w:rsidR="00842E9F">
        <w:rPr>
          <w:rStyle w:val="FootnoteReference"/>
        </w:rPr>
        <w:footnoteReference w:id="5"/>
      </w:r>
      <w:r>
        <w:t xml:space="preserve"> </w:t>
      </w:r>
    </w:p>
    <w:p w:rsidR="00306430" w:rsidRDefault="009F0E0E" w:rsidP="004A5752">
      <w:pPr>
        <w:spacing w:line="360" w:lineRule="auto"/>
      </w:pPr>
      <w:r>
        <w:t xml:space="preserve">Table 1 provides the descriptive statics. </w:t>
      </w:r>
      <w:r w:rsidR="00842E9F">
        <w:t>Panel A shows ERPSs of aggregate and disaggregated FTSE indices</w:t>
      </w:r>
      <w:r w:rsidR="00C90334">
        <w:t xml:space="preserve">. The Utility sector offers highest average excess returns amongst all UK sectors and outperforms the aggregate FTSE 250 average returns. On the hand, the Technology sector provides the lowest excess returns and highest volatility. All </w:t>
      </w:r>
      <w:r w:rsidR="00630543">
        <w:t xml:space="preserve">excess </w:t>
      </w:r>
      <w:r w:rsidR="00C90334">
        <w:t xml:space="preserve">returns are negatively skewed. The Jarque-Bera statistics are significant for all returns except for Healthcare, Telecommunication, and Utility sectors. Panel B presents descriptive statistics of 25 Fama-French portfolios excess returns. </w:t>
      </w:r>
      <w:r w:rsidR="002E6EC9">
        <w:t xml:space="preserve">For the ease of reading, we maintain the same naming conventions as in </w:t>
      </w:r>
      <w:r w:rsidR="002E6EC9">
        <w:fldChar w:fldCharType="begin" w:fldLock="1"/>
      </w:r>
      <w:r w:rsidR="00161115">
        <w:instrText>ADDIN CSL_CITATION { "citationItems" : [ { "id" : "ITEM-1", "itemData" : { "DOI" : "10.1111/jbfa.12006", "ISBN" : "1468-5957", "ISSN" : "0306686X", "abstract" : "This paper constructs and tests alternative versions of the Fama\u2013French and Carhart models for the UK market with the purpose of providing guidance for researchers interested in asset pricing and event studies. We conduct a comprehensive analysis of such models, forming risk factors using approaches advanced in the recent literature including value-weighted factor components and various decompositions of the risk factors. We also test whether such factor models can at least explain the returns of large firms. We find that versions of the four-factor model using decomposed and value-weighted factor components are able to explain the cross-section of returns in large firms or in portfolios without extreme momentum exposures. However, we do not find that risk factors are consistently and reliably priced.", "author" : [ { "dropping-particle" : "", "family" : "Gregory", "given" : "Alan", "non-dropping-particle" : "", "parse-names" : false, "suffix" : "" }, { "dropping-particle" : "", "family" : "Tharyan", "given" : "Rajesh", "non-dropping-particle" : "", "parse-names" : false, "suffix" : "" }, { "dropping-particle" : "", "family" : "Christidis", "given" : "Angela", "non-dropping-particle" : "", "parse-names" : false, "suffix" : "" } ], "container-title" : "Journal of Business Finance and Accounting", "id" : "ITEM-1", "issue" : "1 and 2", "issued" : { "date-parts" : [ [ "2013" ] ] }, "page" : "172-214", "title" : "Constructing and Testing Alternative Versions of the Fama-French and Carhart Models in the UK", "type" : "article-journal", "volume" : "40" }, "uris" : [ "http://www.mendeley.com/documents/?uuid=785a6a9d-9cd3-4c4f-87df-b652909f6ede" ] } ], "mendeley" : { "formattedCitation" : "(Gregory, Tharyan, and Christidis 2013)", "manualFormatting" : "Gregory, Tharyan and Christidis (2013)", "plainTextFormattedCitation" : "(Gregory, Tharyan, and Christidis 2013)", "previouslyFormattedCitation" : "(Gregory, Tharyan, and Christidis 2013)" }, "properties" : { "noteIndex" : 0 }, "schema" : "https://github.com/citation-style-language/schema/raw/master/csl-citation.json" }</w:instrText>
      </w:r>
      <w:r w:rsidR="002E6EC9">
        <w:fldChar w:fldCharType="separate"/>
      </w:r>
      <w:r w:rsidR="00161115">
        <w:rPr>
          <w:noProof/>
        </w:rPr>
        <w:t>Gregory, Tharyan and Christidis</w:t>
      </w:r>
      <w:r w:rsidR="002E6EC9" w:rsidRPr="0003550F">
        <w:rPr>
          <w:noProof/>
        </w:rPr>
        <w:t xml:space="preserve"> </w:t>
      </w:r>
      <w:r w:rsidR="002E6EC9">
        <w:rPr>
          <w:noProof/>
        </w:rPr>
        <w:t>(</w:t>
      </w:r>
      <w:r w:rsidR="002E6EC9" w:rsidRPr="0003550F">
        <w:rPr>
          <w:noProof/>
        </w:rPr>
        <w:t>2013)</w:t>
      </w:r>
      <w:r w:rsidR="002E6EC9">
        <w:fldChar w:fldCharType="end"/>
      </w:r>
      <w:r w:rsidR="002E6EC9">
        <w:t>. We find that the third middle portfolio (EM3H) offers the highest excess returns whilst the small and growth portfolio (ESL) shows the highest volatility.</w:t>
      </w:r>
      <w:r w:rsidR="00A53890">
        <w:t xml:space="preserve"> Overall, all returns are negatively skewed and show excess kurtosis except for EM3H portfolio.</w:t>
      </w:r>
    </w:p>
    <w:p w:rsidR="00A133C4" w:rsidRPr="00EB6437" w:rsidRDefault="00EB6437" w:rsidP="004A5752">
      <w:pPr>
        <w:spacing w:line="360" w:lineRule="auto"/>
        <w:jc w:val="center"/>
        <w:rPr>
          <w:i/>
        </w:rPr>
      </w:pPr>
      <w:r>
        <w:rPr>
          <w:i/>
        </w:rPr>
        <w:t>***</w:t>
      </w:r>
      <w:r w:rsidR="00F07A57">
        <w:rPr>
          <w:i/>
        </w:rPr>
        <w:t xml:space="preserve">Please </w:t>
      </w:r>
      <w:r>
        <w:rPr>
          <w:i/>
        </w:rPr>
        <w:t>insert table 1 about here***</w:t>
      </w:r>
    </w:p>
    <w:p w:rsidR="00626B65" w:rsidRPr="00C760E6" w:rsidRDefault="00306430" w:rsidP="001C67D1">
      <w:pPr>
        <w:pStyle w:val="Heading1"/>
        <w:numPr>
          <w:ilvl w:val="0"/>
          <w:numId w:val="1"/>
        </w:numPr>
        <w:spacing w:line="360" w:lineRule="auto"/>
        <w:jc w:val="center"/>
        <w:rPr>
          <w:rFonts w:ascii="Times New Roman" w:hAnsi="Times New Roman" w:cs="Times New Roman"/>
          <w:color w:val="000000" w:themeColor="text1"/>
        </w:rPr>
      </w:pPr>
      <w:r w:rsidRPr="00C760E6">
        <w:rPr>
          <w:rFonts w:ascii="Times New Roman" w:hAnsi="Times New Roman" w:cs="Times New Roman"/>
          <w:color w:val="000000" w:themeColor="text1"/>
        </w:rPr>
        <w:t>Results</w:t>
      </w:r>
    </w:p>
    <w:p w:rsidR="000F7DDA" w:rsidRDefault="000F7DDA" w:rsidP="001C67D1">
      <w:pPr>
        <w:pStyle w:val="Heading2"/>
        <w:numPr>
          <w:ilvl w:val="1"/>
          <w:numId w:val="1"/>
        </w:numPr>
        <w:spacing w:line="360" w:lineRule="auto"/>
        <w:jc w:val="center"/>
      </w:pPr>
      <w:r w:rsidRPr="00C760E6">
        <w:rPr>
          <w:rFonts w:ascii="Times New Roman" w:hAnsi="Times New Roman" w:cs="Times New Roman"/>
          <w:color w:val="000000" w:themeColor="text1"/>
        </w:rPr>
        <w:t xml:space="preserve">The </w:t>
      </w:r>
      <w:r w:rsidR="00723AA8" w:rsidRPr="00C760E6">
        <w:rPr>
          <w:rFonts w:ascii="Times New Roman" w:hAnsi="Times New Roman" w:cs="Times New Roman"/>
          <w:color w:val="000000" w:themeColor="text1"/>
        </w:rPr>
        <w:t xml:space="preserve">impact of </w:t>
      </w:r>
      <w:r w:rsidR="00592938" w:rsidRPr="00C760E6">
        <w:rPr>
          <w:rFonts w:ascii="Times New Roman" w:hAnsi="Times New Roman" w:cs="Times New Roman"/>
          <w:color w:val="000000" w:themeColor="text1"/>
        </w:rPr>
        <w:t xml:space="preserve">aggregate </w:t>
      </w:r>
      <w:r w:rsidR="00723AA8" w:rsidRPr="00C760E6">
        <w:rPr>
          <w:rFonts w:ascii="Times New Roman" w:hAnsi="Times New Roman" w:cs="Times New Roman"/>
          <w:color w:val="000000" w:themeColor="text1"/>
        </w:rPr>
        <w:t>consumption shocks on ERPs of different industries</w:t>
      </w:r>
      <w:r w:rsidR="00723AA8" w:rsidRPr="003C010F">
        <w:rPr>
          <w:color w:val="000000" w:themeColor="text1"/>
        </w:rPr>
        <w:t>.</w:t>
      </w:r>
    </w:p>
    <w:p w:rsidR="006065A5" w:rsidRDefault="00253316" w:rsidP="004A5752">
      <w:pPr>
        <w:spacing w:line="360" w:lineRule="auto"/>
      </w:pPr>
      <w:r>
        <w:t xml:space="preserve">The results </w:t>
      </w:r>
      <w:r w:rsidR="00DC0158">
        <w:t xml:space="preserve">of </w:t>
      </w:r>
      <w:r>
        <w:t>time series regression</w:t>
      </w:r>
      <w:r w:rsidR="00212C51">
        <w:t xml:space="preserve"> specified in equation</w:t>
      </w:r>
      <w:r w:rsidR="001F51F9">
        <w:t xml:space="preserve"> (12</w:t>
      </w:r>
      <w:r>
        <w:t>) are presented in table 2</w:t>
      </w:r>
      <w:r w:rsidR="00DC0158">
        <w:t xml:space="preserve">. The results show </w:t>
      </w:r>
      <w:r>
        <w:t xml:space="preserve">the factor loadings of </w:t>
      </w:r>
      <w:r w:rsidR="00DC0158">
        <w:t xml:space="preserve">consumption shocks on </w:t>
      </w:r>
      <w:r>
        <w:t>the ERPs of various FTSE indices</w:t>
      </w:r>
      <w:r w:rsidR="00161115">
        <w:t xml:space="preserve"> (Column B of Table 2)</w:t>
      </w:r>
      <w:r w:rsidR="00DC0158">
        <w:t xml:space="preserve">. The beta coefficients </w:t>
      </w:r>
      <w:r w:rsidR="00853503">
        <w:t>are significantly negative</w:t>
      </w:r>
      <w:r w:rsidR="00034602">
        <w:t xml:space="preserve"> for the ERP of all the FTSE indices</w:t>
      </w:r>
      <w:r w:rsidR="00DC0158">
        <w:t xml:space="preserve">. </w:t>
      </w:r>
      <w:r w:rsidR="00034602">
        <w:t>Aggregate personal consumption shocks seem to have negative impact on the ERP of the aggregate FTSE indices (FTSE 100 and FTSE 250). The ERP of FTSE 250 index is more vulnerable to consumptions shocks than the ERP of FTSE 100 index (</w:t>
      </w:r>
      <m:oMath>
        <m:d>
          <m:dPr>
            <m:begChr m:val="|"/>
            <m:endChr m:val="|"/>
            <m:ctrlPr>
              <w:rPr>
                <w:rFonts w:ascii="Cambria Math" w:hAnsi="Cambria Math" w:cs="Times New Roman"/>
                <w:i/>
              </w:rPr>
            </m:ctrlPr>
          </m:dPr>
          <m:e>
            <m:r>
              <w:rPr>
                <w:rFonts w:ascii="Cambria Math" w:hAnsi="Cambria Math" w:cs="Times New Roman"/>
              </w:rPr>
              <m:t>-5.40</m:t>
            </m:r>
          </m:e>
        </m:d>
        <m:r>
          <w:rPr>
            <w:rFonts w:ascii="Cambria Math" w:hAnsi="Cambria Math" w:cs="Times New Roman"/>
          </w:rPr>
          <m:t>&gt;</m:t>
        </m:r>
        <m:d>
          <m:dPr>
            <m:begChr m:val="|"/>
            <m:endChr m:val="|"/>
            <m:ctrlPr>
              <w:rPr>
                <w:rFonts w:ascii="Cambria Math" w:hAnsi="Cambria Math" w:cs="Times New Roman"/>
                <w:i/>
              </w:rPr>
            </m:ctrlPr>
          </m:dPr>
          <m:e>
            <m:r>
              <w:rPr>
                <w:rFonts w:ascii="Cambria Math" w:hAnsi="Cambria Math" w:cs="Times New Roman"/>
              </w:rPr>
              <m:t>-4.82</m:t>
            </m:r>
          </m:e>
        </m:d>
        <m:r>
          <w:rPr>
            <w:rFonts w:ascii="Cambria Math" w:hAnsi="Cambria Math" w:cs="Times New Roman"/>
          </w:rPr>
          <m:t>)</m:t>
        </m:r>
      </m:oMath>
      <w:r w:rsidR="00034602">
        <w:t xml:space="preserve">. This is presumably because companies in the FTSE 250 index are more </w:t>
      </w:r>
      <w:r w:rsidR="00295C54">
        <w:t>focused to the UK domestic economy than the companies in the FTSE 100 index. On the sectoral basis, t</w:t>
      </w:r>
      <w:r w:rsidR="00696F6A">
        <w:t xml:space="preserve">he ERPs of </w:t>
      </w:r>
      <w:r w:rsidR="00E95B21">
        <w:t xml:space="preserve">cyclical industries such </w:t>
      </w:r>
      <w:r w:rsidR="00696F6A">
        <w:t xml:space="preserve">Financial firms seem to be most vulnerable to consumption shocks </w:t>
      </w:r>
      <w:r w:rsidR="0068402D">
        <w:t xml:space="preserve">(beta= -7.45) </w:t>
      </w:r>
      <w:r w:rsidR="00696F6A">
        <w:t xml:space="preserve">than any other industry. This is, presumably, because consumption </w:t>
      </w:r>
      <w:r w:rsidR="00E23B9E">
        <w:t>in the UK is largely financed by consumer credit</w:t>
      </w:r>
      <w:r w:rsidR="0068402D">
        <w:t xml:space="preserve">. </w:t>
      </w:r>
      <w:r w:rsidR="00E95B21">
        <w:t xml:space="preserve">Similarly, </w:t>
      </w:r>
      <w:r w:rsidR="00D861CF">
        <w:t xml:space="preserve">other </w:t>
      </w:r>
      <w:r w:rsidR="00E95B21">
        <w:t>cyclical industries such as Technology, Industrials and Consumer Services seem to be more vulnerable to consumption shocks than the non-cyclical industries su</w:t>
      </w:r>
      <w:r w:rsidR="0020028C">
        <w:t>ch as Utilities, Consumer Goods</w:t>
      </w:r>
      <w:r w:rsidR="00E95B21">
        <w:t xml:space="preserve"> and Healthcare. </w:t>
      </w:r>
      <w:r w:rsidR="005D3815">
        <w:t>On an average, consumpt</w:t>
      </w:r>
      <w:r w:rsidR="0020028C">
        <w:t>ion shocks can explain almost 14</w:t>
      </w:r>
      <w:r w:rsidR="005D3815">
        <w:t>% variation in the ERPs of cyclical industries and 12</w:t>
      </w:r>
      <w:r w:rsidR="00F04C3B">
        <w:t>.11</w:t>
      </w:r>
      <w:r w:rsidR="005D3815">
        <w:t xml:space="preserve">% variation in the ERPs of non-cyclical industries. </w:t>
      </w:r>
      <w:r w:rsidR="00DB26FD">
        <w:t>Overall, these results lend support</w:t>
      </w:r>
      <w:r w:rsidR="00E95B21">
        <w:t xml:space="preserve"> </w:t>
      </w:r>
      <w:r w:rsidR="00DB26FD">
        <w:t xml:space="preserve">to </w:t>
      </w:r>
      <w:r w:rsidR="00E95B21">
        <w:t xml:space="preserve">the hypothesis that </w:t>
      </w:r>
      <w:r w:rsidR="00F7292C">
        <w:t xml:space="preserve">ERPs of </w:t>
      </w:r>
      <w:r w:rsidR="00E95B21">
        <w:t xml:space="preserve">different industries react heterogeneously to consumption shocks. </w:t>
      </w:r>
    </w:p>
    <w:p w:rsidR="00295C54" w:rsidRPr="00295C54" w:rsidRDefault="00295C54" w:rsidP="00295C54">
      <w:pPr>
        <w:spacing w:line="360" w:lineRule="auto"/>
        <w:jc w:val="center"/>
        <w:rPr>
          <w:i/>
        </w:rPr>
      </w:pPr>
      <w:r>
        <w:rPr>
          <w:i/>
        </w:rPr>
        <w:t>***</w:t>
      </w:r>
      <w:r w:rsidR="00F07A57">
        <w:rPr>
          <w:i/>
        </w:rPr>
        <w:t xml:space="preserve">Please </w:t>
      </w:r>
      <w:r>
        <w:rPr>
          <w:i/>
        </w:rPr>
        <w:t>insert table 2 about here***</w:t>
      </w:r>
    </w:p>
    <w:p w:rsidR="0033103F" w:rsidRDefault="00EB6437" w:rsidP="004A5752">
      <w:pPr>
        <w:spacing w:line="360" w:lineRule="auto"/>
        <w:jc w:val="center"/>
        <w:rPr>
          <w:i/>
        </w:rPr>
      </w:pPr>
      <w:r>
        <w:rPr>
          <w:i/>
        </w:rPr>
        <w:t>***</w:t>
      </w:r>
      <w:r w:rsidR="00F07A57">
        <w:rPr>
          <w:i/>
        </w:rPr>
        <w:t xml:space="preserve">Please </w:t>
      </w:r>
      <w:r>
        <w:rPr>
          <w:i/>
        </w:rPr>
        <w:t>insert table 3 about here***</w:t>
      </w:r>
    </w:p>
    <w:p w:rsidR="0025157A" w:rsidRPr="00CB7B77" w:rsidRDefault="005102B7" w:rsidP="004A5752">
      <w:pPr>
        <w:spacing w:before="240" w:line="360" w:lineRule="auto"/>
        <w:rPr>
          <w:rFonts w:eastAsiaTheme="minorEastAsia"/>
        </w:rPr>
      </w:pPr>
      <w:r>
        <w:rPr>
          <w:rFonts w:eastAsiaTheme="minorEastAsia"/>
        </w:rPr>
        <w:t>We check the robustness of these results by investigating</w:t>
      </w:r>
      <w:r w:rsidR="00A91522">
        <w:rPr>
          <w:rFonts w:eastAsiaTheme="minorEastAsia"/>
        </w:rPr>
        <w:t xml:space="preserve"> </w:t>
      </w:r>
      <w:r w:rsidR="0025157A" w:rsidRPr="00CB7B77">
        <w:rPr>
          <w:rFonts w:eastAsiaTheme="minorEastAsia"/>
        </w:rPr>
        <w:t xml:space="preserve">whether </w:t>
      </w:r>
      <w:r>
        <w:rPr>
          <w:rFonts w:eastAsiaTheme="minorEastAsia"/>
        </w:rPr>
        <w:t xml:space="preserve">aggregate </w:t>
      </w:r>
      <w:r w:rsidR="0025157A" w:rsidRPr="00CB7B77">
        <w:rPr>
          <w:rFonts w:eastAsiaTheme="minorEastAsia"/>
        </w:rPr>
        <w:t>consumption shocks are significant in driving the ERP in presence of the size premium (</w:t>
      </w:r>
      <w:r w:rsidR="0025157A" w:rsidRPr="00CB7B77">
        <w:rPr>
          <w:rFonts w:eastAsiaTheme="minorEastAsia"/>
          <w:i/>
        </w:rPr>
        <w:t xml:space="preserve">SMB) </w:t>
      </w:r>
      <w:r w:rsidR="0025157A" w:rsidRPr="00CB7B77">
        <w:rPr>
          <w:rFonts w:eastAsiaTheme="minorEastAsia"/>
        </w:rPr>
        <w:t xml:space="preserve">and </w:t>
      </w:r>
      <w:r w:rsidR="0025157A" w:rsidRPr="00CB7B77">
        <w:rPr>
          <w:rFonts w:eastAsiaTheme="minorEastAsia"/>
          <w:i/>
        </w:rPr>
        <w:t xml:space="preserve"> </w:t>
      </w:r>
      <w:r w:rsidR="0025157A" w:rsidRPr="00CB7B77">
        <w:rPr>
          <w:rFonts w:eastAsiaTheme="minorEastAsia"/>
        </w:rPr>
        <w:t>the value premium (</w:t>
      </w:r>
      <w:r w:rsidR="0025157A" w:rsidRPr="00CB7B77">
        <w:rPr>
          <w:rFonts w:eastAsiaTheme="minorEastAsia"/>
          <w:i/>
        </w:rPr>
        <w:t>HML)</w:t>
      </w:r>
      <w:r w:rsidR="0025157A" w:rsidRPr="00CB7B77">
        <w:rPr>
          <w:rFonts w:eastAsiaTheme="minorEastAsia"/>
        </w:rPr>
        <w:t xml:space="preserve"> of </w:t>
      </w:r>
      <w:r w:rsidR="0025157A" w:rsidRPr="00CB7B77">
        <w:rPr>
          <w:rFonts w:eastAsiaTheme="minorEastAsia"/>
        </w:rPr>
        <w:fldChar w:fldCharType="begin" w:fldLock="1"/>
      </w:r>
      <w:r w:rsidR="00AF43D6">
        <w:rPr>
          <w:rFonts w:eastAsiaTheme="minorEastAsia"/>
        </w:rPr>
        <w:instrText>ADDIN CSL_CITATION { "citationItems" : [ { "id" : "ITEM-1", "itemData" : { "author" : [ { "dropping-particle" : "", "family" : "Fama", "given" : "Eugene F", "non-dropping-particle" : "", "parse-names" : false, "suffix" : "" }, { "dropping-particle" : "", "family" : "French", "given" : "Kenneth R", "non-dropping-particle" : "", "parse-names" : false, "suffix" : "" } ], "container-title" : "The Journal of Finance", "id" : "ITEM-1", "issue" : "2", "issued" : { "date-parts" : [ [ "1992" ] ] }, "page" : "427-465", "title" : "The Cross-Section of Expected Stock Returns", "type" : "article-journal", "volume" : "47" }, "uris" : [ "http://www.mendeley.com/documents/?uuid=f2c17401-50b3-4da3-93d4-322d6bc36138" ] } ], "mendeley" : { "formattedCitation" : "(E. F. Fama and French 1992)", "manualFormatting" : "Fama and French, (1992)", "plainTextFormattedCitation" : "(E. F. Fama and French 1992)", "previouslyFormattedCitation" : "(E. F. Fama and French 1992)" }, "properties" : { "noteIndex" : 0 }, "schema" : "https://github.com/citation-style-language/schema/raw/master/csl-citation.json" }</w:instrText>
      </w:r>
      <w:r w:rsidR="0025157A" w:rsidRPr="00CB7B77">
        <w:rPr>
          <w:rFonts w:eastAsiaTheme="minorEastAsia"/>
        </w:rPr>
        <w:fldChar w:fldCharType="separate"/>
      </w:r>
      <w:r w:rsidR="0025157A" w:rsidRPr="00CB7B77">
        <w:rPr>
          <w:rFonts w:eastAsiaTheme="minorEastAsia"/>
          <w:noProof/>
        </w:rPr>
        <w:t>Fama and French, (1992)</w:t>
      </w:r>
      <w:r w:rsidR="0025157A" w:rsidRPr="00CB7B77">
        <w:rPr>
          <w:rFonts w:eastAsiaTheme="minorEastAsia"/>
        </w:rPr>
        <w:fldChar w:fldCharType="end"/>
      </w:r>
      <w:r w:rsidR="0025157A" w:rsidRPr="00CB7B77">
        <w:rPr>
          <w:rFonts w:eastAsiaTheme="minorEastAsia"/>
          <w:i/>
        </w:rPr>
        <w:t xml:space="preserve"> </w:t>
      </w:r>
      <w:r w:rsidR="0025157A" w:rsidRPr="00CB7B77">
        <w:rPr>
          <w:rFonts w:eastAsiaTheme="minorEastAsia"/>
        </w:rPr>
        <w:t>and the momentum factor (</w:t>
      </w:r>
      <w:r w:rsidR="0025157A" w:rsidRPr="00CB7B77">
        <w:rPr>
          <w:rFonts w:eastAsiaTheme="minorEastAsia"/>
          <w:i/>
        </w:rPr>
        <w:t xml:space="preserve">UMD) </w:t>
      </w:r>
      <w:r w:rsidR="0025157A" w:rsidRPr="00CB7B77">
        <w:rPr>
          <w:rFonts w:eastAsiaTheme="minorEastAsia"/>
        </w:rPr>
        <w:t xml:space="preserve">of  </w:t>
      </w:r>
      <w:r w:rsidR="0025157A" w:rsidRPr="00CB7B77">
        <w:rPr>
          <w:rFonts w:eastAsiaTheme="minorEastAsia"/>
        </w:rPr>
        <w:fldChar w:fldCharType="begin" w:fldLock="1"/>
      </w:r>
      <w:r w:rsidR="00AF43D6">
        <w:rPr>
          <w:rFonts w:eastAsiaTheme="minorEastAsia"/>
        </w:rPr>
        <w:instrText>ADDIN CSL_CITATION { "citationItems" : [ { "id" : "ITEM-1", "itemData" : { "author" : [ { "dropping-particle" : "", "family" : "Carhart", "given" : "Mark M.", "non-dropping-particle" : "", "parse-names" : false, "suffix" : "" } ], "container-title" : "The Journal of Finance", "id" : "ITEM-1", "issue" : "1", "issued" : { "date-parts" : [ [ "1997" ] ] }, "page" : "57-82", "title" : "On Persistence in Mutual Fund Performance", "type" : "article-journal", "volume" : "52" }, "uris" : [ "http://www.mendeley.com/documents/?uuid=253b316b-5ee3-4f46-a9de-ca186c073a1e" ] } ], "mendeley" : { "formattedCitation" : "(Carhart 1997)", "manualFormatting" : "Carhart, (1997)", "plainTextFormattedCitation" : "(Carhart 1997)", "previouslyFormattedCitation" : "(Carhart 1997)" }, "properties" : { "noteIndex" : 0 }, "schema" : "https://github.com/citation-style-language/schema/raw/master/csl-citation.json" }</w:instrText>
      </w:r>
      <w:r w:rsidR="0025157A" w:rsidRPr="00CB7B77">
        <w:rPr>
          <w:rFonts w:eastAsiaTheme="minorEastAsia"/>
        </w:rPr>
        <w:fldChar w:fldCharType="separate"/>
      </w:r>
      <w:r w:rsidR="0025157A" w:rsidRPr="00CB7B77">
        <w:rPr>
          <w:rFonts w:eastAsiaTheme="minorEastAsia"/>
          <w:noProof/>
        </w:rPr>
        <w:t>Carhart, (1997)</w:t>
      </w:r>
      <w:r w:rsidR="0025157A" w:rsidRPr="00CB7B77">
        <w:rPr>
          <w:rFonts w:eastAsiaTheme="minorEastAsia"/>
        </w:rPr>
        <w:fldChar w:fldCharType="end"/>
      </w:r>
      <w:r w:rsidR="0025157A" w:rsidRPr="00CB7B77">
        <w:rPr>
          <w:rFonts w:eastAsiaTheme="minorEastAsia"/>
        </w:rPr>
        <w:t>. For this we estimate the following regression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1"/>
        <w:gridCol w:w="1315"/>
      </w:tblGrid>
      <w:tr w:rsidR="0025157A" w:rsidTr="00FB6BBB">
        <w:tc>
          <w:tcPr>
            <w:tcW w:w="7905" w:type="dxa"/>
          </w:tcPr>
          <w:p w:rsidR="0025157A" w:rsidRPr="007E4102" w:rsidRDefault="0025157A" w:rsidP="004A5752">
            <w:pPr>
              <w:spacing w:line="360" w:lineRule="auto"/>
              <w:jc w:val="center"/>
              <w:rPr>
                <w:rFonts w:eastAsiaTheme="minorEastAsia"/>
              </w:rPr>
            </w:pPr>
            <w:r>
              <w:rPr>
                <w:rFonts w:eastAsiaTheme="minorEastAsia"/>
              </w:rP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c</m:t>
                  </m:r>
                </m:sub>
                <m:sup>
                  <m:r>
                    <w:rPr>
                      <w:rFonts w:ascii="Cambria Math" w:eastAsiaTheme="minorEastAsia" w:hAnsi="Cambria Math"/>
                    </w:rPr>
                    <m:t>i</m:t>
                  </m:r>
                </m:sup>
              </m:sSubSup>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c</m:t>
                  </m:r>
                </m:sup>
              </m:sSubSup>
              <m:r>
                <w:rPr>
                  <w:rFonts w:ascii="Cambria Math" w:eastAsia="Cambria Math" w:hAnsi="Cambria Math" w:cs="Cambria Math"/>
                  <w:noProof/>
                </w:rPr>
                <m:t>+</m:t>
              </m:r>
              <m:sSubSup>
                <m:sSubSupPr>
                  <m:ctrlPr>
                    <w:rPr>
                      <w:rFonts w:ascii="Cambria Math" w:eastAsia="Cambria Math" w:hAnsi="Cambria Math" w:cs="Cambria Math"/>
                      <w:i/>
                      <w:noProof/>
                    </w:rPr>
                  </m:ctrlPr>
                </m:sSubSupPr>
                <m:e>
                  <m:r>
                    <w:rPr>
                      <w:rFonts w:ascii="Cambria Math" w:eastAsia="Cambria Math" w:hAnsi="Cambria Math" w:cs="Cambria Math"/>
                      <w:noProof/>
                    </w:rPr>
                    <m:t>β</m:t>
                  </m:r>
                </m:e>
                <m:sub>
                  <m:r>
                    <w:rPr>
                      <w:rFonts w:ascii="Cambria Math" w:eastAsia="Cambria Math" w:hAnsi="Cambria Math" w:cs="Cambria Math"/>
                      <w:noProof/>
                    </w:rPr>
                    <m:t>s</m:t>
                  </m:r>
                </m:sub>
                <m:sup>
                  <m:r>
                    <w:rPr>
                      <w:rFonts w:ascii="Cambria Math" w:eastAsia="Cambria Math" w:hAnsi="Cambria Math" w:cs="Cambria Math"/>
                      <w:noProof/>
                    </w:rPr>
                    <m:t>i</m:t>
                  </m:r>
                </m:sup>
              </m:sSubSup>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SMB</m:t>
                  </m:r>
                </m:e>
                <m:sub>
                  <m:r>
                    <w:rPr>
                      <w:rFonts w:ascii="Cambria Math" w:eastAsia="Cambria Math" w:hAnsi="Cambria Math" w:cs="Cambria Math"/>
                      <w:noProof/>
                    </w:rPr>
                    <m:t>t</m:t>
                  </m:r>
                </m:sub>
              </m:sSub>
              <m:r>
                <w:rPr>
                  <w:rFonts w:ascii="Cambria Math" w:eastAsia="Cambria Math" w:hAnsi="Cambria Math" w:cs="Cambria Math"/>
                  <w:noProof/>
                </w:rPr>
                <m:t>+</m:t>
              </m:r>
              <m:sSubSup>
                <m:sSubSupPr>
                  <m:ctrlPr>
                    <w:rPr>
                      <w:rFonts w:ascii="Cambria Math" w:eastAsia="Cambria Math" w:hAnsi="Cambria Math" w:cs="Cambria Math"/>
                      <w:i/>
                      <w:noProof/>
                    </w:rPr>
                  </m:ctrlPr>
                </m:sSubSupPr>
                <m:e>
                  <m:r>
                    <w:rPr>
                      <w:rFonts w:ascii="Cambria Math" w:eastAsia="Cambria Math" w:hAnsi="Cambria Math" w:cs="Cambria Math"/>
                      <w:noProof/>
                    </w:rPr>
                    <m:t>β</m:t>
                  </m:r>
                </m:e>
                <m:sub>
                  <m:r>
                    <w:rPr>
                      <w:rFonts w:ascii="Cambria Math" w:eastAsia="Cambria Math" w:hAnsi="Cambria Math" w:cs="Cambria Math"/>
                      <w:noProof/>
                    </w:rPr>
                    <m:t>v</m:t>
                  </m:r>
                </m:sub>
                <m:sup>
                  <m:r>
                    <w:rPr>
                      <w:rFonts w:ascii="Cambria Math" w:eastAsia="Cambria Math" w:hAnsi="Cambria Math" w:cs="Cambria Math"/>
                      <w:noProof/>
                    </w:rPr>
                    <m:t>i</m:t>
                  </m:r>
                </m:sup>
              </m:sSubSup>
              <m:r>
                <w:rPr>
                  <w:rFonts w:ascii="Cambria Math" w:eastAsia="Cambria Math" w:hAnsi="Cambria Math" w:cs="Cambria Math"/>
                  <w:noProof/>
                </w:rPr>
                <m:t>.HM</m:t>
              </m:r>
              <m:sSub>
                <m:sSubPr>
                  <m:ctrlPr>
                    <w:rPr>
                      <w:rFonts w:ascii="Cambria Math" w:eastAsia="Cambria Math" w:hAnsi="Cambria Math" w:cs="Cambria Math"/>
                      <w:i/>
                      <w:noProof/>
                    </w:rPr>
                  </m:ctrlPr>
                </m:sSubPr>
                <m:e>
                  <m:r>
                    <w:rPr>
                      <w:rFonts w:ascii="Cambria Math" w:eastAsia="Cambria Math" w:hAnsi="Cambria Math" w:cs="Cambria Math"/>
                      <w:noProof/>
                    </w:rPr>
                    <m:t>L</m:t>
                  </m:r>
                </m:e>
                <m:sub>
                  <m:r>
                    <w:rPr>
                      <w:rFonts w:ascii="Cambria Math" w:eastAsia="Cambria Math" w:hAnsi="Cambria Math" w:cs="Cambria Math"/>
                      <w:noProof/>
                    </w:rPr>
                    <m:t>t</m:t>
                  </m:r>
                </m:sub>
              </m:sSub>
              <m:r>
                <w:rPr>
                  <w:rFonts w:ascii="Cambria Math" w:eastAsia="Cambria Math" w:hAnsi="Cambria Math" w:cs="Cambria Math"/>
                  <w:noProof/>
                </w:rPr>
                <m:t>+</m:t>
              </m:r>
              <m:sSubSup>
                <m:sSubSupPr>
                  <m:ctrlPr>
                    <w:rPr>
                      <w:rFonts w:ascii="Cambria Math" w:eastAsia="Cambria Math" w:hAnsi="Cambria Math" w:cs="Cambria Math"/>
                      <w:i/>
                      <w:noProof/>
                    </w:rPr>
                  </m:ctrlPr>
                </m:sSubSupPr>
                <m:e>
                  <m:r>
                    <w:rPr>
                      <w:rFonts w:ascii="Cambria Math" w:eastAsia="Cambria Math" w:hAnsi="Cambria Math" w:cs="Cambria Math"/>
                      <w:noProof/>
                    </w:rPr>
                    <m:t>β</m:t>
                  </m:r>
                </m:e>
                <m:sub>
                  <m:r>
                    <w:rPr>
                      <w:rFonts w:ascii="Cambria Math" w:eastAsia="Cambria Math" w:hAnsi="Cambria Math" w:cs="Cambria Math"/>
                      <w:noProof/>
                    </w:rPr>
                    <m:t>m</m:t>
                  </m:r>
                </m:sub>
                <m:sup>
                  <m:r>
                    <w:rPr>
                      <w:rFonts w:ascii="Cambria Math" w:eastAsia="Cambria Math" w:hAnsi="Cambria Math" w:cs="Cambria Math"/>
                      <w:noProof/>
                    </w:rPr>
                    <m:t>i</m:t>
                  </m:r>
                </m:sup>
              </m:sSubSup>
              <m:r>
                <w:rPr>
                  <w:rFonts w:ascii="Cambria Math" w:eastAsia="Cambria Math" w:hAnsi="Cambria Math" w:cs="Cambria Math"/>
                  <w:noProof/>
                </w:rPr>
                <m:t>.UM</m:t>
              </m:r>
              <m:sSub>
                <m:sSubPr>
                  <m:ctrlPr>
                    <w:rPr>
                      <w:rFonts w:ascii="Cambria Math" w:eastAsia="Cambria Math" w:hAnsi="Cambria Math" w:cs="Cambria Math"/>
                      <w:i/>
                      <w:noProof/>
                    </w:rPr>
                  </m:ctrlPr>
                </m:sSubPr>
                <m:e>
                  <m:r>
                    <w:rPr>
                      <w:rFonts w:ascii="Cambria Math" w:eastAsia="Cambria Math" w:hAnsi="Cambria Math" w:cs="Cambria Math"/>
                      <w:noProof/>
                    </w:rPr>
                    <m:t>D</m:t>
                  </m:r>
                </m:e>
                <m:sub>
                  <m:r>
                    <w:rPr>
                      <w:rFonts w:ascii="Cambria Math" w:eastAsia="Cambria Math" w:hAnsi="Cambria Math" w:cs="Cambria Math"/>
                      <w:noProof/>
                    </w:rPr>
                    <m:t>t</m:t>
                  </m:r>
                </m:sub>
              </m:sSub>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ε</m:t>
                  </m:r>
                </m:e>
                <m:sub>
                  <m:r>
                    <w:rPr>
                      <w:rFonts w:ascii="Cambria Math" w:eastAsia="Cambria Math" w:hAnsi="Cambria Math" w:cs="Cambria Math"/>
                      <w:noProof/>
                    </w:rPr>
                    <m:t>t</m:t>
                  </m:r>
                </m:sub>
              </m:sSub>
            </m:oMath>
          </w:p>
        </w:tc>
        <w:tc>
          <w:tcPr>
            <w:tcW w:w="1337" w:type="dxa"/>
          </w:tcPr>
          <w:p w:rsidR="0025157A" w:rsidRDefault="0025157A" w:rsidP="004A5752">
            <w:pPr>
              <w:spacing w:line="360" w:lineRule="auto"/>
              <w:jc w:val="center"/>
              <w:rPr>
                <w:rFonts w:eastAsiaTheme="minorEastAsia"/>
              </w:rPr>
            </w:pPr>
            <w:r>
              <w:rPr>
                <w:rFonts w:eastAsiaTheme="minorEastAsia"/>
              </w:rPr>
              <w:t>(</w:t>
            </w:r>
            <w:r w:rsidR="003C5268">
              <w:rPr>
                <w:rFonts w:eastAsiaTheme="minorEastAsia"/>
              </w:rPr>
              <w:t>14</w:t>
            </w:r>
            <w:r>
              <w:rPr>
                <w:rFonts w:eastAsiaTheme="minorEastAsia"/>
              </w:rPr>
              <w:t>)</w:t>
            </w:r>
          </w:p>
        </w:tc>
      </w:tr>
    </w:tbl>
    <w:p w:rsidR="0025157A" w:rsidRDefault="0025157A" w:rsidP="004A5752">
      <w:pPr>
        <w:spacing w:line="360" w:lineRule="auto"/>
      </w:pPr>
    </w:p>
    <w:p w:rsidR="0025157A" w:rsidRPr="00CB7B77" w:rsidRDefault="0025157A" w:rsidP="004A5752">
      <w:pPr>
        <w:spacing w:line="360" w:lineRule="auto"/>
      </w:pPr>
      <w:r w:rsidRPr="00CB7B77">
        <w:t xml:space="preserve">where; </w:t>
      </w:r>
      <m:oMath>
        <m:sSubSup>
          <m:sSubSupPr>
            <m:ctrlPr>
              <w:rPr>
                <w:rFonts w:ascii="Cambria Math" w:hAnsi="Cambria Math"/>
                <w:i/>
              </w:rPr>
            </m:ctrlPr>
          </m:sSubSupPr>
          <m:e>
            <m:r>
              <w:rPr>
                <w:rFonts w:ascii="Cambria Math" w:hAnsi="Cambria Math"/>
              </w:rPr>
              <m:t>E</m:t>
            </m:r>
          </m:e>
          <m:sub>
            <m:r>
              <w:rPr>
                <w:rFonts w:ascii="Cambria Math" w:hAnsi="Cambria Math"/>
              </w:rPr>
              <m:t>t</m:t>
            </m:r>
          </m:sub>
          <m:sup>
            <m:r>
              <w:rPr>
                <w:rFonts w:ascii="Cambria Math" w:hAnsi="Cambria Math"/>
              </w:rPr>
              <m:t>i</m:t>
            </m:r>
          </m:sup>
        </m:sSubSup>
      </m:oMath>
      <w:r w:rsidRPr="00CB7B77">
        <w:rPr>
          <w:rFonts w:eastAsiaTheme="minorEastAsia"/>
        </w:rPr>
        <w:t xml:space="preserve"> is the ERP of </w:t>
      </w:r>
      <w:r w:rsidRPr="00CB7B77">
        <w:rPr>
          <w:rFonts w:eastAsiaTheme="minorEastAsia"/>
          <w:i/>
        </w:rPr>
        <w:t>i</w:t>
      </w:r>
      <w:r w:rsidRPr="00CB7B77">
        <w:rPr>
          <w:rFonts w:eastAsiaTheme="minorEastAsia"/>
          <w:i/>
          <w:vertAlign w:val="superscript"/>
        </w:rPr>
        <w:t xml:space="preserve">th </w:t>
      </w:r>
      <w:r w:rsidRPr="00CB7B77">
        <w:rPr>
          <w:rFonts w:eastAsiaTheme="minorEastAsia"/>
        </w:rPr>
        <w:t xml:space="preserve">portfolio, </w:t>
      </w:r>
      <m:oMath>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c</m:t>
            </m:r>
          </m:sup>
        </m:sSubSup>
      </m:oMath>
      <w:r w:rsidRPr="00CB7B77">
        <w:rPr>
          <w:rFonts w:eastAsiaTheme="minorEastAsia"/>
        </w:rPr>
        <w:t xml:space="preserve"> represents the consumption shocks derived from the SVAR model, </w:t>
      </w:r>
      <m:oMath>
        <m:r>
          <w:rPr>
            <w:rFonts w:ascii="Cambria Math" w:eastAsia="Cambria Math" w:hAnsi="Cambria Math" w:cs="Cambria Math"/>
            <w:noProof/>
          </w:rPr>
          <m:t>SMB</m:t>
        </m:r>
      </m:oMath>
      <w:r w:rsidRPr="00CB7B77">
        <w:rPr>
          <w:rFonts w:eastAsiaTheme="minorEastAsia"/>
        </w:rPr>
        <w:t xml:space="preserve"> is the return on a portfolio which is long in small size stocks and short in big size stocks,</w:t>
      </w:r>
      <m:oMath>
        <m:r>
          <w:rPr>
            <w:rFonts w:ascii="Cambria Math" w:eastAsia="Cambria Math" w:hAnsi="Cambria Math" w:cs="Cambria Math"/>
            <w:noProof/>
          </w:rPr>
          <m:t xml:space="preserve"> HM</m:t>
        </m:r>
        <m:sSub>
          <m:sSubPr>
            <m:ctrlPr>
              <w:rPr>
                <w:rFonts w:ascii="Cambria Math" w:eastAsia="Cambria Math" w:hAnsi="Cambria Math" w:cs="Cambria Math"/>
                <w:i/>
                <w:noProof/>
              </w:rPr>
            </m:ctrlPr>
          </m:sSubPr>
          <m:e>
            <m:r>
              <w:rPr>
                <w:rFonts w:ascii="Cambria Math" w:eastAsia="Cambria Math" w:hAnsi="Cambria Math" w:cs="Cambria Math"/>
                <w:noProof/>
              </w:rPr>
              <m:t>L</m:t>
            </m:r>
          </m:e>
          <m:sub/>
        </m:sSub>
      </m:oMath>
      <w:r w:rsidRPr="00CB7B77">
        <w:rPr>
          <w:rFonts w:eastAsiaTheme="minorEastAsia"/>
        </w:rPr>
        <w:t xml:space="preserve"> is the return on portfolio which is long </w:t>
      </w:r>
      <w:r w:rsidR="00163860">
        <w:rPr>
          <w:rFonts w:eastAsiaTheme="minorEastAsia"/>
        </w:rPr>
        <w:t xml:space="preserve">on </w:t>
      </w:r>
      <w:r w:rsidRPr="00CB7B77">
        <w:rPr>
          <w:rFonts w:eastAsiaTheme="minorEastAsia"/>
        </w:rPr>
        <w:t>high book-to-market ratio and short on low book-to-market ratio and finally</w:t>
      </w:r>
      <m:oMath>
        <m:r>
          <w:rPr>
            <w:rFonts w:ascii="Cambria Math" w:eastAsiaTheme="minorEastAsia" w:hAnsi="Cambria Math"/>
          </w:rPr>
          <m:t xml:space="preserve"> </m:t>
        </m:r>
        <m:r>
          <w:rPr>
            <w:rFonts w:ascii="Cambria Math" w:eastAsia="Cambria Math" w:hAnsi="Cambria Math" w:cs="Cambria Math"/>
            <w:noProof/>
          </w:rPr>
          <m:t xml:space="preserve"> UM</m:t>
        </m:r>
        <m:sSub>
          <m:sSubPr>
            <m:ctrlPr>
              <w:rPr>
                <w:rFonts w:ascii="Cambria Math" w:eastAsia="Cambria Math" w:hAnsi="Cambria Math" w:cs="Cambria Math"/>
                <w:i/>
                <w:noProof/>
              </w:rPr>
            </m:ctrlPr>
          </m:sSubPr>
          <m:e>
            <m:r>
              <w:rPr>
                <w:rFonts w:ascii="Cambria Math" w:eastAsia="Cambria Math" w:hAnsi="Cambria Math" w:cs="Cambria Math"/>
                <w:noProof/>
              </w:rPr>
              <m:t>D</m:t>
            </m:r>
          </m:e>
          <m:sub/>
        </m:sSub>
        <m:r>
          <w:rPr>
            <w:rFonts w:ascii="Cambria Math" w:eastAsia="Cambria Math" w:hAnsi="Cambria Math" w:cs="Cambria Math"/>
            <w:noProof/>
          </w:rPr>
          <m:t xml:space="preserve"> </m:t>
        </m:r>
      </m:oMath>
      <w:r w:rsidRPr="00CB7B77">
        <w:rPr>
          <w:rFonts w:eastAsiaTheme="minorEastAsia"/>
        </w:rPr>
        <w:t xml:space="preserve">is the momentum factor which is </w:t>
      </w:r>
      <w:r w:rsidR="00163860">
        <w:rPr>
          <w:rFonts w:eastAsiaTheme="minorEastAsia"/>
        </w:rPr>
        <w:t xml:space="preserve">derived from the difference in returns form </w:t>
      </w:r>
      <w:r w:rsidRPr="00CB7B77">
        <w:rPr>
          <w:rFonts w:eastAsiaTheme="minorEastAsia"/>
        </w:rPr>
        <w:t>“winner</w:t>
      </w:r>
      <w:r w:rsidR="00163860">
        <w:rPr>
          <w:rFonts w:eastAsiaTheme="minorEastAsia"/>
        </w:rPr>
        <w:t>s</w:t>
      </w:r>
      <w:r w:rsidRPr="00CB7B77">
        <w:rPr>
          <w:rFonts w:eastAsiaTheme="minorEastAsia"/>
        </w:rPr>
        <w:t>” and “losers”</w:t>
      </w:r>
      <w:r w:rsidR="00163860">
        <w:rPr>
          <w:rFonts w:eastAsiaTheme="minorEastAsia"/>
        </w:rPr>
        <w:t xml:space="preserve"> portfolio</w:t>
      </w:r>
      <w:r w:rsidRPr="00CB7B77">
        <w:rPr>
          <w:rFonts w:eastAsiaTheme="minorEastAsia"/>
        </w:rPr>
        <w:t xml:space="preserve">.     </w:t>
      </w:r>
    </w:p>
    <w:p w:rsidR="003C5268" w:rsidRDefault="005102B7" w:rsidP="004A5752">
      <w:pPr>
        <w:spacing w:line="360" w:lineRule="auto"/>
      </w:pPr>
      <w:r>
        <w:t>Table 3</w:t>
      </w:r>
      <w:r w:rsidR="00EA0F0C" w:rsidRPr="00CB7B77">
        <w:t xml:space="preserve"> shows the impact of aggregate consumption shocks on the ERP after controlling for the size</w:t>
      </w:r>
      <w:r w:rsidR="00292C38">
        <w:t xml:space="preserve">, </w:t>
      </w:r>
      <w:r w:rsidR="00EA0F0C" w:rsidRPr="00CB7B77">
        <w:t xml:space="preserve">value </w:t>
      </w:r>
      <w:r w:rsidR="00292C38">
        <w:t xml:space="preserve">and </w:t>
      </w:r>
      <w:r w:rsidR="00EA0F0C" w:rsidRPr="00CB7B77">
        <w:t xml:space="preserve">momentum </w:t>
      </w:r>
      <w:r w:rsidR="00292C38">
        <w:t>premiums</w:t>
      </w:r>
      <w:r w:rsidR="00EA0F0C" w:rsidRPr="00CB7B77">
        <w:t xml:space="preserve">. </w:t>
      </w:r>
      <w:r w:rsidR="00E96B2B">
        <w:t>Consistent with results reported in table 2, the a</w:t>
      </w:r>
      <w:r w:rsidR="00570434" w:rsidRPr="00CB7B77">
        <w:t xml:space="preserve">ggregate personal consumption </w:t>
      </w:r>
      <w:r w:rsidR="00E96B2B">
        <w:t xml:space="preserve">shocks </w:t>
      </w:r>
      <w:r w:rsidR="00570434" w:rsidRPr="00CB7B77">
        <w:t xml:space="preserve">exert a negative impact on the ERP. </w:t>
      </w:r>
      <w:r w:rsidR="00E96B2B">
        <w:t>I</w:t>
      </w:r>
      <w:r w:rsidR="00E96B2B" w:rsidRPr="00CB7B77">
        <w:t>n case</w:t>
      </w:r>
      <w:r w:rsidR="00E96B2B">
        <w:t>s</w:t>
      </w:r>
      <w:r w:rsidR="00E96B2B" w:rsidRPr="00CB7B77">
        <w:t xml:space="preserve"> of ERPs of FTSE 100 and Consumer goods, Utilities and Telecom</w:t>
      </w:r>
      <w:r w:rsidR="00E96B2B">
        <w:t xml:space="preserve"> sectors a</w:t>
      </w:r>
      <w:r w:rsidR="00570434" w:rsidRPr="00CB7B77">
        <w:t>ggregate personal consu</w:t>
      </w:r>
      <w:r w:rsidR="00E96B2B">
        <w:t>mption shocks eclipses the size,</w:t>
      </w:r>
      <w:r w:rsidR="00570434" w:rsidRPr="00CB7B77">
        <w:t xml:space="preserve"> value</w:t>
      </w:r>
      <w:r w:rsidR="00E96B2B">
        <w:t xml:space="preserve"> </w:t>
      </w:r>
      <w:r w:rsidR="00D8588F" w:rsidRPr="00CB7B77">
        <w:t xml:space="preserve">and the momentum </w:t>
      </w:r>
      <w:r w:rsidR="00E96B2B">
        <w:t xml:space="preserve">premiums. </w:t>
      </w:r>
      <w:r w:rsidR="00570434" w:rsidRPr="00CB7B77">
        <w:t xml:space="preserve">In each of these cases the respective </w:t>
      </w:r>
      <w:r w:rsidR="00E96B2B">
        <w:t xml:space="preserve">adjusted </w:t>
      </w:r>
      <w:r w:rsidR="00570434" w:rsidRPr="00CB7B77">
        <w:t>R</w:t>
      </w:r>
      <w:r>
        <w:t>-squares</w:t>
      </w:r>
      <w:r w:rsidR="00570434" w:rsidRPr="00CB7B77">
        <w:rPr>
          <w:vertAlign w:val="superscript"/>
        </w:rPr>
        <w:t xml:space="preserve"> </w:t>
      </w:r>
      <w:r w:rsidR="00E96B2B">
        <w:t xml:space="preserve">are high with statistically significant </w:t>
      </w:r>
      <w:r w:rsidR="00570434" w:rsidRPr="00CB7B77">
        <w:t>F-Statistics</w:t>
      </w:r>
      <w:r w:rsidR="00E96B2B">
        <w:t xml:space="preserve">. Overall, consumptions shocks appear to have a significant impact on the ERPs with the sole </w:t>
      </w:r>
      <w:r w:rsidR="00F339BD">
        <w:t>exception</w:t>
      </w:r>
      <w:r w:rsidR="00E96B2B">
        <w:t xml:space="preserve"> of Oil and Gas industry.</w:t>
      </w:r>
    </w:p>
    <w:p w:rsidR="0020028C" w:rsidRDefault="0020028C" w:rsidP="004A5752">
      <w:pPr>
        <w:spacing w:line="360" w:lineRule="auto"/>
      </w:pPr>
    </w:p>
    <w:p w:rsidR="003C5268" w:rsidRPr="003C5268" w:rsidRDefault="003C5268" w:rsidP="003C5268">
      <w:pPr>
        <w:spacing w:line="360" w:lineRule="auto"/>
        <w:jc w:val="center"/>
        <w:rPr>
          <w:i/>
        </w:rPr>
      </w:pPr>
      <w:r>
        <w:rPr>
          <w:i/>
        </w:rPr>
        <w:t>***insert table 4 about here***</w:t>
      </w:r>
    </w:p>
    <w:p w:rsidR="005102B7" w:rsidRDefault="00BD586D" w:rsidP="004A5752">
      <w:pPr>
        <w:spacing w:line="360" w:lineRule="auto"/>
      </w:pPr>
      <w:r>
        <w:t xml:space="preserve">To estimate the price of </w:t>
      </w:r>
      <w:r w:rsidR="005102B7">
        <w:t xml:space="preserve">risk associated with the exposure to the risk of aggregate consumption shocks we employ the second-stage Fama and MacBeth, (1973) cross- sectional regressions approach. Since, the factor in equation (12) is not a return on a traded portfolio, we can rely on the two-stage approach developed by </w:t>
      </w:r>
      <w:r w:rsidR="005102B7">
        <w:fldChar w:fldCharType="begin" w:fldLock="1"/>
      </w:r>
      <w:r w:rsidR="00AF43D6">
        <w:instrText>ADDIN CSL_CITATION { "citationItems" : [ { "id" : "ITEM-1", "itemData" : { "author" : [ { "dropping-particle" : "", "family" : "Fama", "given" : "EF", "non-dropping-particle" : "", "parse-names" : false, "suffix" : "" }, { "dropping-particle" : "", "family" : "MacBeth", "given" : "JD", "non-dropping-particle" : "", "parse-names" : false, "suffix" : "" } ], "container-title" : "The Journal of Political Economy", "id" : "ITEM-1", "issue" : "3", "issued" : { "date-parts" : [ [ "1973" ] ] }, "page" : "607-636", "title" : "Risk, Return, and Equilibrium: Empirical Tests", "type" : "article-journal", "volume" : "81" }, "uris" : [ "http://www.mendeley.com/documents/?uuid=e499c346-d94c-4a59-95eb-04c90949b849" ] } ], "mendeley" : { "formattedCitation" : "(E. Fama and MacBeth 1973)", "manualFormatting" : "Fama and MacBeth, (1973)", "plainTextFormattedCitation" : "(E. Fama and MacBeth 1973)", "previouslyFormattedCitation" : "(E. Fama and MacBeth 1973)" }, "properties" : { "noteIndex" : 0 }, "schema" : "https://github.com/citation-style-language/schema/raw/master/csl-citation.json" }</w:instrText>
      </w:r>
      <w:r w:rsidR="005102B7">
        <w:fldChar w:fldCharType="separate"/>
      </w:r>
      <w:r w:rsidR="005102B7" w:rsidRPr="0033103F">
        <w:rPr>
          <w:noProof/>
        </w:rPr>
        <w:t xml:space="preserve">Fama and MacBeth, </w:t>
      </w:r>
      <w:r w:rsidR="005102B7">
        <w:rPr>
          <w:noProof/>
        </w:rPr>
        <w:t>(</w:t>
      </w:r>
      <w:r w:rsidR="005102B7" w:rsidRPr="0033103F">
        <w:rPr>
          <w:noProof/>
        </w:rPr>
        <w:t>1973)</w:t>
      </w:r>
      <w:r w:rsidR="005102B7">
        <w:fldChar w:fldCharType="end"/>
      </w:r>
      <w:r w:rsidR="005102B7">
        <w:t xml:space="preserve">. Table 4 reports the results of Fama-MacBeth two stage regressions. In column (1) we present the price of risk i.e. the factor risk premium of the arising due to exposure to the aggregate personal consumption shocks. In column (2) we assess the pricing ability of the aggregate consumption shocks in presence of size premium (SMB), value premium (HML) and the momentum premium (UMD). The t-statistics associated with the estimates are corrected for heteroscedasticity and autocorrelation </w:t>
      </w:r>
      <w:r w:rsidR="005102B7">
        <w:rPr>
          <w:rFonts w:eastAsiaTheme="minorEastAsia"/>
        </w:rPr>
        <w:t>(</w:t>
      </w:r>
      <w:r w:rsidR="005102B7">
        <w:rPr>
          <w:rFonts w:eastAsiaTheme="minorEastAsia"/>
        </w:rPr>
        <w:fldChar w:fldCharType="begin" w:fldLock="1"/>
      </w:r>
      <w:r w:rsidR="00AF43D6">
        <w:rPr>
          <w:rFonts w:eastAsiaTheme="minorEastAsia"/>
        </w:rPr>
        <w:instrText>ADDIN CSL_CITATION { "citationItems" : [ { "id" : "ITEM-1", "itemData" : { "author" : [ { "dropping-particle" : "", "family" : "Newey", "given" : "Whitney K.", "non-dropping-particle" : "", "parse-names" : false, "suffix" : "" }, { "dropping-particle" : "", "family" : "West", "given" : "Kenneth D.", "non-dropping-particle" : "", "parse-names" : false, "suffix" : "" } ], "container-title" : "Econometrica", "id" : "ITEM-1", "issue" : "3", "issued" : { "date-parts" : [ [ "1987" ] ] }, "page" : "703-708", "title" : "A Simple Positive Semi Definite Hetroskedasticity and Autocorrelation Consistent Covariance Matrix", "type" : "article-journal", "volume" : "55" }, "uris" : [ "http://www.mendeley.com/documents/?uuid=60ac6dda-48bc-416d-8425-69f30b547781", "http://www.mendeley.com/documents/?uuid=9f0e4328-ad84-40d6-b508-49a7f0f99fd7" ] } ], "mendeley" : { "formattedCitation" : "(Newey and West 1987)", "manualFormatting" : "Newey and West, 1987)", "plainTextFormattedCitation" : "(Newey and West 1987)", "previouslyFormattedCitation" : "(Newey and West 1987)" }, "properties" : { "noteIndex" : 0 }, "schema" : "https://github.com/citation-style-language/schema/raw/master/csl-citation.json" }</w:instrText>
      </w:r>
      <w:r w:rsidR="005102B7">
        <w:rPr>
          <w:rFonts w:eastAsiaTheme="minorEastAsia"/>
        </w:rPr>
        <w:fldChar w:fldCharType="separate"/>
      </w:r>
      <w:r w:rsidR="005102B7" w:rsidRPr="00FE104D">
        <w:rPr>
          <w:rFonts w:eastAsiaTheme="minorEastAsia"/>
          <w:noProof/>
        </w:rPr>
        <w:t>Newey and West, 1987)</w:t>
      </w:r>
      <w:r w:rsidR="005102B7">
        <w:rPr>
          <w:rFonts w:eastAsiaTheme="minorEastAsia"/>
        </w:rPr>
        <w:fldChar w:fldCharType="end"/>
      </w:r>
      <w:r w:rsidR="005102B7">
        <w:rPr>
          <w:rFonts w:eastAsiaTheme="minorEastAsia"/>
        </w:rPr>
        <w:t>.</w:t>
      </w:r>
      <w:r w:rsidR="005102B7">
        <w:t xml:space="preserve"> From column (1) we can see that exposure to the aggregate personal consumption is priced positively at 5% significance. A </w:t>
      </w:r>
      <w:r w:rsidR="00C06213">
        <w:t>one-unit</w:t>
      </w:r>
      <w:r w:rsidR="005102B7">
        <w:t xml:space="preserve"> increase in the exposure to the aggregate personal consumption shocks leads to an increase in the ERP of the FTSE indices by 0.14%.  The exposure to aggregate consumption shocks can explain 28.12% variation in the ERP of the FTSE indices. The F-statistics is significant at 10%. This suggests that ERP of the FTSE indices increases linearly as the exposure to the aggregate consumption shocks increases.  However, from column (2) we can see that the pricing ability of aggregate consumption shocks decreases once we control for size, value and momentum premiums. </w:t>
      </w:r>
    </w:p>
    <w:p w:rsidR="00723AA8" w:rsidRPr="00C760E6" w:rsidRDefault="003C010F" w:rsidP="001C67D1">
      <w:pPr>
        <w:pStyle w:val="Heading2"/>
        <w:spacing w:line="360" w:lineRule="auto"/>
        <w:jc w:val="center"/>
        <w:rPr>
          <w:rFonts w:ascii="Times New Roman" w:hAnsi="Times New Roman" w:cs="Times New Roman"/>
          <w:color w:val="000000" w:themeColor="text1"/>
        </w:rPr>
      </w:pPr>
      <w:r w:rsidRPr="00C760E6">
        <w:rPr>
          <w:rFonts w:ascii="Times New Roman" w:hAnsi="Times New Roman" w:cs="Times New Roman"/>
          <w:color w:val="000000" w:themeColor="text1"/>
        </w:rPr>
        <w:t>4</w:t>
      </w:r>
      <w:r w:rsidR="00723AA8" w:rsidRPr="00C760E6">
        <w:rPr>
          <w:rFonts w:ascii="Times New Roman" w:hAnsi="Times New Roman" w:cs="Times New Roman"/>
          <w:color w:val="000000" w:themeColor="text1"/>
        </w:rPr>
        <w:t>.2</w:t>
      </w:r>
      <w:r w:rsidR="00723AA8" w:rsidRPr="003C010F">
        <w:rPr>
          <w:color w:val="000000" w:themeColor="text1"/>
        </w:rPr>
        <w:t xml:space="preserve"> </w:t>
      </w:r>
      <w:r w:rsidR="00723AA8" w:rsidRPr="00C760E6">
        <w:rPr>
          <w:rFonts w:ascii="Times New Roman" w:hAnsi="Times New Roman" w:cs="Times New Roman"/>
          <w:color w:val="000000" w:themeColor="text1"/>
        </w:rPr>
        <w:t>The impact of consumption shocks on ERPs of 25 Fama-French portfolios</w:t>
      </w:r>
    </w:p>
    <w:p w:rsidR="005C193A" w:rsidRDefault="00841AAD" w:rsidP="004A5752">
      <w:pPr>
        <w:spacing w:line="360" w:lineRule="auto"/>
      </w:pPr>
      <w:r>
        <w:t xml:space="preserve">This section investigates whether consumption shocks can explain significant variation in the ERPs of the 25 Fama-French style portfolios in the UK, </w:t>
      </w:r>
      <w:r w:rsidR="006063BA">
        <w:t>sorted</w:t>
      </w:r>
      <w:r>
        <w:t xml:space="preserve"> on the size and book-to-market characteristics.</w:t>
      </w:r>
      <w:r w:rsidR="00F23D08">
        <w:t xml:space="preserve"> For </w:t>
      </w:r>
      <w:r w:rsidR="00C06213">
        <w:t>this,</w:t>
      </w:r>
      <w:r w:rsidR="00F23D08">
        <w:t xml:space="preserve"> we estimate the qua</w:t>
      </w:r>
      <w:r w:rsidR="001F51F9">
        <w:t>rterly time series regression (12</w:t>
      </w:r>
      <w:r w:rsidR="00F23D08">
        <w:t>) with the ex-post ERPs of the 25 portfolios as dependent variables. The results of this time series reg</w:t>
      </w:r>
      <w:r w:rsidR="004A00CC">
        <w:t>ressions are reported in table 5</w:t>
      </w:r>
      <w:r w:rsidR="00F23D08">
        <w:t xml:space="preserve">.  </w:t>
      </w:r>
      <w:r w:rsidR="002E2CCD">
        <w:t>Panels (A) and (B</w:t>
      </w:r>
      <w:r w:rsidR="00F23D08">
        <w:t xml:space="preserve">) </w:t>
      </w:r>
      <w:r w:rsidR="002E2CCD">
        <w:t>reports</w:t>
      </w:r>
      <w:r w:rsidR="00F23D08">
        <w:t xml:space="preserve"> the intercept and s</w:t>
      </w:r>
      <w:r w:rsidR="001F51F9">
        <w:t>lope coefficients in equation (12</w:t>
      </w:r>
      <w:r w:rsidR="00F23D08">
        <w:t>)</w:t>
      </w:r>
      <w:r w:rsidR="00821AFE">
        <w:t xml:space="preserve"> </w:t>
      </w:r>
      <w:r w:rsidR="002E2CCD">
        <w:t>along with</w:t>
      </w:r>
      <w:r w:rsidR="00F23D08">
        <w:t xml:space="preserve"> their associated t-statistics </w:t>
      </w:r>
      <w:r w:rsidR="009A3265">
        <w:t xml:space="preserve">which are </w:t>
      </w:r>
      <w:r w:rsidR="00F23D08">
        <w:t xml:space="preserve">computed using </w:t>
      </w:r>
      <w:r w:rsidR="008D5A5B">
        <w:t>Newey</w:t>
      </w:r>
      <w:r w:rsidR="00F23D08">
        <w:t xml:space="preserve">-West </w:t>
      </w:r>
      <w:r w:rsidR="00C76312">
        <w:t>heteroskedastic and autocorrelation cor</w:t>
      </w:r>
      <w:r w:rsidR="00AF1375">
        <w:t>rected - robust standard errors</w:t>
      </w:r>
      <w:r w:rsidR="00925A26">
        <w:t xml:space="preserve">. </w:t>
      </w:r>
      <w:r w:rsidR="002E2CCD">
        <w:t xml:space="preserve">Panel C </w:t>
      </w:r>
      <w:r w:rsidR="00C76312">
        <w:t xml:space="preserve">reports the </w:t>
      </w:r>
      <w:r w:rsidR="00431168">
        <w:t xml:space="preserve">adjusted </w:t>
      </w:r>
      <w:r w:rsidR="00C76312">
        <w:t>R</w:t>
      </w:r>
      <w:r w:rsidR="00C76312">
        <w:rPr>
          <w:vertAlign w:val="superscript"/>
        </w:rPr>
        <w:t xml:space="preserve">2 </w:t>
      </w:r>
      <w:r w:rsidR="00C76312">
        <w:t xml:space="preserve">of each time-series </w:t>
      </w:r>
      <w:r w:rsidR="00C06213">
        <w:t>regression, which</w:t>
      </w:r>
      <w:r w:rsidR="00C76312">
        <w:t xml:space="preserve"> shows how much variation in the ERPs of the respective portfolios can be explained by consumption shocks.</w:t>
      </w:r>
      <w:r w:rsidR="00F23D08">
        <w:t xml:space="preserve"> </w:t>
      </w:r>
      <w:r w:rsidR="002E2CCD">
        <w:t>Panel C also reports</w:t>
      </w:r>
      <w:r w:rsidR="00925A26">
        <w:t xml:space="preserve"> the F-statistic of each individual </w:t>
      </w:r>
      <w:r w:rsidR="0020028C">
        <w:t>regressions</w:t>
      </w:r>
      <w:r w:rsidR="00925A26">
        <w:t>.</w:t>
      </w:r>
      <w:r w:rsidR="00F23D08">
        <w:t xml:space="preserve">      </w:t>
      </w:r>
      <w:r>
        <w:t xml:space="preserve">    </w:t>
      </w:r>
    </w:p>
    <w:p w:rsidR="0020028C" w:rsidRDefault="0020028C" w:rsidP="004A5752">
      <w:pPr>
        <w:spacing w:line="360" w:lineRule="auto"/>
      </w:pPr>
    </w:p>
    <w:p w:rsidR="002E4C4F" w:rsidRPr="00EB6437" w:rsidRDefault="004A00CC" w:rsidP="004A5752">
      <w:pPr>
        <w:spacing w:line="360" w:lineRule="auto"/>
        <w:jc w:val="center"/>
        <w:rPr>
          <w:i/>
        </w:rPr>
      </w:pPr>
      <w:r>
        <w:rPr>
          <w:i/>
        </w:rPr>
        <w:t>***</w:t>
      </w:r>
      <w:r w:rsidR="00F07A57">
        <w:rPr>
          <w:i/>
        </w:rPr>
        <w:t xml:space="preserve">Please </w:t>
      </w:r>
      <w:r>
        <w:rPr>
          <w:i/>
        </w:rPr>
        <w:t>insert table 5</w:t>
      </w:r>
      <w:r w:rsidR="002E4C4F">
        <w:rPr>
          <w:i/>
        </w:rPr>
        <w:t xml:space="preserve"> about here***</w:t>
      </w:r>
    </w:p>
    <w:p w:rsidR="00A62F90" w:rsidRDefault="0035405D" w:rsidP="004A5752">
      <w:pPr>
        <w:spacing w:line="360" w:lineRule="auto"/>
      </w:pPr>
      <w:r>
        <w:t xml:space="preserve">On the basis of size dimension, </w:t>
      </w:r>
      <w:r w:rsidR="00821AFE">
        <w:t xml:space="preserve">we </w:t>
      </w:r>
      <w:r>
        <w:t>find</w:t>
      </w:r>
      <w:r w:rsidR="00821AFE">
        <w:t xml:space="preserve"> that</w:t>
      </w:r>
      <w:r w:rsidR="00320F5B">
        <w:t>,</w:t>
      </w:r>
      <w:r w:rsidR="00821AFE">
        <w:t xml:space="preserve"> </w:t>
      </w:r>
      <w:r w:rsidR="00320F5B">
        <w:t xml:space="preserve">on an average, consumption shocks are able to explain </w:t>
      </w:r>
      <w:r w:rsidR="009A3265">
        <w:t>9.67</w:t>
      </w:r>
      <w:r w:rsidR="00320F5B">
        <w:t>% variation in the ERPs of the small size portfolios</w:t>
      </w:r>
      <w:r w:rsidR="002E2CCD">
        <w:t xml:space="preserve"> and </w:t>
      </w:r>
      <w:r w:rsidR="009A3265">
        <w:t>15.25</w:t>
      </w:r>
      <w:r w:rsidR="002E2CCD">
        <w:t xml:space="preserve"> % variation in </w:t>
      </w:r>
      <w:r>
        <w:t>the ERP of the big stocks</w:t>
      </w:r>
      <w:r w:rsidR="00320F5B">
        <w:t xml:space="preserve">. </w:t>
      </w:r>
      <w:r>
        <w:t xml:space="preserve">On the basis of value </w:t>
      </w:r>
      <w:r w:rsidR="009A3265">
        <w:t>dimension,</w:t>
      </w:r>
      <w:r>
        <w:t xml:space="preserve"> we find that</w:t>
      </w:r>
      <w:r w:rsidR="00320F5B">
        <w:t xml:space="preserve"> </w:t>
      </w:r>
      <w:r>
        <w:t>c</w:t>
      </w:r>
      <w:r w:rsidR="004E51B6">
        <w:t>onsumption shocks are able to explain</w:t>
      </w:r>
      <w:r>
        <w:t>, on average,</w:t>
      </w:r>
      <w:r w:rsidR="00F339BD">
        <w:t xml:space="preserve"> </w:t>
      </w:r>
      <w:r w:rsidR="009A3265">
        <w:t>11.80</w:t>
      </w:r>
      <w:r>
        <w:t xml:space="preserve">% and </w:t>
      </w:r>
      <w:r w:rsidR="009A3265">
        <w:t>14.33</w:t>
      </w:r>
      <w:r>
        <w:t xml:space="preserve">% variation in the ERP of the growth and value portfolios respectively. From panel B, we can </w:t>
      </w:r>
      <w:r w:rsidR="00F339BD">
        <w:t>observe that there is a fair degree of heterogenei</w:t>
      </w:r>
      <w:r w:rsidR="009A3265">
        <w:t xml:space="preserve">ty in the response of </w:t>
      </w:r>
      <w:r w:rsidR="00F339BD">
        <w:t xml:space="preserve">ERP of these portfolios to </w:t>
      </w:r>
      <w:r w:rsidR="009A3265">
        <w:t xml:space="preserve">aggregate </w:t>
      </w:r>
      <w:r w:rsidR="00F339BD">
        <w:t>consumption shocks.</w:t>
      </w:r>
      <w:r w:rsidR="00295C54">
        <w:t xml:space="preserve"> Furthermore, we can also observe that the aggregate personal consumption </w:t>
      </w:r>
      <w:r w:rsidR="00CC4CCE">
        <w:t>shocks exert</w:t>
      </w:r>
      <w:r w:rsidR="00295C54">
        <w:t xml:space="preserve"> a negative impact on the ERP of these 25 portfolios.</w:t>
      </w:r>
      <w:r w:rsidR="00E02075">
        <w:t xml:space="preserve"> The ERPs of both small and large portfolios are highly statistically significant at 1% level.</w:t>
      </w:r>
      <w:r w:rsidR="00F339BD">
        <w:t xml:space="preserve"> </w:t>
      </w:r>
    </w:p>
    <w:p w:rsidR="00431168" w:rsidRDefault="00A62F90" w:rsidP="004A5752">
      <w:pPr>
        <w:spacing w:line="360" w:lineRule="auto"/>
      </w:pPr>
      <w:r>
        <w:t xml:space="preserve">Similar to small size stocks, we can see that most of the sensitivities </w:t>
      </w:r>
      <w:r w:rsidR="001F3621">
        <w:t>of the ERPs of big size portfolios to consumption shocks are statistically significant irrespective of book-to-market ratios.</w:t>
      </w:r>
      <w:r w:rsidR="00A37E1A">
        <w:t xml:space="preserve"> The average sensitivity of the ERP of </w:t>
      </w:r>
      <w:r w:rsidR="00D768F4">
        <w:t>the big size portfolios is -1.45</w:t>
      </w:r>
      <w:r w:rsidR="00A37E1A">
        <w:t>.</w:t>
      </w:r>
      <w:r w:rsidR="001F3621">
        <w:t xml:space="preserve"> </w:t>
      </w:r>
      <w:r w:rsidR="00A37E1A">
        <w:t xml:space="preserve">Although the average variation in the sensitivities of the ERP of portfolios on the basis of size dimension is not large, yet we can see that </w:t>
      </w:r>
      <w:r w:rsidR="00730564">
        <w:t>the small</w:t>
      </w:r>
      <w:r w:rsidR="00143B54">
        <w:t xml:space="preserve"> firms are </w:t>
      </w:r>
      <w:r w:rsidR="00A37E1A">
        <w:t>slightly</w:t>
      </w:r>
      <w:r w:rsidR="00143B54">
        <w:t xml:space="preserve"> more sensitive to consumption shocks</w:t>
      </w:r>
      <w:r w:rsidR="00A37E1A">
        <w:t xml:space="preserve"> than big firms</w:t>
      </w:r>
      <w:r w:rsidR="00431168">
        <w:t xml:space="preserve">. Consequently, when </w:t>
      </w:r>
      <w:r w:rsidR="001D78B0">
        <w:t>there is negative consumption shock i.e. when the actual consumption is well below the theoretical consumptio</w:t>
      </w:r>
      <w:r w:rsidR="00730564">
        <w:t>n implied by the SVAR model, small</w:t>
      </w:r>
      <w:r w:rsidR="00431168">
        <w:t xml:space="preserve"> firm stocks</w:t>
      </w:r>
      <w:r w:rsidR="001D78B0">
        <w:t xml:space="preserve"> </w:t>
      </w:r>
      <w:r w:rsidR="00431168">
        <w:t xml:space="preserve">seem to be most adversely affected. </w:t>
      </w:r>
    </w:p>
    <w:p w:rsidR="00E565DA" w:rsidRDefault="00695A04" w:rsidP="00E565DA">
      <w:pPr>
        <w:spacing w:line="360" w:lineRule="auto"/>
      </w:pPr>
      <w:r>
        <w:t xml:space="preserve">On </w:t>
      </w:r>
      <w:r w:rsidR="001432A0">
        <w:t>value dimension</w:t>
      </w:r>
      <w:r>
        <w:t>,</w:t>
      </w:r>
      <w:r w:rsidR="005E685A">
        <w:t xml:space="preserve"> the average absolute sensitivity of the ERP of the value stock is </w:t>
      </w:r>
      <w:r w:rsidR="00D768F4">
        <w:t>1.92</w:t>
      </w:r>
      <w:r w:rsidR="005E685A">
        <w:t xml:space="preserve"> and</w:t>
      </w:r>
      <w:r w:rsidR="00D768F4">
        <w:t xml:space="preserve"> for the growth stock it is 1.71</w:t>
      </w:r>
      <w:r w:rsidR="005E685A">
        <w:t>.  T</w:t>
      </w:r>
      <w:r>
        <w:t xml:space="preserve">he ERPs of value stocks in both small size and big size category seems to be more sensitive to </w:t>
      </w:r>
      <w:r w:rsidR="00D768F4">
        <w:t xml:space="preserve">aggregate </w:t>
      </w:r>
      <w:r>
        <w:t>consumption shocks than their respective growth counterparts in the both the size categories.</w:t>
      </w:r>
      <w:r w:rsidR="005E685A">
        <w:t xml:space="preserve"> </w:t>
      </w:r>
      <w:r>
        <w:t xml:space="preserve">This is, presumably, because when there is negative consumption shock, </w:t>
      </w:r>
      <w:r w:rsidR="00547091">
        <w:t>the prices of value stocks fall much sharper than the growth stocks thereby raising their expected returns. As such the ERPs of the value stocks are more sensitive to consumption shocks than the ERPs of growth stocks. Another plausible explanation for this phenomenon is that value stocks are more sensitive to ultimate consumption risk</w:t>
      </w:r>
      <w:r w:rsidR="00F42D9F">
        <w:t xml:space="preserve"> (long run consumption co-variance risk)</w:t>
      </w:r>
      <w:r w:rsidR="008C2DB5">
        <w:t xml:space="preserve"> proposed by</w:t>
      </w:r>
      <w:r w:rsidR="00547091">
        <w:t xml:space="preserve"> </w:t>
      </w:r>
      <w:r w:rsidR="00800E89">
        <w:fldChar w:fldCharType="begin" w:fldLock="1"/>
      </w:r>
      <w:r w:rsidR="00AF43D6">
        <w:instrText>ADDIN CSL_CITATION { "citationItems" : [ { "id" : "ITEM-1", "itemData" : { "author" : [ { "dropping-particle" : "", "family" : "Parker", "given" : "JA", "non-dropping-particle" : "", "parse-names" : false, "suffix" : "" }, { "dropping-particle" : "", "family" : "Julliard", "given" : "C", "non-dropping-particle" : "", "parse-names" : false, "suffix" : "" } ], "container-title" : "Journal of Political Economy", "id" : "ITEM-1", "issue" : "1", "issued" : { "date-parts" : [ [ "2005" ] ] }, "page" : "185-222", "title" : "Consumption Risk and the Cross Section of Expected Returns", "type" : "article-journal", "volume" : "113" }, "uris" : [ "http://www.mendeley.com/documents/?uuid=ce6f61b1-f9b2-420a-a6af-3f58c71c15ab" ] } ], "mendeley" : { "formattedCitation" : "(J. Parker and Julliard 2005)", "manualFormatting" : "Parker and Julliard, (2005)", "plainTextFormattedCitation" : "(J. Parker and Julliard 2005)", "previouslyFormattedCitation" : "(J. Parker and Julliard 2005)" }, "properties" : { "noteIndex" : 0 }, "schema" : "https://github.com/citation-style-language/schema/raw/master/csl-citation.json" }</w:instrText>
      </w:r>
      <w:r w:rsidR="00800E89">
        <w:fldChar w:fldCharType="separate"/>
      </w:r>
      <w:r w:rsidR="00800E89" w:rsidRPr="00800E89">
        <w:rPr>
          <w:noProof/>
        </w:rPr>
        <w:t xml:space="preserve">Parker and Julliard, </w:t>
      </w:r>
      <w:r w:rsidR="00800E89">
        <w:rPr>
          <w:noProof/>
        </w:rPr>
        <w:t>(</w:t>
      </w:r>
      <w:r w:rsidR="00800E89" w:rsidRPr="00800E89">
        <w:rPr>
          <w:noProof/>
        </w:rPr>
        <w:t>2005)</w:t>
      </w:r>
      <w:r w:rsidR="00800E89">
        <w:fldChar w:fldCharType="end"/>
      </w:r>
      <w:r w:rsidR="001432A0">
        <w:t xml:space="preserve">. </w:t>
      </w:r>
      <w:r w:rsidR="00B26694">
        <w:t xml:space="preserve">An analogues explanation for this phenomenon </w:t>
      </w:r>
      <w:r w:rsidR="005E685A">
        <w:t>can be</w:t>
      </w:r>
      <w:r w:rsidR="001432A0">
        <w:t xml:space="preserve"> provided </w:t>
      </w:r>
      <w:r w:rsidR="005E685A">
        <w:t xml:space="preserve">on the basis of the intuition of results </w:t>
      </w:r>
      <w:r w:rsidR="001432A0">
        <w:t xml:space="preserve">by </w:t>
      </w:r>
      <w:r w:rsidR="000124A1">
        <w:t>Hansen et.al</w:t>
      </w:r>
      <w:r w:rsidR="00B26694">
        <w:t xml:space="preserve"> (2008)</w:t>
      </w:r>
      <w:r w:rsidR="00F42D9F">
        <w:t>. They show</w:t>
      </w:r>
      <w:r w:rsidR="001B5A96">
        <w:t xml:space="preserve"> that the cash flows from value stocks are </w:t>
      </w:r>
      <w:r w:rsidR="001432A0">
        <w:t xml:space="preserve">relatively </w:t>
      </w:r>
      <w:r w:rsidR="001B5A96">
        <w:t>more vulnerable</w:t>
      </w:r>
      <w:r w:rsidR="00AF14D8">
        <w:t xml:space="preserve"> </w:t>
      </w:r>
      <w:r w:rsidR="001B5A96">
        <w:t>to long term macroeconomic risk arising from sh</w:t>
      </w:r>
      <w:r w:rsidR="003E459D">
        <w:t>ocks to consumption growth rate.</w:t>
      </w:r>
      <w:r w:rsidR="0026316B">
        <w:t xml:space="preserve"> The cash flows from the value stocks seem to positively co-vary with consumption while cash flows </w:t>
      </w:r>
      <w:r w:rsidR="00F42D9F">
        <w:t>from</w:t>
      </w:r>
      <w:r w:rsidR="0026316B">
        <w:t xml:space="preserve"> growth stocks seem to co-vary with consumption negligibly, in the long run. Therefore, it may not be unreasonable to deduce that </w:t>
      </w:r>
      <w:r w:rsidR="005E685A">
        <w:t>ERP</w:t>
      </w:r>
      <w:r w:rsidR="0026316B">
        <w:t xml:space="preserve"> </w:t>
      </w:r>
      <w:r w:rsidR="001432A0">
        <w:t>of v</w:t>
      </w:r>
      <w:r w:rsidR="0026316B">
        <w:t xml:space="preserve">alue stocks are more sensitive to consumption shocks.  </w:t>
      </w:r>
    </w:p>
    <w:p w:rsidR="00E565DA" w:rsidRPr="00CB7B77" w:rsidRDefault="00E565DA" w:rsidP="00E565DA">
      <w:pPr>
        <w:spacing w:line="360" w:lineRule="auto"/>
      </w:pPr>
      <w:r w:rsidRPr="00CB7B77">
        <w:t xml:space="preserve">We then repeat the </w:t>
      </w:r>
      <w:r w:rsidR="00D768F4">
        <w:t xml:space="preserve">analysis </w:t>
      </w:r>
      <w:r w:rsidR="00E02075">
        <w:t>to check the robustness of the underlying essence of the results in table 5. For this</w:t>
      </w:r>
      <w:r w:rsidR="00D768F4">
        <w:t xml:space="preserve"> </w:t>
      </w:r>
      <w:r w:rsidR="00E02075">
        <w:t xml:space="preserve">we examine </w:t>
      </w:r>
      <w:r w:rsidR="00D768F4">
        <w:t>whether the</w:t>
      </w:r>
      <w:r w:rsidRPr="00CB7B77">
        <w:t xml:space="preserve"> aggregate personal consumption shocks have a significant impact on the ERPs of the 25 Fama-French portfolios in presence of the size premium, value premium and momentum factor by </w:t>
      </w:r>
      <w:r w:rsidR="00D768F4">
        <w:t>estimating</w:t>
      </w:r>
      <w:r w:rsidRPr="00CB7B77">
        <w:t xml:space="preserve"> the following regression.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1"/>
        <w:gridCol w:w="1315"/>
      </w:tblGrid>
      <w:tr w:rsidR="00E565DA" w:rsidTr="002D557E">
        <w:tc>
          <w:tcPr>
            <w:tcW w:w="7905" w:type="dxa"/>
          </w:tcPr>
          <w:p w:rsidR="00E565DA" w:rsidRPr="007E4102" w:rsidRDefault="00E565DA" w:rsidP="002D557E">
            <w:pPr>
              <w:spacing w:line="360" w:lineRule="auto"/>
              <w:jc w:val="center"/>
              <w:rPr>
                <w:rFonts w:eastAsiaTheme="minorEastAsia"/>
              </w:rPr>
            </w:pPr>
            <w:r>
              <w:rPr>
                <w:rFonts w:eastAsiaTheme="minorEastAsia"/>
              </w:rP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c</m:t>
                  </m:r>
                </m:sub>
                <m:sup>
                  <m:r>
                    <w:rPr>
                      <w:rFonts w:ascii="Cambria Math" w:eastAsiaTheme="minorEastAsia" w:hAnsi="Cambria Math"/>
                    </w:rPr>
                    <m:t>i</m:t>
                  </m:r>
                </m:sup>
              </m:sSubSup>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c</m:t>
                  </m:r>
                </m:sup>
              </m:sSubSup>
              <m:r>
                <w:rPr>
                  <w:rFonts w:ascii="Cambria Math" w:eastAsia="Cambria Math" w:hAnsi="Cambria Math" w:cs="Cambria Math"/>
                  <w:noProof/>
                </w:rPr>
                <m:t>+</m:t>
              </m:r>
              <m:sSubSup>
                <m:sSubSupPr>
                  <m:ctrlPr>
                    <w:rPr>
                      <w:rFonts w:ascii="Cambria Math" w:eastAsia="Cambria Math" w:hAnsi="Cambria Math" w:cs="Cambria Math"/>
                      <w:i/>
                      <w:noProof/>
                    </w:rPr>
                  </m:ctrlPr>
                </m:sSubSupPr>
                <m:e>
                  <m:r>
                    <w:rPr>
                      <w:rFonts w:ascii="Cambria Math" w:eastAsia="Cambria Math" w:hAnsi="Cambria Math" w:cs="Cambria Math"/>
                      <w:noProof/>
                    </w:rPr>
                    <m:t>β</m:t>
                  </m:r>
                </m:e>
                <m:sub>
                  <m:r>
                    <w:rPr>
                      <w:rFonts w:ascii="Cambria Math" w:eastAsia="Cambria Math" w:hAnsi="Cambria Math" w:cs="Cambria Math"/>
                      <w:noProof/>
                    </w:rPr>
                    <m:t>s</m:t>
                  </m:r>
                </m:sub>
                <m:sup>
                  <m:r>
                    <w:rPr>
                      <w:rFonts w:ascii="Cambria Math" w:eastAsia="Cambria Math" w:hAnsi="Cambria Math" w:cs="Cambria Math"/>
                      <w:noProof/>
                    </w:rPr>
                    <m:t>i</m:t>
                  </m:r>
                </m:sup>
              </m:sSubSup>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SMB</m:t>
                  </m:r>
                </m:e>
                <m:sub>
                  <m:r>
                    <w:rPr>
                      <w:rFonts w:ascii="Cambria Math" w:eastAsia="Cambria Math" w:hAnsi="Cambria Math" w:cs="Cambria Math"/>
                      <w:noProof/>
                    </w:rPr>
                    <m:t>t</m:t>
                  </m:r>
                </m:sub>
              </m:sSub>
              <m:r>
                <w:rPr>
                  <w:rFonts w:ascii="Cambria Math" w:eastAsia="Cambria Math" w:hAnsi="Cambria Math" w:cs="Cambria Math"/>
                  <w:noProof/>
                </w:rPr>
                <m:t>+</m:t>
              </m:r>
              <m:sSubSup>
                <m:sSubSupPr>
                  <m:ctrlPr>
                    <w:rPr>
                      <w:rFonts w:ascii="Cambria Math" w:eastAsia="Cambria Math" w:hAnsi="Cambria Math" w:cs="Cambria Math"/>
                      <w:i/>
                      <w:noProof/>
                    </w:rPr>
                  </m:ctrlPr>
                </m:sSubSupPr>
                <m:e>
                  <m:r>
                    <w:rPr>
                      <w:rFonts w:ascii="Cambria Math" w:eastAsia="Cambria Math" w:hAnsi="Cambria Math" w:cs="Cambria Math"/>
                      <w:noProof/>
                    </w:rPr>
                    <m:t>β</m:t>
                  </m:r>
                </m:e>
                <m:sub>
                  <m:r>
                    <w:rPr>
                      <w:rFonts w:ascii="Cambria Math" w:eastAsia="Cambria Math" w:hAnsi="Cambria Math" w:cs="Cambria Math"/>
                      <w:noProof/>
                    </w:rPr>
                    <m:t>v</m:t>
                  </m:r>
                </m:sub>
                <m:sup>
                  <m:r>
                    <w:rPr>
                      <w:rFonts w:ascii="Cambria Math" w:eastAsia="Cambria Math" w:hAnsi="Cambria Math" w:cs="Cambria Math"/>
                      <w:noProof/>
                    </w:rPr>
                    <m:t>i</m:t>
                  </m:r>
                </m:sup>
              </m:sSubSup>
              <m:r>
                <w:rPr>
                  <w:rFonts w:ascii="Cambria Math" w:eastAsia="Cambria Math" w:hAnsi="Cambria Math" w:cs="Cambria Math"/>
                  <w:noProof/>
                </w:rPr>
                <m:t>.HM</m:t>
              </m:r>
              <m:sSub>
                <m:sSubPr>
                  <m:ctrlPr>
                    <w:rPr>
                      <w:rFonts w:ascii="Cambria Math" w:eastAsia="Cambria Math" w:hAnsi="Cambria Math" w:cs="Cambria Math"/>
                      <w:i/>
                      <w:noProof/>
                    </w:rPr>
                  </m:ctrlPr>
                </m:sSubPr>
                <m:e>
                  <m:r>
                    <w:rPr>
                      <w:rFonts w:ascii="Cambria Math" w:eastAsia="Cambria Math" w:hAnsi="Cambria Math" w:cs="Cambria Math"/>
                      <w:noProof/>
                    </w:rPr>
                    <m:t>L</m:t>
                  </m:r>
                </m:e>
                <m:sub>
                  <m:r>
                    <w:rPr>
                      <w:rFonts w:ascii="Cambria Math" w:eastAsia="Cambria Math" w:hAnsi="Cambria Math" w:cs="Cambria Math"/>
                      <w:noProof/>
                    </w:rPr>
                    <m:t>t</m:t>
                  </m:r>
                </m:sub>
              </m:sSub>
              <m:r>
                <w:rPr>
                  <w:rFonts w:ascii="Cambria Math" w:eastAsia="Cambria Math" w:hAnsi="Cambria Math" w:cs="Cambria Math"/>
                  <w:noProof/>
                </w:rPr>
                <m:t>+</m:t>
              </m:r>
              <m:sSubSup>
                <m:sSubSupPr>
                  <m:ctrlPr>
                    <w:rPr>
                      <w:rFonts w:ascii="Cambria Math" w:eastAsia="Cambria Math" w:hAnsi="Cambria Math" w:cs="Cambria Math"/>
                      <w:i/>
                      <w:noProof/>
                    </w:rPr>
                  </m:ctrlPr>
                </m:sSubSupPr>
                <m:e>
                  <m:r>
                    <w:rPr>
                      <w:rFonts w:ascii="Cambria Math" w:eastAsia="Cambria Math" w:hAnsi="Cambria Math" w:cs="Cambria Math"/>
                      <w:noProof/>
                    </w:rPr>
                    <m:t>β</m:t>
                  </m:r>
                </m:e>
                <m:sub>
                  <m:r>
                    <w:rPr>
                      <w:rFonts w:ascii="Cambria Math" w:eastAsia="Cambria Math" w:hAnsi="Cambria Math" w:cs="Cambria Math"/>
                      <w:noProof/>
                    </w:rPr>
                    <m:t>m</m:t>
                  </m:r>
                </m:sub>
                <m:sup>
                  <m:r>
                    <w:rPr>
                      <w:rFonts w:ascii="Cambria Math" w:eastAsia="Cambria Math" w:hAnsi="Cambria Math" w:cs="Cambria Math"/>
                      <w:noProof/>
                    </w:rPr>
                    <m:t>i</m:t>
                  </m:r>
                </m:sup>
              </m:sSubSup>
              <m:r>
                <w:rPr>
                  <w:rFonts w:ascii="Cambria Math" w:eastAsia="Cambria Math" w:hAnsi="Cambria Math" w:cs="Cambria Math"/>
                  <w:noProof/>
                </w:rPr>
                <m:t>.UM</m:t>
              </m:r>
              <m:sSub>
                <m:sSubPr>
                  <m:ctrlPr>
                    <w:rPr>
                      <w:rFonts w:ascii="Cambria Math" w:eastAsia="Cambria Math" w:hAnsi="Cambria Math" w:cs="Cambria Math"/>
                      <w:i/>
                      <w:noProof/>
                    </w:rPr>
                  </m:ctrlPr>
                </m:sSubPr>
                <m:e>
                  <m:r>
                    <w:rPr>
                      <w:rFonts w:ascii="Cambria Math" w:eastAsia="Cambria Math" w:hAnsi="Cambria Math" w:cs="Cambria Math"/>
                      <w:noProof/>
                    </w:rPr>
                    <m:t>D</m:t>
                  </m:r>
                </m:e>
                <m:sub>
                  <m:r>
                    <w:rPr>
                      <w:rFonts w:ascii="Cambria Math" w:eastAsia="Cambria Math" w:hAnsi="Cambria Math" w:cs="Cambria Math"/>
                      <w:noProof/>
                    </w:rPr>
                    <m:t>t</m:t>
                  </m:r>
                </m:sub>
              </m:sSub>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ε</m:t>
                  </m:r>
                </m:e>
                <m:sub>
                  <m:r>
                    <w:rPr>
                      <w:rFonts w:ascii="Cambria Math" w:eastAsia="Cambria Math" w:hAnsi="Cambria Math" w:cs="Cambria Math"/>
                      <w:noProof/>
                    </w:rPr>
                    <m:t>t</m:t>
                  </m:r>
                </m:sub>
              </m:sSub>
            </m:oMath>
          </w:p>
        </w:tc>
        <w:tc>
          <w:tcPr>
            <w:tcW w:w="1337" w:type="dxa"/>
          </w:tcPr>
          <w:p w:rsidR="00E565DA" w:rsidRDefault="003C5268" w:rsidP="002D557E">
            <w:pPr>
              <w:spacing w:line="360" w:lineRule="auto"/>
              <w:jc w:val="center"/>
              <w:rPr>
                <w:rFonts w:eastAsiaTheme="minorEastAsia"/>
              </w:rPr>
            </w:pPr>
            <w:r>
              <w:rPr>
                <w:rFonts w:eastAsiaTheme="minorEastAsia"/>
              </w:rPr>
              <w:t>(15</w:t>
            </w:r>
            <w:r w:rsidR="00E565DA">
              <w:rPr>
                <w:rFonts w:eastAsiaTheme="minorEastAsia"/>
              </w:rPr>
              <w:t>)</w:t>
            </w:r>
          </w:p>
        </w:tc>
      </w:tr>
    </w:tbl>
    <w:p w:rsidR="00E565DA" w:rsidRDefault="00E565DA" w:rsidP="00E565DA">
      <w:pPr>
        <w:spacing w:line="360" w:lineRule="auto"/>
      </w:pPr>
    </w:p>
    <w:p w:rsidR="00E565DA" w:rsidRPr="002E4C4F" w:rsidRDefault="00E565DA" w:rsidP="00E565DA">
      <w:pPr>
        <w:spacing w:line="360" w:lineRule="auto"/>
        <w:jc w:val="center"/>
        <w:rPr>
          <w:i/>
        </w:rPr>
      </w:pPr>
      <w:r>
        <w:rPr>
          <w:i/>
        </w:rPr>
        <w:t>***</w:t>
      </w:r>
      <w:r w:rsidR="00F07A57">
        <w:rPr>
          <w:i/>
        </w:rPr>
        <w:t xml:space="preserve">Please </w:t>
      </w:r>
      <w:r>
        <w:rPr>
          <w:i/>
        </w:rPr>
        <w:t>insert table 6 about here***</w:t>
      </w:r>
      <w:r>
        <w:t xml:space="preserve"> </w:t>
      </w:r>
    </w:p>
    <w:p w:rsidR="002E4C4F" w:rsidRDefault="00E565DA" w:rsidP="004A5752">
      <w:pPr>
        <w:spacing w:line="360" w:lineRule="auto"/>
      </w:pPr>
      <w:r w:rsidRPr="00CB7B77">
        <w:t>The</w:t>
      </w:r>
      <w:r>
        <w:t xml:space="preserve"> results are reported in table 6</w:t>
      </w:r>
      <w:r w:rsidRPr="00CB7B77">
        <w:t xml:space="preserve">. </w:t>
      </w:r>
      <w:r w:rsidR="00C14195">
        <w:t xml:space="preserve">Panel A of </w:t>
      </w:r>
      <w:r>
        <w:t>Table 6</w:t>
      </w:r>
      <w:r w:rsidR="00C14195">
        <w:t xml:space="preserve"> shows the impact of the aggregate consumption shocks on the ERP of these 25 portfolios (</w:t>
      </w:r>
      <m:oMath>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c</m:t>
            </m:r>
          </m:sub>
          <m:sup>
            <m:r>
              <w:rPr>
                <w:rFonts w:ascii="Cambria Math" w:eastAsiaTheme="minorEastAsia" w:hAnsi="Cambria Math"/>
              </w:rPr>
              <m:t>i</m:t>
            </m:r>
          </m:sup>
        </m:sSubSup>
      </m:oMath>
      <w:r w:rsidR="00C14195">
        <w:rPr>
          <w:rFonts w:eastAsiaTheme="minorEastAsia"/>
        </w:rPr>
        <w:t xml:space="preserve">). </w:t>
      </w:r>
      <w:r w:rsidR="00CC4CCE">
        <w:rPr>
          <w:rFonts w:eastAsiaTheme="minorEastAsia"/>
        </w:rPr>
        <w:t>Panels B, C and D show</w:t>
      </w:r>
      <w:r w:rsidR="00C14195">
        <w:rPr>
          <w:rFonts w:eastAsiaTheme="minorEastAsia"/>
        </w:rPr>
        <w:t xml:space="preserve"> the impact of size, value and the momentu</w:t>
      </w:r>
      <w:r w:rsidR="00CC4CCE">
        <w:rPr>
          <w:rFonts w:eastAsiaTheme="minorEastAsia"/>
        </w:rPr>
        <w:t>m factors. It can be seen from P</w:t>
      </w:r>
      <w:r w:rsidR="00C14195">
        <w:rPr>
          <w:rFonts w:eastAsiaTheme="minorEastAsia"/>
        </w:rPr>
        <w:t xml:space="preserve">anel A </w:t>
      </w:r>
      <w:r w:rsidRPr="00CB7B77">
        <w:t xml:space="preserve">that underlying essence of the results in table 5 </w:t>
      </w:r>
      <w:r w:rsidR="00CC4CCE">
        <w:t>is</w:t>
      </w:r>
      <w:r>
        <w:t xml:space="preserve"> robust</w:t>
      </w:r>
      <w:r w:rsidRPr="00CB7B77">
        <w:t xml:space="preserve"> after controlling for the size</w:t>
      </w:r>
      <w:r>
        <w:t>,</w:t>
      </w:r>
      <w:r w:rsidRPr="00CB7B77">
        <w:t xml:space="preserve"> value</w:t>
      </w:r>
      <w:r>
        <w:t xml:space="preserve">, </w:t>
      </w:r>
      <w:r w:rsidRPr="00CB7B77">
        <w:t>and momentum factor</w:t>
      </w:r>
      <w:r>
        <w:t>s</w:t>
      </w:r>
      <w:r w:rsidRPr="00CB7B77">
        <w:t>. Aggregate personal consumption shocks exerts negative impact on the ERPs of the 25 value weighted Fama-French style portfolios. In all the cases the momentum facto</w:t>
      </w:r>
      <w:r>
        <w:t xml:space="preserve">r </w:t>
      </w:r>
      <w:r w:rsidR="00395F85">
        <w:t xml:space="preserve">is not statistically significant </w:t>
      </w:r>
      <w:r w:rsidR="0085171C">
        <w:t xml:space="preserve">and </w:t>
      </w:r>
      <w:r>
        <w:t xml:space="preserve">does not </w:t>
      </w:r>
      <w:r w:rsidR="00D768F4">
        <w:t>have a significant</w:t>
      </w:r>
      <w:r w:rsidR="00395F85">
        <w:t xml:space="preserve"> </w:t>
      </w:r>
      <w:r w:rsidR="00D768F4">
        <w:t xml:space="preserve">impact </w:t>
      </w:r>
      <w:r w:rsidR="0085171C">
        <w:t>on</w:t>
      </w:r>
      <w:r>
        <w:t xml:space="preserve"> the ERP</w:t>
      </w:r>
      <w:r w:rsidRPr="00CB7B77">
        <w:t xml:space="preserve">s of these portfolios. </w:t>
      </w:r>
      <w:r w:rsidR="007B44C4">
        <w:t xml:space="preserve">The average absolute loadings on consumption shocks are higher than the average loadings on size, value and momentum premiums. This suggests that, on average, ERP of these portfolios are more sensitive to consumption shocks than to size, value and momentum premiums. </w:t>
      </w:r>
      <w:r w:rsidR="00C14195">
        <w:t>However, unlike the res</w:t>
      </w:r>
      <w:r w:rsidR="004A131F">
        <w:t xml:space="preserve">ults in table 5, the ERPs of small stocks are not more sensitive to aggregate consumption shocks than the ERPs of large stocks after controlling for the size premium. The average absolute sensitivity of the ERP of small stocks is 1.28 while the average absolute sensitivity of the ERP of the large stocks is 1.41. Similarly, the difference in the sensitivity of the ERP of value and growth portfolios to consumption shocks has decreased after controlling for the value premium. </w:t>
      </w:r>
      <w:r w:rsidR="00395F85">
        <w:t xml:space="preserve">From the panel of adjusted R-squared we find the, on average, the aggregate consumption shocks can explain </w:t>
      </w:r>
      <w:r w:rsidR="0000271F">
        <w:t>58.11</w:t>
      </w:r>
      <w:r w:rsidR="00395F85">
        <w:t xml:space="preserve">% and </w:t>
      </w:r>
      <w:r w:rsidR="0000271F">
        <w:t>20.57</w:t>
      </w:r>
      <w:r w:rsidR="00395F85">
        <w:t>% variation in the ERP of small stocks and large stocks respectively. On the basis of value, consumption shocks can explain</w:t>
      </w:r>
      <w:r w:rsidR="004701D1">
        <w:t>, on average,</w:t>
      </w:r>
      <w:r w:rsidR="0000271F">
        <w:t xml:space="preserve"> 50.95</w:t>
      </w:r>
      <w:r w:rsidR="00395F85">
        <w:t>%</w:t>
      </w:r>
      <w:r w:rsidR="0000271F">
        <w:t xml:space="preserve"> and 46</w:t>
      </w:r>
      <w:r w:rsidR="004701D1">
        <w:t>.9</w:t>
      </w:r>
      <w:r w:rsidR="0000271F">
        <w:t>0</w:t>
      </w:r>
      <w:r w:rsidR="004701D1">
        <w:t xml:space="preserve">% variation in the ERP of value and growth stocks. </w:t>
      </w:r>
      <w:r w:rsidRPr="00CB7B77">
        <w:t xml:space="preserve">     </w:t>
      </w:r>
    </w:p>
    <w:p w:rsidR="003C010F" w:rsidRDefault="003C010F" w:rsidP="004A5752">
      <w:pPr>
        <w:spacing w:line="360" w:lineRule="auto"/>
        <w:jc w:val="center"/>
        <w:rPr>
          <w:i/>
        </w:rPr>
      </w:pPr>
    </w:p>
    <w:p w:rsidR="006054D5" w:rsidRPr="002E4C4F" w:rsidRDefault="00E565DA" w:rsidP="004A5752">
      <w:pPr>
        <w:spacing w:line="360" w:lineRule="auto"/>
        <w:jc w:val="center"/>
        <w:rPr>
          <w:i/>
        </w:rPr>
      </w:pPr>
      <w:r>
        <w:rPr>
          <w:i/>
        </w:rPr>
        <w:t>***</w:t>
      </w:r>
      <w:r w:rsidR="00F07A57">
        <w:rPr>
          <w:i/>
        </w:rPr>
        <w:t xml:space="preserve">Please </w:t>
      </w:r>
      <w:r>
        <w:rPr>
          <w:i/>
        </w:rPr>
        <w:t>insert table 7</w:t>
      </w:r>
      <w:r w:rsidR="002E4C4F">
        <w:rPr>
          <w:i/>
        </w:rPr>
        <w:t xml:space="preserve"> about here***</w:t>
      </w:r>
      <w:r w:rsidR="00A62F90">
        <w:t xml:space="preserve"> </w:t>
      </w:r>
    </w:p>
    <w:p w:rsidR="007B44C4" w:rsidRDefault="00E565DA" w:rsidP="004A5752">
      <w:pPr>
        <w:spacing w:line="360" w:lineRule="auto"/>
      </w:pPr>
      <w:r>
        <w:t>Table 7</w:t>
      </w:r>
      <w:r w:rsidR="006054D5">
        <w:t xml:space="preserve"> </w:t>
      </w:r>
      <w:r w:rsidR="005E685A">
        <w:t xml:space="preserve">reports the pricing implications of the aggregate consumption shocks </w:t>
      </w:r>
      <w:r w:rsidR="00005707">
        <w:t xml:space="preserve">for </w:t>
      </w:r>
      <w:r w:rsidR="005E685A">
        <w:t xml:space="preserve">the cross-section of the </w:t>
      </w:r>
      <w:r w:rsidR="006054D5">
        <w:t xml:space="preserve">25-Fama-French style portfolios using the traditional Fama-MacBeth two stage regressions. </w:t>
      </w:r>
      <w:r w:rsidR="005E685A">
        <w:t>Column (1) presents the pricing of aggregate consumption without controlling for any of the cross-sectional asset pricing factors.</w:t>
      </w:r>
      <w:r w:rsidR="00327738">
        <w:t xml:space="preserve"> The first stage factor loadings for this column are from table 5.</w:t>
      </w:r>
      <w:r w:rsidR="005E685A">
        <w:t xml:space="preserve"> Column (2) reports the pricing ability of the aggregate consumption shocks in presence of the </w:t>
      </w:r>
      <w:r w:rsidR="00327738">
        <w:t xml:space="preserve">exposure to the </w:t>
      </w:r>
      <w:r w:rsidR="005E685A">
        <w:t>market risk premium.</w:t>
      </w:r>
      <w:r w:rsidR="00327738">
        <w:t xml:space="preserve"> In column (3), we report the pricing of consumption shocks in presence of the size, value and momentum premiums. In column (4) we control for all the cross sectional asset pricing factors. The reported t-statistics are corrected for heteroscedasticity </w:t>
      </w:r>
      <w:r w:rsidR="007B44C4">
        <w:t>and auto-correlation.</w:t>
      </w:r>
      <w:r w:rsidR="00AF1375">
        <w:t xml:space="preserve"> Although, we do not find evidence </w:t>
      </w:r>
      <w:r w:rsidR="00B25A72">
        <w:t xml:space="preserve">of significant pricing ability of </w:t>
      </w:r>
      <w:r w:rsidR="00AF1375">
        <w:t xml:space="preserve">aggregate consumption shocks </w:t>
      </w:r>
      <w:r w:rsidR="00B25A72">
        <w:t xml:space="preserve">in </w:t>
      </w:r>
      <w:r w:rsidR="00005707">
        <w:t>t</w:t>
      </w:r>
      <w:r w:rsidR="00AF1375">
        <w:t>he cross-section of ERPs of the 25 portfolios,</w:t>
      </w:r>
      <w:r w:rsidR="00B25A72">
        <w:t xml:space="preserve"> yet</w:t>
      </w:r>
      <w:r w:rsidR="00AF1375">
        <w:t xml:space="preserve"> from column (4) </w:t>
      </w:r>
      <w:r w:rsidR="00005707">
        <w:t xml:space="preserve">we note that </w:t>
      </w:r>
      <w:r w:rsidR="00AF1375">
        <w:t xml:space="preserve">the ERPs of the 25 portfolios are </w:t>
      </w:r>
      <w:r w:rsidR="00005707">
        <w:t xml:space="preserve">positively </w:t>
      </w:r>
      <w:r w:rsidR="00AF1375">
        <w:t xml:space="preserve">related to the </w:t>
      </w:r>
      <w:r w:rsidR="00005707">
        <w:t xml:space="preserve">sensitivity of </w:t>
      </w:r>
      <w:r w:rsidR="00091F97">
        <w:t xml:space="preserve">aggregate personal consumption shocks after controlling for the cross-sectional asset pricing factors. </w:t>
      </w:r>
    </w:p>
    <w:p w:rsidR="009D52A5" w:rsidRPr="00C760E6" w:rsidRDefault="00C760E6" w:rsidP="001C67D1">
      <w:pPr>
        <w:pStyle w:val="Heading2"/>
        <w:spacing w:line="360" w:lineRule="auto"/>
        <w:jc w:val="center"/>
        <w:rPr>
          <w:rFonts w:ascii="Times New Roman" w:hAnsi="Times New Roman" w:cs="Times New Roman"/>
        </w:rPr>
      </w:pPr>
      <w:r w:rsidRPr="00C760E6">
        <w:rPr>
          <w:rFonts w:ascii="Times New Roman" w:hAnsi="Times New Roman" w:cs="Times New Roman"/>
          <w:color w:val="000000" w:themeColor="text1"/>
        </w:rPr>
        <w:t>4</w:t>
      </w:r>
      <w:r w:rsidR="003C010F" w:rsidRPr="00C760E6">
        <w:rPr>
          <w:rFonts w:ascii="Times New Roman" w:hAnsi="Times New Roman" w:cs="Times New Roman"/>
          <w:color w:val="000000" w:themeColor="text1"/>
        </w:rPr>
        <w:t>.3</w:t>
      </w:r>
      <w:r w:rsidR="003C010F">
        <w:rPr>
          <w:color w:val="000000" w:themeColor="text1"/>
        </w:rPr>
        <w:t xml:space="preserve"> </w:t>
      </w:r>
      <w:r w:rsidR="003C010F" w:rsidRPr="00C760E6">
        <w:rPr>
          <w:rFonts w:ascii="Times New Roman" w:hAnsi="Times New Roman" w:cs="Times New Roman"/>
          <w:color w:val="000000" w:themeColor="text1"/>
        </w:rPr>
        <w:t xml:space="preserve">The </w:t>
      </w:r>
      <w:r w:rsidR="009D52A5" w:rsidRPr="00C760E6">
        <w:rPr>
          <w:rFonts w:ascii="Times New Roman" w:hAnsi="Times New Roman" w:cs="Times New Roman"/>
          <w:color w:val="000000" w:themeColor="text1"/>
        </w:rPr>
        <w:t>impact of disaggregated consumption shocks on the ERP</w:t>
      </w:r>
      <w:r w:rsidR="009546B6" w:rsidRPr="00C760E6">
        <w:rPr>
          <w:rFonts w:ascii="Times New Roman" w:hAnsi="Times New Roman" w:cs="Times New Roman"/>
          <w:color w:val="000000" w:themeColor="text1"/>
        </w:rPr>
        <w:t xml:space="preserve"> of FTSE indices</w:t>
      </w:r>
    </w:p>
    <w:p w:rsidR="009D52A5" w:rsidRPr="009D52A5" w:rsidRDefault="009D52A5" w:rsidP="004A5752">
      <w:pPr>
        <w:spacing w:line="360" w:lineRule="auto"/>
      </w:pPr>
      <w:r>
        <w:t>In the previous sub-sections we examine</w:t>
      </w:r>
      <w:r w:rsidR="00170696">
        <w:t>d</w:t>
      </w:r>
      <w:r>
        <w:t xml:space="preserve"> the impact of structural shocks </w:t>
      </w:r>
      <w:r w:rsidR="000640A8">
        <w:t>in</w:t>
      </w:r>
      <w:r>
        <w:t xml:space="preserve"> aggregate consumption on the ERPs of various FTSE indices (at aggregate and industry level) and the ERPs of the 25- Fama-French style portfolios. The key element in our examination was the structural shocks to </w:t>
      </w:r>
      <w:r w:rsidRPr="009D52A5">
        <w:rPr>
          <w:i/>
        </w:rPr>
        <w:t>aggregate consumption.</w:t>
      </w:r>
      <w:r>
        <w:t xml:space="preserve"> </w:t>
      </w:r>
      <w:r w:rsidR="003D10A9">
        <w:t xml:space="preserve">In this sub-section we now broaden the scope of our investigation and examine the impact of structural dis-aggregated consumption shocks </w:t>
      </w:r>
      <w:r w:rsidR="00170696">
        <w:t xml:space="preserve">i.e., durable, semi-durable and non-durable shocks </w:t>
      </w:r>
      <w:r w:rsidR="007910D3">
        <w:t xml:space="preserve">on </w:t>
      </w:r>
      <w:r w:rsidR="00CE5D92">
        <w:t>the ERPs of the aggregate and sectoral FTSE indices and the value-weighted 25 Fama-French style portfolios sorted on size and book-to-market characteristics.</w:t>
      </w:r>
      <w:r w:rsidR="007910D3">
        <w:t xml:space="preserve"> </w:t>
      </w:r>
      <w:r w:rsidR="00CE5D92">
        <w:t xml:space="preserve">We follow the same two-step procedure as outlined in section 2.2. In the first step we derive the durable, semi-durable and non-durable shocks separately. In the second step we </w:t>
      </w:r>
      <w:r w:rsidR="00170696">
        <w:t xml:space="preserve">investigate their impacts on the </w:t>
      </w:r>
      <w:r w:rsidR="00CE5D92">
        <w:t>ERP</w:t>
      </w:r>
      <w:r w:rsidR="00170696">
        <w:t>.</w:t>
      </w:r>
      <w:r w:rsidR="00CE5D92">
        <w:t xml:space="preserve">  </w:t>
      </w:r>
    </w:p>
    <w:p w:rsidR="00302E25" w:rsidRDefault="00302E25" w:rsidP="004A5752">
      <w:pPr>
        <w:spacing w:line="360" w:lineRule="auto"/>
      </w:pPr>
      <w:r>
        <w:t>To derive the structural shocks of durable, semi-durable and non-durable consumption, we replace the aggregate consumption in the vector of endogenous variables in (5) and estimate three separate SVARs corresponding to durable, semi-durable and Non-durable consumption. Thu</w:t>
      </w:r>
      <w:r w:rsidR="00CE5D92">
        <w:t>s, vector of variables in (5) are changed</w:t>
      </w:r>
      <w:r>
        <w:t xml:space="preserve"> as follows;</w:t>
      </w:r>
    </w:p>
    <w:p w:rsidR="008772EC" w:rsidRDefault="008772EC" w:rsidP="004A5752">
      <w:pPr>
        <w:spacing w:line="360" w:lineRule="auto"/>
      </w:pPr>
    </w:p>
    <w:tbl>
      <w:tblPr>
        <w:tblStyle w:val="TableGrid"/>
        <w:tblW w:w="0" w:type="auto"/>
        <w:tblLook w:val="04A0" w:firstRow="1" w:lastRow="0" w:firstColumn="1" w:lastColumn="0" w:noHBand="0" w:noVBand="1"/>
      </w:tblPr>
      <w:tblGrid>
        <w:gridCol w:w="7714"/>
        <w:gridCol w:w="1312"/>
      </w:tblGrid>
      <w:tr w:rsidR="00302E25" w:rsidTr="00A133C4">
        <w:tc>
          <w:tcPr>
            <w:tcW w:w="7905" w:type="dxa"/>
            <w:tcBorders>
              <w:top w:val="nil"/>
              <w:left w:val="nil"/>
              <w:bottom w:val="nil"/>
              <w:right w:val="nil"/>
            </w:tcBorders>
          </w:tcPr>
          <w:p w:rsidR="00302E25" w:rsidRDefault="005E14F1" w:rsidP="004A5752">
            <w:pPr>
              <w:spacing w:line="360" w:lineRule="auto"/>
              <w:jc w:val="center"/>
            </w:pPr>
            <m:oMathPara>
              <m:oMath>
                <m:sSub>
                  <m:sSubPr>
                    <m:ctrlPr>
                      <w:rPr>
                        <w:rFonts w:ascii="Cambria Math" w:hAnsi="Cambria Math"/>
                        <w:i/>
                        <w:noProof/>
                      </w:rPr>
                    </m:ctrlPr>
                  </m:sSubPr>
                  <m:e>
                    <m:r>
                      <w:rPr>
                        <w:rFonts w:ascii="Cambria Math" w:hAnsi="Cambria Math"/>
                        <w:noProof/>
                      </w:rPr>
                      <m:t>Z</m:t>
                    </m:r>
                  </m:e>
                  <m:sub>
                    <m:r>
                      <w:rPr>
                        <w:rFonts w:ascii="Cambria Math" w:hAnsi="Cambria Math"/>
                        <w:noProof/>
                      </w:rPr>
                      <m:t>1,t</m:t>
                    </m:r>
                  </m:sub>
                </m:sSub>
                <m:r>
                  <w:rPr>
                    <w:rFonts w:ascii="Cambria Math" w:hAnsi="Cambria Math"/>
                    <w:noProof/>
                  </w:rPr>
                  <m:t>=</m:t>
                </m:r>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π</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 xml:space="preserve"> y</m:t>
                            </m:r>
                          </m:e>
                          <m:sub>
                            <m:r>
                              <w:rPr>
                                <w:rFonts w:ascii="Cambria Math" w:hAnsi="Cambria Math"/>
                                <w:noProof/>
                              </w:rPr>
                              <m:t>t</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dc</m:t>
                            </m:r>
                          </m:e>
                          <m:sub>
                            <m:r>
                              <w:rPr>
                                <w:rFonts w:ascii="Cambria Math" w:hAnsi="Cambria Math"/>
                                <w:noProof/>
                              </w:rPr>
                              <m:t>t</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w</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r</m:t>
                            </m:r>
                          </m:e>
                          <m:sub>
                            <m:r>
                              <w:rPr>
                                <w:rFonts w:ascii="Cambria Math" w:hAnsi="Cambria Math"/>
                                <w:noProof/>
                              </w:rPr>
                              <m:t>t</m:t>
                            </m:r>
                          </m:sub>
                        </m:sSub>
                      </m:e>
                    </m:d>
                  </m:e>
                  <m:sup>
                    <m:r>
                      <w:rPr>
                        <w:rFonts w:ascii="Cambria Math" w:hAnsi="Cambria Math"/>
                        <w:noProof/>
                      </w:rPr>
                      <m:t>'</m:t>
                    </m:r>
                  </m:sup>
                </m:sSup>
              </m:oMath>
            </m:oMathPara>
          </w:p>
        </w:tc>
        <w:tc>
          <w:tcPr>
            <w:tcW w:w="1337" w:type="dxa"/>
            <w:tcBorders>
              <w:top w:val="nil"/>
              <w:left w:val="nil"/>
              <w:bottom w:val="nil"/>
              <w:right w:val="nil"/>
            </w:tcBorders>
          </w:tcPr>
          <w:p w:rsidR="00302E25" w:rsidRDefault="000C0A6C" w:rsidP="004A5752">
            <w:pPr>
              <w:spacing w:line="360" w:lineRule="auto"/>
              <w:jc w:val="center"/>
            </w:pPr>
            <w:r>
              <w:t>(16</w:t>
            </w:r>
            <w:r w:rsidR="00302E25">
              <w:t>)</w:t>
            </w:r>
          </w:p>
        </w:tc>
      </w:tr>
      <w:tr w:rsidR="00302E25" w:rsidTr="00A133C4">
        <w:tc>
          <w:tcPr>
            <w:tcW w:w="7905" w:type="dxa"/>
            <w:tcBorders>
              <w:top w:val="nil"/>
              <w:left w:val="nil"/>
              <w:bottom w:val="nil"/>
              <w:right w:val="nil"/>
            </w:tcBorders>
          </w:tcPr>
          <w:p w:rsidR="00302E25" w:rsidRDefault="005E14F1" w:rsidP="004A5752">
            <w:pPr>
              <w:spacing w:line="360" w:lineRule="auto"/>
              <w:jc w:val="center"/>
              <w:rPr>
                <w:rFonts w:eastAsia="Calibri" w:cs="Times New Roman"/>
                <w:noProof/>
              </w:rPr>
            </w:pPr>
            <m:oMathPara>
              <m:oMath>
                <m:sSub>
                  <m:sSubPr>
                    <m:ctrlPr>
                      <w:rPr>
                        <w:rFonts w:ascii="Cambria Math" w:hAnsi="Cambria Math"/>
                        <w:i/>
                        <w:noProof/>
                      </w:rPr>
                    </m:ctrlPr>
                  </m:sSubPr>
                  <m:e>
                    <m:r>
                      <w:rPr>
                        <w:rFonts w:ascii="Cambria Math" w:hAnsi="Cambria Math"/>
                        <w:noProof/>
                      </w:rPr>
                      <m:t>Z</m:t>
                    </m:r>
                  </m:e>
                  <m:sub>
                    <m:r>
                      <w:rPr>
                        <w:rFonts w:ascii="Cambria Math" w:hAnsi="Cambria Math"/>
                        <w:noProof/>
                      </w:rPr>
                      <m:t>2,t</m:t>
                    </m:r>
                  </m:sub>
                </m:sSub>
                <m:r>
                  <w:rPr>
                    <w:rFonts w:ascii="Cambria Math" w:hAnsi="Cambria Math"/>
                    <w:noProof/>
                  </w:rPr>
                  <m:t>=</m:t>
                </m:r>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π</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 xml:space="preserve"> y</m:t>
                            </m:r>
                          </m:e>
                          <m:sub>
                            <m:r>
                              <w:rPr>
                                <w:rFonts w:ascii="Cambria Math" w:hAnsi="Cambria Math"/>
                                <w:noProof/>
                              </w:rPr>
                              <m:t>t</m:t>
                            </m:r>
                          </m:sub>
                        </m:sSub>
                        <m:r>
                          <w:rPr>
                            <w:rFonts w:ascii="Cambria Math" w:hAnsi="Cambria Math"/>
                            <w:noProof/>
                          </w:rPr>
                          <m:t>,sd</m:t>
                        </m:r>
                        <m:sSub>
                          <m:sSubPr>
                            <m:ctrlPr>
                              <w:rPr>
                                <w:rFonts w:ascii="Cambria Math" w:hAnsi="Cambria Math"/>
                                <w:i/>
                                <w:noProof/>
                              </w:rPr>
                            </m:ctrlPr>
                          </m:sSubPr>
                          <m:e>
                            <m:r>
                              <w:rPr>
                                <w:rFonts w:ascii="Cambria Math" w:hAnsi="Cambria Math"/>
                                <w:noProof/>
                              </w:rPr>
                              <m:t>c</m:t>
                            </m:r>
                          </m:e>
                          <m:sub>
                            <m:r>
                              <w:rPr>
                                <w:rFonts w:ascii="Cambria Math" w:hAnsi="Cambria Math"/>
                                <w:noProof/>
                              </w:rPr>
                              <m:t>t</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w</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r</m:t>
                            </m:r>
                          </m:e>
                          <m:sub>
                            <m:r>
                              <w:rPr>
                                <w:rFonts w:ascii="Cambria Math" w:hAnsi="Cambria Math"/>
                                <w:noProof/>
                              </w:rPr>
                              <m:t>t</m:t>
                            </m:r>
                          </m:sub>
                        </m:sSub>
                      </m:e>
                    </m:d>
                  </m:e>
                  <m:sup>
                    <m:r>
                      <w:rPr>
                        <w:rFonts w:ascii="Cambria Math" w:hAnsi="Cambria Math"/>
                        <w:noProof/>
                      </w:rPr>
                      <m:t>'</m:t>
                    </m:r>
                  </m:sup>
                </m:sSup>
              </m:oMath>
            </m:oMathPara>
          </w:p>
        </w:tc>
        <w:tc>
          <w:tcPr>
            <w:tcW w:w="1337" w:type="dxa"/>
            <w:tcBorders>
              <w:top w:val="nil"/>
              <w:left w:val="nil"/>
              <w:bottom w:val="nil"/>
              <w:right w:val="nil"/>
            </w:tcBorders>
          </w:tcPr>
          <w:p w:rsidR="00302E25" w:rsidRDefault="000C0A6C" w:rsidP="004A5752">
            <w:pPr>
              <w:spacing w:line="360" w:lineRule="auto"/>
              <w:jc w:val="center"/>
            </w:pPr>
            <w:r>
              <w:t>(17</w:t>
            </w:r>
            <w:r w:rsidR="00302E25">
              <w:t>)</w:t>
            </w:r>
          </w:p>
        </w:tc>
      </w:tr>
      <w:tr w:rsidR="00302E25" w:rsidTr="00A133C4">
        <w:tc>
          <w:tcPr>
            <w:tcW w:w="7905" w:type="dxa"/>
            <w:tcBorders>
              <w:top w:val="nil"/>
              <w:left w:val="nil"/>
              <w:bottom w:val="nil"/>
              <w:right w:val="nil"/>
            </w:tcBorders>
          </w:tcPr>
          <w:p w:rsidR="00302E25" w:rsidRDefault="005E14F1" w:rsidP="004A5752">
            <w:pPr>
              <w:spacing w:line="360" w:lineRule="auto"/>
              <w:jc w:val="center"/>
              <w:rPr>
                <w:rFonts w:eastAsia="Calibri" w:cs="Times New Roman"/>
                <w:noProof/>
              </w:rPr>
            </w:pPr>
            <m:oMathPara>
              <m:oMath>
                <m:sSub>
                  <m:sSubPr>
                    <m:ctrlPr>
                      <w:rPr>
                        <w:rFonts w:ascii="Cambria Math" w:hAnsi="Cambria Math"/>
                        <w:i/>
                        <w:noProof/>
                      </w:rPr>
                    </m:ctrlPr>
                  </m:sSubPr>
                  <m:e>
                    <m:r>
                      <w:rPr>
                        <w:rFonts w:ascii="Cambria Math" w:hAnsi="Cambria Math"/>
                        <w:noProof/>
                      </w:rPr>
                      <m:t>Z</m:t>
                    </m:r>
                  </m:e>
                  <m:sub>
                    <m:r>
                      <w:rPr>
                        <w:rFonts w:ascii="Cambria Math" w:hAnsi="Cambria Math"/>
                        <w:noProof/>
                      </w:rPr>
                      <m:t>3,t</m:t>
                    </m:r>
                  </m:sub>
                </m:sSub>
                <m:r>
                  <w:rPr>
                    <w:rFonts w:ascii="Cambria Math" w:hAnsi="Cambria Math"/>
                    <w:noProof/>
                  </w:rPr>
                  <m:t>=</m:t>
                </m:r>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π</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 xml:space="preserve"> y</m:t>
                            </m:r>
                          </m:e>
                          <m:sub>
                            <m:r>
                              <w:rPr>
                                <w:rFonts w:ascii="Cambria Math" w:hAnsi="Cambria Math"/>
                                <w:noProof/>
                              </w:rPr>
                              <m:t>t</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ndc</m:t>
                            </m:r>
                          </m:e>
                          <m:sub>
                            <m:r>
                              <w:rPr>
                                <w:rFonts w:ascii="Cambria Math" w:hAnsi="Cambria Math"/>
                                <w:noProof/>
                              </w:rPr>
                              <m:t>t</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w</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r</m:t>
                            </m:r>
                          </m:e>
                          <m:sub>
                            <m:r>
                              <w:rPr>
                                <w:rFonts w:ascii="Cambria Math" w:hAnsi="Cambria Math"/>
                                <w:noProof/>
                              </w:rPr>
                              <m:t>t</m:t>
                            </m:r>
                          </m:sub>
                        </m:sSub>
                      </m:e>
                    </m:d>
                  </m:e>
                  <m:sup>
                    <m:r>
                      <w:rPr>
                        <w:rFonts w:ascii="Cambria Math" w:hAnsi="Cambria Math"/>
                        <w:noProof/>
                      </w:rPr>
                      <m:t>'</m:t>
                    </m:r>
                  </m:sup>
                </m:sSup>
              </m:oMath>
            </m:oMathPara>
          </w:p>
        </w:tc>
        <w:tc>
          <w:tcPr>
            <w:tcW w:w="1337" w:type="dxa"/>
            <w:tcBorders>
              <w:top w:val="nil"/>
              <w:left w:val="nil"/>
              <w:bottom w:val="nil"/>
              <w:right w:val="nil"/>
            </w:tcBorders>
          </w:tcPr>
          <w:p w:rsidR="00302E25" w:rsidRDefault="000C0A6C" w:rsidP="004A5752">
            <w:pPr>
              <w:spacing w:line="360" w:lineRule="auto"/>
              <w:jc w:val="center"/>
            </w:pPr>
            <w:r>
              <w:t>(18</w:t>
            </w:r>
            <w:r w:rsidR="00302E25">
              <w:t>)</w:t>
            </w:r>
          </w:p>
        </w:tc>
      </w:tr>
    </w:tbl>
    <w:p w:rsidR="0025157A" w:rsidRDefault="0078251F" w:rsidP="004A5752">
      <w:pPr>
        <w:spacing w:line="360" w:lineRule="auto"/>
        <w:rPr>
          <w:rFonts w:eastAsiaTheme="minorEastAsia"/>
        </w:rPr>
      </w:pPr>
      <w:r>
        <w:t xml:space="preserve"> </w:t>
      </w:r>
      <w:r w:rsidR="00B25A72">
        <w:t>w</w:t>
      </w:r>
      <w:r w:rsidR="00302E25">
        <w:t>here</w:t>
      </w:r>
      <w:r w:rsidR="00170696">
        <w:t xml:space="preserve"> </w:t>
      </w:r>
      <m:oMath>
        <m:sSub>
          <m:sSubPr>
            <m:ctrlPr>
              <w:rPr>
                <w:rFonts w:ascii="Cambria Math" w:hAnsi="Cambria Math"/>
                <w:i/>
                <w:noProof/>
              </w:rPr>
            </m:ctrlPr>
          </m:sSubPr>
          <m:e>
            <m:r>
              <w:rPr>
                <w:rFonts w:ascii="Cambria Math" w:hAnsi="Cambria Math"/>
                <w:noProof/>
              </w:rPr>
              <m:t>dc</m:t>
            </m:r>
          </m:e>
          <m:sub>
            <m:r>
              <w:rPr>
                <w:rFonts w:ascii="Cambria Math" w:hAnsi="Cambria Math"/>
                <w:noProof/>
              </w:rPr>
              <m:t>t</m:t>
            </m:r>
          </m:sub>
        </m:sSub>
        <m:r>
          <w:rPr>
            <w:rFonts w:ascii="Cambria Math" w:hAnsi="Cambria Math"/>
            <w:noProof/>
          </w:rPr>
          <m:t>, sd</m:t>
        </m:r>
        <m:sSub>
          <m:sSubPr>
            <m:ctrlPr>
              <w:rPr>
                <w:rFonts w:ascii="Cambria Math" w:hAnsi="Cambria Math"/>
                <w:i/>
                <w:noProof/>
              </w:rPr>
            </m:ctrlPr>
          </m:sSubPr>
          <m:e>
            <m:r>
              <w:rPr>
                <w:rFonts w:ascii="Cambria Math" w:hAnsi="Cambria Math"/>
                <w:noProof/>
              </w:rPr>
              <m:t>c</m:t>
            </m:r>
          </m:e>
          <m:sub>
            <m:r>
              <w:rPr>
                <w:rFonts w:ascii="Cambria Math" w:hAnsi="Cambria Math"/>
                <w:noProof/>
              </w:rPr>
              <m:t>t</m:t>
            </m:r>
          </m:sub>
        </m:sSub>
        <m:r>
          <w:rPr>
            <w:rFonts w:ascii="Cambria Math" w:hAnsi="Cambria Math"/>
            <w:noProof/>
          </w:rPr>
          <m:t>, nd</m:t>
        </m:r>
        <m:sSub>
          <m:sSubPr>
            <m:ctrlPr>
              <w:rPr>
                <w:rFonts w:ascii="Cambria Math" w:hAnsi="Cambria Math"/>
                <w:i/>
                <w:noProof/>
              </w:rPr>
            </m:ctrlPr>
          </m:sSubPr>
          <m:e>
            <m:r>
              <w:rPr>
                <w:rFonts w:ascii="Cambria Math" w:hAnsi="Cambria Math"/>
                <w:noProof/>
              </w:rPr>
              <m:t>c</m:t>
            </m:r>
          </m:e>
          <m:sub>
            <m:r>
              <w:rPr>
                <w:rFonts w:ascii="Cambria Math" w:hAnsi="Cambria Math"/>
                <w:noProof/>
              </w:rPr>
              <m:t>t</m:t>
            </m:r>
          </m:sub>
        </m:sSub>
      </m:oMath>
      <w:r w:rsidR="00302E25">
        <w:rPr>
          <w:rFonts w:eastAsiaTheme="minorEastAsia"/>
        </w:rPr>
        <w:t xml:space="preserve"> are </w:t>
      </w:r>
      <w:r w:rsidR="00170696">
        <w:rPr>
          <w:rFonts w:eastAsiaTheme="minorEastAsia"/>
        </w:rPr>
        <w:t>t</w:t>
      </w:r>
      <w:r w:rsidR="00302E25">
        <w:rPr>
          <w:rFonts w:eastAsiaTheme="minorEastAsia"/>
        </w:rPr>
        <w:t xml:space="preserve">he logs of durable, semi-durable and non-durable consumption respectively. </w:t>
      </w:r>
      <w:r w:rsidR="008D5A5B">
        <w:rPr>
          <w:rFonts w:eastAsiaTheme="minorEastAsia"/>
        </w:rPr>
        <w:t>The estimated durable, semi-durable and non-durable structural consumption shocks are further used to examine their impact on the ERPs of the FTSE indices and the 25 Fam-French portfolios;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gridCol w:w="1316"/>
      </w:tblGrid>
      <w:tr w:rsidR="00302E25" w:rsidTr="00A133C4">
        <w:tc>
          <w:tcPr>
            <w:tcW w:w="7905" w:type="dxa"/>
          </w:tcPr>
          <w:p w:rsidR="00302E25" w:rsidRPr="007E4102" w:rsidRDefault="00302E25" w:rsidP="004A5752">
            <w:pPr>
              <w:spacing w:line="360" w:lineRule="auto"/>
              <w:jc w:val="center"/>
              <w:rPr>
                <w:rFonts w:eastAsiaTheme="minorEastAsia"/>
              </w:rPr>
            </w:pPr>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dc</m:t>
                  </m:r>
                </m:sub>
              </m:sSub>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dc</m:t>
                  </m:r>
                </m:sup>
              </m:sSubSup>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ε</m:t>
                  </m:r>
                </m:e>
                <m:sub>
                  <m:r>
                    <w:rPr>
                      <w:rFonts w:ascii="Cambria Math" w:eastAsia="Cambria Math" w:hAnsi="Cambria Math" w:cs="Cambria Math"/>
                      <w:noProof/>
                    </w:rPr>
                    <m:t>1,t</m:t>
                  </m:r>
                </m:sub>
              </m:sSub>
            </m:oMath>
          </w:p>
        </w:tc>
        <w:tc>
          <w:tcPr>
            <w:tcW w:w="1337" w:type="dxa"/>
          </w:tcPr>
          <w:p w:rsidR="00302E25" w:rsidRDefault="000C0A6C" w:rsidP="004A5752">
            <w:pPr>
              <w:spacing w:line="360" w:lineRule="auto"/>
              <w:jc w:val="center"/>
              <w:rPr>
                <w:rFonts w:eastAsiaTheme="minorEastAsia"/>
              </w:rPr>
            </w:pPr>
            <w:r>
              <w:rPr>
                <w:rFonts w:eastAsiaTheme="minorEastAsia"/>
              </w:rPr>
              <w:t>(19</w:t>
            </w:r>
            <w:r w:rsidR="00302E25">
              <w:rPr>
                <w:rFonts w:eastAsiaTheme="minorEastAsia"/>
              </w:rPr>
              <w:t>)</w:t>
            </w:r>
          </w:p>
        </w:tc>
      </w:tr>
      <w:tr w:rsidR="00302E25" w:rsidTr="00A133C4">
        <w:tc>
          <w:tcPr>
            <w:tcW w:w="7905" w:type="dxa"/>
          </w:tcPr>
          <w:p w:rsidR="00302E25" w:rsidRPr="007E4102" w:rsidRDefault="00302E25" w:rsidP="004A5752">
            <w:pPr>
              <w:spacing w:line="360" w:lineRule="auto"/>
              <w:jc w:val="center"/>
              <w:rPr>
                <w:rFonts w:eastAsiaTheme="minorEastAsia"/>
              </w:rPr>
            </w:pPr>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2,i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sdc</m:t>
                  </m:r>
                </m:sub>
              </m:sSub>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sdc</m:t>
                  </m:r>
                </m:sup>
              </m:sSubSup>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ε</m:t>
                  </m:r>
                </m:e>
                <m:sub>
                  <m:r>
                    <w:rPr>
                      <w:rFonts w:ascii="Cambria Math" w:eastAsia="Cambria Math" w:hAnsi="Cambria Math" w:cs="Cambria Math"/>
                      <w:noProof/>
                    </w:rPr>
                    <m:t>2,t</m:t>
                  </m:r>
                </m:sub>
              </m:sSub>
            </m:oMath>
          </w:p>
        </w:tc>
        <w:tc>
          <w:tcPr>
            <w:tcW w:w="1337" w:type="dxa"/>
          </w:tcPr>
          <w:p w:rsidR="00302E25" w:rsidRDefault="000C0A6C" w:rsidP="004A5752">
            <w:pPr>
              <w:spacing w:line="360" w:lineRule="auto"/>
              <w:jc w:val="center"/>
              <w:rPr>
                <w:rFonts w:eastAsiaTheme="minorEastAsia"/>
              </w:rPr>
            </w:pPr>
            <w:r>
              <w:rPr>
                <w:rFonts w:eastAsiaTheme="minorEastAsia"/>
              </w:rPr>
              <w:t>(20</w:t>
            </w:r>
            <w:r w:rsidR="00302E25">
              <w:rPr>
                <w:rFonts w:eastAsiaTheme="minorEastAsia"/>
              </w:rPr>
              <w:t>)</w:t>
            </w:r>
          </w:p>
        </w:tc>
      </w:tr>
      <w:tr w:rsidR="00302E25" w:rsidTr="00A133C4">
        <w:tc>
          <w:tcPr>
            <w:tcW w:w="7905" w:type="dxa"/>
          </w:tcPr>
          <w:p w:rsidR="00302E25" w:rsidRPr="007E4102" w:rsidRDefault="00302E25" w:rsidP="004A5752">
            <w:pPr>
              <w:spacing w:line="360" w:lineRule="auto"/>
              <w:jc w:val="center"/>
              <w:rPr>
                <w:rFonts w:eastAsiaTheme="minorEastAsia"/>
              </w:rPr>
            </w:pPr>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3,i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ndc</m:t>
                  </m:r>
                </m:sub>
              </m:sSub>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ndc</m:t>
                  </m:r>
                </m:sup>
              </m:sSubSup>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ε</m:t>
                  </m:r>
                </m:e>
                <m:sub>
                  <m:r>
                    <w:rPr>
                      <w:rFonts w:ascii="Cambria Math" w:eastAsia="Cambria Math" w:hAnsi="Cambria Math" w:cs="Cambria Math"/>
                      <w:noProof/>
                    </w:rPr>
                    <m:t>3,t</m:t>
                  </m:r>
                </m:sub>
              </m:sSub>
            </m:oMath>
          </w:p>
        </w:tc>
        <w:tc>
          <w:tcPr>
            <w:tcW w:w="1337" w:type="dxa"/>
          </w:tcPr>
          <w:p w:rsidR="00302E25" w:rsidRDefault="000C0A6C" w:rsidP="004A5752">
            <w:pPr>
              <w:spacing w:line="360" w:lineRule="auto"/>
              <w:jc w:val="center"/>
              <w:rPr>
                <w:rFonts w:eastAsiaTheme="minorEastAsia"/>
              </w:rPr>
            </w:pPr>
            <w:r>
              <w:rPr>
                <w:rFonts w:eastAsiaTheme="minorEastAsia"/>
              </w:rPr>
              <w:t>(21</w:t>
            </w:r>
            <w:r w:rsidR="00302E25">
              <w:rPr>
                <w:rFonts w:eastAsiaTheme="minorEastAsia"/>
              </w:rPr>
              <w:t>)</w:t>
            </w:r>
          </w:p>
        </w:tc>
      </w:tr>
    </w:tbl>
    <w:p w:rsidR="00170696" w:rsidRDefault="00170696" w:rsidP="004A5752">
      <w:pPr>
        <w:spacing w:line="360" w:lineRule="auto"/>
        <w:rPr>
          <w:rFonts w:eastAsiaTheme="minorEastAsia"/>
        </w:rPr>
      </w:pPr>
    </w:p>
    <w:p w:rsidR="00991EE0" w:rsidRPr="009A7B29" w:rsidRDefault="00302E25" w:rsidP="004A5752">
      <w:pPr>
        <w:spacing w:line="360" w:lineRule="auto"/>
        <w:rPr>
          <w:rFonts w:eastAsiaTheme="minorEastAsia"/>
        </w:rPr>
      </w:pPr>
      <w:r>
        <w:rPr>
          <w:rFonts w:eastAsiaTheme="minorEastAsia"/>
        </w:rPr>
        <w:t xml:space="preserve">where, </w:t>
      </w:r>
      <m:oMath>
        <m:sSub>
          <m:sSubPr>
            <m:ctrlPr>
              <w:rPr>
                <w:rFonts w:ascii="Cambria Math" w:eastAsiaTheme="minorEastAsia" w:hAnsi="Cambria Math"/>
                <w:i/>
              </w:rPr>
            </m:ctrlPr>
          </m:sSubPr>
          <m:e>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=R</m:t>
            </m:r>
          </m:e>
          <m:sub>
            <m:r>
              <w:rPr>
                <w:rFonts w:ascii="Cambria Math" w:eastAsiaTheme="minorEastAsia" w:hAnsi="Cambria Math"/>
              </w:rPr>
              <m:t>i,t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f,t</m:t>
            </m:r>
          </m:sub>
        </m:sSub>
      </m:oMath>
      <w:r>
        <w:rPr>
          <w:rFonts w:eastAsiaTheme="minorEastAsia"/>
        </w:rPr>
        <w:t xml:space="preserve"> is the ERP of the test portfolios,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n,i</m:t>
            </m:r>
          </m:sub>
        </m:sSub>
        <m:r>
          <w:rPr>
            <w:rFonts w:ascii="Cambria Math" w:eastAsiaTheme="minorEastAsia" w:hAnsi="Cambria Math"/>
          </w:rPr>
          <m:t xml:space="preserve"> (n=1,2,3)</m:t>
        </m:r>
      </m:oMath>
      <w:r>
        <w:rPr>
          <w:rFonts w:eastAsiaTheme="minorEastAsia"/>
        </w:rPr>
        <w:t xml:space="preserve"> are the constants (intercepts),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dc</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sdc</m:t>
            </m:r>
          </m:sub>
        </m:sSub>
        <m:r>
          <w:rPr>
            <w:rFonts w:ascii="Cambria Math" w:eastAsiaTheme="minorEastAsia" w:hAnsi="Cambria Math"/>
          </w:rPr>
          <m:t xml:space="preserve"> </m:t>
        </m:r>
      </m:oMath>
      <w:r>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ndc</m:t>
            </m:r>
          </m:sub>
        </m:sSub>
      </m:oMath>
      <w:r>
        <w:rPr>
          <w:rFonts w:eastAsiaTheme="minorEastAsia"/>
        </w:rPr>
        <w:t xml:space="preserve"> are factor loadings on the structural durable, semi-durable and non-durable consumption shocks</w:t>
      </w:r>
      <m:oMath>
        <m:r>
          <w:rPr>
            <w:rFonts w:ascii="Cambria Math" w:eastAsiaTheme="minorEastAsia" w:hAnsi="Cambria Math"/>
          </w:rPr>
          <m:t>(</m:t>
        </m:r>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dc</m:t>
            </m:r>
          </m:sup>
        </m:sSubSup>
        <m:r>
          <w:rPr>
            <w:rFonts w:ascii="Cambria Math" w:eastAsia="Cambria Math" w:hAnsi="Cambria Math" w:cs="Cambria Math"/>
            <w:noProof/>
          </w:rPr>
          <m:t>,</m:t>
        </m:r>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sdc</m:t>
            </m:r>
          </m:sup>
        </m:sSubSup>
        <m:r>
          <w:rPr>
            <w:rFonts w:ascii="Cambria Math" w:eastAsia="Cambria Math" w:hAnsi="Cambria Math" w:cs="Cambria Math"/>
            <w:noProof/>
          </w:rPr>
          <m:t xml:space="preserve"> </m:t>
        </m:r>
      </m:oMath>
      <w:r w:rsidR="00B25A72">
        <w:rPr>
          <w:rFonts w:eastAsiaTheme="minorEastAsia"/>
        </w:rPr>
        <w:t xml:space="preserve">and </w:t>
      </w:r>
      <m:oMath>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ndc</m:t>
            </m:r>
          </m:sup>
        </m:sSubSup>
        <m:r>
          <w:rPr>
            <w:rFonts w:ascii="Cambria Math" w:eastAsia="Cambria Math" w:hAnsi="Cambria Math" w:cs="Cambria Math"/>
            <w:noProof/>
          </w:rPr>
          <m:t>)</m:t>
        </m:r>
      </m:oMath>
      <w:r w:rsidR="00B25A72">
        <w:rPr>
          <w:rFonts w:eastAsiaTheme="minorEastAsia"/>
        </w:rPr>
        <w:t xml:space="preserve"> </w:t>
      </w:r>
      <w:r>
        <w:rPr>
          <w:rFonts w:eastAsiaTheme="minorEastAsia"/>
        </w:rPr>
        <w:t xml:space="preserve"> and </w:t>
      </w:r>
      <m:oMath>
        <m:sSub>
          <m:sSubPr>
            <m:ctrlPr>
              <w:rPr>
                <w:rFonts w:ascii="Cambria Math" w:eastAsia="Cambria Math" w:hAnsi="Cambria Math" w:cs="Cambria Math"/>
                <w:i/>
                <w:noProof/>
              </w:rPr>
            </m:ctrlPr>
          </m:sSubPr>
          <m:e>
            <m:r>
              <w:rPr>
                <w:rFonts w:ascii="Cambria Math" w:eastAsia="Cambria Math" w:hAnsi="Cambria Math" w:cs="Cambria Math"/>
                <w:noProof/>
              </w:rPr>
              <m:t>ε</m:t>
            </m:r>
          </m:e>
          <m:sub>
            <m:r>
              <w:rPr>
                <w:rFonts w:ascii="Cambria Math" w:eastAsia="Cambria Math" w:hAnsi="Cambria Math" w:cs="Cambria Math"/>
                <w:noProof/>
              </w:rPr>
              <m:t xml:space="preserve">n,t </m:t>
            </m:r>
          </m:sub>
        </m:sSub>
        <m:r>
          <w:rPr>
            <w:rFonts w:ascii="Cambria Math" w:eastAsiaTheme="minorEastAsia" w:hAnsi="Cambria Math"/>
          </w:rPr>
          <m:t>(n=1,2,3)</m:t>
        </m:r>
        <m:r>
          <m:rPr>
            <m:sty m:val="p"/>
          </m:rPr>
          <w:rPr>
            <w:rFonts w:ascii="Cambria Math" w:eastAsiaTheme="minorEastAsia" w:hAnsi="Cambria Math"/>
          </w:rPr>
          <m:t xml:space="preserve"> </m:t>
        </m:r>
        <m:r>
          <w:rPr>
            <w:rFonts w:ascii="Cambria Math" w:eastAsia="Cambria Math" w:hAnsi="Cambria Math" w:cs="Cambria Math"/>
            <w:noProof/>
          </w:rPr>
          <m:t xml:space="preserve"> </m:t>
        </m:r>
      </m:oMath>
      <w:r>
        <w:rPr>
          <w:rFonts w:eastAsiaTheme="minorEastAsia"/>
        </w:rPr>
        <w:t>are assume</w:t>
      </w:r>
      <w:r w:rsidR="009A7B29">
        <w:rPr>
          <w:rFonts w:eastAsiaTheme="minorEastAsia"/>
        </w:rPr>
        <w:t xml:space="preserve">d to </w:t>
      </w:r>
      <w:r w:rsidR="00170696">
        <w:rPr>
          <w:rFonts w:eastAsiaTheme="minorEastAsia"/>
        </w:rPr>
        <w:t xml:space="preserve">follow a </w:t>
      </w:r>
      <w:r w:rsidR="009A7B29">
        <w:rPr>
          <w:rFonts w:eastAsiaTheme="minorEastAsia"/>
        </w:rPr>
        <w:t xml:space="preserve">white noise process. </w:t>
      </w:r>
    </w:p>
    <w:p w:rsidR="00585BE2" w:rsidRPr="002B3222" w:rsidRDefault="0055349B" w:rsidP="004A5752">
      <w:pPr>
        <w:spacing w:line="360" w:lineRule="auto"/>
        <w:rPr>
          <w:rFonts w:eastAsiaTheme="minorEastAsia"/>
        </w:rPr>
      </w:pPr>
      <w:r>
        <w:rPr>
          <w:rFonts w:eastAsiaTheme="minorEastAsia"/>
        </w:rPr>
        <w:t xml:space="preserve">We then </w:t>
      </w:r>
      <w:r w:rsidR="00934103">
        <w:rPr>
          <w:rFonts w:eastAsiaTheme="minorEastAsia"/>
        </w:rPr>
        <w:t xml:space="preserve">study the pricing implications of disaggregated consumption shocks separately using </w:t>
      </w:r>
      <w:r w:rsidR="00585BE2">
        <w:rPr>
          <w:rFonts w:eastAsiaTheme="minorEastAsia"/>
        </w:rPr>
        <w:t xml:space="preserve">the </w:t>
      </w:r>
      <w:r w:rsidR="00934103">
        <w:rPr>
          <w:rFonts w:eastAsiaTheme="minorEastAsia"/>
        </w:rPr>
        <w:t xml:space="preserve">second stage </w:t>
      </w:r>
      <w:r w:rsidR="00934103">
        <w:t>Fama and MacBeth</w:t>
      </w:r>
      <w:r w:rsidR="00FE104D">
        <w:t>,</w:t>
      </w:r>
      <w:r w:rsidR="00934103">
        <w:t xml:space="preserve"> (1973) </w:t>
      </w:r>
      <w:r w:rsidR="000C6C5A">
        <w:t>cros</w:t>
      </w:r>
      <w:r w:rsidR="00585BE2">
        <w:t>s-sectional regressions</w:t>
      </w:r>
      <w:r w:rsidR="000C6C5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1"/>
        <w:gridCol w:w="1315"/>
      </w:tblGrid>
      <w:tr w:rsidR="00C965F8" w:rsidTr="00181742">
        <w:tc>
          <w:tcPr>
            <w:tcW w:w="7905" w:type="dxa"/>
          </w:tcPr>
          <w:p w:rsidR="00C965F8" w:rsidRPr="007E4102" w:rsidRDefault="005E14F1" w:rsidP="004A5752">
            <w:pPr>
              <w:spacing w:line="360" w:lineRule="auto"/>
              <w:jc w:val="center"/>
              <w:rPr>
                <w:rFonts w:eastAsiaTheme="minorEastAsia"/>
              </w:rPr>
            </w:pP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oMath>
            <w:r w:rsidR="00C965F8">
              <w:t xml:space="preserve">  </w:t>
            </w:r>
            <m:oMath>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γ</m:t>
                  </m:r>
                </m:e>
                <m:sub>
                  <m:r>
                    <w:rPr>
                      <w:rFonts w:ascii="Cambria Math" w:eastAsiaTheme="minorEastAsia" w:hAnsi="Cambria Math"/>
                    </w:rPr>
                    <m:t>0</m:t>
                  </m:r>
                </m:sub>
                <m:sup>
                  <m:r>
                    <w:rPr>
                      <w:rFonts w:ascii="Cambria Math" w:eastAsiaTheme="minorEastAsia" w:hAnsi="Cambria Math"/>
                    </w:rPr>
                    <m:t>dc</m:t>
                  </m:r>
                </m:sup>
              </m:sSubSup>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dc</m:t>
                  </m:r>
                </m:sub>
              </m:sSub>
              <m:r>
                <w:rPr>
                  <w:rFonts w:ascii="Cambria Math" w:hAnsi="Cambria Math"/>
                </w:rPr>
                <m:t>.</m:t>
              </m:r>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dc</m:t>
                      </m:r>
                    </m:sub>
                  </m:sSub>
                </m:e>
              </m:acc>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oMath>
          </w:p>
        </w:tc>
        <w:tc>
          <w:tcPr>
            <w:tcW w:w="1337" w:type="dxa"/>
          </w:tcPr>
          <w:p w:rsidR="00C965F8" w:rsidRDefault="000C0A6C" w:rsidP="004A5752">
            <w:pPr>
              <w:spacing w:line="360" w:lineRule="auto"/>
              <w:jc w:val="center"/>
              <w:rPr>
                <w:rFonts w:eastAsiaTheme="minorEastAsia"/>
              </w:rPr>
            </w:pPr>
            <w:r>
              <w:rPr>
                <w:rFonts w:eastAsiaTheme="minorEastAsia"/>
              </w:rPr>
              <w:t>(22</w:t>
            </w:r>
            <w:r w:rsidR="00C965F8">
              <w:rPr>
                <w:rFonts w:eastAsiaTheme="minorEastAsia"/>
              </w:rPr>
              <w:t>)</w:t>
            </w:r>
          </w:p>
        </w:tc>
      </w:tr>
      <w:tr w:rsidR="00C965F8" w:rsidTr="00181742">
        <w:tc>
          <w:tcPr>
            <w:tcW w:w="7905" w:type="dxa"/>
          </w:tcPr>
          <w:p w:rsidR="00C965F8" w:rsidRPr="007E4102" w:rsidRDefault="00C965F8" w:rsidP="004A5752">
            <w:pPr>
              <w:spacing w:line="360" w:lineRule="auto"/>
              <w:jc w:val="center"/>
              <w:rPr>
                <w:rFonts w:eastAsiaTheme="minorEastAsia"/>
              </w:rPr>
            </w:pPr>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γ</m:t>
                  </m:r>
                </m:e>
                <m:sub>
                  <m:r>
                    <w:rPr>
                      <w:rFonts w:ascii="Cambria Math" w:eastAsiaTheme="minorEastAsia" w:hAnsi="Cambria Math"/>
                    </w:rPr>
                    <m:t>0</m:t>
                  </m:r>
                </m:sub>
                <m:sup>
                  <m:r>
                    <w:rPr>
                      <w:rFonts w:ascii="Cambria Math" w:eastAsiaTheme="minorEastAsia" w:hAnsi="Cambria Math"/>
                    </w:rPr>
                    <m:t>sdc</m:t>
                  </m:r>
                </m:sup>
              </m:sSubSup>
              <m:r>
                <w:rPr>
                  <w:rFonts w:ascii="Cambria Math" w:eastAsiaTheme="minorEastAsia" w:hAnsi="Cambria Math"/>
                </w:rPr>
                <m:t>+</m:t>
              </m:r>
              <m:sSub>
                <m:sSubPr>
                  <m:ctrlPr>
                    <w:rPr>
                      <w:rFonts w:ascii="Cambria Math" w:hAnsi="Cambria Math"/>
                      <w:i/>
                    </w:rPr>
                  </m:ctrlPr>
                </m:sSubPr>
                <m:e>
                  <m:r>
                    <w:rPr>
                      <w:rFonts w:ascii="Cambria Math" w:hAnsi="Cambria Math"/>
                    </w:rPr>
                    <m:t>γ</m:t>
                  </m:r>
                </m:e>
                <m:sub>
                  <m:r>
                    <w:rPr>
                      <w:rFonts w:ascii="Cambria Math" w:hAnsi="Cambria Math"/>
                    </w:rPr>
                    <m:t>sdc</m:t>
                  </m:r>
                </m:sub>
              </m:sSub>
              <m:r>
                <w:rPr>
                  <w:rFonts w:ascii="Cambria Math" w:hAnsi="Cambria Math"/>
                </w:rPr>
                <m:t>.</m:t>
              </m:r>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sdc</m:t>
                      </m:r>
                    </m:sub>
                  </m:sSub>
                </m:e>
              </m:acc>
              <m:r>
                <w:rPr>
                  <w:rFonts w:ascii="Cambria Math" w:eastAsia="Cambria Math" w:hAnsi="Cambria Math" w:cs="Cambria Math"/>
                  <w:noProof/>
                </w:rPr>
                <m:t>+</m:t>
              </m:r>
              <m:sSub>
                <m:sSubPr>
                  <m:ctrlPr>
                    <w:rPr>
                      <w:rFonts w:ascii="Cambria Math" w:hAnsi="Cambria Math"/>
                      <w:i/>
                    </w:rPr>
                  </m:ctrlPr>
                </m:sSubPr>
                <m:e>
                  <m:r>
                    <w:rPr>
                      <w:rFonts w:ascii="Cambria Math" w:hAnsi="Cambria Math"/>
                    </w:rPr>
                    <m:t>μ</m:t>
                  </m:r>
                </m:e>
                <m:sub>
                  <m:r>
                    <w:rPr>
                      <w:rFonts w:ascii="Cambria Math" w:hAnsi="Cambria Math"/>
                    </w:rPr>
                    <m:t>2</m:t>
                  </m:r>
                </m:sub>
              </m:sSub>
            </m:oMath>
          </w:p>
        </w:tc>
        <w:tc>
          <w:tcPr>
            <w:tcW w:w="1337" w:type="dxa"/>
          </w:tcPr>
          <w:p w:rsidR="00C965F8" w:rsidRDefault="000C0A6C" w:rsidP="004A5752">
            <w:pPr>
              <w:spacing w:line="360" w:lineRule="auto"/>
              <w:jc w:val="center"/>
              <w:rPr>
                <w:rFonts w:eastAsiaTheme="minorEastAsia"/>
              </w:rPr>
            </w:pPr>
            <w:r>
              <w:rPr>
                <w:rFonts w:eastAsiaTheme="minorEastAsia"/>
              </w:rPr>
              <w:t>(23</w:t>
            </w:r>
            <w:r w:rsidR="00C965F8">
              <w:rPr>
                <w:rFonts w:eastAsiaTheme="minorEastAsia"/>
              </w:rPr>
              <w:t>)</w:t>
            </w:r>
          </w:p>
        </w:tc>
      </w:tr>
      <w:tr w:rsidR="00C965F8" w:rsidTr="00181742">
        <w:tc>
          <w:tcPr>
            <w:tcW w:w="7905" w:type="dxa"/>
          </w:tcPr>
          <w:p w:rsidR="00C965F8" w:rsidRPr="007E4102" w:rsidRDefault="005E14F1" w:rsidP="004A5752">
            <w:pPr>
              <w:spacing w:line="360" w:lineRule="auto"/>
              <w:jc w:val="center"/>
              <w:rPr>
                <w:rFonts w:eastAsiaTheme="minorEastAsia"/>
              </w:rPr>
            </w:pPr>
            <m:oMathPara>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hAnsi="Cambria Math"/>
                  </w:rPr>
                  <m:t>=</m:t>
                </m:r>
                <m:sSubSup>
                  <m:sSubSupPr>
                    <m:ctrlPr>
                      <w:rPr>
                        <w:rFonts w:ascii="Cambria Math" w:eastAsiaTheme="minorEastAsia" w:hAnsi="Cambria Math"/>
                        <w:i/>
                      </w:rPr>
                    </m:ctrlPr>
                  </m:sSubSupPr>
                  <m:e>
                    <m:r>
                      <w:rPr>
                        <w:rFonts w:ascii="Cambria Math" w:eastAsiaTheme="minorEastAsia" w:hAnsi="Cambria Math"/>
                      </w:rPr>
                      <m:t>γ</m:t>
                    </m:r>
                  </m:e>
                  <m:sub>
                    <m:r>
                      <w:rPr>
                        <w:rFonts w:ascii="Cambria Math" w:eastAsiaTheme="minorEastAsia" w:hAnsi="Cambria Math"/>
                      </w:rPr>
                      <m:t>0</m:t>
                    </m:r>
                  </m:sub>
                  <m:sup>
                    <m:r>
                      <w:rPr>
                        <w:rFonts w:ascii="Cambria Math" w:eastAsiaTheme="minorEastAsia" w:hAnsi="Cambria Math"/>
                      </w:rPr>
                      <m:t>ndc</m:t>
                    </m:r>
                  </m:sup>
                </m:sSubSup>
                <m:r>
                  <w:rPr>
                    <w:rFonts w:ascii="Cambria Math" w:eastAsiaTheme="minorEastAsia" w:hAnsi="Cambria Math"/>
                  </w:rPr>
                  <m:t>+</m:t>
                </m:r>
                <m:sSub>
                  <m:sSubPr>
                    <m:ctrlPr>
                      <w:rPr>
                        <w:rFonts w:ascii="Cambria Math" w:hAnsi="Cambria Math"/>
                        <w:i/>
                      </w:rPr>
                    </m:ctrlPr>
                  </m:sSubPr>
                  <m:e>
                    <m:r>
                      <w:rPr>
                        <w:rFonts w:ascii="Cambria Math" w:hAnsi="Cambria Math"/>
                      </w:rPr>
                      <m:t>γ</m:t>
                    </m:r>
                  </m:e>
                  <m:sub>
                    <m:r>
                      <w:rPr>
                        <w:rFonts w:ascii="Cambria Math" w:hAnsi="Cambria Math"/>
                      </w:rPr>
                      <m:t>ndc</m:t>
                    </m:r>
                  </m:sub>
                </m:sSub>
                <m:r>
                  <w:rPr>
                    <w:rFonts w:ascii="Cambria Math" w:hAnsi="Cambria Math"/>
                  </w:rPr>
                  <m:t>.</m:t>
                </m:r>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ndc</m:t>
                        </m:r>
                      </m:sub>
                    </m:sSub>
                  </m:e>
                </m:acc>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3</m:t>
                    </m:r>
                  </m:sub>
                </m:sSub>
              </m:oMath>
            </m:oMathPara>
          </w:p>
        </w:tc>
        <w:tc>
          <w:tcPr>
            <w:tcW w:w="1337" w:type="dxa"/>
          </w:tcPr>
          <w:p w:rsidR="00C965F8" w:rsidRDefault="000C0A6C" w:rsidP="004A5752">
            <w:pPr>
              <w:spacing w:line="360" w:lineRule="auto"/>
              <w:jc w:val="center"/>
              <w:rPr>
                <w:rFonts w:eastAsiaTheme="minorEastAsia"/>
              </w:rPr>
            </w:pPr>
            <w:r>
              <w:rPr>
                <w:rFonts w:eastAsiaTheme="minorEastAsia"/>
              </w:rPr>
              <w:t>(24</w:t>
            </w:r>
            <w:r w:rsidR="00C965F8">
              <w:rPr>
                <w:rFonts w:eastAsiaTheme="minorEastAsia"/>
              </w:rPr>
              <w:t>)</w:t>
            </w:r>
          </w:p>
        </w:tc>
      </w:tr>
    </w:tbl>
    <w:p w:rsidR="001B5AC6" w:rsidRDefault="00534A37" w:rsidP="004A5752">
      <w:pPr>
        <w:spacing w:line="360" w:lineRule="auto"/>
        <w:rPr>
          <w:rFonts w:eastAsiaTheme="minorEastAsia"/>
        </w:rPr>
      </w:pPr>
      <w:r>
        <w:rPr>
          <w:rFonts w:eastAsiaTheme="minorEastAsia"/>
        </w:rP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oMath>
      <w:r>
        <w:rPr>
          <w:rFonts w:eastAsiaTheme="minorEastAsia"/>
        </w:rPr>
        <w:t xml:space="preserve"> is ERPs of the test portfolios over the sample period</w:t>
      </w:r>
      <w:r w:rsidR="00934103">
        <w:rPr>
          <w:rFonts w:eastAsiaTheme="minorEastAsia"/>
        </w:rPr>
        <w:t xml:space="preserve"> and </w:t>
      </w:r>
      <m:oMath>
        <m:sSub>
          <m:sSubPr>
            <m:ctrlPr>
              <w:rPr>
                <w:rFonts w:ascii="Cambria Math" w:hAnsi="Cambria Math"/>
                <w:i/>
              </w:rPr>
            </m:ctrlPr>
          </m:sSubPr>
          <m:e>
            <m:r>
              <w:rPr>
                <w:rFonts w:ascii="Cambria Math" w:hAnsi="Cambria Math"/>
              </w:rPr>
              <m:t>γ</m:t>
            </m:r>
          </m:e>
          <m:sub>
            <m:r>
              <w:rPr>
                <w:rFonts w:ascii="Cambria Math" w:hAnsi="Cambria Math"/>
              </w:rPr>
              <m:t>dc</m:t>
            </m:r>
          </m:sub>
        </m:sSub>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sdc</m:t>
            </m:r>
          </m:sub>
        </m:sSub>
        <m:r>
          <w:rPr>
            <w:rFonts w:ascii="Cambria Math" w:hAnsi="Cambria Math"/>
          </w:rPr>
          <m:t xml:space="preserve"> </m:t>
        </m:r>
      </m:oMath>
      <w:r>
        <w:rPr>
          <w:rFonts w:eastAsiaTheme="minorEastAsia"/>
        </w:rPr>
        <w:t xml:space="preserve">and </w:t>
      </w:r>
      <m:oMath>
        <m:sSub>
          <m:sSubPr>
            <m:ctrlPr>
              <w:rPr>
                <w:rFonts w:ascii="Cambria Math" w:hAnsi="Cambria Math"/>
                <w:i/>
              </w:rPr>
            </m:ctrlPr>
          </m:sSubPr>
          <m:e>
            <m:r>
              <w:rPr>
                <w:rFonts w:ascii="Cambria Math" w:hAnsi="Cambria Math"/>
              </w:rPr>
              <m:t>γ</m:t>
            </m:r>
          </m:e>
          <m:sub>
            <m:r>
              <w:rPr>
                <w:rFonts w:ascii="Cambria Math" w:hAnsi="Cambria Math"/>
              </w:rPr>
              <m:t>ndc</m:t>
            </m:r>
          </m:sub>
        </m:sSub>
      </m:oMath>
      <w:r w:rsidR="00934103">
        <w:rPr>
          <w:rFonts w:eastAsiaTheme="minorEastAsia"/>
        </w:rPr>
        <w:t xml:space="preserve"> are the prices of risks</w:t>
      </w:r>
      <w:r>
        <w:rPr>
          <w:rFonts w:eastAsiaTheme="minorEastAsia"/>
        </w:rPr>
        <w:t xml:space="preserve"> due to the exposure to the estimated factor loading </w:t>
      </w:r>
      <m:oMath>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dc</m:t>
                </m:r>
              </m:sub>
            </m:sSub>
          </m:e>
        </m:acc>
        <m:r>
          <w:rPr>
            <w:rFonts w:ascii="Cambria Math" w:hAnsi="Cambria Math"/>
          </w:rPr>
          <m:t xml:space="preserve">, </m:t>
        </m:r>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sdc</m:t>
                </m:r>
              </m:sub>
            </m:sSub>
          </m:e>
        </m:acc>
      </m:oMath>
      <w:r>
        <w:rPr>
          <w:rFonts w:eastAsiaTheme="minorEastAsia"/>
        </w:rPr>
        <w:t xml:space="preserve"> and </w:t>
      </w:r>
      <m:oMath>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ndc</m:t>
                </m:r>
              </m:sub>
            </m:sSub>
          </m:e>
        </m:acc>
      </m:oMath>
      <w:r>
        <w:rPr>
          <w:rFonts w:eastAsiaTheme="minorEastAsia"/>
        </w:rPr>
        <w:t xml:space="preserve"> </w:t>
      </w:r>
      <w:r w:rsidR="008D5A5B">
        <w:rPr>
          <w:rFonts w:eastAsiaTheme="minorEastAsia"/>
        </w:rPr>
        <w:t>on durable</w:t>
      </w:r>
      <w:r>
        <w:rPr>
          <w:rFonts w:eastAsiaTheme="minorEastAsia"/>
        </w:rPr>
        <w:t>, semi-durable and non-durable consumption</w:t>
      </w:r>
      <w:r w:rsidR="00934103">
        <w:rPr>
          <w:rFonts w:eastAsiaTheme="minorEastAsia"/>
        </w:rPr>
        <w:t xml:space="preserve"> from (21), (22) and (23) respectively.</w:t>
      </w:r>
      <w:r w:rsidR="00620790">
        <w:rPr>
          <w:rFonts w:eastAsiaTheme="minorEastAsia"/>
        </w:rPr>
        <w:t xml:space="preserve"> </w:t>
      </w:r>
    </w:p>
    <w:p w:rsidR="00F07A57" w:rsidRDefault="00F07A57" w:rsidP="004A5752">
      <w:pPr>
        <w:spacing w:line="360" w:lineRule="auto"/>
        <w:jc w:val="center"/>
        <w:rPr>
          <w:rFonts w:eastAsiaTheme="minorEastAsia"/>
          <w:i/>
          <w:szCs w:val="24"/>
        </w:rPr>
      </w:pPr>
    </w:p>
    <w:p w:rsidR="00F07A57" w:rsidRDefault="00F07A57" w:rsidP="004A5752">
      <w:pPr>
        <w:spacing w:line="360" w:lineRule="auto"/>
        <w:jc w:val="center"/>
        <w:rPr>
          <w:rFonts w:eastAsiaTheme="minorEastAsia"/>
          <w:i/>
          <w:szCs w:val="24"/>
        </w:rPr>
      </w:pPr>
    </w:p>
    <w:p w:rsidR="00AA2A30" w:rsidRPr="002E4C4F" w:rsidRDefault="007104B2" w:rsidP="004A5752">
      <w:pPr>
        <w:spacing w:line="360" w:lineRule="auto"/>
        <w:jc w:val="center"/>
        <w:rPr>
          <w:rFonts w:eastAsiaTheme="minorEastAsia"/>
          <w:i/>
          <w:szCs w:val="24"/>
        </w:rPr>
      </w:pPr>
      <w:r>
        <w:rPr>
          <w:rFonts w:eastAsiaTheme="minorEastAsia"/>
          <w:i/>
          <w:szCs w:val="24"/>
        </w:rPr>
        <w:t>***</w:t>
      </w:r>
      <w:r w:rsidR="00F07A57">
        <w:rPr>
          <w:rFonts w:eastAsiaTheme="minorEastAsia"/>
          <w:i/>
          <w:szCs w:val="24"/>
        </w:rPr>
        <w:t xml:space="preserve">Please </w:t>
      </w:r>
      <w:r>
        <w:rPr>
          <w:rFonts w:eastAsiaTheme="minorEastAsia"/>
          <w:i/>
          <w:szCs w:val="24"/>
        </w:rPr>
        <w:t>insert table 8</w:t>
      </w:r>
      <w:r w:rsidR="00934103">
        <w:rPr>
          <w:rFonts w:eastAsiaTheme="minorEastAsia"/>
          <w:i/>
          <w:szCs w:val="24"/>
        </w:rPr>
        <w:t xml:space="preserve"> </w:t>
      </w:r>
      <w:r w:rsidR="002E4C4F" w:rsidRPr="002E4C4F">
        <w:rPr>
          <w:rFonts w:eastAsiaTheme="minorEastAsia"/>
          <w:i/>
          <w:szCs w:val="24"/>
        </w:rPr>
        <w:t>about here***</w:t>
      </w:r>
    </w:p>
    <w:p w:rsidR="009958D4" w:rsidRDefault="00934103" w:rsidP="004A5752">
      <w:pPr>
        <w:spacing w:line="360" w:lineRule="auto"/>
        <w:rPr>
          <w:rFonts w:eastAsiaTheme="minorEastAsia"/>
        </w:rPr>
      </w:pPr>
      <w:r>
        <w:rPr>
          <w:rFonts w:eastAsiaTheme="minorEastAsia"/>
        </w:rPr>
        <w:t>The impact of disaggregated consumption shocks on the ERP of FTSE indices are prese</w:t>
      </w:r>
      <w:r w:rsidR="003E242E">
        <w:rPr>
          <w:rFonts w:eastAsiaTheme="minorEastAsia"/>
        </w:rPr>
        <w:t xml:space="preserve">nted in </w:t>
      </w:r>
      <w:r w:rsidR="00B906B0">
        <w:rPr>
          <w:rFonts w:eastAsiaTheme="minorEastAsia"/>
        </w:rPr>
        <w:t>T</w:t>
      </w:r>
      <w:r w:rsidR="003E242E">
        <w:rPr>
          <w:rFonts w:eastAsiaTheme="minorEastAsia"/>
        </w:rPr>
        <w:t>able 8.</w:t>
      </w:r>
      <w:r w:rsidR="00102A92">
        <w:rPr>
          <w:rFonts w:eastAsiaTheme="minorEastAsia"/>
        </w:rPr>
        <w:t xml:space="preserve"> Panels A, B and C </w:t>
      </w:r>
      <w:r w:rsidR="00B906B0">
        <w:rPr>
          <w:rFonts w:eastAsiaTheme="minorEastAsia"/>
        </w:rPr>
        <w:t>report</w:t>
      </w:r>
      <w:r w:rsidR="00102A92">
        <w:rPr>
          <w:rFonts w:eastAsiaTheme="minorEastAsia"/>
        </w:rPr>
        <w:t xml:space="preserve"> the resu</w:t>
      </w:r>
      <w:r w:rsidR="000C0A6C">
        <w:rPr>
          <w:rFonts w:eastAsiaTheme="minorEastAsia"/>
        </w:rPr>
        <w:t>lts of quarterly regressions (19), (20) and (21</w:t>
      </w:r>
      <w:r w:rsidR="00102A92">
        <w:rPr>
          <w:rFonts w:eastAsiaTheme="minorEastAsia"/>
        </w:rPr>
        <w:t xml:space="preserve">) </w:t>
      </w:r>
      <w:r w:rsidR="003E242E">
        <w:rPr>
          <w:rFonts w:eastAsiaTheme="minorEastAsia"/>
        </w:rPr>
        <w:t xml:space="preserve">and </w:t>
      </w:r>
      <w:r w:rsidR="00CA1635">
        <w:rPr>
          <w:rFonts w:eastAsiaTheme="minorEastAsia"/>
        </w:rPr>
        <w:t xml:space="preserve">the </w:t>
      </w:r>
      <w:r w:rsidR="003E242E">
        <w:rPr>
          <w:rFonts w:eastAsiaTheme="minorEastAsia"/>
        </w:rPr>
        <w:t>sensitivities</w:t>
      </w:r>
      <w:r w:rsidR="00E20465">
        <w:rPr>
          <w:rFonts w:eastAsiaTheme="minorEastAsia"/>
        </w:rPr>
        <w:t xml:space="preserve"> </w:t>
      </w:r>
      <w:r w:rsidR="00B906B0">
        <w:rPr>
          <w:rFonts w:eastAsiaTheme="minorEastAsia"/>
        </w:rPr>
        <w:t xml:space="preserve">of the ERPs </w:t>
      </w:r>
      <w:r w:rsidR="003E242E">
        <w:rPr>
          <w:rFonts w:eastAsiaTheme="minorEastAsia"/>
        </w:rPr>
        <w:t>to</w:t>
      </w:r>
      <w:r w:rsidR="00E20465">
        <w:rPr>
          <w:rFonts w:eastAsiaTheme="minorEastAsia"/>
        </w:rPr>
        <w:t xml:space="preserve"> shocks in durable</w:t>
      </w:r>
      <w:r w:rsidR="003E242E">
        <w:rPr>
          <w:rFonts w:eastAsiaTheme="minorEastAsia"/>
        </w:rPr>
        <w:t>, semi-durable and non-durable</w:t>
      </w:r>
      <w:r w:rsidR="00E20465">
        <w:rPr>
          <w:rFonts w:eastAsiaTheme="minorEastAsia"/>
        </w:rPr>
        <w:t xml:space="preserve"> consumption</w:t>
      </w:r>
      <w:r w:rsidR="00B906B0">
        <w:rPr>
          <w:rFonts w:eastAsiaTheme="minorEastAsia"/>
        </w:rPr>
        <w:t xml:space="preserve">. </w:t>
      </w:r>
      <w:r w:rsidR="00D30C40">
        <w:rPr>
          <w:rFonts w:eastAsiaTheme="minorEastAsia"/>
        </w:rPr>
        <w:t>On average, the shocks in durable, semi-durable and non-durable consumpti</w:t>
      </w:r>
      <w:r w:rsidR="001217E1">
        <w:rPr>
          <w:rFonts w:eastAsiaTheme="minorEastAsia"/>
        </w:rPr>
        <w:t xml:space="preserve">on are able to explain </w:t>
      </w:r>
      <w:r w:rsidR="0034202E">
        <w:rPr>
          <w:rFonts w:eastAsiaTheme="minorEastAsia"/>
        </w:rPr>
        <w:t>25.65</w:t>
      </w:r>
      <w:r w:rsidR="001217E1">
        <w:rPr>
          <w:rFonts w:eastAsiaTheme="minorEastAsia"/>
        </w:rPr>
        <w:t xml:space="preserve">%, </w:t>
      </w:r>
      <w:r w:rsidR="0034202E">
        <w:rPr>
          <w:rFonts w:eastAsiaTheme="minorEastAsia"/>
        </w:rPr>
        <w:t>25.17</w:t>
      </w:r>
      <w:r w:rsidR="001217E1">
        <w:rPr>
          <w:rFonts w:eastAsiaTheme="minorEastAsia"/>
        </w:rPr>
        <w:t>% and 28.</w:t>
      </w:r>
      <w:r w:rsidR="0034202E">
        <w:rPr>
          <w:rFonts w:eastAsiaTheme="minorEastAsia"/>
        </w:rPr>
        <w:t>91</w:t>
      </w:r>
      <w:r w:rsidR="00D30C40">
        <w:rPr>
          <w:rFonts w:eastAsiaTheme="minorEastAsia"/>
        </w:rPr>
        <w:t>% time variation in the ERPs of</w:t>
      </w:r>
      <w:r w:rsidR="00B906B0">
        <w:rPr>
          <w:rFonts w:eastAsiaTheme="minorEastAsia"/>
        </w:rPr>
        <w:t xml:space="preserve"> the aggregate </w:t>
      </w:r>
      <w:r w:rsidR="00D30C40">
        <w:rPr>
          <w:rFonts w:eastAsiaTheme="minorEastAsia"/>
        </w:rPr>
        <w:t xml:space="preserve">FTSE </w:t>
      </w:r>
      <w:r w:rsidR="00B906B0">
        <w:rPr>
          <w:rFonts w:eastAsiaTheme="minorEastAsia"/>
        </w:rPr>
        <w:t xml:space="preserve">indices. </w:t>
      </w:r>
      <w:r w:rsidR="006F3711">
        <w:rPr>
          <w:rFonts w:eastAsiaTheme="minorEastAsia"/>
        </w:rPr>
        <w:t>On the other hand the average time variation in the ERPs of ten FTSE industry portfolios explained by the durable, semi-durable and non-durab</w:t>
      </w:r>
      <w:r w:rsidR="001217E1">
        <w:rPr>
          <w:rFonts w:eastAsiaTheme="minorEastAsia"/>
        </w:rPr>
        <w:t>le consumption</w:t>
      </w:r>
      <w:r w:rsidR="00E92BEA">
        <w:rPr>
          <w:rFonts w:eastAsiaTheme="minorEastAsia"/>
        </w:rPr>
        <w:t xml:space="preserve">s are </w:t>
      </w:r>
      <w:r w:rsidR="0034202E">
        <w:rPr>
          <w:rFonts w:eastAsiaTheme="minorEastAsia"/>
        </w:rPr>
        <w:t>17.59</w:t>
      </w:r>
      <w:r w:rsidR="001217E1">
        <w:rPr>
          <w:rFonts w:eastAsiaTheme="minorEastAsia"/>
        </w:rPr>
        <w:t xml:space="preserve">%, </w:t>
      </w:r>
      <w:r w:rsidR="0034202E">
        <w:rPr>
          <w:rFonts w:eastAsiaTheme="minorEastAsia"/>
        </w:rPr>
        <w:t>17.28</w:t>
      </w:r>
      <w:r w:rsidR="001217E1">
        <w:rPr>
          <w:rFonts w:eastAsiaTheme="minorEastAsia"/>
        </w:rPr>
        <w:t>% and 19.</w:t>
      </w:r>
      <w:r w:rsidR="0034202E">
        <w:rPr>
          <w:rFonts w:eastAsiaTheme="minorEastAsia"/>
        </w:rPr>
        <w:t>69</w:t>
      </w:r>
      <w:r w:rsidR="006F3711">
        <w:rPr>
          <w:rFonts w:eastAsiaTheme="minorEastAsia"/>
        </w:rPr>
        <w:t>% respectively.</w:t>
      </w:r>
      <w:r w:rsidR="00B906B0">
        <w:rPr>
          <w:rFonts w:eastAsiaTheme="minorEastAsia"/>
        </w:rPr>
        <w:t xml:space="preserve"> </w:t>
      </w:r>
      <w:r w:rsidR="008D5A5B">
        <w:rPr>
          <w:rFonts w:eastAsiaTheme="minorEastAsia"/>
        </w:rPr>
        <w:t xml:space="preserve">The </w:t>
      </w:r>
      <w:r w:rsidR="008D5A5B" w:rsidRPr="0022226E">
        <w:rPr>
          <w:rFonts w:eastAsiaTheme="minorEastAsia"/>
        </w:rPr>
        <w:t>shocks in durable</w:t>
      </w:r>
      <w:r w:rsidR="008D5A5B">
        <w:rPr>
          <w:rFonts w:eastAsiaTheme="minorEastAsia"/>
        </w:rPr>
        <w:t xml:space="preserve">, semi-durable and durable </w:t>
      </w:r>
      <w:r w:rsidR="008D5A5B" w:rsidRPr="0022226E">
        <w:rPr>
          <w:rFonts w:eastAsiaTheme="minorEastAsia"/>
        </w:rPr>
        <w:t>consumption can explain 17.31%</w:t>
      </w:r>
      <w:r w:rsidR="008D5A5B">
        <w:rPr>
          <w:rFonts w:eastAsiaTheme="minorEastAsia"/>
        </w:rPr>
        <w:t xml:space="preserve">, </w:t>
      </w:r>
      <w:r w:rsidR="008D5A5B" w:rsidRPr="0022226E">
        <w:rPr>
          <w:rFonts w:eastAsiaTheme="minorEastAsia"/>
        </w:rPr>
        <w:t xml:space="preserve">16.90% </w:t>
      </w:r>
      <w:r w:rsidR="008D5A5B">
        <w:rPr>
          <w:rFonts w:eastAsiaTheme="minorEastAsia"/>
        </w:rPr>
        <w:t xml:space="preserve">and </w:t>
      </w:r>
      <w:r w:rsidR="008D5A5B" w:rsidRPr="0022226E">
        <w:rPr>
          <w:rFonts w:eastAsiaTheme="minorEastAsia"/>
        </w:rPr>
        <w:t>19.30%</w:t>
      </w:r>
      <w:r w:rsidR="008D5A5B">
        <w:rPr>
          <w:rFonts w:eastAsiaTheme="minorEastAsia"/>
        </w:rPr>
        <w:t xml:space="preserve"> </w:t>
      </w:r>
      <w:r w:rsidR="008D5A5B" w:rsidRPr="0022226E">
        <w:rPr>
          <w:rFonts w:eastAsiaTheme="minorEastAsia"/>
        </w:rPr>
        <w:t>time variation in the ERPs of cyclical industries as compared to 17.99%</w:t>
      </w:r>
      <w:r w:rsidR="008D5A5B">
        <w:rPr>
          <w:rFonts w:eastAsiaTheme="minorEastAsia"/>
        </w:rPr>
        <w:t xml:space="preserve">, </w:t>
      </w:r>
      <w:r w:rsidR="008D5A5B" w:rsidRPr="0022226E">
        <w:rPr>
          <w:rFonts w:eastAsiaTheme="minorEastAsia"/>
        </w:rPr>
        <w:t xml:space="preserve">17.86 % </w:t>
      </w:r>
      <w:r w:rsidR="008D5A5B">
        <w:rPr>
          <w:rFonts w:eastAsiaTheme="minorEastAsia"/>
        </w:rPr>
        <w:t xml:space="preserve">and </w:t>
      </w:r>
      <w:r w:rsidR="008D5A5B" w:rsidRPr="0022226E">
        <w:rPr>
          <w:rFonts w:eastAsiaTheme="minorEastAsia"/>
        </w:rPr>
        <w:t xml:space="preserve">20.28% variation in the ERPs of non-cyclical industries. </w:t>
      </w:r>
    </w:p>
    <w:p w:rsidR="00732F59" w:rsidRDefault="0034202E" w:rsidP="004A5752">
      <w:pPr>
        <w:spacing w:line="360" w:lineRule="auto"/>
        <w:rPr>
          <w:rFonts w:eastAsiaTheme="minorEastAsia"/>
        </w:rPr>
      </w:pPr>
      <w:r>
        <w:rPr>
          <w:rFonts w:eastAsiaTheme="minorEastAsia"/>
        </w:rPr>
        <w:t>Similar to</w:t>
      </w:r>
      <w:r w:rsidR="00E20465">
        <w:rPr>
          <w:rFonts w:eastAsiaTheme="minorEastAsia"/>
        </w:rPr>
        <w:t xml:space="preserve"> the </w:t>
      </w:r>
      <w:r w:rsidR="00396DE9">
        <w:rPr>
          <w:rFonts w:eastAsiaTheme="minorEastAsia"/>
        </w:rPr>
        <w:t xml:space="preserve">findings reported earlier where we used the aggregate consumption shocks, we find that the </w:t>
      </w:r>
      <w:r w:rsidR="00E20465">
        <w:rPr>
          <w:rFonts w:eastAsiaTheme="minorEastAsia"/>
        </w:rPr>
        <w:t>impa</w:t>
      </w:r>
      <w:r w:rsidR="00E1224D">
        <w:rPr>
          <w:rFonts w:eastAsiaTheme="minorEastAsia"/>
        </w:rPr>
        <w:t xml:space="preserve">ct of durable and </w:t>
      </w:r>
      <w:r w:rsidR="001217E1">
        <w:rPr>
          <w:rFonts w:eastAsiaTheme="minorEastAsia"/>
        </w:rPr>
        <w:t>s</w:t>
      </w:r>
      <w:r w:rsidR="00E20465">
        <w:rPr>
          <w:rFonts w:eastAsiaTheme="minorEastAsia"/>
        </w:rPr>
        <w:t xml:space="preserve">emi-durable </w:t>
      </w:r>
      <w:r w:rsidR="0022226E">
        <w:rPr>
          <w:rFonts w:eastAsiaTheme="minorEastAsia"/>
        </w:rPr>
        <w:t>consumption</w:t>
      </w:r>
      <w:r w:rsidR="00E20465">
        <w:rPr>
          <w:rFonts w:eastAsiaTheme="minorEastAsia"/>
        </w:rPr>
        <w:t xml:space="preserve"> </w:t>
      </w:r>
      <w:r w:rsidR="00396DE9">
        <w:rPr>
          <w:rFonts w:eastAsiaTheme="minorEastAsia"/>
        </w:rPr>
        <w:t xml:space="preserve">shocks </w:t>
      </w:r>
      <w:r w:rsidR="00E20465">
        <w:rPr>
          <w:rFonts w:eastAsiaTheme="minorEastAsia"/>
        </w:rPr>
        <w:t>on the ERP of the FTSE indices is negative</w:t>
      </w:r>
      <w:r w:rsidR="00396DE9">
        <w:rPr>
          <w:rFonts w:eastAsiaTheme="minorEastAsia"/>
        </w:rPr>
        <w:t xml:space="preserve">. This suggests that </w:t>
      </w:r>
      <w:r w:rsidR="00E20465">
        <w:rPr>
          <w:rFonts w:eastAsiaTheme="minorEastAsia"/>
        </w:rPr>
        <w:t xml:space="preserve">an unexpected fall in the durable and semi-durable consumption </w:t>
      </w:r>
      <w:r w:rsidR="00396DE9">
        <w:rPr>
          <w:rFonts w:eastAsiaTheme="minorEastAsia"/>
        </w:rPr>
        <w:t xml:space="preserve">will increase </w:t>
      </w:r>
      <w:r w:rsidR="00E20465">
        <w:rPr>
          <w:rFonts w:eastAsiaTheme="minorEastAsia"/>
        </w:rPr>
        <w:t xml:space="preserve">the ERP. </w:t>
      </w:r>
      <w:r w:rsidR="00164C3E">
        <w:rPr>
          <w:rFonts w:eastAsiaTheme="minorEastAsia"/>
        </w:rPr>
        <w:t xml:space="preserve">This is </w:t>
      </w:r>
      <w:r w:rsidR="00396DE9">
        <w:rPr>
          <w:rFonts w:eastAsiaTheme="minorEastAsia"/>
        </w:rPr>
        <w:t>probably</w:t>
      </w:r>
      <w:r w:rsidR="00164C3E">
        <w:rPr>
          <w:rFonts w:eastAsiaTheme="minorEastAsia"/>
        </w:rPr>
        <w:t xml:space="preserve"> because the </w:t>
      </w:r>
      <w:r w:rsidR="00396DE9">
        <w:rPr>
          <w:rFonts w:eastAsiaTheme="minorEastAsia"/>
        </w:rPr>
        <w:t xml:space="preserve">marginal utility of </w:t>
      </w:r>
      <w:r w:rsidR="00164C3E">
        <w:rPr>
          <w:rFonts w:eastAsiaTheme="minorEastAsia"/>
        </w:rPr>
        <w:t>durable and semi-durable consumpti</w:t>
      </w:r>
      <w:r w:rsidR="00E1224D">
        <w:rPr>
          <w:rFonts w:eastAsiaTheme="minorEastAsia"/>
        </w:rPr>
        <w:t xml:space="preserve">on </w:t>
      </w:r>
      <w:r w:rsidR="00396DE9">
        <w:rPr>
          <w:rFonts w:eastAsiaTheme="minorEastAsia"/>
        </w:rPr>
        <w:t>rises</w:t>
      </w:r>
      <w:r w:rsidR="00B25A72">
        <w:rPr>
          <w:rFonts w:eastAsiaTheme="minorEastAsia"/>
        </w:rPr>
        <w:t xml:space="preserve"> more</w:t>
      </w:r>
      <w:r w:rsidR="00396DE9">
        <w:rPr>
          <w:rFonts w:eastAsiaTheme="minorEastAsia"/>
        </w:rPr>
        <w:t xml:space="preserve"> </w:t>
      </w:r>
      <w:r w:rsidR="00164C3E">
        <w:rPr>
          <w:rFonts w:eastAsiaTheme="minorEastAsia"/>
        </w:rPr>
        <w:t>during a recession</w:t>
      </w:r>
      <w:r w:rsidR="00396DE9">
        <w:rPr>
          <w:rFonts w:eastAsiaTheme="minorEastAsia"/>
        </w:rPr>
        <w:t xml:space="preserve"> as opposed to the </w:t>
      </w:r>
      <w:r w:rsidR="00B25A72">
        <w:rPr>
          <w:rFonts w:eastAsiaTheme="minorEastAsia"/>
        </w:rPr>
        <w:t>marginal utility</w:t>
      </w:r>
      <w:r w:rsidR="00396DE9">
        <w:rPr>
          <w:rFonts w:eastAsiaTheme="minorEastAsia"/>
        </w:rPr>
        <w:t xml:space="preserve"> derived from the </w:t>
      </w:r>
      <w:r w:rsidR="00732F59">
        <w:rPr>
          <w:rFonts w:eastAsiaTheme="minorEastAsia"/>
        </w:rPr>
        <w:t>non-durable consumption</w:t>
      </w:r>
      <w:r w:rsidR="00164C3E">
        <w:rPr>
          <w:rFonts w:eastAsiaTheme="minorEastAsia"/>
        </w:rPr>
        <w:t xml:space="preserve">. </w:t>
      </w:r>
      <w:r w:rsidR="00396DE9">
        <w:rPr>
          <w:rFonts w:eastAsiaTheme="minorEastAsia"/>
        </w:rPr>
        <w:t xml:space="preserve">This would imply that stocks must provide higher risk premium </w:t>
      </w:r>
      <w:r w:rsidR="00164C3E">
        <w:rPr>
          <w:rFonts w:eastAsiaTheme="minorEastAsia"/>
        </w:rPr>
        <w:t>to compensate the investor for bearing additional risk</w:t>
      </w:r>
      <w:r w:rsidR="00B25A72">
        <w:rPr>
          <w:rFonts w:eastAsiaTheme="minorEastAsia"/>
        </w:rPr>
        <w:t xml:space="preserve"> of durable and semi-durable consumption shocks</w:t>
      </w:r>
      <w:r w:rsidR="00396DE9">
        <w:rPr>
          <w:rFonts w:eastAsiaTheme="minorEastAsia"/>
        </w:rPr>
        <w:t xml:space="preserve">. </w:t>
      </w:r>
    </w:p>
    <w:p w:rsidR="000538F3" w:rsidRDefault="008B2D18" w:rsidP="004A5752">
      <w:pPr>
        <w:spacing w:line="360" w:lineRule="auto"/>
        <w:rPr>
          <w:rFonts w:eastAsiaTheme="minorEastAsia"/>
        </w:rPr>
      </w:pPr>
      <w:r>
        <w:rPr>
          <w:rFonts w:eastAsiaTheme="minorEastAsia"/>
        </w:rPr>
        <w:t xml:space="preserve">On the contrary, we find that the </w:t>
      </w:r>
      <w:r w:rsidR="00AB2B17">
        <w:rPr>
          <w:rFonts w:eastAsiaTheme="minorEastAsia"/>
        </w:rPr>
        <w:t xml:space="preserve">non-durable consumption </w:t>
      </w:r>
      <w:r>
        <w:rPr>
          <w:rFonts w:eastAsiaTheme="minorEastAsia"/>
        </w:rPr>
        <w:t>shocks are positively related to the ERP</w:t>
      </w:r>
      <w:r w:rsidR="00634BB2">
        <w:rPr>
          <w:rFonts w:eastAsiaTheme="minorEastAsia"/>
        </w:rPr>
        <w:t xml:space="preserve"> which suggests that </w:t>
      </w:r>
      <w:r w:rsidR="00AB2B17">
        <w:rPr>
          <w:rFonts w:eastAsiaTheme="minorEastAsia"/>
        </w:rPr>
        <w:t>an unexpected fall in non-durable consumption leads to fall in the ERP</w:t>
      </w:r>
      <w:r w:rsidR="00634BB2">
        <w:rPr>
          <w:rFonts w:eastAsiaTheme="minorEastAsia"/>
        </w:rPr>
        <w:t xml:space="preserve">. </w:t>
      </w:r>
      <w:r w:rsidR="00AB2B17">
        <w:rPr>
          <w:rFonts w:eastAsiaTheme="minorEastAsia"/>
        </w:rPr>
        <w:t xml:space="preserve">This </w:t>
      </w:r>
      <w:r w:rsidR="00634BB2">
        <w:rPr>
          <w:rFonts w:eastAsiaTheme="minorEastAsia"/>
        </w:rPr>
        <w:t xml:space="preserve">could be </w:t>
      </w:r>
      <w:r w:rsidR="00AB2B17">
        <w:rPr>
          <w:rFonts w:eastAsiaTheme="minorEastAsia"/>
        </w:rPr>
        <w:t>because non-durable consumption does not show strong pro-cyclical properties as compared to durable or semi-dura</w:t>
      </w:r>
      <w:r w:rsidR="00E1224D">
        <w:rPr>
          <w:rFonts w:eastAsiaTheme="minorEastAsia"/>
        </w:rPr>
        <w:t xml:space="preserve">ble consumption. Therefore, an </w:t>
      </w:r>
      <w:r w:rsidR="00AB2B17">
        <w:rPr>
          <w:rFonts w:eastAsiaTheme="minorEastAsia"/>
        </w:rPr>
        <w:t xml:space="preserve">unexpected deviation of non-durable consumption from its theoretically expected path may not exert </w:t>
      </w:r>
      <w:r w:rsidR="00B25A72">
        <w:rPr>
          <w:rFonts w:eastAsiaTheme="minorEastAsia"/>
        </w:rPr>
        <w:t>the</w:t>
      </w:r>
      <w:r w:rsidR="00634BB2">
        <w:rPr>
          <w:rFonts w:eastAsiaTheme="minorEastAsia"/>
        </w:rPr>
        <w:t xml:space="preserve"> </w:t>
      </w:r>
      <w:r w:rsidR="00AB2B17">
        <w:rPr>
          <w:rFonts w:eastAsiaTheme="minorEastAsia"/>
        </w:rPr>
        <w:t xml:space="preserve">similar </w:t>
      </w:r>
      <w:r w:rsidR="00B25A72">
        <w:rPr>
          <w:rFonts w:eastAsiaTheme="minorEastAsia"/>
        </w:rPr>
        <w:t xml:space="preserve">impact </w:t>
      </w:r>
      <w:r w:rsidR="00634BB2">
        <w:rPr>
          <w:rFonts w:eastAsiaTheme="minorEastAsia"/>
        </w:rPr>
        <w:t xml:space="preserve">to the one by </w:t>
      </w:r>
      <w:r w:rsidR="00AB2B17">
        <w:rPr>
          <w:rFonts w:eastAsiaTheme="minorEastAsia"/>
        </w:rPr>
        <w:t xml:space="preserve">the </w:t>
      </w:r>
      <w:r w:rsidR="00E1224D">
        <w:rPr>
          <w:rFonts w:eastAsiaTheme="minorEastAsia"/>
        </w:rPr>
        <w:t>d</w:t>
      </w:r>
      <w:r w:rsidR="00AB2B17">
        <w:rPr>
          <w:rFonts w:eastAsiaTheme="minorEastAsia"/>
        </w:rPr>
        <w:t>urable of semi-durable consumption</w:t>
      </w:r>
      <w:r w:rsidR="00634BB2">
        <w:rPr>
          <w:rFonts w:eastAsiaTheme="minorEastAsia"/>
        </w:rPr>
        <w:t xml:space="preserve"> shocks</w:t>
      </w:r>
      <w:r w:rsidR="00AB2B17">
        <w:rPr>
          <w:rFonts w:eastAsiaTheme="minorEastAsia"/>
        </w:rPr>
        <w:t>.</w:t>
      </w:r>
      <w:r w:rsidR="004662E6">
        <w:rPr>
          <w:rFonts w:eastAsiaTheme="minorEastAsia"/>
        </w:rPr>
        <w:t xml:space="preserve"> This could </w:t>
      </w:r>
      <w:r w:rsidR="00634BB2">
        <w:rPr>
          <w:rFonts w:eastAsiaTheme="minorEastAsia"/>
        </w:rPr>
        <w:t xml:space="preserve">also explain </w:t>
      </w:r>
      <w:r w:rsidR="004662E6">
        <w:rPr>
          <w:rFonts w:eastAsiaTheme="minorEastAsia"/>
        </w:rPr>
        <w:t xml:space="preserve">why the </w:t>
      </w:r>
      <w:r w:rsidR="00634BB2">
        <w:rPr>
          <w:rFonts w:eastAsiaTheme="minorEastAsia"/>
        </w:rPr>
        <w:t xml:space="preserve">ERP measured using </w:t>
      </w:r>
      <w:r w:rsidR="004662E6">
        <w:rPr>
          <w:rFonts w:eastAsiaTheme="minorEastAsia"/>
        </w:rPr>
        <w:t xml:space="preserve">canonical C-CAPM is </w:t>
      </w:r>
      <w:r w:rsidR="00634BB2">
        <w:rPr>
          <w:rFonts w:eastAsiaTheme="minorEastAsia"/>
        </w:rPr>
        <w:t xml:space="preserve">different from the actual ERP since </w:t>
      </w:r>
      <w:r w:rsidR="004662E6">
        <w:rPr>
          <w:rFonts w:eastAsiaTheme="minorEastAsia"/>
        </w:rPr>
        <w:t xml:space="preserve">empirical </w:t>
      </w:r>
      <w:r w:rsidR="00634BB2">
        <w:rPr>
          <w:rFonts w:eastAsiaTheme="minorEastAsia"/>
        </w:rPr>
        <w:t xml:space="preserve">applications of </w:t>
      </w:r>
      <w:r w:rsidR="00F5229D">
        <w:rPr>
          <w:rFonts w:eastAsiaTheme="minorEastAsia"/>
        </w:rPr>
        <w:t xml:space="preserve">C-CAPM </w:t>
      </w:r>
      <w:r w:rsidR="00634BB2">
        <w:rPr>
          <w:rFonts w:eastAsiaTheme="minorEastAsia"/>
        </w:rPr>
        <w:t xml:space="preserve">mostly use </w:t>
      </w:r>
      <w:r w:rsidR="004662E6">
        <w:rPr>
          <w:rFonts w:eastAsiaTheme="minorEastAsia"/>
        </w:rPr>
        <w:t>non-durable consumption data.</w:t>
      </w:r>
      <w:r w:rsidR="005E3D16">
        <w:rPr>
          <w:rFonts w:eastAsiaTheme="minorEastAsia"/>
        </w:rPr>
        <w:t xml:space="preserve"> </w:t>
      </w:r>
      <w:r w:rsidR="00732F59">
        <w:rPr>
          <w:rFonts w:eastAsiaTheme="minorEastAsia"/>
        </w:rPr>
        <w:t xml:space="preserve">Another possible explanation for this asymmetric impact is that </w:t>
      </w:r>
      <w:r w:rsidR="003E4648">
        <w:rPr>
          <w:rFonts w:eastAsiaTheme="minorEastAsia"/>
        </w:rPr>
        <w:t>since d</w:t>
      </w:r>
      <w:r w:rsidR="00732F59">
        <w:rPr>
          <w:rFonts w:eastAsiaTheme="minorEastAsia"/>
        </w:rPr>
        <w:t>urable and semi-durable consumption provide services and utility for longer periods of time, the</w:t>
      </w:r>
      <w:r w:rsidR="003E4648">
        <w:rPr>
          <w:rFonts w:eastAsiaTheme="minorEastAsia"/>
        </w:rPr>
        <w:t xml:space="preserve">se </w:t>
      </w:r>
      <w:r w:rsidR="00732F59">
        <w:rPr>
          <w:rFonts w:eastAsiaTheme="minorEastAsia"/>
        </w:rPr>
        <w:t xml:space="preserve">can be postponed especially during recession </w:t>
      </w:r>
      <w:r w:rsidR="003E4648">
        <w:rPr>
          <w:rFonts w:eastAsiaTheme="minorEastAsia"/>
        </w:rPr>
        <w:t>and/</w:t>
      </w:r>
      <w:r w:rsidR="00732F59">
        <w:rPr>
          <w:rFonts w:eastAsiaTheme="minorEastAsia"/>
        </w:rPr>
        <w:t xml:space="preserve">or due to unexpected </w:t>
      </w:r>
      <w:r w:rsidR="003E4648">
        <w:rPr>
          <w:rFonts w:eastAsiaTheme="minorEastAsia"/>
        </w:rPr>
        <w:t xml:space="preserve">change in </w:t>
      </w:r>
      <w:r w:rsidR="00732F59">
        <w:rPr>
          <w:rFonts w:eastAsiaTheme="minorEastAsia"/>
        </w:rPr>
        <w:t>income</w:t>
      </w:r>
      <w:r w:rsidR="003E4648">
        <w:rPr>
          <w:rFonts w:eastAsiaTheme="minorEastAsia"/>
        </w:rPr>
        <w:t xml:space="preserve">. Hence, </w:t>
      </w:r>
      <w:r w:rsidR="00732F59">
        <w:rPr>
          <w:rFonts w:eastAsiaTheme="minorEastAsia"/>
        </w:rPr>
        <w:t xml:space="preserve">the consumption of durable and semi-durable goods are </w:t>
      </w:r>
      <w:r w:rsidR="003E4648">
        <w:rPr>
          <w:rFonts w:eastAsiaTheme="minorEastAsia"/>
        </w:rPr>
        <w:t xml:space="preserve">relatively </w:t>
      </w:r>
      <w:r w:rsidR="00732F59">
        <w:rPr>
          <w:rFonts w:eastAsiaTheme="minorEastAsia"/>
        </w:rPr>
        <w:t>discretiona</w:t>
      </w:r>
      <w:r w:rsidR="00BE2CE1">
        <w:rPr>
          <w:rFonts w:eastAsiaTheme="minorEastAsia"/>
        </w:rPr>
        <w:t>ry than non-durable consumption</w:t>
      </w:r>
      <w:r w:rsidR="005E3D16">
        <w:rPr>
          <w:rFonts w:eastAsiaTheme="minorEastAsia"/>
        </w:rPr>
        <w:t xml:space="preserve">. </w:t>
      </w:r>
      <w:r w:rsidR="00F20288">
        <w:rPr>
          <w:rFonts w:eastAsiaTheme="minorEastAsia"/>
        </w:rPr>
        <w:t xml:space="preserve">Therefore, </w:t>
      </w:r>
      <w:r w:rsidR="005E3D16">
        <w:rPr>
          <w:rFonts w:eastAsiaTheme="minorEastAsia"/>
        </w:rPr>
        <w:t xml:space="preserve">the relationship of non-durable consumptions shocks </w:t>
      </w:r>
      <w:r w:rsidR="009970B9">
        <w:rPr>
          <w:rFonts w:eastAsiaTheme="minorEastAsia"/>
        </w:rPr>
        <w:t xml:space="preserve">with ERP </w:t>
      </w:r>
      <w:r w:rsidR="005E3D16">
        <w:rPr>
          <w:rFonts w:eastAsiaTheme="minorEastAsia"/>
        </w:rPr>
        <w:t xml:space="preserve">is different than the relationship between durable </w:t>
      </w:r>
      <w:r w:rsidR="009970B9">
        <w:rPr>
          <w:rFonts w:eastAsiaTheme="minorEastAsia"/>
        </w:rPr>
        <w:t xml:space="preserve">and semi-durable </w:t>
      </w:r>
      <w:r w:rsidR="005E3D16">
        <w:rPr>
          <w:rFonts w:eastAsiaTheme="minorEastAsia"/>
        </w:rPr>
        <w:t xml:space="preserve">consumption shocks </w:t>
      </w:r>
      <w:r w:rsidR="009970B9">
        <w:rPr>
          <w:rFonts w:eastAsiaTheme="minorEastAsia"/>
        </w:rPr>
        <w:t>with</w:t>
      </w:r>
      <w:r w:rsidR="005E3D16">
        <w:rPr>
          <w:rFonts w:eastAsiaTheme="minorEastAsia"/>
        </w:rPr>
        <w:t xml:space="preserve"> the ERP. </w:t>
      </w:r>
    </w:p>
    <w:p w:rsidR="00897208" w:rsidRPr="00CB7B77" w:rsidRDefault="00587BA1" w:rsidP="00897208">
      <w:pPr>
        <w:spacing w:line="360" w:lineRule="auto"/>
        <w:rPr>
          <w:rFonts w:eastAsiaTheme="minorEastAsia"/>
        </w:rPr>
      </w:pPr>
      <w:r>
        <w:rPr>
          <w:rFonts w:eastAsiaTheme="minorEastAsia"/>
        </w:rPr>
        <w:t>To check the robustness of these results w</w:t>
      </w:r>
      <w:r w:rsidR="00897208" w:rsidRPr="00CB7B77">
        <w:rPr>
          <w:rFonts w:eastAsiaTheme="minorEastAsia"/>
        </w:rPr>
        <w:t xml:space="preserve">e repeat our analysis </w:t>
      </w:r>
      <w:r w:rsidR="00A0334F">
        <w:rPr>
          <w:rFonts w:eastAsiaTheme="minorEastAsia"/>
        </w:rPr>
        <w:t xml:space="preserve">by </w:t>
      </w:r>
      <w:r w:rsidR="005E3D16">
        <w:rPr>
          <w:rFonts w:eastAsiaTheme="minorEastAsia"/>
        </w:rPr>
        <w:t xml:space="preserve">including control factors i.e., </w:t>
      </w:r>
      <w:r w:rsidR="00897208" w:rsidRPr="00CB7B77">
        <w:rPr>
          <w:rFonts w:eastAsiaTheme="minorEastAsia"/>
        </w:rPr>
        <w:t xml:space="preserve">the size premium, value premium and the momentum factor. </w:t>
      </w:r>
      <w:r w:rsidR="005E3D16">
        <w:rPr>
          <w:rFonts w:eastAsiaTheme="minorEastAsia"/>
        </w:rPr>
        <w:t>We estimate the following regressions: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7"/>
        <w:gridCol w:w="1179"/>
      </w:tblGrid>
      <w:tr w:rsidR="00897208" w:rsidTr="002D557E">
        <w:tc>
          <w:tcPr>
            <w:tcW w:w="8046" w:type="dxa"/>
            <w:vAlign w:val="center"/>
          </w:tcPr>
          <w:p w:rsidR="00897208" w:rsidRDefault="005E14F1" w:rsidP="002D557E">
            <w:pPr>
              <w:spacing w:line="360" w:lineRule="auto"/>
              <w:jc w:val="center"/>
              <w:rPr>
                <w:rFonts w:eastAsiaTheme="minorEastAsia"/>
              </w:rPr>
            </w:pPr>
            <m:oMathPara>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dc</m:t>
                    </m:r>
                  </m:sub>
                  <m:sup>
                    <m:r>
                      <w:rPr>
                        <w:rFonts w:ascii="Cambria Math" w:eastAsiaTheme="minorEastAsia" w:hAnsi="Cambria Math"/>
                      </w:rPr>
                      <m:t>i</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t</m:t>
                    </m:r>
                  </m:sub>
                  <m:sup>
                    <m:r>
                      <w:rPr>
                        <w:rFonts w:ascii="Cambria Math" w:eastAsiaTheme="minorEastAsia" w:hAnsi="Cambria Math"/>
                      </w:rPr>
                      <m:t>dc</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s</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SMB</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v</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HML</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m</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UMD</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1.t</m:t>
                    </m:r>
                  </m:sub>
                  <m:sup>
                    <m:r>
                      <w:rPr>
                        <w:rFonts w:ascii="Cambria Math" w:eastAsiaTheme="minorEastAsia" w:hAnsi="Cambria Math"/>
                      </w:rPr>
                      <m:t>i</m:t>
                    </m:r>
                  </m:sup>
                </m:sSubSup>
              </m:oMath>
            </m:oMathPara>
          </w:p>
        </w:tc>
        <w:tc>
          <w:tcPr>
            <w:tcW w:w="1196" w:type="dxa"/>
          </w:tcPr>
          <w:p w:rsidR="00897208" w:rsidRPr="009F4458" w:rsidRDefault="000C0A6C" w:rsidP="002D557E">
            <w:pPr>
              <w:spacing w:line="360" w:lineRule="auto"/>
              <w:jc w:val="center"/>
              <w:rPr>
                <w:rFonts w:eastAsia="Calibri" w:cs="Times New Roman"/>
              </w:rPr>
            </w:pPr>
            <w:r>
              <w:rPr>
                <w:rFonts w:eastAsia="Calibri" w:cs="Times New Roman"/>
              </w:rPr>
              <w:t>(25</w:t>
            </w:r>
            <w:r w:rsidR="00897208">
              <w:rPr>
                <w:rFonts w:eastAsia="Calibri" w:cs="Times New Roman"/>
              </w:rPr>
              <w:t>)</w:t>
            </w:r>
          </w:p>
        </w:tc>
      </w:tr>
      <w:tr w:rsidR="00897208" w:rsidTr="002D557E">
        <w:tc>
          <w:tcPr>
            <w:tcW w:w="8046" w:type="dxa"/>
            <w:vAlign w:val="center"/>
          </w:tcPr>
          <w:p w:rsidR="00897208" w:rsidRDefault="005E14F1" w:rsidP="002D557E">
            <w:pPr>
              <w:spacing w:line="360" w:lineRule="auto"/>
              <w:jc w:val="center"/>
              <w:rPr>
                <w:rFonts w:eastAsiaTheme="minorEastAsia"/>
              </w:rPr>
            </w:pPr>
            <m:oMathPara>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2,i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sdc</m:t>
                    </m:r>
                  </m:sub>
                  <m:sup>
                    <m:r>
                      <w:rPr>
                        <w:rFonts w:ascii="Cambria Math" w:eastAsiaTheme="minorEastAsia" w:hAnsi="Cambria Math"/>
                      </w:rPr>
                      <m:t>i</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t</m:t>
                    </m:r>
                  </m:sub>
                  <m:sup>
                    <m:r>
                      <w:rPr>
                        <w:rFonts w:ascii="Cambria Math" w:eastAsiaTheme="minorEastAsia" w:hAnsi="Cambria Math"/>
                      </w:rPr>
                      <m:t>sdc</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s</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SMB</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v</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HML</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m</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UMD</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2,t</m:t>
                    </m:r>
                  </m:sub>
                  <m:sup>
                    <m:r>
                      <w:rPr>
                        <w:rFonts w:ascii="Cambria Math" w:eastAsiaTheme="minorEastAsia" w:hAnsi="Cambria Math"/>
                      </w:rPr>
                      <m:t>i</m:t>
                    </m:r>
                  </m:sup>
                </m:sSubSup>
              </m:oMath>
            </m:oMathPara>
          </w:p>
        </w:tc>
        <w:tc>
          <w:tcPr>
            <w:tcW w:w="1196" w:type="dxa"/>
          </w:tcPr>
          <w:p w:rsidR="00897208" w:rsidRPr="009F4458" w:rsidRDefault="000C0A6C" w:rsidP="002D557E">
            <w:pPr>
              <w:spacing w:line="360" w:lineRule="auto"/>
              <w:jc w:val="center"/>
              <w:rPr>
                <w:rFonts w:eastAsia="Calibri" w:cs="Times New Roman"/>
              </w:rPr>
            </w:pPr>
            <w:r>
              <w:rPr>
                <w:rFonts w:eastAsia="Calibri" w:cs="Times New Roman"/>
              </w:rPr>
              <w:t>(26</w:t>
            </w:r>
            <w:r w:rsidR="00897208">
              <w:rPr>
                <w:rFonts w:eastAsia="Calibri" w:cs="Times New Roman"/>
              </w:rPr>
              <w:t>)</w:t>
            </w:r>
          </w:p>
        </w:tc>
      </w:tr>
      <w:tr w:rsidR="00897208" w:rsidTr="002D557E">
        <w:tc>
          <w:tcPr>
            <w:tcW w:w="8046" w:type="dxa"/>
            <w:vAlign w:val="center"/>
          </w:tcPr>
          <w:p w:rsidR="00897208" w:rsidRDefault="005E14F1" w:rsidP="002D557E">
            <w:pPr>
              <w:spacing w:line="360" w:lineRule="auto"/>
              <w:jc w:val="center"/>
              <w:rPr>
                <w:rFonts w:eastAsiaTheme="minorEastAsia"/>
              </w:rPr>
            </w:pPr>
            <m:oMathPara>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3,i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ndc</m:t>
                    </m:r>
                  </m:sub>
                  <m:sup>
                    <m:r>
                      <w:rPr>
                        <w:rFonts w:ascii="Cambria Math" w:eastAsiaTheme="minorEastAsia" w:hAnsi="Cambria Math"/>
                      </w:rPr>
                      <m:t>i</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t</m:t>
                    </m:r>
                  </m:sub>
                  <m:sup>
                    <m:r>
                      <w:rPr>
                        <w:rFonts w:ascii="Cambria Math" w:eastAsiaTheme="minorEastAsia" w:hAnsi="Cambria Math"/>
                      </w:rPr>
                      <m:t>ndc</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s</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SMB</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v</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HML</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m</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UMD</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3,t</m:t>
                    </m:r>
                  </m:sub>
                  <m:sup>
                    <m:r>
                      <w:rPr>
                        <w:rFonts w:ascii="Cambria Math" w:eastAsiaTheme="minorEastAsia" w:hAnsi="Cambria Math"/>
                      </w:rPr>
                      <m:t>i</m:t>
                    </m:r>
                  </m:sup>
                </m:sSubSup>
              </m:oMath>
            </m:oMathPara>
          </w:p>
        </w:tc>
        <w:tc>
          <w:tcPr>
            <w:tcW w:w="1196" w:type="dxa"/>
          </w:tcPr>
          <w:p w:rsidR="00897208" w:rsidRPr="009F4458" w:rsidRDefault="000C0A6C" w:rsidP="002D557E">
            <w:pPr>
              <w:spacing w:line="360" w:lineRule="auto"/>
              <w:jc w:val="center"/>
              <w:rPr>
                <w:rFonts w:eastAsia="Calibri" w:cs="Times New Roman"/>
              </w:rPr>
            </w:pPr>
            <w:r>
              <w:rPr>
                <w:rFonts w:eastAsia="Calibri" w:cs="Times New Roman"/>
              </w:rPr>
              <w:t>(27</w:t>
            </w:r>
            <w:r w:rsidR="00897208">
              <w:rPr>
                <w:rFonts w:eastAsia="Calibri" w:cs="Times New Roman"/>
              </w:rPr>
              <w:t>)</w:t>
            </w:r>
          </w:p>
        </w:tc>
      </w:tr>
    </w:tbl>
    <w:p w:rsidR="00897208" w:rsidRDefault="00897208" w:rsidP="00897208">
      <w:pPr>
        <w:spacing w:line="360" w:lineRule="auto"/>
        <w:rPr>
          <w:rFonts w:eastAsiaTheme="minorEastAsia"/>
        </w:rPr>
      </w:pPr>
    </w:p>
    <w:p w:rsidR="00897208" w:rsidRPr="002E4C4F" w:rsidRDefault="00897208" w:rsidP="00897208">
      <w:pPr>
        <w:spacing w:line="360" w:lineRule="auto"/>
        <w:jc w:val="center"/>
        <w:rPr>
          <w:rFonts w:eastAsiaTheme="minorEastAsia"/>
          <w:i/>
        </w:rPr>
      </w:pPr>
      <w:r>
        <w:rPr>
          <w:rFonts w:eastAsiaTheme="minorEastAsia"/>
          <w:i/>
        </w:rPr>
        <w:t>***</w:t>
      </w:r>
      <w:r w:rsidR="00F07A57">
        <w:rPr>
          <w:rFonts w:eastAsiaTheme="minorEastAsia"/>
          <w:i/>
        </w:rPr>
        <w:t xml:space="preserve">Please </w:t>
      </w:r>
      <w:r>
        <w:rPr>
          <w:rFonts w:eastAsiaTheme="minorEastAsia"/>
          <w:i/>
        </w:rPr>
        <w:t>insert table 9 about here***</w:t>
      </w:r>
    </w:p>
    <w:p w:rsidR="00897208" w:rsidRDefault="00897208" w:rsidP="00897208">
      <w:pPr>
        <w:spacing w:line="360" w:lineRule="auto"/>
        <w:rPr>
          <w:rFonts w:eastAsiaTheme="minorEastAsia"/>
        </w:rPr>
      </w:pPr>
      <w:r w:rsidRPr="00CB7B77">
        <w:rPr>
          <w:rFonts w:eastAsiaTheme="minorEastAsia"/>
        </w:rPr>
        <w:t xml:space="preserve">Panels A, B and C </w:t>
      </w:r>
      <w:r w:rsidR="005E3D16">
        <w:rPr>
          <w:rFonts w:eastAsiaTheme="minorEastAsia"/>
        </w:rPr>
        <w:t xml:space="preserve">of Table 9 </w:t>
      </w:r>
      <w:r w:rsidRPr="00CB7B77">
        <w:rPr>
          <w:rFonts w:eastAsiaTheme="minorEastAsia"/>
        </w:rPr>
        <w:t>respectively show the impact of durable, semi-durable and non-durable consumption shocks</w:t>
      </w:r>
      <w:r w:rsidR="005E3D16">
        <w:rPr>
          <w:rFonts w:eastAsiaTheme="minorEastAsia"/>
        </w:rPr>
        <w:t>. D</w:t>
      </w:r>
      <w:r w:rsidRPr="00CB7B77">
        <w:rPr>
          <w:rFonts w:eastAsiaTheme="minorEastAsia"/>
        </w:rPr>
        <w:t xml:space="preserve">urable and semi-durable consumption shocks exerts a negative impact on the ERPs of the various FTSE indices, whereas non-durable consumption shocks have a positive impact, even after controlling for the size premium, value premium and the momentum factor. In all the cases the momentum factor does not </w:t>
      </w:r>
      <w:r w:rsidR="00FB2FB6">
        <w:rPr>
          <w:rFonts w:eastAsiaTheme="minorEastAsia"/>
        </w:rPr>
        <w:t>have a significant</w:t>
      </w:r>
      <w:r w:rsidRPr="00CB7B77">
        <w:rPr>
          <w:rFonts w:eastAsiaTheme="minorEastAsia"/>
        </w:rPr>
        <w:t xml:space="preserve"> </w:t>
      </w:r>
      <w:r w:rsidR="00FB2FB6">
        <w:rPr>
          <w:rFonts w:eastAsiaTheme="minorEastAsia"/>
        </w:rPr>
        <w:t>impact</w:t>
      </w:r>
      <w:r w:rsidRPr="00CB7B77">
        <w:rPr>
          <w:rFonts w:eastAsiaTheme="minorEastAsia"/>
        </w:rPr>
        <w:t xml:space="preserve"> </w:t>
      </w:r>
      <w:r w:rsidR="00FB2FB6">
        <w:rPr>
          <w:rFonts w:eastAsiaTheme="minorEastAsia"/>
        </w:rPr>
        <w:t>on</w:t>
      </w:r>
      <w:r w:rsidRPr="00CB7B77">
        <w:rPr>
          <w:rFonts w:eastAsiaTheme="minorEastAsia"/>
        </w:rPr>
        <w:t xml:space="preserve"> the ERPs</w:t>
      </w:r>
      <w:r w:rsidR="00FB2FB6">
        <w:rPr>
          <w:rFonts w:eastAsiaTheme="minorEastAsia"/>
        </w:rPr>
        <w:t xml:space="preserve"> of the FTSE indices</w:t>
      </w:r>
      <w:r w:rsidRPr="00CB7B77">
        <w:rPr>
          <w:rFonts w:eastAsiaTheme="minorEastAsia"/>
        </w:rPr>
        <w:t xml:space="preserve">. In some cases, such as the ERPs of the FTSE 100 index and </w:t>
      </w:r>
      <w:r w:rsidR="00FB2FB6">
        <w:rPr>
          <w:rFonts w:eastAsiaTheme="minorEastAsia"/>
        </w:rPr>
        <w:t>the ERP of</w:t>
      </w:r>
      <w:r w:rsidRPr="00CB7B77">
        <w:rPr>
          <w:rFonts w:eastAsiaTheme="minorEastAsia"/>
        </w:rPr>
        <w:t xml:space="preserve"> O</w:t>
      </w:r>
      <w:r w:rsidR="00FB2FB6">
        <w:rPr>
          <w:rFonts w:eastAsiaTheme="minorEastAsia"/>
        </w:rPr>
        <w:t>il and Gases and Telecoms, the</w:t>
      </w:r>
      <w:r w:rsidRPr="00CB7B77">
        <w:rPr>
          <w:rFonts w:eastAsiaTheme="minorEastAsia"/>
        </w:rPr>
        <w:t xml:space="preserve"> durable, semi-durable and non- durable consumption shocks overshadows the size premium, value premium and the momentum factor. </w:t>
      </w:r>
      <w:r w:rsidR="00111079">
        <w:rPr>
          <w:rFonts w:eastAsiaTheme="minorEastAsia"/>
        </w:rPr>
        <w:t xml:space="preserve">The ERP of FTSE 250 index is </w:t>
      </w:r>
      <w:r w:rsidR="005E3D16">
        <w:rPr>
          <w:rFonts w:eastAsiaTheme="minorEastAsia"/>
        </w:rPr>
        <w:t xml:space="preserve">marginally </w:t>
      </w:r>
      <w:r w:rsidR="00111079">
        <w:rPr>
          <w:rFonts w:eastAsiaTheme="minorEastAsia"/>
        </w:rPr>
        <w:t xml:space="preserve">more sensitive to durable, semi-durable and non-durable consumption shocks </w:t>
      </w:r>
      <w:r w:rsidR="005E3D16">
        <w:rPr>
          <w:rFonts w:eastAsiaTheme="minorEastAsia"/>
        </w:rPr>
        <w:t xml:space="preserve">as the beta coefficients are higher </w:t>
      </w:r>
      <w:r w:rsidR="00111079">
        <w:rPr>
          <w:rFonts w:eastAsiaTheme="minorEastAsia"/>
        </w:rPr>
        <w:t xml:space="preserve">than </w:t>
      </w:r>
      <w:r w:rsidR="005E3D16">
        <w:rPr>
          <w:rFonts w:eastAsiaTheme="minorEastAsia"/>
        </w:rPr>
        <w:t xml:space="preserve">the ones for </w:t>
      </w:r>
      <w:r w:rsidR="00111079">
        <w:rPr>
          <w:rFonts w:eastAsiaTheme="minorEastAsia"/>
        </w:rPr>
        <w:t xml:space="preserve">FTSE 100 index. </w:t>
      </w:r>
    </w:p>
    <w:p w:rsidR="00227B2C" w:rsidRPr="002E4C4F" w:rsidRDefault="00897208" w:rsidP="004A5752">
      <w:pPr>
        <w:spacing w:line="360" w:lineRule="auto"/>
        <w:jc w:val="center"/>
        <w:rPr>
          <w:rFonts w:eastAsiaTheme="minorEastAsia"/>
          <w:i/>
        </w:rPr>
      </w:pPr>
      <w:r>
        <w:rPr>
          <w:rFonts w:eastAsiaTheme="minorEastAsia"/>
          <w:i/>
        </w:rPr>
        <w:t>***</w:t>
      </w:r>
      <w:r w:rsidR="00F07A57">
        <w:rPr>
          <w:rFonts w:eastAsiaTheme="minorEastAsia"/>
          <w:i/>
        </w:rPr>
        <w:t xml:space="preserve">Please </w:t>
      </w:r>
      <w:r>
        <w:rPr>
          <w:rFonts w:eastAsiaTheme="minorEastAsia"/>
          <w:i/>
        </w:rPr>
        <w:t>insert table 10</w:t>
      </w:r>
      <w:r w:rsidR="002E4C4F">
        <w:rPr>
          <w:rFonts w:eastAsiaTheme="minorEastAsia"/>
          <w:i/>
        </w:rPr>
        <w:t xml:space="preserve"> about here***</w:t>
      </w:r>
    </w:p>
    <w:p w:rsidR="00925ABC" w:rsidRDefault="00527AB3" w:rsidP="004A5752">
      <w:pPr>
        <w:spacing w:line="360" w:lineRule="auto"/>
        <w:rPr>
          <w:rFonts w:eastAsiaTheme="minorEastAsia"/>
        </w:rPr>
      </w:pPr>
      <w:r>
        <w:rPr>
          <w:rFonts w:eastAsiaTheme="minorEastAsia"/>
        </w:rPr>
        <w:t xml:space="preserve">Next, </w:t>
      </w:r>
      <w:r w:rsidR="00243F66">
        <w:rPr>
          <w:rFonts w:eastAsiaTheme="minorEastAsia"/>
        </w:rPr>
        <w:t>we estimate the traditional Fama a</w:t>
      </w:r>
      <w:r w:rsidR="007104B2">
        <w:rPr>
          <w:rFonts w:eastAsiaTheme="minorEastAsia"/>
        </w:rPr>
        <w:t>nd MacBeth</w:t>
      </w:r>
      <w:r w:rsidR="00C012A6">
        <w:rPr>
          <w:rFonts w:eastAsiaTheme="minorEastAsia"/>
        </w:rPr>
        <w:t>,</w:t>
      </w:r>
      <w:r w:rsidR="00897208">
        <w:rPr>
          <w:rFonts w:eastAsiaTheme="minorEastAsia"/>
        </w:rPr>
        <w:t xml:space="preserve"> (1973) model. Table 10</w:t>
      </w:r>
      <w:r w:rsidR="00243F66">
        <w:rPr>
          <w:rFonts w:eastAsiaTheme="minorEastAsia"/>
        </w:rPr>
        <w:t xml:space="preserve"> </w:t>
      </w:r>
      <w:r w:rsidR="00BF5E61">
        <w:rPr>
          <w:rFonts w:eastAsiaTheme="minorEastAsia"/>
        </w:rPr>
        <w:t>reports the estimation</w:t>
      </w:r>
      <w:r>
        <w:rPr>
          <w:rFonts w:eastAsiaTheme="minorEastAsia"/>
        </w:rPr>
        <w:t xml:space="preserve">s of </w:t>
      </w:r>
      <w:r w:rsidR="00BF5E61">
        <w:rPr>
          <w:rFonts w:eastAsiaTheme="minorEastAsia"/>
        </w:rPr>
        <w:t>second-stage cross-sectional regressions</w:t>
      </w:r>
      <w:r w:rsidR="005F5679">
        <w:rPr>
          <w:rFonts w:eastAsiaTheme="minorEastAsia"/>
        </w:rPr>
        <w:t xml:space="preserve">. Columns (1), (2) and (3) report the </w:t>
      </w:r>
      <w:r>
        <w:rPr>
          <w:rFonts w:eastAsiaTheme="minorEastAsia"/>
        </w:rPr>
        <w:t xml:space="preserve">ERPs given the </w:t>
      </w:r>
      <w:r w:rsidR="005F5679">
        <w:rPr>
          <w:rFonts w:eastAsiaTheme="minorEastAsia"/>
        </w:rPr>
        <w:t xml:space="preserve">exposure to durable, semi-durable and non-durable consumption shocks respectively. </w:t>
      </w:r>
      <w:r>
        <w:rPr>
          <w:rFonts w:eastAsiaTheme="minorEastAsia"/>
        </w:rPr>
        <w:t xml:space="preserve">Results show that </w:t>
      </w:r>
      <w:r w:rsidR="000D1243">
        <w:rPr>
          <w:rFonts w:eastAsiaTheme="minorEastAsia"/>
        </w:rPr>
        <w:t xml:space="preserve">ERPs of the various FTSE indices are </w:t>
      </w:r>
      <w:r>
        <w:rPr>
          <w:rFonts w:eastAsiaTheme="minorEastAsia"/>
        </w:rPr>
        <w:t xml:space="preserve">positively related to the sensitivities (betas) of </w:t>
      </w:r>
      <w:r w:rsidR="000D1243">
        <w:rPr>
          <w:rFonts w:eastAsiaTheme="minorEastAsia"/>
        </w:rPr>
        <w:t xml:space="preserve">durable, semi-durable and non-durable consumption. The </w:t>
      </w:r>
      <w:r w:rsidR="005F5679">
        <w:rPr>
          <w:rFonts w:eastAsiaTheme="minorEastAsia"/>
        </w:rPr>
        <w:t xml:space="preserve">risk from the exposure to durable and semi-durable consumption shocks are positively priced </w:t>
      </w:r>
      <w:r w:rsidR="000D1243">
        <w:rPr>
          <w:rFonts w:eastAsiaTheme="minorEastAsia"/>
        </w:rPr>
        <w:t xml:space="preserve">suggesting that the ERPs of the various FTSE indices linearly increase with the </w:t>
      </w:r>
      <w:r w:rsidR="005F5679">
        <w:rPr>
          <w:rFonts w:eastAsiaTheme="minorEastAsia"/>
        </w:rPr>
        <w:t>exposure</w:t>
      </w:r>
      <w:r w:rsidR="000D1243">
        <w:rPr>
          <w:rFonts w:eastAsiaTheme="minorEastAsia"/>
        </w:rPr>
        <w:t xml:space="preserve"> </w:t>
      </w:r>
      <w:r w:rsidR="005F5679">
        <w:rPr>
          <w:rFonts w:eastAsiaTheme="minorEastAsia"/>
        </w:rPr>
        <w:t xml:space="preserve">to shocks in durable and </w:t>
      </w:r>
      <w:r w:rsidR="000D1243">
        <w:rPr>
          <w:rFonts w:eastAsiaTheme="minorEastAsia"/>
        </w:rPr>
        <w:t>semi-durable</w:t>
      </w:r>
      <w:r w:rsidR="005F5679">
        <w:rPr>
          <w:rFonts w:eastAsiaTheme="minorEastAsia"/>
        </w:rPr>
        <w:t xml:space="preserve">. The risk from non-durable consumption shocks is negatively priced. This suggests that one unit increase in the exposure to non-durable consumption shocks leads to decrease ERP of the FTSE indices. </w:t>
      </w:r>
      <w:r w:rsidR="000D1243">
        <w:rPr>
          <w:rFonts w:eastAsiaTheme="minorEastAsia"/>
        </w:rPr>
        <w:t>The exposure</w:t>
      </w:r>
      <w:r w:rsidR="00D51559">
        <w:rPr>
          <w:rFonts w:eastAsiaTheme="minorEastAsia"/>
        </w:rPr>
        <w:t>s</w:t>
      </w:r>
      <w:r w:rsidR="005F5679">
        <w:rPr>
          <w:rFonts w:eastAsiaTheme="minorEastAsia"/>
        </w:rPr>
        <w:t xml:space="preserve"> to the durable, </w:t>
      </w:r>
      <w:r w:rsidR="000D1243">
        <w:rPr>
          <w:rFonts w:eastAsiaTheme="minorEastAsia"/>
        </w:rPr>
        <w:t>semi-durable</w:t>
      </w:r>
      <w:r w:rsidR="005F5679">
        <w:rPr>
          <w:rFonts w:eastAsiaTheme="minorEastAsia"/>
        </w:rPr>
        <w:t xml:space="preserve"> and non-durable</w:t>
      </w:r>
      <w:r w:rsidR="000D1243">
        <w:rPr>
          <w:rFonts w:eastAsiaTheme="minorEastAsia"/>
        </w:rPr>
        <w:t xml:space="preserve"> consumption shocks </w:t>
      </w:r>
      <w:r w:rsidR="00D51559">
        <w:rPr>
          <w:rFonts w:eastAsiaTheme="minorEastAsia"/>
        </w:rPr>
        <w:t xml:space="preserve">can explain </w:t>
      </w:r>
      <w:r w:rsidR="002822F7">
        <w:rPr>
          <w:rFonts w:eastAsiaTheme="minorEastAsia"/>
        </w:rPr>
        <w:t>39.61</w:t>
      </w:r>
      <w:r w:rsidR="005F5679">
        <w:rPr>
          <w:rFonts w:eastAsiaTheme="minorEastAsia"/>
        </w:rPr>
        <w:t xml:space="preserve">%, </w:t>
      </w:r>
      <w:r w:rsidR="002822F7">
        <w:rPr>
          <w:rFonts w:eastAsiaTheme="minorEastAsia"/>
        </w:rPr>
        <w:t>41.80</w:t>
      </w:r>
      <w:r w:rsidR="00D51559">
        <w:rPr>
          <w:rFonts w:eastAsiaTheme="minorEastAsia"/>
        </w:rPr>
        <w:t>%</w:t>
      </w:r>
      <w:r w:rsidR="005F5679">
        <w:rPr>
          <w:rFonts w:eastAsiaTheme="minorEastAsia"/>
        </w:rPr>
        <w:t xml:space="preserve"> and </w:t>
      </w:r>
      <w:r w:rsidR="002822F7">
        <w:rPr>
          <w:rFonts w:eastAsiaTheme="minorEastAsia"/>
        </w:rPr>
        <w:t>39.18</w:t>
      </w:r>
      <w:r w:rsidR="005F5679">
        <w:rPr>
          <w:rFonts w:eastAsiaTheme="minorEastAsia"/>
        </w:rPr>
        <w:t>%</w:t>
      </w:r>
      <w:r w:rsidR="00D51559">
        <w:rPr>
          <w:rFonts w:eastAsiaTheme="minorEastAsia"/>
        </w:rPr>
        <w:t xml:space="preserve"> variation in the ERPs of the various FTSE indices respectively. </w:t>
      </w:r>
      <w:r w:rsidR="003C1B05">
        <w:rPr>
          <w:rFonts w:eastAsiaTheme="minorEastAsia"/>
        </w:rPr>
        <w:t xml:space="preserve"> </w:t>
      </w:r>
    </w:p>
    <w:p w:rsidR="00BD1D2F" w:rsidRDefault="00BD1D2F" w:rsidP="004A5752">
      <w:pPr>
        <w:spacing w:line="360" w:lineRule="auto"/>
        <w:rPr>
          <w:rFonts w:eastAsiaTheme="minorEastAsia"/>
        </w:rPr>
      </w:pPr>
    </w:p>
    <w:p w:rsidR="009546B6" w:rsidRPr="00C760E6" w:rsidRDefault="009546B6" w:rsidP="001C67D1">
      <w:pPr>
        <w:pStyle w:val="Heading2"/>
        <w:jc w:val="center"/>
        <w:rPr>
          <w:rFonts w:ascii="Times New Roman" w:eastAsiaTheme="minorEastAsia" w:hAnsi="Times New Roman" w:cs="Times New Roman"/>
          <w:color w:val="000000" w:themeColor="text1"/>
        </w:rPr>
      </w:pPr>
      <w:r w:rsidRPr="00C760E6">
        <w:rPr>
          <w:rFonts w:ascii="Times New Roman" w:eastAsiaTheme="minorEastAsia" w:hAnsi="Times New Roman" w:cs="Times New Roman"/>
          <w:color w:val="000000" w:themeColor="text1"/>
        </w:rPr>
        <w:t>5.4</w:t>
      </w:r>
      <w:r w:rsidRPr="003C010F">
        <w:rPr>
          <w:rFonts w:eastAsiaTheme="minorEastAsia"/>
          <w:color w:val="000000" w:themeColor="text1"/>
        </w:rPr>
        <w:t xml:space="preserve"> </w:t>
      </w:r>
      <w:r w:rsidRPr="00C760E6">
        <w:rPr>
          <w:rFonts w:ascii="Times New Roman" w:eastAsiaTheme="minorEastAsia" w:hAnsi="Times New Roman" w:cs="Times New Roman"/>
          <w:color w:val="000000" w:themeColor="text1"/>
        </w:rPr>
        <w:t>The impact of disaggregated consumption shocks on the ERP of 25 size and value portfolios.</w:t>
      </w:r>
    </w:p>
    <w:p w:rsidR="009546B6" w:rsidRPr="009546B6" w:rsidRDefault="009546B6" w:rsidP="009546B6">
      <w:pPr>
        <w:spacing w:line="360" w:lineRule="auto"/>
        <w:jc w:val="center"/>
        <w:rPr>
          <w:rFonts w:eastAsiaTheme="minorEastAsia"/>
          <w:i/>
        </w:rPr>
      </w:pPr>
      <w:r>
        <w:rPr>
          <w:rFonts w:eastAsiaTheme="minorEastAsia"/>
          <w:i/>
        </w:rPr>
        <w:t>***</w:t>
      </w:r>
      <w:r w:rsidR="00F07A57">
        <w:rPr>
          <w:rFonts w:eastAsiaTheme="minorEastAsia"/>
          <w:i/>
        </w:rPr>
        <w:t xml:space="preserve">Please </w:t>
      </w:r>
      <w:r>
        <w:rPr>
          <w:rFonts w:eastAsiaTheme="minorEastAsia"/>
          <w:i/>
        </w:rPr>
        <w:t>insert table 11 about here***</w:t>
      </w:r>
    </w:p>
    <w:p w:rsidR="001C64AB" w:rsidRDefault="001C64AB" w:rsidP="004A5752">
      <w:pPr>
        <w:spacing w:line="360" w:lineRule="auto"/>
        <w:rPr>
          <w:rFonts w:eastAsiaTheme="minorEastAsia"/>
        </w:rPr>
      </w:pPr>
      <w:r>
        <w:rPr>
          <w:rFonts w:eastAsiaTheme="minorEastAsia"/>
        </w:rPr>
        <w:t>In this sub-section we examine the impact of dis-aggregated consumption shocks on ERP of 25 value-weighted Fama-French style portfolios</w:t>
      </w:r>
      <w:r w:rsidR="00DC3709">
        <w:rPr>
          <w:rFonts w:eastAsiaTheme="minorEastAsia"/>
        </w:rPr>
        <w:t xml:space="preserve">. </w:t>
      </w:r>
      <w:r>
        <w:rPr>
          <w:rFonts w:eastAsiaTheme="minorEastAsia"/>
        </w:rPr>
        <w:t xml:space="preserve">Subsequently, we investigate the cross-sectional pricing implications of these shocks in the cross-section </w:t>
      </w:r>
      <w:r w:rsidR="00DC3709">
        <w:rPr>
          <w:rFonts w:eastAsiaTheme="minorEastAsia"/>
        </w:rPr>
        <w:t xml:space="preserve">of </w:t>
      </w:r>
      <w:r>
        <w:rPr>
          <w:rFonts w:eastAsiaTheme="minorEastAsia"/>
        </w:rPr>
        <w:t xml:space="preserve">excess returns of these portfolios. </w:t>
      </w:r>
    </w:p>
    <w:p w:rsidR="00677BEF" w:rsidRDefault="001C64AB" w:rsidP="004A5752">
      <w:pPr>
        <w:spacing w:line="360" w:lineRule="auto"/>
        <w:rPr>
          <w:rFonts w:eastAsiaTheme="minorEastAsia"/>
        </w:rPr>
      </w:pPr>
      <w:r>
        <w:rPr>
          <w:rFonts w:eastAsiaTheme="minorEastAsia"/>
        </w:rPr>
        <w:t xml:space="preserve">Panels A, B and C </w:t>
      </w:r>
      <w:r w:rsidR="00DC3709">
        <w:rPr>
          <w:rFonts w:eastAsiaTheme="minorEastAsia"/>
        </w:rPr>
        <w:t xml:space="preserve">of Table 11 </w:t>
      </w:r>
      <w:r>
        <w:rPr>
          <w:rFonts w:eastAsiaTheme="minorEastAsia"/>
        </w:rPr>
        <w:t>report</w:t>
      </w:r>
      <w:r w:rsidR="00925ABC">
        <w:rPr>
          <w:rFonts w:eastAsiaTheme="minorEastAsia"/>
        </w:rPr>
        <w:t xml:space="preserve"> the estimated impact of the shocks in</w:t>
      </w:r>
      <w:r w:rsidR="00DC3709">
        <w:rPr>
          <w:rFonts w:eastAsiaTheme="minorEastAsia"/>
        </w:rPr>
        <w:t xml:space="preserve"> the durable, semi-durable and n</w:t>
      </w:r>
      <w:r w:rsidR="00925ABC">
        <w:rPr>
          <w:rFonts w:eastAsiaTheme="minorEastAsia"/>
        </w:rPr>
        <w:t xml:space="preserve">on-Durable consumption on the ERPs of </w:t>
      </w:r>
      <w:r w:rsidR="003B3883">
        <w:rPr>
          <w:rFonts w:eastAsiaTheme="minorEastAsia"/>
        </w:rPr>
        <w:t xml:space="preserve">the </w:t>
      </w:r>
      <w:r w:rsidR="00925ABC">
        <w:rPr>
          <w:rFonts w:eastAsiaTheme="minorEastAsia"/>
        </w:rPr>
        <w:t>25 portfolios respectively.</w:t>
      </w:r>
      <w:r w:rsidR="00E51CE3">
        <w:rPr>
          <w:rFonts w:eastAsiaTheme="minorEastAsia"/>
        </w:rPr>
        <w:t xml:space="preserve"> On average, the contemporaneous durable, semi-durable and non-durable consumption shocks are able to explain about </w:t>
      </w:r>
      <w:r w:rsidR="003B3883">
        <w:rPr>
          <w:rFonts w:eastAsiaTheme="minorEastAsia"/>
        </w:rPr>
        <w:t>1</w:t>
      </w:r>
      <w:r w:rsidR="00E51CE3">
        <w:rPr>
          <w:rFonts w:eastAsiaTheme="minorEastAsia"/>
        </w:rPr>
        <w:t>6</w:t>
      </w:r>
      <w:r w:rsidR="003B3883">
        <w:rPr>
          <w:rFonts w:eastAsiaTheme="minorEastAsia"/>
        </w:rPr>
        <w:t>.09</w:t>
      </w:r>
      <w:r w:rsidR="00E51CE3">
        <w:rPr>
          <w:rFonts w:eastAsiaTheme="minorEastAsia"/>
        </w:rPr>
        <w:t xml:space="preserve">%, </w:t>
      </w:r>
      <w:r w:rsidR="003B3883">
        <w:rPr>
          <w:rFonts w:eastAsiaTheme="minorEastAsia"/>
        </w:rPr>
        <w:t>1</w:t>
      </w:r>
      <w:r w:rsidR="00E51CE3">
        <w:rPr>
          <w:rFonts w:eastAsiaTheme="minorEastAsia"/>
        </w:rPr>
        <w:t>5.</w:t>
      </w:r>
      <w:r w:rsidR="003B3883">
        <w:rPr>
          <w:rFonts w:eastAsiaTheme="minorEastAsia"/>
        </w:rPr>
        <w:t>58</w:t>
      </w:r>
      <w:r w:rsidR="00E51CE3">
        <w:rPr>
          <w:rFonts w:eastAsiaTheme="minorEastAsia"/>
        </w:rPr>
        <w:t xml:space="preserve">% and </w:t>
      </w:r>
      <w:r w:rsidR="003B3883">
        <w:rPr>
          <w:rFonts w:eastAsiaTheme="minorEastAsia"/>
        </w:rPr>
        <w:t>18.93</w:t>
      </w:r>
      <w:r w:rsidR="00E51CE3">
        <w:rPr>
          <w:rFonts w:eastAsiaTheme="minorEastAsia"/>
        </w:rPr>
        <w:t>% variation</w:t>
      </w:r>
      <w:r w:rsidR="00DC3709">
        <w:rPr>
          <w:rFonts w:eastAsiaTheme="minorEastAsia"/>
        </w:rPr>
        <w:t xml:space="preserve"> in the ERPs</w:t>
      </w:r>
      <w:r w:rsidR="00E51CE3">
        <w:rPr>
          <w:rFonts w:eastAsiaTheme="minorEastAsia"/>
        </w:rPr>
        <w:t>, respectively</w:t>
      </w:r>
      <w:r w:rsidR="00DC3709">
        <w:rPr>
          <w:rFonts w:eastAsiaTheme="minorEastAsia"/>
        </w:rPr>
        <w:t xml:space="preserve">. </w:t>
      </w:r>
      <w:r w:rsidR="00E9430F">
        <w:rPr>
          <w:rFonts w:eastAsiaTheme="minorEastAsia"/>
        </w:rPr>
        <w:t xml:space="preserve">As far as the exposure to durable and semi-durable consumption is concerned, the ERPs of small size portfolios have higher </w:t>
      </w:r>
      <w:r w:rsidR="00C06EEA">
        <w:rPr>
          <w:rFonts w:eastAsiaTheme="minorEastAsia"/>
        </w:rPr>
        <w:t xml:space="preserve">absolute </w:t>
      </w:r>
      <w:r w:rsidR="00E9430F">
        <w:rPr>
          <w:rFonts w:eastAsiaTheme="minorEastAsia"/>
        </w:rPr>
        <w:t>betas</w:t>
      </w:r>
      <w:r w:rsidR="00F94852">
        <w:rPr>
          <w:rFonts w:eastAsiaTheme="minorEastAsia"/>
        </w:rPr>
        <w:t xml:space="preserve"> (-</w:t>
      </w:r>
      <w:r w:rsidR="00C06EEA">
        <w:rPr>
          <w:rFonts w:eastAsiaTheme="minorEastAsia"/>
        </w:rPr>
        <w:t>1.65 and -1.59</w:t>
      </w:r>
      <w:r w:rsidR="00F94852">
        <w:rPr>
          <w:rFonts w:eastAsiaTheme="minorEastAsia"/>
        </w:rPr>
        <w:t>)</w:t>
      </w:r>
      <w:r w:rsidR="00E9430F">
        <w:rPr>
          <w:rFonts w:eastAsiaTheme="minorEastAsia"/>
        </w:rPr>
        <w:t>, on average, than of big size portfolios</w:t>
      </w:r>
      <w:r w:rsidR="00F94852">
        <w:rPr>
          <w:rFonts w:eastAsiaTheme="minorEastAsia"/>
        </w:rPr>
        <w:t xml:space="preserve"> (-</w:t>
      </w:r>
      <w:r w:rsidR="00C06EEA">
        <w:rPr>
          <w:rFonts w:eastAsiaTheme="minorEastAsia"/>
        </w:rPr>
        <w:t>1.57 and -1.54</w:t>
      </w:r>
      <w:r w:rsidR="00F94852">
        <w:rPr>
          <w:rFonts w:eastAsiaTheme="minorEastAsia"/>
        </w:rPr>
        <w:t>)</w:t>
      </w:r>
      <w:r w:rsidR="00E9430F">
        <w:rPr>
          <w:rFonts w:eastAsiaTheme="minorEastAsia"/>
        </w:rPr>
        <w:t xml:space="preserve">. </w:t>
      </w:r>
      <w:r w:rsidR="00CB1862">
        <w:rPr>
          <w:rFonts w:eastAsiaTheme="minorEastAsia"/>
        </w:rPr>
        <w:t>This may be because the returns on small stocks are more pro-cyclical</w:t>
      </w:r>
      <w:r w:rsidR="00A65010">
        <w:rPr>
          <w:rFonts w:eastAsiaTheme="minorEastAsia"/>
        </w:rPr>
        <w:t>.</w:t>
      </w:r>
      <w:r w:rsidR="00CB1862">
        <w:rPr>
          <w:rFonts w:eastAsiaTheme="minorEastAsia"/>
        </w:rPr>
        <w:t xml:space="preserve">  </w:t>
      </w:r>
      <w:r w:rsidR="00AA329B">
        <w:rPr>
          <w:rFonts w:eastAsiaTheme="minorEastAsia"/>
        </w:rPr>
        <w:t xml:space="preserve">On the basis of value dimension, however, we find </w:t>
      </w:r>
      <w:r w:rsidR="00190E42">
        <w:rPr>
          <w:rFonts w:eastAsiaTheme="minorEastAsia"/>
        </w:rPr>
        <w:t xml:space="preserve">that on </w:t>
      </w:r>
      <w:r w:rsidR="00AA329B">
        <w:rPr>
          <w:rFonts w:eastAsiaTheme="minorEastAsia"/>
        </w:rPr>
        <w:t xml:space="preserve">average, the ERP of value stocks seems to be less sensitive to the shocks in durable, semi-durable and non-durable consumption shocks than the ERP of growth stocks. Moreover, the absolute sensitivity of the ERP of the value stocks to the shocks in durable and semi-durable consumption is more than the sensitivity to non-durable consumption shocks. </w:t>
      </w:r>
      <w:r w:rsidR="004116C3">
        <w:rPr>
          <w:rFonts w:eastAsiaTheme="minorEastAsia"/>
        </w:rPr>
        <w:t xml:space="preserve"> </w:t>
      </w:r>
      <w:r w:rsidR="00F94852">
        <w:rPr>
          <w:rFonts w:eastAsiaTheme="minorEastAsia"/>
        </w:rPr>
        <w:t xml:space="preserve"> </w:t>
      </w:r>
      <w:r w:rsidR="00E9430F">
        <w:rPr>
          <w:rFonts w:eastAsiaTheme="minorEastAsia"/>
        </w:rPr>
        <w:t xml:space="preserve"> </w:t>
      </w:r>
    </w:p>
    <w:p w:rsidR="002E4C4F" w:rsidRPr="002E4C4F" w:rsidRDefault="009546B6" w:rsidP="004A5752">
      <w:pPr>
        <w:spacing w:line="360" w:lineRule="auto"/>
        <w:jc w:val="center"/>
        <w:rPr>
          <w:rFonts w:eastAsiaTheme="minorEastAsia"/>
          <w:i/>
        </w:rPr>
      </w:pPr>
      <w:r>
        <w:rPr>
          <w:rFonts w:eastAsiaTheme="minorEastAsia"/>
          <w:i/>
        </w:rPr>
        <w:t>***</w:t>
      </w:r>
      <w:r w:rsidR="00F07A57">
        <w:rPr>
          <w:rFonts w:eastAsiaTheme="minorEastAsia"/>
          <w:i/>
        </w:rPr>
        <w:t xml:space="preserve">Please </w:t>
      </w:r>
      <w:r>
        <w:rPr>
          <w:rFonts w:eastAsiaTheme="minorEastAsia"/>
          <w:i/>
        </w:rPr>
        <w:t>insert table 12</w:t>
      </w:r>
      <w:r w:rsidR="002E4C4F">
        <w:rPr>
          <w:rFonts w:eastAsiaTheme="minorEastAsia"/>
          <w:i/>
        </w:rPr>
        <w:t xml:space="preserve"> about here***</w:t>
      </w:r>
    </w:p>
    <w:p w:rsidR="003550C7" w:rsidRDefault="003563BE" w:rsidP="004A5752">
      <w:pPr>
        <w:spacing w:line="360" w:lineRule="auto"/>
        <w:rPr>
          <w:rFonts w:eastAsiaTheme="minorEastAsia"/>
        </w:rPr>
      </w:pPr>
      <w:r>
        <w:rPr>
          <w:rFonts w:eastAsiaTheme="minorEastAsia"/>
        </w:rPr>
        <w:t>In t</w:t>
      </w:r>
      <w:r w:rsidR="009546B6">
        <w:rPr>
          <w:rFonts w:eastAsiaTheme="minorEastAsia"/>
        </w:rPr>
        <w:t>able 12</w:t>
      </w:r>
      <w:r w:rsidR="00CD57B7">
        <w:rPr>
          <w:rFonts w:eastAsiaTheme="minorEastAsia"/>
        </w:rPr>
        <w:t xml:space="preserve"> </w:t>
      </w:r>
      <w:r>
        <w:rPr>
          <w:rFonts w:eastAsiaTheme="minorEastAsia"/>
        </w:rPr>
        <w:t>we examine whether</w:t>
      </w:r>
      <w:r w:rsidR="00CD57B7">
        <w:rPr>
          <w:rFonts w:eastAsiaTheme="minorEastAsia"/>
        </w:rPr>
        <w:t xml:space="preserve"> the shocks in durable, semi-durable and non-durable consumption are priced in</w:t>
      </w:r>
      <w:r w:rsidR="00190E42">
        <w:rPr>
          <w:rFonts w:eastAsiaTheme="minorEastAsia"/>
        </w:rPr>
        <w:t xml:space="preserve"> the cross-</w:t>
      </w:r>
      <w:r w:rsidR="002822F7">
        <w:rPr>
          <w:rFonts w:eastAsiaTheme="minorEastAsia"/>
        </w:rPr>
        <w:t>section of the 25 portfolios</w:t>
      </w:r>
      <w:r w:rsidR="00CD57B7">
        <w:rPr>
          <w:rFonts w:eastAsiaTheme="minorEastAsia"/>
        </w:rPr>
        <w:t xml:space="preserve"> or not</w:t>
      </w:r>
      <w:r>
        <w:rPr>
          <w:rFonts w:eastAsiaTheme="minorEastAsia"/>
        </w:rPr>
        <w:t xml:space="preserve"> by estimating the second stage Fama and MacBeth (1973) cross-sectional regressions</w:t>
      </w:r>
      <w:r w:rsidR="00CD57B7">
        <w:rPr>
          <w:rFonts w:eastAsiaTheme="minorEastAsia"/>
        </w:rPr>
        <w:t xml:space="preserve">. </w:t>
      </w:r>
      <w:r w:rsidR="002822F7">
        <w:rPr>
          <w:rFonts w:eastAsiaTheme="minorEastAsia"/>
        </w:rPr>
        <w:t>Columns (1), (2) and (3) repo</w:t>
      </w:r>
      <w:r>
        <w:rPr>
          <w:rFonts w:eastAsiaTheme="minorEastAsia"/>
        </w:rPr>
        <w:t>rt</w:t>
      </w:r>
      <w:r w:rsidR="002822F7">
        <w:rPr>
          <w:rFonts w:eastAsiaTheme="minorEastAsia"/>
        </w:rPr>
        <w:t xml:space="preserve"> the pricing ability of the risk exposure to durable, semi-durable and non-durable consumption shocks separately without controlling for the cross-sectional asset pricing factors. </w:t>
      </w:r>
      <w:r w:rsidR="00DF46E2">
        <w:rPr>
          <w:rFonts w:eastAsiaTheme="minorEastAsia"/>
        </w:rPr>
        <w:t xml:space="preserve">Column (4) reports the pricing of all three consumption shocks together, while columns (5), (6) and (7) reports the pricing ability of the dis-aggregated consumption shocks in presence of the cross-sectional asset pricing factors. It seems that only the risk exposure to non-durable consumption shocks are significantly priced in the cross-section of the ERPs of the 25 </w:t>
      </w:r>
      <w:r w:rsidR="00190E42">
        <w:rPr>
          <w:rFonts w:eastAsiaTheme="minorEastAsia"/>
        </w:rPr>
        <w:t xml:space="preserve">Fama-French </w:t>
      </w:r>
      <w:r w:rsidR="00DF46E2">
        <w:rPr>
          <w:rFonts w:eastAsiaTheme="minorEastAsia"/>
        </w:rPr>
        <w:t xml:space="preserve">portfolios. </w:t>
      </w:r>
      <w:r w:rsidR="00E9430F">
        <w:rPr>
          <w:rFonts w:eastAsiaTheme="minorEastAsia"/>
        </w:rPr>
        <w:t xml:space="preserve"> </w:t>
      </w:r>
      <w:r w:rsidR="00E51CE3">
        <w:rPr>
          <w:rFonts w:eastAsiaTheme="minorEastAsia"/>
        </w:rPr>
        <w:t xml:space="preserve">     </w:t>
      </w:r>
      <w:r w:rsidR="006B488B">
        <w:rPr>
          <w:rFonts w:eastAsiaTheme="minorEastAsia"/>
        </w:rPr>
        <w:t xml:space="preserve"> </w:t>
      </w:r>
      <w:r w:rsidR="005060DD">
        <w:rPr>
          <w:rFonts w:eastAsiaTheme="minorEastAsia"/>
        </w:rPr>
        <w:t xml:space="preserve"> </w:t>
      </w:r>
      <w:r w:rsidR="00732F59">
        <w:rPr>
          <w:rFonts w:eastAsiaTheme="minorEastAsia"/>
        </w:rPr>
        <w:t xml:space="preserve"> </w:t>
      </w:r>
      <w:r w:rsidR="004662E6">
        <w:rPr>
          <w:rFonts w:eastAsiaTheme="minorEastAsia"/>
        </w:rPr>
        <w:t xml:space="preserve">   </w:t>
      </w:r>
    </w:p>
    <w:p w:rsidR="00306430" w:rsidRPr="00C760E6" w:rsidRDefault="00306430" w:rsidP="001C67D1">
      <w:pPr>
        <w:pStyle w:val="Heading1"/>
        <w:numPr>
          <w:ilvl w:val="0"/>
          <w:numId w:val="1"/>
        </w:numPr>
        <w:spacing w:line="360" w:lineRule="auto"/>
        <w:jc w:val="center"/>
        <w:rPr>
          <w:rFonts w:ascii="Times New Roman" w:hAnsi="Times New Roman" w:cs="Times New Roman"/>
          <w:color w:val="000000" w:themeColor="text1"/>
        </w:rPr>
      </w:pPr>
      <w:r w:rsidRPr="00C760E6">
        <w:rPr>
          <w:rFonts w:ascii="Times New Roman" w:hAnsi="Times New Roman" w:cs="Times New Roman"/>
          <w:color w:val="000000" w:themeColor="text1"/>
        </w:rPr>
        <w:t>Conclusion</w:t>
      </w:r>
      <w:r w:rsidR="0030128D" w:rsidRPr="00C760E6">
        <w:rPr>
          <w:rFonts w:ascii="Times New Roman" w:hAnsi="Times New Roman" w:cs="Times New Roman"/>
          <w:color w:val="000000" w:themeColor="text1"/>
        </w:rPr>
        <w:t>s</w:t>
      </w:r>
    </w:p>
    <w:p w:rsidR="009E3DAB" w:rsidRDefault="00362076" w:rsidP="004A5752">
      <w:pPr>
        <w:spacing w:line="360" w:lineRule="auto"/>
      </w:pPr>
      <w:r>
        <w:t>Th</w:t>
      </w:r>
      <w:r w:rsidR="00190E42">
        <w:t xml:space="preserve">e </w:t>
      </w:r>
      <w:r>
        <w:t xml:space="preserve">paper </w:t>
      </w:r>
      <w:r w:rsidR="00190E42">
        <w:t xml:space="preserve">investigates the </w:t>
      </w:r>
      <w:r>
        <w:t>impact of aggregate and disaggregate</w:t>
      </w:r>
      <w:r w:rsidR="00190E42">
        <w:t>d</w:t>
      </w:r>
      <w:r>
        <w:t xml:space="preserve"> personal consumption shocks on the ERP of various industry and 25 Fama-French value weighted portfolios</w:t>
      </w:r>
      <w:r w:rsidR="00FC3E31">
        <w:t xml:space="preserve"> in the UK</w:t>
      </w:r>
      <w:r>
        <w:t xml:space="preserve">. </w:t>
      </w:r>
      <w:r w:rsidR="0030128D">
        <w:t xml:space="preserve">Using the idea of </w:t>
      </w:r>
      <w:r w:rsidR="00E13CB2">
        <w:t>consumption-wealth channel of monetary policy, we derive aggregate and dis-aggregate</w:t>
      </w:r>
      <w:r w:rsidR="00190E42">
        <w:t>d</w:t>
      </w:r>
      <w:r w:rsidR="00E13CB2">
        <w:t xml:space="preserve"> consumption shocks. </w:t>
      </w:r>
      <w:r w:rsidR="009E3DAB">
        <w:t xml:space="preserve">Assuming that consumers </w:t>
      </w:r>
      <w:r w:rsidR="00A54EF8">
        <w:t xml:space="preserve">prefer smooth consumption path and maximise the expected discounted utility of future consumption </w:t>
      </w:r>
      <w:r w:rsidR="009E3DAB">
        <w:t xml:space="preserve">we derive </w:t>
      </w:r>
      <w:r w:rsidR="00A54EF8">
        <w:t xml:space="preserve">shocks </w:t>
      </w:r>
      <w:r w:rsidR="009E3DAB">
        <w:t xml:space="preserve">as the </w:t>
      </w:r>
      <w:r w:rsidR="00A54EF8">
        <w:t xml:space="preserve">deviation of actual consumption from a theoretically expected </w:t>
      </w:r>
      <w:r w:rsidR="009E3DAB">
        <w:t xml:space="preserve">consumption. We then investigate the impact of </w:t>
      </w:r>
      <w:r w:rsidR="00A54EF8">
        <w:t xml:space="preserve">contemporaneous aggregate consumption shocks </w:t>
      </w:r>
      <w:r w:rsidR="009E3DAB">
        <w:t xml:space="preserve">and find that </w:t>
      </w:r>
      <w:r w:rsidR="0030128D">
        <w:t xml:space="preserve">they </w:t>
      </w:r>
      <w:r w:rsidR="00A54EF8">
        <w:t xml:space="preserve">exert </w:t>
      </w:r>
      <w:r w:rsidR="0069155C">
        <w:t xml:space="preserve">statistically significant </w:t>
      </w:r>
      <w:r w:rsidR="00A54EF8">
        <w:t>negative impact on the ERPs of various FTSE indices and the 25 Fama-French portfolios</w:t>
      </w:r>
      <w:r w:rsidR="009E3DAB">
        <w:t xml:space="preserve">. The results are </w:t>
      </w:r>
      <w:r w:rsidR="008D5A5B">
        <w:t>robust even</w:t>
      </w:r>
      <w:r w:rsidR="0069155C">
        <w:t xml:space="preserve"> after controlling for the size premium, value premium and the momentum factor</w:t>
      </w:r>
      <w:r w:rsidR="009E3DAB">
        <w:t>s</w:t>
      </w:r>
      <w:r w:rsidR="0069155C">
        <w:t xml:space="preserve">. </w:t>
      </w:r>
      <w:r w:rsidR="0030128D">
        <w:t xml:space="preserve">The evidence is </w:t>
      </w:r>
      <w:r w:rsidR="009E3DAB">
        <w:t xml:space="preserve">consistent with </w:t>
      </w:r>
      <w:r w:rsidR="003A34C0">
        <w:fldChar w:fldCharType="begin" w:fldLock="1"/>
      </w:r>
      <w:r w:rsidR="00AF43D6">
        <w:instrText>ADDIN CSL_CITATION { "citationItems" : [ { "id" : "ITEM-1", "itemData" : { "author" : [ { "dropping-particle" : "", "family" : "Parker", "given" : "Jonathan A", "non-dropping-particle" : "", "parse-names" : false, "suffix" : "" } ], "container-title" : "The American Economic Review", "id" : "ITEM-1", "issue" : "2", "issued" : { "date-parts" : [ [ "2003" ] ] }, "page" : "376-382", "title" : "Consumption Risk and Expected Stock Returns", "type" : "article-journal", "volume" : "93" }, "uris" : [ "http://www.mendeley.com/documents/?uuid=23dec7ec-c806-4d1d-9f23-1210424c684f", "http://www.mendeley.com/documents/?uuid=c5135b9c-93f8-4fc1-8d72-9d4e0f45b3db" ] } ], "mendeley" : { "formattedCitation" : "(J. A. Parker 2003)", "manualFormatting" : "Parker, (2003)", "plainTextFormattedCitation" : "(J. A. Parker 2003)", "previouslyFormattedCitation" : "(J. A. Parker 2003)" }, "properties" : { "noteIndex" : 0 }, "schema" : "https://github.com/citation-style-language/schema/raw/master/csl-citation.json" }</w:instrText>
      </w:r>
      <w:r w:rsidR="003A34C0">
        <w:fldChar w:fldCharType="separate"/>
      </w:r>
      <w:r w:rsidR="003A34C0" w:rsidRPr="003A34C0">
        <w:rPr>
          <w:noProof/>
        </w:rPr>
        <w:t xml:space="preserve">Parker, </w:t>
      </w:r>
      <w:r w:rsidR="003A34C0">
        <w:rPr>
          <w:noProof/>
        </w:rPr>
        <w:t>(</w:t>
      </w:r>
      <w:r w:rsidR="003A34C0" w:rsidRPr="003A34C0">
        <w:rPr>
          <w:noProof/>
        </w:rPr>
        <w:t>2003)</w:t>
      </w:r>
      <w:r w:rsidR="003A34C0">
        <w:fldChar w:fldCharType="end"/>
      </w:r>
      <w:r w:rsidR="003A34C0">
        <w:t xml:space="preserve"> </w:t>
      </w:r>
      <w:r w:rsidR="00E13CB2">
        <w:t xml:space="preserve">who </w:t>
      </w:r>
      <w:r w:rsidR="0030128D">
        <w:t xml:space="preserve">also found </w:t>
      </w:r>
      <w:r w:rsidR="00E13CB2">
        <w:t xml:space="preserve">that contemporaneous consumption risk </w:t>
      </w:r>
      <w:r w:rsidR="0030128D">
        <w:t xml:space="preserve">was </w:t>
      </w:r>
      <w:r w:rsidR="00E13CB2">
        <w:t xml:space="preserve">negatively related to the expected stock returns. </w:t>
      </w:r>
    </w:p>
    <w:p w:rsidR="00BD1D2F" w:rsidRDefault="00892585" w:rsidP="004A5752">
      <w:pPr>
        <w:spacing w:line="360" w:lineRule="auto"/>
      </w:pPr>
      <w:r>
        <w:t xml:space="preserve">We </w:t>
      </w:r>
      <w:r w:rsidR="0030128D">
        <w:t xml:space="preserve">further </w:t>
      </w:r>
      <w:r>
        <w:t xml:space="preserve">analyse the impact of </w:t>
      </w:r>
      <w:r w:rsidR="0030128D">
        <w:t xml:space="preserve">the </w:t>
      </w:r>
      <w:r>
        <w:t xml:space="preserve">durable, semi-durable and </w:t>
      </w:r>
      <w:r w:rsidR="0030128D">
        <w:t xml:space="preserve">the </w:t>
      </w:r>
      <w:r>
        <w:t>non-durable</w:t>
      </w:r>
      <w:r w:rsidR="0030128D">
        <w:t xml:space="preserve"> consumption shocks</w:t>
      </w:r>
      <w:r>
        <w:t xml:space="preserve">. </w:t>
      </w:r>
      <w:r w:rsidR="00C836DE">
        <w:t xml:space="preserve">We find that contemporaneous durable and semi-durable consumption shocks have </w:t>
      </w:r>
      <w:r w:rsidR="009E3DAB">
        <w:t xml:space="preserve">a </w:t>
      </w:r>
      <w:r w:rsidR="00C836DE">
        <w:t>negative impact on the ERPs of the FTSE indices and the 25 Fama-French portfolios</w:t>
      </w:r>
      <w:r w:rsidR="009E3DAB">
        <w:t xml:space="preserve"> which is consistent with our </w:t>
      </w:r>
      <w:r w:rsidR="00C836DE">
        <w:t xml:space="preserve">results </w:t>
      </w:r>
      <w:r w:rsidR="009E3DAB">
        <w:t>when we use a</w:t>
      </w:r>
      <w:r w:rsidR="00C836DE">
        <w:t xml:space="preserve">ggregate consumption shocks. </w:t>
      </w:r>
      <w:r w:rsidR="009E3DAB">
        <w:t xml:space="preserve">On the contrary, </w:t>
      </w:r>
      <w:r w:rsidR="00C836DE">
        <w:t>the non-durable consumption shocks have a positive impact on the ERP</w:t>
      </w:r>
      <w:r w:rsidR="009E3DAB">
        <w:t xml:space="preserve">. </w:t>
      </w:r>
      <w:r w:rsidR="00855F34">
        <w:t>Further, t</w:t>
      </w:r>
      <w:r w:rsidR="00FC3E31" w:rsidRPr="008772EC">
        <w:t xml:space="preserve">he ERPs of small and value portfolios </w:t>
      </w:r>
      <w:r w:rsidR="00855F34">
        <w:t xml:space="preserve">are </w:t>
      </w:r>
      <w:r w:rsidR="00FC3E31" w:rsidRPr="008772EC">
        <w:t xml:space="preserve">more sensitive to durable and semi-durable </w:t>
      </w:r>
      <w:r w:rsidR="005E76EA" w:rsidRPr="008772EC">
        <w:t xml:space="preserve">consumption shocks than to non-durable consumption shocks, implying that </w:t>
      </w:r>
      <w:r w:rsidR="0030128D">
        <w:t xml:space="preserve">size </w:t>
      </w:r>
      <w:r w:rsidR="005E76EA" w:rsidRPr="008772EC">
        <w:t xml:space="preserve">and growth portfolios may provide </w:t>
      </w:r>
      <w:r w:rsidR="00855F34">
        <w:t xml:space="preserve">protection </w:t>
      </w:r>
      <w:r w:rsidR="005E76EA" w:rsidRPr="008772EC">
        <w:t xml:space="preserve">against </w:t>
      </w:r>
      <w:r w:rsidR="00855F34">
        <w:t xml:space="preserve">the changes in </w:t>
      </w:r>
      <w:r w:rsidR="005E76EA" w:rsidRPr="008772EC">
        <w:t>durable and non-durable consumption</w:t>
      </w:r>
      <w:r w:rsidR="00855F34">
        <w:t>.</w:t>
      </w:r>
      <w:r w:rsidR="0069155C" w:rsidRPr="008772EC">
        <w:t xml:space="preserve"> </w:t>
      </w:r>
      <w:r w:rsidR="00855F34">
        <w:t xml:space="preserve">Our results lend support to </w:t>
      </w:r>
      <w:r w:rsidR="00224DDA" w:rsidRPr="008772EC">
        <w:t>CCAPM</w:t>
      </w:r>
      <w:r w:rsidR="00855F34">
        <w:t xml:space="preserve"> which suggests that </w:t>
      </w:r>
      <w:r w:rsidR="00224DDA" w:rsidRPr="008772EC">
        <w:t xml:space="preserve">asset prices </w:t>
      </w:r>
      <w:r w:rsidR="00855F34">
        <w:t xml:space="preserve">are </w:t>
      </w:r>
      <w:r w:rsidR="00010278" w:rsidRPr="008772EC">
        <w:t>contemporaneous</w:t>
      </w:r>
      <w:r w:rsidR="00855F34">
        <w:t xml:space="preserve">ly related to the </w:t>
      </w:r>
      <w:r w:rsidR="00224DDA" w:rsidRPr="008772EC">
        <w:t>consumption</w:t>
      </w:r>
      <w:r w:rsidR="00010278" w:rsidRPr="008772EC">
        <w:t xml:space="preserve"> risk</w:t>
      </w:r>
      <w:r w:rsidR="00224DDA">
        <w:t xml:space="preserve">. </w:t>
      </w:r>
    </w:p>
    <w:p w:rsidR="001C67D1" w:rsidRDefault="001C67D1" w:rsidP="004A5752">
      <w:pPr>
        <w:spacing w:line="360" w:lineRule="auto"/>
      </w:pPr>
    </w:p>
    <w:p w:rsidR="001C67D1" w:rsidRDefault="001C67D1" w:rsidP="004A5752">
      <w:pPr>
        <w:spacing w:line="360" w:lineRule="auto"/>
      </w:pPr>
    </w:p>
    <w:p w:rsidR="001C67D1" w:rsidRDefault="001C67D1" w:rsidP="004A5752">
      <w:pPr>
        <w:spacing w:line="360" w:lineRule="auto"/>
      </w:pPr>
    </w:p>
    <w:p w:rsidR="001C67D1" w:rsidRDefault="001C67D1" w:rsidP="004A5752">
      <w:pPr>
        <w:spacing w:line="360" w:lineRule="auto"/>
      </w:pPr>
    </w:p>
    <w:p w:rsidR="005E4778" w:rsidRPr="00C760E6" w:rsidRDefault="00E80ADE" w:rsidP="001C67D1">
      <w:pPr>
        <w:pStyle w:val="Heading1"/>
        <w:jc w:val="center"/>
        <w:rPr>
          <w:rFonts w:ascii="Times New Roman" w:hAnsi="Times New Roman" w:cs="Times New Roman"/>
          <w:color w:val="000000" w:themeColor="text1"/>
        </w:rPr>
      </w:pPr>
      <w:r w:rsidRPr="00C760E6">
        <w:rPr>
          <w:rFonts w:ascii="Times New Roman" w:hAnsi="Times New Roman" w:cs="Times New Roman"/>
          <w:color w:val="000000" w:themeColor="text1"/>
        </w:rPr>
        <w:t>References</w:t>
      </w:r>
    </w:p>
    <w:p w:rsidR="005E4778" w:rsidRDefault="005E4778" w:rsidP="00C012A6">
      <w:pPr>
        <w:widowControl w:val="0"/>
        <w:autoSpaceDE w:val="0"/>
        <w:autoSpaceDN w:val="0"/>
        <w:adjustRightInd w:val="0"/>
      </w:pPr>
    </w:p>
    <w:p w:rsidR="00161115" w:rsidRPr="00161115" w:rsidRDefault="00C012A6" w:rsidP="00161115">
      <w:pPr>
        <w:widowControl w:val="0"/>
        <w:autoSpaceDE w:val="0"/>
        <w:autoSpaceDN w:val="0"/>
        <w:adjustRightInd w:val="0"/>
        <w:spacing w:before="100" w:after="100"/>
        <w:ind w:left="480" w:hanging="480"/>
        <w:rPr>
          <w:rFonts w:cs="Times New Roman"/>
          <w:noProof/>
          <w:szCs w:val="24"/>
        </w:rPr>
      </w:pPr>
      <w:r>
        <w:fldChar w:fldCharType="begin" w:fldLock="1"/>
      </w:r>
      <w:r>
        <w:instrText xml:space="preserve">ADDIN Mendeley Bibliography CSL_BIBLIOGRAPHY </w:instrText>
      </w:r>
      <w:r>
        <w:fldChar w:fldCharType="separate"/>
      </w:r>
      <w:r w:rsidR="00161115" w:rsidRPr="00161115">
        <w:rPr>
          <w:rFonts w:cs="Times New Roman"/>
          <w:noProof/>
          <w:szCs w:val="24"/>
        </w:rPr>
        <w:t xml:space="preserve">Amisano, Gianni, and Carlo Giannini. 1997. </w:t>
      </w:r>
      <w:r w:rsidR="00161115" w:rsidRPr="00161115">
        <w:rPr>
          <w:rFonts w:cs="Times New Roman"/>
          <w:i/>
          <w:iCs/>
          <w:noProof/>
          <w:szCs w:val="24"/>
        </w:rPr>
        <w:t>Topics in Structural VAR Econometrics</w:t>
      </w:r>
      <w:r w:rsidR="00161115" w:rsidRPr="00161115">
        <w:rPr>
          <w:rFonts w:cs="Times New Roman"/>
          <w:noProof/>
          <w:szCs w:val="24"/>
        </w:rPr>
        <w:t>. Second. Heidelberg and New York: Springer.</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Ando, Albert</w:t>
      </w:r>
      <w:r w:rsidR="00671555">
        <w:rPr>
          <w:rFonts w:cs="Times New Roman"/>
          <w:noProof/>
          <w:szCs w:val="24"/>
        </w:rPr>
        <w:t xml:space="preserve">, and Franco Modigliani. 1963. </w:t>
      </w:r>
      <w:r w:rsidRPr="00161115">
        <w:rPr>
          <w:rFonts w:cs="Times New Roman"/>
          <w:noProof/>
          <w:szCs w:val="24"/>
        </w:rPr>
        <w:t>The ‘Life Cycle’ Hypothesis of Saving: Ag</w:t>
      </w:r>
      <w:r w:rsidR="00671555">
        <w:rPr>
          <w:rFonts w:cs="Times New Roman"/>
          <w:noProof/>
          <w:szCs w:val="24"/>
        </w:rPr>
        <w:t>gregate Implications and Tests.</w:t>
      </w:r>
      <w:r w:rsidRPr="00161115">
        <w:rPr>
          <w:rFonts w:cs="Times New Roman"/>
          <w:noProof/>
          <w:szCs w:val="24"/>
        </w:rPr>
        <w:t xml:space="preserve"> </w:t>
      </w:r>
      <w:r w:rsidRPr="00161115">
        <w:rPr>
          <w:rFonts w:cs="Times New Roman"/>
          <w:i/>
          <w:iCs/>
          <w:noProof/>
          <w:szCs w:val="24"/>
        </w:rPr>
        <w:t>The American Economic Review</w:t>
      </w:r>
      <w:r w:rsidRPr="00161115">
        <w:rPr>
          <w:rFonts w:cs="Times New Roman"/>
          <w:noProof/>
          <w:szCs w:val="24"/>
        </w:rPr>
        <w:t xml:space="preserve"> </w:t>
      </w:r>
      <w:r w:rsidRPr="00671555">
        <w:rPr>
          <w:rFonts w:cs="Times New Roman"/>
          <w:b/>
          <w:noProof/>
          <w:szCs w:val="24"/>
        </w:rPr>
        <w:t>53</w:t>
      </w:r>
      <w:r w:rsidR="00671555">
        <w:rPr>
          <w:rFonts w:cs="Times New Roman"/>
          <w:noProof/>
          <w:szCs w:val="24"/>
        </w:rPr>
        <w:t>,</w:t>
      </w:r>
      <w:r w:rsidRPr="00161115">
        <w:rPr>
          <w:rFonts w:cs="Times New Roman"/>
          <w:noProof/>
          <w:szCs w:val="24"/>
        </w:rPr>
        <w:t xml:space="preserve">  55–84..</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Bansal, Ravi, Robert</w:t>
      </w:r>
      <w:r w:rsidR="00671555">
        <w:rPr>
          <w:rFonts w:cs="Times New Roman"/>
          <w:noProof/>
          <w:szCs w:val="24"/>
        </w:rPr>
        <w:t xml:space="preserve"> Dittmar, and Dana Kiku. 2009. </w:t>
      </w:r>
      <w:r w:rsidRPr="00161115">
        <w:rPr>
          <w:rFonts w:cs="Times New Roman"/>
          <w:noProof/>
          <w:szCs w:val="24"/>
        </w:rPr>
        <w:t>Cointegration and Consumption Risks in As</w:t>
      </w:r>
      <w:r w:rsidR="00671555">
        <w:rPr>
          <w:rFonts w:cs="Times New Roman"/>
          <w:noProof/>
          <w:szCs w:val="24"/>
        </w:rPr>
        <w:t>set Returns.</w:t>
      </w:r>
      <w:r w:rsidRPr="00161115">
        <w:rPr>
          <w:rFonts w:cs="Times New Roman"/>
          <w:noProof/>
          <w:szCs w:val="24"/>
        </w:rPr>
        <w:t xml:space="preserve"> </w:t>
      </w:r>
      <w:r w:rsidRPr="00161115">
        <w:rPr>
          <w:rFonts w:cs="Times New Roman"/>
          <w:i/>
          <w:iCs/>
          <w:noProof/>
          <w:szCs w:val="24"/>
        </w:rPr>
        <w:t>The Review of Financial Studies</w:t>
      </w:r>
      <w:r w:rsidRPr="00161115">
        <w:rPr>
          <w:rFonts w:cs="Times New Roman"/>
          <w:noProof/>
          <w:szCs w:val="24"/>
        </w:rPr>
        <w:t xml:space="preserve"> </w:t>
      </w:r>
      <w:r w:rsidRPr="00671555">
        <w:rPr>
          <w:rFonts w:cs="Times New Roman"/>
          <w:b/>
          <w:noProof/>
          <w:szCs w:val="24"/>
        </w:rPr>
        <w:t>22</w:t>
      </w:r>
      <w:r w:rsidR="00671555">
        <w:rPr>
          <w:rFonts w:cs="Times New Roman"/>
          <w:noProof/>
          <w:szCs w:val="24"/>
        </w:rPr>
        <w:t>,</w:t>
      </w:r>
      <w:r w:rsidRPr="00161115">
        <w:rPr>
          <w:rFonts w:cs="Times New Roman"/>
          <w:noProof/>
          <w:szCs w:val="24"/>
        </w:rPr>
        <w:t xml:space="preserve">  1343–1375.</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Bansal, Ravi, Dana Kiku, Ivan Shaliastovich, and Amir Yaron. 2014. Volatility, the </w:t>
      </w:r>
      <w:r w:rsidR="00671555">
        <w:rPr>
          <w:rFonts w:cs="Times New Roman"/>
          <w:noProof/>
          <w:szCs w:val="24"/>
        </w:rPr>
        <w:t>Macroeconomy, and Asset Prices.</w:t>
      </w:r>
      <w:r w:rsidRPr="00161115">
        <w:rPr>
          <w:rFonts w:cs="Times New Roman"/>
          <w:noProof/>
          <w:szCs w:val="24"/>
        </w:rPr>
        <w:t xml:space="preserve"> </w:t>
      </w:r>
      <w:r w:rsidR="00671555">
        <w:rPr>
          <w:rFonts w:cs="Times New Roman"/>
          <w:i/>
          <w:noProof/>
          <w:szCs w:val="24"/>
        </w:rPr>
        <w:t xml:space="preserve">The </w:t>
      </w:r>
      <w:r w:rsidRPr="00161115">
        <w:rPr>
          <w:rFonts w:cs="Times New Roman"/>
          <w:i/>
          <w:iCs/>
          <w:noProof/>
          <w:szCs w:val="24"/>
        </w:rPr>
        <w:t>Journal of Finance</w:t>
      </w:r>
      <w:r w:rsidRPr="00161115">
        <w:rPr>
          <w:rFonts w:cs="Times New Roman"/>
          <w:noProof/>
          <w:szCs w:val="24"/>
        </w:rPr>
        <w:t xml:space="preserve"> </w:t>
      </w:r>
      <w:r w:rsidRPr="00671555">
        <w:rPr>
          <w:rFonts w:cs="Times New Roman"/>
          <w:b/>
          <w:noProof/>
          <w:szCs w:val="24"/>
        </w:rPr>
        <w:t>69</w:t>
      </w:r>
      <w:r w:rsidR="00671555">
        <w:rPr>
          <w:rFonts w:cs="Times New Roman"/>
          <w:noProof/>
          <w:szCs w:val="24"/>
        </w:rPr>
        <w:t>,</w:t>
      </w:r>
      <w:r w:rsidRPr="00161115">
        <w:rPr>
          <w:rFonts w:cs="Times New Roman"/>
          <w:noProof/>
          <w:szCs w:val="24"/>
        </w:rPr>
        <w:t xml:space="preserve">  2471–2511..</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Bansal, Ravi, and Amir Yaron. 2004. </w:t>
      </w:r>
      <w:r w:rsidR="00671555">
        <w:rPr>
          <w:rFonts w:cs="Times New Roman"/>
          <w:noProof/>
          <w:szCs w:val="24"/>
        </w:rPr>
        <w:t>R</w:t>
      </w:r>
      <w:r w:rsidRPr="00161115">
        <w:rPr>
          <w:rFonts w:cs="Times New Roman"/>
          <w:noProof/>
          <w:szCs w:val="24"/>
        </w:rPr>
        <w:t xml:space="preserve">isks for the Long Run : A Potential Resolution of Asset Pricing Puzzles. </w:t>
      </w:r>
      <w:r w:rsidRPr="00161115">
        <w:rPr>
          <w:rFonts w:cs="Times New Roman"/>
          <w:i/>
          <w:iCs/>
          <w:noProof/>
          <w:szCs w:val="24"/>
        </w:rPr>
        <w:t>The Journal of Finance</w:t>
      </w:r>
      <w:r w:rsidRPr="00161115">
        <w:rPr>
          <w:rFonts w:cs="Times New Roman"/>
          <w:noProof/>
          <w:szCs w:val="24"/>
        </w:rPr>
        <w:t xml:space="preserve"> </w:t>
      </w:r>
      <w:r w:rsidRPr="00671555">
        <w:rPr>
          <w:rFonts w:cs="Times New Roman"/>
          <w:b/>
          <w:noProof/>
          <w:szCs w:val="24"/>
        </w:rPr>
        <w:t>59</w:t>
      </w:r>
      <w:r w:rsidR="00671555">
        <w:rPr>
          <w:rFonts w:cs="Times New Roman"/>
          <w:noProof/>
          <w:szCs w:val="24"/>
        </w:rPr>
        <w:t>,</w:t>
      </w:r>
      <w:r w:rsidRPr="00161115">
        <w:rPr>
          <w:rFonts w:cs="Times New Roman"/>
          <w:noProof/>
          <w:szCs w:val="24"/>
        </w:rPr>
        <w:t xml:space="preserve">  1481–1510.</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Black, Susan, and Tom Cusbert. 2010. Durable Goods and the Business Cycle. </w:t>
      </w:r>
      <w:r w:rsidRPr="00161115">
        <w:rPr>
          <w:rFonts w:cs="Times New Roman"/>
          <w:i/>
          <w:iCs/>
          <w:noProof/>
          <w:szCs w:val="24"/>
        </w:rPr>
        <w:t>Reserve Bank of Australia Bulletin</w:t>
      </w:r>
      <w:r w:rsidRPr="00161115">
        <w:rPr>
          <w:rFonts w:cs="Times New Roman"/>
          <w:noProof/>
          <w:szCs w:val="24"/>
        </w:rPr>
        <w:t>: 11–18.</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Breeden, Douglas T. 1979. An Intertemporal Asset Pricing Model with Stochastic Consumption and Investment Opportunities. </w:t>
      </w:r>
      <w:r w:rsidRPr="00161115">
        <w:rPr>
          <w:rFonts w:cs="Times New Roman"/>
          <w:i/>
          <w:iCs/>
          <w:noProof/>
          <w:szCs w:val="24"/>
        </w:rPr>
        <w:t>Journal of Financial Economics</w:t>
      </w:r>
      <w:r w:rsidRPr="00161115">
        <w:rPr>
          <w:rFonts w:cs="Times New Roman"/>
          <w:noProof/>
          <w:szCs w:val="24"/>
        </w:rPr>
        <w:t xml:space="preserve"> </w:t>
      </w:r>
      <w:r w:rsidRPr="00671555">
        <w:rPr>
          <w:rFonts w:cs="Times New Roman"/>
          <w:b/>
          <w:noProof/>
          <w:szCs w:val="24"/>
        </w:rPr>
        <w:t>7</w:t>
      </w:r>
      <w:r w:rsidR="00671555">
        <w:rPr>
          <w:rFonts w:cs="Times New Roman"/>
          <w:noProof/>
          <w:szCs w:val="24"/>
        </w:rPr>
        <w:t>,</w:t>
      </w:r>
      <w:r w:rsidRPr="00161115">
        <w:rPr>
          <w:rFonts w:cs="Times New Roman"/>
          <w:noProof/>
          <w:szCs w:val="24"/>
        </w:rPr>
        <w:t>265–296..</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Carhart, Mark M. 1997. On Persistence in Mutual Fund Performance. </w:t>
      </w:r>
      <w:r w:rsidRPr="00161115">
        <w:rPr>
          <w:rFonts w:cs="Times New Roman"/>
          <w:i/>
          <w:iCs/>
          <w:noProof/>
          <w:szCs w:val="24"/>
        </w:rPr>
        <w:t>The Journal of Finance</w:t>
      </w:r>
      <w:r w:rsidRPr="00161115">
        <w:rPr>
          <w:rFonts w:cs="Times New Roman"/>
          <w:noProof/>
          <w:szCs w:val="24"/>
        </w:rPr>
        <w:t xml:space="preserve"> </w:t>
      </w:r>
      <w:r w:rsidRPr="00671555">
        <w:rPr>
          <w:rFonts w:cs="Times New Roman"/>
          <w:b/>
          <w:noProof/>
          <w:szCs w:val="24"/>
        </w:rPr>
        <w:t>52</w:t>
      </w:r>
      <w:r w:rsidR="00671555">
        <w:rPr>
          <w:rFonts w:cs="Times New Roman"/>
          <w:noProof/>
          <w:szCs w:val="24"/>
        </w:rPr>
        <w:t>,</w:t>
      </w:r>
      <w:r w:rsidRPr="00161115">
        <w:rPr>
          <w:rFonts w:cs="Times New Roman"/>
          <w:noProof/>
          <w:szCs w:val="24"/>
        </w:rPr>
        <w:t xml:space="preserve">  57–82.</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Della Corte, Pasquale, Lucio Sarno, and Giorgio Valente. 2010. A Century of Equity Premium Predictability and the Consumption-Wealth Ratio: An International Perspective. </w:t>
      </w:r>
      <w:r w:rsidRPr="00161115">
        <w:rPr>
          <w:rFonts w:cs="Times New Roman"/>
          <w:i/>
          <w:iCs/>
          <w:noProof/>
          <w:szCs w:val="24"/>
        </w:rPr>
        <w:t>Journal of Empirical Finance</w:t>
      </w:r>
      <w:r w:rsidRPr="00161115">
        <w:rPr>
          <w:rFonts w:cs="Times New Roman"/>
          <w:noProof/>
          <w:szCs w:val="24"/>
        </w:rPr>
        <w:t xml:space="preserve"> </w:t>
      </w:r>
      <w:r w:rsidRPr="00671555">
        <w:rPr>
          <w:rFonts w:cs="Times New Roman"/>
          <w:b/>
          <w:noProof/>
          <w:szCs w:val="24"/>
        </w:rPr>
        <w:t>17</w:t>
      </w:r>
      <w:r w:rsidR="00671555">
        <w:rPr>
          <w:rFonts w:cs="Times New Roman"/>
          <w:noProof/>
          <w:szCs w:val="24"/>
        </w:rPr>
        <w:t>,</w:t>
      </w:r>
      <w:r w:rsidRPr="00161115">
        <w:rPr>
          <w:rFonts w:cs="Times New Roman"/>
          <w:noProof/>
          <w:szCs w:val="24"/>
        </w:rPr>
        <w:t xml:space="preserve">  313–331.</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Detemple, Jérôme B., and Christis I. Giannikos. 1996. Asset and Commodity Prices with Multi-Attribute Durable Goods. </w:t>
      </w:r>
      <w:r w:rsidRPr="00161115">
        <w:rPr>
          <w:rFonts w:cs="Times New Roman"/>
          <w:i/>
          <w:iCs/>
          <w:noProof/>
          <w:szCs w:val="24"/>
        </w:rPr>
        <w:t>Journal of Economic Dynamics and Control</w:t>
      </w:r>
      <w:r w:rsidRPr="00161115">
        <w:rPr>
          <w:rFonts w:cs="Times New Roman"/>
          <w:noProof/>
          <w:szCs w:val="24"/>
        </w:rPr>
        <w:t xml:space="preserve"> </w:t>
      </w:r>
      <w:r w:rsidRPr="00671555">
        <w:rPr>
          <w:rFonts w:cs="Times New Roman"/>
          <w:b/>
          <w:noProof/>
          <w:szCs w:val="24"/>
        </w:rPr>
        <w:t>20</w:t>
      </w:r>
      <w:r w:rsidR="00671555">
        <w:rPr>
          <w:rFonts w:cs="Times New Roman"/>
          <w:b/>
          <w:noProof/>
          <w:szCs w:val="24"/>
        </w:rPr>
        <w:t>,</w:t>
      </w:r>
      <w:r w:rsidRPr="00161115">
        <w:rPr>
          <w:rFonts w:cs="Times New Roman"/>
          <w:noProof/>
          <w:szCs w:val="24"/>
        </w:rPr>
        <w:t xml:space="preserve"> </w:t>
      </w:r>
      <w:r w:rsidR="00671555">
        <w:rPr>
          <w:rFonts w:cs="Times New Roman"/>
          <w:noProof/>
          <w:szCs w:val="24"/>
        </w:rPr>
        <w:t xml:space="preserve"> 1451–1504.</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Fama, </w:t>
      </w:r>
      <w:r w:rsidR="009C4900" w:rsidRPr="00161115">
        <w:rPr>
          <w:rFonts w:cs="Times New Roman"/>
          <w:noProof/>
          <w:szCs w:val="24"/>
        </w:rPr>
        <w:t>Eugene F</w:t>
      </w:r>
      <w:r w:rsidRPr="00161115">
        <w:rPr>
          <w:rFonts w:cs="Times New Roman"/>
          <w:noProof/>
          <w:szCs w:val="24"/>
        </w:rPr>
        <w:t>, and J</w:t>
      </w:r>
      <w:r w:rsidR="009C4900">
        <w:rPr>
          <w:rFonts w:cs="Times New Roman"/>
          <w:noProof/>
          <w:szCs w:val="24"/>
        </w:rPr>
        <w:t>.</w:t>
      </w:r>
      <w:r w:rsidRPr="00161115">
        <w:rPr>
          <w:rFonts w:cs="Times New Roman"/>
          <w:noProof/>
          <w:szCs w:val="24"/>
        </w:rPr>
        <w:t>D</w:t>
      </w:r>
      <w:r w:rsidR="009C4900">
        <w:rPr>
          <w:rFonts w:cs="Times New Roman"/>
          <w:noProof/>
          <w:szCs w:val="24"/>
        </w:rPr>
        <w:t>.</w:t>
      </w:r>
      <w:r w:rsidRPr="00161115">
        <w:rPr>
          <w:rFonts w:cs="Times New Roman"/>
          <w:noProof/>
          <w:szCs w:val="24"/>
        </w:rPr>
        <w:t xml:space="preserve"> MacBeth. 1973. Risk, Return, and Equilibrium: Empirical Tests. </w:t>
      </w:r>
      <w:r w:rsidRPr="00161115">
        <w:rPr>
          <w:rFonts w:cs="Times New Roman"/>
          <w:i/>
          <w:iCs/>
          <w:noProof/>
          <w:szCs w:val="24"/>
        </w:rPr>
        <w:t>The Journal of Political Economy</w:t>
      </w:r>
      <w:r w:rsidRPr="00161115">
        <w:rPr>
          <w:rFonts w:cs="Times New Roman"/>
          <w:noProof/>
          <w:szCs w:val="24"/>
        </w:rPr>
        <w:t xml:space="preserve"> </w:t>
      </w:r>
      <w:r w:rsidRPr="00671555">
        <w:rPr>
          <w:rFonts w:cs="Times New Roman"/>
          <w:b/>
          <w:noProof/>
          <w:szCs w:val="24"/>
        </w:rPr>
        <w:t>81</w:t>
      </w:r>
      <w:r w:rsidR="00671555">
        <w:rPr>
          <w:rFonts w:cs="Times New Roman"/>
          <w:b/>
          <w:noProof/>
          <w:szCs w:val="24"/>
        </w:rPr>
        <w:t>,</w:t>
      </w:r>
      <w:r w:rsidRPr="00161115">
        <w:rPr>
          <w:rFonts w:cs="Times New Roman"/>
          <w:noProof/>
          <w:szCs w:val="24"/>
        </w:rPr>
        <w:t xml:space="preserve"> 607–636.</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Fama, Eugene F, and Kenneth R French. 1992. The Cross-Section of Expected Stock Returns. </w:t>
      </w:r>
      <w:r w:rsidRPr="00161115">
        <w:rPr>
          <w:rFonts w:cs="Times New Roman"/>
          <w:i/>
          <w:iCs/>
          <w:noProof/>
          <w:szCs w:val="24"/>
        </w:rPr>
        <w:t>The Journal of Finance</w:t>
      </w:r>
      <w:r w:rsidRPr="00161115">
        <w:rPr>
          <w:rFonts w:cs="Times New Roman"/>
          <w:noProof/>
          <w:szCs w:val="24"/>
        </w:rPr>
        <w:t xml:space="preserve"> </w:t>
      </w:r>
      <w:r w:rsidRPr="00671555">
        <w:rPr>
          <w:rFonts w:cs="Times New Roman"/>
          <w:b/>
          <w:noProof/>
          <w:szCs w:val="24"/>
        </w:rPr>
        <w:t>47</w:t>
      </w:r>
      <w:r w:rsidR="00671555">
        <w:rPr>
          <w:rFonts w:cs="Times New Roman"/>
          <w:noProof/>
          <w:szCs w:val="24"/>
        </w:rPr>
        <w:t>,</w:t>
      </w:r>
      <w:r w:rsidRPr="00161115">
        <w:rPr>
          <w:rFonts w:cs="Times New Roman"/>
          <w:noProof/>
          <w:szCs w:val="24"/>
        </w:rPr>
        <w:t xml:space="preserve"> 427–465.</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Gali, Jordi. 1992. How Well Does the IS-LM Model Fit Postwar U.S. Data. </w:t>
      </w:r>
      <w:r w:rsidRPr="00161115">
        <w:rPr>
          <w:rFonts w:cs="Times New Roman"/>
          <w:i/>
          <w:iCs/>
          <w:noProof/>
          <w:szCs w:val="24"/>
        </w:rPr>
        <w:t>The Quarterly Journal of Economics</w:t>
      </w:r>
      <w:r w:rsidRPr="00161115">
        <w:rPr>
          <w:rFonts w:cs="Times New Roman"/>
          <w:noProof/>
          <w:szCs w:val="24"/>
        </w:rPr>
        <w:t xml:space="preserve"> </w:t>
      </w:r>
      <w:r w:rsidRPr="00671555">
        <w:rPr>
          <w:rFonts w:cs="Times New Roman"/>
          <w:b/>
          <w:noProof/>
          <w:szCs w:val="24"/>
        </w:rPr>
        <w:t>107</w:t>
      </w:r>
      <w:r w:rsidR="00671555">
        <w:rPr>
          <w:rFonts w:cs="Times New Roman"/>
          <w:b/>
          <w:noProof/>
          <w:szCs w:val="24"/>
        </w:rPr>
        <w:t>,</w:t>
      </w:r>
      <w:r w:rsidRPr="00161115">
        <w:rPr>
          <w:rFonts w:cs="Times New Roman"/>
          <w:noProof/>
          <w:szCs w:val="24"/>
        </w:rPr>
        <w:t xml:space="preserve"> 709–738.</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Gibbons, Michael R, Stephen A Ross, and Jay Shanken. 1989. A Test of the E</w:t>
      </w:r>
      <w:r w:rsidR="00671555">
        <w:rPr>
          <w:rFonts w:cs="Times New Roman"/>
          <w:noProof/>
          <w:szCs w:val="24"/>
        </w:rPr>
        <w:t>fficiency of a Given Portfolio.</w:t>
      </w:r>
      <w:r w:rsidRPr="00161115">
        <w:rPr>
          <w:rFonts w:cs="Times New Roman"/>
          <w:noProof/>
          <w:szCs w:val="24"/>
        </w:rPr>
        <w:t xml:space="preserve"> </w:t>
      </w:r>
      <w:r w:rsidRPr="00161115">
        <w:rPr>
          <w:rFonts w:cs="Times New Roman"/>
          <w:i/>
          <w:iCs/>
          <w:noProof/>
          <w:szCs w:val="24"/>
        </w:rPr>
        <w:t>Econometrica</w:t>
      </w:r>
      <w:r w:rsidRPr="00161115">
        <w:rPr>
          <w:rFonts w:cs="Times New Roman"/>
          <w:noProof/>
          <w:szCs w:val="24"/>
        </w:rPr>
        <w:t xml:space="preserve"> </w:t>
      </w:r>
      <w:r w:rsidRPr="00671555">
        <w:rPr>
          <w:rFonts w:cs="Times New Roman"/>
          <w:b/>
          <w:noProof/>
          <w:szCs w:val="24"/>
        </w:rPr>
        <w:t>57</w:t>
      </w:r>
      <w:r w:rsidR="00671555">
        <w:rPr>
          <w:rFonts w:cs="Times New Roman"/>
          <w:noProof/>
          <w:szCs w:val="24"/>
        </w:rPr>
        <w:t>,</w:t>
      </w:r>
      <w:r w:rsidRPr="00161115">
        <w:rPr>
          <w:rFonts w:cs="Times New Roman"/>
          <w:noProof/>
          <w:szCs w:val="24"/>
        </w:rPr>
        <w:t xml:space="preserve"> 1121–1152.</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Gregory, Alan, Rajesh Tharyan, and Angela Christidis. 2013. Constructing and Testing Alternative Versions of the Fama-French and Carhart Models in the UK. </w:t>
      </w:r>
      <w:r w:rsidRPr="00161115">
        <w:rPr>
          <w:rFonts w:cs="Times New Roman"/>
          <w:i/>
          <w:iCs/>
          <w:noProof/>
          <w:szCs w:val="24"/>
        </w:rPr>
        <w:t>Journal of Business Finance and Accounting</w:t>
      </w:r>
      <w:r w:rsidRPr="00161115">
        <w:rPr>
          <w:rFonts w:cs="Times New Roman"/>
          <w:noProof/>
          <w:szCs w:val="24"/>
        </w:rPr>
        <w:t xml:space="preserve"> </w:t>
      </w:r>
      <w:r w:rsidRPr="00671555">
        <w:rPr>
          <w:rFonts w:cs="Times New Roman"/>
          <w:b/>
          <w:noProof/>
          <w:szCs w:val="24"/>
        </w:rPr>
        <w:t>40</w:t>
      </w:r>
      <w:r w:rsidR="00671555">
        <w:rPr>
          <w:rFonts w:cs="Times New Roman"/>
          <w:noProof/>
          <w:szCs w:val="24"/>
        </w:rPr>
        <w:t>, 172-214</w:t>
      </w:r>
      <w:r w:rsidRPr="00161115">
        <w:rPr>
          <w:rFonts w:cs="Times New Roman"/>
          <w:noProof/>
          <w:szCs w:val="24"/>
        </w:rPr>
        <w:t>.</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Jacobs, Kris, and KQ Wang. 2004. Idiosyncratic Consumption Risk and the Cross Section of Asset Returns. </w:t>
      </w:r>
      <w:r w:rsidRPr="00161115">
        <w:rPr>
          <w:rFonts w:cs="Times New Roman"/>
          <w:i/>
          <w:iCs/>
          <w:noProof/>
          <w:szCs w:val="24"/>
        </w:rPr>
        <w:t>The Journal of Finance</w:t>
      </w:r>
      <w:r w:rsidRPr="00161115">
        <w:rPr>
          <w:rFonts w:cs="Times New Roman"/>
          <w:noProof/>
          <w:szCs w:val="24"/>
        </w:rPr>
        <w:t xml:space="preserve"> </w:t>
      </w:r>
      <w:r w:rsidRPr="00671555">
        <w:rPr>
          <w:rFonts w:cs="Times New Roman"/>
          <w:b/>
          <w:noProof/>
          <w:szCs w:val="24"/>
        </w:rPr>
        <w:t>59</w:t>
      </w:r>
      <w:r w:rsidR="00671555">
        <w:rPr>
          <w:rFonts w:cs="Times New Roman"/>
          <w:noProof/>
          <w:szCs w:val="24"/>
        </w:rPr>
        <w:t>,</w:t>
      </w:r>
      <w:r w:rsidRPr="00161115">
        <w:rPr>
          <w:rFonts w:cs="Times New Roman"/>
          <w:noProof/>
          <w:szCs w:val="24"/>
        </w:rPr>
        <w:t xml:space="preserve"> 2211–2252.</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Lettau, Martin, and </w:t>
      </w:r>
      <w:r w:rsidR="009C4900" w:rsidRPr="00161115">
        <w:rPr>
          <w:rFonts w:cs="Times New Roman"/>
          <w:noProof/>
          <w:szCs w:val="24"/>
        </w:rPr>
        <w:t>Sydney Ludvigson</w:t>
      </w:r>
      <w:r w:rsidR="00671555">
        <w:rPr>
          <w:rFonts w:cs="Times New Roman"/>
          <w:noProof/>
          <w:szCs w:val="24"/>
        </w:rPr>
        <w:t xml:space="preserve">. 2001a. </w:t>
      </w:r>
      <w:r w:rsidRPr="00161115">
        <w:rPr>
          <w:rFonts w:cs="Times New Roman"/>
          <w:noProof/>
          <w:szCs w:val="24"/>
        </w:rPr>
        <w:t>Resurrecting the (C) CAPM: A Cross-Sectional Test Whe</w:t>
      </w:r>
      <w:r w:rsidR="00671555">
        <w:rPr>
          <w:rFonts w:cs="Times New Roman"/>
          <w:noProof/>
          <w:szCs w:val="24"/>
        </w:rPr>
        <w:t>n Risk Premia Are Time-Varying.</w:t>
      </w:r>
      <w:r w:rsidRPr="00161115">
        <w:rPr>
          <w:rFonts w:cs="Times New Roman"/>
          <w:noProof/>
          <w:szCs w:val="24"/>
        </w:rPr>
        <w:t xml:space="preserve"> </w:t>
      </w:r>
      <w:r w:rsidRPr="00161115">
        <w:rPr>
          <w:rFonts w:cs="Times New Roman"/>
          <w:i/>
          <w:iCs/>
          <w:noProof/>
          <w:szCs w:val="24"/>
        </w:rPr>
        <w:t>Journal of Political Economy</w:t>
      </w:r>
      <w:r w:rsidRPr="00161115">
        <w:rPr>
          <w:rFonts w:cs="Times New Roman"/>
          <w:noProof/>
          <w:szCs w:val="24"/>
        </w:rPr>
        <w:t xml:space="preserve"> </w:t>
      </w:r>
      <w:r w:rsidRPr="00671555">
        <w:rPr>
          <w:rFonts w:cs="Times New Roman"/>
          <w:b/>
          <w:noProof/>
          <w:szCs w:val="24"/>
        </w:rPr>
        <w:t>109</w:t>
      </w:r>
      <w:r w:rsidR="00671555">
        <w:rPr>
          <w:rFonts w:cs="Times New Roman"/>
          <w:noProof/>
          <w:szCs w:val="24"/>
        </w:rPr>
        <w:t>,</w:t>
      </w:r>
      <w:r w:rsidRPr="00161115">
        <w:rPr>
          <w:rFonts w:cs="Times New Roman"/>
          <w:noProof/>
          <w:szCs w:val="24"/>
        </w:rPr>
        <w:t xml:space="preserve"> 1238–1287.</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Lettau, Martin, and Sydney Ludvigson. 2001b. Consumption, Aggregate Wealth, and Expected Stock Returns. </w:t>
      </w:r>
      <w:r w:rsidRPr="00161115">
        <w:rPr>
          <w:rFonts w:cs="Times New Roman"/>
          <w:i/>
          <w:iCs/>
          <w:noProof/>
          <w:szCs w:val="24"/>
        </w:rPr>
        <w:t>The Journal of Finance</w:t>
      </w:r>
      <w:r w:rsidRPr="00161115">
        <w:rPr>
          <w:rFonts w:cs="Times New Roman"/>
          <w:noProof/>
          <w:szCs w:val="24"/>
        </w:rPr>
        <w:t xml:space="preserve"> </w:t>
      </w:r>
      <w:r w:rsidRPr="00671555">
        <w:rPr>
          <w:rFonts w:cs="Times New Roman"/>
          <w:b/>
          <w:noProof/>
          <w:szCs w:val="24"/>
        </w:rPr>
        <w:t>56</w:t>
      </w:r>
      <w:r w:rsidR="00671555">
        <w:rPr>
          <w:rFonts w:cs="Times New Roman"/>
          <w:noProof/>
          <w:szCs w:val="24"/>
        </w:rPr>
        <w:t>,</w:t>
      </w:r>
      <w:r w:rsidRPr="00161115">
        <w:rPr>
          <w:rFonts w:cs="Times New Roman"/>
          <w:noProof/>
          <w:szCs w:val="24"/>
        </w:rPr>
        <w:t xml:space="preserve">  815–849.</w:t>
      </w:r>
    </w:p>
    <w:p w:rsid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Lucas, Robert E. 1978. Asset Prices in an Exchange Economy. </w:t>
      </w:r>
      <w:r w:rsidRPr="00161115">
        <w:rPr>
          <w:rFonts w:cs="Times New Roman"/>
          <w:i/>
          <w:iCs/>
          <w:noProof/>
          <w:szCs w:val="24"/>
        </w:rPr>
        <w:t>Econometrica</w:t>
      </w:r>
      <w:r w:rsidRPr="00161115">
        <w:rPr>
          <w:rFonts w:cs="Times New Roman"/>
          <w:noProof/>
          <w:szCs w:val="24"/>
        </w:rPr>
        <w:t xml:space="preserve"> </w:t>
      </w:r>
      <w:r w:rsidRPr="00671555">
        <w:rPr>
          <w:rFonts w:cs="Times New Roman"/>
          <w:b/>
          <w:noProof/>
          <w:szCs w:val="24"/>
        </w:rPr>
        <w:t>46</w:t>
      </w:r>
      <w:r w:rsidRPr="00161115">
        <w:rPr>
          <w:rFonts w:cs="Times New Roman"/>
          <w:noProof/>
          <w:szCs w:val="24"/>
        </w:rPr>
        <w:t xml:space="preserve"> </w:t>
      </w:r>
      <w:r w:rsidR="00671555">
        <w:rPr>
          <w:rFonts w:cs="Times New Roman"/>
          <w:noProof/>
          <w:szCs w:val="24"/>
        </w:rPr>
        <w:t>,</w:t>
      </w:r>
      <w:r w:rsidRPr="00161115">
        <w:rPr>
          <w:rFonts w:cs="Times New Roman"/>
          <w:noProof/>
          <w:szCs w:val="24"/>
        </w:rPr>
        <w:t>1429–1445.</w:t>
      </w:r>
    </w:p>
    <w:p w:rsidR="001C3947" w:rsidRPr="00161115" w:rsidRDefault="001C3947" w:rsidP="00161115">
      <w:pPr>
        <w:widowControl w:val="0"/>
        <w:autoSpaceDE w:val="0"/>
        <w:autoSpaceDN w:val="0"/>
        <w:adjustRightInd w:val="0"/>
        <w:spacing w:before="100" w:after="100"/>
        <w:ind w:left="480" w:hanging="480"/>
        <w:rPr>
          <w:rFonts w:cs="Times New Roman"/>
          <w:noProof/>
          <w:szCs w:val="24"/>
        </w:rPr>
      </w:pPr>
      <w:r>
        <w:rPr>
          <w:noProof/>
        </w:rPr>
        <w:t>Ludvigson, S., Steindel, C. and Lettau, M. (2002)</w:t>
      </w:r>
      <w:r w:rsidRPr="001843C7">
        <w:rPr>
          <w:noProof/>
        </w:rPr>
        <w:t xml:space="preserve"> </w:t>
      </w:r>
      <w:r>
        <w:rPr>
          <w:noProof/>
        </w:rPr>
        <w:t xml:space="preserve">Monetary Policy Transmission through the Consumption-Wealth Channel, </w:t>
      </w:r>
      <w:r>
        <w:rPr>
          <w:i/>
          <w:noProof/>
        </w:rPr>
        <w:t xml:space="preserve">Economic Policy Review,  Federal Reserve Bank of New York, </w:t>
      </w:r>
      <w:r>
        <w:rPr>
          <w:noProof/>
        </w:rPr>
        <w:t>pp 117-133.</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Lutkepohl, Helmut. 2005. </w:t>
      </w:r>
      <w:r w:rsidRPr="00161115">
        <w:rPr>
          <w:rFonts w:cs="Times New Roman"/>
          <w:i/>
          <w:iCs/>
          <w:noProof/>
          <w:szCs w:val="24"/>
        </w:rPr>
        <w:t>New Introduction to Multiple Time Series Analysis</w:t>
      </w:r>
      <w:r w:rsidRPr="00161115">
        <w:rPr>
          <w:rFonts w:cs="Times New Roman"/>
          <w:noProof/>
          <w:szCs w:val="24"/>
        </w:rPr>
        <w:t>. 2nd ed. New York: Springer.</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MacDonald, Garry, Andy Mullineux, and Rudra Sensarma. 2011. Asymmetric Effects of Interest Rate Changes: The Role of the Consumption-Wealth Channel. </w:t>
      </w:r>
      <w:r w:rsidRPr="00161115">
        <w:rPr>
          <w:rFonts w:cs="Times New Roman"/>
          <w:i/>
          <w:iCs/>
          <w:noProof/>
          <w:szCs w:val="24"/>
        </w:rPr>
        <w:t>Applied Economics</w:t>
      </w:r>
      <w:r w:rsidRPr="00161115">
        <w:rPr>
          <w:rFonts w:cs="Times New Roman"/>
          <w:noProof/>
          <w:szCs w:val="24"/>
        </w:rPr>
        <w:t xml:space="preserve"> </w:t>
      </w:r>
      <w:r w:rsidRPr="00386D3F">
        <w:rPr>
          <w:rFonts w:cs="Times New Roman"/>
          <w:b/>
          <w:noProof/>
          <w:szCs w:val="24"/>
        </w:rPr>
        <w:t>43</w:t>
      </w:r>
      <w:r w:rsidR="00386D3F">
        <w:rPr>
          <w:rFonts w:cs="Times New Roman"/>
          <w:noProof/>
          <w:szCs w:val="24"/>
        </w:rPr>
        <w:t>,</w:t>
      </w:r>
      <w:r w:rsidRPr="00161115">
        <w:rPr>
          <w:rFonts w:cs="Times New Roman"/>
          <w:noProof/>
          <w:szCs w:val="24"/>
        </w:rPr>
        <w:t xml:space="preserve"> 991–2001..</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Mehra, Rajnish, and EC Edward C. Prescott. 1985. The Equity Premium: A Puzzle. </w:t>
      </w:r>
      <w:r w:rsidRPr="00161115">
        <w:rPr>
          <w:rFonts w:cs="Times New Roman"/>
          <w:i/>
          <w:iCs/>
          <w:noProof/>
          <w:szCs w:val="24"/>
        </w:rPr>
        <w:t>Journal of Monetary Economics</w:t>
      </w:r>
      <w:r w:rsidRPr="00161115">
        <w:rPr>
          <w:rFonts w:cs="Times New Roman"/>
          <w:noProof/>
          <w:szCs w:val="24"/>
        </w:rPr>
        <w:t xml:space="preserve"> </w:t>
      </w:r>
      <w:r w:rsidRPr="00386D3F">
        <w:rPr>
          <w:rFonts w:cs="Times New Roman"/>
          <w:b/>
          <w:noProof/>
          <w:szCs w:val="24"/>
        </w:rPr>
        <w:t>15</w:t>
      </w:r>
      <w:r w:rsidR="00386D3F">
        <w:rPr>
          <w:rFonts w:cs="Times New Roman"/>
          <w:noProof/>
          <w:szCs w:val="24"/>
        </w:rPr>
        <w:t>,</w:t>
      </w:r>
      <w:r w:rsidRPr="00161115">
        <w:rPr>
          <w:rFonts w:cs="Times New Roman"/>
          <w:noProof/>
          <w:szCs w:val="24"/>
        </w:rPr>
        <w:t xml:space="preserve"> </w:t>
      </w:r>
      <w:r w:rsidR="00386D3F">
        <w:rPr>
          <w:rFonts w:cs="Times New Roman"/>
          <w:noProof/>
          <w:szCs w:val="24"/>
        </w:rPr>
        <w:t>145–161.</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Modigliani, Franco. 1963. The Monetary Mechanism and Its Interaction with Real Phenomena. </w:t>
      </w:r>
      <w:r w:rsidRPr="00161115">
        <w:rPr>
          <w:rFonts w:cs="Times New Roman"/>
          <w:i/>
          <w:iCs/>
          <w:noProof/>
          <w:szCs w:val="24"/>
        </w:rPr>
        <w:t>Review of Economics &amp; Statistics,</w:t>
      </w:r>
      <w:r w:rsidRPr="00161115">
        <w:rPr>
          <w:rFonts w:cs="Times New Roman"/>
          <w:noProof/>
          <w:szCs w:val="24"/>
        </w:rPr>
        <w:t xml:space="preserve"> </w:t>
      </w:r>
      <w:r w:rsidRPr="00386D3F">
        <w:rPr>
          <w:rFonts w:cs="Times New Roman"/>
          <w:b/>
          <w:noProof/>
          <w:szCs w:val="24"/>
        </w:rPr>
        <w:t>45</w:t>
      </w:r>
      <w:r w:rsidR="00386D3F">
        <w:rPr>
          <w:rFonts w:cs="Times New Roman"/>
          <w:b/>
          <w:noProof/>
          <w:szCs w:val="24"/>
        </w:rPr>
        <w:t>,</w:t>
      </w:r>
      <w:r w:rsidRPr="00161115">
        <w:rPr>
          <w:rFonts w:cs="Times New Roman"/>
          <w:noProof/>
          <w:szCs w:val="24"/>
        </w:rPr>
        <w:t xml:space="preserve"> </w:t>
      </w:r>
      <w:r w:rsidR="00386D3F">
        <w:rPr>
          <w:rFonts w:cs="Times New Roman"/>
          <w:noProof/>
          <w:szCs w:val="24"/>
        </w:rPr>
        <w:t xml:space="preserve"> 79–107.</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 1971. “Monetary Policy and Consumption: Linkages via Interest Rate and Wealth Effects in the FMP Model.” In </w:t>
      </w:r>
      <w:r w:rsidRPr="00161115">
        <w:rPr>
          <w:rFonts w:cs="Times New Roman"/>
          <w:i/>
          <w:iCs/>
          <w:noProof/>
          <w:szCs w:val="24"/>
        </w:rPr>
        <w:t>Consumer Spending and Monetary Policy: The Linkages</w:t>
      </w:r>
      <w:r w:rsidRPr="00161115">
        <w:rPr>
          <w:rFonts w:cs="Times New Roman"/>
          <w:noProof/>
          <w:szCs w:val="24"/>
        </w:rPr>
        <w:t>, 9–84. Nantucket Island: The Federal Reserve Bank of Boston. Series 5.</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Newey, Whitney K., and Kenneth D. West. 1987. A Simple Positive Semi Definite Hetroskedasticity and Autocorrelation Consistent Covariance Matrix. </w:t>
      </w:r>
      <w:r w:rsidRPr="00161115">
        <w:rPr>
          <w:rFonts w:cs="Times New Roman"/>
          <w:i/>
          <w:iCs/>
          <w:noProof/>
          <w:szCs w:val="24"/>
        </w:rPr>
        <w:t>Econometrica</w:t>
      </w:r>
      <w:r w:rsidR="00386D3F">
        <w:rPr>
          <w:rFonts w:cs="Times New Roman"/>
          <w:noProof/>
          <w:szCs w:val="24"/>
        </w:rPr>
        <w:t xml:space="preserve"> </w:t>
      </w:r>
      <w:r w:rsidR="00386D3F" w:rsidRPr="00386D3F">
        <w:rPr>
          <w:rFonts w:cs="Times New Roman"/>
          <w:b/>
          <w:noProof/>
          <w:szCs w:val="24"/>
        </w:rPr>
        <w:t>55</w:t>
      </w:r>
      <w:r w:rsidR="00386D3F">
        <w:rPr>
          <w:rFonts w:cs="Times New Roman"/>
          <w:noProof/>
          <w:szCs w:val="24"/>
        </w:rPr>
        <w:t xml:space="preserve"> </w:t>
      </w:r>
      <w:r w:rsidRPr="00161115">
        <w:rPr>
          <w:rFonts w:cs="Times New Roman"/>
          <w:noProof/>
          <w:szCs w:val="24"/>
        </w:rPr>
        <w:t>703–708.</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Pagan, Adrian. 1995. </w:t>
      </w:r>
      <w:r w:rsidR="00386D3F">
        <w:rPr>
          <w:rFonts w:cs="Times New Roman"/>
          <w:noProof/>
          <w:szCs w:val="24"/>
        </w:rPr>
        <w:t>T</w:t>
      </w:r>
      <w:r w:rsidRPr="00161115">
        <w:rPr>
          <w:rFonts w:cs="Times New Roman"/>
          <w:noProof/>
          <w:szCs w:val="24"/>
        </w:rPr>
        <w:t xml:space="preserve">hree Econometric Methodologies: An Update. In </w:t>
      </w:r>
      <w:r w:rsidRPr="00161115">
        <w:rPr>
          <w:rFonts w:cs="Times New Roman"/>
          <w:i/>
          <w:iCs/>
          <w:noProof/>
          <w:szCs w:val="24"/>
        </w:rPr>
        <w:t>Surveys in Econometrics</w:t>
      </w:r>
      <w:r w:rsidRPr="00161115">
        <w:rPr>
          <w:rFonts w:cs="Times New Roman"/>
          <w:noProof/>
          <w:szCs w:val="24"/>
        </w:rPr>
        <w:t>, edited by L Oxley, D.A.R. George, C.J. Roberts, and S. Sayer. Oxford: Blackwell Publishing Inc.</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Parker, </w:t>
      </w:r>
      <w:r w:rsidR="009C4900" w:rsidRPr="00161115">
        <w:rPr>
          <w:rFonts w:cs="Times New Roman"/>
          <w:noProof/>
          <w:szCs w:val="24"/>
        </w:rPr>
        <w:t>Jonathan A</w:t>
      </w:r>
      <w:r w:rsidRPr="00161115">
        <w:rPr>
          <w:rFonts w:cs="Times New Roman"/>
          <w:noProof/>
          <w:szCs w:val="24"/>
        </w:rPr>
        <w:t xml:space="preserve">, and C Julliard. 2005. Consumption Risk and the Cross Section of Expected Returns. </w:t>
      </w:r>
      <w:r w:rsidRPr="00161115">
        <w:rPr>
          <w:rFonts w:cs="Times New Roman"/>
          <w:i/>
          <w:iCs/>
          <w:noProof/>
          <w:szCs w:val="24"/>
        </w:rPr>
        <w:t>Journal of Political Economy</w:t>
      </w:r>
      <w:r w:rsidRPr="00161115">
        <w:rPr>
          <w:rFonts w:cs="Times New Roman"/>
          <w:noProof/>
          <w:szCs w:val="24"/>
        </w:rPr>
        <w:t xml:space="preserve"> </w:t>
      </w:r>
      <w:r w:rsidRPr="00386D3F">
        <w:rPr>
          <w:rFonts w:cs="Times New Roman"/>
          <w:b/>
          <w:noProof/>
          <w:szCs w:val="24"/>
        </w:rPr>
        <w:t>113</w:t>
      </w:r>
      <w:r w:rsidR="00386D3F">
        <w:rPr>
          <w:rFonts w:cs="Times New Roman"/>
          <w:noProof/>
          <w:szCs w:val="24"/>
        </w:rPr>
        <w:t>,</w:t>
      </w:r>
      <w:r w:rsidRPr="00161115">
        <w:rPr>
          <w:rFonts w:cs="Times New Roman"/>
          <w:noProof/>
          <w:szCs w:val="24"/>
        </w:rPr>
        <w:t xml:space="preserve"> 185–222.</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Parker, Jonathan A. 2003. Consumption Risk and Expected Stock Returns. </w:t>
      </w:r>
      <w:r w:rsidRPr="00161115">
        <w:rPr>
          <w:rFonts w:cs="Times New Roman"/>
          <w:i/>
          <w:iCs/>
          <w:noProof/>
          <w:szCs w:val="24"/>
        </w:rPr>
        <w:t>The American Economic Review</w:t>
      </w:r>
      <w:r w:rsidRPr="00161115">
        <w:rPr>
          <w:rFonts w:cs="Times New Roman"/>
          <w:noProof/>
          <w:szCs w:val="24"/>
        </w:rPr>
        <w:t xml:space="preserve"> </w:t>
      </w:r>
      <w:r w:rsidRPr="00386D3F">
        <w:rPr>
          <w:rFonts w:cs="Times New Roman"/>
          <w:b/>
          <w:noProof/>
          <w:szCs w:val="24"/>
        </w:rPr>
        <w:t>93</w:t>
      </w:r>
      <w:r w:rsidR="00386D3F">
        <w:rPr>
          <w:rFonts w:cs="Times New Roman"/>
          <w:noProof/>
          <w:szCs w:val="24"/>
        </w:rPr>
        <w:t>,</w:t>
      </w:r>
      <w:r w:rsidRPr="00161115">
        <w:rPr>
          <w:rFonts w:cs="Times New Roman"/>
          <w:noProof/>
          <w:szCs w:val="24"/>
        </w:rPr>
        <w:t xml:space="preserve"> 376–382.</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Piazzesi, Monika, Martin Schneider, and Selale Tuzel. 2007. Housing,</w:t>
      </w:r>
      <w:r w:rsidR="00386D3F">
        <w:rPr>
          <w:rFonts w:cs="Times New Roman"/>
          <w:noProof/>
          <w:szCs w:val="24"/>
        </w:rPr>
        <w:t xml:space="preserve"> Consumption and Asset Pricing.</w:t>
      </w:r>
      <w:r w:rsidRPr="00161115">
        <w:rPr>
          <w:rFonts w:cs="Times New Roman"/>
          <w:noProof/>
          <w:szCs w:val="24"/>
        </w:rPr>
        <w:t xml:space="preserve"> </w:t>
      </w:r>
      <w:r w:rsidRPr="00161115">
        <w:rPr>
          <w:rFonts w:cs="Times New Roman"/>
          <w:i/>
          <w:iCs/>
          <w:noProof/>
          <w:szCs w:val="24"/>
        </w:rPr>
        <w:t>Journal of Financial Economics</w:t>
      </w:r>
      <w:r w:rsidRPr="00161115">
        <w:rPr>
          <w:rFonts w:cs="Times New Roman"/>
          <w:noProof/>
          <w:szCs w:val="24"/>
        </w:rPr>
        <w:t xml:space="preserve"> </w:t>
      </w:r>
      <w:r w:rsidRPr="00386D3F">
        <w:rPr>
          <w:rFonts w:cs="Times New Roman"/>
          <w:b/>
          <w:noProof/>
          <w:szCs w:val="24"/>
        </w:rPr>
        <w:t>83</w:t>
      </w:r>
      <w:r w:rsidR="00386D3F">
        <w:rPr>
          <w:rFonts w:cs="Times New Roman"/>
          <w:noProof/>
          <w:szCs w:val="24"/>
        </w:rPr>
        <w:t>,</w:t>
      </w:r>
      <w:r w:rsidRPr="00161115">
        <w:rPr>
          <w:rFonts w:cs="Times New Roman"/>
          <w:noProof/>
          <w:szCs w:val="24"/>
        </w:rPr>
        <w:t xml:space="preserve"> 531–569.</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Power, John. 2004. Durable Spending, Relative Prices and Consumption. </w:t>
      </w:r>
      <w:r w:rsidRPr="00161115">
        <w:rPr>
          <w:rFonts w:cs="Times New Roman"/>
          <w:i/>
          <w:iCs/>
          <w:noProof/>
          <w:szCs w:val="24"/>
        </w:rPr>
        <w:t>Bank of England Quarterly Bulletin</w:t>
      </w:r>
      <w:r w:rsidRPr="00161115">
        <w:rPr>
          <w:rFonts w:cs="Times New Roman"/>
          <w:noProof/>
          <w:szCs w:val="24"/>
        </w:rPr>
        <w:t xml:space="preserve"> </w:t>
      </w:r>
      <w:r w:rsidRPr="00386D3F">
        <w:rPr>
          <w:rFonts w:cs="Times New Roman"/>
          <w:b/>
          <w:noProof/>
          <w:szCs w:val="24"/>
        </w:rPr>
        <w:t>44</w:t>
      </w:r>
      <w:r w:rsidR="00386D3F">
        <w:rPr>
          <w:rFonts w:cs="Times New Roman"/>
          <w:noProof/>
          <w:szCs w:val="24"/>
        </w:rPr>
        <w:t>,</w:t>
      </w:r>
      <w:r w:rsidRPr="00161115">
        <w:rPr>
          <w:rFonts w:cs="Times New Roman"/>
          <w:noProof/>
          <w:szCs w:val="24"/>
        </w:rPr>
        <w:t xml:space="preserve">  21–31.</w:t>
      </w:r>
    </w:p>
    <w:p w:rsidR="00161115" w:rsidRPr="00161115" w:rsidRDefault="00386D3F" w:rsidP="00161115">
      <w:pPr>
        <w:widowControl w:val="0"/>
        <w:autoSpaceDE w:val="0"/>
        <w:autoSpaceDN w:val="0"/>
        <w:adjustRightInd w:val="0"/>
        <w:spacing w:before="100" w:after="100"/>
        <w:ind w:left="480" w:hanging="480"/>
        <w:rPr>
          <w:rFonts w:cs="Times New Roman"/>
          <w:noProof/>
          <w:szCs w:val="24"/>
        </w:rPr>
      </w:pPr>
      <w:r>
        <w:rPr>
          <w:rFonts w:cs="Times New Roman"/>
          <w:noProof/>
          <w:szCs w:val="24"/>
        </w:rPr>
        <w:t xml:space="preserve">Rubinstein, Mark. 1976. </w:t>
      </w:r>
      <w:r w:rsidR="00161115" w:rsidRPr="00161115">
        <w:rPr>
          <w:rFonts w:cs="Times New Roman"/>
          <w:noProof/>
          <w:szCs w:val="24"/>
        </w:rPr>
        <w:t>The Valuation of Uncertain Income Stre</w:t>
      </w:r>
      <w:r>
        <w:rPr>
          <w:rFonts w:cs="Times New Roman"/>
          <w:noProof/>
          <w:szCs w:val="24"/>
        </w:rPr>
        <w:t>ams and the Pricing of Options.</w:t>
      </w:r>
      <w:r w:rsidR="00161115" w:rsidRPr="00161115">
        <w:rPr>
          <w:rFonts w:cs="Times New Roman"/>
          <w:noProof/>
          <w:szCs w:val="24"/>
        </w:rPr>
        <w:t xml:space="preserve"> </w:t>
      </w:r>
      <w:r w:rsidR="00161115" w:rsidRPr="00161115">
        <w:rPr>
          <w:rFonts w:cs="Times New Roman"/>
          <w:i/>
          <w:iCs/>
          <w:noProof/>
          <w:szCs w:val="24"/>
        </w:rPr>
        <w:t>Bell Journal of Economics</w:t>
      </w:r>
      <w:r w:rsidR="00161115" w:rsidRPr="00161115">
        <w:rPr>
          <w:rFonts w:cs="Times New Roman"/>
          <w:noProof/>
          <w:szCs w:val="24"/>
        </w:rPr>
        <w:t xml:space="preserve"> </w:t>
      </w:r>
      <w:r w:rsidR="00161115" w:rsidRPr="00386D3F">
        <w:rPr>
          <w:rFonts w:cs="Times New Roman"/>
          <w:b/>
          <w:noProof/>
          <w:szCs w:val="24"/>
        </w:rPr>
        <w:t>7</w:t>
      </w:r>
      <w:r>
        <w:rPr>
          <w:rFonts w:cs="Times New Roman"/>
          <w:noProof/>
          <w:szCs w:val="24"/>
        </w:rPr>
        <w:t>,</w:t>
      </w:r>
      <w:r w:rsidR="00161115" w:rsidRPr="00161115">
        <w:rPr>
          <w:rFonts w:cs="Times New Roman"/>
          <w:noProof/>
          <w:szCs w:val="24"/>
        </w:rPr>
        <w:t xml:space="preserve"> 407–425.</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Sousa, Ricardo M. 2010. Consumption, (Dis)aggregate Wealth, and Asset Returns. </w:t>
      </w:r>
      <w:r w:rsidRPr="00161115">
        <w:rPr>
          <w:rFonts w:cs="Times New Roman"/>
          <w:i/>
          <w:iCs/>
          <w:noProof/>
          <w:szCs w:val="24"/>
        </w:rPr>
        <w:t>Journal of Empirical Finance</w:t>
      </w:r>
      <w:r w:rsidRPr="00161115">
        <w:rPr>
          <w:rFonts w:cs="Times New Roman"/>
          <w:noProof/>
          <w:szCs w:val="24"/>
        </w:rPr>
        <w:t xml:space="preserve"> </w:t>
      </w:r>
      <w:r w:rsidRPr="00386D3F">
        <w:rPr>
          <w:rFonts w:cs="Times New Roman"/>
          <w:b/>
          <w:noProof/>
          <w:szCs w:val="24"/>
        </w:rPr>
        <w:t>17</w:t>
      </w:r>
      <w:r w:rsidR="00386D3F">
        <w:rPr>
          <w:rFonts w:cs="Times New Roman"/>
          <w:noProof/>
          <w:szCs w:val="24"/>
        </w:rPr>
        <w:t>,</w:t>
      </w:r>
      <w:r w:rsidRPr="00161115">
        <w:rPr>
          <w:rFonts w:cs="Times New Roman"/>
          <w:noProof/>
          <w:szCs w:val="24"/>
        </w:rPr>
        <w:t xml:space="preserve"> 606–622.</w:t>
      </w:r>
    </w:p>
    <w:p w:rsidR="00161115" w:rsidRPr="00161115" w:rsidRDefault="00161115" w:rsidP="00161115">
      <w:pPr>
        <w:widowControl w:val="0"/>
        <w:autoSpaceDE w:val="0"/>
        <w:autoSpaceDN w:val="0"/>
        <w:adjustRightInd w:val="0"/>
        <w:spacing w:before="100" w:after="100"/>
        <w:ind w:left="480" w:hanging="480"/>
        <w:rPr>
          <w:rFonts w:cs="Times New Roman"/>
          <w:noProof/>
        </w:rPr>
      </w:pPr>
      <w:r w:rsidRPr="00161115">
        <w:rPr>
          <w:rFonts w:cs="Times New Roman"/>
          <w:noProof/>
          <w:szCs w:val="24"/>
        </w:rPr>
        <w:t xml:space="preserve">Yogo, Motohiro. 2006. A Consumption Based Explanation of Expected Stock Returns. </w:t>
      </w:r>
      <w:r w:rsidRPr="00161115">
        <w:rPr>
          <w:rFonts w:cs="Times New Roman"/>
          <w:i/>
          <w:iCs/>
          <w:noProof/>
          <w:szCs w:val="24"/>
        </w:rPr>
        <w:t>The Journal of Finance</w:t>
      </w:r>
      <w:r w:rsidR="00386D3F">
        <w:rPr>
          <w:rFonts w:cs="Times New Roman"/>
          <w:noProof/>
          <w:szCs w:val="24"/>
        </w:rPr>
        <w:t xml:space="preserve"> </w:t>
      </w:r>
      <w:r w:rsidR="00386D3F" w:rsidRPr="00386D3F">
        <w:rPr>
          <w:rFonts w:cs="Times New Roman"/>
          <w:b/>
          <w:noProof/>
          <w:szCs w:val="24"/>
        </w:rPr>
        <w:t>61</w:t>
      </w:r>
      <w:r w:rsidR="00386D3F">
        <w:rPr>
          <w:rFonts w:cs="Times New Roman"/>
          <w:noProof/>
          <w:szCs w:val="24"/>
        </w:rPr>
        <w:t>,</w:t>
      </w:r>
      <w:r w:rsidRPr="00161115">
        <w:rPr>
          <w:rFonts w:cs="Times New Roman"/>
          <w:noProof/>
          <w:szCs w:val="24"/>
        </w:rPr>
        <w:t xml:space="preserve"> 539–580.</w:t>
      </w:r>
    </w:p>
    <w:p w:rsidR="00E80ADE" w:rsidRDefault="00C012A6" w:rsidP="00161115">
      <w:pPr>
        <w:widowControl w:val="0"/>
        <w:autoSpaceDE w:val="0"/>
        <w:autoSpaceDN w:val="0"/>
        <w:adjustRightInd w:val="0"/>
        <w:spacing w:before="100" w:after="100"/>
        <w:ind w:left="480" w:hanging="480"/>
      </w:pPr>
      <w:r>
        <w:fldChar w:fldCharType="end"/>
      </w:r>
    </w:p>
    <w:p w:rsidR="009C4900" w:rsidRDefault="009C4900" w:rsidP="00161115">
      <w:pPr>
        <w:widowControl w:val="0"/>
        <w:autoSpaceDE w:val="0"/>
        <w:autoSpaceDN w:val="0"/>
        <w:adjustRightInd w:val="0"/>
        <w:spacing w:before="100" w:after="100"/>
        <w:ind w:left="480" w:hanging="480"/>
      </w:pPr>
    </w:p>
    <w:p w:rsidR="009C4900" w:rsidRDefault="009C4900" w:rsidP="00161115">
      <w:pPr>
        <w:widowControl w:val="0"/>
        <w:autoSpaceDE w:val="0"/>
        <w:autoSpaceDN w:val="0"/>
        <w:adjustRightInd w:val="0"/>
        <w:spacing w:before="100" w:after="100"/>
        <w:ind w:left="480" w:hanging="480"/>
      </w:pPr>
    </w:p>
    <w:p w:rsidR="009C4900" w:rsidRDefault="009C4900" w:rsidP="00161115">
      <w:pPr>
        <w:widowControl w:val="0"/>
        <w:autoSpaceDE w:val="0"/>
        <w:autoSpaceDN w:val="0"/>
        <w:adjustRightInd w:val="0"/>
        <w:spacing w:before="100" w:after="100"/>
        <w:ind w:left="480" w:hanging="480"/>
      </w:pPr>
    </w:p>
    <w:p w:rsidR="00C760E6" w:rsidRPr="00E80ADE" w:rsidRDefault="00C760E6" w:rsidP="001C67D1">
      <w:pPr>
        <w:widowControl w:val="0"/>
        <w:autoSpaceDE w:val="0"/>
        <w:autoSpaceDN w:val="0"/>
        <w:adjustRightInd w:val="0"/>
        <w:spacing w:before="100" w:after="100"/>
      </w:pPr>
    </w:p>
    <w:p w:rsidR="003E594A" w:rsidRPr="00C760E6" w:rsidRDefault="003E594A" w:rsidP="001C67D1">
      <w:pPr>
        <w:pStyle w:val="Heading1"/>
        <w:jc w:val="center"/>
        <w:rPr>
          <w:rFonts w:ascii="Times New Roman" w:hAnsi="Times New Roman" w:cs="Times New Roman"/>
          <w:color w:val="000000" w:themeColor="text1"/>
        </w:rPr>
      </w:pPr>
      <w:r w:rsidRPr="00C760E6">
        <w:rPr>
          <w:rFonts w:ascii="Times New Roman" w:hAnsi="Times New Roman" w:cs="Times New Roman"/>
          <w:color w:val="000000" w:themeColor="text1"/>
        </w:rPr>
        <w:t>Appendix A</w:t>
      </w:r>
    </w:p>
    <w:p w:rsidR="003E594A" w:rsidRDefault="003E594A" w:rsidP="00637DFF">
      <w:pPr>
        <w:spacing w:line="360" w:lineRule="auto"/>
      </w:pPr>
      <w:r>
        <w:t xml:space="preserve">The Office of National Statistic (ONS) measures consumer spending by the final consumption expenditure of households and Non-Profit Institutions Serving Households (NPISH). The quarterly data is chained-weighted 2011 British Pound Sterling.  </w:t>
      </w:r>
    </w:p>
    <w:p w:rsidR="003E594A" w:rsidRPr="00E963CF" w:rsidRDefault="003E594A" w:rsidP="00637DFF">
      <w:pPr>
        <w:spacing w:line="360" w:lineRule="auto"/>
      </w:pPr>
      <w:r w:rsidRPr="00E963CF">
        <w:t>Based on ONS definition Durable goods are consumer products that do not need to be purchased frequently because they are made to last for a long time (usually lasting for three yea</w:t>
      </w:r>
      <w:r w:rsidR="00D74186">
        <w:t xml:space="preserve">rs or more). Examples of </w:t>
      </w:r>
      <w:r w:rsidRPr="00E963CF">
        <w:t xml:space="preserve">such </w:t>
      </w:r>
      <w:r w:rsidR="00D74186">
        <w:t xml:space="preserve">goods are </w:t>
      </w:r>
      <w:r w:rsidRPr="00E963CF">
        <w:t xml:space="preserve">washing machines, cars, fridges etc. There are approximately 22 components of durable goods in the ONS series of durable goods. Semi-durable goods are goods which are neither indestructible nor lasting but they can be used more than once before there is a need to replace them; they fall in-between Durable goods and Nondurable goods; examples include clothing and footwear or preserved foods. There are approximately 20 components of semi-durable goods in the ONS series. Nondurable goods are the opposite of durable goods. They are defined as goods that are immediately consumed in one use or ones that have a lifespan of less than 3 years. Examples include food, cleaning products, food, fuel, beer, cigarettes, medication, office supplies, packaging and containers, paper and paper products, personal products. There are approximately 20 components of non-durable goods and service in the ONS series. </w:t>
      </w:r>
    </w:p>
    <w:p w:rsidR="003E594A" w:rsidRPr="00E963CF" w:rsidRDefault="003E594A" w:rsidP="00637DFF">
      <w:pPr>
        <w:spacing w:line="360" w:lineRule="auto"/>
      </w:pPr>
      <w:r w:rsidRPr="00E963CF">
        <w:t>The components of wealth are as follows; Physical Wealth is the total household physical wealth is calculated as the sum of the values recorded for each household for contents of the main residence, contents of other property, collectables and valuables, vehicles and personalised number plates. (Households may borrow money to buy things such as vehicles and contents. However, borrowing to finance such purchases will be covered when considering financial wealth. For these reasons, total physical wealth figures are only ever presented on a gross basis and do not consider liabilities).</w:t>
      </w:r>
    </w:p>
    <w:p w:rsidR="003E594A" w:rsidRDefault="003E594A" w:rsidP="00637DFF">
      <w:pPr>
        <w:spacing w:line="360" w:lineRule="auto"/>
      </w:pPr>
      <w:r w:rsidRPr="00E963CF">
        <w:t xml:space="preserve">Gross financial wealth is the sum of: formal financial assets (not including current accounts in overdraft), plus informal financial assets held by adults, plus financial assets held by children, plus endowments for the purpose of mortgage repayment (For the record, net financial wealth is the same minus financial liabilities which are the sum of arrears on consumer credit and household bills plus personal loans and other non-mortgage borrowing plus informal borrowing plus overdrafts on current accounts). </w:t>
      </w:r>
    </w:p>
    <w:p w:rsidR="003C010F" w:rsidRDefault="003E594A" w:rsidP="001C67D1">
      <w:pPr>
        <w:spacing w:line="360" w:lineRule="auto"/>
      </w:pPr>
      <w:r w:rsidRPr="00E963CF">
        <w:t>Private Pension Wealth is all pensions that are not provided by the state. They comprise occupational and personal pensions, and include pensions of public sector workers</w:t>
      </w:r>
      <w:r w:rsidR="006662F2">
        <w:t>.</w:t>
      </w:r>
      <w:r w:rsidR="00637DFF">
        <w:t xml:space="preserve"> </w:t>
      </w:r>
    </w:p>
    <w:p w:rsidR="00EB6437" w:rsidRPr="003C010F" w:rsidRDefault="00EB6437" w:rsidP="006F5F6A">
      <w:pPr>
        <w:rPr>
          <w:b/>
          <w:color w:val="000000" w:themeColor="text1"/>
        </w:rPr>
      </w:pPr>
      <w:r w:rsidRPr="003C010F">
        <w:rPr>
          <w:b/>
          <w:color w:val="000000" w:themeColor="text1"/>
        </w:rPr>
        <w:t>List of 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B6437" w:rsidTr="00BB561B">
        <w:tc>
          <w:tcPr>
            <w:tcW w:w="9242" w:type="dxa"/>
          </w:tcPr>
          <w:p w:rsidR="00EB6437" w:rsidRDefault="00EB6437" w:rsidP="00EB6437">
            <w:pPr>
              <w:jc w:val="center"/>
            </w:pPr>
            <w:r>
              <w:rPr>
                <w:noProof/>
                <w:lang w:eastAsia="en-GB"/>
              </w:rPr>
              <w:drawing>
                <wp:inline distT="0" distB="0" distL="0" distR="0" wp14:anchorId="7D7DEC11" wp14:editId="62D6544A">
                  <wp:extent cx="5637475" cy="3061252"/>
                  <wp:effectExtent l="0" t="0" r="2095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EB6437" w:rsidTr="00BB561B">
        <w:tc>
          <w:tcPr>
            <w:tcW w:w="9242" w:type="dxa"/>
          </w:tcPr>
          <w:p w:rsidR="00EB6437" w:rsidRDefault="00EB6437" w:rsidP="00EB6437">
            <w:r w:rsidRPr="004B5508">
              <w:rPr>
                <w:sz w:val="20"/>
                <w:szCs w:val="20"/>
              </w:rPr>
              <w:t>Figure: 1: Components of GDP as a percentage of total GDP in the UK. Source: DataStream</w:t>
            </w:r>
            <w:r>
              <w:t>.</w:t>
            </w:r>
          </w:p>
        </w:tc>
      </w:tr>
    </w:tbl>
    <w:p w:rsidR="00EB6437" w:rsidRDefault="00EB6437" w:rsidP="006F5F6A"/>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554"/>
      </w:tblGrid>
      <w:tr w:rsidR="00EB6437" w:rsidTr="00EB6437">
        <w:trPr>
          <w:trHeight w:val="10914"/>
          <w:jc w:val="center"/>
        </w:trPr>
        <w:tc>
          <w:tcPr>
            <w:tcW w:w="8554" w:type="dxa"/>
          </w:tcPr>
          <w:p w:rsidR="00EB6437" w:rsidRDefault="00EB6437" w:rsidP="00EB6437">
            <w:pPr>
              <w:jc w:val="center"/>
            </w:pPr>
            <w:r>
              <w:t xml:space="preserve">  </w:t>
            </w:r>
            <w:r>
              <w:object w:dxaOrig="5550"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540pt" o:ole="">
                  <v:imagedata r:id="rId9" o:title=""/>
                </v:shape>
                <o:OLEObject Type="Embed" ProgID="EViews.Workfile.2" ShapeID="_x0000_i1025" DrawAspect="Content" ObjectID="_1589351574" r:id="rId10"/>
              </w:object>
            </w:r>
          </w:p>
        </w:tc>
      </w:tr>
      <w:tr w:rsidR="00EB6437" w:rsidTr="00EB6437">
        <w:trPr>
          <w:trHeight w:val="648"/>
          <w:jc w:val="center"/>
        </w:trPr>
        <w:tc>
          <w:tcPr>
            <w:tcW w:w="8554" w:type="dxa"/>
          </w:tcPr>
          <w:p w:rsidR="00EB6437" w:rsidRPr="00991EE0" w:rsidRDefault="00EB6437" w:rsidP="00EB6437">
            <w:pPr>
              <w:rPr>
                <w:sz w:val="20"/>
                <w:szCs w:val="20"/>
              </w:rPr>
            </w:pPr>
            <w:r w:rsidRPr="00991EE0">
              <w:rPr>
                <w:sz w:val="20"/>
                <w:szCs w:val="20"/>
              </w:rPr>
              <w:t>Figure 2: Time series plot of log levels of Durable Consumption, Semi-Durable Consumption and Non-Durable consumption in the UK. Sample period 1985Q1-2014Q4. Shaded areas are the recessions in the UK (measured as two consecutive quarters of decline in real GDP)</w:t>
            </w:r>
          </w:p>
        </w:tc>
      </w:tr>
    </w:tbl>
    <w:p w:rsidR="00EB6437" w:rsidRDefault="00EB6437" w:rsidP="006F5F6A"/>
    <w:p w:rsidR="00EB6437" w:rsidRDefault="00EB6437" w:rsidP="006F5F6A"/>
    <w:p w:rsidR="00EB6437" w:rsidRDefault="00EB6437" w:rsidP="006F5F6A"/>
    <w:p w:rsidR="00EB6437" w:rsidRDefault="00EB6437" w:rsidP="006F5F6A"/>
    <w:p w:rsidR="00EB6437" w:rsidRDefault="00EB6437" w:rsidP="006F5F6A"/>
    <w:tbl>
      <w:tblPr>
        <w:tblStyle w:val="TableGrid"/>
        <w:tblW w:w="0" w:type="auto"/>
        <w:tblLayout w:type="fixed"/>
        <w:tblLook w:val="04A0" w:firstRow="1" w:lastRow="0" w:firstColumn="1" w:lastColumn="0" w:noHBand="0" w:noVBand="1"/>
      </w:tblPr>
      <w:tblGrid>
        <w:gridCol w:w="9242"/>
      </w:tblGrid>
      <w:tr w:rsidR="00EB6437" w:rsidTr="00EB6437">
        <w:trPr>
          <w:trHeight w:val="217"/>
        </w:trPr>
        <w:tc>
          <w:tcPr>
            <w:tcW w:w="9242" w:type="dxa"/>
          </w:tcPr>
          <w:p w:rsidR="00EB6437" w:rsidRPr="00302E25" w:rsidRDefault="00EB6437" w:rsidP="00EB6437">
            <w:pPr>
              <w:jc w:val="center"/>
              <w:rPr>
                <w:sz w:val="20"/>
                <w:szCs w:val="20"/>
              </w:rPr>
            </w:pPr>
            <w:r w:rsidRPr="00302E25">
              <w:rPr>
                <w:sz w:val="20"/>
                <w:szCs w:val="20"/>
              </w:rPr>
              <w:t>Panel A</w:t>
            </w:r>
          </w:p>
        </w:tc>
      </w:tr>
      <w:tr w:rsidR="00EB6437" w:rsidTr="00EB6437">
        <w:trPr>
          <w:trHeight w:val="3398"/>
        </w:trPr>
        <w:tc>
          <w:tcPr>
            <w:tcW w:w="9242" w:type="dxa"/>
          </w:tcPr>
          <w:p w:rsidR="00EB6437" w:rsidRDefault="00EB6437" w:rsidP="00EB6437">
            <w:pPr>
              <w:jc w:val="center"/>
            </w:pPr>
            <w:r>
              <w:object w:dxaOrig="7110" w:dyaOrig="4950">
                <v:shape id="_x0000_i1026" type="#_x0000_t75" style="width:259.5pt;height:180pt" o:ole="">
                  <v:imagedata r:id="rId11" o:title=""/>
                </v:shape>
                <o:OLEObject Type="Embed" ProgID="EViews.Workfile.2" ShapeID="_x0000_i1026" DrawAspect="Content" ObjectID="_1589351575" r:id="rId12"/>
              </w:object>
            </w:r>
          </w:p>
        </w:tc>
      </w:tr>
      <w:tr w:rsidR="00EB6437" w:rsidTr="00EB6437">
        <w:trPr>
          <w:trHeight w:val="217"/>
        </w:trPr>
        <w:tc>
          <w:tcPr>
            <w:tcW w:w="9242" w:type="dxa"/>
          </w:tcPr>
          <w:p w:rsidR="00EB6437" w:rsidRPr="00302E25" w:rsidRDefault="00EB6437" w:rsidP="00EB6437">
            <w:pPr>
              <w:jc w:val="center"/>
              <w:rPr>
                <w:sz w:val="20"/>
                <w:szCs w:val="20"/>
              </w:rPr>
            </w:pPr>
            <w:r w:rsidRPr="00302E25">
              <w:rPr>
                <w:sz w:val="20"/>
                <w:szCs w:val="20"/>
              </w:rPr>
              <w:t>Panel B</w:t>
            </w:r>
          </w:p>
        </w:tc>
      </w:tr>
      <w:tr w:rsidR="00EB6437" w:rsidTr="00EB6437">
        <w:trPr>
          <w:trHeight w:val="4371"/>
        </w:trPr>
        <w:tc>
          <w:tcPr>
            <w:tcW w:w="9242" w:type="dxa"/>
          </w:tcPr>
          <w:p w:rsidR="00EB6437" w:rsidRDefault="00EB6437" w:rsidP="00EB6437">
            <w:pPr>
              <w:jc w:val="center"/>
            </w:pPr>
            <w:r>
              <w:object w:dxaOrig="7110" w:dyaOrig="4950">
                <v:shape id="_x0000_i1027" type="#_x0000_t75" style="width:266.25pt;height:186.75pt" o:ole="">
                  <v:imagedata r:id="rId13" o:title=""/>
                </v:shape>
                <o:OLEObject Type="Embed" ProgID="EViews.Workfile.2" ShapeID="_x0000_i1027" DrawAspect="Content" ObjectID="_1589351576" r:id="rId14"/>
              </w:object>
            </w:r>
          </w:p>
        </w:tc>
      </w:tr>
      <w:tr w:rsidR="00EB6437" w:rsidTr="00EB6437">
        <w:trPr>
          <w:trHeight w:val="229"/>
        </w:trPr>
        <w:tc>
          <w:tcPr>
            <w:tcW w:w="9242" w:type="dxa"/>
          </w:tcPr>
          <w:p w:rsidR="00EB6437" w:rsidRPr="00302E25" w:rsidRDefault="00EB6437" w:rsidP="00EB6437">
            <w:pPr>
              <w:jc w:val="center"/>
              <w:rPr>
                <w:sz w:val="20"/>
                <w:szCs w:val="20"/>
              </w:rPr>
            </w:pPr>
            <w:r w:rsidRPr="00302E25">
              <w:rPr>
                <w:sz w:val="20"/>
                <w:szCs w:val="20"/>
              </w:rPr>
              <w:t>Panel C</w:t>
            </w:r>
          </w:p>
        </w:tc>
      </w:tr>
      <w:tr w:rsidR="00EB6437" w:rsidTr="00EB6437">
        <w:trPr>
          <w:trHeight w:val="4604"/>
        </w:trPr>
        <w:tc>
          <w:tcPr>
            <w:tcW w:w="9242" w:type="dxa"/>
            <w:tcBorders>
              <w:bottom w:val="single" w:sz="4" w:space="0" w:color="auto"/>
            </w:tcBorders>
          </w:tcPr>
          <w:p w:rsidR="00EB6437" w:rsidRDefault="00EB6437" w:rsidP="00EB6437">
            <w:pPr>
              <w:jc w:val="center"/>
            </w:pPr>
            <w:r>
              <w:object w:dxaOrig="7110" w:dyaOrig="4950">
                <v:shape id="_x0000_i1028" type="#_x0000_t75" style="width:266.25pt;height:186.75pt" o:ole="">
                  <v:imagedata r:id="rId15" o:title=""/>
                </v:shape>
                <o:OLEObject Type="Embed" ProgID="EViews.Workfile.2" ShapeID="_x0000_i1028" DrawAspect="Content" ObjectID="_1589351577" r:id="rId16"/>
              </w:object>
            </w:r>
          </w:p>
          <w:p w:rsidR="00EB6437" w:rsidRDefault="00EB6437" w:rsidP="00EB6437">
            <w:pPr>
              <w:jc w:val="center"/>
            </w:pPr>
          </w:p>
          <w:p w:rsidR="00EB6437" w:rsidRDefault="00EB6437" w:rsidP="00EB6437">
            <w:r w:rsidRPr="00745905">
              <w:rPr>
                <w:sz w:val="20"/>
                <w:szCs w:val="20"/>
              </w:rPr>
              <w:t>Figure 3: Time series plot of growth rates of Durable Consumption, Semi-Durable Consumption and Non-Durable consumption in the UK. Sample period 1985Q1-2014Q4. Shaded areas are the recessions in the UK (measured as two consecutive quarters of decline in real GDP)</w:t>
            </w:r>
          </w:p>
        </w:tc>
      </w:tr>
    </w:tbl>
    <w:p w:rsidR="00D85B35" w:rsidRDefault="00D85B35"/>
    <w:p w:rsidR="00D85B35" w:rsidRPr="001C67D1" w:rsidRDefault="00D85B35" w:rsidP="001C67D1">
      <w:pPr>
        <w:jc w:val="center"/>
        <w:rPr>
          <w:b/>
        </w:rPr>
      </w:pPr>
      <w:r w:rsidRPr="001C67D1">
        <w:rPr>
          <w:b/>
        </w:rPr>
        <w:t>List of Tables</w:t>
      </w:r>
    </w:p>
    <w:tbl>
      <w:tblPr>
        <w:tblW w:w="5598" w:type="pct"/>
        <w:jc w:val="center"/>
        <w:tblLook w:val="04A0" w:firstRow="1" w:lastRow="0" w:firstColumn="1" w:lastColumn="0" w:noHBand="0" w:noVBand="1"/>
      </w:tblPr>
      <w:tblGrid>
        <w:gridCol w:w="1726"/>
        <w:gridCol w:w="941"/>
        <w:gridCol w:w="1081"/>
        <w:gridCol w:w="1161"/>
        <w:gridCol w:w="926"/>
        <w:gridCol w:w="827"/>
        <w:gridCol w:w="1086"/>
        <w:gridCol w:w="1016"/>
        <w:gridCol w:w="1342"/>
      </w:tblGrid>
      <w:tr w:rsidR="00D85B35" w:rsidRPr="00FC3005" w:rsidTr="00530CC4">
        <w:trPr>
          <w:trHeight w:val="300"/>
          <w:jc w:val="center"/>
        </w:trPr>
        <w:tc>
          <w:tcPr>
            <w:tcW w:w="5000" w:type="pct"/>
            <w:gridSpan w:val="9"/>
            <w:tcBorders>
              <w:top w:val="single" w:sz="4" w:space="0" w:color="auto"/>
              <w:left w:val="nil"/>
              <w:bottom w:val="single" w:sz="4" w:space="0" w:color="auto"/>
              <w:right w:val="nil"/>
            </w:tcBorders>
            <w:shd w:val="clear" w:color="auto" w:fill="auto"/>
            <w:noWrap/>
            <w:vAlign w:val="center"/>
          </w:tcPr>
          <w:p w:rsidR="00530CC4" w:rsidRPr="00867EC5" w:rsidRDefault="00D85B35" w:rsidP="00530CC4">
            <w:pPr>
              <w:spacing w:after="0"/>
              <w:rPr>
                <w:rFonts w:eastAsia="Times New Roman" w:cs="Times New Roman"/>
                <w:b/>
                <w:color w:val="000000"/>
                <w:sz w:val="18"/>
                <w:szCs w:val="18"/>
                <w:lang w:eastAsia="en-GB"/>
              </w:rPr>
            </w:pPr>
            <w:r w:rsidRPr="00103090">
              <w:rPr>
                <w:rFonts w:eastAsia="Times New Roman" w:cs="Times New Roman"/>
                <w:b/>
                <w:color w:val="000000"/>
                <w:sz w:val="18"/>
                <w:szCs w:val="18"/>
                <w:lang w:eastAsia="en-GB"/>
              </w:rPr>
              <w:t xml:space="preserve">Table 1: Descriptive Statistics of the annualised </w:t>
            </w:r>
            <w:r w:rsidR="008D5A5B" w:rsidRPr="00103090">
              <w:rPr>
                <w:rFonts w:eastAsia="Times New Roman" w:cs="Times New Roman"/>
                <w:b/>
                <w:color w:val="000000"/>
                <w:sz w:val="18"/>
                <w:szCs w:val="18"/>
                <w:lang w:eastAsia="en-GB"/>
              </w:rPr>
              <w:t>ERPs of</w:t>
            </w:r>
            <w:r w:rsidRPr="00103090">
              <w:rPr>
                <w:rFonts w:eastAsia="Times New Roman" w:cs="Times New Roman"/>
                <w:b/>
                <w:color w:val="000000"/>
                <w:sz w:val="18"/>
                <w:szCs w:val="18"/>
                <w:lang w:eastAsia="en-GB"/>
              </w:rPr>
              <w:t xml:space="preserve"> FTSE indices and 25 value weighted Fama-French portf</w:t>
            </w:r>
            <w:r w:rsidR="00867EC5">
              <w:rPr>
                <w:rFonts w:eastAsia="Times New Roman" w:cs="Times New Roman"/>
                <w:b/>
                <w:color w:val="000000"/>
                <w:sz w:val="18"/>
                <w:szCs w:val="18"/>
                <w:lang w:eastAsia="en-GB"/>
              </w:rPr>
              <w:t xml:space="preserve">olios. </w:t>
            </w:r>
          </w:p>
        </w:tc>
      </w:tr>
      <w:tr w:rsidR="00D85B35" w:rsidRPr="00FC3005" w:rsidTr="00530CC4">
        <w:trPr>
          <w:trHeight w:val="300"/>
          <w:jc w:val="center"/>
        </w:trPr>
        <w:tc>
          <w:tcPr>
            <w:tcW w:w="5000" w:type="pct"/>
            <w:gridSpan w:val="9"/>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Panel A</w:t>
            </w:r>
          </w:p>
        </w:tc>
      </w:tr>
      <w:tr w:rsidR="00103090" w:rsidRPr="00FC3005" w:rsidTr="00530CC4">
        <w:trPr>
          <w:trHeight w:val="300"/>
          <w:jc w:val="center"/>
        </w:trPr>
        <w:tc>
          <w:tcPr>
            <w:tcW w:w="854"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p>
        </w:tc>
        <w:tc>
          <w:tcPr>
            <w:tcW w:w="466"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Mean</w:t>
            </w:r>
            <w:r>
              <w:rPr>
                <w:rFonts w:eastAsia="Times New Roman" w:cs="Times New Roman"/>
                <w:color w:val="000000"/>
                <w:sz w:val="18"/>
                <w:szCs w:val="18"/>
                <w:lang w:eastAsia="en-GB"/>
              </w:rPr>
              <w:t xml:space="preserve"> (%)</w:t>
            </w:r>
          </w:p>
        </w:tc>
        <w:tc>
          <w:tcPr>
            <w:tcW w:w="535"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Median</w:t>
            </w:r>
            <w:r>
              <w:rPr>
                <w:rFonts w:eastAsia="Times New Roman" w:cs="Times New Roman"/>
                <w:color w:val="000000"/>
                <w:sz w:val="18"/>
                <w:szCs w:val="18"/>
                <w:lang w:eastAsia="en-GB"/>
              </w:rPr>
              <w:t xml:space="preserve"> (%)</w:t>
            </w:r>
          </w:p>
        </w:tc>
        <w:tc>
          <w:tcPr>
            <w:tcW w:w="574"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Std. Dev.</w:t>
            </w:r>
            <w:r>
              <w:rPr>
                <w:rFonts w:eastAsia="Times New Roman" w:cs="Times New Roman"/>
                <w:color w:val="000000"/>
                <w:sz w:val="18"/>
                <w:szCs w:val="18"/>
                <w:lang w:eastAsia="en-GB"/>
              </w:rPr>
              <w:t>(%)</w:t>
            </w:r>
          </w:p>
        </w:tc>
        <w:tc>
          <w:tcPr>
            <w:tcW w:w="458"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Skewness</w:t>
            </w:r>
          </w:p>
        </w:tc>
        <w:tc>
          <w:tcPr>
            <w:tcW w:w="409"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Kurtosis</w:t>
            </w:r>
          </w:p>
        </w:tc>
        <w:tc>
          <w:tcPr>
            <w:tcW w:w="537"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Jarque-Bera</w:t>
            </w:r>
          </w:p>
        </w:tc>
        <w:tc>
          <w:tcPr>
            <w:tcW w:w="503"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Probability</w:t>
            </w:r>
          </w:p>
        </w:tc>
        <w:tc>
          <w:tcPr>
            <w:tcW w:w="664"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Count</w:t>
            </w:r>
          </w:p>
        </w:tc>
      </w:tr>
      <w:tr w:rsidR="00103090" w:rsidRPr="00FC3005" w:rsidTr="00530CC4">
        <w:trPr>
          <w:trHeight w:val="300"/>
          <w:jc w:val="center"/>
        </w:trPr>
        <w:tc>
          <w:tcPr>
            <w:tcW w:w="854"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FTSE 100</w:t>
            </w:r>
          </w:p>
        </w:tc>
        <w:tc>
          <w:tcPr>
            <w:tcW w:w="466"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3.58</w:t>
            </w:r>
          </w:p>
        </w:tc>
        <w:tc>
          <w:tcPr>
            <w:tcW w:w="535"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7.19</w:t>
            </w:r>
          </w:p>
        </w:tc>
        <w:tc>
          <w:tcPr>
            <w:tcW w:w="574"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30.07</w:t>
            </w:r>
          </w:p>
        </w:tc>
        <w:tc>
          <w:tcPr>
            <w:tcW w:w="458"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-0.61</w:t>
            </w:r>
          </w:p>
        </w:tc>
        <w:tc>
          <w:tcPr>
            <w:tcW w:w="409"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3.60</w:t>
            </w:r>
          </w:p>
        </w:tc>
        <w:tc>
          <w:tcPr>
            <w:tcW w:w="537"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8.26</w:t>
            </w:r>
          </w:p>
        </w:tc>
        <w:tc>
          <w:tcPr>
            <w:tcW w:w="503"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0.02</w:t>
            </w:r>
          </w:p>
        </w:tc>
        <w:tc>
          <w:tcPr>
            <w:tcW w:w="664"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FTSE 250</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5.88</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8.59</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36.80</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-0.70</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4.02</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13.66</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Basic Materials</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2.47</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8.95</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53.20</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-1.45</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6.46</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91.75</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Consumer Service</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2.29</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7.18</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34.82</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-0.75</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3.93</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14.03</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Consumer Goods</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4.54</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8.81</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41.14</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-0.57</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4.69</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18.75</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Financials</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3.64</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10.08</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43.32</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-0.76</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4.40</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19.15</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Healthcare</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5.43</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9.27</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27.88</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-0.43</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3.19</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3.44</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0.18</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Industrials</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3.43</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8.75</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43.41</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-0.92</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4.95</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32.54</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Oil and Gas</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4.73</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9.03</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34.30</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-0.78</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4.34</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18.95</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Technology</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1.53</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6.89</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73.87</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-0.53</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7.48</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95.37</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Telecommunications</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4.07</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5.13</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41.73</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-0.37</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3.65</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4.34</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0.11</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Utilities</w:t>
            </w:r>
          </w:p>
        </w:tc>
        <w:tc>
          <w:tcPr>
            <w:tcW w:w="466"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8.90</w:t>
            </w:r>
          </w:p>
        </w:tc>
        <w:tc>
          <w:tcPr>
            <w:tcW w:w="535"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10.40</w:t>
            </w:r>
          </w:p>
        </w:tc>
        <w:tc>
          <w:tcPr>
            <w:tcW w:w="574"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28.47</w:t>
            </w:r>
          </w:p>
        </w:tc>
        <w:tc>
          <w:tcPr>
            <w:tcW w:w="458"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-0.47</w:t>
            </w:r>
          </w:p>
        </w:tc>
        <w:tc>
          <w:tcPr>
            <w:tcW w:w="409"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2.78</w:t>
            </w:r>
          </w:p>
        </w:tc>
        <w:tc>
          <w:tcPr>
            <w:tcW w:w="537"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4.17</w:t>
            </w:r>
          </w:p>
        </w:tc>
        <w:tc>
          <w:tcPr>
            <w:tcW w:w="503"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0.12</w:t>
            </w:r>
          </w:p>
        </w:tc>
        <w:tc>
          <w:tcPr>
            <w:tcW w:w="664"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D85B35" w:rsidRPr="00FC3005" w:rsidTr="00530CC4">
        <w:trPr>
          <w:trHeight w:val="300"/>
          <w:jc w:val="center"/>
        </w:trPr>
        <w:tc>
          <w:tcPr>
            <w:tcW w:w="5000" w:type="pct"/>
            <w:gridSpan w:val="9"/>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Panel B</w:t>
            </w:r>
          </w:p>
        </w:tc>
      </w:tr>
      <w:tr w:rsidR="00103090" w:rsidRPr="00FC3005" w:rsidTr="00530CC4">
        <w:trPr>
          <w:trHeight w:val="300"/>
          <w:jc w:val="center"/>
        </w:trPr>
        <w:tc>
          <w:tcPr>
            <w:tcW w:w="854"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p>
        </w:tc>
        <w:tc>
          <w:tcPr>
            <w:tcW w:w="466"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Mean</w:t>
            </w:r>
            <w:r>
              <w:rPr>
                <w:rFonts w:eastAsia="Times New Roman" w:cs="Times New Roman"/>
                <w:color w:val="000000"/>
                <w:sz w:val="18"/>
                <w:szCs w:val="18"/>
                <w:lang w:eastAsia="en-GB"/>
              </w:rPr>
              <w:t xml:space="preserve"> (%)</w:t>
            </w:r>
          </w:p>
        </w:tc>
        <w:tc>
          <w:tcPr>
            <w:tcW w:w="535"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Median</w:t>
            </w:r>
            <w:r>
              <w:rPr>
                <w:rFonts w:eastAsia="Times New Roman" w:cs="Times New Roman"/>
                <w:color w:val="000000"/>
                <w:sz w:val="18"/>
                <w:szCs w:val="18"/>
                <w:lang w:eastAsia="en-GB"/>
              </w:rPr>
              <w:t xml:space="preserve"> (%)</w:t>
            </w:r>
          </w:p>
        </w:tc>
        <w:tc>
          <w:tcPr>
            <w:tcW w:w="574"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Std. Dev.</w:t>
            </w:r>
            <w:r>
              <w:rPr>
                <w:rFonts w:eastAsia="Times New Roman" w:cs="Times New Roman"/>
                <w:color w:val="000000"/>
                <w:sz w:val="18"/>
                <w:szCs w:val="18"/>
                <w:lang w:eastAsia="en-GB"/>
              </w:rPr>
              <w:t>(%)</w:t>
            </w:r>
          </w:p>
        </w:tc>
        <w:tc>
          <w:tcPr>
            <w:tcW w:w="458"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Skewness</w:t>
            </w:r>
          </w:p>
        </w:tc>
        <w:tc>
          <w:tcPr>
            <w:tcW w:w="409"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Kurtosis</w:t>
            </w:r>
          </w:p>
        </w:tc>
        <w:tc>
          <w:tcPr>
            <w:tcW w:w="537"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Jarque-Bera</w:t>
            </w:r>
          </w:p>
        </w:tc>
        <w:tc>
          <w:tcPr>
            <w:tcW w:w="503"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Probability</w:t>
            </w:r>
          </w:p>
        </w:tc>
        <w:tc>
          <w:tcPr>
            <w:tcW w:w="664"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No. of Quarters</w:t>
            </w:r>
          </w:p>
        </w:tc>
      </w:tr>
      <w:tr w:rsidR="00103090" w:rsidRPr="00FC3005" w:rsidTr="00530CC4">
        <w:trPr>
          <w:trHeight w:val="300"/>
          <w:jc w:val="center"/>
        </w:trPr>
        <w:tc>
          <w:tcPr>
            <w:tcW w:w="854"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ESL</w:t>
            </w:r>
          </w:p>
        </w:tc>
        <w:tc>
          <w:tcPr>
            <w:tcW w:w="466"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1.68</w:t>
            </w:r>
          </w:p>
        </w:tc>
        <w:tc>
          <w:tcPr>
            <w:tcW w:w="535"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9.40</w:t>
            </w:r>
          </w:p>
        </w:tc>
        <w:tc>
          <w:tcPr>
            <w:tcW w:w="574"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54.50</w:t>
            </w:r>
          </w:p>
        </w:tc>
        <w:tc>
          <w:tcPr>
            <w:tcW w:w="458"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-0.45</w:t>
            </w:r>
          </w:p>
        </w:tc>
        <w:tc>
          <w:tcPr>
            <w:tcW w:w="409"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5.27</w:t>
            </w:r>
          </w:p>
        </w:tc>
        <w:tc>
          <w:tcPr>
            <w:tcW w:w="537"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26.83</w:t>
            </w:r>
          </w:p>
        </w:tc>
        <w:tc>
          <w:tcPr>
            <w:tcW w:w="503"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ES2</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4.42</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4.54</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46.32</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-0.19</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4.04</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5.51</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0.06</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ES3</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4.92</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5.46</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42.11</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-0.52</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4.36</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13.23</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ES4</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6.10</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7.92</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44.31</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-0.49</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4.82</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19.23</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ESH</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6.65</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5.34</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42.57</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-0.66</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5.14</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28.46</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ES2L</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0.12</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3.83</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55.85</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-0.85</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6.14</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57.33</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ES22</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2.97</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8.88</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51.09</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-0.84</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4.56</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23.71</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ES23</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4.41</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8.69</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40.36</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-0.61</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4.06</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11.68</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ES24</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4.87</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6.84</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39.27</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-0.46</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3.82</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6.87</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0.03</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ES2H</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5.36</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11.02</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51.47</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-0.61</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6.31</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55.88</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EM3L</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1.61</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7.91</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53.20</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-1.42</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7.74</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137.46</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EM32</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1.34</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6.69</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43.75</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-0.59</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4.27</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13.55</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EM33</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4.39</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7.59</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43.19</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-1.07</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5.59</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50.75</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EM34</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3.36</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9.90</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44.95</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-0.97</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5.29</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40.48</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EM3H</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7.39</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10.07</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46.39</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-0.36</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3.55</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3.69</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0.16</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EB4L</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6.03</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13.08</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44.68</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-0.33</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6.37</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53.16</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EB42</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3.14</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4.66</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40.13</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-0.76</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4.20</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16.73</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EB43</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7.06</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10.64</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39.48</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-0.80</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4.38</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20.06</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EB44</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4.16</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9.68</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45.99</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-0.67</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3.80</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11.00</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EB4H</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4.99</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9.74</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51.07</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-0.60</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4.32</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14.31</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EBL</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3.42</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9.18</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31.64</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-0.68</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4.11</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14.03</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EB2</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3.22</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8.01</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31.23</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-0.59</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3.20</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6.39</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0.04</w:t>
            </w:r>
          </w:p>
        </w:tc>
        <w:tc>
          <w:tcPr>
            <w:tcW w:w="664" w:type="pct"/>
            <w:tcBorders>
              <w:top w:val="nil"/>
              <w:left w:val="nil"/>
              <w:bottom w:val="nil"/>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EB3</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3.90</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8.08</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36.98</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-0.67</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4.38</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16.62</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EB4</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4.12</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9.03</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36.12</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-1.32</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7.17</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109.69</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108</w:t>
            </w:r>
          </w:p>
        </w:tc>
      </w:tr>
      <w:tr w:rsidR="00103090" w:rsidRPr="00FC3005" w:rsidTr="00867EC5">
        <w:trPr>
          <w:trHeight w:val="300"/>
          <w:jc w:val="center"/>
        </w:trPr>
        <w:tc>
          <w:tcPr>
            <w:tcW w:w="854"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EBH</w:t>
            </w:r>
          </w:p>
        </w:tc>
        <w:tc>
          <w:tcPr>
            <w:tcW w:w="466"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3.62</w:t>
            </w:r>
          </w:p>
        </w:tc>
        <w:tc>
          <w:tcPr>
            <w:tcW w:w="535"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7.59</w:t>
            </w:r>
          </w:p>
        </w:tc>
        <w:tc>
          <w:tcPr>
            <w:tcW w:w="574"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36.76</w:t>
            </w:r>
          </w:p>
        </w:tc>
        <w:tc>
          <w:tcPr>
            <w:tcW w:w="458"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-0.67</w:t>
            </w:r>
          </w:p>
        </w:tc>
        <w:tc>
          <w:tcPr>
            <w:tcW w:w="409"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4.07</w:t>
            </w:r>
          </w:p>
        </w:tc>
        <w:tc>
          <w:tcPr>
            <w:tcW w:w="537"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13.30</w:t>
            </w:r>
          </w:p>
        </w:tc>
        <w:tc>
          <w:tcPr>
            <w:tcW w:w="503"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108</w:t>
            </w:r>
          </w:p>
        </w:tc>
      </w:tr>
      <w:tr w:rsidR="00867EC5" w:rsidRPr="00FC3005" w:rsidTr="00867EC5">
        <w:trPr>
          <w:trHeight w:val="300"/>
          <w:jc w:val="center"/>
        </w:trPr>
        <w:tc>
          <w:tcPr>
            <w:tcW w:w="5000" w:type="pct"/>
            <w:gridSpan w:val="9"/>
            <w:tcBorders>
              <w:top w:val="single" w:sz="4" w:space="0" w:color="auto"/>
              <w:left w:val="nil"/>
              <w:right w:val="nil"/>
            </w:tcBorders>
            <w:shd w:val="clear" w:color="auto" w:fill="auto"/>
            <w:noWrap/>
            <w:vAlign w:val="center"/>
          </w:tcPr>
          <w:p w:rsidR="00867EC5" w:rsidRDefault="00867EC5" w:rsidP="00867EC5">
            <w:pPr>
              <w:spacing w:after="0"/>
              <w:rPr>
                <w:rFonts w:eastAsia="Times New Roman" w:cs="Times New Roman"/>
                <w:color w:val="000000"/>
                <w:sz w:val="16"/>
                <w:szCs w:val="16"/>
                <w:lang w:eastAsia="en-GB"/>
              </w:rPr>
            </w:pPr>
            <w:r>
              <w:rPr>
                <w:rFonts w:eastAsia="Times New Roman" w:cs="Times New Roman"/>
                <w:color w:val="000000"/>
                <w:sz w:val="16"/>
                <w:szCs w:val="16"/>
                <w:lang w:eastAsia="en-GB"/>
              </w:rPr>
              <w:t xml:space="preserve">Notes: Panels A reports the descriptive of annualised ERPs (%) of the FTSE indices. Panel B reports the annualised ERPs (%) 25 value-weighted </w:t>
            </w:r>
          </w:p>
          <w:p w:rsidR="00867EC5" w:rsidRDefault="00867EC5" w:rsidP="00867EC5">
            <w:pPr>
              <w:spacing w:after="0"/>
              <w:rPr>
                <w:rFonts w:eastAsia="Times New Roman" w:cs="Times New Roman"/>
                <w:color w:val="000000"/>
                <w:sz w:val="16"/>
                <w:szCs w:val="16"/>
                <w:lang w:eastAsia="en-GB"/>
              </w:rPr>
            </w:pPr>
            <w:r>
              <w:rPr>
                <w:rFonts w:eastAsia="Times New Roman" w:cs="Times New Roman"/>
                <w:color w:val="000000"/>
                <w:sz w:val="16"/>
                <w:szCs w:val="16"/>
                <w:lang w:eastAsia="en-GB"/>
              </w:rPr>
              <w:t xml:space="preserve">Fama-French Style Portfolios. </w:t>
            </w:r>
            <w:r>
              <w:rPr>
                <w:color w:val="000000"/>
                <w:sz w:val="16"/>
                <w:szCs w:val="16"/>
                <w:lang w:eastAsia="en-GB"/>
              </w:rPr>
              <w:t xml:space="preserve">The naming convention is same as in </w:t>
            </w:r>
            <w:r>
              <w:rPr>
                <w:color w:val="000000"/>
                <w:sz w:val="16"/>
                <w:szCs w:val="16"/>
                <w:lang w:eastAsia="en-GB"/>
              </w:rPr>
              <w:fldChar w:fldCharType="begin" w:fldLock="1"/>
            </w:r>
            <w:r>
              <w:rPr>
                <w:color w:val="000000"/>
                <w:sz w:val="16"/>
                <w:szCs w:val="16"/>
                <w:lang w:eastAsia="en-GB"/>
              </w:rPr>
              <w:instrText>ADDIN CSL_CITATION { "citationItems" : [ { "id" : "ITEM-1", "itemData" : { "author" : [ { "dropping-particle" : "", "family" : "Gregory", "given" : "Alan", "non-dropping-particle" : "", "parse-names" : false, "suffix" : "" }, { "dropping-particle" : "", "family" : "Tharyan", "given" : "Rajesh", "non-dropping-particle" : "", "parse-names" : false, "suffix" : "" }, { "dropping-particle" : "", "family" : "Christidis", "given" : "Angela", "non-dropping-particle" : "", "parse-names" : false, "suffix" : "" } ], "container-title" : "Journal of Business Finance and Accounting", "id" : "ITEM-1", "issue" : "1 and 2", "issued" : { "date-parts" : [ [ "2013" ] ] }, "page" : "172-214", "title" : "Constructing and Testing Alternative Versions of Fama-French and Carhart Models in the UK", "type" : "article-journal", "volume" : "40" }, "uris" : [ "http://www.mendeley.com/documents/?uuid=6afc9c1f-172f-46f4-864e-59b632c3d9bc" ] } ], "mendeley" : { "formattedCitation" : "(Gregory, Tharyan and Christidis, 2013a)", "manualFormatting" : "Gregory, Tharyan and Christidis, (2013)", "plainTextFormattedCitation" : "(Gregory, Tharyan and Christidis, 2013a)", "previouslyFormattedCitation" : "(Gregory, Tharyan and Christidis, 2013a)" }, "properties" : { "noteIndex" : 0 }, "schema" : "https://github.com/citation-style-language/schema/raw/master/csl-citation.json" }</w:instrText>
            </w:r>
            <w:r>
              <w:rPr>
                <w:color w:val="000000"/>
                <w:sz w:val="16"/>
                <w:szCs w:val="16"/>
                <w:lang w:eastAsia="en-GB"/>
              </w:rPr>
              <w:fldChar w:fldCharType="separate"/>
            </w:r>
            <w:r>
              <w:rPr>
                <w:noProof/>
                <w:color w:val="000000"/>
                <w:sz w:val="16"/>
                <w:szCs w:val="16"/>
                <w:lang w:eastAsia="en-GB"/>
              </w:rPr>
              <w:t>Gregory, Tharyan and Christidis, (2013)</w:t>
            </w:r>
            <w:r>
              <w:rPr>
                <w:color w:val="000000"/>
                <w:sz w:val="16"/>
                <w:szCs w:val="16"/>
                <w:lang w:eastAsia="en-GB"/>
              </w:rPr>
              <w:fldChar w:fldCharType="end"/>
            </w:r>
            <w:r>
              <w:rPr>
                <w:color w:val="000000"/>
                <w:sz w:val="16"/>
                <w:szCs w:val="16"/>
                <w:lang w:eastAsia="en-GB"/>
              </w:rPr>
              <w:t>. For example, “SH” denotes small</w:t>
            </w:r>
          </w:p>
          <w:p w:rsidR="00867EC5" w:rsidRDefault="00867EC5" w:rsidP="00867EC5">
            <w:pPr>
              <w:spacing w:after="0"/>
              <w:rPr>
                <w:color w:val="000000"/>
                <w:sz w:val="16"/>
                <w:szCs w:val="16"/>
                <w:lang w:eastAsia="en-GB"/>
              </w:rPr>
            </w:pPr>
            <w:r>
              <w:rPr>
                <w:color w:val="000000"/>
                <w:sz w:val="16"/>
                <w:szCs w:val="16"/>
                <w:lang w:eastAsia="en-GB"/>
              </w:rPr>
              <w:t xml:space="preserve"> cap-high book-to-market (BTM) “S4” denotes small and 4th lowest BTM, B4” denotes big and 4th  highest BTM “BH” denotes big size and </w:t>
            </w:r>
          </w:p>
          <w:p w:rsidR="00867EC5" w:rsidRDefault="00867EC5" w:rsidP="00867EC5">
            <w:pPr>
              <w:spacing w:after="0"/>
              <w:rPr>
                <w:rFonts w:eastAsia="Times New Roman" w:cs="Times New Roman"/>
                <w:color w:val="000000"/>
                <w:sz w:val="18"/>
                <w:szCs w:val="18"/>
                <w:lang w:eastAsia="en-GB"/>
              </w:rPr>
            </w:pPr>
            <w:r>
              <w:rPr>
                <w:color w:val="000000"/>
                <w:sz w:val="16"/>
                <w:szCs w:val="16"/>
                <w:lang w:eastAsia="en-GB"/>
              </w:rPr>
              <w:t xml:space="preserve"> highest BTM, “M3L” middle 3</w:t>
            </w:r>
            <w:r>
              <w:rPr>
                <w:color w:val="000000"/>
                <w:sz w:val="16"/>
                <w:szCs w:val="16"/>
                <w:vertAlign w:val="superscript"/>
                <w:lang w:eastAsia="en-GB"/>
              </w:rPr>
              <w:t>rd</w:t>
            </w:r>
            <w:r>
              <w:rPr>
                <w:color w:val="000000"/>
                <w:sz w:val="16"/>
                <w:szCs w:val="16"/>
                <w:lang w:eastAsia="en-GB"/>
              </w:rPr>
              <w:t xml:space="preserve"> size and largest BTM and “M32” middle 3</w:t>
            </w:r>
            <w:r>
              <w:rPr>
                <w:color w:val="000000"/>
                <w:sz w:val="16"/>
                <w:szCs w:val="16"/>
                <w:vertAlign w:val="superscript"/>
                <w:lang w:eastAsia="en-GB"/>
              </w:rPr>
              <w:t>rd</w:t>
            </w:r>
            <w:r>
              <w:rPr>
                <w:color w:val="000000"/>
                <w:sz w:val="16"/>
                <w:szCs w:val="16"/>
                <w:lang w:eastAsia="en-GB"/>
              </w:rPr>
              <w:t xml:space="preserve"> size and 2</w:t>
            </w:r>
            <w:r>
              <w:rPr>
                <w:color w:val="000000"/>
                <w:sz w:val="16"/>
                <w:szCs w:val="16"/>
                <w:vertAlign w:val="superscript"/>
                <w:lang w:eastAsia="en-GB"/>
              </w:rPr>
              <w:t>nd</w:t>
            </w:r>
            <w:r>
              <w:rPr>
                <w:color w:val="000000"/>
                <w:sz w:val="16"/>
                <w:szCs w:val="16"/>
                <w:lang w:eastAsia="en-GB"/>
              </w:rPr>
              <w:t xml:space="preserve"> BTM. </w:t>
            </w:r>
            <w:r>
              <w:rPr>
                <w:rFonts w:eastAsia="Times New Roman" w:cs="Times New Roman"/>
                <w:color w:val="000000"/>
                <w:sz w:val="16"/>
                <w:szCs w:val="16"/>
                <w:lang w:eastAsia="en-GB"/>
              </w:rPr>
              <w:t>Sample: 1988Q1-2014Q4</w:t>
            </w:r>
          </w:p>
        </w:tc>
      </w:tr>
    </w:tbl>
    <w:p w:rsidR="00D85B35" w:rsidRDefault="00D85B3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352"/>
        <w:gridCol w:w="1430"/>
        <w:gridCol w:w="1475"/>
        <w:gridCol w:w="1430"/>
        <w:gridCol w:w="1383"/>
      </w:tblGrid>
      <w:tr w:rsidR="00D85B35" w:rsidRPr="001C1A99" w:rsidTr="00D85B35">
        <w:trPr>
          <w:trHeight w:val="300"/>
        </w:trPr>
        <w:tc>
          <w:tcPr>
            <w:tcW w:w="5000" w:type="pct"/>
            <w:gridSpan w:val="6"/>
            <w:tcBorders>
              <w:top w:val="single" w:sz="4" w:space="0" w:color="auto"/>
              <w:bottom w:val="single" w:sz="4" w:space="0" w:color="auto"/>
            </w:tcBorders>
            <w:noWrap/>
            <w:vAlign w:val="center"/>
          </w:tcPr>
          <w:p w:rsidR="00D85B35" w:rsidRPr="00867EC5" w:rsidRDefault="00D85B35" w:rsidP="008772EC">
            <w:pPr>
              <w:rPr>
                <w:rFonts w:eastAsia="Times New Roman" w:cs="Times New Roman"/>
                <w:color w:val="000000"/>
                <w:sz w:val="20"/>
                <w:szCs w:val="20"/>
                <w:lang w:eastAsia="en-GB"/>
              </w:rPr>
            </w:pPr>
            <w:r w:rsidRPr="00161115">
              <w:rPr>
                <w:rFonts w:eastAsia="Times New Roman" w:cs="Times New Roman"/>
                <w:b/>
                <w:color w:val="000000"/>
                <w:sz w:val="20"/>
                <w:szCs w:val="20"/>
                <w:lang w:eastAsia="en-GB"/>
              </w:rPr>
              <w:t>Table 2: The impact of consumption shocks on the ERPs of FTSE indices</w:t>
            </w:r>
            <w:r w:rsidRPr="003745A3">
              <w:rPr>
                <w:rFonts w:eastAsia="Times New Roman" w:cs="Times New Roman"/>
                <w:color w:val="000000"/>
                <w:sz w:val="20"/>
                <w:szCs w:val="20"/>
                <w:lang w:eastAsia="en-GB"/>
              </w:rPr>
              <w:t>.</w:t>
            </w:r>
          </w:p>
        </w:tc>
      </w:tr>
      <w:tr w:rsidR="00D85B35" w:rsidRPr="001C1A99" w:rsidTr="00D85B35">
        <w:trPr>
          <w:trHeight w:val="227"/>
        </w:trPr>
        <w:tc>
          <w:tcPr>
            <w:tcW w:w="1114" w:type="pct"/>
            <w:tcBorders>
              <w:top w:val="single" w:sz="4" w:space="0" w:color="auto"/>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Portfolios</w:t>
            </w:r>
            <w:r w:rsidRPr="00626B65">
              <w:rPr>
                <w:rFonts w:eastAsia="Times New Roman" w:cs="Times New Roman"/>
                <w:color w:val="000000"/>
                <w:sz w:val="18"/>
                <w:szCs w:val="18"/>
                <w:lang w:eastAsia="en-GB"/>
              </w:rPr>
              <w:t> </w:t>
            </w:r>
          </w:p>
        </w:tc>
        <w:tc>
          <w:tcPr>
            <w:tcW w:w="739" w:type="pct"/>
            <w:tcBorders>
              <w:top w:val="single" w:sz="4" w:space="0" w:color="auto"/>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m:oMathPara>
              <m:oMath>
                <m:r>
                  <w:rPr>
                    <w:rFonts w:ascii="Cambria Math" w:eastAsiaTheme="minorEastAsia" w:hAnsi="Cambria Math"/>
                    <w:sz w:val="18"/>
                    <w:szCs w:val="18"/>
                  </w:rPr>
                  <m:t>α</m:t>
                </m:r>
              </m:oMath>
            </m:oMathPara>
          </w:p>
        </w:tc>
        <w:tc>
          <w:tcPr>
            <w:tcW w:w="787" w:type="pct"/>
            <w:tcBorders>
              <w:top w:val="single" w:sz="4" w:space="0" w:color="auto"/>
              <w:bottom w:val="single" w:sz="4" w:space="0" w:color="auto"/>
            </w:tcBorders>
            <w:noWrap/>
            <w:vAlign w:val="center"/>
            <w:hideMark/>
          </w:tcPr>
          <w:p w:rsidR="00D85B35" w:rsidRPr="001C1A99" w:rsidRDefault="005E14F1" w:rsidP="008772EC">
            <w:pPr>
              <w:jc w:val="center"/>
              <w:rPr>
                <w:rFonts w:eastAsia="Times New Roman" w:cs="Times New Roman"/>
                <w:color w:val="000000"/>
                <w:sz w:val="18"/>
                <w:szCs w:val="18"/>
                <w:lang w:eastAsia="en-GB"/>
              </w:rPr>
            </w:pPr>
            <m:oMathPara>
              <m:oMath>
                <m:sSub>
                  <m:sSubPr>
                    <m:ctrlPr>
                      <w:rPr>
                        <w:rFonts w:ascii="Cambria Math" w:eastAsiaTheme="minorEastAsia" w:hAnsi="Cambria Math"/>
                        <w:i/>
                        <w:sz w:val="18"/>
                        <w:szCs w:val="18"/>
                      </w:rPr>
                    </m:ctrlPr>
                  </m:sSubPr>
                  <m:e>
                    <m:r>
                      <w:rPr>
                        <w:rFonts w:ascii="Cambria Math" w:eastAsiaTheme="minorEastAsia" w:hAnsi="Cambria Math"/>
                        <w:sz w:val="18"/>
                        <w:szCs w:val="18"/>
                      </w:rPr>
                      <m:t>β</m:t>
                    </m:r>
                  </m:e>
                  <m:sub>
                    <m:r>
                      <w:rPr>
                        <w:rFonts w:ascii="Cambria Math" w:eastAsiaTheme="minorEastAsia" w:hAnsi="Cambria Math"/>
                        <w:sz w:val="18"/>
                        <w:szCs w:val="18"/>
                      </w:rPr>
                      <m:t>c</m:t>
                    </m:r>
                  </m:sub>
                </m:sSub>
              </m:oMath>
            </m:oMathPara>
          </w:p>
        </w:tc>
        <w:tc>
          <w:tcPr>
            <w:tcW w:w="815" w:type="pct"/>
            <w:tcBorders>
              <w:top w:val="single" w:sz="4" w:space="0" w:color="auto"/>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F-Stat</w:t>
            </w:r>
          </w:p>
        </w:tc>
        <w:tc>
          <w:tcPr>
            <w:tcW w:w="787" w:type="pct"/>
            <w:tcBorders>
              <w:top w:val="single" w:sz="4" w:space="0" w:color="auto"/>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DW-Stat</w:t>
            </w:r>
          </w:p>
        </w:tc>
        <w:tc>
          <w:tcPr>
            <w:tcW w:w="758" w:type="pct"/>
            <w:tcBorders>
              <w:top w:val="single" w:sz="4" w:space="0" w:color="auto"/>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sidRPr="00626B65">
              <w:rPr>
                <w:rFonts w:eastAsia="Times New Roman" w:cs="Times New Roman"/>
                <w:color w:val="000000"/>
                <w:sz w:val="18"/>
                <w:szCs w:val="18"/>
                <w:lang w:eastAsia="en-GB"/>
              </w:rPr>
              <w:t>R</w:t>
            </w:r>
            <w:r w:rsidRPr="00626B65">
              <w:rPr>
                <w:rFonts w:eastAsia="Times New Roman" w:cs="Times New Roman"/>
                <w:color w:val="000000"/>
                <w:sz w:val="18"/>
                <w:szCs w:val="18"/>
                <w:vertAlign w:val="superscript"/>
                <w:lang w:eastAsia="en-GB"/>
              </w:rPr>
              <w:t>2</w:t>
            </w:r>
          </w:p>
        </w:tc>
      </w:tr>
      <w:tr w:rsidR="00D85B35" w:rsidRPr="001C1A99" w:rsidTr="00D85B35">
        <w:trPr>
          <w:trHeight w:val="300"/>
        </w:trPr>
        <w:tc>
          <w:tcPr>
            <w:tcW w:w="1114" w:type="pct"/>
            <w:tcBorders>
              <w:top w:val="single" w:sz="4" w:space="0" w:color="auto"/>
              <w:bottom w:val="single" w:sz="4" w:space="0" w:color="auto"/>
            </w:tcBorders>
            <w:noWrap/>
            <w:vAlign w:val="center"/>
          </w:tcPr>
          <w:p w:rsidR="00D85B35" w:rsidRDefault="00D85B35" w:rsidP="008772EC">
            <w:pPr>
              <w:jc w:val="center"/>
              <w:rPr>
                <w:rFonts w:eastAsia="Times New Roman" w:cs="Times New Roman"/>
                <w:color w:val="000000"/>
                <w:sz w:val="18"/>
                <w:szCs w:val="18"/>
                <w:lang w:eastAsia="en-GB"/>
              </w:rPr>
            </w:pPr>
          </w:p>
        </w:tc>
        <w:tc>
          <w:tcPr>
            <w:tcW w:w="739" w:type="pct"/>
            <w:tcBorders>
              <w:top w:val="single" w:sz="4" w:space="0" w:color="auto"/>
              <w:bottom w:val="single" w:sz="4" w:space="0" w:color="auto"/>
            </w:tcBorders>
            <w:noWrap/>
            <w:vAlign w:val="center"/>
          </w:tcPr>
          <w:p w:rsidR="00D85B35" w:rsidRDefault="00D85B35" w:rsidP="008772EC">
            <w:pPr>
              <w:jc w:val="center"/>
              <w:rPr>
                <w:rFonts w:eastAsia="Times New Roman" w:cs="Times New Roman"/>
                <w:sz w:val="18"/>
                <w:szCs w:val="18"/>
              </w:rPr>
            </w:pPr>
            <w:r>
              <w:rPr>
                <w:rFonts w:eastAsia="Times New Roman" w:cs="Times New Roman"/>
                <w:sz w:val="18"/>
                <w:szCs w:val="18"/>
              </w:rPr>
              <w:t>(A)</w:t>
            </w:r>
          </w:p>
        </w:tc>
        <w:tc>
          <w:tcPr>
            <w:tcW w:w="787" w:type="pct"/>
            <w:tcBorders>
              <w:top w:val="single" w:sz="4" w:space="0" w:color="auto"/>
              <w:bottom w:val="single" w:sz="4" w:space="0" w:color="auto"/>
            </w:tcBorders>
            <w:noWrap/>
            <w:vAlign w:val="center"/>
          </w:tcPr>
          <w:p w:rsidR="00D85B35" w:rsidRDefault="00D85B35" w:rsidP="008772EC">
            <w:pPr>
              <w:jc w:val="center"/>
              <w:rPr>
                <w:rFonts w:eastAsia="Times New Roman" w:cs="Times New Roman"/>
                <w:sz w:val="18"/>
                <w:szCs w:val="18"/>
              </w:rPr>
            </w:pPr>
            <w:r>
              <w:rPr>
                <w:rFonts w:eastAsia="Times New Roman" w:cs="Times New Roman"/>
                <w:sz w:val="18"/>
                <w:szCs w:val="18"/>
              </w:rPr>
              <w:t>(B)</w:t>
            </w:r>
          </w:p>
        </w:tc>
        <w:tc>
          <w:tcPr>
            <w:tcW w:w="815" w:type="pct"/>
            <w:tcBorders>
              <w:top w:val="single" w:sz="4" w:space="0" w:color="auto"/>
              <w:bottom w:val="single" w:sz="4" w:space="0" w:color="auto"/>
            </w:tcBorders>
            <w:noWrap/>
            <w:vAlign w:val="center"/>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(C)</w:t>
            </w:r>
          </w:p>
        </w:tc>
        <w:tc>
          <w:tcPr>
            <w:tcW w:w="787" w:type="pct"/>
            <w:tcBorders>
              <w:top w:val="single" w:sz="4" w:space="0" w:color="auto"/>
              <w:bottom w:val="single" w:sz="4" w:space="0" w:color="auto"/>
            </w:tcBorders>
            <w:noWrap/>
            <w:vAlign w:val="center"/>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(D)</w:t>
            </w:r>
          </w:p>
        </w:tc>
        <w:tc>
          <w:tcPr>
            <w:tcW w:w="758" w:type="pct"/>
            <w:tcBorders>
              <w:top w:val="single" w:sz="4" w:space="0" w:color="auto"/>
              <w:bottom w:val="single" w:sz="4" w:space="0" w:color="auto"/>
            </w:tcBorders>
            <w:noWrap/>
            <w:vAlign w:val="center"/>
          </w:tcPr>
          <w:p w:rsidR="00D85B35" w:rsidRPr="00626B65"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(E)</w:t>
            </w:r>
          </w:p>
        </w:tc>
      </w:tr>
      <w:tr w:rsidR="00D85B35" w:rsidRPr="001C1A99" w:rsidTr="00D85B35">
        <w:trPr>
          <w:trHeight w:val="300"/>
        </w:trPr>
        <w:tc>
          <w:tcPr>
            <w:tcW w:w="1114" w:type="pct"/>
            <w:tcBorders>
              <w:top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FTSE 100</w:t>
            </w:r>
          </w:p>
        </w:tc>
        <w:tc>
          <w:tcPr>
            <w:tcW w:w="739" w:type="pct"/>
            <w:tcBorders>
              <w:top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0.87</w:t>
            </w:r>
          </w:p>
        </w:tc>
        <w:tc>
          <w:tcPr>
            <w:tcW w:w="787" w:type="pct"/>
            <w:tcBorders>
              <w:top w:val="single" w:sz="4" w:space="0" w:color="auto"/>
            </w:tcBorders>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-4.82</w:t>
            </w:r>
            <w:r>
              <w:rPr>
                <w:rFonts w:eastAsia="Times New Roman" w:cs="Times New Roman"/>
                <w:color w:val="000000"/>
                <w:sz w:val="18"/>
                <w:szCs w:val="18"/>
                <w:vertAlign w:val="superscript"/>
                <w:lang w:eastAsia="en-GB"/>
              </w:rPr>
              <w:t>***</w:t>
            </w:r>
          </w:p>
        </w:tc>
        <w:tc>
          <w:tcPr>
            <w:tcW w:w="815" w:type="pct"/>
            <w:tcBorders>
              <w:top w:val="single" w:sz="4" w:space="0" w:color="auto"/>
            </w:tcBorders>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28.67</w:t>
            </w:r>
            <w:r>
              <w:rPr>
                <w:rFonts w:eastAsia="Times New Roman" w:cs="Times New Roman"/>
                <w:color w:val="000000"/>
                <w:sz w:val="18"/>
                <w:szCs w:val="18"/>
                <w:vertAlign w:val="superscript"/>
                <w:lang w:eastAsia="en-GB"/>
              </w:rPr>
              <w:t>***</w:t>
            </w:r>
          </w:p>
        </w:tc>
        <w:tc>
          <w:tcPr>
            <w:tcW w:w="787" w:type="pct"/>
            <w:tcBorders>
              <w:top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1.99</w:t>
            </w:r>
          </w:p>
        </w:tc>
        <w:tc>
          <w:tcPr>
            <w:tcW w:w="758" w:type="pct"/>
            <w:tcBorders>
              <w:top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23.24%</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(1.35)</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r w:rsidRPr="001C1A99">
              <w:rPr>
                <w:rFonts w:eastAsia="Times New Roman" w:cs="Times New Roman"/>
                <w:color w:val="000000"/>
                <w:sz w:val="18"/>
                <w:szCs w:val="18"/>
                <w:lang w:eastAsia="en-GB"/>
              </w:rPr>
              <w:t>-5.15</w:t>
            </w:r>
            <w:r>
              <w:rPr>
                <w:rFonts w:eastAsia="Times New Roman" w:cs="Times New Roman"/>
                <w:color w:val="000000"/>
                <w:sz w:val="18"/>
                <w:szCs w:val="18"/>
                <w:lang w:eastAsia="en-GB"/>
              </w:rPr>
              <w:t>)</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FTSE 250</w:t>
            </w:r>
          </w:p>
        </w:tc>
        <w:tc>
          <w:tcPr>
            <w:tcW w:w="739" w:type="pct"/>
            <w:noWrap/>
            <w:vAlign w:val="center"/>
            <w:hideMark/>
          </w:tcPr>
          <w:p w:rsidR="00D85B35" w:rsidRPr="002D40B2"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1.55</w:t>
            </w:r>
            <w:r>
              <w:rPr>
                <w:rFonts w:eastAsia="Times New Roman" w:cs="Times New Roman"/>
                <w:color w:val="000000"/>
                <w:sz w:val="18"/>
                <w:szCs w:val="18"/>
                <w:vertAlign w:val="superscript"/>
                <w:lang w:eastAsia="en-GB"/>
              </w:rPr>
              <w:t>*</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-5.40</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23.8</w:t>
            </w:r>
            <w:r w:rsidRPr="001C1A99">
              <w:rPr>
                <w:rFonts w:eastAsia="Times New Roman" w:cs="Times New Roman"/>
                <w:color w:val="000000"/>
                <w:sz w:val="18"/>
                <w:szCs w:val="18"/>
                <w:lang w:eastAsia="en-GB"/>
              </w:rPr>
              <w:t>3</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1.78</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19.69%</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(1.73)</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r w:rsidRPr="001C1A99">
              <w:rPr>
                <w:rFonts w:eastAsia="Times New Roman" w:cs="Times New Roman"/>
                <w:color w:val="000000"/>
                <w:sz w:val="18"/>
                <w:szCs w:val="18"/>
                <w:lang w:eastAsia="en-GB"/>
              </w:rPr>
              <w:t>-4.14</w:t>
            </w:r>
            <w:r>
              <w:rPr>
                <w:rFonts w:eastAsia="Times New Roman" w:cs="Times New Roman"/>
                <w:color w:val="000000"/>
                <w:sz w:val="18"/>
                <w:szCs w:val="18"/>
                <w:lang w:eastAsia="en-GB"/>
              </w:rPr>
              <w:t>)</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Basic Materials</w:t>
            </w: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0.84</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-3.76</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4.38</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1.87</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4.43%</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(0.77)</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(-2.73)</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Consumer Services</w:t>
            </w: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0.60</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-5.22</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24.32</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1.89</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20.22</w:t>
            </w:r>
            <w:r w:rsidRPr="001C1A99">
              <w:rPr>
                <w:rFonts w:eastAsia="Times New Roman" w:cs="Times New Roman"/>
                <w:color w:val="000000"/>
                <w:sz w:val="18"/>
                <w:szCs w:val="18"/>
                <w:lang w:eastAsia="en-GB"/>
              </w:rPr>
              <w:t>%</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(0.69)</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r w:rsidRPr="001C1A99">
              <w:rPr>
                <w:rFonts w:eastAsia="Times New Roman" w:cs="Times New Roman"/>
                <w:color w:val="000000"/>
                <w:sz w:val="18"/>
                <w:szCs w:val="18"/>
                <w:lang w:eastAsia="en-GB"/>
              </w:rPr>
              <w:t>-4.03</w:t>
            </w:r>
            <w:r>
              <w:rPr>
                <w:rFonts w:eastAsia="Times New Roman" w:cs="Times New Roman"/>
                <w:color w:val="000000"/>
                <w:sz w:val="18"/>
                <w:szCs w:val="18"/>
                <w:lang w:eastAsia="en-GB"/>
              </w:rPr>
              <w:t>)</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Financials</w:t>
            </w: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0.86</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-7.45</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33.93</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1.74</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25.90</w:t>
            </w:r>
            <w:r w:rsidRPr="001C1A99">
              <w:rPr>
                <w:rFonts w:eastAsia="Times New Roman" w:cs="Times New Roman"/>
                <w:color w:val="000000"/>
                <w:sz w:val="18"/>
                <w:szCs w:val="18"/>
                <w:lang w:eastAsia="en-GB"/>
              </w:rPr>
              <w:t>%</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(0.81)</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(-5.32)</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Consumer Goods</w:t>
            </w: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1.35</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-4.98</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14.91</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1.99</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13.74%</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(1.52)</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(-3.32)</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Healthcare</w:t>
            </w:r>
          </w:p>
        </w:tc>
        <w:tc>
          <w:tcPr>
            <w:tcW w:w="739" w:type="pct"/>
            <w:noWrap/>
            <w:vAlign w:val="center"/>
            <w:hideMark/>
          </w:tcPr>
          <w:p w:rsidR="00D85B35" w:rsidRPr="002D40B2"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1.30</w:t>
            </w:r>
            <w:r>
              <w:rPr>
                <w:rFonts w:eastAsia="Times New Roman" w:cs="Times New Roman"/>
                <w:color w:val="000000"/>
                <w:sz w:val="18"/>
                <w:szCs w:val="18"/>
                <w:vertAlign w:val="superscript"/>
                <w:lang w:eastAsia="en-GB"/>
              </w:rPr>
              <w:t>**</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-4.01</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23.28</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1.94</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19.52%</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(2.04)</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(-4.17)</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Industrials</w:t>
            </w: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0.79</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-6.36</w:t>
            </w:r>
            <w:r>
              <w:rPr>
                <w:rFonts w:eastAsia="Times New Roman" w:cs="Times New Roman"/>
                <w:color w:val="000000"/>
                <w:sz w:val="18"/>
                <w:szCs w:val="18"/>
                <w:vertAlign w:val="superscript"/>
                <w:lang w:eastAsia="en-GB"/>
              </w:rPr>
              <w:t>***</w:t>
            </w:r>
          </w:p>
        </w:tc>
        <w:tc>
          <w:tcPr>
            <w:tcW w:w="815" w:type="pct"/>
            <w:noWrap/>
            <w:vAlign w:val="center"/>
            <w:hideMark/>
          </w:tcPr>
          <w:p w:rsidR="00D85B35" w:rsidRPr="002D40B2"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22.45</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1.89</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18.96%</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(075)</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r w:rsidRPr="001C1A99">
              <w:rPr>
                <w:rFonts w:eastAsia="Times New Roman" w:cs="Times New Roman"/>
                <w:color w:val="000000"/>
                <w:sz w:val="18"/>
                <w:szCs w:val="18"/>
                <w:lang w:eastAsia="en-GB"/>
              </w:rPr>
              <w:t>-3.96</w:t>
            </w:r>
            <w:r>
              <w:rPr>
                <w:rFonts w:eastAsia="Times New Roman" w:cs="Times New Roman"/>
                <w:color w:val="000000"/>
                <w:sz w:val="18"/>
                <w:szCs w:val="18"/>
                <w:lang w:eastAsia="en-GB"/>
              </w:rPr>
              <w:t>)</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Oil and Gas</w:t>
            </w:r>
          </w:p>
        </w:tc>
        <w:tc>
          <w:tcPr>
            <w:tcW w:w="739" w:type="pct"/>
            <w:noWrap/>
            <w:vAlign w:val="center"/>
            <w:hideMark/>
          </w:tcPr>
          <w:p w:rsidR="00D85B35" w:rsidRPr="00850B52"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1.21</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-1.20</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1.07</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2.43</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1.14%</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(1.75)</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r w:rsidRPr="001C1A99">
              <w:rPr>
                <w:rFonts w:eastAsia="Times New Roman" w:cs="Times New Roman"/>
                <w:color w:val="000000"/>
                <w:sz w:val="18"/>
                <w:szCs w:val="18"/>
                <w:lang w:eastAsia="en-GB"/>
              </w:rPr>
              <w:t>-1.23</w:t>
            </w:r>
            <w:r>
              <w:rPr>
                <w:rFonts w:eastAsia="Times New Roman" w:cs="Times New Roman"/>
                <w:color w:val="000000"/>
                <w:sz w:val="18"/>
                <w:szCs w:val="18"/>
                <w:lang w:eastAsia="en-GB"/>
              </w:rPr>
              <w:t>)</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Utilities</w:t>
            </w:r>
          </w:p>
        </w:tc>
        <w:tc>
          <w:tcPr>
            <w:tcW w:w="739" w:type="pct"/>
            <w:noWrap/>
            <w:vAlign w:val="center"/>
            <w:hideMark/>
          </w:tcPr>
          <w:p w:rsidR="00D85B35" w:rsidRPr="00850B52"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2.28</w:t>
            </w:r>
            <w:r>
              <w:rPr>
                <w:rFonts w:eastAsia="Times New Roman" w:cs="Times New Roman"/>
                <w:color w:val="000000"/>
                <w:sz w:val="18"/>
                <w:szCs w:val="18"/>
                <w:vertAlign w:val="superscript"/>
                <w:lang w:eastAsia="en-GB"/>
              </w:rPr>
              <w:t>***</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-3.07</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11.65</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2.07</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10.79</w:t>
            </w:r>
            <w:r w:rsidRPr="001C1A99">
              <w:rPr>
                <w:rFonts w:eastAsia="Times New Roman" w:cs="Times New Roman"/>
                <w:color w:val="000000"/>
                <w:sz w:val="18"/>
                <w:szCs w:val="18"/>
                <w:lang w:eastAsia="en-GB"/>
              </w:rPr>
              <w:t>%</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(3.26)</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(-4.22)</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Telecom</w:t>
            </w: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1.01</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-5.11</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14.54</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1.81</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13.10</w:t>
            </w:r>
            <w:r w:rsidRPr="001C1A99">
              <w:rPr>
                <w:rFonts w:eastAsia="Times New Roman" w:cs="Times New Roman"/>
                <w:color w:val="000000"/>
                <w:sz w:val="18"/>
                <w:szCs w:val="18"/>
                <w:lang w:eastAsia="en-GB"/>
              </w:rPr>
              <w:t>%</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(0.79)</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(-4.61)</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Technology</w:t>
            </w: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0.53</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-8.31</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12.10</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1.51</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11.27%</w:t>
            </w:r>
          </w:p>
        </w:tc>
      </w:tr>
      <w:tr w:rsidR="00D85B35" w:rsidRPr="001C1A99" w:rsidTr="00867EC5">
        <w:trPr>
          <w:trHeight w:val="300"/>
        </w:trPr>
        <w:tc>
          <w:tcPr>
            <w:tcW w:w="1114" w:type="pct"/>
            <w:tcBorders>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tcBorders>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(0.17)</w:t>
            </w:r>
          </w:p>
        </w:tc>
        <w:tc>
          <w:tcPr>
            <w:tcW w:w="787" w:type="pct"/>
            <w:tcBorders>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r w:rsidRPr="001C1A99">
              <w:rPr>
                <w:rFonts w:eastAsia="Times New Roman" w:cs="Times New Roman"/>
                <w:color w:val="000000"/>
                <w:sz w:val="18"/>
                <w:szCs w:val="18"/>
                <w:lang w:eastAsia="en-GB"/>
              </w:rPr>
              <w:t>-1.93</w:t>
            </w:r>
            <w:r>
              <w:rPr>
                <w:rFonts w:eastAsia="Times New Roman" w:cs="Times New Roman"/>
                <w:color w:val="000000"/>
                <w:sz w:val="18"/>
                <w:szCs w:val="18"/>
                <w:lang w:eastAsia="en-GB"/>
              </w:rPr>
              <w:t>)</w:t>
            </w:r>
          </w:p>
        </w:tc>
        <w:tc>
          <w:tcPr>
            <w:tcW w:w="815" w:type="pct"/>
            <w:tcBorders>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tcBorders>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tcBorders>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867EC5" w:rsidRPr="001C1A99" w:rsidTr="00867EC5">
        <w:trPr>
          <w:trHeight w:val="300"/>
        </w:trPr>
        <w:tc>
          <w:tcPr>
            <w:tcW w:w="5000" w:type="pct"/>
            <w:gridSpan w:val="6"/>
            <w:tcBorders>
              <w:top w:val="single" w:sz="4" w:space="0" w:color="auto"/>
            </w:tcBorders>
            <w:noWrap/>
            <w:vAlign w:val="center"/>
          </w:tcPr>
          <w:p w:rsidR="00867EC5" w:rsidRPr="001C1A99" w:rsidRDefault="00867EC5" w:rsidP="00867EC5">
            <w:pPr>
              <w:rPr>
                <w:rFonts w:eastAsia="Times New Roman" w:cs="Times New Roman"/>
                <w:color w:val="000000"/>
                <w:sz w:val="18"/>
                <w:szCs w:val="18"/>
                <w:lang w:eastAsia="en-GB"/>
              </w:rPr>
            </w:pPr>
            <w:r>
              <w:rPr>
                <w:rFonts w:eastAsia="Times New Roman" w:cs="Times New Roman"/>
                <w:color w:val="000000"/>
                <w:sz w:val="18"/>
                <w:szCs w:val="18"/>
                <w:lang w:eastAsia="en-GB"/>
              </w:rPr>
              <w:t>Notes: The dependent variable is ERPs of various FTSE indices (in percentage) calculated as the difference between total return and the 3 month Gilts rate. The independent variable is the consumption shocks. The model estimated is (12). The table reports quarterly estimates of the coefficients. Figures in the parentheses are t-statistics computed using Newey-West heteroskedastic-robust standard errors with 4 lags (initial pre-whitening using 2 lags). Adjusted sample period is 1990Q2 – 2014Q3</w:t>
            </w:r>
          </w:p>
        </w:tc>
      </w:tr>
    </w:tbl>
    <w:p w:rsidR="006063BA" w:rsidRDefault="006063BA"/>
    <w:p w:rsidR="006063BA" w:rsidRDefault="006063BA"/>
    <w:p w:rsidR="00717E75" w:rsidRDefault="00717E75"/>
    <w:p w:rsidR="00717E75" w:rsidRDefault="00717E75"/>
    <w:p w:rsidR="00717E75" w:rsidRDefault="00717E75"/>
    <w:p w:rsidR="00717E75" w:rsidRDefault="00717E75"/>
    <w:p w:rsidR="00717E75" w:rsidRDefault="00717E75"/>
    <w:p w:rsidR="00FB6BBB" w:rsidRDefault="00FB6BBB"/>
    <w:p w:rsidR="00717E75" w:rsidRDefault="00717E75"/>
    <w:p w:rsidR="00D85B35" w:rsidRDefault="00D85B35"/>
    <w:p w:rsidR="00D85B35" w:rsidRDefault="00D85B35"/>
    <w:tbl>
      <w:tblPr>
        <w:tblW w:w="5000" w:type="pct"/>
        <w:jc w:val="center"/>
        <w:tblLook w:val="04A0" w:firstRow="1" w:lastRow="0" w:firstColumn="1" w:lastColumn="0" w:noHBand="0" w:noVBand="1"/>
      </w:tblPr>
      <w:tblGrid>
        <w:gridCol w:w="1911"/>
        <w:gridCol w:w="795"/>
        <w:gridCol w:w="1204"/>
        <w:gridCol w:w="1204"/>
        <w:gridCol w:w="1261"/>
        <w:gridCol w:w="813"/>
        <w:gridCol w:w="1056"/>
        <w:gridCol w:w="782"/>
      </w:tblGrid>
      <w:tr w:rsidR="00D85B35" w:rsidRPr="002B6E20" w:rsidTr="008772EC">
        <w:trPr>
          <w:trHeight w:val="300"/>
          <w:jc w:val="center"/>
        </w:trPr>
        <w:tc>
          <w:tcPr>
            <w:tcW w:w="5000" w:type="pct"/>
            <w:gridSpan w:val="8"/>
            <w:tcBorders>
              <w:top w:val="single" w:sz="4" w:space="0" w:color="auto"/>
              <w:bottom w:val="single" w:sz="4" w:space="0" w:color="auto"/>
            </w:tcBorders>
            <w:shd w:val="clear" w:color="auto" w:fill="auto"/>
            <w:noWrap/>
            <w:vAlign w:val="center"/>
          </w:tcPr>
          <w:p w:rsidR="00D85B35" w:rsidRPr="002B6E20" w:rsidRDefault="00D85B35" w:rsidP="008772EC">
            <w:pPr>
              <w:spacing w:after="0"/>
              <w:rPr>
                <w:rFonts w:eastAsia="Times New Roman" w:cs="Times New Roman"/>
                <w:color w:val="000000"/>
                <w:sz w:val="16"/>
                <w:szCs w:val="16"/>
                <w:lang w:eastAsia="en-GB"/>
              </w:rPr>
            </w:pPr>
            <w:r w:rsidRPr="00161115">
              <w:rPr>
                <w:rFonts w:eastAsia="Times New Roman" w:cs="Times New Roman"/>
                <w:b/>
                <w:color w:val="000000"/>
                <w:sz w:val="20"/>
                <w:szCs w:val="20"/>
                <w:lang w:eastAsia="en-GB"/>
              </w:rPr>
              <w:t>Table 3:</w:t>
            </w:r>
            <w:r>
              <w:rPr>
                <w:rFonts w:eastAsia="Times New Roman" w:cs="Times New Roman"/>
                <w:color w:val="000000"/>
                <w:sz w:val="16"/>
                <w:szCs w:val="16"/>
                <w:lang w:eastAsia="en-GB"/>
              </w:rPr>
              <w:t xml:space="preserve"> </w:t>
            </w:r>
            <w:r w:rsidR="00161115" w:rsidRPr="00161115">
              <w:rPr>
                <w:rFonts w:eastAsia="Times New Roman" w:cs="Times New Roman"/>
                <w:b/>
                <w:color w:val="000000"/>
                <w:sz w:val="20"/>
                <w:szCs w:val="20"/>
                <w:lang w:eastAsia="en-GB"/>
              </w:rPr>
              <w:t>The impact of consumption shocks on the ERPs of FTSE indices</w:t>
            </w:r>
          </w:p>
        </w:tc>
      </w:tr>
      <w:tr w:rsidR="00D85B35" w:rsidRPr="002B6E20" w:rsidTr="00867EC5">
        <w:trPr>
          <w:trHeight w:val="300"/>
          <w:jc w:val="center"/>
        </w:trPr>
        <w:tc>
          <w:tcPr>
            <w:tcW w:w="1132" w:type="pct"/>
            <w:tcBorders>
              <w:top w:val="single" w:sz="4" w:space="0" w:color="auto"/>
              <w:bottom w:val="single" w:sz="4" w:space="0" w:color="auto"/>
            </w:tcBorders>
            <w:shd w:val="clear" w:color="auto" w:fill="auto"/>
            <w:noWrap/>
            <w:vAlign w:val="center"/>
            <w:hideMark/>
          </w:tcPr>
          <w:p w:rsidR="00D85B35" w:rsidRPr="00F627AC" w:rsidRDefault="00D85B35" w:rsidP="008772EC">
            <w:pPr>
              <w:spacing w:after="0"/>
              <w:jc w:val="center"/>
              <w:rPr>
                <w:rFonts w:eastAsia="Times New Roman" w:cs="Times New Roman"/>
                <w:color w:val="000000"/>
                <w:sz w:val="20"/>
                <w:szCs w:val="20"/>
                <w:lang w:eastAsia="en-GB"/>
              </w:rPr>
            </w:pPr>
            <w:r w:rsidRPr="00F627AC">
              <w:rPr>
                <w:rFonts w:eastAsia="Times New Roman" w:cs="Times New Roman"/>
                <w:color w:val="000000"/>
                <w:sz w:val="20"/>
                <w:szCs w:val="20"/>
                <w:lang w:eastAsia="en-GB"/>
              </w:rPr>
              <w:t>FTSE Indices</w:t>
            </w:r>
          </w:p>
        </w:tc>
        <w:tc>
          <w:tcPr>
            <w:tcW w:w="409" w:type="pct"/>
            <w:tcBorders>
              <w:top w:val="single" w:sz="4" w:space="0" w:color="auto"/>
              <w:bottom w:val="single" w:sz="4" w:space="0" w:color="auto"/>
            </w:tcBorders>
            <w:shd w:val="clear" w:color="auto" w:fill="auto"/>
            <w:noWrap/>
            <w:vAlign w:val="center"/>
            <w:hideMark/>
          </w:tcPr>
          <w:p w:rsidR="00D85B35" w:rsidRPr="00F627AC" w:rsidRDefault="005E14F1" w:rsidP="008772EC">
            <w:pPr>
              <w:spacing w:after="0"/>
              <w:jc w:val="center"/>
              <w:rPr>
                <w:rFonts w:eastAsia="Times New Roman" w:cs="Times New Roman"/>
                <w:color w:val="000000"/>
                <w:sz w:val="20"/>
                <w:szCs w:val="20"/>
                <w:lang w:eastAsia="en-GB"/>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α</m:t>
                    </m:r>
                  </m:e>
                  <m:sub>
                    <m:r>
                      <w:rPr>
                        <w:rFonts w:ascii="Cambria Math" w:eastAsiaTheme="minorEastAsia" w:hAnsi="Cambria Math"/>
                        <w:sz w:val="20"/>
                        <w:szCs w:val="20"/>
                      </w:rPr>
                      <m:t>i</m:t>
                    </m:r>
                  </m:sub>
                </m:sSub>
              </m:oMath>
            </m:oMathPara>
          </w:p>
        </w:tc>
        <w:tc>
          <w:tcPr>
            <w:tcW w:w="674" w:type="pct"/>
            <w:tcBorders>
              <w:top w:val="single" w:sz="4" w:space="0" w:color="auto"/>
              <w:bottom w:val="single" w:sz="4" w:space="0" w:color="auto"/>
            </w:tcBorders>
            <w:shd w:val="clear" w:color="auto" w:fill="auto"/>
            <w:noWrap/>
            <w:vAlign w:val="center"/>
            <w:hideMark/>
          </w:tcPr>
          <w:p w:rsidR="00D85B35" w:rsidRPr="00F627AC" w:rsidRDefault="005E14F1" w:rsidP="008772EC">
            <w:pPr>
              <w:spacing w:after="0"/>
              <w:jc w:val="center"/>
              <w:rPr>
                <w:rFonts w:eastAsia="Times New Roman" w:cs="Times New Roman"/>
                <w:color w:val="000000"/>
                <w:sz w:val="20"/>
                <w:szCs w:val="20"/>
                <w:lang w:eastAsia="en-GB"/>
              </w:rPr>
            </w:pPr>
            <m:oMathPara>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β</m:t>
                    </m:r>
                  </m:e>
                  <m:sub>
                    <m:r>
                      <w:rPr>
                        <w:rFonts w:ascii="Cambria Math" w:eastAsiaTheme="minorEastAsia" w:hAnsi="Cambria Math"/>
                        <w:sz w:val="20"/>
                        <w:szCs w:val="20"/>
                      </w:rPr>
                      <m:t>c</m:t>
                    </m:r>
                  </m:sub>
                  <m:sup>
                    <m:r>
                      <w:rPr>
                        <w:rFonts w:ascii="Cambria Math" w:eastAsiaTheme="minorEastAsia" w:hAnsi="Cambria Math"/>
                        <w:sz w:val="20"/>
                        <w:szCs w:val="20"/>
                      </w:rPr>
                      <m:t>i</m:t>
                    </m:r>
                  </m:sup>
                </m:sSubSup>
              </m:oMath>
            </m:oMathPara>
          </w:p>
        </w:tc>
        <w:tc>
          <w:tcPr>
            <w:tcW w:w="674" w:type="pct"/>
            <w:tcBorders>
              <w:top w:val="single" w:sz="4" w:space="0" w:color="auto"/>
              <w:bottom w:val="single" w:sz="4" w:space="0" w:color="auto"/>
            </w:tcBorders>
            <w:shd w:val="clear" w:color="auto" w:fill="auto"/>
            <w:noWrap/>
            <w:vAlign w:val="center"/>
            <w:hideMark/>
          </w:tcPr>
          <w:p w:rsidR="00D85B35" w:rsidRPr="00F627AC" w:rsidRDefault="005E14F1" w:rsidP="008772EC">
            <w:pPr>
              <w:spacing w:after="0"/>
              <w:jc w:val="center"/>
              <w:rPr>
                <w:rFonts w:eastAsia="Times New Roman" w:cs="Times New Roman"/>
                <w:color w:val="000000"/>
                <w:sz w:val="20"/>
                <w:szCs w:val="20"/>
                <w:lang w:eastAsia="en-GB"/>
              </w:rPr>
            </w:pPr>
            <m:oMathPara>
              <m:oMath>
                <m:sSubSup>
                  <m:sSubSupPr>
                    <m:ctrlPr>
                      <w:rPr>
                        <w:rFonts w:ascii="Cambria Math" w:eastAsia="Cambria Math" w:hAnsi="Cambria Math" w:cs="Cambria Math"/>
                        <w:i/>
                        <w:noProof/>
                        <w:sz w:val="20"/>
                        <w:szCs w:val="20"/>
                      </w:rPr>
                    </m:ctrlPr>
                  </m:sSubSupPr>
                  <m:e>
                    <m:r>
                      <w:rPr>
                        <w:rFonts w:ascii="Cambria Math" w:eastAsia="Cambria Math" w:hAnsi="Cambria Math" w:cs="Cambria Math"/>
                        <w:noProof/>
                        <w:sz w:val="20"/>
                        <w:szCs w:val="20"/>
                      </w:rPr>
                      <m:t>β</m:t>
                    </m:r>
                  </m:e>
                  <m:sub>
                    <m:r>
                      <w:rPr>
                        <w:rFonts w:ascii="Cambria Math" w:eastAsia="Cambria Math" w:hAnsi="Cambria Math" w:cs="Cambria Math"/>
                        <w:noProof/>
                        <w:sz w:val="20"/>
                        <w:szCs w:val="20"/>
                      </w:rPr>
                      <m:t>s</m:t>
                    </m:r>
                  </m:sub>
                  <m:sup>
                    <m:r>
                      <w:rPr>
                        <w:rFonts w:ascii="Cambria Math" w:eastAsia="Cambria Math" w:hAnsi="Cambria Math" w:cs="Cambria Math"/>
                        <w:noProof/>
                        <w:sz w:val="20"/>
                        <w:szCs w:val="20"/>
                      </w:rPr>
                      <m:t>i</m:t>
                    </m:r>
                  </m:sup>
                </m:sSubSup>
              </m:oMath>
            </m:oMathPara>
          </w:p>
        </w:tc>
        <w:tc>
          <w:tcPr>
            <w:tcW w:w="711" w:type="pct"/>
            <w:tcBorders>
              <w:top w:val="single" w:sz="4" w:space="0" w:color="auto"/>
              <w:bottom w:val="single" w:sz="4" w:space="0" w:color="auto"/>
            </w:tcBorders>
            <w:shd w:val="clear" w:color="auto" w:fill="auto"/>
            <w:noWrap/>
            <w:vAlign w:val="center"/>
            <w:hideMark/>
          </w:tcPr>
          <w:p w:rsidR="00D85B35" w:rsidRPr="00F627AC" w:rsidRDefault="005E14F1" w:rsidP="008772EC">
            <w:pPr>
              <w:spacing w:after="0"/>
              <w:jc w:val="center"/>
              <w:rPr>
                <w:rFonts w:eastAsia="Times New Roman" w:cs="Times New Roman"/>
                <w:color w:val="000000"/>
                <w:sz w:val="20"/>
                <w:szCs w:val="20"/>
                <w:lang w:eastAsia="en-GB"/>
              </w:rPr>
            </w:pPr>
            <m:oMathPara>
              <m:oMath>
                <m:sSubSup>
                  <m:sSubSupPr>
                    <m:ctrlPr>
                      <w:rPr>
                        <w:rFonts w:ascii="Cambria Math" w:eastAsia="Cambria Math" w:hAnsi="Cambria Math" w:cs="Cambria Math"/>
                        <w:i/>
                        <w:noProof/>
                        <w:sz w:val="20"/>
                        <w:szCs w:val="20"/>
                      </w:rPr>
                    </m:ctrlPr>
                  </m:sSubSupPr>
                  <m:e>
                    <m:r>
                      <w:rPr>
                        <w:rFonts w:ascii="Cambria Math" w:eastAsia="Cambria Math" w:hAnsi="Cambria Math" w:cs="Cambria Math"/>
                        <w:noProof/>
                        <w:sz w:val="20"/>
                        <w:szCs w:val="20"/>
                      </w:rPr>
                      <m:t>β</m:t>
                    </m:r>
                  </m:e>
                  <m:sub>
                    <m:r>
                      <w:rPr>
                        <w:rFonts w:ascii="Cambria Math" w:eastAsia="Cambria Math" w:hAnsi="Cambria Math" w:cs="Cambria Math"/>
                        <w:noProof/>
                        <w:sz w:val="20"/>
                        <w:szCs w:val="20"/>
                      </w:rPr>
                      <m:t>v</m:t>
                    </m:r>
                  </m:sub>
                  <m:sup>
                    <m:r>
                      <w:rPr>
                        <w:rFonts w:ascii="Cambria Math" w:eastAsia="Cambria Math" w:hAnsi="Cambria Math" w:cs="Cambria Math"/>
                        <w:noProof/>
                        <w:sz w:val="20"/>
                        <w:szCs w:val="20"/>
                      </w:rPr>
                      <m:t>i</m:t>
                    </m:r>
                  </m:sup>
                </m:sSubSup>
              </m:oMath>
            </m:oMathPara>
          </w:p>
        </w:tc>
        <w:tc>
          <w:tcPr>
            <w:tcW w:w="421" w:type="pct"/>
            <w:tcBorders>
              <w:top w:val="single" w:sz="4" w:space="0" w:color="auto"/>
              <w:bottom w:val="single" w:sz="4" w:space="0" w:color="auto"/>
            </w:tcBorders>
            <w:shd w:val="clear" w:color="auto" w:fill="auto"/>
            <w:noWrap/>
            <w:vAlign w:val="center"/>
            <w:hideMark/>
          </w:tcPr>
          <w:p w:rsidR="00D85B35" w:rsidRPr="00F627AC" w:rsidRDefault="005E14F1" w:rsidP="008772EC">
            <w:pPr>
              <w:spacing w:after="0"/>
              <w:jc w:val="center"/>
              <w:rPr>
                <w:rFonts w:eastAsia="Times New Roman" w:cs="Times New Roman"/>
                <w:color w:val="000000"/>
                <w:sz w:val="20"/>
                <w:szCs w:val="20"/>
                <w:lang w:eastAsia="en-GB"/>
              </w:rPr>
            </w:pPr>
            <m:oMathPara>
              <m:oMath>
                <m:sSubSup>
                  <m:sSubSupPr>
                    <m:ctrlPr>
                      <w:rPr>
                        <w:rFonts w:ascii="Cambria Math" w:eastAsia="Cambria Math" w:hAnsi="Cambria Math" w:cs="Cambria Math"/>
                        <w:i/>
                        <w:noProof/>
                        <w:sz w:val="20"/>
                        <w:szCs w:val="20"/>
                      </w:rPr>
                    </m:ctrlPr>
                  </m:sSubSupPr>
                  <m:e>
                    <m:r>
                      <w:rPr>
                        <w:rFonts w:ascii="Cambria Math" w:eastAsia="Cambria Math" w:hAnsi="Cambria Math" w:cs="Cambria Math"/>
                        <w:noProof/>
                        <w:sz w:val="20"/>
                        <w:szCs w:val="20"/>
                      </w:rPr>
                      <m:t>β</m:t>
                    </m:r>
                  </m:e>
                  <m:sub>
                    <m:r>
                      <w:rPr>
                        <w:rFonts w:ascii="Cambria Math" w:eastAsia="Cambria Math" w:hAnsi="Cambria Math" w:cs="Cambria Math"/>
                        <w:noProof/>
                        <w:sz w:val="20"/>
                        <w:szCs w:val="20"/>
                      </w:rPr>
                      <m:t>m</m:t>
                    </m:r>
                  </m:sub>
                  <m:sup>
                    <m:r>
                      <w:rPr>
                        <w:rFonts w:ascii="Cambria Math" w:eastAsia="Cambria Math" w:hAnsi="Cambria Math" w:cs="Cambria Math"/>
                        <w:noProof/>
                        <w:sz w:val="20"/>
                        <w:szCs w:val="20"/>
                      </w:rPr>
                      <m:t>i</m:t>
                    </m:r>
                  </m:sup>
                </m:sSubSup>
              </m:oMath>
            </m:oMathPara>
          </w:p>
        </w:tc>
        <w:tc>
          <w:tcPr>
            <w:tcW w:w="578" w:type="pct"/>
            <w:tcBorders>
              <w:top w:val="single" w:sz="4" w:space="0" w:color="auto"/>
              <w:bottom w:val="single" w:sz="4" w:space="0" w:color="auto"/>
            </w:tcBorders>
            <w:shd w:val="clear" w:color="auto" w:fill="auto"/>
            <w:noWrap/>
            <w:vAlign w:val="center"/>
            <w:hideMark/>
          </w:tcPr>
          <w:p w:rsidR="00D85B35" w:rsidRPr="00F627AC" w:rsidRDefault="00D85B35" w:rsidP="008772EC">
            <w:pPr>
              <w:spacing w:after="0"/>
              <w:jc w:val="center"/>
              <w:rPr>
                <w:rFonts w:eastAsia="Times New Roman" w:cs="Times New Roman"/>
                <w:color w:val="000000"/>
                <w:sz w:val="20"/>
                <w:szCs w:val="20"/>
                <w:vertAlign w:val="superscript"/>
                <w:lang w:eastAsia="en-GB"/>
              </w:rPr>
            </w:pPr>
            <w:r w:rsidRPr="00F627AC">
              <w:rPr>
                <w:rFonts w:eastAsia="Times New Roman" w:cs="Times New Roman"/>
                <w:color w:val="000000"/>
                <w:sz w:val="20"/>
                <w:szCs w:val="20"/>
                <w:lang w:eastAsia="en-GB"/>
              </w:rPr>
              <w:t>R</w:t>
            </w:r>
            <w:r w:rsidRPr="00F627AC">
              <w:rPr>
                <w:rFonts w:eastAsia="Times New Roman" w:cs="Times New Roman"/>
                <w:color w:val="000000"/>
                <w:sz w:val="20"/>
                <w:szCs w:val="20"/>
                <w:vertAlign w:val="superscript"/>
                <w:lang w:eastAsia="en-GB"/>
              </w:rPr>
              <w:t>2</w:t>
            </w:r>
          </w:p>
        </w:tc>
        <w:tc>
          <w:tcPr>
            <w:tcW w:w="402" w:type="pct"/>
            <w:tcBorders>
              <w:top w:val="single" w:sz="4" w:space="0" w:color="auto"/>
              <w:bottom w:val="single" w:sz="4" w:space="0" w:color="auto"/>
            </w:tcBorders>
            <w:shd w:val="clear" w:color="auto" w:fill="auto"/>
            <w:noWrap/>
            <w:vAlign w:val="center"/>
            <w:hideMark/>
          </w:tcPr>
          <w:p w:rsidR="00D85B35" w:rsidRPr="00F627AC" w:rsidRDefault="00D85B35" w:rsidP="008772EC">
            <w:pPr>
              <w:spacing w:after="0"/>
              <w:jc w:val="center"/>
              <w:rPr>
                <w:rFonts w:eastAsia="Times New Roman" w:cs="Times New Roman"/>
                <w:color w:val="000000"/>
                <w:sz w:val="20"/>
                <w:szCs w:val="20"/>
                <w:lang w:eastAsia="en-GB"/>
              </w:rPr>
            </w:pPr>
            <w:r w:rsidRPr="00F627AC">
              <w:rPr>
                <w:rFonts w:eastAsia="Times New Roman" w:cs="Times New Roman"/>
                <w:color w:val="000000"/>
                <w:sz w:val="20"/>
                <w:szCs w:val="20"/>
                <w:lang w:eastAsia="en-GB"/>
              </w:rPr>
              <w:t>F-stat</w:t>
            </w:r>
          </w:p>
        </w:tc>
      </w:tr>
      <w:tr w:rsidR="00D85B35" w:rsidRPr="002B6E20" w:rsidTr="00867EC5">
        <w:trPr>
          <w:trHeight w:val="300"/>
          <w:jc w:val="center"/>
        </w:trPr>
        <w:tc>
          <w:tcPr>
            <w:tcW w:w="1132"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color w:val="000000"/>
                <w:sz w:val="20"/>
                <w:szCs w:val="20"/>
                <w:lang w:eastAsia="en-GB"/>
              </w:rPr>
            </w:pPr>
          </w:p>
        </w:tc>
        <w:tc>
          <w:tcPr>
            <w:tcW w:w="409"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sz w:val="20"/>
                <w:szCs w:val="20"/>
              </w:rPr>
            </w:pPr>
            <w:r>
              <w:rPr>
                <w:rFonts w:eastAsia="Times New Roman" w:cs="Times New Roman"/>
                <w:sz w:val="20"/>
                <w:szCs w:val="20"/>
              </w:rPr>
              <w:t>(A)</w:t>
            </w:r>
          </w:p>
        </w:tc>
        <w:tc>
          <w:tcPr>
            <w:tcW w:w="674"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sz w:val="20"/>
                <w:szCs w:val="20"/>
              </w:rPr>
            </w:pPr>
            <w:r>
              <w:rPr>
                <w:rFonts w:eastAsia="Times New Roman" w:cs="Times New Roman"/>
                <w:sz w:val="20"/>
                <w:szCs w:val="20"/>
              </w:rPr>
              <w:t>(B)</w:t>
            </w:r>
          </w:p>
        </w:tc>
        <w:tc>
          <w:tcPr>
            <w:tcW w:w="674"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noProof/>
                <w:sz w:val="20"/>
                <w:szCs w:val="20"/>
              </w:rPr>
            </w:pPr>
            <w:r>
              <w:rPr>
                <w:rFonts w:eastAsia="Times New Roman" w:cs="Times New Roman"/>
                <w:noProof/>
                <w:sz w:val="20"/>
                <w:szCs w:val="20"/>
              </w:rPr>
              <w:t>(C)</w:t>
            </w:r>
          </w:p>
        </w:tc>
        <w:tc>
          <w:tcPr>
            <w:tcW w:w="711"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noProof/>
                <w:sz w:val="20"/>
                <w:szCs w:val="20"/>
              </w:rPr>
            </w:pPr>
            <w:r>
              <w:rPr>
                <w:rFonts w:eastAsia="Times New Roman" w:cs="Times New Roman"/>
                <w:noProof/>
                <w:sz w:val="20"/>
                <w:szCs w:val="20"/>
              </w:rPr>
              <w:t>(D)</w:t>
            </w:r>
          </w:p>
        </w:tc>
        <w:tc>
          <w:tcPr>
            <w:tcW w:w="421"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noProof/>
                <w:sz w:val="20"/>
                <w:szCs w:val="20"/>
              </w:rPr>
            </w:pPr>
            <w:r>
              <w:rPr>
                <w:rFonts w:eastAsia="Times New Roman" w:cs="Times New Roman"/>
                <w:noProof/>
                <w:sz w:val="20"/>
                <w:szCs w:val="20"/>
              </w:rPr>
              <w:t>(E)</w:t>
            </w:r>
          </w:p>
        </w:tc>
        <w:tc>
          <w:tcPr>
            <w:tcW w:w="578"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(F)</w:t>
            </w:r>
          </w:p>
        </w:tc>
        <w:tc>
          <w:tcPr>
            <w:tcW w:w="402"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(G)</w:t>
            </w: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FTSE 100</w:t>
            </w: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0.89</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-4.73</w:t>
            </w:r>
            <w:r>
              <w:rPr>
                <w:rFonts w:eastAsia="Times New Roman" w:cs="Times New Roman"/>
                <w:color w:val="000000"/>
                <w:sz w:val="16"/>
                <w:szCs w:val="16"/>
                <w:vertAlign w:val="superscript"/>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0.36</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-0.21</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-0.03</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21.17%</w:t>
            </w:r>
          </w:p>
        </w:tc>
        <w:tc>
          <w:tcPr>
            <w:tcW w:w="402"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7.51</w:t>
            </w:r>
            <w:r>
              <w:rPr>
                <w:rFonts w:eastAsia="Times New Roman" w:cs="Times New Roman"/>
                <w:color w:val="000000"/>
                <w:sz w:val="16"/>
                <w:szCs w:val="16"/>
                <w:vertAlign w:val="superscript"/>
                <w:lang w:eastAsia="en-GB"/>
              </w:rPr>
              <w:t>***</w:t>
            </w: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1.18</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-5.07</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1.03</w:t>
            </w:r>
            <w:r>
              <w:rPr>
                <w:rFonts w:eastAsia="Times New Roman" w:cs="Times New Roman"/>
                <w:color w:val="000000"/>
                <w:sz w:val="16"/>
                <w:szCs w:val="16"/>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-0.68</w:t>
            </w:r>
            <w:r>
              <w:rPr>
                <w:rFonts w:eastAsia="Times New Roman" w:cs="Times New Roman"/>
                <w:color w:val="000000"/>
                <w:sz w:val="16"/>
                <w:szCs w:val="16"/>
                <w:lang w:eastAsia="en-GB"/>
              </w:rPr>
              <w:t>)</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-0.10</w:t>
            </w:r>
            <w:r>
              <w:rPr>
                <w:rFonts w:eastAsia="Times New Roman" w:cs="Times New Roman"/>
                <w:color w:val="000000"/>
                <w:sz w:val="16"/>
                <w:szCs w:val="16"/>
                <w:lang w:eastAsia="en-GB"/>
              </w:rPr>
              <w:t>)</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FTSE 250</w:t>
            </w: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1.32</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-4.78</w:t>
            </w:r>
            <w:r>
              <w:rPr>
                <w:rFonts w:eastAsia="Times New Roman" w:cs="Times New Roman"/>
                <w:color w:val="000000"/>
                <w:sz w:val="16"/>
                <w:szCs w:val="16"/>
                <w:vertAlign w:val="superscript"/>
                <w:lang w:eastAsia="en-GB"/>
              </w:rPr>
              <w:t>***</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2.25</w:t>
            </w:r>
            <w:r>
              <w:rPr>
                <w:rFonts w:eastAsia="Times New Roman" w:cs="Times New Roman"/>
                <w:color w:val="000000"/>
                <w:sz w:val="16"/>
                <w:szCs w:val="16"/>
                <w:vertAlign w:val="superscript"/>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0.05</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-0.10</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43.60%</w:t>
            </w:r>
          </w:p>
        </w:tc>
        <w:tc>
          <w:tcPr>
            <w:tcW w:w="402"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19.75</w:t>
            </w:r>
            <w:r>
              <w:rPr>
                <w:rFonts w:eastAsia="Times New Roman" w:cs="Times New Roman"/>
                <w:color w:val="000000"/>
                <w:sz w:val="16"/>
                <w:szCs w:val="16"/>
                <w:vertAlign w:val="superscript"/>
                <w:lang w:eastAsia="en-GB"/>
              </w:rPr>
              <w:t>***</w:t>
            </w: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1.67</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-4.32</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5.98</w:t>
            </w:r>
            <w:r>
              <w:rPr>
                <w:rFonts w:eastAsia="Times New Roman" w:cs="Times New Roman"/>
                <w:color w:val="000000"/>
                <w:sz w:val="16"/>
                <w:szCs w:val="16"/>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0.12</w:t>
            </w:r>
            <w:r>
              <w:rPr>
                <w:rFonts w:eastAsia="Times New Roman" w:cs="Times New Roman"/>
                <w:color w:val="000000"/>
                <w:sz w:val="16"/>
                <w:szCs w:val="16"/>
                <w:lang w:eastAsia="en-GB"/>
              </w:rPr>
              <w:t>)</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-0.26</w:t>
            </w:r>
            <w:r>
              <w:rPr>
                <w:rFonts w:eastAsia="Times New Roman" w:cs="Times New Roman"/>
                <w:color w:val="000000"/>
                <w:sz w:val="16"/>
                <w:szCs w:val="16"/>
                <w:lang w:eastAsia="en-GB"/>
              </w:rPr>
              <w:t>)</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Basic Materials</w:t>
            </w: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0.10</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-3.32</w:t>
            </w:r>
            <w:r>
              <w:rPr>
                <w:rFonts w:eastAsia="Times New Roman" w:cs="Times New Roman"/>
                <w:color w:val="000000"/>
                <w:sz w:val="16"/>
                <w:szCs w:val="16"/>
                <w:vertAlign w:val="superscript"/>
                <w:lang w:eastAsia="en-GB"/>
              </w:rPr>
              <w:t>*</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2.07</w:t>
            </w:r>
            <w:r>
              <w:rPr>
                <w:rFonts w:eastAsia="Times New Roman" w:cs="Times New Roman"/>
                <w:color w:val="000000"/>
                <w:sz w:val="16"/>
                <w:szCs w:val="16"/>
                <w:vertAlign w:val="superscript"/>
                <w:lang w:eastAsia="en-GB"/>
              </w:rPr>
              <w:t>**</w:t>
            </w:r>
          </w:p>
        </w:tc>
        <w:tc>
          <w:tcPr>
            <w:tcW w:w="711"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1.46</w:t>
            </w:r>
            <w:r>
              <w:rPr>
                <w:rFonts w:eastAsia="Times New Roman" w:cs="Times New Roman"/>
                <w:color w:val="000000"/>
                <w:sz w:val="16"/>
                <w:szCs w:val="16"/>
                <w:vertAlign w:val="superscript"/>
                <w:lang w:eastAsia="en-GB"/>
              </w:rPr>
              <w:t>**</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0.20</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15.88%</w:t>
            </w:r>
          </w:p>
        </w:tc>
        <w:tc>
          <w:tcPr>
            <w:tcW w:w="402"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5.58</w:t>
            </w:r>
            <w:r>
              <w:rPr>
                <w:rFonts w:eastAsia="Times New Roman" w:cs="Times New Roman"/>
                <w:color w:val="000000"/>
                <w:sz w:val="16"/>
                <w:szCs w:val="16"/>
                <w:vertAlign w:val="superscript"/>
                <w:lang w:eastAsia="en-GB"/>
              </w:rPr>
              <w:t>***</w:t>
            </w: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0.07</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-1.84</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2.70</w:t>
            </w:r>
            <w:r>
              <w:rPr>
                <w:rFonts w:eastAsia="Times New Roman" w:cs="Times New Roman"/>
                <w:color w:val="000000"/>
                <w:sz w:val="16"/>
                <w:szCs w:val="16"/>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1.98</w:t>
            </w:r>
            <w:r>
              <w:rPr>
                <w:rFonts w:eastAsia="Times New Roman" w:cs="Times New Roman"/>
                <w:color w:val="000000"/>
                <w:sz w:val="16"/>
                <w:szCs w:val="16"/>
                <w:lang w:eastAsia="en-GB"/>
              </w:rPr>
              <w:t>)</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0.27</w:t>
            </w:r>
            <w:r>
              <w:rPr>
                <w:rFonts w:eastAsia="Times New Roman" w:cs="Times New Roman"/>
                <w:color w:val="000000"/>
                <w:sz w:val="16"/>
                <w:szCs w:val="16"/>
                <w:lang w:eastAsia="en-GB"/>
              </w:rPr>
              <w:t>)</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Consumer Services</w:t>
            </w: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0.85</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-4.67</w:t>
            </w:r>
            <w:r>
              <w:rPr>
                <w:rFonts w:eastAsia="Times New Roman" w:cs="Times New Roman"/>
                <w:color w:val="000000"/>
                <w:sz w:val="16"/>
                <w:szCs w:val="16"/>
                <w:vertAlign w:val="superscript"/>
                <w:lang w:eastAsia="en-GB"/>
              </w:rPr>
              <w:t>***</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1.26</w:t>
            </w:r>
            <w:r>
              <w:rPr>
                <w:rFonts w:eastAsia="Times New Roman" w:cs="Times New Roman"/>
                <w:color w:val="000000"/>
                <w:sz w:val="16"/>
                <w:szCs w:val="16"/>
                <w:vertAlign w:val="superscript"/>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-0.57</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-0.34</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30.96%</w:t>
            </w:r>
          </w:p>
        </w:tc>
        <w:tc>
          <w:tcPr>
            <w:tcW w:w="402"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11.88</w:t>
            </w:r>
            <w:r>
              <w:rPr>
                <w:rFonts w:eastAsia="Times New Roman" w:cs="Times New Roman"/>
                <w:color w:val="000000"/>
                <w:sz w:val="16"/>
                <w:szCs w:val="16"/>
                <w:vertAlign w:val="superscript"/>
                <w:lang w:eastAsia="en-GB"/>
              </w:rPr>
              <w:t>***</w:t>
            </w: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1.09</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-4.12</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3.41</w:t>
            </w:r>
            <w:r>
              <w:rPr>
                <w:rFonts w:eastAsia="Times New Roman" w:cs="Times New Roman"/>
                <w:color w:val="000000"/>
                <w:sz w:val="16"/>
                <w:szCs w:val="16"/>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-1.50</w:t>
            </w:r>
            <w:r>
              <w:rPr>
                <w:rFonts w:eastAsia="Times New Roman" w:cs="Times New Roman"/>
                <w:color w:val="000000"/>
                <w:sz w:val="16"/>
                <w:szCs w:val="16"/>
                <w:lang w:eastAsia="en-GB"/>
              </w:rPr>
              <w:t>)</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-0.85</w:t>
            </w:r>
            <w:r>
              <w:rPr>
                <w:rFonts w:eastAsia="Times New Roman" w:cs="Times New Roman"/>
                <w:color w:val="000000"/>
                <w:sz w:val="16"/>
                <w:szCs w:val="16"/>
                <w:lang w:eastAsia="en-GB"/>
              </w:rPr>
              <w:t>)</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Financials</w:t>
            </w: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0.62</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-6.85</w:t>
            </w:r>
            <w:r>
              <w:rPr>
                <w:rFonts w:eastAsia="Times New Roman" w:cs="Times New Roman"/>
                <w:color w:val="000000"/>
                <w:sz w:val="16"/>
                <w:szCs w:val="16"/>
                <w:vertAlign w:val="superscript"/>
                <w:lang w:eastAsia="en-GB"/>
              </w:rPr>
              <w:t>***</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1.83</w:t>
            </w:r>
            <w:r>
              <w:rPr>
                <w:rFonts w:eastAsia="Times New Roman" w:cs="Times New Roman"/>
                <w:color w:val="000000"/>
                <w:sz w:val="16"/>
                <w:szCs w:val="16"/>
                <w:vertAlign w:val="superscript"/>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0.60</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-0.11</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37.95%</w:t>
            </w:r>
          </w:p>
        </w:tc>
        <w:tc>
          <w:tcPr>
            <w:tcW w:w="402"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15.83</w:t>
            </w:r>
            <w:r>
              <w:rPr>
                <w:rFonts w:eastAsia="Times New Roman" w:cs="Times New Roman"/>
                <w:color w:val="000000"/>
                <w:sz w:val="16"/>
                <w:szCs w:val="16"/>
                <w:vertAlign w:val="superscript"/>
                <w:lang w:eastAsia="en-GB"/>
              </w:rPr>
              <w:t>***</w:t>
            </w: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0.56</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-5.44</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2.55</w:t>
            </w:r>
            <w:r>
              <w:rPr>
                <w:rFonts w:eastAsia="Times New Roman" w:cs="Times New Roman"/>
                <w:color w:val="000000"/>
                <w:sz w:val="16"/>
                <w:szCs w:val="16"/>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1.06</w:t>
            </w:r>
            <w:r>
              <w:rPr>
                <w:rFonts w:eastAsia="Times New Roman" w:cs="Times New Roman"/>
                <w:color w:val="000000"/>
                <w:sz w:val="16"/>
                <w:szCs w:val="16"/>
                <w:lang w:eastAsia="en-GB"/>
              </w:rPr>
              <w:t>)</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-0.25</w:t>
            </w:r>
            <w:r>
              <w:rPr>
                <w:rFonts w:eastAsia="Times New Roman" w:cs="Times New Roman"/>
                <w:color w:val="000000"/>
                <w:sz w:val="16"/>
                <w:szCs w:val="16"/>
                <w:lang w:eastAsia="en-GB"/>
              </w:rPr>
              <w:t>)</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Consumer Goods</w:t>
            </w:r>
          </w:p>
        </w:tc>
        <w:tc>
          <w:tcPr>
            <w:tcW w:w="409"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1.36</w:t>
            </w:r>
            <w:r>
              <w:rPr>
                <w:rFonts w:eastAsia="Times New Roman" w:cs="Times New Roman"/>
                <w:color w:val="000000"/>
                <w:sz w:val="16"/>
                <w:szCs w:val="16"/>
                <w:vertAlign w:val="superscript"/>
                <w:lang w:eastAsia="en-GB"/>
              </w:rPr>
              <w:t>**</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-4.47</w:t>
            </w:r>
            <w:r>
              <w:rPr>
                <w:rFonts w:eastAsia="Times New Roman" w:cs="Times New Roman"/>
                <w:color w:val="000000"/>
                <w:sz w:val="16"/>
                <w:szCs w:val="16"/>
                <w:vertAlign w:val="superscript"/>
                <w:lang w:eastAsia="en-GB"/>
              </w:rPr>
              <w:t>***</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1.11</w:t>
            </w:r>
            <w:r>
              <w:rPr>
                <w:rFonts w:eastAsia="Times New Roman" w:cs="Times New Roman"/>
                <w:color w:val="000000"/>
                <w:sz w:val="16"/>
                <w:szCs w:val="16"/>
                <w:vertAlign w:val="superscript"/>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0.36</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-0.23</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17.60%</w:t>
            </w:r>
          </w:p>
        </w:tc>
        <w:tc>
          <w:tcPr>
            <w:tcW w:w="402"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6.18</w:t>
            </w:r>
            <w:r>
              <w:rPr>
                <w:rFonts w:eastAsia="Times New Roman" w:cs="Times New Roman"/>
                <w:color w:val="000000"/>
                <w:sz w:val="16"/>
                <w:szCs w:val="16"/>
                <w:vertAlign w:val="superscript"/>
                <w:lang w:eastAsia="en-GB"/>
              </w:rPr>
              <w:t>***</w:t>
            </w: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2.06</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-4.19</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1.69</w:t>
            </w:r>
            <w:r>
              <w:rPr>
                <w:rFonts w:eastAsia="Times New Roman" w:cs="Times New Roman"/>
                <w:color w:val="000000"/>
                <w:sz w:val="16"/>
                <w:szCs w:val="16"/>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1.16</w:t>
            </w:r>
            <w:r>
              <w:rPr>
                <w:rFonts w:eastAsia="Times New Roman" w:cs="Times New Roman"/>
                <w:color w:val="000000"/>
                <w:sz w:val="16"/>
                <w:szCs w:val="16"/>
                <w:lang w:eastAsia="en-GB"/>
              </w:rPr>
              <w:t>)</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-0.84</w:t>
            </w:r>
            <w:r>
              <w:rPr>
                <w:rFonts w:eastAsia="Times New Roman" w:cs="Times New Roman"/>
                <w:color w:val="000000"/>
                <w:sz w:val="16"/>
                <w:szCs w:val="16"/>
                <w:lang w:eastAsia="en-GB"/>
              </w:rPr>
              <w:t>)</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Healthcare</w:t>
            </w:r>
          </w:p>
        </w:tc>
        <w:tc>
          <w:tcPr>
            <w:tcW w:w="409"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1.81</w:t>
            </w:r>
            <w:r>
              <w:rPr>
                <w:rFonts w:eastAsia="Times New Roman" w:cs="Times New Roman"/>
                <w:color w:val="000000"/>
                <w:sz w:val="16"/>
                <w:szCs w:val="16"/>
                <w:vertAlign w:val="superscript"/>
                <w:lang w:eastAsia="en-GB"/>
              </w:rPr>
              <w:t>***</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-3.97</w:t>
            </w:r>
            <w:r>
              <w:rPr>
                <w:rFonts w:eastAsia="Times New Roman" w:cs="Times New Roman"/>
                <w:color w:val="000000"/>
                <w:sz w:val="16"/>
                <w:szCs w:val="16"/>
                <w:vertAlign w:val="superscript"/>
                <w:lang w:eastAsia="en-GB"/>
              </w:rPr>
              <w:t>***</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-0.75</w:t>
            </w:r>
            <w:r>
              <w:rPr>
                <w:rFonts w:eastAsia="Times New Roman" w:cs="Times New Roman"/>
                <w:color w:val="000000"/>
                <w:sz w:val="16"/>
                <w:szCs w:val="16"/>
                <w:vertAlign w:val="superscript"/>
                <w:lang w:eastAsia="en-GB"/>
              </w:rPr>
              <w:t>***</w:t>
            </w:r>
          </w:p>
        </w:tc>
        <w:tc>
          <w:tcPr>
            <w:tcW w:w="711"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-0.73</w:t>
            </w:r>
            <w:r>
              <w:rPr>
                <w:rFonts w:eastAsia="Times New Roman" w:cs="Times New Roman"/>
                <w:color w:val="000000"/>
                <w:sz w:val="16"/>
                <w:szCs w:val="16"/>
                <w:vertAlign w:val="superscript"/>
                <w:lang w:eastAsia="en-GB"/>
              </w:rPr>
              <w:t>***</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-0.29</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25.26%</w:t>
            </w:r>
          </w:p>
        </w:tc>
        <w:tc>
          <w:tcPr>
            <w:tcW w:w="402"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9.20</w:t>
            </w:r>
            <w:r>
              <w:rPr>
                <w:rFonts w:eastAsia="Times New Roman" w:cs="Times New Roman"/>
                <w:color w:val="000000"/>
                <w:sz w:val="16"/>
                <w:szCs w:val="16"/>
                <w:vertAlign w:val="superscript"/>
                <w:lang w:eastAsia="en-GB"/>
              </w:rPr>
              <w:t>***</w:t>
            </w: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2.90</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-4.42</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-2.19</w:t>
            </w:r>
            <w:r>
              <w:rPr>
                <w:rFonts w:eastAsia="Times New Roman" w:cs="Times New Roman"/>
                <w:color w:val="000000"/>
                <w:sz w:val="16"/>
                <w:szCs w:val="16"/>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-2.44</w:t>
            </w:r>
            <w:r>
              <w:rPr>
                <w:rFonts w:eastAsia="Times New Roman" w:cs="Times New Roman"/>
                <w:color w:val="000000"/>
                <w:sz w:val="16"/>
                <w:szCs w:val="16"/>
                <w:lang w:eastAsia="en-GB"/>
              </w:rPr>
              <w:t>)</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-1.10</w:t>
            </w:r>
            <w:r>
              <w:rPr>
                <w:rFonts w:eastAsia="Times New Roman" w:cs="Times New Roman"/>
                <w:color w:val="000000"/>
                <w:sz w:val="16"/>
                <w:szCs w:val="16"/>
                <w:lang w:eastAsia="en-GB"/>
              </w:rPr>
              <w:t>)</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Industrials</w:t>
            </w: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0.80</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-5.75</w:t>
            </w:r>
            <w:r>
              <w:rPr>
                <w:rFonts w:eastAsia="Times New Roman" w:cs="Times New Roman"/>
                <w:color w:val="000000"/>
                <w:sz w:val="16"/>
                <w:szCs w:val="16"/>
                <w:vertAlign w:val="superscript"/>
                <w:lang w:eastAsia="en-GB"/>
              </w:rPr>
              <w:t>***</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1.97</w:t>
            </w:r>
            <w:r>
              <w:rPr>
                <w:rFonts w:eastAsia="Times New Roman" w:cs="Times New Roman"/>
                <w:color w:val="000000"/>
                <w:sz w:val="16"/>
                <w:szCs w:val="16"/>
                <w:vertAlign w:val="superscript"/>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-0.43</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-0.23</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32.20%</w:t>
            </w:r>
          </w:p>
        </w:tc>
        <w:tc>
          <w:tcPr>
            <w:tcW w:w="402"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12.52</w:t>
            </w:r>
            <w:r>
              <w:rPr>
                <w:rFonts w:eastAsia="Times New Roman" w:cs="Times New Roman"/>
                <w:color w:val="000000"/>
                <w:sz w:val="16"/>
                <w:szCs w:val="16"/>
                <w:vertAlign w:val="superscript"/>
                <w:lang w:eastAsia="en-GB"/>
              </w:rPr>
              <w:t>***</w:t>
            </w: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0.89</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-4.37</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4.68</w:t>
            </w:r>
            <w:r>
              <w:rPr>
                <w:rFonts w:eastAsia="Times New Roman" w:cs="Times New Roman"/>
                <w:color w:val="000000"/>
                <w:sz w:val="16"/>
                <w:szCs w:val="16"/>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-0.83</w:t>
            </w:r>
            <w:r>
              <w:rPr>
                <w:rFonts w:eastAsia="Times New Roman" w:cs="Times New Roman"/>
                <w:color w:val="000000"/>
                <w:sz w:val="16"/>
                <w:szCs w:val="16"/>
                <w:lang w:eastAsia="en-GB"/>
              </w:rPr>
              <w:t>)</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-0.45</w:t>
            </w:r>
            <w:r>
              <w:rPr>
                <w:rFonts w:eastAsia="Times New Roman" w:cs="Times New Roman"/>
                <w:color w:val="000000"/>
                <w:sz w:val="16"/>
                <w:szCs w:val="16"/>
                <w:lang w:eastAsia="en-GB"/>
              </w:rPr>
              <w:t>)</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Oil and Gas</w:t>
            </w:r>
          </w:p>
        </w:tc>
        <w:tc>
          <w:tcPr>
            <w:tcW w:w="409"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0.98</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-1.44</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-0.45</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0.51</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0.21</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1.04%</w:t>
            </w:r>
          </w:p>
        </w:tc>
        <w:tc>
          <w:tcPr>
            <w:tcW w:w="40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1.26</w:t>
            </w: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1.17</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-1.59</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-1.02</w:t>
            </w:r>
            <w:r>
              <w:rPr>
                <w:rFonts w:eastAsia="Times New Roman" w:cs="Times New Roman"/>
                <w:color w:val="000000"/>
                <w:sz w:val="16"/>
                <w:szCs w:val="16"/>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0.96</w:t>
            </w:r>
            <w:r>
              <w:rPr>
                <w:rFonts w:eastAsia="Times New Roman" w:cs="Times New Roman"/>
                <w:color w:val="000000"/>
                <w:sz w:val="16"/>
                <w:szCs w:val="16"/>
                <w:lang w:eastAsia="en-GB"/>
              </w:rPr>
              <w:t>)</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0.46</w:t>
            </w:r>
            <w:r>
              <w:rPr>
                <w:rFonts w:eastAsia="Times New Roman" w:cs="Times New Roman"/>
                <w:color w:val="000000"/>
                <w:sz w:val="16"/>
                <w:szCs w:val="16"/>
                <w:lang w:eastAsia="en-GB"/>
              </w:rPr>
              <w:t>)</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Utilities</w:t>
            </w:r>
          </w:p>
        </w:tc>
        <w:tc>
          <w:tcPr>
            <w:tcW w:w="409"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2.22</w:t>
            </w:r>
            <w:r>
              <w:rPr>
                <w:rFonts w:eastAsia="Times New Roman" w:cs="Times New Roman"/>
                <w:color w:val="000000"/>
                <w:sz w:val="16"/>
                <w:szCs w:val="16"/>
                <w:vertAlign w:val="superscript"/>
                <w:lang w:eastAsia="en-GB"/>
              </w:rPr>
              <w:t>***</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-3.07</w:t>
            </w:r>
            <w:r>
              <w:rPr>
                <w:rFonts w:eastAsia="Times New Roman" w:cs="Times New Roman"/>
                <w:color w:val="000000"/>
                <w:sz w:val="16"/>
                <w:szCs w:val="16"/>
                <w:vertAlign w:val="superscript"/>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-0.36</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0.58</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0.02</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12.04%</w:t>
            </w:r>
          </w:p>
        </w:tc>
        <w:tc>
          <w:tcPr>
            <w:tcW w:w="402"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4.32</w:t>
            </w:r>
            <w:r>
              <w:rPr>
                <w:rFonts w:eastAsia="Times New Roman" w:cs="Times New Roman"/>
                <w:color w:val="000000"/>
                <w:sz w:val="16"/>
                <w:szCs w:val="16"/>
                <w:vertAlign w:val="superscript"/>
                <w:lang w:eastAsia="en-GB"/>
              </w:rPr>
              <w:t>***</w:t>
            </w: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3.28</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-3.29</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-0.92</w:t>
            </w:r>
            <w:r>
              <w:rPr>
                <w:rFonts w:eastAsia="Times New Roman" w:cs="Times New Roman"/>
                <w:color w:val="000000"/>
                <w:sz w:val="16"/>
                <w:szCs w:val="16"/>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1.44</w:t>
            </w:r>
            <w:r>
              <w:rPr>
                <w:rFonts w:eastAsia="Times New Roman" w:cs="Times New Roman"/>
                <w:color w:val="000000"/>
                <w:sz w:val="16"/>
                <w:szCs w:val="16"/>
                <w:lang w:eastAsia="en-GB"/>
              </w:rPr>
              <w:t>)</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0.06</w:t>
            </w:r>
            <w:r>
              <w:rPr>
                <w:rFonts w:eastAsia="Times New Roman" w:cs="Times New Roman"/>
                <w:color w:val="000000"/>
                <w:sz w:val="16"/>
                <w:szCs w:val="16"/>
                <w:lang w:eastAsia="en-GB"/>
              </w:rPr>
              <w:t>)</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Telecom</w:t>
            </w:r>
          </w:p>
        </w:tc>
        <w:tc>
          <w:tcPr>
            <w:tcW w:w="409"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1.31</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-5.17</w:t>
            </w:r>
            <w:r>
              <w:rPr>
                <w:rFonts w:eastAsia="Times New Roman" w:cs="Times New Roman"/>
                <w:color w:val="000000"/>
                <w:sz w:val="16"/>
                <w:szCs w:val="16"/>
                <w:vertAlign w:val="superscript"/>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-0.20</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-0.98</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-0.10</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13.95%</w:t>
            </w:r>
          </w:p>
        </w:tc>
        <w:tc>
          <w:tcPr>
            <w:tcW w:w="402"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4.93</w:t>
            </w:r>
            <w:r>
              <w:rPr>
                <w:rFonts w:eastAsia="Times New Roman" w:cs="Times New Roman"/>
                <w:color w:val="000000"/>
                <w:sz w:val="16"/>
                <w:szCs w:val="16"/>
                <w:vertAlign w:val="superscript"/>
                <w:lang w:eastAsia="en-GB"/>
              </w:rPr>
              <w:t>***</w:t>
            </w: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1.30</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-5.67</w:t>
            </w:r>
            <w:r>
              <w:rPr>
                <w:rFonts w:eastAsia="Times New Roman" w:cs="Times New Roman"/>
                <w:color w:val="000000"/>
                <w:sz w:val="16"/>
                <w:szCs w:val="16"/>
                <w:lang w:eastAsia="en-GB"/>
              </w:rPr>
              <w:t>)</w:t>
            </w:r>
          </w:p>
        </w:tc>
        <w:tc>
          <w:tcPr>
            <w:tcW w:w="67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-0.39</w:t>
            </w:r>
            <w:r>
              <w:rPr>
                <w:rFonts w:eastAsia="Times New Roman" w:cs="Times New Roman"/>
                <w:color w:val="000000"/>
                <w:sz w:val="16"/>
                <w:szCs w:val="16"/>
                <w:lang w:eastAsia="en-GB"/>
              </w:rPr>
              <w:t>)</w:t>
            </w:r>
          </w:p>
        </w:tc>
        <w:tc>
          <w:tcPr>
            <w:tcW w:w="7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-0.98</w:t>
            </w:r>
            <w:r>
              <w:rPr>
                <w:rFonts w:eastAsia="Times New Roman" w:cs="Times New Roman"/>
                <w:color w:val="000000"/>
                <w:sz w:val="16"/>
                <w:szCs w:val="16"/>
                <w:lang w:eastAsia="en-GB"/>
              </w:rPr>
              <w:t>)</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-0.14</w:t>
            </w:r>
            <w:r>
              <w:rPr>
                <w:rFonts w:eastAsia="Times New Roman" w:cs="Times New Roman"/>
                <w:color w:val="000000"/>
                <w:sz w:val="16"/>
                <w:szCs w:val="16"/>
                <w:lang w:eastAsia="en-GB"/>
              </w:rPr>
              <w:t>)</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67EC5">
        <w:trPr>
          <w:trHeight w:val="300"/>
          <w:jc w:val="center"/>
        </w:trPr>
        <w:tc>
          <w:tcPr>
            <w:tcW w:w="1132"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Technology</w:t>
            </w:r>
          </w:p>
        </w:tc>
        <w:tc>
          <w:tcPr>
            <w:tcW w:w="409"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1.74</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-7.07</w:t>
            </w:r>
            <w:r>
              <w:rPr>
                <w:rFonts w:eastAsia="Times New Roman" w:cs="Times New Roman"/>
                <w:color w:val="000000"/>
                <w:sz w:val="16"/>
                <w:szCs w:val="16"/>
                <w:vertAlign w:val="superscript"/>
                <w:lang w:eastAsia="en-GB"/>
              </w:rPr>
              <w:t>***</w:t>
            </w:r>
          </w:p>
        </w:tc>
        <w:tc>
          <w:tcPr>
            <w:tcW w:w="674"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3.17</w:t>
            </w:r>
            <w:r>
              <w:rPr>
                <w:rFonts w:eastAsia="Times New Roman" w:cs="Times New Roman"/>
                <w:color w:val="000000"/>
                <w:sz w:val="16"/>
                <w:szCs w:val="16"/>
                <w:vertAlign w:val="superscript"/>
                <w:lang w:eastAsia="en-GB"/>
              </w:rPr>
              <w:t>***</w:t>
            </w:r>
          </w:p>
        </w:tc>
        <w:tc>
          <w:tcPr>
            <w:tcW w:w="711"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-3.85</w:t>
            </w:r>
            <w:r>
              <w:rPr>
                <w:rFonts w:eastAsia="Times New Roman" w:cs="Times New Roman"/>
                <w:color w:val="000000"/>
                <w:sz w:val="16"/>
                <w:szCs w:val="16"/>
                <w:vertAlign w:val="superscript"/>
                <w:lang w:eastAsia="en-GB"/>
              </w:rPr>
              <w:t>***</w:t>
            </w:r>
          </w:p>
        </w:tc>
        <w:tc>
          <w:tcPr>
            <w:tcW w:w="42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-1.04</w:t>
            </w:r>
          </w:p>
        </w:tc>
        <w:tc>
          <w:tcPr>
            <w:tcW w:w="578"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44.82%</w:t>
            </w:r>
          </w:p>
        </w:tc>
        <w:tc>
          <w:tcPr>
            <w:tcW w:w="402"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20.70</w:t>
            </w:r>
            <w:r>
              <w:rPr>
                <w:rFonts w:eastAsia="Times New Roman" w:cs="Times New Roman"/>
                <w:color w:val="000000"/>
                <w:sz w:val="16"/>
                <w:szCs w:val="16"/>
                <w:vertAlign w:val="superscript"/>
                <w:lang w:eastAsia="en-GB"/>
              </w:rPr>
              <w:t>***</w:t>
            </w:r>
          </w:p>
        </w:tc>
      </w:tr>
      <w:tr w:rsidR="00D85B35" w:rsidRPr="002B6E20" w:rsidTr="00867EC5">
        <w:trPr>
          <w:trHeight w:val="300"/>
          <w:jc w:val="center"/>
        </w:trPr>
        <w:tc>
          <w:tcPr>
            <w:tcW w:w="1132"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9"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1.32</w:t>
            </w:r>
            <w:r>
              <w:rPr>
                <w:rFonts w:eastAsia="Times New Roman" w:cs="Times New Roman"/>
                <w:color w:val="000000"/>
                <w:sz w:val="16"/>
                <w:szCs w:val="16"/>
                <w:lang w:eastAsia="en-GB"/>
              </w:rPr>
              <w:t>)</w:t>
            </w:r>
          </w:p>
        </w:tc>
        <w:tc>
          <w:tcPr>
            <w:tcW w:w="674"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-4.00</w:t>
            </w:r>
            <w:r>
              <w:rPr>
                <w:rFonts w:eastAsia="Times New Roman" w:cs="Times New Roman"/>
                <w:color w:val="000000"/>
                <w:sz w:val="16"/>
                <w:szCs w:val="16"/>
                <w:lang w:eastAsia="en-GB"/>
              </w:rPr>
              <w:t>)</w:t>
            </w:r>
          </w:p>
        </w:tc>
        <w:tc>
          <w:tcPr>
            <w:tcW w:w="674"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4.43</w:t>
            </w:r>
            <w:r>
              <w:rPr>
                <w:rFonts w:eastAsia="Times New Roman" w:cs="Times New Roman"/>
                <w:color w:val="000000"/>
                <w:sz w:val="16"/>
                <w:szCs w:val="16"/>
                <w:lang w:eastAsia="en-GB"/>
              </w:rPr>
              <w:t>)</w:t>
            </w:r>
          </w:p>
        </w:tc>
        <w:tc>
          <w:tcPr>
            <w:tcW w:w="711"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-3.04</w:t>
            </w:r>
            <w:r>
              <w:rPr>
                <w:rFonts w:eastAsia="Times New Roman" w:cs="Times New Roman"/>
                <w:color w:val="000000"/>
                <w:sz w:val="16"/>
                <w:szCs w:val="16"/>
                <w:lang w:eastAsia="en-GB"/>
              </w:rPr>
              <w:t>)</w:t>
            </w:r>
          </w:p>
        </w:tc>
        <w:tc>
          <w:tcPr>
            <w:tcW w:w="421"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-0.90</w:t>
            </w:r>
            <w:r>
              <w:rPr>
                <w:rFonts w:eastAsia="Times New Roman" w:cs="Times New Roman"/>
                <w:color w:val="000000"/>
                <w:sz w:val="16"/>
                <w:szCs w:val="16"/>
                <w:lang w:eastAsia="en-GB"/>
              </w:rPr>
              <w:t>)</w:t>
            </w:r>
          </w:p>
        </w:tc>
        <w:tc>
          <w:tcPr>
            <w:tcW w:w="578"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02"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867EC5" w:rsidRPr="002B6E20" w:rsidTr="00867EC5">
        <w:trPr>
          <w:trHeight w:val="300"/>
          <w:jc w:val="center"/>
        </w:trPr>
        <w:tc>
          <w:tcPr>
            <w:tcW w:w="5000" w:type="pct"/>
            <w:gridSpan w:val="8"/>
            <w:tcBorders>
              <w:top w:val="single" w:sz="4" w:space="0" w:color="auto"/>
            </w:tcBorders>
            <w:shd w:val="clear" w:color="auto" w:fill="auto"/>
            <w:noWrap/>
            <w:vAlign w:val="center"/>
          </w:tcPr>
          <w:p w:rsidR="00867EC5" w:rsidRPr="002B6E20" w:rsidRDefault="00867EC5" w:rsidP="00867EC5">
            <w:pPr>
              <w:spacing w:after="0"/>
              <w:rPr>
                <w:rFonts w:eastAsia="Times New Roman" w:cs="Times New Roman"/>
                <w:color w:val="000000"/>
                <w:sz w:val="16"/>
                <w:szCs w:val="16"/>
                <w:lang w:eastAsia="en-GB"/>
              </w:rPr>
            </w:pPr>
            <w:r>
              <w:rPr>
                <w:rFonts w:eastAsia="Times New Roman" w:cs="Times New Roman"/>
                <w:color w:val="000000"/>
                <w:sz w:val="16"/>
                <w:szCs w:val="16"/>
                <w:lang w:eastAsia="en-GB"/>
              </w:rPr>
              <w:t xml:space="preserve">Notes: </w:t>
            </w:r>
            <w:r>
              <w:rPr>
                <w:rFonts w:eastAsia="Times New Roman" w:cs="Times New Roman"/>
                <w:color w:val="000000"/>
                <w:sz w:val="18"/>
                <w:szCs w:val="18"/>
                <w:lang w:eastAsia="en-GB"/>
              </w:rPr>
              <w:t>The dependent variable is ERPs of various FTSE indices (in percentage) calculated as the difference between total return and the 3 month Gilts rate. The independent variable is the consumption shocks, SMB, HML and UMD. The model estimated is (14). The table reports quarterly estimates of the coefficients. Figures in the parentheses are t-statistics computed using Newey-West heteroskedastic-robust standard errors with 4 lags (initial pre-whitening using 2 lags). Adjusted sample period is 1990Q2 – 2014Q3.</w:t>
            </w:r>
          </w:p>
        </w:tc>
      </w:tr>
    </w:tbl>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tbl>
      <w:tblPr>
        <w:tblW w:w="5000" w:type="pct"/>
        <w:tblLook w:val="04A0" w:firstRow="1" w:lastRow="0" w:firstColumn="1" w:lastColumn="0" w:noHBand="0" w:noVBand="1"/>
      </w:tblPr>
      <w:tblGrid>
        <w:gridCol w:w="3013"/>
        <w:gridCol w:w="3007"/>
        <w:gridCol w:w="3006"/>
      </w:tblGrid>
      <w:tr w:rsidR="00D85B35" w:rsidRPr="00F52E08" w:rsidTr="008772EC">
        <w:trPr>
          <w:trHeight w:val="300"/>
        </w:trPr>
        <w:tc>
          <w:tcPr>
            <w:tcW w:w="5000" w:type="pct"/>
            <w:gridSpan w:val="3"/>
            <w:tcBorders>
              <w:top w:val="single" w:sz="4" w:space="0" w:color="auto"/>
              <w:left w:val="nil"/>
              <w:bottom w:val="single" w:sz="4" w:space="0" w:color="auto"/>
              <w:right w:val="nil"/>
            </w:tcBorders>
            <w:shd w:val="clear" w:color="auto" w:fill="auto"/>
            <w:noWrap/>
            <w:vAlign w:val="center"/>
          </w:tcPr>
          <w:p w:rsidR="00D85B35" w:rsidRPr="003744D4" w:rsidRDefault="00D85B35" w:rsidP="008772EC">
            <w:pPr>
              <w:spacing w:after="0"/>
              <w:rPr>
                <w:rFonts w:eastAsia="Times New Roman" w:cs="Times New Roman"/>
                <w:b/>
                <w:color w:val="000000"/>
                <w:sz w:val="20"/>
                <w:szCs w:val="20"/>
                <w:lang w:eastAsia="en-GB"/>
              </w:rPr>
            </w:pPr>
            <w:r>
              <w:rPr>
                <w:rFonts w:eastAsia="Times New Roman" w:cs="Times New Roman"/>
                <w:b/>
                <w:color w:val="000000"/>
                <w:sz w:val="20"/>
                <w:szCs w:val="20"/>
                <w:lang w:eastAsia="en-GB"/>
              </w:rPr>
              <w:t>Table 4</w:t>
            </w:r>
            <w:r w:rsidR="00867EC5">
              <w:rPr>
                <w:rFonts w:eastAsia="Times New Roman" w:cs="Times New Roman"/>
                <w:b/>
                <w:color w:val="000000"/>
                <w:sz w:val="20"/>
                <w:szCs w:val="20"/>
                <w:lang w:eastAsia="en-GB"/>
              </w:rPr>
              <w:t>: Pricing of Consumption Shocks</w:t>
            </w:r>
          </w:p>
        </w:tc>
      </w:tr>
      <w:tr w:rsidR="00D85B35" w:rsidRPr="00F52E08" w:rsidTr="00867EC5">
        <w:trPr>
          <w:trHeight w:val="300"/>
        </w:trPr>
        <w:tc>
          <w:tcPr>
            <w:tcW w:w="1669"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1666"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1</w:t>
            </w:r>
          </w:p>
        </w:tc>
        <w:tc>
          <w:tcPr>
            <w:tcW w:w="1666"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2</w:t>
            </w:r>
          </w:p>
        </w:tc>
      </w:tr>
      <w:tr w:rsidR="00D85B35" w:rsidRPr="007947FD" w:rsidTr="00867EC5">
        <w:trPr>
          <w:trHeight w:val="300"/>
        </w:trPr>
        <w:tc>
          <w:tcPr>
            <w:tcW w:w="1669" w:type="pct"/>
            <w:tcBorders>
              <w:top w:val="single" w:sz="4" w:space="0" w:color="auto"/>
              <w:left w:val="nil"/>
              <w:bottom w:val="nil"/>
              <w:right w:val="nil"/>
            </w:tcBorders>
            <w:shd w:val="clear" w:color="auto" w:fill="auto"/>
            <w:noWrap/>
            <w:vAlign w:val="center"/>
            <w:hideMark/>
          </w:tcPr>
          <w:p w:rsidR="00D85B35" w:rsidRPr="00F52E08" w:rsidRDefault="005E14F1" w:rsidP="008772EC">
            <w:pPr>
              <w:spacing w:after="0"/>
              <w:jc w:val="center"/>
              <w:rPr>
                <w:rFonts w:eastAsia="Times New Roman" w:cs="Times New Roman"/>
                <w:color w:val="000000"/>
                <w:sz w:val="20"/>
                <w:szCs w:val="20"/>
                <w:lang w:eastAsia="en-GB"/>
              </w:rPr>
            </w:pPr>
            <m:oMathPara>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γ</m:t>
                    </m:r>
                  </m:e>
                  <m:sub>
                    <m:r>
                      <w:rPr>
                        <w:rFonts w:ascii="Cambria Math" w:hAnsi="Cambria Math" w:cs="Times New Roman"/>
                        <w:color w:val="000000"/>
                        <w:sz w:val="20"/>
                        <w:szCs w:val="20"/>
                      </w:rPr>
                      <m:t>0</m:t>
                    </m:r>
                  </m:sub>
                </m:sSub>
              </m:oMath>
            </m:oMathPara>
          </w:p>
        </w:tc>
        <w:tc>
          <w:tcPr>
            <w:tcW w:w="1666" w:type="pct"/>
            <w:tcBorders>
              <w:top w:val="single" w:sz="4" w:space="0" w:color="auto"/>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1.77</w:t>
            </w:r>
            <w:r>
              <w:rPr>
                <w:rFonts w:eastAsia="Times New Roman" w:cs="Times New Roman"/>
                <w:color w:val="000000"/>
                <w:sz w:val="20"/>
                <w:szCs w:val="20"/>
                <w:vertAlign w:val="superscript"/>
                <w:lang w:eastAsia="en-GB"/>
              </w:rPr>
              <w:t>***</w:t>
            </w:r>
          </w:p>
        </w:tc>
        <w:tc>
          <w:tcPr>
            <w:tcW w:w="1666" w:type="pct"/>
            <w:tcBorders>
              <w:top w:val="single" w:sz="4" w:space="0" w:color="auto"/>
              <w:left w:val="nil"/>
              <w:bottom w:val="nil"/>
              <w:right w:val="nil"/>
            </w:tcBorders>
            <w:shd w:val="clear" w:color="auto" w:fill="auto"/>
            <w:noWrap/>
            <w:vAlign w:val="center"/>
            <w:hideMark/>
          </w:tcPr>
          <w:p w:rsidR="00D85B35" w:rsidRPr="007947FD"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1.56</w:t>
            </w:r>
            <w:r>
              <w:rPr>
                <w:rFonts w:eastAsia="Times New Roman" w:cs="Times New Roman"/>
                <w:color w:val="000000"/>
                <w:sz w:val="20"/>
                <w:szCs w:val="20"/>
                <w:vertAlign w:val="superscript"/>
                <w:lang w:eastAsia="en-GB"/>
              </w:rPr>
              <w:t>***</w:t>
            </w:r>
          </w:p>
        </w:tc>
      </w:tr>
      <w:tr w:rsidR="00D85B35" w:rsidRPr="00F52E08" w:rsidTr="00867EC5">
        <w:trPr>
          <w:trHeight w:val="300"/>
        </w:trPr>
        <w:tc>
          <w:tcPr>
            <w:tcW w:w="1669"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color w:val="000000"/>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(4.33)</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(3.96)</w:t>
            </w:r>
          </w:p>
        </w:tc>
      </w:tr>
      <w:tr w:rsidR="00D85B35" w:rsidRPr="00F52E08" w:rsidTr="00867EC5">
        <w:trPr>
          <w:trHeight w:val="300"/>
        </w:trPr>
        <w:tc>
          <w:tcPr>
            <w:tcW w:w="1669"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Aggregate Consumption shocks</w:t>
            </w:r>
          </w:p>
        </w:tc>
        <w:tc>
          <w:tcPr>
            <w:tcW w:w="1666" w:type="pct"/>
            <w:tcBorders>
              <w:top w:val="nil"/>
              <w:left w:val="nil"/>
              <w:bottom w:val="nil"/>
              <w:right w:val="nil"/>
            </w:tcBorders>
            <w:shd w:val="clear" w:color="auto" w:fill="auto"/>
            <w:noWrap/>
            <w:vAlign w:val="center"/>
            <w:hideMark/>
          </w:tcPr>
          <w:p w:rsidR="00D85B35" w:rsidRPr="007947FD"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0.14</w:t>
            </w:r>
            <w:r>
              <w:rPr>
                <w:rFonts w:eastAsia="Times New Roman" w:cs="Times New Roman"/>
                <w:color w:val="000000"/>
                <w:sz w:val="20"/>
                <w:szCs w:val="20"/>
                <w:vertAlign w:val="superscript"/>
                <w:lang w:eastAsia="en-GB"/>
              </w:rPr>
              <w:t>**</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0.087</w:t>
            </w:r>
          </w:p>
        </w:tc>
      </w:tr>
      <w:tr w:rsidR="00D85B35" w:rsidRPr="00F52E08" w:rsidTr="00867EC5">
        <w:trPr>
          <w:trHeight w:val="300"/>
        </w:trPr>
        <w:tc>
          <w:tcPr>
            <w:tcW w:w="1669"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color w:val="000000"/>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(2.11)</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(1.24)</w:t>
            </w:r>
          </w:p>
        </w:tc>
      </w:tr>
      <w:tr w:rsidR="00D85B35" w:rsidRPr="00F52E08" w:rsidTr="00867EC5">
        <w:trPr>
          <w:trHeight w:val="300"/>
        </w:trPr>
        <w:tc>
          <w:tcPr>
            <w:tcW w:w="1669"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SMB</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-0.17</w:t>
            </w:r>
          </w:p>
        </w:tc>
      </w:tr>
      <w:tr w:rsidR="00D85B35" w:rsidRPr="00F52E08" w:rsidTr="00867EC5">
        <w:trPr>
          <w:trHeight w:val="300"/>
        </w:trPr>
        <w:tc>
          <w:tcPr>
            <w:tcW w:w="1669"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color w:val="000000"/>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(-1.33)</w:t>
            </w:r>
          </w:p>
        </w:tc>
      </w:tr>
      <w:tr w:rsidR="00D85B35" w:rsidRPr="00F52E08" w:rsidTr="00867EC5">
        <w:trPr>
          <w:trHeight w:val="300"/>
        </w:trPr>
        <w:tc>
          <w:tcPr>
            <w:tcW w:w="1669"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HML</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0.29</w:t>
            </w:r>
          </w:p>
        </w:tc>
      </w:tr>
      <w:tr w:rsidR="00D85B35" w:rsidRPr="00F52E08" w:rsidTr="00867EC5">
        <w:trPr>
          <w:trHeight w:val="300"/>
        </w:trPr>
        <w:tc>
          <w:tcPr>
            <w:tcW w:w="1669"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color w:val="000000"/>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(1.58)</w:t>
            </w:r>
          </w:p>
        </w:tc>
      </w:tr>
      <w:tr w:rsidR="00D85B35" w:rsidRPr="00F52E08" w:rsidTr="00867EC5">
        <w:trPr>
          <w:trHeight w:val="300"/>
        </w:trPr>
        <w:tc>
          <w:tcPr>
            <w:tcW w:w="1669"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UMD</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-1.10</w:t>
            </w:r>
          </w:p>
        </w:tc>
      </w:tr>
      <w:tr w:rsidR="00D85B35" w:rsidRPr="00F52E08" w:rsidTr="00867EC5">
        <w:trPr>
          <w:trHeight w:val="300"/>
        </w:trPr>
        <w:tc>
          <w:tcPr>
            <w:tcW w:w="1669"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color w:val="000000"/>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(-1.18)</w:t>
            </w:r>
          </w:p>
        </w:tc>
      </w:tr>
      <w:tr w:rsidR="00D85B35" w:rsidRPr="00F52E08" w:rsidTr="00867EC5">
        <w:trPr>
          <w:trHeight w:val="300"/>
        </w:trPr>
        <w:tc>
          <w:tcPr>
            <w:tcW w:w="1669"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R-squared</w:t>
            </w:r>
          </w:p>
        </w:tc>
        <w:tc>
          <w:tcPr>
            <w:tcW w:w="1666"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28.12%</w:t>
            </w:r>
          </w:p>
        </w:tc>
        <w:tc>
          <w:tcPr>
            <w:tcW w:w="1666"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6.00%</w:t>
            </w:r>
          </w:p>
        </w:tc>
      </w:tr>
      <w:tr w:rsidR="00D85B35" w:rsidRPr="00F52E08" w:rsidTr="00867EC5">
        <w:trPr>
          <w:trHeight w:val="300"/>
        </w:trPr>
        <w:tc>
          <w:tcPr>
            <w:tcW w:w="1669" w:type="pct"/>
            <w:tcBorders>
              <w:top w:val="nil"/>
              <w:left w:val="nil"/>
              <w:bottom w:val="single" w:sz="4" w:space="0" w:color="auto"/>
              <w:right w:val="nil"/>
            </w:tcBorders>
            <w:shd w:val="clear" w:color="auto" w:fill="auto"/>
            <w:noWrap/>
            <w:vAlign w:val="center"/>
          </w:tcPr>
          <w:p w:rsidR="00D85B35"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F-statistics</w:t>
            </w:r>
          </w:p>
        </w:tc>
        <w:tc>
          <w:tcPr>
            <w:tcW w:w="1666" w:type="pct"/>
            <w:tcBorders>
              <w:top w:val="nil"/>
              <w:left w:val="nil"/>
              <w:bottom w:val="single" w:sz="4" w:space="0" w:color="auto"/>
              <w:right w:val="nil"/>
            </w:tcBorders>
            <w:shd w:val="clear" w:color="auto" w:fill="auto"/>
            <w:noWrap/>
            <w:vAlign w:val="center"/>
          </w:tcPr>
          <w:p w:rsidR="00D85B35" w:rsidRPr="007947FD" w:rsidRDefault="00D85B35" w:rsidP="008772EC">
            <w:pPr>
              <w:spacing w:after="0"/>
              <w:jc w:val="center"/>
              <w:rPr>
                <w:rFonts w:eastAsia="Times New Roman" w:cs="Times New Roman"/>
                <w:sz w:val="20"/>
                <w:szCs w:val="20"/>
                <w:vertAlign w:val="superscript"/>
                <w:lang w:eastAsia="en-GB"/>
              </w:rPr>
            </w:pPr>
            <w:r>
              <w:rPr>
                <w:rFonts w:eastAsia="Times New Roman" w:cs="Times New Roman"/>
                <w:sz w:val="20"/>
                <w:szCs w:val="20"/>
                <w:lang w:eastAsia="en-GB"/>
              </w:rPr>
              <w:t>3.91</w:t>
            </w:r>
            <w:r>
              <w:rPr>
                <w:rFonts w:eastAsia="Times New Roman" w:cs="Times New Roman"/>
                <w:sz w:val="20"/>
                <w:szCs w:val="20"/>
                <w:vertAlign w:val="superscript"/>
                <w:lang w:eastAsia="en-GB"/>
              </w:rPr>
              <w:t>*</w:t>
            </w:r>
          </w:p>
        </w:tc>
        <w:tc>
          <w:tcPr>
            <w:tcW w:w="1666" w:type="pct"/>
            <w:tcBorders>
              <w:top w:val="nil"/>
              <w:left w:val="nil"/>
              <w:bottom w:val="single" w:sz="4" w:space="0" w:color="auto"/>
              <w:right w:val="nil"/>
            </w:tcBorders>
            <w:shd w:val="clear" w:color="auto" w:fill="auto"/>
            <w:noWrap/>
            <w:vAlign w:val="center"/>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1.17</w:t>
            </w:r>
          </w:p>
        </w:tc>
      </w:tr>
      <w:tr w:rsidR="00867EC5" w:rsidRPr="00F52E08" w:rsidTr="00867EC5">
        <w:trPr>
          <w:trHeight w:val="300"/>
        </w:trPr>
        <w:tc>
          <w:tcPr>
            <w:tcW w:w="5000" w:type="pct"/>
            <w:gridSpan w:val="3"/>
            <w:tcBorders>
              <w:top w:val="single" w:sz="4" w:space="0" w:color="auto"/>
              <w:left w:val="nil"/>
              <w:right w:val="nil"/>
            </w:tcBorders>
            <w:shd w:val="clear" w:color="auto" w:fill="auto"/>
            <w:noWrap/>
            <w:vAlign w:val="center"/>
          </w:tcPr>
          <w:p w:rsidR="00867EC5" w:rsidRDefault="00867EC5" w:rsidP="00867EC5">
            <w:pPr>
              <w:spacing w:after="0"/>
              <w:rPr>
                <w:rFonts w:eastAsia="Times New Roman" w:cs="Times New Roman"/>
                <w:sz w:val="20"/>
                <w:szCs w:val="20"/>
                <w:lang w:eastAsia="en-GB"/>
              </w:rPr>
            </w:pPr>
            <w:r>
              <w:rPr>
                <w:rFonts w:eastAsia="Times New Roman" w:cs="Times New Roman"/>
                <w:color w:val="000000"/>
                <w:sz w:val="18"/>
                <w:szCs w:val="18"/>
                <w:lang w:eastAsia="en-GB"/>
              </w:rPr>
              <w:t>Note</w:t>
            </w:r>
            <w:r w:rsidR="00D656E7">
              <w:rPr>
                <w:rFonts w:eastAsia="Times New Roman" w:cs="Times New Roman"/>
                <w:color w:val="000000"/>
                <w:sz w:val="18"/>
                <w:szCs w:val="18"/>
                <w:lang w:eastAsia="en-GB"/>
              </w:rPr>
              <w:t>s</w:t>
            </w:r>
            <w:r>
              <w:rPr>
                <w:rFonts w:eastAsia="Times New Roman" w:cs="Times New Roman"/>
                <w:color w:val="000000"/>
                <w:sz w:val="18"/>
                <w:szCs w:val="18"/>
                <w:lang w:eastAsia="en-GB"/>
              </w:rPr>
              <w:t xml:space="preserve">: The table reports the estimates of second-stage cross-sectional regressions of Fama and MacBeth (1973). The dependent variable is </w:t>
            </w:r>
            <w:r>
              <w:rPr>
                <w:rFonts w:eastAsia="Times New Roman" w:cs="Times New Roman"/>
                <w:sz w:val="18"/>
                <w:szCs w:val="18"/>
              </w:rPr>
              <w:t>cross-sectional ERPs of the FTSE indices and the independent variables are the exposure to aggregate personal consumption shocks and other cross-sectional pricing factors obtained from the first-pass regression results in tables 2 and 3.</w:t>
            </w:r>
          </w:p>
        </w:tc>
      </w:tr>
    </w:tbl>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tbl>
      <w:tblPr>
        <w:tblW w:w="5665" w:type="pct"/>
        <w:jc w:val="center"/>
        <w:tblLook w:val="04A0" w:firstRow="1" w:lastRow="0" w:firstColumn="1" w:lastColumn="0" w:noHBand="0" w:noVBand="1"/>
      </w:tblPr>
      <w:tblGrid>
        <w:gridCol w:w="986"/>
        <w:gridCol w:w="919"/>
        <w:gridCol w:w="919"/>
        <w:gridCol w:w="919"/>
        <w:gridCol w:w="919"/>
        <w:gridCol w:w="918"/>
        <w:gridCol w:w="989"/>
        <w:gridCol w:w="734"/>
        <w:gridCol w:w="734"/>
        <w:gridCol w:w="734"/>
        <w:gridCol w:w="734"/>
        <w:gridCol w:w="722"/>
      </w:tblGrid>
      <w:tr w:rsidR="00D85B35" w:rsidRPr="00FC7036" w:rsidTr="008772EC">
        <w:trPr>
          <w:trHeight w:val="300"/>
          <w:jc w:val="center"/>
        </w:trPr>
        <w:tc>
          <w:tcPr>
            <w:tcW w:w="5000" w:type="pct"/>
            <w:gridSpan w:val="12"/>
            <w:tcBorders>
              <w:top w:val="single" w:sz="4" w:space="0" w:color="auto"/>
              <w:bottom w:val="single" w:sz="4" w:space="0" w:color="auto"/>
            </w:tcBorders>
            <w:shd w:val="clear" w:color="auto" w:fill="auto"/>
            <w:noWrap/>
            <w:vAlign w:val="center"/>
            <w:hideMark/>
          </w:tcPr>
          <w:p w:rsidR="00D85B35" w:rsidRDefault="00D85B35" w:rsidP="008772EC">
            <w:pPr>
              <w:spacing w:after="0"/>
              <w:rPr>
                <w:rFonts w:eastAsia="Times New Roman" w:cs="Times New Roman"/>
                <w:b/>
                <w:color w:val="000000"/>
                <w:sz w:val="20"/>
                <w:szCs w:val="20"/>
                <w:lang w:eastAsia="en-GB"/>
              </w:rPr>
            </w:pPr>
            <w:r>
              <w:rPr>
                <w:rFonts w:eastAsia="Times New Roman" w:cs="Times New Roman"/>
                <w:b/>
                <w:color w:val="000000"/>
                <w:sz w:val="20"/>
                <w:szCs w:val="20"/>
                <w:lang w:eastAsia="en-GB"/>
              </w:rPr>
              <w:t>TABLE 5: The impact of aggregate consumption shocks on the ERP of 25 Fama-French style portfolios sorted on size</w:t>
            </w:r>
          </w:p>
          <w:p w:rsidR="00D85B35" w:rsidRPr="00390D9E" w:rsidRDefault="00D85B35" w:rsidP="008772EC">
            <w:pPr>
              <w:spacing w:after="0"/>
              <w:rPr>
                <w:rFonts w:eastAsia="Times New Roman" w:cs="Times New Roman"/>
                <w:b/>
                <w:color w:val="000000"/>
                <w:sz w:val="20"/>
                <w:szCs w:val="20"/>
                <w:lang w:eastAsia="en-GB"/>
              </w:rPr>
            </w:pPr>
            <w:r>
              <w:rPr>
                <w:rFonts w:eastAsia="Times New Roman" w:cs="Times New Roman"/>
                <w:b/>
                <w:color w:val="000000"/>
                <w:sz w:val="20"/>
                <w:szCs w:val="20"/>
                <w:lang w:eastAsia="en-GB"/>
              </w:rPr>
              <w:t xml:space="preserve">and </w:t>
            </w:r>
            <w:r w:rsidR="00390D9E">
              <w:rPr>
                <w:rFonts w:eastAsia="Times New Roman" w:cs="Times New Roman"/>
                <w:b/>
                <w:color w:val="000000"/>
                <w:sz w:val="20"/>
                <w:szCs w:val="20"/>
                <w:lang w:eastAsia="en-GB"/>
              </w:rPr>
              <w:t>book-to-market characteristics.</w:t>
            </w:r>
          </w:p>
        </w:tc>
      </w:tr>
      <w:tr w:rsidR="00D85B35" w:rsidRPr="00FC7036" w:rsidTr="008772EC">
        <w:trPr>
          <w:trHeight w:val="300"/>
          <w:jc w:val="center"/>
        </w:trPr>
        <w:tc>
          <w:tcPr>
            <w:tcW w:w="5000" w:type="pct"/>
            <w:gridSpan w:val="12"/>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Panel A: </w:t>
            </w:r>
            <w:r w:rsidRPr="00FC7036">
              <w:rPr>
                <w:rFonts w:eastAsia="Times New Roman" w:cs="Times New Roman"/>
                <w:color w:val="000000"/>
                <w:sz w:val="20"/>
                <w:szCs w:val="20"/>
                <w:lang w:eastAsia="en-GB"/>
              </w:rPr>
              <w:t>Constant</w:t>
            </w:r>
          </w:p>
        </w:tc>
      </w:tr>
      <w:tr w:rsidR="00D85B35" w:rsidRPr="00FC7036" w:rsidTr="00390D9E">
        <w:trPr>
          <w:trHeight w:val="300"/>
          <w:jc w:val="center"/>
        </w:trPr>
        <w:tc>
          <w:tcPr>
            <w:tcW w:w="482"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Small</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2</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3</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4</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Large</w:t>
            </w:r>
          </w:p>
        </w:tc>
        <w:tc>
          <w:tcPr>
            <w:tcW w:w="483" w:type="pct"/>
            <w:tcBorders>
              <w:top w:val="single" w:sz="4" w:space="0" w:color="auto"/>
              <w:bottom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Average</w:t>
            </w:r>
          </w:p>
        </w:tc>
        <w:tc>
          <w:tcPr>
            <w:tcW w:w="1789" w:type="pct"/>
            <w:gridSpan w:val="5"/>
            <w:tcBorders>
              <w:top w:val="single" w:sz="4" w:space="0" w:color="auto"/>
              <w:left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T-statistics</w:t>
            </w:r>
          </w:p>
        </w:tc>
      </w:tr>
      <w:tr w:rsidR="00D85B35" w:rsidRPr="00FC7036" w:rsidTr="00390D9E">
        <w:trPr>
          <w:trHeight w:val="300"/>
          <w:jc w:val="center"/>
        </w:trPr>
        <w:tc>
          <w:tcPr>
            <w:tcW w:w="482"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Growth</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0.41</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0.35</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0.36</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0.66</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0.36</w:t>
            </w:r>
          </w:p>
        </w:tc>
        <w:tc>
          <w:tcPr>
            <w:tcW w:w="483" w:type="pct"/>
            <w:tcBorders>
              <w:top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0.43</w:t>
            </w:r>
          </w:p>
        </w:tc>
        <w:tc>
          <w:tcPr>
            <w:tcW w:w="359" w:type="pct"/>
            <w:tcBorders>
              <w:top w:val="single" w:sz="4" w:space="0" w:color="auto"/>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0.71</w:t>
            </w: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0.70</w:t>
            </w: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0.46</w:t>
            </w: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1.49</w:t>
            </w:r>
          </w:p>
        </w:tc>
        <w:tc>
          <w:tcPr>
            <w:tcW w:w="354"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1.29</w:t>
            </w:r>
          </w:p>
        </w:tc>
      </w:tr>
      <w:tr w:rsidR="00D85B35" w:rsidRPr="00FC7036" w:rsidTr="00390D9E">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BM2</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0.63</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0.49</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0.47</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0.60</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0.46</w:t>
            </w:r>
            <w:r>
              <w:rPr>
                <w:rFonts w:eastAsia="Times New Roman" w:cs="Times New Roman"/>
                <w:color w:val="000000"/>
                <w:sz w:val="20"/>
                <w:szCs w:val="20"/>
                <w:vertAlign w:val="superscript"/>
                <w:lang w:eastAsia="en-GB"/>
              </w:rPr>
              <w:t>**</w:t>
            </w:r>
          </w:p>
        </w:tc>
        <w:tc>
          <w:tcPr>
            <w:tcW w:w="483"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0.53</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1.56</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1.08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1.33</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1.65</w:t>
            </w:r>
          </w:p>
        </w:tc>
        <w:tc>
          <w:tcPr>
            <w:tcW w:w="354"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2.06</w:t>
            </w:r>
          </w:p>
        </w:tc>
      </w:tr>
      <w:tr w:rsidR="00D85B35" w:rsidRPr="00FC7036" w:rsidTr="00390D9E">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BM3</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0.66</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0.57</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0.60</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0.80</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0.54</w:t>
            </w:r>
            <w:r>
              <w:rPr>
                <w:rFonts w:eastAsia="Times New Roman" w:cs="Times New Roman"/>
                <w:color w:val="000000"/>
                <w:sz w:val="20"/>
                <w:szCs w:val="20"/>
                <w:vertAlign w:val="superscript"/>
                <w:lang w:eastAsia="en-GB"/>
              </w:rPr>
              <w:t>***</w:t>
            </w:r>
          </w:p>
        </w:tc>
        <w:tc>
          <w:tcPr>
            <w:tcW w:w="483"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0.63</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1.69</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1.85</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2.64</w:t>
            </w:r>
          </w:p>
        </w:tc>
        <w:tc>
          <w:tcPr>
            <w:tcW w:w="354"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2.56</w:t>
            </w:r>
          </w:p>
        </w:tc>
      </w:tr>
      <w:tr w:rsidR="00D85B35" w:rsidRPr="00FC7036" w:rsidTr="00390D9E">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BM4</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0.75</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0.68</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0.38</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0.50</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0.32</w:t>
            </w:r>
          </w:p>
        </w:tc>
        <w:tc>
          <w:tcPr>
            <w:tcW w:w="483"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0.53</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1.98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2.18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0.92</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1.58</w:t>
            </w:r>
          </w:p>
        </w:tc>
        <w:tc>
          <w:tcPr>
            <w:tcW w:w="354"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1.25</w:t>
            </w:r>
          </w:p>
        </w:tc>
      </w:tr>
      <w:tr w:rsidR="00D85B35" w:rsidRPr="00FC7036" w:rsidTr="00390D9E">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Value</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0.77</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0.64</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0.87</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0.66</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0.47</w:t>
            </w:r>
            <w:r>
              <w:rPr>
                <w:rFonts w:eastAsia="Times New Roman" w:cs="Times New Roman"/>
                <w:color w:val="000000"/>
                <w:sz w:val="20"/>
                <w:szCs w:val="20"/>
                <w:vertAlign w:val="superscript"/>
                <w:lang w:eastAsia="en-GB"/>
              </w:rPr>
              <w:t>*</w:t>
            </w:r>
          </w:p>
        </w:tc>
        <w:tc>
          <w:tcPr>
            <w:tcW w:w="483"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0.68</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2.02</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2.34</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1.51</w:t>
            </w:r>
          </w:p>
        </w:tc>
        <w:tc>
          <w:tcPr>
            <w:tcW w:w="354"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1.77</w:t>
            </w:r>
          </w:p>
        </w:tc>
      </w:tr>
      <w:tr w:rsidR="00D85B35" w:rsidRPr="00FC7036" w:rsidTr="00390D9E">
        <w:trPr>
          <w:trHeight w:val="300"/>
          <w:jc w:val="center"/>
        </w:trPr>
        <w:tc>
          <w:tcPr>
            <w:tcW w:w="482"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Average</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0.64</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0.54</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0.53</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0.64</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0.43</w:t>
            </w:r>
          </w:p>
        </w:tc>
        <w:tc>
          <w:tcPr>
            <w:tcW w:w="483" w:type="pct"/>
            <w:tcBorders>
              <w:bottom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left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sz w:val="20"/>
                <w:szCs w:val="20"/>
                <w:lang w:eastAsia="en-GB"/>
              </w:rPr>
            </w:pPr>
          </w:p>
        </w:tc>
        <w:tc>
          <w:tcPr>
            <w:tcW w:w="354"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r>
      <w:tr w:rsidR="00D85B35" w:rsidRPr="00FC7036" w:rsidTr="008772EC">
        <w:trPr>
          <w:trHeight w:val="300"/>
          <w:jc w:val="center"/>
        </w:trPr>
        <w:tc>
          <w:tcPr>
            <w:tcW w:w="5000" w:type="pct"/>
            <w:gridSpan w:val="12"/>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Panel B: Loadings on Consumption Shocks</w:t>
            </w:r>
          </w:p>
        </w:tc>
      </w:tr>
      <w:tr w:rsidR="00D85B35" w:rsidRPr="00FC7036" w:rsidTr="00390D9E">
        <w:trPr>
          <w:trHeight w:val="300"/>
          <w:jc w:val="center"/>
        </w:trPr>
        <w:tc>
          <w:tcPr>
            <w:tcW w:w="482"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Small</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2</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3</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4</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Large</w:t>
            </w:r>
          </w:p>
        </w:tc>
        <w:tc>
          <w:tcPr>
            <w:tcW w:w="483" w:type="pct"/>
            <w:tcBorders>
              <w:top w:val="single" w:sz="4" w:space="0" w:color="auto"/>
              <w:bottom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Average</w:t>
            </w:r>
          </w:p>
        </w:tc>
        <w:tc>
          <w:tcPr>
            <w:tcW w:w="1789" w:type="pct"/>
            <w:gridSpan w:val="5"/>
            <w:tcBorders>
              <w:top w:val="single" w:sz="4" w:space="0" w:color="auto"/>
              <w:left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T-statistics</w:t>
            </w:r>
          </w:p>
        </w:tc>
      </w:tr>
      <w:tr w:rsidR="00D85B35" w:rsidRPr="00FC7036" w:rsidTr="00390D9E">
        <w:trPr>
          <w:trHeight w:val="300"/>
          <w:jc w:val="center"/>
        </w:trPr>
        <w:tc>
          <w:tcPr>
            <w:tcW w:w="482"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Growth</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-1.87</w:t>
            </w:r>
            <w:r>
              <w:rPr>
                <w:rFonts w:eastAsia="Times New Roman" w:cs="Times New Roman"/>
                <w:color w:val="000000"/>
                <w:sz w:val="20"/>
                <w:szCs w:val="20"/>
                <w:vertAlign w:val="superscript"/>
                <w:lang w:eastAsia="en-GB"/>
              </w:rPr>
              <w:t>***</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-1.73</w:t>
            </w:r>
            <w:r>
              <w:rPr>
                <w:rFonts w:eastAsia="Times New Roman" w:cs="Times New Roman"/>
                <w:color w:val="000000"/>
                <w:sz w:val="20"/>
                <w:szCs w:val="20"/>
                <w:vertAlign w:val="superscript"/>
                <w:lang w:eastAsia="en-GB"/>
              </w:rPr>
              <w:t>***</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-1.72</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-1.55</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-1.66</w:t>
            </w:r>
            <w:r>
              <w:rPr>
                <w:rFonts w:eastAsia="Times New Roman" w:cs="Times New Roman"/>
                <w:color w:val="000000"/>
                <w:sz w:val="20"/>
                <w:szCs w:val="20"/>
                <w:vertAlign w:val="superscript"/>
                <w:lang w:eastAsia="en-GB"/>
              </w:rPr>
              <w:t>***</w:t>
            </w:r>
          </w:p>
        </w:tc>
        <w:tc>
          <w:tcPr>
            <w:tcW w:w="483" w:type="pct"/>
            <w:tcBorders>
              <w:top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-1.71</w:t>
            </w:r>
          </w:p>
        </w:tc>
        <w:tc>
          <w:tcPr>
            <w:tcW w:w="359" w:type="pct"/>
            <w:tcBorders>
              <w:top w:val="single" w:sz="4" w:space="0" w:color="auto"/>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-3.22</w:t>
            </w: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-2.89</w:t>
            </w: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-1.63</w:t>
            </w: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-2.91</w:t>
            </w:r>
          </w:p>
        </w:tc>
        <w:tc>
          <w:tcPr>
            <w:tcW w:w="354"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-4.47</w:t>
            </w:r>
          </w:p>
        </w:tc>
      </w:tr>
      <w:tr w:rsidR="00D85B35" w:rsidRPr="00FC7036" w:rsidTr="00390D9E">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BM2</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-1.37</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-1.76</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-1.90</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-2.18</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-1.22</w:t>
            </w:r>
            <w:r>
              <w:rPr>
                <w:rFonts w:eastAsia="Times New Roman" w:cs="Times New Roman"/>
                <w:color w:val="000000"/>
                <w:sz w:val="20"/>
                <w:szCs w:val="20"/>
                <w:vertAlign w:val="superscript"/>
                <w:lang w:eastAsia="en-GB"/>
              </w:rPr>
              <w:t>***</w:t>
            </w:r>
          </w:p>
        </w:tc>
        <w:tc>
          <w:tcPr>
            <w:tcW w:w="483"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-1.68</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-2.58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-2.90</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-3.66</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-4.00</w:t>
            </w:r>
          </w:p>
        </w:tc>
        <w:tc>
          <w:tcPr>
            <w:tcW w:w="354"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-3.39</w:t>
            </w:r>
          </w:p>
        </w:tc>
      </w:tr>
      <w:tr w:rsidR="00D85B35" w:rsidRPr="00FC7036" w:rsidTr="00390D9E">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BM3</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-1.61</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-1.44</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-1.52</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-1.32</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-1.48</w:t>
            </w:r>
            <w:r>
              <w:rPr>
                <w:rFonts w:eastAsia="Times New Roman" w:cs="Times New Roman"/>
                <w:color w:val="000000"/>
                <w:sz w:val="20"/>
                <w:szCs w:val="20"/>
                <w:vertAlign w:val="superscript"/>
                <w:lang w:eastAsia="en-GB"/>
              </w:rPr>
              <w:t>***</w:t>
            </w:r>
          </w:p>
        </w:tc>
        <w:tc>
          <w:tcPr>
            <w:tcW w:w="483"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-1.47</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-3.48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-3.11</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-3.61</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-2.62</w:t>
            </w:r>
          </w:p>
        </w:tc>
        <w:tc>
          <w:tcPr>
            <w:tcW w:w="354"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-3.99</w:t>
            </w:r>
          </w:p>
        </w:tc>
      </w:tr>
      <w:tr w:rsidR="00D85B35" w:rsidRPr="00FC7036" w:rsidTr="00390D9E">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BM4</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-1.45</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-1.74</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-1.72</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-1.88</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-1.38</w:t>
            </w:r>
            <w:r>
              <w:rPr>
                <w:rFonts w:eastAsia="Times New Roman" w:cs="Times New Roman"/>
                <w:color w:val="000000"/>
                <w:sz w:val="20"/>
                <w:szCs w:val="20"/>
                <w:vertAlign w:val="superscript"/>
                <w:lang w:eastAsia="en-GB"/>
              </w:rPr>
              <w:t>***</w:t>
            </w:r>
          </w:p>
        </w:tc>
        <w:tc>
          <w:tcPr>
            <w:tcW w:w="483"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-1.64</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-2.99</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-3.98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-2.88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-3.89</w:t>
            </w:r>
          </w:p>
        </w:tc>
        <w:tc>
          <w:tcPr>
            <w:tcW w:w="354"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-3.62</w:t>
            </w:r>
          </w:p>
        </w:tc>
      </w:tr>
      <w:tr w:rsidR="00D85B35" w:rsidRPr="00FC7036" w:rsidTr="00390D9E">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Value</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-1.57</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-2.16</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-2.20</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-2.18</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-1.50</w:t>
            </w:r>
            <w:r>
              <w:rPr>
                <w:rFonts w:eastAsia="Times New Roman" w:cs="Times New Roman"/>
                <w:color w:val="000000"/>
                <w:sz w:val="20"/>
                <w:szCs w:val="20"/>
                <w:vertAlign w:val="superscript"/>
                <w:lang w:eastAsia="en-GB"/>
              </w:rPr>
              <w:t>***</w:t>
            </w:r>
          </w:p>
        </w:tc>
        <w:tc>
          <w:tcPr>
            <w:tcW w:w="483"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-1.92</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-3.71</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-3.95</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-4.39</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-3.84</w:t>
            </w:r>
          </w:p>
        </w:tc>
        <w:tc>
          <w:tcPr>
            <w:tcW w:w="354"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-5.31</w:t>
            </w:r>
          </w:p>
        </w:tc>
      </w:tr>
      <w:tr w:rsidR="00D85B35" w:rsidRPr="00FC7036" w:rsidTr="00390D9E">
        <w:trPr>
          <w:trHeight w:val="300"/>
          <w:jc w:val="center"/>
        </w:trPr>
        <w:tc>
          <w:tcPr>
            <w:tcW w:w="482"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Average</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-1.57</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-1.77</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-1.81</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-1.82</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-1.45</w:t>
            </w:r>
          </w:p>
        </w:tc>
        <w:tc>
          <w:tcPr>
            <w:tcW w:w="483" w:type="pct"/>
            <w:tcBorders>
              <w:bottom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left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sz w:val="20"/>
                <w:szCs w:val="20"/>
                <w:lang w:eastAsia="en-GB"/>
              </w:rPr>
            </w:pPr>
          </w:p>
        </w:tc>
        <w:tc>
          <w:tcPr>
            <w:tcW w:w="354"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r>
      <w:tr w:rsidR="00D85B35" w:rsidRPr="00FC7036" w:rsidTr="008772EC">
        <w:trPr>
          <w:trHeight w:val="300"/>
          <w:jc w:val="center"/>
        </w:trPr>
        <w:tc>
          <w:tcPr>
            <w:tcW w:w="5000" w:type="pct"/>
            <w:gridSpan w:val="12"/>
            <w:tcBorders>
              <w:top w:val="single" w:sz="4" w:space="0" w:color="auto"/>
              <w:bottom w:val="single" w:sz="4" w:space="0" w:color="auto"/>
            </w:tcBorders>
            <w:shd w:val="clear" w:color="auto" w:fill="auto"/>
            <w:noWrap/>
            <w:vAlign w:val="center"/>
          </w:tcPr>
          <w:p w:rsidR="00D85B35" w:rsidRPr="00FC7036"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Panel C</w:t>
            </w:r>
          </w:p>
        </w:tc>
      </w:tr>
      <w:tr w:rsidR="00D85B35" w:rsidRPr="00FC7036" w:rsidTr="00390D9E">
        <w:trPr>
          <w:trHeight w:val="300"/>
          <w:jc w:val="center"/>
        </w:trPr>
        <w:tc>
          <w:tcPr>
            <w:tcW w:w="3211" w:type="pct"/>
            <w:gridSpan w:val="7"/>
            <w:tcBorders>
              <w:top w:val="single" w:sz="4" w:space="0" w:color="auto"/>
              <w:bottom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R-squared</w:t>
            </w:r>
          </w:p>
        </w:tc>
        <w:tc>
          <w:tcPr>
            <w:tcW w:w="1789" w:type="pct"/>
            <w:gridSpan w:val="5"/>
            <w:tcBorders>
              <w:top w:val="single" w:sz="4" w:space="0" w:color="auto"/>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F-statistics</w:t>
            </w:r>
          </w:p>
        </w:tc>
      </w:tr>
      <w:tr w:rsidR="00D85B35" w:rsidRPr="00FC7036" w:rsidTr="00390D9E">
        <w:trPr>
          <w:trHeight w:val="300"/>
          <w:jc w:val="center"/>
        </w:trPr>
        <w:tc>
          <w:tcPr>
            <w:tcW w:w="482"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Small</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2</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3</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4</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Large</w:t>
            </w:r>
          </w:p>
        </w:tc>
        <w:tc>
          <w:tcPr>
            <w:tcW w:w="483"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Average</w:t>
            </w:r>
          </w:p>
        </w:tc>
        <w:tc>
          <w:tcPr>
            <w:tcW w:w="359" w:type="pct"/>
            <w:tcBorders>
              <w:top w:val="single" w:sz="4" w:space="0" w:color="auto"/>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sz w:val="20"/>
                <w:szCs w:val="20"/>
                <w:lang w:eastAsia="en-GB"/>
              </w:rPr>
            </w:pP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sz w:val="20"/>
                <w:szCs w:val="20"/>
                <w:lang w:eastAsia="en-GB"/>
              </w:rPr>
            </w:pPr>
          </w:p>
        </w:tc>
        <w:tc>
          <w:tcPr>
            <w:tcW w:w="354"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r>
      <w:tr w:rsidR="00D85B35" w:rsidRPr="00FC7036" w:rsidTr="00390D9E">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Growth</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9.52%</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7.90%</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8.99%</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9.70%</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22.89%</w:t>
            </w:r>
          </w:p>
        </w:tc>
        <w:tc>
          <w:tcPr>
            <w:tcW w:w="483"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11.80%</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10.10</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8.23</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9.48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10.32</w:t>
            </w:r>
          </w:p>
        </w:tc>
        <w:tc>
          <w:tcPr>
            <w:tcW w:w="354"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28.50</w:t>
            </w:r>
          </w:p>
        </w:tc>
      </w:tr>
      <w:tr w:rsidR="00D85B35" w:rsidRPr="00FC7036" w:rsidTr="00390D9E">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BM2</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6.99%</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9.77%</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14.42%</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18.22%</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9.40%</w:t>
            </w:r>
          </w:p>
        </w:tc>
        <w:tc>
          <w:tcPr>
            <w:tcW w:w="483"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11.76%</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7.21</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10.40</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16.18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21.38</w:t>
            </w:r>
          </w:p>
        </w:tc>
        <w:tc>
          <w:tcPr>
            <w:tcW w:w="354"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9.96</w:t>
            </w:r>
          </w:p>
        </w:tc>
      </w:tr>
      <w:tr w:rsidR="00D85B35" w:rsidRPr="00FC7036" w:rsidTr="00390D9E">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BM3</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12.03%</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10.50%</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10.76%</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9.31%</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13.74%</w:t>
            </w:r>
          </w:p>
        </w:tc>
        <w:tc>
          <w:tcPr>
            <w:tcW w:w="483"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11.27%</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13.13</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11.26</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11.57</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9.85</w:t>
            </w:r>
          </w:p>
        </w:tc>
        <w:tc>
          <w:tcPr>
            <w:tcW w:w="354"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15.29</w:t>
            </w:r>
          </w:p>
        </w:tc>
      </w:tr>
      <w:tr w:rsidR="00D85B35" w:rsidRPr="00FC7036" w:rsidTr="00390D9E">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BM4</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8.76%</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16.24%</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12.71%</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18.32%</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16.55%</w:t>
            </w:r>
          </w:p>
        </w:tc>
        <w:tc>
          <w:tcPr>
            <w:tcW w:w="483"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14.52%</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9.22</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18.61</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13.97</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21.53</w:t>
            </w:r>
          </w:p>
        </w:tc>
        <w:tc>
          <w:tcPr>
            <w:tcW w:w="354"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19.04</w:t>
            </w:r>
          </w:p>
        </w:tc>
      </w:tr>
      <w:tr w:rsidR="00D85B35" w:rsidRPr="00FC7036" w:rsidTr="00390D9E">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Value</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11.05%</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14.15%</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17.81%</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14.97%</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13.66%</w:t>
            </w:r>
          </w:p>
        </w:tc>
        <w:tc>
          <w:tcPr>
            <w:tcW w:w="483"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14.33%</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11.93</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15.82</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20.80</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16.90</w:t>
            </w:r>
          </w:p>
        </w:tc>
        <w:tc>
          <w:tcPr>
            <w:tcW w:w="354"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15.19</w:t>
            </w:r>
          </w:p>
        </w:tc>
      </w:tr>
      <w:tr w:rsidR="00D85B35" w:rsidRPr="00FC7036" w:rsidTr="00390D9E">
        <w:trPr>
          <w:trHeight w:val="300"/>
          <w:jc w:val="center"/>
        </w:trPr>
        <w:tc>
          <w:tcPr>
            <w:tcW w:w="482"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Average</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9.67%</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11.71%</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12.94%</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14.10%</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15.25%</w:t>
            </w:r>
          </w:p>
        </w:tc>
        <w:tc>
          <w:tcPr>
            <w:tcW w:w="483" w:type="pct"/>
            <w:tcBorders>
              <w:bottom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left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4"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r>
      <w:tr w:rsidR="00390D9E" w:rsidRPr="00FC7036" w:rsidTr="00390D9E">
        <w:trPr>
          <w:trHeight w:val="300"/>
          <w:jc w:val="center"/>
        </w:trPr>
        <w:tc>
          <w:tcPr>
            <w:tcW w:w="5000" w:type="pct"/>
            <w:gridSpan w:val="12"/>
            <w:tcBorders>
              <w:top w:val="single" w:sz="4" w:space="0" w:color="auto"/>
            </w:tcBorders>
            <w:shd w:val="clear" w:color="auto" w:fill="auto"/>
            <w:noWrap/>
            <w:vAlign w:val="center"/>
          </w:tcPr>
          <w:p w:rsidR="00390D9E" w:rsidRDefault="00390D9E" w:rsidP="00390D9E">
            <w:pPr>
              <w:spacing w:after="0"/>
              <w:rPr>
                <w:rFonts w:eastAsia="Times New Roman" w:cs="Times New Roman"/>
                <w:color w:val="000000"/>
                <w:sz w:val="20"/>
                <w:szCs w:val="20"/>
                <w:lang w:eastAsia="en-GB"/>
              </w:rPr>
            </w:pPr>
            <w:r>
              <w:rPr>
                <w:rFonts w:eastAsia="Times New Roman" w:cs="Times New Roman"/>
                <w:color w:val="000000"/>
                <w:sz w:val="20"/>
                <w:szCs w:val="20"/>
                <w:lang w:eastAsia="en-GB"/>
              </w:rPr>
              <w:t>Note</w:t>
            </w:r>
            <w:r w:rsidR="00D656E7">
              <w:rPr>
                <w:rFonts w:eastAsia="Times New Roman" w:cs="Times New Roman"/>
                <w:color w:val="000000"/>
                <w:sz w:val="20"/>
                <w:szCs w:val="20"/>
                <w:lang w:eastAsia="en-GB"/>
              </w:rPr>
              <w:t>s</w:t>
            </w:r>
            <w:r>
              <w:rPr>
                <w:rFonts w:eastAsia="Times New Roman" w:cs="Times New Roman"/>
                <w:color w:val="000000"/>
                <w:sz w:val="20"/>
                <w:szCs w:val="20"/>
                <w:lang w:eastAsia="en-GB"/>
              </w:rPr>
              <w:t>: This table reports the impact of aggregate consumption shocks on the ERP of 25 portfolios, sorted on size and book-</w:t>
            </w:r>
          </w:p>
          <w:p w:rsidR="00390D9E" w:rsidRDefault="00390D9E" w:rsidP="00390D9E">
            <w:pPr>
              <w:spacing w:after="0"/>
              <w:rPr>
                <w:rFonts w:eastAsia="Times New Roman" w:cs="Times New Roman"/>
                <w:color w:val="000000"/>
                <w:sz w:val="20"/>
                <w:szCs w:val="20"/>
                <w:lang w:eastAsia="en-GB"/>
              </w:rPr>
            </w:pPr>
            <w:r>
              <w:rPr>
                <w:rFonts w:eastAsia="Times New Roman" w:cs="Times New Roman"/>
                <w:color w:val="000000"/>
                <w:sz w:val="20"/>
                <w:szCs w:val="20"/>
                <w:lang w:eastAsia="en-GB"/>
              </w:rPr>
              <w:t xml:space="preserve">to-market characteristics. The independent variable is the shocks in the aggregate consumption shocks. The reported </w:t>
            </w:r>
          </w:p>
          <w:p w:rsidR="00390D9E" w:rsidRDefault="00390D9E" w:rsidP="00390D9E">
            <w:pPr>
              <w:spacing w:after="0"/>
              <w:rPr>
                <w:rFonts w:eastAsia="Times New Roman" w:cs="Times New Roman"/>
                <w:color w:val="000000"/>
                <w:sz w:val="20"/>
                <w:szCs w:val="20"/>
                <w:lang w:eastAsia="en-GB"/>
              </w:rPr>
            </w:pPr>
            <w:r>
              <w:rPr>
                <w:rFonts w:eastAsia="Times New Roman" w:cs="Times New Roman"/>
                <w:color w:val="000000"/>
                <w:sz w:val="20"/>
                <w:szCs w:val="20"/>
                <w:lang w:eastAsia="en-GB"/>
              </w:rPr>
              <w:t xml:space="preserve">t-statistics are corrected for heteroscedasticity and auto-correlation. Panel C- reports the R-squared and F-statistics of </w:t>
            </w:r>
          </w:p>
          <w:p w:rsidR="00390D9E" w:rsidRPr="00FC7036" w:rsidRDefault="00390D9E" w:rsidP="00390D9E">
            <w:pPr>
              <w:spacing w:after="0"/>
              <w:rPr>
                <w:rFonts w:eastAsia="Times New Roman" w:cs="Times New Roman"/>
                <w:color w:val="000000"/>
                <w:sz w:val="20"/>
                <w:szCs w:val="20"/>
                <w:lang w:eastAsia="en-GB"/>
              </w:rPr>
            </w:pPr>
            <w:r>
              <w:rPr>
                <w:rFonts w:eastAsia="Times New Roman" w:cs="Times New Roman"/>
                <w:color w:val="000000"/>
                <w:sz w:val="20"/>
                <w:szCs w:val="20"/>
                <w:lang w:eastAsia="en-GB"/>
              </w:rPr>
              <w:t xml:space="preserve">individual regressions. </w:t>
            </w:r>
            <w:r>
              <w:rPr>
                <w:rFonts w:eastAsia="Times New Roman" w:cs="Times New Roman"/>
                <w:color w:val="000000"/>
                <w:sz w:val="18"/>
                <w:szCs w:val="18"/>
                <w:lang w:eastAsia="en-GB"/>
              </w:rPr>
              <w:t>Adjusted sample period is 1990Q2 – 2014Q3</w:t>
            </w:r>
          </w:p>
        </w:tc>
      </w:tr>
    </w:tbl>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tbl>
      <w:tblPr>
        <w:tblW w:w="5000" w:type="pct"/>
        <w:jc w:val="center"/>
        <w:tblLook w:val="04A0" w:firstRow="1" w:lastRow="0" w:firstColumn="1" w:lastColumn="0" w:noHBand="0" w:noVBand="1"/>
      </w:tblPr>
      <w:tblGrid>
        <w:gridCol w:w="867"/>
        <w:gridCol w:w="802"/>
        <w:gridCol w:w="802"/>
        <w:gridCol w:w="801"/>
        <w:gridCol w:w="801"/>
        <w:gridCol w:w="800"/>
        <w:gridCol w:w="871"/>
        <w:gridCol w:w="657"/>
        <w:gridCol w:w="657"/>
        <w:gridCol w:w="657"/>
        <w:gridCol w:w="657"/>
        <w:gridCol w:w="654"/>
      </w:tblGrid>
      <w:tr w:rsidR="00D85B35" w:rsidRPr="00912883" w:rsidTr="008772EC">
        <w:trPr>
          <w:trHeight w:val="300"/>
          <w:jc w:val="center"/>
        </w:trPr>
        <w:tc>
          <w:tcPr>
            <w:tcW w:w="5000" w:type="pct"/>
            <w:gridSpan w:val="12"/>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rPr>
                <w:rFonts w:eastAsia="Times New Roman" w:cs="Times New Roman"/>
                <w:color w:val="000000"/>
                <w:sz w:val="16"/>
                <w:szCs w:val="16"/>
                <w:lang w:eastAsia="en-GB"/>
              </w:rPr>
            </w:pPr>
            <w:r w:rsidRPr="00161115">
              <w:rPr>
                <w:rFonts w:eastAsia="Times New Roman" w:cs="Times New Roman"/>
                <w:b/>
                <w:color w:val="000000"/>
                <w:sz w:val="16"/>
                <w:szCs w:val="16"/>
                <w:lang w:eastAsia="en-GB"/>
              </w:rPr>
              <w:t>TABLE 6</w:t>
            </w:r>
            <w:r>
              <w:rPr>
                <w:rFonts w:eastAsia="Times New Roman" w:cs="Times New Roman"/>
                <w:color w:val="000000"/>
                <w:sz w:val="16"/>
                <w:szCs w:val="16"/>
                <w:lang w:eastAsia="en-GB"/>
              </w:rPr>
              <w:t>:</w:t>
            </w:r>
            <w:r w:rsidRPr="00EB01F2">
              <w:rPr>
                <w:rFonts w:eastAsia="Times New Roman" w:cs="Times New Roman"/>
                <w:b/>
                <w:color w:val="000000"/>
                <w:sz w:val="18"/>
                <w:szCs w:val="18"/>
                <w:lang w:eastAsia="en-GB"/>
              </w:rPr>
              <w:t xml:space="preserve"> The impact of aggregate consumption shocks on the ERP of the 25 value-weighted Fama-French portfolios</w:t>
            </w:r>
          </w:p>
        </w:tc>
      </w:tr>
      <w:tr w:rsidR="00D85B35" w:rsidRPr="00912883" w:rsidTr="008772EC">
        <w:trPr>
          <w:trHeight w:val="300"/>
          <w:jc w:val="center"/>
        </w:trPr>
        <w:tc>
          <w:tcPr>
            <w:tcW w:w="5000" w:type="pct"/>
            <w:gridSpan w:val="12"/>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Panel A: Loadings on Consumption Shocks</w:t>
            </w:r>
          </w:p>
        </w:tc>
      </w:tr>
      <w:tr w:rsidR="00D85B35" w:rsidRPr="00912883" w:rsidTr="00390D9E">
        <w:trPr>
          <w:trHeight w:val="300"/>
          <w:jc w:val="center"/>
        </w:trPr>
        <w:tc>
          <w:tcPr>
            <w:tcW w:w="499"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452"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Small</w:t>
            </w:r>
          </w:p>
        </w:tc>
        <w:tc>
          <w:tcPr>
            <w:tcW w:w="452"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2</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3</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4</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Large</w:t>
            </w:r>
          </w:p>
        </w:tc>
        <w:tc>
          <w:tcPr>
            <w:tcW w:w="499" w:type="pct"/>
            <w:tcBorders>
              <w:top w:val="single" w:sz="4" w:space="0" w:color="auto"/>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1743" w:type="pct"/>
            <w:gridSpan w:val="5"/>
            <w:tcBorders>
              <w:top w:val="single" w:sz="4" w:space="0" w:color="auto"/>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t</w:t>
            </w:r>
            <w:r w:rsidRPr="00912883">
              <w:rPr>
                <w:rFonts w:eastAsia="Times New Roman" w:cs="Times New Roman"/>
                <w:color w:val="000000"/>
                <w:sz w:val="16"/>
                <w:szCs w:val="16"/>
                <w:lang w:eastAsia="en-GB"/>
              </w:rPr>
              <w:t>-statistics</w:t>
            </w:r>
          </w:p>
        </w:tc>
      </w:tr>
      <w:tr w:rsidR="00D85B35" w:rsidRPr="00912883" w:rsidTr="00390D9E">
        <w:trPr>
          <w:trHeight w:val="300"/>
          <w:jc w:val="center"/>
        </w:trPr>
        <w:tc>
          <w:tcPr>
            <w:tcW w:w="49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Growth</w:t>
            </w:r>
          </w:p>
        </w:tc>
        <w:tc>
          <w:tcPr>
            <w:tcW w:w="452"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-1.66</w:t>
            </w:r>
            <w:r>
              <w:rPr>
                <w:rFonts w:eastAsia="Times New Roman" w:cs="Times New Roman"/>
                <w:color w:val="000000"/>
                <w:sz w:val="16"/>
                <w:szCs w:val="16"/>
                <w:vertAlign w:val="superscript"/>
                <w:lang w:eastAsia="en-GB"/>
              </w:rPr>
              <w:t>***</w:t>
            </w:r>
          </w:p>
        </w:tc>
        <w:tc>
          <w:tcPr>
            <w:tcW w:w="452"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-1.54</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-1.44</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-1.45</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-1.64</w:t>
            </w:r>
            <w:r>
              <w:rPr>
                <w:rFonts w:eastAsia="Times New Roman" w:cs="Times New Roman"/>
                <w:color w:val="000000"/>
                <w:sz w:val="16"/>
                <w:szCs w:val="16"/>
                <w:vertAlign w:val="superscript"/>
                <w:lang w:eastAsia="en-GB"/>
              </w:rPr>
              <w:t>***</w:t>
            </w:r>
          </w:p>
        </w:tc>
        <w:tc>
          <w:tcPr>
            <w:tcW w:w="499" w:type="pct"/>
            <w:tcBorders>
              <w:top w:val="single" w:sz="4" w:space="0" w:color="auto"/>
              <w:right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-1.55</w:t>
            </w:r>
          </w:p>
        </w:tc>
        <w:tc>
          <w:tcPr>
            <w:tcW w:w="349" w:type="pct"/>
            <w:tcBorders>
              <w:top w:val="single" w:sz="4" w:space="0" w:color="auto"/>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-5.03</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-4.79</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-3.81</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-3.11</w:t>
            </w:r>
          </w:p>
        </w:tc>
        <w:tc>
          <w:tcPr>
            <w:tcW w:w="347"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-5.10</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BM2</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-1.05</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-1.35</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-1.58</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-1.84</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-1.19</w:t>
            </w:r>
            <w:r>
              <w:rPr>
                <w:rFonts w:eastAsia="Times New Roman" w:cs="Times New Roman"/>
                <w:color w:val="000000"/>
                <w:sz w:val="16"/>
                <w:szCs w:val="16"/>
                <w:vertAlign w:val="superscript"/>
                <w:lang w:eastAsia="en-GB"/>
              </w:rPr>
              <w:t>***</w:t>
            </w:r>
          </w:p>
        </w:tc>
        <w:tc>
          <w:tcPr>
            <w:tcW w:w="499" w:type="pct"/>
            <w:tcBorders>
              <w:right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-1.40</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-2.87</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-3.92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-3.34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-3.97</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-3.12</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BM3</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-1.32</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-1.26</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-1.35</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-1.14</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-1.59</w:t>
            </w:r>
            <w:r>
              <w:rPr>
                <w:rFonts w:eastAsia="Times New Roman" w:cs="Times New Roman"/>
                <w:color w:val="000000"/>
                <w:sz w:val="16"/>
                <w:szCs w:val="16"/>
                <w:vertAlign w:val="superscript"/>
                <w:lang w:eastAsia="en-GB"/>
              </w:rPr>
              <w:t>***</w:t>
            </w:r>
          </w:p>
        </w:tc>
        <w:tc>
          <w:tcPr>
            <w:tcW w:w="499" w:type="pct"/>
            <w:tcBorders>
              <w:right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-1.33</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-4.77</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-3.04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-3.64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-2.65</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-4.16</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BM4</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-1.13</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-1.52</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-1.41</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-1.70</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-1.35</w:t>
            </w:r>
            <w:r>
              <w:rPr>
                <w:rFonts w:eastAsia="Times New Roman" w:cs="Times New Roman"/>
                <w:color w:val="000000"/>
                <w:sz w:val="16"/>
                <w:szCs w:val="16"/>
                <w:vertAlign w:val="superscript"/>
                <w:lang w:eastAsia="en-GB"/>
              </w:rPr>
              <w:t>***</w:t>
            </w:r>
          </w:p>
        </w:tc>
        <w:tc>
          <w:tcPr>
            <w:tcW w:w="499" w:type="pct"/>
            <w:tcBorders>
              <w:right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-1.42</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-4.03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-5.12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-4.69</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-4.31</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-4.00</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Value</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-1.22</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-1.77</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-1.91</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-1.72</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-1.29</w:t>
            </w:r>
            <w:r>
              <w:rPr>
                <w:rFonts w:eastAsia="Times New Roman" w:cs="Times New Roman"/>
                <w:color w:val="000000"/>
                <w:sz w:val="16"/>
                <w:szCs w:val="16"/>
                <w:vertAlign w:val="superscript"/>
                <w:lang w:eastAsia="en-GB"/>
              </w:rPr>
              <w:t>***</w:t>
            </w:r>
          </w:p>
        </w:tc>
        <w:tc>
          <w:tcPr>
            <w:tcW w:w="499" w:type="pct"/>
            <w:tcBorders>
              <w:right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-1.58</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-3.69</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-5.08</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-4.22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-4.06</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-7.10</w:t>
            </w:r>
          </w:p>
        </w:tc>
      </w:tr>
      <w:tr w:rsidR="00D85B35" w:rsidRPr="00912883" w:rsidTr="00390D9E">
        <w:trPr>
          <w:trHeight w:val="300"/>
          <w:jc w:val="center"/>
        </w:trPr>
        <w:tc>
          <w:tcPr>
            <w:tcW w:w="49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-1.28</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-1.49</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-1.54</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-1.57</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-1.41</w:t>
            </w:r>
          </w:p>
        </w:tc>
        <w:tc>
          <w:tcPr>
            <w:tcW w:w="499" w:type="pct"/>
            <w:tcBorders>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left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r>
      <w:tr w:rsidR="00D85B35" w:rsidRPr="00912883" w:rsidTr="008772EC">
        <w:trPr>
          <w:trHeight w:val="300"/>
          <w:jc w:val="center"/>
        </w:trPr>
        <w:tc>
          <w:tcPr>
            <w:tcW w:w="5000" w:type="pct"/>
            <w:gridSpan w:val="12"/>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Panel B: Loadings on SMB</w:t>
            </w:r>
          </w:p>
        </w:tc>
      </w:tr>
      <w:tr w:rsidR="00D85B35" w:rsidRPr="00912883" w:rsidTr="00390D9E">
        <w:trPr>
          <w:trHeight w:val="300"/>
          <w:jc w:val="center"/>
        </w:trPr>
        <w:tc>
          <w:tcPr>
            <w:tcW w:w="499"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452"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Small</w:t>
            </w:r>
          </w:p>
        </w:tc>
        <w:tc>
          <w:tcPr>
            <w:tcW w:w="452"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2</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3</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4</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Large</w:t>
            </w:r>
          </w:p>
        </w:tc>
        <w:tc>
          <w:tcPr>
            <w:tcW w:w="499" w:type="pct"/>
            <w:tcBorders>
              <w:top w:val="single" w:sz="4" w:space="0" w:color="auto"/>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1743" w:type="pct"/>
            <w:gridSpan w:val="5"/>
            <w:tcBorders>
              <w:top w:val="single" w:sz="4" w:space="0" w:color="auto"/>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t</w:t>
            </w:r>
            <w:r w:rsidRPr="00912883">
              <w:rPr>
                <w:rFonts w:eastAsia="Times New Roman" w:cs="Times New Roman"/>
                <w:color w:val="000000"/>
                <w:sz w:val="16"/>
                <w:szCs w:val="16"/>
                <w:lang w:eastAsia="en-GB"/>
              </w:rPr>
              <w:t>-statistics</w:t>
            </w:r>
          </w:p>
        </w:tc>
      </w:tr>
      <w:tr w:rsidR="00D85B35" w:rsidRPr="00912883" w:rsidTr="00390D9E">
        <w:trPr>
          <w:trHeight w:val="300"/>
          <w:jc w:val="center"/>
        </w:trPr>
        <w:tc>
          <w:tcPr>
            <w:tcW w:w="49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Growth</w:t>
            </w:r>
          </w:p>
        </w:tc>
        <w:tc>
          <w:tcPr>
            <w:tcW w:w="452"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1.31</w:t>
            </w:r>
            <w:r>
              <w:rPr>
                <w:rFonts w:eastAsia="Times New Roman" w:cs="Times New Roman"/>
                <w:color w:val="000000"/>
                <w:sz w:val="16"/>
                <w:szCs w:val="16"/>
                <w:vertAlign w:val="superscript"/>
                <w:lang w:eastAsia="en-GB"/>
              </w:rPr>
              <w:t>***</w:t>
            </w:r>
          </w:p>
        </w:tc>
        <w:tc>
          <w:tcPr>
            <w:tcW w:w="452"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1.12</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0.93</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0.62</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-0.01</w:t>
            </w:r>
          </w:p>
        </w:tc>
        <w:tc>
          <w:tcPr>
            <w:tcW w:w="499" w:type="pct"/>
            <w:tcBorders>
              <w:top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0.80</w:t>
            </w:r>
          </w:p>
        </w:tc>
        <w:tc>
          <w:tcPr>
            <w:tcW w:w="349" w:type="pct"/>
            <w:tcBorders>
              <w:top w:val="single" w:sz="4" w:space="0" w:color="auto"/>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5.13</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6.60</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7.68</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3.63</w:t>
            </w:r>
          </w:p>
        </w:tc>
        <w:tc>
          <w:tcPr>
            <w:tcW w:w="347"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BM2</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1.28</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1.30</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1.02</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0.76</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0.04</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0.88</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9.41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8.71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6.20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4.81</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0.25</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BM3</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1.14</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0.94</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0.98</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0.73</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0.17</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0.79</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9.61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6.56</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5.91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5.03</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1.54</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BM4</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1.22</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0.97</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0.98</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0.66</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0.07</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0.78</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10.69</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10.00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6.94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3.21</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0.50</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Value</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1.14</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1.23</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1.03</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0.93</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-0.28</w:t>
            </w:r>
            <w:r>
              <w:rPr>
                <w:rFonts w:eastAsia="Times New Roman" w:cs="Times New Roman"/>
                <w:color w:val="000000"/>
                <w:sz w:val="16"/>
                <w:szCs w:val="16"/>
                <w:vertAlign w:val="superscript"/>
                <w:lang w:eastAsia="en-GB"/>
              </w:rPr>
              <w:t>*</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0.81</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8.40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8.55</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8.40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5.34</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-1.83</w:t>
            </w:r>
          </w:p>
        </w:tc>
      </w:tr>
      <w:tr w:rsidR="00D85B35" w:rsidRPr="00912883" w:rsidTr="00390D9E">
        <w:trPr>
          <w:trHeight w:val="300"/>
          <w:jc w:val="center"/>
        </w:trPr>
        <w:tc>
          <w:tcPr>
            <w:tcW w:w="49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1.22</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1.11</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0.99</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0.74</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-0.003</w:t>
            </w:r>
          </w:p>
        </w:tc>
        <w:tc>
          <w:tcPr>
            <w:tcW w:w="499" w:type="pct"/>
            <w:tcBorders>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left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r>
      <w:tr w:rsidR="00D85B35" w:rsidRPr="00912883" w:rsidTr="008772EC">
        <w:trPr>
          <w:trHeight w:val="300"/>
          <w:jc w:val="center"/>
        </w:trPr>
        <w:tc>
          <w:tcPr>
            <w:tcW w:w="5000" w:type="pct"/>
            <w:gridSpan w:val="12"/>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Panel C: Loadings on HML</w:t>
            </w:r>
          </w:p>
        </w:tc>
      </w:tr>
      <w:tr w:rsidR="00D85B35" w:rsidRPr="00912883" w:rsidTr="00390D9E">
        <w:trPr>
          <w:trHeight w:val="300"/>
          <w:jc w:val="center"/>
        </w:trPr>
        <w:tc>
          <w:tcPr>
            <w:tcW w:w="499"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452"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Small</w:t>
            </w:r>
          </w:p>
        </w:tc>
        <w:tc>
          <w:tcPr>
            <w:tcW w:w="452"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2</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3</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4</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Large</w:t>
            </w:r>
          </w:p>
        </w:tc>
        <w:tc>
          <w:tcPr>
            <w:tcW w:w="499" w:type="pct"/>
            <w:tcBorders>
              <w:top w:val="single" w:sz="4" w:space="0" w:color="auto"/>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1743" w:type="pct"/>
            <w:gridSpan w:val="5"/>
            <w:tcBorders>
              <w:top w:val="single" w:sz="4" w:space="0" w:color="auto"/>
              <w:left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t</w:t>
            </w:r>
            <w:r w:rsidRPr="00912883">
              <w:rPr>
                <w:rFonts w:eastAsia="Times New Roman" w:cs="Times New Roman"/>
                <w:color w:val="000000"/>
                <w:sz w:val="16"/>
                <w:szCs w:val="16"/>
                <w:lang w:eastAsia="en-GB"/>
              </w:rPr>
              <w:t>-statistics</w:t>
            </w:r>
          </w:p>
        </w:tc>
      </w:tr>
      <w:tr w:rsidR="00D85B35" w:rsidRPr="00912883" w:rsidTr="00390D9E">
        <w:trPr>
          <w:trHeight w:val="300"/>
          <w:jc w:val="center"/>
        </w:trPr>
        <w:tc>
          <w:tcPr>
            <w:tcW w:w="49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Growth</w:t>
            </w:r>
          </w:p>
        </w:tc>
        <w:tc>
          <w:tcPr>
            <w:tcW w:w="452"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-0.57</w:t>
            </w:r>
            <w:r>
              <w:rPr>
                <w:rFonts w:eastAsia="Times New Roman" w:cs="Times New Roman"/>
                <w:color w:val="000000"/>
                <w:sz w:val="16"/>
                <w:szCs w:val="16"/>
                <w:vertAlign w:val="superscript"/>
                <w:lang w:eastAsia="en-GB"/>
              </w:rPr>
              <w:t>**</w:t>
            </w:r>
          </w:p>
        </w:tc>
        <w:tc>
          <w:tcPr>
            <w:tcW w:w="452"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-1.02</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-0.88</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-0.65</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-0.53</w:t>
            </w:r>
            <w:r>
              <w:rPr>
                <w:rFonts w:eastAsia="Times New Roman" w:cs="Times New Roman"/>
                <w:color w:val="000000"/>
                <w:sz w:val="16"/>
                <w:szCs w:val="16"/>
                <w:vertAlign w:val="superscript"/>
                <w:lang w:eastAsia="en-GB"/>
              </w:rPr>
              <w:t>***</w:t>
            </w:r>
          </w:p>
        </w:tc>
        <w:tc>
          <w:tcPr>
            <w:tcW w:w="499" w:type="pct"/>
            <w:tcBorders>
              <w:top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-0.73</w:t>
            </w:r>
          </w:p>
        </w:tc>
        <w:tc>
          <w:tcPr>
            <w:tcW w:w="349" w:type="pct"/>
            <w:tcBorders>
              <w:top w:val="single" w:sz="4" w:space="0" w:color="auto"/>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-2.07</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-2.64</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-2.31</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-2.63</w:t>
            </w:r>
          </w:p>
        </w:tc>
        <w:tc>
          <w:tcPr>
            <w:tcW w:w="347"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-4.48</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BM2</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-0.29</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-0.22</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0.42</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0.35</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0.30</w:t>
            </w:r>
            <w:r>
              <w:rPr>
                <w:rFonts w:eastAsia="Times New Roman" w:cs="Times New Roman"/>
                <w:color w:val="000000"/>
                <w:sz w:val="16"/>
                <w:szCs w:val="16"/>
                <w:vertAlign w:val="superscript"/>
                <w:lang w:eastAsia="en-GB"/>
              </w:rPr>
              <w:t>*</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0.11</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-2.00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-1.24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3.23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2.20</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1.84</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BM3</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-0.02</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0.19</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0.27</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0.21</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0.04</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0.14</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1.30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1.64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1.61</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0.19</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BM4</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0.32</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0.30</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-0.44</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-0.06</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-0.25</w:t>
            </w:r>
            <w:r>
              <w:rPr>
                <w:rFonts w:eastAsia="Times New Roman" w:cs="Times New Roman"/>
                <w:color w:val="000000"/>
                <w:sz w:val="16"/>
                <w:szCs w:val="16"/>
                <w:vertAlign w:val="superscript"/>
                <w:lang w:eastAsia="en-GB"/>
              </w:rPr>
              <w:t>*</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-0.03</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2.62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2.69</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-2.01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-0.40</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-1.78</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Value</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0.47</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0.60</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0.57</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0.55</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0.17</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0.47</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4.18</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2.70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4.56</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3.62</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0.47</w:t>
            </w:r>
          </w:p>
        </w:tc>
      </w:tr>
      <w:tr w:rsidR="00D85B35" w:rsidRPr="00912883" w:rsidTr="00390D9E">
        <w:trPr>
          <w:trHeight w:val="300"/>
          <w:jc w:val="center"/>
        </w:trPr>
        <w:tc>
          <w:tcPr>
            <w:tcW w:w="49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-0.02</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-0.03</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-0.01</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0.08</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c>
          <w:tcPr>
            <w:tcW w:w="499" w:type="pct"/>
            <w:tcBorders>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left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r>
      <w:tr w:rsidR="00D85B35" w:rsidRPr="00912883" w:rsidTr="008772EC">
        <w:trPr>
          <w:trHeight w:val="300"/>
          <w:jc w:val="center"/>
        </w:trPr>
        <w:tc>
          <w:tcPr>
            <w:tcW w:w="5000" w:type="pct"/>
            <w:gridSpan w:val="12"/>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Panel D: Loadings on UMD</w:t>
            </w:r>
          </w:p>
        </w:tc>
      </w:tr>
      <w:tr w:rsidR="00D85B35" w:rsidRPr="00912883" w:rsidTr="00390D9E">
        <w:trPr>
          <w:trHeight w:val="300"/>
          <w:jc w:val="center"/>
        </w:trPr>
        <w:tc>
          <w:tcPr>
            <w:tcW w:w="499"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Small</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2</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3</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4</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Large</w:t>
            </w:r>
          </w:p>
        </w:tc>
        <w:tc>
          <w:tcPr>
            <w:tcW w:w="499" w:type="pct"/>
            <w:tcBorders>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1743" w:type="pct"/>
            <w:gridSpan w:val="5"/>
            <w:tcBorders>
              <w:left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t</w:t>
            </w:r>
            <w:r w:rsidRPr="00912883">
              <w:rPr>
                <w:rFonts w:eastAsia="Times New Roman" w:cs="Times New Roman"/>
                <w:color w:val="000000"/>
                <w:sz w:val="16"/>
                <w:szCs w:val="16"/>
                <w:lang w:eastAsia="en-GB"/>
              </w:rPr>
              <w:t>-statistics</w:t>
            </w:r>
          </w:p>
        </w:tc>
      </w:tr>
      <w:tr w:rsidR="00D85B35" w:rsidRPr="00912883" w:rsidTr="00390D9E">
        <w:trPr>
          <w:trHeight w:val="300"/>
          <w:jc w:val="center"/>
        </w:trPr>
        <w:tc>
          <w:tcPr>
            <w:tcW w:w="49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Growth</w:t>
            </w:r>
          </w:p>
        </w:tc>
        <w:tc>
          <w:tcPr>
            <w:tcW w:w="452"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0.01</w:t>
            </w:r>
          </w:p>
        </w:tc>
        <w:tc>
          <w:tcPr>
            <w:tcW w:w="452"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-0.08</w:t>
            </w:r>
          </w:p>
        </w:tc>
        <w:tc>
          <w:tcPr>
            <w:tcW w:w="451"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-0.19</w:t>
            </w:r>
          </w:p>
        </w:tc>
        <w:tc>
          <w:tcPr>
            <w:tcW w:w="451"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c>
          <w:tcPr>
            <w:tcW w:w="451"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-0.08</w:t>
            </w:r>
          </w:p>
        </w:tc>
        <w:tc>
          <w:tcPr>
            <w:tcW w:w="499" w:type="pct"/>
            <w:tcBorders>
              <w:top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-0.08</w:t>
            </w:r>
          </w:p>
        </w:tc>
        <w:tc>
          <w:tcPr>
            <w:tcW w:w="349" w:type="pct"/>
            <w:tcBorders>
              <w:top w:val="single" w:sz="4" w:space="0" w:color="auto"/>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0.03</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-0.47</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-0.64</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-0.23</w:t>
            </w:r>
          </w:p>
        </w:tc>
        <w:tc>
          <w:tcPr>
            <w:tcW w:w="347"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-0.81</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BM2</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-0.07</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-0.15</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-0.04</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-0.12</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0.02</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-0.07</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-0.45</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-1.06</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-0.39</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-0.85</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0.14</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BM3</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-0.04</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0.08</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0.00</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0.15</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-0.23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0.42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0.63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0.03</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0.92</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BM4</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-0.02</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0.03</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-0.16</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-0.06</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0.36</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-0.98</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-0.31</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-0.43</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Value</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-0.03</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0.00</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-0.19</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-0.25</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-0.10</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-0.32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-0.50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-1.55</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-0.99</w:t>
            </w:r>
          </w:p>
        </w:tc>
      </w:tr>
      <w:tr w:rsidR="00D85B35" w:rsidRPr="00912883" w:rsidTr="00390D9E">
        <w:trPr>
          <w:trHeight w:val="300"/>
          <w:jc w:val="center"/>
        </w:trPr>
        <w:tc>
          <w:tcPr>
            <w:tcW w:w="49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-0.03</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-0.04</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-0.06</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-0.08</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-0.04</w:t>
            </w:r>
          </w:p>
        </w:tc>
        <w:tc>
          <w:tcPr>
            <w:tcW w:w="499" w:type="pct"/>
            <w:tcBorders>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left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r>
      <w:tr w:rsidR="00D85B35" w:rsidRPr="00912883" w:rsidTr="008772EC">
        <w:trPr>
          <w:trHeight w:val="300"/>
          <w:jc w:val="center"/>
        </w:trPr>
        <w:tc>
          <w:tcPr>
            <w:tcW w:w="3257" w:type="pct"/>
            <w:gridSpan w:val="7"/>
            <w:tcBorders>
              <w:top w:val="single" w:sz="4" w:space="0" w:color="auto"/>
              <w:bottom w:val="single" w:sz="4" w:space="0" w:color="auto"/>
            </w:tcBorders>
            <w:shd w:val="clear" w:color="auto" w:fill="auto"/>
            <w:noWrap/>
            <w:vAlign w:val="center"/>
            <w:hideMark/>
          </w:tcPr>
          <w:p w:rsidR="00D85B35" w:rsidRPr="00912883" w:rsidRDefault="00CC4CCE"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 xml:space="preserve">Adjusted </w:t>
            </w:r>
            <w:r w:rsidR="00D85B35" w:rsidRPr="00912883">
              <w:rPr>
                <w:rFonts w:eastAsia="Times New Roman" w:cs="Times New Roman"/>
                <w:color w:val="000000"/>
                <w:sz w:val="16"/>
                <w:szCs w:val="16"/>
                <w:lang w:eastAsia="en-GB"/>
              </w:rPr>
              <w:t>R-squared</w:t>
            </w:r>
          </w:p>
        </w:tc>
        <w:tc>
          <w:tcPr>
            <w:tcW w:w="1743" w:type="pct"/>
            <w:gridSpan w:val="5"/>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F-statistics</w:t>
            </w:r>
          </w:p>
        </w:tc>
      </w:tr>
      <w:tr w:rsidR="00D85B35" w:rsidRPr="00912883" w:rsidTr="00390D9E">
        <w:trPr>
          <w:trHeight w:val="300"/>
          <w:jc w:val="center"/>
        </w:trPr>
        <w:tc>
          <w:tcPr>
            <w:tcW w:w="49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452"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Small</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2</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3</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4</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Large</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349" w:type="pct"/>
            <w:tcBorders>
              <w:top w:val="single" w:sz="4" w:space="0" w:color="auto"/>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sz w:val="16"/>
                <w:szCs w:val="16"/>
                <w:lang w:eastAsia="en-GB"/>
              </w:rPr>
            </w:pP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sz w:val="16"/>
                <w:szCs w:val="16"/>
                <w:lang w:eastAsia="en-GB"/>
              </w:rPr>
            </w:pPr>
          </w:p>
        </w:tc>
        <w:tc>
          <w:tcPr>
            <w:tcW w:w="347"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Growth</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51.48%</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57.10%</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50.46%</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35.22%</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40.22%</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46.90%</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26.73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33.28</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25.70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14.18</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17.32</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BM2</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57.04%</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54.20%</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52.89%</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42.09%</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10.89%</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43.42%</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33.20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29.69</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28.22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18.63</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3.96</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BM3</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57.54%</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41.67%</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42.53%</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29.83%</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12.43%</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36.80%</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33.87</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18.32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18.95</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11.31</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4.44</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BM4</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59.06%</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56.23%</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53.04%</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33.89%</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18.27%</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44.10%</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35.98</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32.15</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28.39</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13.43</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6.42</w:t>
            </w:r>
          </w:p>
        </w:tc>
      </w:tr>
      <w:tr w:rsidR="00D85B35" w:rsidRPr="00912883" w:rsidTr="00390D9E">
        <w:trPr>
          <w:trHeight w:val="300"/>
          <w:jc w:val="center"/>
        </w:trPr>
        <w:tc>
          <w:tcPr>
            <w:tcW w:w="49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Value</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65.45%</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60.18%</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56.87%</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51.20%</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21.05%</w:t>
            </w:r>
          </w:p>
        </w:tc>
        <w:tc>
          <w:tcPr>
            <w:tcW w:w="499"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50.95%</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46.93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37.65</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32.98</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26.44</w:t>
            </w:r>
          </w:p>
        </w:tc>
        <w:tc>
          <w:tcPr>
            <w:tcW w:w="347"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7.46</w:t>
            </w:r>
          </w:p>
        </w:tc>
      </w:tr>
      <w:tr w:rsidR="00D85B35" w:rsidRPr="00912883" w:rsidTr="00390D9E">
        <w:trPr>
          <w:trHeight w:val="300"/>
          <w:jc w:val="center"/>
        </w:trPr>
        <w:tc>
          <w:tcPr>
            <w:tcW w:w="49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58.11%</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53.88%</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51.16%</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38.45%</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20.57%</w:t>
            </w:r>
          </w:p>
        </w:tc>
        <w:tc>
          <w:tcPr>
            <w:tcW w:w="499" w:type="pct"/>
            <w:tcBorders>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left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7"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r>
      <w:tr w:rsidR="00390D9E" w:rsidRPr="00912883" w:rsidTr="00390D9E">
        <w:trPr>
          <w:trHeight w:val="300"/>
          <w:jc w:val="center"/>
        </w:trPr>
        <w:tc>
          <w:tcPr>
            <w:tcW w:w="5000" w:type="pct"/>
            <w:gridSpan w:val="12"/>
            <w:tcBorders>
              <w:top w:val="single" w:sz="4" w:space="0" w:color="auto"/>
            </w:tcBorders>
            <w:shd w:val="clear" w:color="auto" w:fill="auto"/>
            <w:noWrap/>
            <w:vAlign w:val="center"/>
          </w:tcPr>
          <w:p w:rsidR="00390D9E" w:rsidRPr="00912883" w:rsidRDefault="00390D9E" w:rsidP="00390D9E">
            <w:pPr>
              <w:spacing w:after="0"/>
              <w:rPr>
                <w:rFonts w:eastAsia="Times New Roman" w:cs="Times New Roman"/>
                <w:color w:val="000000"/>
                <w:sz w:val="16"/>
                <w:szCs w:val="16"/>
                <w:lang w:eastAsia="en-GB"/>
              </w:rPr>
            </w:pPr>
            <w:r>
              <w:rPr>
                <w:rFonts w:cs="Times New Roman"/>
                <w:color w:val="000000"/>
                <w:sz w:val="18"/>
                <w:szCs w:val="18"/>
              </w:rPr>
              <w:t>Note</w:t>
            </w:r>
            <w:r w:rsidR="00D656E7">
              <w:rPr>
                <w:rFonts w:cs="Times New Roman"/>
                <w:color w:val="000000"/>
                <w:sz w:val="18"/>
                <w:szCs w:val="18"/>
              </w:rPr>
              <w:t>s</w:t>
            </w:r>
            <w:r>
              <w:rPr>
                <w:rFonts w:cs="Times New Roman"/>
                <w:color w:val="000000"/>
                <w:sz w:val="18"/>
                <w:szCs w:val="18"/>
              </w:rPr>
              <w:t xml:space="preserve">: Note: </w:t>
            </w:r>
            <w:r>
              <w:rPr>
                <w:rFonts w:eastAsia="Times New Roman" w:cs="Times New Roman"/>
                <w:color w:val="000000"/>
                <w:sz w:val="18"/>
                <w:szCs w:val="18"/>
                <w:lang w:eastAsia="en-GB"/>
              </w:rPr>
              <w:t>The dependent variable is the ERP of the 25 Fama-French portfolios. The independent variables are consumption shocks, SMB, HML and UMD. The model estimated is (15). The table reports quarterly estimates of the coefficients. The t-statistics computed using Newey-West heteroskedastic-robust standard errors with 4 lags (initial pre-whitening using 2 lags). Adjusted sample period is 1990Q2 – 2014Q3</w:t>
            </w:r>
          </w:p>
        </w:tc>
      </w:tr>
    </w:tbl>
    <w:p w:rsidR="00D85B35" w:rsidRDefault="00D85B35"/>
    <w:p w:rsidR="00D85B35" w:rsidRDefault="00D85B35"/>
    <w:tbl>
      <w:tblPr>
        <w:tblW w:w="5000" w:type="pct"/>
        <w:tblLook w:val="04A0" w:firstRow="1" w:lastRow="0" w:firstColumn="1" w:lastColumn="0" w:noHBand="0" w:noVBand="1"/>
      </w:tblPr>
      <w:tblGrid>
        <w:gridCol w:w="2715"/>
        <w:gridCol w:w="1223"/>
        <w:gridCol w:w="1506"/>
        <w:gridCol w:w="1597"/>
        <w:gridCol w:w="1985"/>
      </w:tblGrid>
      <w:tr w:rsidR="00D85B35" w:rsidRPr="00F52E08" w:rsidTr="008772EC">
        <w:trPr>
          <w:trHeight w:val="300"/>
        </w:trPr>
        <w:tc>
          <w:tcPr>
            <w:tcW w:w="5000" w:type="pct"/>
            <w:gridSpan w:val="5"/>
            <w:tcBorders>
              <w:top w:val="single" w:sz="4" w:space="0" w:color="auto"/>
              <w:left w:val="nil"/>
              <w:bottom w:val="nil"/>
              <w:right w:val="nil"/>
            </w:tcBorders>
            <w:shd w:val="clear" w:color="auto" w:fill="auto"/>
            <w:noWrap/>
            <w:vAlign w:val="center"/>
          </w:tcPr>
          <w:p w:rsidR="00D85B35" w:rsidRPr="003744D4" w:rsidRDefault="00D85B35" w:rsidP="008772EC">
            <w:pPr>
              <w:spacing w:after="0"/>
              <w:rPr>
                <w:rFonts w:eastAsia="Times New Roman" w:cs="Times New Roman"/>
                <w:b/>
                <w:color w:val="000000"/>
                <w:sz w:val="20"/>
                <w:szCs w:val="20"/>
                <w:lang w:eastAsia="en-GB"/>
              </w:rPr>
            </w:pPr>
            <w:r>
              <w:rPr>
                <w:rFonts w:eastAsia="Times New Roman" w:cs="Times New Roman"/>
                <w:b/>
                <w:color w:val="000000"/>
                <w:sz w:val="20"/>
                <w:szCs w:val="20"/>
                <w:lang w:eastAsia="en-GB"/>
              </w:rPr>
              <w:t>Table 7</w:t>
            </w:r>
            <w:r w:rsidR="00390D9E">
              <w:rPr>
                <w:rFonts w:eastAsia="Times New Roman" w:cs="Times New Roman"/>
                <w:b/>
                <w:color w:val="000000"/>
                <w:sz w:val="20"/>
                <w:szCs w:val="20"/>
                <w:lang w:eastAsia="en-GB"/>
              </w:rPr>
              <w:t>: Pricing of Consumption Shocks</w:t>
            </w:r>
          </w:p>
        </w:tc>
      </w:tr>
      <w:tr w:rsidR="00D85B35" w:rsidRPr="00F52E08" w:rsidTr="00390D9E">
        <w:trPr>
          <w:trHeight w:val="300"/>
        </w:trPr>
        <w:tc>
          <w:tcPr>
            <w:tcW w:w="1547"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650"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1</w:t>
            </w:r>
          </w:p>
        </w:tc>
        <w:tc>
          <w:tcPr>
            <w:tcW w:w="820"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2</w:t>
            </w:r>
          </w:p>
        </w:tc>
        <w:tc>
          <w:tcPr>
            <w:tcW w:w="875"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3</w:t>
            </w:r>
          </w:p>
        </w:tc>
        <w:tc>
          <w:tcPr>
            <w:tcW w:w="1108"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4</w:t>
            </w:r>
          </w:p>
        </w:tc>
      </w:tr>
      <w:tr w:rsidR="00D85B35" w:rsidRPr="00F52E08" w:rsidTr="00390D9E">
        <w:trPr>
          <w:trHeight w:val="300"/>
        </w:trPr>
        <w:tc>
          <w:tcPr>
            <w:tcW w:w="1547" w:type="pct"/>
            <w:tcBorders>
              <w:top w:val="single" w:sz="4" w:space="0" w:color="auto"/>
              <w:left w:val="nil"/>
              <w:bottom w:val="nil"/>
              <w:right w:val="nil"/>
            </w:tcBorders>
            <w:shd w:val="clear" w:color="auto" w:fill="auto"/>
            <w:noWrap/>
            <w:vAlign w:val="center"/>
            <w:hideMark/>
          </w:tcPr>
          <w:p w:rsidR="00D85B35" w:rsidRPr="00F52E08" w:rsidRDefault="005E14F1" w:rsidP="008772EC">
            <w:pPr>
              <w:spacing w:after="0"/>
              <w:jc w:val="center"/>
              <w:rPr>
                <w:rFonts w:eastAsia="Times New Roman" w:cs="Times New Roman"/>
                <w:color w:val="000000"/>
                <w:sz w:val="20"/>
                <w:szCs w:val="20"/>
                <w:lang w:eastAsia="en-GB"/>
              </w:rPr>
            </w:pPr>
            <m:oMathPara>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γ</m:t>
                    </m:r>
                  </m:e>
                  <m:sub>
                    <m:r>
                      <w:rPr>
                        <w:rFonts w:ascii="Cambria Math" w:hAnsi="Cambria Math" w:cs="Times New Roman"/>
                        <w:color w:val="000000"/>
                        <w:sz w:val="20"/>
                        <w:szCs w:val="20"/>
                      </w:rPr>
                      <m:t>0</m:t>
                    </m:r>
                  </m:sub>
                </m:sSub>
              </m:oMath>
            </m:oMathPara>
          </w:p>
        </w:tc>
        <w:tc>
          <w:tcPr>
            <w:tcW w:w="650" w:type="pct"/>
            <w:tcBorders>
              <w:top w:val="single" w:sz="4" w:space="0" w:color="auto"/>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0.45</w:t>
            </w:r>
            <w:r>
              <w:rPr>
                <w:rFonts w:eastAsia="Times New Roman" w:cs="Times New Roman"/>
                <w:color w:val="000000"/>
                <w:sz w:val="20"/>
                <w:szCs w:val="20"/>
                <w:vertAlign w:val="superscript"/>
                <w:lang w:eastAsia="en-GB"/>
              </w:rPr>
              <w:t>**</w:t>
            </w:r>
          </w:p>
        </w:tc>
        <w:tc>
          <w:tcPr>
            <w:tcW w:w="820" w:type="pct"/>
            <w:tcBorders>
              <w:top w:val="single" w:sz="4" w:space="0" w:color="auto"/>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0.48</w:t>
            </w:r>
          </w:p>
        </w:tc>
        <w:tc>
          <w:tcPr>
            <w:tcW w:w="875" w:type="pct"/>
            <w:tcBorders>
              <w:top w:val="single" w:sz="4" w:space="0" w:color="auto"/>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0.6</w:t>
            </w:r>
            <w:r w:rsidRPr="00F52E08">
              <w:rPr>
                <w:rFonts w:eastAsia="Times New Roman" w:cs="Times New Roman"/>
                <w:color w:val="000000"/>
                <w:sz w:val="20"/>
                <w:szCs w:val="20"/>
                <w:lang w:eastAsia="en-GB"/>
              </w:rPr>
              <w:t>0</w:t>
            </w:r>
            <w:r>
              <w:rPr>
                <w:rFonts w:eastAsia="Times New Roman" w:cs="Times New Roman"/>
                <w:color w:val="000000"/>
                <w:sz w:val="20"/>
                <w:szCs w:val="20"/>
                <w:vertAlign w:val="superscript"/>
                <w:lang w:eastAsia="en-GB"/>
              </w:rPr>
              <w:t>***</w:t>
            </w:r>
          </w:p>
        </w:tc>
        <w:tc>
          <w:tcPr>
            <w:tcW w:w="1108" w:type="pct"/>
            <w:tcBorders>
              <w:top w:val="single" w:sz="4" w:space="0" w:color="auto"/>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0.55</w:t>
            </w:r>
            <w:r>
              <w:rPr>
                <w:rFonts w:eastAsia="Times New Roman" w:cs="Times New Roman"/>
                <w:color w:val="000000"/>
                <w:sz w:val="20"/>
                <w:szCs w:val="20"/>
                <w:vertAlign w:val="superscript"/>
                <w:lang w:eastAsia="en-GB"/>
              </w:rPr>
              <w:t>***</w:t>
            </w:r>
          </w:p>
        </w:tc>
      </w:tr>
      <w:tr w:rsidR="00D85B35" w:rsidRPr="00F52E08" w:rsidTr="00390D9E">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(2.42)</w:t>
            </w: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(1.70)</w:t>
            </w: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(4.35)</w:t>
            </w:r>
          </w:p>
        </w:tc>
        <w:tc>
          <w:tcPr>
            <w:tcW w:w="110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(3.22)</w:t>
            </w:r>
          </w:p>
        </w:tc>
      </w:tr>
      <w:tr w:rsidR="00D85B35" w:rsidRPr="00F52E08" w:rsidTr="00390D9E">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Aggregate Consumption shocks</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0.06</w:t>
            </w: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-0.07</w:t>
            </w: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0.08</w:t>
            </w:r>
          </w:p>
        </w:tc>
        <w:tc>
          <w:tcPr>
            <w:tcW w:w="110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0.09</w:t>
            </w:r>
          </w:p>
        </w:tc>
      </w:tr>
      <w:tr w:rsidR="00D85B35" w:rsidRPr="00F52E08" w:rsidTr="00390D9E">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(0.61)</w:t>
            </w: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(-0.61)</w:t>
            </w: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(0.90)</w:t>
            </w:r>
          </w:p>
        </w:tc>
        <w:tc>
          <w:tcPr>
            <w:tcW w:w="110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(0.90)</w:t>
            </w:r>
          </w:p>
        </w:tc>
      </w:tr>
      <w:tr w:rsidR="00D85B35" w:rsidRPr="00F52E08" w:rsidTr="00390D9E">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Market premium</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0.07</w:t>
            </w: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110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-0.06</w:t>
            </w:r>
          </w:p>
        </w:tc>
      </w:tr>
      <w:tr w:rsidR="00D85B35" w:rsidRPr="00F52E08" w:rsidTr="00390D9E">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(0.29)</w:t>
            </w: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110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(-0.33)</w:t>
            </w:r>
          </w:p>
        </w:tc>
      </w:tr>
      <w:tr w:rsidR="00D85B35" w:rsidRPr="00F52E08" w:rsidTr="00390D9E">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Size premium</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75" w:type="pct"/>
            <w:tcBorders>
              <w:top w:val="nil"/>
              <w:left w:val="nil"/>
              <w:bottom w:val="nil"/>
              <w:right w:val="nil"/>
            </w:tcBorders>
            <w:shd w:val="clear" w:color="auto" w:fill="auto"/>
            <w:noWrap/>
            <w:vAlign w:val="center"/>
            <w:hideMark/>
          </w:tcPr>
          <w:p w:rsidR="00D85B35" w:rsidRPr="00446F8F"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0.11</w:t>
            </w:r>
            <w:r>
              <w:rPr>
                <w:rFonts w:eastAsia="Times New Roman" w:cs="Times New Roman"/>
                <w:color w:val="000000"/>
                <w:sz w:val="20"/>
                <w:szCs w:val="20"/>
                <w:vertAlign w:val="superscript"/>
                <w:lang w:eastAsia="en-GB"/>
              </w:rPr>
              <w:t>***</w:t>
            </w:r>
          </w:p>
        </w:tc>
        <w:tc>
          <w:tcPr>
            <w:tcW w:w="1108" w:type="pct"/>
            <w:tcBorders>
              <w:top w:val="nil"/>
              <w:left w:val="nil"/>
              <w:bottom w:val="nil"/>
              <w:right w:val="nil"/>
            </w:tcBorders>
            <w:shd w:val="clear" w:color="auto" w:fill="auto"/>
            <w:noWrap/>
            <w:vAlign w:val="center"/>
            <w:hideMark/>
          </w:tcPr>
          <w:p w:rsidR="00D85B35" w:rsidRPr="00446F8F"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0.11</w:t>
            </w:r>
            <w:r>
              <w:rPr>
                <w:rFonts w:eastAsia="Times New Roman" w:cs="Times New Roman"/>
                <w:color w:val="000000"/>
                <w:sz w:val="20"/>
                <w:szCs w:val="20"/>
                <w:vertAlign w:val="superscript"/>
                <w:lang w:eastAsia="en-GB"/>
              </w:rPr>
              <w:t>**</w:t>
            </w:r>
          </w:p>
        </w:tc>
      </w:tr>
      <w:tr w:rsidR="00D85B35" w:rsidRPr="00F52E08" w:rsidTr="00390D9E">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(2.77)</w:t>
            </w:r>
          </w:p>
        </w:tc>
        <w:tc>
          <w:tcPr>
            <w:tcW w:w="110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(2.37)</w:t>
            </w:r>
          </w:p>
        </w:tc>
      </w:tr>
      <w:tr w:rsidR="00D85B35" w:rsidRPr="00F52E08" w:rsidTr="00390D9E">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Value Premium</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0.21</w:t>
            </w:r>
            <w:r>
              <w:rPr>
                <w:rFonts w:eastAsia="Times New Roman" w:cs="Times New Roman"/>
                <w:color w:val="000000"/>
                <w:sz w:val="20"/>
                <w:szCs w:val="20"/>
                <w:vertAlign w:val="superscript"/>
                <w:lang w:eastAsia="en-GB"/>
              </w:rPr>
              <w:t>***</w:t>
            </w:r>
          </w:p>
        </w:tc>
        <w:tc>
          <w:tcPr>
            <w:tcW w:w="110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sidRPr="00F52E08">
              <w:rPr>
                <w:rFonts w:eastAsia="Times New Roman" w:cs="Times New Roman"/>
                <w:color w:val="000000"/>
                <w:sz w:val="20"/>
                <w:szCs w:val="20"/>
                <w:lang w:eastAsia="en-GB"/>
              </w:rPr>
              <w:t>0.21</w:t>
            </w:r>
            <w:r>
              <w:rPr>
                <w:rFonts w:eastAsia="Times New Roman" w:cs="Times New Roman"/>
                <w:color w:val="000000"/>
                <w:sz w:val="20"/>
                <w:szCs w:val="20"/>
                <w:vertAlign w:val="superscript"/>
                <w:lang w:eastAsia="en-GB"/>
              </w:rPr>
              <w:t>***</w:t>
            </w:r>
          </w:p>
        </w:tc>
      </w:tr>
      <w:tr w:rsidR="00D85B35" w:rsidRPr="00F52E08" w:rsidTr="00390D9E">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(4.69)</w:t>
            </w:r>
          </w:p>
        </w:tc>
        <w:tc>
          <w:tcPr>
            <w:tcW w:w="110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(5.49)</w:t>
            </w:r>
          </w:p>
        </w:tc>
      </w:tr>
      <w:tr w:rsidR="00D85B35" w:rsidRPr="00F52E08" w:rsidTr="00390D9E">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Momentum Premium</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75" w:type="pct"/>
            <w:tcBorders>
              <w:top w:val="nil"/>
              <w:left w:val="nil"/>
              <w:bottom w:val="nil"/>
              <w:right w:val="nil"/>
            </w:tcBorders>
            <w:shd w:val="clear" w:color="auto" w:fill="auto"/>
            <w:noWrap/>
            <w:vAlign w:val="center"/>
            <w:hideMark/>
          </w:tcPr>
          <w:p w:rsidR="00D85B35" w:rsidRPr="00446F8F"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0.22</w:t>
            </w:r>
            <w:r>
              <w:rPr>
                <w:rFonts w:eastAsia="Times New Roman" w:cs="Times New Roman"/>
                <w:color w:val="000000"/>
                <w:sz w:val="20"/>
                <w:szCs w:val="20"/>
                <w:vertAlign w:val="superscript"/>
                <w:lang w:eastAsia="en-GB"/>
              </w:rPr>
              <w:t>***</w:t>
            </w:r>
          </w:p>
        </w:tc>
        <w:tc>
          <w:tcPr>
            <w:tcW w:w="1108" w:type="pct"/>
            <w:tcBorders>
              <w:top w:val="nil"/>
              <w:left w:val="nil"/>
              <w:bottom w:val="nil"/>
              <w:right w:val="nil"/>
            </w:tcBorders>
            <w:shd w:val="clear" w:color="auto" w:fill="auto"/>
            <w:noWrap/>
            <w:vAlign w:val="center"/>
            <w:hideMark/>
          </w:tcPr>
          <w:p w:rsidR="00D85B35" w:rsidRPr="00446F8F"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0.27</w:t>
            </w:r>
            <w:r>
              <w:rPr>
                <w:rFonts w:eastAsia="Times New Roman" w:cs="Times New Roman"/>
                <w:color w:val="000000"/>
                <w:sz w:val="20"/>
                <w:szCs w:val="20"/>
                <w:vertAlign w:val="superscript"/>
                <w:lang w:eastAsia="en-GB"/>
              </w:rPr>
              <w:t>**</w:t>
            </w:r>
          </w:p>
        </w:tc>
      </w:tr>
      <w:tr w:rsidR="00D85B35" w:rsidRPr="00F52E08" w:rsidTr="00390D9E">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(2.90)</w:t>
            </w:r>
          </w:p>
        </w:tc>
        <w:tc>
          <w:tcPr>
            <w:tcW w:w="110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(2.49)</w:t>
            </w:r>
          </w:p>
        </w:tc>
      </w:tr>
      <w:tr w:rsidR="00D85B35" w:rsidRPr="00F52E08" w:rsidTr="00390D9E">
        <w:trPr>
          <w:trHeight w:val="300"/>
        </w:trPr>
        <w:tc>
          <w:tcPr>
            <w:tcW w:w="1547"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R-squared</w:t>
            </w:r>
          </w:p>
        </w:tc>
        <w:tc>
          <w:tcPr>
            <w:tcW w:w="650"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sz w:val="20"/>
                <w:szCs w:val="20"/>
                <w:lang w:eastAsia="en-GB"/>
              </w:rPr>
            </w:pPr>
          </w:p>
        </w:tc>
        <w:tc>
          <w:tcPr>
            <w:tcW w:w="820"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-0.7%</w:t>
            </w:r>
          </w:p>
        </w:tc>
        <w:tc>
          <w:tcPr>
            <w:tcW w:w="875" w:type="pct"/>
            <w:tcBorders>
              <w:top w:val="nil"/>
              <w:left w:val="nil"/>
              <w:bottom w:val="nil"/>
              <w:right w:val="nil"/>
            </w:tcBorders>
            <w:shd w:val="clear" w:color="auto" w:fill="auto"/>
            <w:noWrap/>
            <w:vAlign w:val="center"/>
          </w:tcPr>
          <w:p w:rsidR="00D85B35"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48.92%</w:t>
            </w:r>
          </w:p>
        </w:tc>
        <w:tc>
          <w:tcPr>
            <w:tcW w:w="1108" w:type="pct"/>
            <w:tcBorders>
              <w:top w:val="nil"/>
              <w:left w:val="nil"/>
              <w:bottom w:val="nil"/>
              <w:right w:val="nil"/>
            </w:tcBorders>
            <w:shd w:val="clear" w:color="auto" w:fill="auto"/>
            <w:noWrap/>
            <w:vAlign w:val="center"/>
          </w:tcPr>
          <w:p w:rsidR="00D85B35"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46.97%</w:t>
            </w:r>
          </w:p>
        </w:tc>
      </w:tr>
      <w:tr w:rsidR="00D85B35" w:rsidRPr="00F52E08" w:rsidTr="00390D9E">
        <w:trPr>
          <w:trHeight w:val="300"/>
        </w:trPr>
        <w:tc>
          <w:tcPr>
            <w:tcW w:w="1547" w:type="pct"/>
            <w:tcBorders>
              <w:top w:val="nil"/>
              <w:left w:val="nil"/>
              <w:bottom w:val="single" w:sz="4" w:space="0" w:color="auto"/>
              <w:right w:val="nil"/>
            </w:tcBorders>
            <w:shd w:val="clear" w:color="auto" w:fill="auto"/>
            <w:noWrap/>
            <w:vAlign w:val="center"/>
          </w:tcPr>
          <w:p w:rsidR="00D85B35"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F-statistics</w:t>
            </w:r>
          </w:p>
        </w:tc>
        <w:tc>
          <w:tcPr>
            <w:tcW w:w="650" w:type="pct"/>
            <w:tcBorders>
              <w:top w:val="nil"/>
              <w:left w:val="nil"/>
              <w:bottom w:val="single" w:sz="4" w:space="0" w:color="auto"/>
              <w:right w:val="nil"/>
            </w:tcBorders>
            <w:shd w:val="clear" w:color="auto" w:fill="auto"/>
            <w:noWrap/>
            <w:vAlign w:val="center"/>
          </w:tcPr>
          <w:p w:rsidR="00D85B35" w:rsidRPr="00F52E08" w:rsidRDefault="00D85B35" w:rsidP="008772EC">
            <w:pPr>
              <w:spacing w:after="0"/>
              <w:jc w:val="center"/>
              <w:rPr>
                <w:rFonts w:eastAsia="Times New Roman" w:cs="Times New Roman"/>
                <w:sz w:val="20"/>
                <w:szCs w:val="20"/>
                <w:lang w:eastAsia="en-GB"/>
              </w:rPr>
            </w:pPr>
          </w:p>
        </w:tc>
        <w:tc>
          <w:tcPr>
            <w:tcW w:w="820" w:type="pct"/>
            <w:tcBorders>
              <w:top w:val="nil"/>
              <w:left w:val="nil"/>
              <w:bottom w:val="single" w:sz="4" w:space="0" w:color="auto"/>
              <w:right w:val="nil"/>
            </w:tcBorders>
            <w:shd w:val="clear" w:color="auto" w:fill="auto"/>
            <w:noWrap/>
            <w:vAlign w:val="center"/>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0.18</w:t>
            </w:r>
          </w:p>
        </w:tc>
        <w:tc>
          <w:tcPr>
            <w:tcW w:w="875" w:type="pct"/>
            <w:tcBorders>
              <w:top w:val="nil"/>
              <w:left w:val="nil"/>
              <w:bottom w:val="single" w:sz="4" w:space="0" w:color="auto"/>
              <w:right w:val="nil"/>
            </w:tcBorders>
            <w:shd w:val="clear" w:color="auto" w:fill="auto"/>
            <w:noWrap/>
            <w:vAlign w:val="center"/>
          </w:tcPr>
          <w:p w:rsidR="00D85B35" w:rsidRPr="00446F8F"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6.75</w:t>
            </w:r>
            <w:r>
              <w:rPr>
                <w:rFonts w:eastAsia="Times New Roman" w:cs="Times New Roman"/>
                <w:color w:val="000000"/>
                <w:sz w:val="20"/>
                <w:szCs w:val="20"/>
                <w:vertAlign w:val="superscript"/>
                <w:lang w:eastAsia="en-GB"/>
              </w:rPr>
              <w:t>***</w:t>
            </w:r>
          </w:p>
        </w:tc>
        <w:tc>
          <w:tcPr>
            <w:tcW w:w="1108" w:type="pct"/>
            <w:tcBorders>
              <w:top w:val="nil"/>
              <w:left w:val="nil"/>
              <w:bottom w:val="single" w:sz="4" w:space="0" w:color="auto"/>
              <w:right w:val="nil"/>
            </w:tcBorders>
            <w:shd w:val="clear" w:color="auto" w:fill="auto"/>
            <w:noWrap/>
            <w:vAlign w:val="center"/>
          </w:tcPr>
          <w:p w:rsidR="00D85B35" w:rsidRPr="00446F8F"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5.17</w:t>
            </w:r>
            <w:r>
              <w:rPr>
                <w:rFonts w:eastAsia="Times New Roman" w:cs="Times New Roman"/>
                <w:color w:val="000000"/>
                <w:sz w:val="20"/>
                <w:szCs w:val="20"/>
                <w:vertAlign w:val="superscript"/>
                <w:lang w:eastAsia="en-GB"/>
              </w:rPr>
              <w:t>***</w:t>
            </w:r>
          </w:p>
        </w:tc>
      </w:tr>
      <w:tr w:rsidR="00390D9E" w:rsidRPr="00F52E08" w:rsidTr="00390D9E">
        <w:trPr>
          <w:trHeight w:val="300"/>
        </w:trPr>
        <w:tc>
          <w:tcPr>
            <w:tcW w:w="5000" w:type="pct"/>
            <w:gridSpan w:val="5"/>
            <w:tcBorders>
              <w:top w:val="single" w:sz="4" w:space="0" w:color="auto"/>
              <w:left w:val="nil"/>
              <w:right w:val="nil"/>
            </w:tcBorders>
            <w:shd w:val="clear" w:color="auto" w:fill="auto"/>
            <w:noWrap/>
            <w:vAlign w:val="center"/>
          </w:tcPr>
          <w:p w:rsidR="00390D9E" w:rsidRDefault="00390D9E" w:rsidP="00390D9E">
            <w:pPr>
              <w:spacing w:after="0"/>
              <w:rPr>
                <w:rFonts w:eastAsia="Times New Roman" w:cs="Times New Roman"/>
                <w:color w:val="000000"/>
                <w:sz w:val="20"/>
                <w:szCs w:val="20"/>
                <w:lang w:eastAsia="en-GB"/>
              </w:rPr>
            </w:pPr>
            <w:r w:rsidRPr="00717E75">
              <w:rPr>
                <w:rFonts w:eastAsia="Times New Roman" w:cs="Times New Roman"/>
                <w:color w:val="000000"/>
                <w:sz w:val="18"/>
                <w:szCs w:val="18"/>
                <w:lang w:eastAsia="en-GB"/>
              </w:rPr>
              <w:t>Note</w:t>
            </w:r>
            <w:r w:rsidR="00D656E7">
              <w:rPr>
                <w:rFonts w:eastAsia="Times New Roman" w:cs="Times New Roman"/>
                <w:color w:val="000000"/>
                <w:sz w:val="18"/>
                <w:szCs w:val="18"/>
                <w:lang w:eastAsia="en-GB"/>
              </w:rPr>
              <w:t>s</w:t>
            </w:r>
            <w:r w:rsidRPr="00717E75">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 xml:space="preserve">The table reports the estimates of second-stage cross-sectional regressions of Fama and MacBeth (1973). </w:t>
            </w:r>
            <w:r w:rsidRPr="00717E75">
              <w:rPr>
                <w:rFonts w:eastAsia="Times New Roman" w:cs="Times New Roman"/>
                <w:color w:val="000000"/>
                <w:sz w:val="18"/>
                <w:szCs w:val="18"/>
                <w:lang w:eastAsia="en-GB"/>
              </w:rPr>
              <w:t xml:space="preserve">The dependent variable is </w:t>
            </w:r>
            <m:oMath>
              <m:sSub>
                <m:sSubPr>
                  <m:ctrlPr>
                    <w:rPr>
                      <w:rFonts w:ascii="Cambria Math" w:eastAsiaTheme="minorEastAsia" w:hAnsi="Cambria Math"/>
                      <w:i/>
                      <w:sz w:val="18"/>
                      <w:szCs w:val="18"/>
                    </w:rPr>
                  </m:ctrlPr>
                </m:sSubPr>
                <m:e>
                  <m:r>
                    <w:rPr>
                      <w:rFonts w:ascii="Cambria Math" w:eastAsiaTheme="minorEastAsia" w:hAnsi="Cambria Math"/>
                      <w:sz w:val="18"/>
                      <w:szCs w:val="18"/>
                    </w:rPr>
                    <m:t>R</m:t>
                  </m:r>
                </m:e>
                <m:sub>
                  <m:r>
                    <w:rPr>
                      <w:rFonts w:ascii="Cambria Math" w:eastAsiaTheme="minorEastAsia" w:hAnsi="Cambria Math"/>
                      <w:sz w:val="18"/>
                      <w:szCs w:val="18"/>
                    </w:rPr>
                    <m:t>i,1</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R</m:t>
                  </m:r>
                </m:e>
                <m:sub>
                  <m:r>
                    <w:rPr>
                      <w:rFonts w:ascii="Cambria Math" w:eastAsiaTheme="minorEastAsia" w:hAnsi="Cambria Math"/>
                      <w:sz w:val="18"/>
                      <w:szCs w:val="18"/>
                    </w:rPr>
                    <m:t>f,t</m:t>
                  </m:r>
                </m:sub>
              </m:sSub>
            </m:oMath>
            <w:r w:rsidRPr="00717E75">
              <w:rPr>
                <w:rFonts w:eastAsia="Times New Roman" w:cs="Times New Roman"/>
                <w:sz w:val="18"/>
                <w:szCs w:val="18"/>
              </w:rPr>
              <w:t xml:space="preserve"> , quarterly cross-sectional ERPs of the 25 Fama-French style portfolios. The independent variable is the fa</w:t>
            </w:r>
            <w:r>
              <w:rPr>
                <w:rFonts w:eastAsia="Times New Roman" w:cs="Times New Roman"/>
                <w:sz w:val="18"/>
                <w:szCs w:val="18"/>
              </w:rPr>
              <w:t>ctor loading from first-pass time-series regressions on respective factors.</w:t>
            </w:r>
            <w:r w:rsidRPr="0066145C">
              <w:rPr>
                <w:rFonts w:eastAsia="Times New Roman" w:cs="Times New Roman"/>
                <w:sz w:val="16"/>
                <w:szCs w:val="16"/>
              </w:rPr>
              <w:t xml:space="preserve">  </w:t>
            </w:r>
          </w:p>
        </w:tc>
      </w:tr>
    </w:tbl>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tbl>
      <w:tblPr>
        <w:tblW w:w="5000" w:type="pct"/>
        <w:jc w:val="center"/>
        <w:tblLook w:val="04A0" w:firstRow="1" w:lastRow="0" w:firstColumn="1" w:lastColumn="0" w:noHBand="0" w:noVBand="1"/>
      </w:tblPr>
      <w:tblGrid>
        <w:gridCol w:w="1355"/>
        <w:gridCol w:w="805"/>
        <w:gridCol w:w="788"/>
        <w:gridCol w:w="894"/>
        <w:gridCol w:w="903"/>
        <w:gridCol w:w="805"/>
        <w:gridCol w:w="963"/>
        <w:gridCol w:w="724"/>
        <w:gridCol w:w="963"/>
        <w:gridCol w:w="826"/>
      </w:tblGrid>
      <w:tr w:rsidR="00D85B35" w:rsidRPr="00F451B9" w:rsidTr="008772EC">
        <w:trPr>
          <w:trHeight w:val="300"/>
          <w:jc w:val="center"/>
        </w:trPr>
        <w:tc>
          <w:tcPr>
            <w:tcW w:w="5000" w:type="pct"/>
            <w:gridSpan w:val="10"/>
            <w:tcBorders>
              <w:top w:val="single" w:sz="4" w:space="0" w:color="auto"/>
              <w:bottom w:val="single" w:sz="4" w:space="0" w:color="auto"/>
            </w:tcBorders>
            <w:shd w:val="clear" w:color="auto" w:fill="auto"/>
            <w:noWrap/>
            <w:vAlign w:val="center"/>
          </w:tcPr>
          <w:p w:rsidR="00D85B35" w:rsidRPr="00F451B9" w:rsidRDefault="00D85B35" w:rsidP="008772EC">
            <w:pPr>
              <w:spacing w:after="0"/>
              <w:rPr>
                <w:rFonts w:eastAsia="Times New Roman" w:cs="Times New Roman"/>
                <w:color w:val="000000"/>
                <w:sz w:val="16"/>
                <w:szCs w:val="16"/>
                <w:lang w:eastAsia="en-GB"/>
              </w:rPr>
            </w:pPr>
            <w:r w:rsidRPr="00957C67">
              <w:rPr>
                <w:rFonts w:eastAsia="Times New Roman" w:cs="Times New Roman"/>
                <w:b/>
                <w:color w:val="000000"/>
                <w:sz w:val="16"/>
                <w:szCs w:val="16"/>
                <w:lang w:eastAsia="en-GB"/>
              </w:rPr>
              <w:t>Table 8: The impact of dis-aggregated consumption shocks on the ERP of FTSE sectoral indices</w:t>
            </w:r>
            <w:r w:rsidR="00390D9E">
              <w:rPr>
                <w:rFonts w:eastAsia="Times New Roman" w:cs="Times New Roman"/>
                <w:color w:val="000000"/>
                <w:sz w:val="16"/>
                <w:szCs w:val="16"/>
                <w:lang w:eastAsia="en-GB"/>
              </w:rPr>
              <w:t xml:space="preserve">. </w:t>
            </w:r>
          </w:p>
        </w:tc>
      </w:tr>
      <w:tr w:rsidR="00D85B35" w:rsidRPr="00F451B9" w:rsidTr="00390D9E">
        <w:trPr>
          <w:trHeight w:val="300"/>
          <w:jc w:val="center"/>
        </w:trPr>
        <w:tc>
          <w:tcPr>
            <w:tcW w:w="807" w:type="pct"/>
            <w:tcBorders>
              <w:top w:val="single" w:sz="4" w:space="0" w:color="auto"/>
              <w:bottom w:val="single" w:sz="4" w:space="0" w:color="auto"/>
            </w:tcBorders>
            <w:shd w:val="clear" w:color="auto" w:fill="auto"/>
            <w:noWrap/>
            <w:vAlign w:val="center"/>
            <w:hideMark/>
          </w:tcPr>
          <w:p w:rsidR="00D85B35" w:rsidRPr="00F451B9" w:rsidRDefault="00D85B35" w:rsidP="008772EC">
            <w:pPr>
              <w:spacing w:after="0"/>
              <w:jc w:val="center"/>
              <w:rPr>
                <w:rFonts w:ascii="Calibri" w:eastAsia="Times New Roman" w:hAnsi="Calibri" w:cs="Times New Roman"/>
                <w:color w:val="000000"/>
                <w:sz w:val="16"/>
                <w:szCs w:val="16"/>
                <w:lang w:eastAsia="en-GB"/>
              </w:rPr>
            </w:pPr>
          </w:p>
        </w:tc>
        <w:tc>
          <w:tcPr>
            <w:tcW w:w="1350" w:type="pct"/>
            <w:gridSpan w:val="3"/>
            <w:tcBorders>
              <w:top w:val="single" w:sz="4" w:space="0" w:color="auto"/>
              <w:bottom w:val="single" w:sz="4" w:space="0" w:color="auto"/>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Durable Consumption Shocks</w:t>
            </w:r>
          </w:p>
        </w:tc>
        <w:tc>
          <w:tcPr>
            <w:tcW w:w="14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Semi-Durable Consumption Shocks</w:t>
            </w:r>
          </w:p>
        </w:tc>
        <w:tc>
          <w:tcPr>
            <w:tcW w:w="1368" w:type="pct"/>
            <w:gridSpan w:val="3"/>
            <w:tcBorders>
              <w:top w:val="single" w:sz="4" w:space="0" w:color="auto"/>
              <w:left w:val="single" w:sz="4" w:space="0" w:color="auto"/>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Non-Durable Consumption Shocks</w:t>
            </w:r>
          </w:p>
        </w:tc>
      </w:tr>
      <w:tr w:rsidR="00D85B35" w:rsidRPr="00F451B9" w:rsidTr="00390D9E">
        <w:trPr>
          <w:trHeight w:val="300"/>
          <w:jc w:val="center"/>
        </w:trPr>
        <w:tc>
          <w:tcPr>
            <w:tcW w:w="807" w:type="pct"/>
            <w:tcBorders>
              <w:top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ascii="Calibri" w:eastAsia="Times New Roman" w:hAnsi="Calibri" w:cs="Times New Roman"/>
                <w:color w:val="000000"/>
                <w:sz w:val="16"/>
                <w:szCs w:val="16"/>
                <w:lang w:eastAsia="en-GB"/>
              </w:rPr>
            </w:pPr>
          </w:p>
        </w:tc>
        <w:tc>
          <w:tcPr>
            <w:tcW w:w="1350" w:type="pct"/>
            <w:gridSpan w:val="3"/>
            <w:tcBorders>
              <w:top w:val="single" w:sz="4" w:space="0" w:color="auto"/>
              <w:bottom w:val="single" w:sz="4" w:space="0" w:color="auto"/>
              <w:right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Panel A</w:t>
            </w:r>
          </w:p>
        </w:tc>
        <w:tc>
          <w:tcPr>
            <w:tcW w:w="14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Panel B</w:t>
            </w:r>
          </w:p>
        </w:tc>
        <w:tc>
          <w:tcPr>
            <w:tcW w:w="1368" w:type="pct"/>
            <w:gridSpan w:val="3"/>
            <w:tcBorders>
              <w:top w:val="single" w:sz="4" w:space="0" w:color="auto"/>
              <w:left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Panel C</w:t>
            </w:r>
          </w:p>
        </w:tc>
      </w:tr>
      <w:tr w:rsidR="00D85B35" w:rsidRPr="00F451B9" w:rsidTr="00390D9E">
        <w:trPr>
          <w:trHeight w:val="300"/>
          <w:jc w:val="center"/>
        </w:trPr>
        <w:tc>
          <w:tcPr>
            <w:tcW w:w="807" w:type="pct"/>
            <w:tcBorders>
              <w:top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color w:val="000000"/>
                <w:sz w:val="16"/>
                <w:szCs w:val="16"/>
                <w:lang w:eastAsia="en-GB"/>
              </w:rPr>
            </w:pPr>
          </w:p>
        </w:tc>
        <w:tc>
          <w:tcPr>
            <w:tcW w:w="434" w:type="pct"/>
            <w:tcBorders>
              <w:top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sz w:val="16"/>
                <w:szCs w:val="16"/>
              </w:rPr>
            </w:pPr>
            <w:r w:rsidRPr="00F451B9">
              <w:rPr>
                <w:rFonts w:eastAsia="Times New Roman" w:cs="Times New Roman"/>
                <w:sz w:val="16"/>
                <w:szCs w:val="16"/>
              </w:rPr>
              <w:t>(A)</w:t>
            </w:r>
          </w:p>
        </w:tc>
        <w:tc>
          <w:tcPr>
            <w:tcW w:w="422" w:type="pct"/>
            <w:tcBorders>
              <w:top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sz w:val="16"/>
                <w:szCs w:val="16"/>
              </w:rPr>
            </w:pPr>
            <w:r w:rsidRPr="00F451B9">
              <w:rPr>
                <w:rFonts w:eastAsia="Times New Roman" w:cs="Times New Roman"/>
                <w:sz w:val="16"/>
                <w:szCs w:val="16"/>
              </w:rPr>
              <w:t>(B)</w:t>
            </w:r>
          </w:p>
        </w:tc>
        <w:tc>
          <w:tcPr>
            <w:tcW w:w="494" w:type="pct"/>
            <w:tcBorders>
              <w:top w:val="single" w:sz="4" w:space="0" w:color="auto"/>
              <w:bottom w:val="single" w:sz="4" w:space="0" w:color="auto"/>
              <w:right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(C)</w:t>
            </w:r>
          </w:p>
        </w:tc>
        <w:tc>
          <w:tcPr>
            <w:tcW w:w="500" w:type="pct"/>
            <w:tcBorders>
              <w:top w:val="single" w:sz="4" w:space="0" w:color="auto"/>
              <w:left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sz w:val="16"/>
                <w:szCs w:val="16"/>
              </w:rPr>
            </w:pPr>
            <w:r w:rsidRPr="00F451B9">
              <w:rPr>
                <w:rFonts w:eastAsia="Times New Roman" w:cs="Times New Roman"/>
                <w:sz w:val="16"/>
                <w:szCs w:val="16"/>
              </w:rPr>
              <w:t>(D)</w:t>
            </w:r>
          </w:p>
        </w:tc>
        <w:tc>
          <w:tcPr>
            <w:tcW w:w="434" w:type="pct"/>
            <w:tcBorders>
              <w:top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sz w:val="16"/>
                <w:szCs w:val="16"/>
              </w:rPr>
            </w:pPr>
            <w:r w:rsidRPr="00F451B9">
              <w:rPr>
                <w:rFonts w:eastAsia="Times New Roman" w:cs="Times New Roman"/>
                <w:sz w:val="16"/>
                <w:szCs w:val="16"/>
              </w:rPr>
              <w:t>(E)</w:t>
            </w:r>
          </w:p>
        </w:tc>
        <w:tc>
          <w:tcPr>
            <w:tcW w:w="541" w:type="pct"/>
            <w:tcBorders>
              <w:top w:val="single" w:sz="4" w:space="0" w:color="auto"/>
              <w:bottom w:val="single" w:sz="4" w:space="0" w:color="auto"/>
              <w:right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(F)</w:t>
            </w:r>
          </w:p>
        </w:tc>
        <w:tc>
          <w:tcPr>
            <w:tcW w:w="379" w:type="pct"/>
            <w:tcBorders>
              <w:top w:val="single" w:sz="4" w:space="0" w:color="auto"/>
              <w:left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sz w:val="16"/>
                <w:szCs w:val="16"/>
              </w:rPr>
            </w:pPr>
            <w:r w:rsidRPr="00F451B9">
              <w:rPr>
                <w:rFonts w:eastAsia="Times New Roman" w:cs="Times New Roman"/>
                <w:sz w:val="16"/>
                <w:szCs w:val="16"/>
              </w:rPr>
              <w:t>(G)</w:t>
            </w:r>
          </w:p>
        </w:tc>
        <w:tc>
          <w:tcPr>
            <w:tcW w:w="541" w:type="pct"/>
            <w:tcBorders>
              <w:top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sz w:val="16"/>
                <w:szCs w:val="16"/>
              </w:rPr>
            </w:pPr>
            <w:r w:rsidRPr="00F451B9">
              <w:rPr>
                <w:rFonts w:eastAsia="Times New Roman" w:cs="Times New Roman"/>
                <w:sz w:val="16"/>
                <w:szCs w:val="16"/>
              </w:rPr>
              <w:t>(H)</w:t>
            </w:r>
          </w:p>
        </w:tc>
        <w:tc>
          <w:tcPr>
            <w:tcW w:w="448" w:type="pct"/>
            <w:tcBorders>
              <w:top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(I)</w:t>
            </w:r>
          </w:p>
        </w:tc>
      </w:tr>
      <w:tr w:rsidR="00D85B35" w:rsidRPr="00F451B9" w:rsidTr="00390D9E">
        <w:trPr>
          <w:trHeight w:val="300"/>
          <w:jc w:val="center"/>
        </w:trPr>
        <w:tc>
          <w:tcPr>
            <w:tcW w:w="807" w:type="pct"/>
            <w:tcBorders>
              <w:top w:val="single" w:sz="4" w:space="0" w:color="auto"/>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Portfolios</w:t>
            </w:r>
          </w:p>
        </w:tc>
        <w:tc>
          <w:tcPr>
            <w:tcW w:w="434" w:type="pct"/>
            <w:tcBorders>
              <w:top w:val="single" w:sz="4" w:space="0" w:color="auto"/>
              <w:bottom w:val="single" w:sz="4" w:space="0" w:color="auto"/>
            </w:tcBorders>
            <w:shd w:val="clear" w:color="auto" w:fill="auto"/>
            <w:noWrap/>
            <w:vAlign w:val="center"/>
            <w:hideMark/>
          </w:tcPr>
          <w:p w:rsidR="00D85B35" w:rsidRPr="00F451B9" w:rsidRDefault="005E14F1" w:rsidP="008772EC">
            <w:pPr>
              <w:spacing w:after="0"/>
              <w:jc w:val="center"/>
              <w:rPr>
                <w:rFonts w:eastAsia="Times New Roman" w:cs="Times New Roman"/>
                <w:color w:val="000000"/>
                <w:sz w:val="16"/>
                <w:szCs w:val="16"/>
                <w:lang w:eastAsia="en-GB"/>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α</m:t>
                    </m:r>
                  </m:e>
                  <m:sub>
                    <m:r>
                      <w:rPr>
                        <w:rFonts w:ascii="Cambria Math" w:eastAsiaTheme="minorEastAsia" w:hAnsi="Cambria Math"/>
                        <w:sz w:val="16"/>
                        <w:szCs w:val="16"/>
                      </w:rPr>
                      <m:t>1,i</m:t>
                    </m:r>
                  </m:sub>
                </m:sSub>
              </m:oMath>
            </m:oMathPara>
          </w:p>
        </w:tc>
        <w:tc>
          <w:tcPr>
            <w:tcW w:w="422" w:type="pct"/>
            <w:tcBorders>
              <w:top w:val="single" w:sz="4" w:space="0" w:color="auto"/>
              <w:bottom w:val="single" w:sz="4" w:space="0" w:color="auto"/>
            </w:tcBorders>
            <w:shd w:val="clear" w:color="auto" w:fill="auto"/>
            <w:noWrap/>
            <w:vAlign w:val="center"/>
            <w:hideMark/>
          </w:tcPr>
          <w:p w:rsidR="00D85B35" w:rsidRPr="00F451B9" w:rsidRDefault="005E14F1" w:rsidP="008772EC">
            <w:pPr>
              <w:spacing w:after="0"/>
              <w:jc w:val="center"/>
              <w:rPr>
                <w:rFonts w:eastAsia="Times New Roman" w:cs="Times New Roman"/>
                <w:color w:val="000000"/>
                <w:sz w:val="16"/>
                <w:szCs w:val="16"/>
                <w:lang w:eastAsia="en-GB"/>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β</m:t>
                    </m:r>
                  </m:e>
                  <m:sub>
                    <m:r>
                      <w:rPr>
                        <w:rFonts w:ascii="Cambria Math" w:eastAsiaTheme="minorEastAsia" w:hAnsi="Cambria Math"/>
                        <w:sz w:val="16"/>
                        <w:szCs w:val="16"/>
                      </w:rPr>
                      <m:t>dc</m:t>
                    </m:r>
                  </m:sub>
                </m:sSub>
              </m:oMath>
            </m:oMathPara>
          </w:p>
        </w:tc>
        <w:tc>
          <w:tcPr>
            <w:tcW w:w="494" w:type="pct"/>
            <w:tcBorders>
              <w:top w:val="single" w:sz="4" w:space="0" w:color="auto"/>
              <w:bottom w:val="single" w:sz="4" w:space="0" w:color="auto"/>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R</w:t>
            </w:r>
            <w:r w:rsidRPr="00F451B9">
              <w:rPr>
                <w:rFonts w:eastAsia="Times New Roman" w:cs="Times New Roman"/>
                <w:color w:val="000000"/>
                <w:sz w:val="16"/>
                <w:szCs w:val="16"/>
                <w:vertAlign w:val="superscript"/>
                <w:lang w:eastAsia="en-GB"/>
              </w:rPr>
              <w:t>2</w:t>
            </w:r>
          </w:p>
        </w:tc>
        <w:tc>
          <w:tcPr>
            <w:tcW w:w="500" w:type="pct"/>
            <w:tcBorders>
              <w:top w:val="single" w:sz="4" w:space="0" w:color="auto"/>
              <w:left w:val="single" w:sz="4" w:space="0" w:color="auto"/>
              <w:bottom w:val="single" w:sz="4" w:space="0" w:color="auto"/>
            </w:tcBorders>
            <w:shd w:val="clear" w:color="auto" w:fill="auto"/>
            <w:noWrap/>
            <w:vAlign w:val="center"/>
            <w:hideMark/>
          </w:tcPr>
          <w:p w:rsidR="00D85B35" w:rsidRPr="00F451B9" w:rsidRDefault="005E14F1" w:rsidP="008772EC">
            <w:pPr>
              <w:spacing w:after="0"/>
              <w:jc w:val="center"/>
              <w:rPr>
                <w:rFonts w:eastAsia="Times New Roman" w:cs="Times New Roman"/>
                <w:color w:val="000000"/>
                <w:sz w:val="16"/>
                <w:szCs w:val="16"/>
                <w:lang w:eastAsia="en-GB"/>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α</m:t>
                    </m:r>
                  </m:e>
                  <m:sub>
                    <m:r>
                      <w:rPr>
                        <w:rFonts w:ascii="Cambria Math" w:eastAsiaTheme="minorEastAsia" w:hAnsi="Cambria Math"/>
                        <w:sz w:val="16"/>
                        <w:szCs w:val="16"/>
                      </w:rPr>
                      <m:t>2,i</m:t>
                    </m:r>
                  </m:sub>
                </m:sSub>
              </m:oMath>
            </m:oMathPara>
          </w:p>
        </w:tc>
        <w:tc>
          <w:tcPr>
            <w:tcW w:w="434" w:type="pct"/>
            <w:tcBorders>
              <w:top w:val="single" w:sz="4" w:space="0" w:color="auto"/>
              <w:bottom w:val="single" w:sz="4" w:space="0" w:color="auto"/>
            </w:tcBorders>
            <w:shd w:val="clear" w:color="auto" w:fill="auto"/>
            <w:noWrap/>
            <w:vAlign w:val="center"/>
            <w:hideMark/>
          </w:tcPr>
          <w:p w:rsidR="00D85B35" w:rsidRPr="00F451B9" w:rsidRDefault="005E14F1" w:rsidP="008772EC">
            <w:pPr>
              <w:spacing w:after="0"/>
              <w:jc w:val="center"/>
              <w:rPr>
                <w:rFonts w:eastAsia="Times New Roman" w:cs="Times New Roman"/>
                <w:color w:val="000000"/>
                <w:sz w:val="16"/>
                <w:szCs w:val="16"/>
                <w:lang w:eastAsia="en-GB"/>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β</m:t>
                    </m:r>
                  </m:e>
                  <m:sub>
                    <m:r>
                      <w:rPr>
                        <w:rFonts w:ascii="Cambria Math" w:eastAsiaTheme="minorEastAsia" w:hAnsi="Cambria Math"/>
                        <w:sz w:val="16"/>
                        <w:szCs w:val="16"/>
                      </w:rPr>
                      <m:t>sdc</m:t>
                    </m:r>
                  </m:sub>
                </m:sSub>
              </m:oMath>
            </m:oMathPara>
          </w:p>
        </w:tc>
        <w:tc>
          <w:tcPr>
            <w:tcW w:w="541" w:type="pct"/>
            <w:tcBorders>
              <w:top w:val="single" w:sz="4" w:space="0" w:color="auto"/>
              <w:bottom w:val="single" w:sz="4" w:space="0" w:color="auto"/>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R</w:t>
            </w:r>
            <w:r w:rsidRPr="00F451B9">
              <w:rPr>
                <w:rFonts w:eastAsia="Times New Roman" w:cs="Times New Roman"/>
                <w:color w:val="000000"/>
                <w:sz w:val="16"/>
                <w:szCs w:val="16"/>
                <w:vertAlign w:val="superscript"/>
                <w:lang w:eastAsia="en-GB"/>
              </w:rPr>
              <w:t>2</w:t>
            </w:r>
          </w:p>
        </w:tc>
        <w:tc>
          <w:tcPr>
            <w:tcW w:w="379" w:type="pct"/>
            <w:tcBorders>
              <w:top w:val="single" w:sz="4" w:space="0" w:color="auto"/>
              <w:left w:val="single" w:sz="4" w:space="0" w:color="auto"/>
              <w:bottom w:val="single" w:sz="4" w:space="0" w:color="auto"/>
            </w:tcBorders>
            <w:shd w:val="clear" w:color="auto" w:fill="auto"/>
            <w:noWrap/>
            <w:vAlign w:val="center"/>
            <w:hideMark/>
          </w:tcPr>
          <w:p w:rsidR="00D85B35" w:rsidRPr="00F451B9" w:rsidRDefault="005E14F1" w:rsidP="008772EC">
            <w:pPr>
              <w:spacing w:after="0"/>
              <w:jc w:val="center"/>
              <w:rPr>
                <w:rFonts w:eastAsia="Times New Roman" w:cs="Times New Roman"/>
                <w:color w:val="000000"/>
                <w:sz w:val="16"/>
                <w:szCs w:val="16"/>
                <w:lang w:eastAsia="en-GB"/>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α</m:t>
                    </m:r>
                  </m:e>
                  <m:sub>
                    <m:r>
                      <w:rPr>
                        <w:rFonts w:ascii="Cambria Math" w:eastAsiaTheme="minorEastAsia" w:hAnsi="Cambria Math"/>
                        <w:sz w:val="16"/>
                        <w:szCs w:val="16"/>
                      </w:rPr>
                      <m:t>3,i</m:t>
                    </m:r>
                  </m:sub>
                </m:sSub>
              </m:oMath>
            </m:oMathPara>
          </w:p>
        </w:tc>
        <w:tc>
          <w:tcPr>
            <w:tcW w:w="541" w:type="pct"/>
            <w:tcBorders>
              <w:top w:val="single" w:sz="4" w:space="0" w:color="auto"/>
              <w:bottom w:val="single" w:sz="4" w:space="0" w:color="auto"/>
            </w:tcBorders>
            <w:shd w:val="clear" w:color="auto" w:fill="auto"/>
            <w:noWrap/>
            <w:vAlign w:val="center"/>
            <w:hideMark/>
          </w:tcPr>
          <w:p w:rsidR="00D85B35" w:rsidRPr="00F451B9" w:rsidRDefault="005E14F1" w:rsidP="008772EC">
            <w:pPr>
              <w:spacing w:after="0"/>
              <w:jc w:val="center"/>
              <w:rPr>
                <w:rFonts w:eastAsia="Times New Roman" w:cs="Times New Roman"/>
                <w:color w:val="000000"/>
                <w:sz w:val="16"/>
                <w:szCs w:val="16"/>
                <w:lang w:eastAsia="en-GB"/>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β</m:t>
                    </m:r>
                  </m:e>
                  <m:sub>
                    <m:r>
                      <w:rPr>
                        <w:rFonts w:ascii="Cambria Math" w:eastAsiaTheme="minorEastAsia" w:hAnsi="Cambria Math"/>
                        <w:sz w:val="16"/>
                        <w:szCs w:val="16"/>
                      </w:rPr>
                      <m:t>ndc</m:t>
                    </m:r>
                  </m:sub>
                </m:sSub>
              </m:oMath>
            </m:oMathPara>
          </w:p>
        </w:tc>
        <w:tc>
          <w:tcPr>
            <w:tcW w:w="448" w:type="pct"/>
            <w:tcBorders>
              <w:top w:val="single" w:sz="4" w:space="0" w:color="auto"/>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R</w:t>
            </w:r>
            <w:r w:rsidRPr="00F451B9">
              <w:rPr>
                <w:rFonts w:eastAsia="Times New Roman" w:cs="Times New Roman"/>
                <w:color w:val="000000"/>
                <w:sz w:val="16"/>
                <w:szCs w:val="16"/>
                <w:vertAlign w:val="superscript"/>
                <w:lang w:eastAsia="en-GB"/>
              </w:rPr>
              <w:t>2</w:t>
            </w:r>
          </w:p>
        </w:tc>
      </w:tr>
      <w:tr w:rsidR="00D85B35" w:rsidRPr="00F451B9" w:rsidTr="00390D9E">
        <w:trPr>
          <w:trHeight w:val="300"/>
          <w:jc w:val="center"/>
        </w:trPr>
        <w:tc>
          <w:tcPr>
            <w:tcW w:w="807" w:type="pct"/>
            <w:vMerge w:val="restart"/>
            <w:tcBorders>
              <w:top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FTSE 100</w:t>
            </w:r>
          </w:p>
        </w:tc>
        <w:tc>
          <w:tcPr>
            <w:tcW w:w="434" w:type="pct"/>
            <w:tcBorders>
              <w:top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0.76</w:t>
            </w:r>
          </w:p>
        </w:tc>
        <w:tc>
          <w:tcPr>
            <w:tcW w:w="422" w:type="pct"/>
            <w:tcBorders>
              <w:top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-5.02</w:t>
            </w:r>
            <w:r w:rsidRPr="00F451B9">
              <w:rPr>
                <w:rFonts w:eastAsia="Times New Roman" w:cs="Times New Roman"/>
                <w:color w:val="000000"/>
                <w:sz w:val="16"/>
                <w:szCs w:val="16"/>
                <w:vertAlign w:val="superscript"/>
                <w:lang w:eastAsia="en-GB"/>
              </w:rPr>
              <w:t>***</w:t>
            </w:r>
          </w:p>
        </w:tc>
        <w:tc>
          <w:tcPr>
            <w:tcW w:w="494" w:type="pct"/>
            <w:vMerge w:val="restart"/>
            <w:tcBorders>
              <w:top w:val="single" w:sz="4" w:space="0" w:color="auto"/>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28.42%</w:t>
            </w:r>
          </w:p>
        </w:tc>
        <w:tc>
          <w:tcPr>
            <w:tcW w:w="500" w:type="pct"/>
            <w:tcBorders>
              <w:top w:val="single" w:sz="4" w:space="0" w:color="auto"/>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0.78</w:t>
            </w:r>
          </w:p>
        </w:tc>
        <w:tc>
          <w:tcPr>
            <w:tcW w:w="434" w:type="pct"/>
            <w:tcBorders>
              <w:top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-4.86</w:t>
            </w:r>
            <w:r w:rsidRPr="00F451B9">
              <w:rPr>
                <w:rFonts w:eastAsia="Times New Roman" w:cs="Times New Roman"/>
                <w:color w:val="000000"/>
                <w:sz w:val="16"/>
                <w:szCs w:val="16"/>
                <w:vertAlign w:val="superscript"/>
                <w:lang w:eastAsia="en-GB"/>
              </w:rPr>
              <w:t>***</w:t>
            </w:r>
          </w:p>
        </w:tc>
        <w:tc>
          <w:tcPr>
            <w:tcW w:w="541" w:type="pct"/>
            <w:vMerge w:val="restart"/>
            <w:tcBorders>
              <w:top w:val="single" w:sz="4" w:space="0" w:color="auto"/>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28.40%</w:t>
            </w:r>
          </w:p>
        </w:tc>
        <w:tc>
          <w:tcPr>
            <w:tcW w:w="379" w:type="pct"/>
            <w:tcBorders>
              <w:top w:val="single" w:sz="4" w:space="0" w:color="auto"/>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0.84</w:t>
            </w:r>
          </w:p>
        </w:tc>
        <w:tc>
          <w:tcPr>
            <w:tcW w:w="541" w:type="pct"/>
            <w:tcBorders>
              <w:top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4.77</w:t>
            </w:r>
            <w:r w:rsidRPr="00F451B9">
              <w:rPr>
                <w:rFonts w:eastAsia="Times New Roman" w:cs="Times New Roman"/>
                <w:color w:val="000000"/>
                <w:sz w:val="16"/>
                <w:szCs w:val="16"/>
                <w:vertAlign w:val="superscript"/>
                <w:lang w:eastAsia="en-GB"/>
              </w:rPr>
              <w:t>***</w:t>
            </w:r>
          </w:p>
        </w:tc>
        <w:tc>
          <w:tcPr>
            <w:tcW w:w="448" w:type="pct"/>
            <w:vMerge w:val="restart"/>
            <w:tcBorders>
              <w:top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31.91%</w:t>
            </w:r>
          </w:p>
        </w:tc>
      </w:tr>
      <w:tr w:rsidR="00D85B35" w:rsidRPr="00F451B9" w:rsidTr="00390D9E">
        <w:trPr>
          <w:trHeight w:val="300"/>
          <w:jc w:val="center"/>
        </w:trPr>
        <w:tc>
          <w:tcPr>
            <w:tcW w:w="807"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(1.17)</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(-6.36)</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(0.89)</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(-6.86)</w:t>
            </w:r>
          </w:p>
        </w:tc>
        <w:tc>
          <w:tcPr>
            <w:tcW w:w="541"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(1.40)</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(6.56)</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390D9E">
        <w:trPr>
          <w:trHeight w:val="300"/>
          <w:jc w:val="center"/>
        </w:trPr>
        <w:tc>
          <w:tcPr>
            <w:tcW w:w="807"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FTSE 250</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1.46</w:t>
            </w:r>
            <w:r w:rsidRPr="00F451B9">
              <w:rPr>
                <w:rFonts w:eastAsia="Times New Roman" w:cs="Times New Roman"/>
                <w:color w:val="000000"/>
                <w:sz w:val="16"/>
                <w:szCs w:val="16"/>
                <w:vertAlign w:val="superscript"/>
                <w:lang w:eastAsia="en-GB"/>
              </w:rPr>
              <w:t>*</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-5.55</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22.89%</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1.41</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-5.25</w:t>
            </w:r>
            <w:r w:rsidRPr="00F451B9">
              <w:rPr>
                <w:rFonts w:eastAsia="Times New Roman" w:cs="Times New Roman"/>
                <w:color w:val="000000"/>
                <w:sz w:val="16"/>
                <w:szCs w:val="16"/>
                <w:vertAlign w:val="superscript"/>
                <w:lang w:eastAsia="en-GB"/>
              </w:rPr>
              <w:t>***</w:t>
            </w:r>
          </w:p>
        </w:tc>
        <w:tc>
          <w:tcPr>
            <w:tcW w:w="541"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21.93%</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1.40</w:t>
            </w:r>
            <w:r w:rsidRPr="00F451B9">
              <w:rPr>
                <w:rFonts w:eastAsia="Times New Roman" w:cs="Times New Roman"/>
                <w:color w:val="000000"/>
                <w:sz w:val="16"/>
                <w:szCs w:val="16"/>
                <w:vertAlign w:val="superscript"/>
                <w:lang w:eastAsia="en-GB"/>
              </w:rPr>
              <w:t>*</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5.28</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25.9%</w:t>
            </w:r>
          </w:p>
        </w:tc>
      </w:tr>
      <w:tr w:rsidR="00D85B35" w:rsidRPr="00F451B9" w:rsidTr="00390D9E">
        <w:trPr>
          <w:trHeight w:val="300"/>
          <w:jc w:val="center"/>
        </w:trPr>
        <w:tc>
          <w:tcPr>
            <w:tcW w:w="807"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(1.69)</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(-4.94)</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(1.55)</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(-5.23)</w:t>
            </w:r>
          </w:p>
        </w:tc>
        <w:tc>
          <w:tcPr>
            <w:tcW w:w="541"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(1.73)</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(5.55)</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390D9E">
        <w:trPr>
          <w:trHeight w:val="300"/>
          <w:jc w:val="center"/>
        </w:trPr>
        <w:tc>
          <w:tcPr>
            <w:tcW w:w="807"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Basic Materials</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0.65</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-5.14</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9.34%</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0.60</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-4.79</w:t>
            </w:r>
            <w:r w:rsidRPr="00F451B9">
              <w:rPr>
                <w:rFonts w:eastAsia="Times New Roman" w:cs="Times New Roman"/>
                <w:color w:val="000000"/>
                <w:sz w:val="16"/>
                <w:szCs w:val="16"/>
                <w:vertAlign w:val="superscript"/>
                <w:lang w:eastAsia="en-GB"/>
              </w:rPr>
              <w:t>***</w:t>
            </w:r>
          </w:p>
        </w:tc>
        <w:tc>
          <w:tcPr>
            <w:tcW w:w="541"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8.69%</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054</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5.17</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11.92%</w:t>
            </w:r>
          </w:p>
        </w:tc>
      </w:tr>
      <w:tr w:rsidR="00D85B35" w:rsidRPr="00F451B9" w:rsidTr="00390D9E">
        <w:trPr>
          <w:trHeight w:val="300"/>
          <w:jc w:val="center"/>
        </w:trPr>
        <w:tc>
          <w:tcPr>
            <w:tcW w:w="807"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(0.63)</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(-3.65)</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(0.55)</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(-4.08)</w:t>
            </w:r>
          </w:p>
        </w:tc>
        <w:tc>
          <w:tcPr>
            <w:tcW w:w="541"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(0.48)</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(4.27)</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390D9E">
        <w:trPr>
          <w:trHeight w:val="300"/>
          <w:jc w:val="center"/>
        </w:trPr>
        <w:tc>
          <w:tcPr>
            <w:tcW w:w="807"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Consumer Services</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0.56</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-5.53</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25.51%</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0.51</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-5.53</w:t>
            </w:r>
            <w:r w:rsidRPr="00F451B9">
              <w:rPr>
                <w:rFonts w:eastAsia="Times New Roman" w:cs="Times New Roman"/>
                <w:color w:val="000000"/>
                <w:sz w:val="16"/>
                <w:szCs w:val="16"/>
                <w:vertAlign w:val="superscript"/>
                <w:lang w:eastAsia="en-GB"/>
              </w:rPr>
              <w:t>***</w:t>
            </w:r>
          </w:p>
        </w:tc>
        <w:tc>
          <w:tcPr>
            <w:tcW w:w="541"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27.53%</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0.55</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5.38</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30.01%</w:t>
            </w:r>
          </w:p>
        </w:tc>
      </w:tr>
      <w:tr w:rsidR="00D85B35" w:rsidRPr="00F451B9" w:rsidTr="00390D9E">
        <w:trPr>
          <w:trHeight w:val="300"/>
          <w:jc w:val="center"/>
        </w:trPr>
        <w:tc>
          <w:tcPr>
            <w:tcW w:w="807"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(0.66)</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(-4.86)</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(0.58)</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(-5.60)</w:t>
            </w:r>
          </w:p>
        </w:tc>
        <w:tc>
          <w:tcPr>
            <w:tcW w:w="541"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(0.68)</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(5.62)</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390D9E">
        <w:trPr>
          <w:trHeight w:val="300"/>
          <w:jc w:val="center"/>
        </w:trPr>
        <w:tc>
          <w:tcPr>
            <w:tcW w:w="807"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Financials</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0.77</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-6.83</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24.82%</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0.82</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-6.54</w:t>
            </w:r>
            <w:r w:rsidRPr="00F451B9">
              <w:rPr>
                <w:rFonts w:eastAsia="Times New Roman" w:cs="Times New Roman"/>
                <w:color w:val="000000"/>
                <w:sz w:val="16"/>
                <w:szCs w:val="16"/>
                <w:vertAlign w:val="superscript"/>
                <w:lang w:eastAsia="en-GB"/>
              </w:rPr>
              <w:t>***</w:t>
            </w:r>
          </w:p>
        </w:tc>
        <w:tc>
          <w:tcPr>
            <w:tcW w:w="541"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24.30%</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0.85</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6.07</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24.44%</w:t>
            </w:r>
          </w:p>
        </w:tc>
      </w:tr>
      <w:tr w:rsidR="00D85B35" w:rsidRPr="00F451B9" w:rsidTr="00390D9E">
        <w:trPr>
          <w:trHeight w:val="300"/>
          <w:jc w:val="center"/>
        </w:trPr>
        <w:tc>
          <w:tcPr>
            <w:tcW w:w="807"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(0.78)</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(-6.81)</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(0.78)</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(-6.93)</w:t>
            </w:r>
          </w:p>
        </w:tc>
        <w:tc>
          <w:tcPr>
            <w:tcW w:w="541"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(0.87)</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(5.85)</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390D9E">
        <w:trPr>
          <w:trHeight w:val="300"/>
          <w:jc w:val="center"/>
        </w:trPr>
        <w:tc>
          <w:tcPr>
            <w:tcW w:w="807"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Consumer Goods</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1.24</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-5.81</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20.62%</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1.21</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-5.65</w:t>
            </w:r>
            <w:r w:rsidRPr="00F451B9">
              <w:rPr>
                <w:rFonts w:eastAsia="Times New Roman" w:cs="Times New Roman"/>
                <w:color w:val="000000"/>
                <w:sz w:val="16"/>
                <w:szCs w:val="16"/>
                <w:vertAlign w:val="superscript"/>
                <w:lang w:eastAsia="en-GB"/>
              </w:rPr>
              <w:t>***</w:t>
            </w:r>
          </w:p>
        </w:tc>
        <w:tc>
          <w:tcPr>
            <w:tcW w:w="541"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20.79%</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1.28</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5.72</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24.93%</w:t>
            </w:r>
          </w:p>
        </w:tc>
      </w:tr>
      <w:tr w:rsidR="00D85B35" w:rsidRPr="00F451B9" w:rsidTr="00390D9E">
        <w:trPr>
          <w:trHeight w:val="300"/>
          <w:jc w:val="center"/>
        </w:trPr>
        <w:tc>
          <w:tcPr>
            <w:tcW w:w="807"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(1.52)</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(-3.91)</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(1.45)</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(-4.26)</w:t>
            </w:r>
          </w:p>
        </w:tc>
        <w:tc>
          <w:tcPr>
            <w:tcW w:w="541"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(1.59)</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(5.46)</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390D9E">
        <w:trPr>
          <w:trHeight w:val="300"/>
          <w:jc w:val="center"/>
        </w:trPr>
        <w:tc>
          <w:tcPr>
            <w:tcW w:w="807"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Healthcare</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1.16</w:t>
            </w:r>
            <w:r w:rsidRPr="00F451B9">
              <w:rPr>
                <w:rFonts w:eastAsia="Times New Roman" w:cs="Times New Roman"/>
                <w:color w:val="000000"/>
                <w:sz w:val="16"/>
                <w:szCs w:val="16"/>
                <w:vertAlign w:val="superscript"/>
                <w:lang w:eastAsia="en-GB"/>
              </w:rPr>
              <w:t>*</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-4.25</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24.40%</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1.18</w:t>
            </w:r>
            <w:r w:rsidRPr="00F451B9">
              <w:rPr>
                <w:rFonts w:eastAsia="Times New Roman" w:cs="Times New Roman"/>
                <w:color w:val="000000"/>
                <w:sz w:val="16"/>
                <w:szCs w:val="16"/>
                <w:vertAlign w:val="superscript"/>
                <w:lang w:eastAsia="en-GB"/>
              </w:rPr>
              <w:t>*</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-4.10</w:t>
            </w:r>
            <w:r w:rsidRPr="00F451B9">
              <w:rPr>
                <w:rFonts w:eastAsia="Times New Roman" w:cs="Times New Roman"/>
                <w:color w:val="000000"/>
                <w:sz w:val="16"/>
                <w:szCs w:val="16"/>
                <w:vertAlign w:val="superscript"/>
                <w:lang w:eastAsia="en-GB"/>
              </w:rPr>
              <w:t>***</w:t>
            </w:r>
          </w:p>
        </w:tc>
        <w:tc>
          <w:tcPr>
            <w:tcW w:w="541"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24.37%</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1.28</w:t>
            </w:r>
            <w:r w:rsidRPr="00F451B9">
              <w:rPr>
                <w:rFonts w:eastAsia="Times New Roman" w:cs="Times New Roman"/>
                <w:color w:val="000000"/>
                <w:sz w:val="16"/>
                <w:szCs w:val="16"/>
                <w:vertAlign w:val="superscript"/>
                <w:lang w:eastAsia="en-GB"/>
              </w:rPr>
              <w:t>*</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3.85</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24.68%</w:t>
            </w:r>
          </w:p>
        </w:tc>
      </w:tr>
      <w:tr w:rsidR="00D85B35" w:rsidRPr="00F451B9" w:rsidTr="00390D9E">
        <w:trPr>
          <w:trHeight w:val="300"/>
          <w:jc w:val="center"/>
        </w:trPr>
        <w:tc>
          <w:tcPr>
            <w:tcW w:w="807"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(1.74)</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(-5.28)</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(1.71)</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(-5.47)</w:t>
            </w:r>
          </w:p>
        </w:tc>
        <w:tc>
          <w:tcPr>
            <w:tcW w:w="541"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(1.98)</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(5.35)</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390D9E">
        <w:trPr>
          <w:trHeight w:val="300"/>
          <w:jc w:val="center"/>
        </w:trPr>
        <w:tc>
          <w:tcPr>
            <w:tcW w:w="807"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Industrials</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0.70</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-6.48</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22.78%</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0.65</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-5.96</w:t>
            </w:r>
            <w:r w:rsidRPr="00F451B9">
              <w:rPr>
                <w:rFonts w:eastAsia="Times New Roman" w:cs="Times New Roman"/>
                <w:color w:val="000000"/>
                <w:sz w:val="16"/>
                <w:szCs w:val="16"/>
                <w:vertAlign w:val="superscript"/>
                <w:lang w:eastAsia="en-GB"/>
              </w:rPr>
              <w:t>***</w:t>
            </w:r>
          </w:p>
        </w:tc>
        <w:tc>
          <w:tcPr>
            <w:tcW w:w="541"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20.28%</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0.65</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6.12</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25.07%</w:t>
            </w:r>
          </w:p>
        </w:tc>
      </w:tr>
      <w:tr w:rsidR="00D85B35" w:rsidRPr="00F451B9" w:rsidTr="00390D9E">
        <w:trPr>
          <w:trHeight w:val="300"/>
          <w:jc w:val="center"/>
        </w:trPr>
        <w:tc>
          <w:tcPr>
            <w:tcW w:w="807"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(0.74)</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(-4.32)</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(0.61)</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(-4.50)</w:t>
            </w:r>
          </w:p>
        </w:tc>
        <w:tc>
          <w:tcPr>
            <w:tcW w:w="541"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(0.69)</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(5.01)</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390D9E">
        <w:trPr>
          <w:trHeight w:val="300"/>
          <w:jc w:val="center"/>
        </w:trPr>
        <w:tc>
          <w:tcPr>
            <w:tcW w:w="807"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Oil and Gas</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0.98</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-2.45</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5.16%</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1.07</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-1.95</w:t>
            </w:r>
            <w:r w:rsidRPr="00F451B9">
              <w:rPr>
                <w:rFonts w:eastAsia="Times New Roman" w:cs="Times New Roman"/>
                <w:color w:val="000000"/>
                <w:sz w:val="16"/>
                <w:szCs w:val="16"/>
                <w:vertAlign w:val="superscript"/>
                <w:lang w:eastAsia="en-GB"/>
              </w:rPr>
              <w:t>**</w:t>
            </w:r>
          </w:p>
        </w:tc>
        <w:tc>
          <w:tcPr>
            <w:tcW w:w="541"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3.50%</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1.08</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2.12</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4.82%</w:t>
            </w:r>
          </w:p>
        </w:tc>
      </w:tr>
      <w:tr w:rsidR="00D85B35" w:rsidRPr="00F451B9" w:rsidTr="00390D9E">
        <w:trPr>
          <w:trHeight w:val="300"/>
          <w:jc w:val="center"/>
        </w:trPr>
        <w:tc>
          <w:tcPr>
            <w:tcW w:w="807"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(1.47)</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(-2.62)</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(1.53)</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(-2.48)</w:t>
            </w:r>
          </w:p>
        </w:tc>
        <w:tc>
          <w:tcPr>
            <w:tcW w:w="541"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(1.61)</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(2.46)</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390D9E">
        <w:trPr>
          <w:trHeight w:val="300"/>
          <w:jc w:val="center"/>
        </w:trPr>
        <w:tc>
          <w:tcPr>
            <w:tcW w:w="807"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Utilities</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2.16</w:t>
            </w:r>
            <w:r w:rsidRPr="00F451B9">
              <w:rPr>
                <w:rFonts w:eastAsia="Times New Roman" w:cs="Times New Roman"/>
                <w:color w:val="000000"/>
                <w:sz w:val="16"/>
                <w:szCs w:val="16"/>
                <w:vertAlign w:val="superscript"/>
                <w:lang w:eastAsia="en-GB"/>
              </w:rPr>
              <w:t>***</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-2.95</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11.32%</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2.22</w:t>
            </w:r>
            <w:r w:rsidRPr="00F451B9">
              <w:rPr>
                <w:rFonts w:eastAsia="Times New Roman" w:cs="Times New Roman"/>
                <w:color w:val="000000"/>
                <w:sz w:val="16"/>
                <w:szCs w:val="16"/>
                <w:vertAlign w:val="superscript"/>
                <w:lang w:eastAsia="en-GB"/>
              </w:rPr>
              <w:t>***</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-2.49</w:t>
            </w:r>
            <w:r w:rsidRPr="00F451B9">
              <w:rPr>
                <w:rFonts w:eastAsia="Times New Roman" w:cs="Times New Roman"/>
                <w:color w:val="000000"/>
                <w:sz w:val="16"/>
                <w:szCs w:val="16"/>
                <w:vertAlign w:val="superscript"/>
                <w:lang w:eastAsia="en-GB"/>
              </w:rPr>
              <w:t>**</w:t>
            </w:r>
          </w:p>
        </w:tc>
        <w:tc>
          <w:tcPr>
            <w:tcW w:w="541"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8.50%</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2.23</w:t>
            </w:r>
            <w:r w:rsidRPr="00F451B9">
              <w:rPr>
                <w:rFonts w:eastAsia="Times New Roman" w:cs="Times New Roman"/>
                <w:color w:val="000000"/>
                <w:sz w:val="16"/>
                <w:szCs w:val="16"/>
                <w:vertAlign w:val="superscript"/>
                <w:lang w:eastAsia="en-GB"/>
              </w:rPr>
              <w:t>***</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2.75</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11.92%</w:t>
            </w:r>
          </w:p>
        </w:tc>
      </w:tr>
      <w:tr w:rsidR="00D85B35" w:rsidRPr="00F451B9" w:rsidTr="00390D9E">
        <w:trPr>
          <w:trHeight w:val="300"/>
          <w:jc w:val="center"/>
        </w:trPr>
        <w:tc>
          <w:tcPr>
            <w:tcW w:w="807"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(3.23)</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(-3.47)</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(3.25)</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(-2.41)</w:t>
            </w:r>
          </w:p>
        </w:tc>
        <w:tc>
          <w:tcPr>
            <w:tcW w:w="541"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(3.60)</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(3.29)</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390D9E">
        <w:trPr>
          <w:trHeight w:val="300"/>
          <w:jc w:val="center"/>
        </w:trPr>
        <w:tc>
          <w:tcPr>
            <w:tcW w:w="807"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Telecom</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0.97</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-5.23</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15.65%</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0.98</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-5.42</w:t>
            </w:r>
            <w:r w:rsidRPr="00F451B9">
              <w:rPr>
                <w:rFonts w:eastAsia="Times New Roman" w:cs="Times New Roman"/>
                <w:color w:val="000000"/>
                <w:sz w:val="16"/>
                <w:szCs w:val="16"/>
                <w:vertAlign w:val="superscript"/>
                <w:lang w:eastAsia="en-GB"/>
              </w:rPr>
              <w:t>***</w:t>
            </w:r>
          </w:p>
        </w:tc>
        <w:tc>
          <w:tcPr>
            <w:tcW w:w="541"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17.77%</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1.03</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5.24</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19.57%</w:t>
            </w:r>
          </w:p>
        </w:tc>
      </w:tr>
      <w:tr w:rsidR="00D85B35" w:rsidRPr="00F451B9" w:rsidTr="00390D9E">
        <w:trPr>
          <w:trHeight w:val="300"/>
          <w:jc w:val="center"/>
        </w:trPr>
        <w:tc>
          <w:tcPr>
            <w:tcW w:w="807"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(0.77)</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(-6.87)</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(0.88)</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(-5.91)</w:t>
            </w:r>
          </w:p>
        </w:tc>
        <w:tc>
          <w:tcPr>
            <w:tcW w:w="541"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(0.98)</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(4.86)</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390D9E">
        <w:trPr>
          <w:trHeight w:val="300"/>
          <w:jc w:val="center"/>
        </w:trPr>
        <w:tc>
          <w:tcPr>
            <w:tcW w:w="807"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Technology</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0.66</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-9.34</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16.23%</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0.37</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-9.37</w:t>
            </w:r>
            <w:r w:rsidRPr="00F451B9">
              <w:rPr>
                <w:rFonts w:eastAsia="Times New Roman" w:cs="Times New Roman"/>
                <w:color w:val="000000"/>
                <w:sz w:val="16"/>
                <w:szCs w:val="16"/>
                <w:vertAlign w:val="superscript"/>
                <w:lang w:eastAsia="en-GB"/>
              </w:rPr>
              <w:t>**</w:t>
            </w:r>
          </w:p>
        </w:tc>
        <w:tc>
          <w:tcPr>
            <w:tcW w:w="541"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17.11%</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0.24</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9.27</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19.51%</w:t>
            </w:r>
          </w:p>
        </w:tc>
      </w:tr>
      <w:tr w:rsidR="00D85B35" w:rsidRPr="00F451B9" w:rsidTr="00390D9E">
        <w:trPr>
          <w:trHeight w:val="300"/>
          <w:jc w:val="center"/>
        </w:trPr>
        <w:tc>
          <w:tcPr>
            <w:tcW w:w="807" w:type="pct"/>
            <w:vMerge/>
            <w:tcBorders>
              <w:bottom w:val="single" w:sz="4" w:space="0" w:color="auto"/>
            </w:tcBorders>
            <w:shd w:val="clear" w:color="auto" w:fill="auto"/>
            <w:noWrap/>
            <w:hideMark/>
          </w:tcPr>
          <w:p w:rsidR="00D85B35" w:rsidRPr="00F451B9" w:rsidRDefault="00D85B35" w:rsidP="008772EC">
            <w:pPr>
              <w:spacing w:after="0"/>
              <w:rPr>
                <w:rFonts w:eastAsia="Times New Roman" w:cs="Times New Roman"/>
                <w:color w:val="000000"/>
                <w:sz w:val="16"/>
                <w:szCs w:val="16"/>
                <w:lang w:eastAsia="en-GB"/>
              </w:rPr>
            </w:pPr>
          </w:p>
        </w:tc>
        <w:tc>
          <w:tcPr>
            <w:tcW w:w="434" w:type="pct"/>
            <w:tcBorders>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(0.24)</w:t>
            </w:r>
          </w:p>
        </w:tc>
        <w:tc>
          <w:tcPr>
            <w:tcW w:w="422" w:type="pct"/>
            <w:tcBorders>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(-3.08)</w:t>
            </w:r>
          </w:p>
        </w:tc>
        <w:tc>
          <w:tcPr>
            <w:tcW w:w="494" w:type="pct"/>
            <w:vMerge/>
            <w:tcBorders>
              <w:bottom w:val="single" w:sz="4" w:space="0" w:color="auto"/>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(0.13)</w:t>
            </w:r>
          </w:p>
        </w:tc>
        <w:tc>
          <w:tcPr>
            <w:tcW w:w="434" w:type="pct"/>
            <w:tcBorders>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(-2.40)</w:t>
            </w:r>
          </w:p>
        </w:tc>
        <w:tc>
          <w:tcPr>
            <w:tcW w:w="541" w:type="pct"/>
            <w:vMerge/>
            <w:tcBorders>
              <w:bottom w:val="single" w:sz="4" w:space="0" w:color="auto"/>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(0.12)</w:t>
            </w:r>
          </w:p>
        </w:tc>
        <w:tc>
          <w:tcPr>
            <w:tcW w:w="541" w:type="pct"/>
            <w:tcBorders>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(3.22)</w:t>
            </w:r>
          </w:p>
        </w:tc>
        <w:tc>
          <w:tcPr>
            <w:tcW w:w="448" w:type="pct"/>
            <w:vMerge/>
            <w:tcBorders>
              <w:bottom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390D9E" w:rsidRPr="00F451B9" w:rsidTr="00390D9E">
        <w:trPr>
          <w:trHeight w:val="300"/>
          <w:jc w:val="center"/>
        </w:trPr>
        <w:tc>
          <w:tcPr>
            <w:tcW w:w="5000" w:type="pct"/>
            <w:gridSpan w:val="10"/>
            <w:tcBorders>
              <w:top w:val="single" w:sz="4" w:space="0" w:color="auto"/>
            </w:tcBorders>
            <w:shd w:val="clear" w:color="auto" w:fill="auto"/>
            <w:noWrap/>
          </w:tcPr>
          <w:p w:rsidR="00390D9E" w:rsidRPr="00F451B9" w:rsidRDefault="00390D9E" w:rsidP="00390D9E">
            <w:pPr>
              <w:spacing w:after="0"/>
              <w:rPr>
                <w:rFonts w:eastAsia="Times New Roman" w:cs="Times New Roman"/>
                <w:color w:val="000000"/>
                <w:sz w:val="16"/>
                <w:szCs w:val="16"/>
                <w:lang w:eastAsia="en-GB"/>
              </w:rPr>
            </w:pPr>
            <w:r>
              <w:rPr>
                <w:rFonts w:eastAsia="Times New Roman" w:cs="Times New Roman"/>
                <w:color w:val="000000"/>
                <w:sz w:val="16"/>
                <w:szCs w:val="16"/>
                <w:lang w:eastAsia="en-GB"/>
              </w:rPr>
              <w:t>Note</w:t>
            </w:r>
            <w:r w:rsidR="00D656E7">
              <w:rPr>
                <w:rFonts w:eastAsia="Times New Roman" w:cs="Times New Roman"/>
                <w:color w:val="000000"/>
                <w:sz w:val="16"/>
                <w:szCs w:val="16"/>
                <w:lang w:eastAsia="en-GB"/>
              </w:rPr>
              <w:t>s</w:t>
            </w:r>
            <w:r>
              <w:rPr>
                <w:rFonts w:eastAsia="Times New Roman" w:cs="Times New Roman"/>
                <w:color w:val="000000"/>
                <w:sz w:val="16"/>
                <w:szCs w:val="16"/>
                <w:lang w:eastAsia="en-GB"/>
              </w:rPr>
              <w:t>:</w:t>
            </w:r>
            <w:r>
              <w:rPr>
                <w:rFonts w:eastAsia="Times New Roman" w:cs="Times New Roman"/>
                <w:color w:val="000000"/>
                <w:sz w:val="18"/>
                <w:szCs w:val="18"/>
                <w:lang w:eastAsia="en-GB"/>
              </w:rPr>
              <w:t xml:space="preserve"> The dependent variable is ERPs of various FTSE indices (in percentage) calculated as the difference between total return and the 3 month Gilts rate.</w:t>
            </w:r>
            <w:r>
              <w:rPr>
                <w:rFonts w:eastAsia="Times New Roman" w:cs="Times New Roman"/>
                <w:color w:val="000000"/>
                <w:sz w:val="16"/>
                <w:szCs w:val="16"/>
                <w:lang w:eastAsia="en-GB"/>
              </w:rPr>
              <w:t xml:space="preserve"> Models estimated are (19), (20) and (21) in Panels A, B and C respectively. </w:t>
            </w:r>
            <w:r>
              <w:rPr>
                <w:rFonts w:eastAsia="Times New Roman" w:cs="Times New Roman"/>
                <w:color w:val="000000"/>
                <w:sz w:val="18"/>
                <w:szCs w:val="18"/>
                <w:lang w:eastAsia="en-GB"/>
              </w:rPr>
              <w:t>The table reports quarterly estimates of the coefficients. Figures in the parentheses are t-statistics computed using Newey-West heteroskedastic-robust standard errors with initial pre-whitening using 2 lags. Adjusted sample period is 1989Q2 – 2014Q4.</w:t>
            </w:r>
          </w:p>
        </w:tc>
      </w:tr>
    </w:tbl>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Pr>
        <w:sectPr w:rsidR="00D85B35" w:rsidSect="00245601">
          <w:headerReference w:type="default" r:id="rId17"/>
          <w:footerReference w:type="default" r:id="rId18"/>
          <w:pgSz w:w="11906" w:h="16838"/>
          <w:pgMar w:top="1440" w:right="1440" w:bottom="1440" w:left="1440" w:header="709" w:footer="709" w:gutter="0"/>
          <w:cols w:space="708"/>
          <w:docGrid w:linePitch="360"/>
        </w:sectPr>
      </w:pPr>
    </w:p>
    <w:tbl>
      <w:tblPr>
        <w:tblW w:w="583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4"/>
        <w:gridCol w:w="684"/>
        <w:gridCol w:w="736"/>
        <w:gridCol w:w="736"/>
        <w:gridCol w:w="736"/>
        <w:gridCol w:w="684"/>
        <w:gridCol w:w="599"/>
        <w:gridCol w:w="764"/>
        <w:gridCol w:w="684"/>
        <w:gridCol w:w="736"/>
        <w:gridCol w:w="736"/>
        <w:gridCol w:w="736"/>
        <w:gridCol w:w="684"/>
        <w:gridCol w:w="599"/>
        <w:gridCol w:w="764"/>
        <w:gridCol w:w="684"/>
        <w:gridCol w:w="679"/>
        <w:gridCol w:w="736"/>
        <w:gridCol w:w="736"/>
        <w:gridCol w:w="684"/>
        <w:gridCol w:w="600"/>
        <w:gridCol w:w="764"/>
      </w:tblGrid>
      <w:tr w:rsidR="00D85B35" w:rsidRPr="00AF3301" w:rsidTr="00390D9E">
        <w:trPr>
          <w:trHeight w:val="300"/>
          <w:jc w:val="center"/>
        </w:trPr>
        <w:tc>
          <w:tcPr>
            <w:tcW w:w="5000" w:type="pct"/>
            <w:gridSpan w:val="22"/>
            <w:tcBorders>
              <w:top w:val="single" w:sz="4" w:space="0" w:color="auto"/>
              <w:left w:val="nil"/>
              <w:right w:val="nil"/>
            </w:tcBorders>
            <w:shd w:val="clear" w:color="auto" w:fill="auto"/>
            <w:noWrap/>
            <w:vAlign w:val="bottom"/>
          </w:tcPr>
          <w:p w:rsidR="00D85B35" w:rsidRPr="00083576" w:rsidRDefault="00D85B35" w:rsidP="008772EC">
            <w:pPr>
              <w:spacing w:after="0"/>
              <w:rPr>
                <w:rFonts w:eastAsia="Times New Roman" w:cs="Times New Roman"/>
                <w:color w:val="000000"/>
                <w:sz w:val="20"/>
                <w:szCs w:val="20"/>
                <w:lang w:eastAsia="en-GB"/>
              </w:rPr>
            </w:pPr>
            <w:r>
              <w:rPr>
                <w:rFonts w:eastAsia="Times New Roman" w:cs="Times New Roman"/>
                <w:color w:val="000000"/>
                <w:sz w:val="20"/>
                <w:szCs w:val="20"/>
                <w:lang w:eastAsia="en-GB"/>
              </w:rPr>
              <w:t>Table 9: The impact of dis-aggregated consumption shocks on ERP of FTSE Indices.</w:t>
            </w:r>
          </w:p>
        </w:tc>
      </w:tr>
      <w:tr w:rsidR="00D85B35" w:rsidRPr="00AF3301" w:rsidTr="00390D9E">
        <w:trPr>
          <w:trHeight w:val="300"/>
          <w:jc w:val="center"/>
        </w:trPr>
        <w:tc>
          <w:tcPr>
            <w:tcW w:w="471" w:type="pct"/>
            <w:tcBorders>
              <w:top w:val="single" w:sz="4" w:space="0" w:color="auto"/>
              <w:left w:val="nil"/>
              <w:bottom w:val="single" w:sz="4" w:space="0" w:color="auto"/>
            </w:tcBorders>
            <w:shd w:val="clear" w:color="auto" w:fill="auto"/>
            <w:noWrap/>
            <w:vAlign w:val="bottom"/>
          </w:tcPr>
          <w:p w:rsidR="00D85B35" w:rsidRPr="00AF3301" w:rsidRDefault="00D85B35" w:rsidP="008772EC">
            <w:pPr>
              <w:spacing w:after="0"/>
              <w:jc w:val="center"/>
              <w:rPr>
                <w:rFonts w:eastAsia="Times New Roman" w:cs="Times New Roman"/>
                <w:color w:val="000000"/>
                <w:sz w:val="17"/>
                <w:szCs w:val="17"/>
                <w:lang w:eastAsia="en-GB"/>
              </w:rPr>
            </w:pPr>
          </w:p>
        </w:tc>
        <w:tc>
          <w:tcPr>
            <w:tcW w:w="1515" w:type="pct"/>
            <w:gridSpan w:val="7"/>
            <w:tcBorders>
              <w:top w:val="single" w:sz="4" w:space="0" w:color="auto"/>
              <w:bottom w:val="single" w:sz="4" w:space="0" w:color="auto"/>
              <w:right w:val="single" w:sz="4" w:space="0" w:color="auto"/>
            </w:tcBorders>
            <w:shd w:val="clear" w:color="auto" w:fill="auto"/>
            <w:noWrap/>
            <w:vAlign w:val="bottom"/>
          </w:tcPr>
          <w:p w:rsidR="00D85B35" w:rsidRPr="00B468C1" w:rsidRDefault="00D85B35" w:rsidP="008772EC">
            <w:pPr>
              <w:spacing w:after="0"/>
              <w:jc w:val="center"/>
              <w:rPr>
                <w:rFonts w:eastAsia="Times New Roman" w:cs="Times New Roman"/>
                <w:color w:val="000000"/>
                <w:sz w:val="16"/>
                <w:szCs w:val="16"/>
                <w:lang w:eastAsia="en-GB"/>
              </w:rPr>
            </w:pPr>
            <w:r w:rsidRPr="00B468C1">
              <w:rPr>
                <w:rFonts w:eastAsia="Times New Roman" w:cs="Times New Roman"/>
                <w:color w:val="000000"/>
                <w:sz w:val="16"/>
                <w:szCs w:val="16"/>
                <w:lang w:eastAsia="en-GB"/>
              </w:rPr>
              <w:t>Panel A</w:t>
            </w:r>
          </w:p>
        </w:tc>
        <w:tc>
          <w:tcPr>
            <w:tcW w:w="1515"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85B35" w:rsidRPr="00B468C1" w:rsidRDefault="00D85B35" w:rsidP="008772EC">
            <w:pPr>
              <w:spacing w:after="0"/>
              <w:jc w:val="center"/>
              <w:rPr>
                <w:rFonts w:eastAsia="Times New Roman" w:cs="Times New Roman"/>
                <w:color w:val="000000"/>
                <w:sz w:val="16"/>
                <w:szCs w:val="16"/>
                <w:lang w:eastAsia="en-GB"/>
              </w:rPr>
            </w:pPr>
            <w:r w:rsidRPr="00B468C1">
              <w:rPr>
                <w:rFonts w:eastAsia="Times New Roman" w:cs="Times New Roman"/>
                <w:color w:val="000000"/>
                <w:sz w:val="16"/>
                <w:szCs w:val="16"/>
                <w:lang w:eastAsia="en-GB"/>
              </w:rPr>
              <w:t>Panel B</w:t>
            </w:r>
          </w:p>
        </w:tc>
        <w:tc>
          <w:tcPr>
            <w:tcW w:w="1498" w:type="pct"/>
            <w:gridSpan w:val="7"/>
            <w:tcBorders>
              <w:top w:val="single" w:sz="4" w:space="0" w:color="auto"/>
              <w:left w:val="single" w:sz="4" w:space="0" w:color="auto"/>
              <w:bottom w:val="single" w:sz="4" w:space="0" w:color="auto"/>
              <w:right w:val="nil"/>
            </w:tcBorders>
            <w:shd w:val="clear" w:color="auto" w:fill="auto"/>
            <w:noWrap/>
            <w:vAlign w:val="bottom"/>
          </w:tcPr>
          <w:p w:rsidR="00D85B35" w:rsidRPr="00B468C1" w:rsidRDefault="00D85B35" w:rsidP="008772EC">
            <w:pPr>
              <w:spacing w:after="0"/>
              <w:jc w:val="center"/>
              <w:rPr>
                <w:rFonts w:eastAsia="Times New Roman" w:cs="Times New Roman"/>
                <w:color w:val="000000"/>
                <w:sz w:val="16"/>
                <w:szCs w:val="16"/>
                <w:lang w:eastAsia="en-GB"/>
              </w:rPr>
            </w:pPr>
            <w:r w:rsidRPr="00B468C1">
              <w:rPr>
                <w:rFonts w:eastAsia="Times New Roman" w:cs="Times New Roman"/>
                <w:color w:val="000000"/>
                <w:sz w:val="16"/>
                <w:szCs w:val="16"/>
                <w:lang w:eastAsia="en-GB"/>
              </w:rPr>
              <w:t>Panel C</w:t>
            </w:r>
          </w:p>
        </w:tc>
      </w:tr>
      <w:tr w:rsidR="00D85B35" w:rsidRPr="00AF3301" w:rsidTr="00390D9E">
        <w:trPr>
          <w:trHeight w:val="206"/>
          <w:jc w:val="center"/>
        </w:trPr>
        <w:tc>
          <w:tcPr>
            <w:tcW w:w="471" w:type="pct"/>
            <w:tcBorders>
              <w:top w:val="single" w:sz="4" w:space="0" w:color="auto"/>
              <w:left w:val="nil"/>
              <w:bottom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1515" w:type="pct"/>
            <w:gridSpan w:val="7"/>
            <w:tcBorders>
              <w:top w:val="single" w:sz="4" w:space="0" w:color="auto"/>
              <w:bottom w:val="single" w:sz="4" w:space="0" w:color="auto"/>
              <w:right w:val="single" w:sz="4" w:space="0" w:color="auto"/>
            </w:tcBorders>
            <w:shd w:val="clear" w:color="auto" w:fill="auto"/>
            <w:noWrap/>
            <w:vAlign w:val="bottom"/>
          </w:tcPr>
          <w:p w:rsidR="00D85B35" w:rsidRPr="00B468C1" w:rsidRDefault="00D85B35" w:rsidP="008772EC">
            <w:pPr>
              <w:spacing w:after="0"/>
              <w:jc w:val="center"/>
              <w:rPr>
                <w:rFonts w:eastAsia="Times New Roman" w:cs="Times New Roman"/>
                <w:color w:val="000000"/>
                <w:sz w:val="18"/>
                <w:szCs w:val="18"/>
                <w:lang w:eastAsia="en-GB"/>
              </w:rPr>
            </w:pPr>
            <w:r w:rsidRPr="00B468C1">
              <w:rPr>
                <w:rFonts w:eastAsia="Times New Roman" w:cs="Times New Roman"/>
                <w:color w:val="000000"/>
                <w:sz w:val="18"/>
                <w:szCs w:val="18"/>
                <w:lang w:eastAsia="en-GB"/>
              </w:rPr>
              <w:t>Durable Consumption Shocks</w:t>
            </w:r>
          </w:p>
        </w:tc>
        <w:tc>
          <w:tcPr>
            <w:tcW w:w="1515"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85B35" w:rsidRPr="00B468C1" w:rsidRDefault="00D85B35" w:rsidP="008772EC">
            <w:pPr>
              <w:spacing w:after="0"/>
              <w:jc w:val="center"/>
              <w:rPr>
                <w:rFonts w:eastAsia="Times New Roman" w:cs="Times New Roman"/>
                <w:color w:val="000000"/>
                <w:sz w:val="18"/>
                <w:szCs w:val="18"/>
                <w:lang w:eastAsia="en-GB"/>
              </w:rPr>
            </w:pPr>
            <w:r w:rsidRPr="00B468C1">
              <w:rPr>
                <w:rFonts w:eastAsia="Times New Roman" w:cs="Times New Roman"/>
                <w:color w:val="000000"/>
                <w:sz w:val="18"/>
                <w:szCs w:val="18"/>
                <w:lang w:eastAsia="en-GB"/>
              </w:rPr>
              <w:t>Semi-Durable Consumption Shocks</w:t>
            </w:r>
          </w:p>
        </w:tc>
        <w:tc>
          <w:tcPr>
            <w:tcW w:w="1498" w:type="pct"/>
            <w:gridSpan w:val="7"/>
            <w:tcBorders>
              <w:top w:val="single" w:sz="4" w:space="0" w:color="auto"/>
              <w:left w:val="single" w:sz="4" w:space="0" w:color="auto"/>
              <w:bottom w:val="single" w:sz="4" w:space="0" w:color="auto"/>
              <w:right w:val="nil"/>
            </w:tcBorders>
            <w:shd w:val="clear" w:color="auto" w:fill="auto"/>
            <w:noWrap/>
            <w:vAlign w:val="bottom"/>
          </w:tcPr>
          <w:p w:rsidR="00D85B35" w:rsidRPr="00B468C1" w:rsidRDefault="00D85B35" w:rsidP="008772EC">
            <w:pPr>
              <w:spacing w:after="0"/>
              <w:jc w:val="center"/>
              <w:rPr>
                <w:rFonts w:eastAsia="Times New Roman" w:cs="Times New Roman"/>
                <w:color w:val="000000"/>
                <w:sz w:val="18"/>
                <w:szCs w:val="18"/>
                <w:lang w:eastAsia="en-GB"/>
              </w:rPr>
            </w:pPr>
            <w:r w:rsidRPr="00B468C1">
              <w:rPr>
                <w:rFonts w:eastAsia="Times New Roman" w:cs="Times New Roman"/>
                <w:color w:val="000000"/>
                <w:sz w:val="18"/>
                <w:szCs w:val="18"/>
                <w:lang w:eastAsia="en-GB"/>
              </w:rPr>
              <w:t>Non-Durable Consumption Shocks</w:t>
            </w:r>
          </w:p>
        </w:tc>
      </w:tr>
      <w:tr w:rsidR="00D85B35" w:rsidRPr="00AF3301" w:rsidTr="00390D9E">
        <w:trPr>
          <w:trHeight w:val="300"/>
          <w:jc w:val="center"/>
        </w:trPr>
        <w:tc>
          <w:tcPr>
            <w:tcW w:w="471" w:type="pct"/>
            <w:tcBorders>
              <w:top w:val="single" w:sz="4" w:space="0" w:color="auto"/>
              <w:left w:val="nil"/>
              <w:bottom w:val="single" w:sz="4" w:space="0" w:color="auto"/>
            </w:tcBorders>
            <w:shd w:val="clear" w:color="auto" w:fill="auto"/>
            <w:noWrap/>
            <w:vAlign w:val="center"/>
            <w:hideMark/>
          </w:tcPr>
          <w:p w:rsidR="00D85B35" w:rsidRPr="00AF3301" w:rsidRDefault="00D85B35" w:rsidP="008772EC">
            <w:pPr>
              <w:spacing w:after="0"/>
              <w:jc w:val="center"/>
              <w:rPr>
                <w:rFonts w:eastAsia="Times New Roman" w:cs="Times New Roman"/>
                <w:color w:val="000000"/>
                <w:sz w:val="17"/>
                <w:szCs w:val="17"/>
                <w:lang w:eastAsia="en-GB"/>
              </w:rPr>
            </w:pPr>
            <w:r>
              <w:rPr>
                <w:rFonts w:eastAsia="Times New Roman" w:cs="Times New Roman"/>
                <w:color w:val="000000"/>
                <w:sz w:val="17"/>
                <w:szCs w:val="17"/>
                <w:lang w:eastAsia="en-GB"/>
              </w:rPr>
              <w:t>FTSE Indices</w:t>
            </w:r>
          </w:p>
        </w:tc>
        <w:tc>
          <w:tcPr>
            <w:tcW w:w="210" w:type="pct"/>
            <w:tcBorders>
              <w:top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
                  <m:sSubPr>
                    <m:ctrlPr>
                      <w:rPr>
                        <w:rFonts w:ascii="Cambria Math" w:eastAsiaTheme="minorEastAsia" w:hAnsi="Cambria Math"/>
                        <w:i/>
                        <w:sz w:val="17"/>
                        <w:szCs w:val="17"/>
                      </w:rPr>
                    </m:ctrlPr>
                  </m:sSubPr>
                  <m:e>
                    <m:r>
                      <w:rPr>
                        <w:rFonts w:ascii="Cambria Math" w:eastAsiaTheme="minorEastAsia" w:hAnsi="Cambria Math"/>
                        <w:sz w:val="17"/>
                        <w:szCs w:val="17"/>
                      </w:rPr>
                      <m:t>α</m:t>
                    </m:r>
                  </m:e>
                  <m:sub>
                    <m:r>
                      <w:rPr>
                        <w:rFonts w:ascii="Cambria Math" w:eastAsiaTheme="minorEastAsia" w:hAnsi="Cambria Math"/>
                        <w:sz w:val="17"/>
                        <w:szCs w:val="17"/>
                      </w:rPr>
                      <m:t>i</m:t>
                    </m:r>
                  </m:sub>
                </m:sSub>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Sup>
                  <m:sSubSupPr>
                    <m:ctrlPr>
                      <w:rPr>
                        <w:rFonts w:ascii="Cambria Math" w:eastAsiaTheme="minorEastAsia" w:hAnsi="Cambria Math"/>
                        <w:i/>
                        <w:sz w:val="17"/>
                        <w:szCs w:val="17"/>
                      </w:rPr>
                    </m:ctrlPr>
                  </m:sSubSupPr>
                  <m:e>
                    <m:r>
                      <w:rPr>
                        <w:rFonts w:ascii="Cambria Math" w:eastAsiaTheme="minorEastAsia" w:hAnsi="Cambria Math"/>
                        <w:sz w:val="17"/>
                        <w:szCs w:val="17"/>
                      </w:rPr>
                      <m:t>β</m:t>
                    </m:r>
                  </m:e>
                  <m:sub>
                    <m:r>
                      <w:rPr>
                        <w:rFonts w:ascii="Cambria Math" w:eastAsiaTheme="minorEastAsia" w:hAnsi="Cambria Math"/>
                        <w:sz w:val="17"/>
                        <w:szCs w:val="17"/>
                      </w:rPr>
                      <m:t>dc</m:t>
                    </m:r>
                  </m:sub>
                  <m:sup>
                    <m:r>
                      <w:rPr>
                        <w:rFonts w:ascii="Cambria Math" w:eastAsiaTheme="minorEastAsia" w:hAnsi="Cambria Math"/>
                        <w:sz w:val="17"/>
                        <w:szCs w:val="17"/>
                      </w:rPr>
                      <m:t>i</m:t>
                    </m:r>
                  </m:sup>
                </m:sSubSup>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s</m:t>
                    </m:r>
                  </m:sub>
                  <m:sup>
                    <m:r>
                      <w:rPr>
                        <w:rFonts w:ascii="Cambria Math" w:eastAsia="Cambria Math" w:hAnsi="Cambria Math" w:cs="Cambria Math"/>
                        <w:noProof/>
                        <w:sz w:val="17"/>
                        <w:szCs w:val="17"/>
                      </w:rPr>
                      <m:t>i</m:t>
                    </m:r>
                  </m:sup>
                </m:sSubSup>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v</m:t>
                    </m:r>
                  </m:sub>
                  <m:sup>
                    <m:r>
                      <w:rPr>
                        <w:rFonts w:ascii="Cambria Math" w:eastAsia="Cambria Math" w:hAnsi="Cambria Math" w:cs="Cambria Math"/>
                        <w:noProof/>
                        <w:sz w:val="17"/>
                        <w:szCs w:val="17"/>
                      </w:rPr>
                      <m:t>i</m:t>
                    </m:r>
                  </m:sup>
                </m:sSubSup>
              </m:oMath>
            </m:oMathPara>
          </w:p>
        </w:tc>
        <w:tc>
          <w:tcPr>
            <w:tcW w:w="210" w:type="pct"/>
            <w:tcBorders>
              <w:top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m</m:t>
                    </m:r>
                  </m:sub>
                  <m:sup>
                    <m:r>
                      <w:rPr>
                        <w:rFonts w:ascii="Cambria Math" w:eastAsia="Cambria Math" w:hAnsi="Cambria Math" w:cs="Cambria Math"/>
                        <w:noProof/>
                        <w:sz w:val="17"/>
                        <w:szCs w:val="17"/>
                      </w:rPr>
                      <m:t>i</m:t>
                    </m:r>
                  </m:sup>
                </m:sSubSup>
              </m:oMath>
            </m:oMathPara>
          </w:p>
        </w:tc>
        <w:tc>
          <w:tcPr>
            <w:tcW w:w="184" w:type="pct"/>
            <w:tcBorders>
              <w:top w:val="single" w:sz="4" w:space="0" w:color="auto"/>
              <w:bottom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R</w:t>
            </w:r>
            <w:r w:rsidRPr="00AF3301">
              <w:rPr>
                <w:rFonts w:eastAsia="Times New Roman" w:cs="Times New Roman"/>
                <w:color w:val="000000"/>
                <w:sz w:val="17"/>
                <w:szCs w:val="17"/>
                <w:vertAlign w:val="superscript"/>
                <w:lang w:eastAsia="en-GB"/>
              </w:rPr>
              <w:t>2</w:t>
            </w:r>
          </w:p>
        </w:tc>
        <w:tc>
          <w:tcPr>
            <w:tcW w:w="234" w:type="pct"/>
            <w:tcBorders>
              <w:top w:val="single" w:sz="4" w:space="0" w:color="auto"/>
              <w:bottom w:val="single" w:sz="4" w:space="0" w:color="auto"/>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F-stat</w:t>
            </w:r>
          </w:p>
        </w:tc>
        <w:tc>
          <w:tcPr>
            <w:tcW w:w="210" w:type="pct"/>
            <w:tcBorders>
              <w:top w:val="single" w:sz="4" w:space="0" w:color="auto"/>
              <w:left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
                  <m:sSubPr>
                    <m:ctrlPr>
                      <w:rPr>
                        <w:rFonts w:ascii="Cambria Math" w:eastAsiaTheme="minorEastAsia" w:hAnsi="Cambria Math"/>
                        <w:i/>
                        <w:sz w:val="17"/>
                        <w:szCs w:val="17"/>
                      </w:rPr>
                    </m:ctrlPr>
                  </m:sSubPr>
                  <m:e>
                    <m:r>
                      <w:rPr>
                        <w:rFonts w:ascii="Cambria Math" w:eastAsiaTheme="minorEastAsia" w:hAnsi="Cambria Math"/>
                        <w:sz w:val="17"/>
                        <w:szCs w:val="17"/>
                      </w:rPr>
                      <m:t>α</m:t>
                    </m:r>
                  </m:e>
                  <m:sub>
                    <m:r>
                      <w:rPr>
                        <w:rFonts w:ascii="Cambria Math" w:eastAsiaTheme="minorEastAsia" w:hAnsi="Cambria Math"/>
                        <w:sz w:val="17"/>
                        <w:szCs w:val="17"/>
                      </w:rPr>
                      <m:t>i</m:t>
                    </m:r>
                  </m:sub>
                </m:sSub>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Sup>
                  <m:sSubSupPr>
                    <m:ctrlPr>
                      <w:rPr>
                        <w:rFonts w:ascii="Cambria Math" w:eastAsiaTheme="minorEastAsia" w:hAnsi="Cambria Math"/>
                        <w:i/>
                        <w:sz w:val="17"/>
                        <w:szCs w:val="17"/>
                      </w:rPr>
                    </m:ctrlPr>
                  </m:sSubSupPr>
                  <m:e>
                    <m:r>
                      <w:rPr>
                        <w:rFonts w:ascii="Cambria Math" w:eastAsiaTheme="minorEastAsia" w:hAnsi="Cambria Math"/>
                        <w:sz w:val="17"/>
                        <w:szCs w:val="17"/>
                      </w:rPr>
                      <m:t>β</m:t>
                    </m:r>
                  </m:e>
                  <m:sub>
                    <m:r>
                      <w:rPr>
                        <w:rFonts w:ascii="Cambria Math" w:eastAsiaTheme="minorEastAsia" w:hAnsi="Cambria Math"/>
                        <w:sz w:val="17"/>
                        <w:szCs w:val="17"/>
                      </w:rPr>
                      <m:t>sdc</m:t>
                    </m:r>
                  </m:sub>
                  <m:sup>
                    <m:r>
                      <w:rPr>
                        <w:rFonts w:ascii="Cambria Math" w:eastAsiaTheme="minorEastAsia" w:hAnsi="Cambria Math"/>
                        <w:sz w:val="17"/>
                        <w:szCs w:val="17"/>
                      </w:rPr>
                      <m:t>i</m:t>
                    </m:r>
                  </m:sup>
                </m:sSubSup>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s</m:t>
                    </m:r>
                  </m:sub>
                  <m:sup>
                    <m:r>
                      <w:rPr>
                        <w:rFonts w:ascii="Cambria Math" w:eastAsia="Cambria Math" w:hAnsi="Cambria Math" w:cs="Cambria Math"/>
                        <w:noProof/>
                        <w:sz w:val="17"/>
                        <w:szCs w:val="17"/>
                      </w:rPr>
                      <m:t>i</m:t>
                    </m:r>
                  </m:sup>
                </m:sSubSup>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v</m:t>
                    </m:r>
                  </m:sub>
                  <m:sup>
                    <m:r>
                      <w:rPr>
                        <w:rFonts w:ascii="Cambria Math" w:eastAsia="Cambria Math" w:hAnsi="Cambria Math" w:cs="Cambria Math"/>
                        <w:noProof/>
                        <w:sz w:val="17"/>
                        <w:szCs w:val="17"/>
                      </w:rPr>
                      <m:t>i</m:t>
                    </m:r>
                  </m:sup>
                </m:sSubSup>
              </m:oMath>
            </m:oMathPara>
          </w:p>
        </w:tc>
        <w:tc>
          <w:tcPr>
            <w:tcW w:w="210" w:type="pct"/>
            <w:tcBorders>
              <w:top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m</m:t>
                    </m:r>
                  </m:sub>
                  <m:sup>
                    <m:r>
                      <w:rPr>
                        <w:rFonts w:ascii="Cambria Math" w:eastAsia="Cambria Math" w:hAnsi="Cambria Math" w:cs="Cambria Math"/>
                        <w:noProof/>
                        <w:sz w:val="17"/>
                        <w:szCs w:val="17"/>
                      </w:rPr>
                      <m:t>i</m:t>
                    </m:r>
                  </m:sup>
                </m:sSubSup>
              </m:oMath>
            </m:oMathPara>
          </w:p>
        </w:tc>
        <w:tc>
          <w:tcPr>
            <w:tcW w:w="184" w:type="pct"/>
            <w:tcBorders>
              <w:top w:val="single" w:sz="4" w:space="0" w:color="auto"/>
              <w:bottom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R</w:t>
            </w:r>
            <w:r w:rsidRPr="00AF3301">
              <w:rPr>
                <w:rFonts w:eastAsia="Times New Roman" w:cs="Times New Roman"/>
                <w:color w:val="000000"/>
                <w:sz w:val="17"/>
                <w:szCs w:val="17"/>
                <w:vertAlign w:val="superscript"/>
                <w:lang w:eastAsia="en-GB"/>
              </w:rPr>
              <w:t>2</w:t>
            </w:r>
          </w:p>
        </w:tc>
        <w:tc>
          <w:tcPr>
            <w:tcW w:w="234" w:type="pct"/>
            <w:tcBorders>
              <w:top w:val="single" w:sz="4" w:space="0" w:color="auto"/>
              <w:bottom w:val="single" w:sz="4" w:space="0" w:color="auto"/>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F-stat</w:t>
            </w:r>
          </w:p>
        </w:tc>
        <w:tc>
          <w:tcPr>
            <w:tcW w:w="210" w:type="pct"/>
            <w:tcBorders>
              <w:top w:val="single" w:sz="4" w:space="0" w:color="auto"/>
              <w:left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
                  <m:sSubPr>
                    <m:ctrlPr>
                      <w:rPr>
                        <w:rFonts w:ascii="Cambria Math" w:eastAsiaTheme="minorEastAsia" w:hAnsi="Cambria Math"/>
                        <w:i/>
                        <w:sz w:val="17"/>
                        <w:szCs w:val="17"/>
                      </w:rPr>
                    </m:ctrlPr>
                  </m:sSubPr>
                  <m:e>
                    <m:r>
                      <w:rPr>
                        <w:rFonts w:ascii="Cambria Math" w:eastAsiaTheme="minorEastAsia" w:hAnsi="Cambria Math"/>
                        <w:sz w:val="17"/>
                        <w:szCs w:val="17"/>
                      </w:rPr>
                      <m:t>α</m:t>
                    </m:r>
                  </m:e>
                  <m:sub>
                    <m:r>
                      <w:rPr>
                        <w:rFonts w:ascii="Cambria Math" w:eastAsiaTheme="minorEastAsia" w:hAnsi="Cambria Math"/>
                        <w:sz w:val="17"/>
                        <w:szCs w:val="17"/>
                      </w:rPr>
                      <m:t>i</m:t>
                    </m:r>
                  </m:sub>
                </m:sSub>
              </m:oMath>
            </m:oMathPara>
          </w:p>
        </w:tc>
        <w:tc>
          <w:tcPr>
            <w:tcW w:w="208" w:type="pct"/>
            <w:tcBorders>
              <w:top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Sup>
                  <m:sSubSupPr>
                    <m:ctrlPr>
                      <w:rPr>
                        <w:rFonts w:ascii="Cambria Math" w:eastAsiaTheme="minorEastAsia" w:hAnsi="Cambria Math"/>
                        <w:i/>
                        <w:sz w:val="17"/>
                        <w:szCs w:val="17"/>
                      </w:rPr>
                    </m:ctrlPr>
                  </m:sSubSupPr>
                  <m:e>
                    <m:r>
                      <w:rPr>
                        <w:rFonts w:ascii="Cambria Math" w:eastAsiaTheme="minorEastAsia" w:hAnsi="Cambria Math"/>
                        <w:sz w:val="17"/>
                        <w:szCs w:val="17"/>
                      </w:rPr>
                      <m:t>β</m:t>
                    </m:r>
                  </m:e>
                  <m:sub>
                    <m:r>
                      <w:rPr>
                        <w:rFonts w:ascii="Cambria Math" w:eastAsiaTheme="minorEastAsia" w:hAnsi="Cambria Math"/>
                        <w:sz w:val="17"/>
                        <w:szCs w:val="17"/>
                      </w:rPr>
                      <m:t>ndc</m:t>
                    </m:r>
                  </m:sub>
                  <m:sup>
                    <m:r>
                      <w:rPr>
                        <w:rFonts w:ascii="Cambria Math" w:eastAsiaTheme="minorEastAsia" w:hAnsi="Cambria Math"/>
                        <w:sz w:val="17"/>
                        <w:szCs w:val="17"/>
                      </w:rPr>
                      <m:t>i</m:t>
                    </m:r>
                  </m:sup>
                </m:sSubSup>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s</m:t>
                    </m:r>
                  </m:sub>
                  <m:sup>
                    <m:r>
                      <w:rPr>
                        <w:rFonts w:ascii="Cambria Math" w:eastAsia="Cambria Math" w:hAnsi="Cambria Math" w:cs="Cambria Math"/>
                        <w:noProof/>
                        <w:sz w:val="17"/>
                        <w:szCs w:val="17"/>
                      </w:rPr>
                      <m:t>i</m:t>
                    </m:r>
                  </m:sup>
                </m:sSubSup>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v</m:t>
                    </m:r>
                  </m:sub>
                  <m:sup>
                    <m:r>
                      <w:rPr>
                        <w:rFonts w:ascii="Cambria Math" w:eastAsia="Cambria Math" w:hAnsi="Cambria Math" w:cs="Cambria Math"/>
                        <w:noProof/>
                        <w:sz w:val="17"/>
                        <w:szCs w:val="17"/>
                      </w:rPr>
                      <m:t>i</m:t>
                    </m:r>
                  </m:sup>
                </m:sSubSup>
              </m:oMath>
            </m:oMathPara>
          </w:p>
        </w:tc>
        <w:tc>
          <w:tcPr>
            <w:tcW w:w="210" w:type="pct"/>
            <w:tcBorders>
              <w:top w:val="single" w:sz="4" w:space="0" w:color="auto"/>
              <w:bottom w:val="single" w:sz="4" w:space="0" w:color="auto"/>
            </w:tcBorders>
            <w:shd w:val="clear" w:color="auto" w:fill="auto"/>
            <w:noWrap/>
            <w:vAlign w:val="bottom"/>
            <w:hideMark/>
          </w:tcPr>
          <w:p w:rsidR="00D85B35" w:rsidRPr="00AF3301" w:rsidRDefault="005E14F1"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m</m:t>
                    </m:r>
                  </m:sub>
                  <m:sup>
                    <m:r>
                      <w:rPr>
                        <w:rFonts w:ascii="Cambria Math" w:eastAsia="Cambria Math" w:hAnsi="Cambria Math" w:cs="Cambria Math"/>
                        <w:noProof/>
                        <w:sz w:val="17"/>
                        <w:szCs w:val="17"/>
                      </w:rPr>
                      <m:t>i</m:t>
                    </m:r>
                  </m:sup>
                </m:sSubSup>
              </m:oMath>
            </m:oMathPara>
          </w:p>
        </w:tc>
        <w:tc>
          <w:tcPr>
            <w:tcW w:w="184" w:type="pct"/>
            <w:tcBorders>
              <w:top w:val="single" w:sz="4" w:space="0" w:color="auto"/>
              <w:bottom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R</w:t>
            </w:r>
            <w:r w:rsidRPr="00AF3301">
              <w:rPr>
                <w:rFonts w:eastAsia="Times New Roman" w:cs="Times New Roman"/>
                <w:color w:val="000000"/>
                <w:sz w:val="17"/>
                <w:szCs w:val="17"/>
                <w:vertAlign w:val="superscript"/>
                <w:lang w:eastAsia="en-GB"/>
              </w:rPr>
              <w:t>2</w:t>
            </w:r>
          </w:p>
        </w:tc>
        <w:tc>
          <w:tcPr>
            <w:tcW w:w="234" w:type="pct"/>
            <w:tcBorders>
              <w:top w:val="single" w:sz="4" w:space="0" w:color="auto"/>
              <w:bottom w:val="single" w:sz="4" w:space="0" w:color="auto"/>
              <w:right w:val="nil"/>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F-stat</w:t>
            </w:r>
          </w:p>
        </w:tc>
      </w:tr>
      <w:tr w:rsidR="00D85B35" w:rsidRPr="00AF3301" w:rsidTr="00390D9E">
        <w:trPr>
          <w:trHeight w:val="300"/>
          <w:jc w:val="center"/>
        </w:trPr>
        <w:tc>
          <w:tcPr>
            <w:tcW w:w="471" w:type="pct"/>
            <w:tcBorders>
              <w:top w:val="single" w:sz="4" w:space="0" w:color="auto"/>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FTSE 100</w:t>
            </w:r>
          </w:p>
        </w:tc>
        <w:tc>
          <w:tcPr>
            <w:tcW w:w="210"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0.84</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-4.91</w:t>
            </w:r>
            <w:r w:rsidRPr="00AF3301">
              <w:rPr>
                <w:rFonts w:eastAsia="Times New Roman" w:cs="Times New Roman"/>
                <w:color w:val="000000"/>
                <w:sz w:val="17"/>
                <w:szCs w:val="17"/>
                <w:vertAlign w:val="superscript"/>
                <w:lang w:eastAsia="en-GB"/>
              </w:rPr>
              <w:t>***</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0.33</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-0.08</w:t>
            </w:r>
          </w:p>
        </w:tc>
        <w:tc>
          <w:tcPr>
            <w:tcW w:w="210"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-0.11</w:t>
            </w:r>
          </w:p>
        </w:tc>
        <w:tc>
          <w:tcPr>
            <w:tcW w:w="184"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26.68</w:t>
            </w:r>
          </w:p>
        </w:tc>
        <w:tc>
          <w:tcPr>
            <w:tcW w:w="234" w:type="pct"/>
            <w:tcBorders>
              <w:top w:val="single" w:sz="4" w:space="0" w:color="auto"/>
              <w:righ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10.01</w:t>
            </w:r>
            <w:r w:rsidRPr="00AF3301">
              <w:rPr>
                <w:rFonts w:eastAsia="Times New Roman" w:cs="Times New Roman"/>
                <w:color w:val="000000"/>
                <w:sz w:val="17"/>
                <w:szCs w:val="17"/>
                <w:vertAlign w:val="superscript"/>
                <w:lang w:eastAsia="en-GB"/>
              </w:rPr>
              <w:t>***</w:t>
            </w:r>
          </w:p>
        </w:tc>
        <w:tc>
          <w:tcPr>
            <w:tcW w:w="210" w:type="pct"/>
            <w:tcBorders>
              <w:top w:val="single" w:sz="4" w:space="0" w:color="auto"/>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0.88</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-4.75</w:t>
            </w:r>
            <w:r w:rsidRPr="00AF3301">
              <w:rPr>
                <w:rFonts w:eastAsia="Times New Roman" w:cs="Times New Roman"/>
                <w:color w:val="000000"/>
                <w:sz w:val="17"/>
                <w:szCs w:val="17"/>
                <w:vertAlign w:val="superscript"/>
                <w:lang w:eastAsia="en-GB"/>
              </w:rPr>
              <w:t>***</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0.31</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-0.07</w:t>
            </w:r>
          </w:p>
        </w:tc>
        <w:tc>
          <w:tcPr>
            <w:tcW w:w="210"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-0.11</w:t>
            </w:r>
          </w:p>
        </w:tc>
        <w:tc>
          <w:tcPr>
            <w:tcW w:w="184"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26.46</w:t>
            </w:r>
          </w:p>
        </w:tc>
        <w:tc>
          <w:tcPr>
            <w:tcW w:w="234" w:type="pct"/>
            <w:tcBorders>
              <w:top w:val="single" w:sz="4" w:space="0" w:color="auto"/>
              <w:righ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10.00</w:t>
            </w:r>
            <w:r w:rsidRPr="00AF3301">
              <w:rPr>
                <w:rFonts w:eastAsia="Times New Roman" w:cs="Times New Roman"/>
                <w:color w:val="000000"/>
                <w:sz w:val="17"/>
                <w:szCs w:val="17"/>
                <w:vertAlign w:val="superscript"/>
                <w:lang w:eastAsia="en-GB"/>
              </w:rPr>
              <w:t>***</w:t>
            </w:r>
          </w:p>
        </w:tc>
        <w:tc>
          <w:tcPr>
            <w:tcW w:w="210" w:type="pct"/>
            <w:tcBorders>
              <w:top w:val="single" w:sz="4" w:space="0" w:color="auto"/>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0.80</w:t>
            </w:r>
          </w:p>
        </w:tc>
        <w:tc>
          <w:tcPr>
            <w:tcW w:w="208"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4.76</w:t>
            </w:r>
            <w:r w:rsidRPr="00AF3301">
              <w:rPr>
                <w:rFonts w:eastAsia="Times New Roman" w:cs="Times New Roman"/>
                <w:color w:val="000000"/>
                <w:sz w:val="17"/>
                <w:szCs w:val="17"/>
                <w:vertAlign w:val="superscript"/>
                <w:lang w:eastAsia="en-GB"/>
              </w:rPr>
              <w:t>***</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0.31</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0.10</w:t>
            </w:r>
          </w:p>
        </w:tc>
        <w:tc>
          <w:tcPr>
            <w:tcW w:w="210"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0.01</w:t>
            </w:r>
          </w:p>
        </w:tc>
        <w:tc>
          <w:tcPr>
            <w:tcW w:w="184"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30.01</w:t>
            </w:r>
          </w:p>
        </w:tc>
        <w:tc>
          <w:tcPr>
            <w:tcW w:w="234" w:type="pct"/>
            <w:tcBorders>
              <w:top w:val="single" w:sz="4" w:space="0" w:color="auto"/>
              <w:right w:val="nil"/>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11.93</w:t>
            </w:r>
            <w:r w:rsidRPr="00AF3301">
              <w:rPr>
                <w:rFonts w:eastAsia="Times New Roman" w:cs="Times New Roman"/>
                <w:color w:val="000000"/>
                <w:sz w:val="17"/>
                <w:szCs w:val="17"/>
                <w:vertAlign w:val="superscript"/>
                <w:lang w:eastAsia="en-GB"/>
              </w:rPr>
              <w:t>***</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-7.11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-0.18</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-0.26</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-7.92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-0.15</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-0.25</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1.40</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7.84</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1.31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0.19</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0.01</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nil"/>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FTSE 250</w:t>
            </w:r>
          </w:p>
        </w:tc>
        <w:tc>
          <w:tcPr>
            <w:tcW w:w="210"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1.30</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-5.12</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2.23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0.19</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-0.17</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47.93</w:t>
            </w:r>
          </w:p>
        </w:tc>
        <w:tc>
          <w:tcPr>
            <w:tcW w:w="234" w:type="pct"/>
            <w:tcBorders>
              <w:right w:val="single" w:sz="4" w:space="0" w:color="auto"/>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23.78</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1.35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-4.88</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2.20</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0.19</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-0.18</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47.27</w:t>
            </w:r>
          </w:p>
        </w:tc>
        <w:tc>
          <w:tcPr>
            <w:tcW w:w="234" w:type="pct"/>
            <w:tcBorders>
              <w:right w:val="single" w:sz="4" w:space="0" w:color="auto"/>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23.41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1.25</w:t>
            </w:r>
            <w:r>
              <w:rPr>
                <w:rFonts w:eastAsia="Times New Roman" w:cs="Times New Roman"/>
                <w:color w:val="000000"/>
                <w:sz w:val="17"/>
                <w:szCs w:val="17"/>
                <w:vertAlign w:val="superscript"/>
                <w:lang w:eastAsia="en-GB"/>
              </w:rPr>
              <w:t>*</w:t>
            </w:r>
          </w:p>
        </w:tc>
        <w:tc>
          <w:tcPr>
            <w:tcW w:w="208"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5.03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2.21</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0.38</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-0.05</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50.90</w:t>
            </w:r>
          </w:p>
        </w:tc>
        <w:tc>
          <w:tcPr>
            <w:tcW w:w="234" w:type="pct"/>
            <w:tcBorders>
              <w:right w:val="nil"/>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27.43</w:t>
            </w:r>
            <w:r>
              <w:rPr>
                <w:rFonts w:eastAsia="Times New Roman" w:cs="Times New Roman"/>
                <w:color w:val="000000"/>
                <w:sz w:val="17"/>
                <w:szCs w:val="17"/>
                <w:vertAlign w:val="superscript"/>
                <w:lang w:eastAsia="en-GB"/>
              </w:rPr>
              <w:t>***</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1.69</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-6.24</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7.16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0.40</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-0.42</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1.71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-6.95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7.36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0.41</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-0.43</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1.73</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7.66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7.44</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0.85</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-0.13</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nil"/>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Basic Materials</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-0.10</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-5.17</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2.05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1.64</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0.22</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22.28</w:t>
            </w:r>
          </w:p>
        </w:tc>
        <w:tc>
          <w:tcPr>
            <w:tcW w:w="234" w:type="pct"/>
            <w:tcBorders>
              <w:right w:val="single" w:sz="4" w:space="0" w:color="auto"/>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8.10</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-0.06</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-4.88</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2.03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1.65</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0.21</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21.89</w:t>
            </w:r>
          </w:p>
        </w:tc>
        <w:tc>
          <w:tcPr>
            <w:tcW w:w="234" w:type="pct"/>
            <w:tcBorders>
              <w:right w:val="single" w:sz="4" w:space="0" w:color="auto"/>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8.01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-0.28</w:t>
            </w:r>
          </w:p>
        </w:tc>
        <w:tc>
          <w:tcPr>
            <w:tcW w:w="208"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5.69</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2.06</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1.90</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0.40</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26.84</w:t>
            </w:r>
          </w:p>
        </w:tc>
        <w:tc>
          <w:tcPr>
            <w:tcW w:w="234" w:type="pct"/>
            <w:tcBorders>
              <w:right w:val="nil"/>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10.35</w:t>
            </w:r>
            <w:r>
              <w:rPr>
                <w:rFonts w:eastAsia="Times New Roman" w:cs="Times New Roman"/>
                <w:color w:val="000000"/>
                <w:sz w:val="17"/>
                <w:szCs w:val="17"/>
                <w:vertAlign w:val="superscript"/>
                <w:lang w:eastAsia="en-GB"/>
              </w:rPr>
              <w:t>***</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-0.07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-4.11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2.82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2.29</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0.29</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-0.05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-4.23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3.02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2.21</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0.29</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-0.22</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5.78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3.18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2.74</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0.56</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nil"/>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Consumer Services</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0.86</w:t>
            </w:r>
          </w:p>
        </w:tc>
        <w:tc>
          <w:tcPr>
            <w:tcW w:w="226"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-5.06</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1.25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-0.45</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-0.40</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36.05</w:t>
            </w:r>
          </w:p>
        </w:tc>
        <w:tc>
          <w:tcPr>
            <w:tcW w:w="234" w:type="pct"/>
            <w:tcBorders>
              <w:right w:val="single" w:sz="4" w:space="0" w:color="auto"/>
            </w:tcBorders>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14.95</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0.84</w:t>
            </w:r>
          </w:p>
        </w:tc>
        <w:tc>
          <w:tcPr>
            <w:tcW w:w="226"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-5.08</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1.26</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-0.43</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-0.38</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37.83</w:t>
            </w:r>
          </w:p>
        </w:tc>
        <w:tc>
          <w:tcPr>
            <w:tcW w:w="234" w:type="pct"/>
            <w:tcBorders>
              <w:right w:val="single" w:sz="4" w:space="0" w:color="auto"/>
            </w:tcBorders>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16.21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0.76</w:t>
            </w:r>
          </w:p>
        </w:tc>
        <w:tc>
          <w:tcPr>
            <w:tcW w:w="208"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4.95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1.26</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-0.25</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-0.26</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39.29</w:t>
            </w:r>
          </w:p>
        </w:tc>
        <w:tc>
          <w:tcPr>
            <w:tcW w:w="234" w:type="pct"/>
            <w:tcBorders>
              <w:right w:val="nil"/>
            </w:tcBorders>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17.50</w:t>
            </w:r>
            <w:r>
              <w:rPr>
                <w:rFonts w:eastAsia="Times New Roman" w:cs="Times New Roman"/>
                <w:color w:val="000000"/>
                <w:sz w:val="17"/>
                <w:szCs w:val="17"/>
                <w:vertAlign w:val="superscript"/>
                <w:lang w:eastAsia="en-GB"/>
              </w:rPr>
              <w:t>***</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1.09</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-5.65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4.30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-1.15</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-0.99</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-7.00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4.30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-1.14</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-0.97</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0.99</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6.68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4.32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-0.67</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-0.68</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nil"/>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Financials</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0.67</w:t>
            </w:r>
          </w:p>
        </w:tc>
        <w:tc>
          <w:tcPr>
            <w:tcW w:w="226"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-6.52</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1.80</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0.76</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-0.25</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39.28</w:t>
            </w:r>
          </w:p>
        </w:tc>
        <w:tc>
          <w:tcPr>
            <w:tcW w:w="234" w:type="pct"/>
            <w:tcBorders>
              <w:right w:val="single" w:sz="4" w:space="0" w:color="auto"/>
            </w:tcBorders>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17.01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0.81</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-6.29</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1.71</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0.76</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-0.27</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38.09</w:t>
            </w:r>
          </w:p>
        </w:tc>
        <w:tc>
          <w:tcPr>
            <w:tcW w:w="234" w:type="pct"/>
            <w:tcBorders>
              <w:right w:val="single" w:sz="4" w:space="0" w:color="auto"/>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16.38</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0.74</w:t>
            </w:r>
          </w:p>
        </w:tc>
        <w:tc>
          <w:tcPr>
            <w:tcW w:w="208"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6.02</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1.71</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0.96</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-0.14</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38.58</w:t>
            </w:r>
          </w:p>
        </w:tc>
        <w:tc>
          <w:tcPr>
            <w:tcW w:w="234" w:type="pct"/>
            <w:tcBorders>
              <w:right w:val="nil"/>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17.02</w:t>
            </w:r>
            <w:r>
              <w:rPr>
                <w:rFonts w:eastAsia="Times New Roman" w:cs="Times New Roman"/>
                <w:color w:val="000000"/>
                <w:sz w:val="17"/>
                <w:szCs w:val="17"/>
                <w:vertAlign w:val="superscript"/>
                <w:lang w:eastAsia="en-GB"/>
              </w:rPr>
              <w:t>***</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0.57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-7.00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2.91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1.43</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-0.56</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0.76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-7.28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2.68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1.34</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-0.58</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0.68</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6.34</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2.93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1.81</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-0.34</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nil"/>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Consumer Goods</w:t>
            </w:r>
          </w:p>
        </w:tc>
        <w:tc>
          <w:tcPr>
            <w:tcW w:w="210"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1.27</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-5.58</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1.09</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0.53</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-0.26</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26.22</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9.80</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1.27</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-5.45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1.10</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0.54</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-0.25</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26.65</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10.08</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1.20</w:t>
            </w:r>
          </w:p>
        </w:tc>
        <w:tc>
          <w:tcPr>
            <w:tcW w:w="208"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5.73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1.09</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0.76</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-0.10</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31.19</w:t>
            </w:r>
          </w:p>
        </w:tc>
        <w:tc>
          <w:tcPr>
            <w:tcW w:w="234" w:type="pct"/>
            <w:tcBorders>
              <w:right w:val="nil"/>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12.56</w:t>
            </w:r>
            <w:r>
              <w:rPr>
                <w:rFonts w:eastAsia="Times New Roman" w:cs="Times New Roman"/>
                <w:color w:val="000000"/>
                <w:sz w:val="17"/>
                <w:szCs w:val="17"/>
                <w:vertAlign w:val="superscript"/>
                <w:lang w:eastAsia="en-GB"/>
              </w:rPr>
              <w:t>***</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1.85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-5.30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1.93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1.69</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-1.00</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1.85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-4.63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2.15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1.67</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-0.83</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1.38</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5.78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2.08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1.79</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-0.36</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nil"/>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Healthcare</w:t>
            </w:r>
          </w:p>
        </w:tc>
        <w:tc>
          <w:tcPr>
            <w:tcW w:w="210"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-4.09</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-0.78</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-0.61</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-0.36</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29.01</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11.11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1.71</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-3.94</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-0.76</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-0.60</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-0.36</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28.85</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11.14</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1.71</w:t>
            </w:r>
            <w:r>
              <w:rPr>
                <w:rFonts w:eastAsia="Times New Roman" w:cs="Times New Roman"/>
                <w:color w:val="000000"/>
                <w:sz w:val="17"/>
                <w:szCs w:val="17"/>
                <w:vertAlign w:val="superscript"/>
                <w:lang w:eastAsia="en-GB"/>
              </w:rPr>
              <w:t>***</w:t>
            </w:r>
          </w:p>
        </w:tc>
        <w:tc>
          <w:tcPr>
            <w:tcW w:w="208"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3.63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-0.77</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-0.49</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-0.29</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28.22</w:t>
            </w:r>
          </w:p>
        </w:tc>
        <w:tc>
          <w:tcPr>
            <w:tcW w:w="234" w:type="pct"/>
            <w:tcBorders>
              <w:right w:val="nil"/>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11.03</w:t>
            </w:r>
            <w:r>
              <w:rPr>
                <w:rFonts w:eastAsia="Times New Roman" w:cs="Times New Roman"/>
                <w:color w:val="000000"/>
                <w:sz w:val="17"/>
                <w:szCs w:val="17"/>
                <w:vertAlign w:val="superscript"/>
                <w:lang w:eastAsia="en-GB"/>
              </w:rPr>
              <w:t>***</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2.64</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-5.39</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-2.77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-2.12</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-1.51</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2.59</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-5.57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-2.76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-1.96</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-1.40</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2.69</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5.04</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-2.68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-1.58</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-1.21</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nil"/>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Industrials</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0.81</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-5.95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1.94</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-0.28</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-0.33</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36.02</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14.93</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0.85</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-5.47</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1.93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-0.28</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-0.34</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34.28</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14.04</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0.71</w:t>
            </w:r>
          </w:p>
        </w:tc>
        <w:tc>
          <w:tcPr>
            <w:tcW w:w="208"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5.70</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1.94</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-0.05</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-0.18</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37.96</w:t>
            </w:r>
          </w:p>
        </w:tc>
        <w:tc>
          <w:tcPr>
            <w:tcW w:w="234" w:type="pct"/>
            <w:tcBorders>
              <w:right w:val="nil"/>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16.61</w:t>
            </w:r>
            <w:r>
              <w:rPr>
                <w:rFonts w:eastAsia="Times New Roman" w:cs="Times New Roman"/>
                <w:color w:val="000000"/>
                <w:sz w:val="17"/>
                <w:szCs w:val="17"/>
                <w:vertAlign w:val="superscript"/>
                <w:lang w:eastAsia="en-GB"/>
              </w:rPr>
              <w:t>***</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-5.48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5.52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-0.53</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-0.64</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0.87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-6.52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5.97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-0.44</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-0.54</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0.89</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7.35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5.67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-0.08</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-0.28</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nil"/>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Oil and Gas</w:t>
            </w:r>
          </w:p>
        </w:tc>
        <w:tc>
          <w:tcPr>
            <w:tcW w:w="210"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0.73</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-2.74</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-0.47</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0.63</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0.22</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5.71</w:t>
            </w:r>
          </w:p>
        </w:tc>
        <w:tc>
          <w:tcPr>
            <w:tcW w:w="234" w:type="pct"/>
            <w:tcBorders>
              <w:right w:val="single" w:sz="4" w:space="0" w:color="auto"/>
            </w:tcBorders>
            <w:shd w:val="clear" w:color="auto" w:fill="FFFFFF" w:themeFill="background1"/>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2.50</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0.83</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-2.23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-0.53</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0.61</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0.19</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4.17</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6339BA">
              <w:rPr>
                <w:rFonts w:eastAsia="Times New Roman" w:cs="Times New Roman"/>
                <w:color w:val="000000"/>
                <w:sz w:val="17"/>
                <w:szCs w:val="17"/>
                <w:lang w:eastAsia="en-GB"/>
              </w:rPr>
              <w:t>2.09</w:t>
            </w:r>
            <w:r w:rsidRPr="006339BA">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0.74</w:t>
            </w:r>
          </w:p>
        </w:tc>
        <w:tc>
          <w:tcPr>
            <w:tcW w:w="208"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2.59</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-0.52</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0.73</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0.28</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6.69</w:t>
            </w:r>
          </w:p>
        </w:tc>
        <w:tc>
          <w:tcPr>
            <w:tcW w:w="234" w:type="pct"/>
            <w:tcBorders>
              <w:right w:val="nil"/>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2.83</w:t>
            </w:r>
            <w:r>
              <w:rPr>
                <w:rFonts w:eastAsia="Times New Roman" w:cs="Times New Roman"/>
                <w:color w:val="000000"/>
                <w:sz w:val="17"/>
                <w:szCs w:val="17"/>
                <w:vertAlign w:val="superscript"/>
                <w:lang w:eastAsia="en-GB"/>
              </w:rPr>
              <w:t>**</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1.10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-3.17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-1.17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1.25</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0.53</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-3.22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-1.26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1.11</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0.41</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0.92</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3.00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-1.28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1.41</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0.63</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nil"/>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Utilities</w:t>
            </w:r>
          </w:p>
        </w:tc>
        <w:tc>
          <w:tcPr>
            <w:tcW w:w="210"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2.14</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-3.11</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-0.37</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0.68</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-0.04</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14.11</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5.07</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2.23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-2.63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-0.41</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0.66</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-0.06</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11.39</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4.21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2.20</w:t>
            </w:r>
            <w:r>
              <w:rPr>
                <w:rFonts w:eastAsia="Times New Roman" w:cs="Times New Roman"/>
                <w:color w:val="000000"/>
                <w:sz w:val="17"/>
                <w:szCs w:val="17"/>
                <w:vertAlign w:val="superscript"/>
                <w:lang w:eastAsia="en-GB"/>
              </w:rPr>
              <w:t>***</w:t>
            </w:r>
          </w:p>
        </w:tc>
        <w:tc>
          <w:tcPr>
            <w:tcW w:w="208"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3.06</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-0.42</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0.78</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0.02</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16.41</w:t>
            </w:r>
          </w:p>
        </w:tc>
        <w:tc>
          <w:tcPr>
            <w:tcW w:w="234" w:type="pct"/>
            <w:tcBorders>
              <w:right w:val="nil"/>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6.01</w:t>
            </w:r>
            <w:r>
              <w:rPr>
                <w:rFonts w:eastAsia="Times New Roman" w:cs="Times New Roman"/>
                <w:color w:val="000000"/>
                <w:sz w:val="17"/>
                <w:szCs w:val="17"/>
                <w:vertAlign w:val="superscript"/>
                <w:lang w:eastAsia="en-GB"/>
              </w:rPr>
              <w:t>***</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3.20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-3.92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-0.99</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1.69</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-0.15</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3.16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-2.81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-1.21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1.61</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-0.27</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3.64</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4.02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-1.18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1.97</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0.09</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nil"/>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Telecom</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1.34</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-5.05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-0.22</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-0.88</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-0.20</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15.43</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5.52</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1.31</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-5.22</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-0.20</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-0.85</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-0.18</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17.47</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6.29</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1.21</w:t>
            </w:r>
          </w:p>
        </w:tc>
        <w:tc>
          <w:tcPr>
            <w:tcW w:w="208"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5.02</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-0.19</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-0.67</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-0.06</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18.37</w:t>
            </w:r>
          </w:p>
        </w:tc>
        <w:tc>
          <w:tcPr>
            <w:tcW w:w="234" w:type="pct"/>
            <w:tcBorders>
              <w:right w:val="nil"/>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6.74</w:t>
            </w:r>
            <w:r>
              <w:rPr>
                <w:rFonts w:eastAsia="Times New Roman" w:cs="Times New Roman"/>
                <w:color w:val="000000"/>
                <w:sz w:val="17"/>
                <w:szCs w:val="17"/>
                <w:vertAlign w:val="superscript"/>
                <w:lang w:eastAsia="en-GB"/>
              </w:rPr>
              <w:t>***</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-5.52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-0.39</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-0.93</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-0.20</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-6.30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-0.35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-0.95</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-0.18</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1.33</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5.12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-0.42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-0.69</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-0.10</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nil"/>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390D9E">
        <w:trPr>
          <w:trHeight w:val="300"/>
          <w:jc w:val="center"/>
        </w:trPr>
        <w:tc>
          <w:tcPr>
            <w:tcW w:w="471" w:type="pct"/>
            <w:tcBorders>
              <w:left w:val="nil"/>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Technology</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1.94</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-7.68</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3.12</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-3.69</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-1.15</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48.18</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24.01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1.70</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-7.76</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3.29</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-3.64</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-1.09</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49.60</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25.61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1.40</w:t>
            </w:r>
          </w:p>
        </w:tc>
        <w:tc>
          <w:tcPr>
            <w:tcW w:w="208"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7.15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3.37</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-3.36</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-0.91</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49.11</w:t>
            </w:r>
          </w:p>
        </w:tc>
        <w:tc>
          <w:tcPr>
            <w:tcW w:w="234" w:type="pct"/>
            <w:tcBorders>
              <w:right w:val="nil"/>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25.61</w:t>
            </w:r>
            <w:r>
              <w:rPr>
                <w:rFonts w:eastAsia="Times New Roman" w:cs="Times New Roman"/>
                <w:color w:val="000000"/>
                <w:sz w:val="17"/>
                <w:szCs w:val="17"/>
                <w:vertAlign w:val="superscript"/>
                <w:lang w:eastAsia="en-GB"/>
              </w:rPr>
              <w:t>***</w:t>
            </w:r>
          </w:p>
        </w:tc>
      </w:tr>
      <w:tr w:rsidR="00D85B35" w:rsidRPr="00AF3301" w:rsidTr="00390D9E">
        <w:trPr>
          <w:trHeight w:val="300"/>
          <w:jc w:val="center"/>
        </w:trPr>
        <w:tc>
          <w:tcPr>
            <w:tcW w:w="471" w:type="pct"/>
            <w:tcBorders>
              <w:left w:val="nil"/>
              <w:bottom w:val="single" w:sz="4" w:space="0" w:color="auto"/>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1.49</w:t>
            </w:r>
            <w:r>
              <w:rPr>
                <w:rFonts w:eastAsia="Times New Roman" w:cs="Times New Roman"/>
                <w:color w:val="000000"/>
                <w:sz w:val="17"/>
                <w:szCs w:val="17"/>
                <w:lang w:eastAsia="en-GB"/>
              </w:rPr>
              <w:t>)</w:t>
            </w:r>
          </w:p>
        </w:tc>
        <w:tc>
          <w:tcPr>
            <w:tcW w:w="226" w:type="pct"/>
            <w:tcBorders>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-4.95</w:t>
            </w:r>
            <w:r>
              <w:rPr>
                <w:rFonts w:eastAsia="Times New Roman" w:cs="Times New Roman"/>
                <w:color w:val="000000"/>
                <w:sz w:val="17"/>
                <w:szCs w:val="17"/>
                <w:lang w:eastAsia="en-GB"/>
              </w:rPr>
              <w:t>)</w:t>
            </w:r>
          </w:p>
        </w:tc>
        <w:tc>
          <w:tcPr>
            <w:tcW w:w="226" w:type="pct"/>
            <w:tcBorders>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5.03</w:t>
            </w:r>
            <w:r>
              <w:rPr>
                <w:rFonts w:eastAsia="Times New Roman" w:cs="Times New Roman"/>
                <w:color w:val="000000"/>
                <w:sz w:val="17"/>
                <w:szCs w:val="17"/>
                <w:lang w:eastAsia="en-GB"/>
              </w:rPr>
              <w:t>)</w:t>
            </w:r>
          </w:p>
        </w:tc>
        <w:tc>
          <w:tcPr>
            <w:tcW w:w="226" w:type="pct"/>
            <w:tcBorders>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-2.91</w:t>
            </w:r>
            <w:r>
              <w:rPr>
                <w:rFonts w:eastAsia="Times New Roman" w:cs="Times New Roman"/>
                <w:color w:val="000000"/>
                <w:sz w:val="17"/>
                <w:szCs w:val="17"/>
                <w:lang w:eastAsia="en-GB"/>
              </w:rPr>
              <w:t>)</w:t>
            </w:r>
          </w:p>
        </w:tc>
        <w:tc>
          <w:tcPr>
            <w:tcW w:w="210" w:type="pct"/>
            <w:tcBorders>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-0.94</w:t>
            </w:r>
            <w:r>
              <w:rPr>
                <w:rFonts w:eastAsia="Times New Roman" w:cs="Times New Roman"/>
                <w:color w:val="000000"/>
                <w:sz w:val="17"/>
                <w:szCs w:val="17"/>
                <w:lang w:eastAsia="en-GB"/>
              </w:rPr>
              <w:t>)</w:t>
            </w:r>
          </w:p>
        </w:tc>
        <w:tc>
          <w:tcPr>
            <w:tcW w:w="184" w:type="pct"/>
            <w:tcBorders>
              <w:bottom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34" w:type="pct"/>
            <w:tcBorders>
              <w:bottom w:val="single" w:sz="4" w:space="0" w:color="auto"/>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1.34</w:t>
            </w:r>
            <w:r>
              <w:rPr>
                <w:rFonts w:eastAsia="Times New Roman" w:cs="Times New Roman"/>
                <w:color w:val="000000"/>
                <w:sz w:val="17"/>
                <w:szCs w:val="17"/>
                <w:lang w:eastAsia="en-GB"/>
              </w:rPr>
              <w:t>)</w:t>
            </w:r>
          </w:p>
        </w:tc>
        <w:tc>
          <w:tcPr>
            <w:tcW w:w="226" w:type="pct"/>
            <w:tcBorders>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-5.13</w:t>
            </w:r>
            <w:r>
              <w:rPr>
                <w:rFonts w:eastAsia="Times New Roman" w:cs="Times New Roman"/>
                <w:color w:val="000000"/>
                <w:sz w:val="17"/>
                <w:szCs w:val="17"/>
                <w:lang w:eastAsia="en-GB"/>
              </w:rPr>
              <w:t>)</w:t>
            </w:r>
          </w:p>
        </w:tc>
        <w:tc>
          <w:tcPr>
            <w:tcW w:w="226" w:type="pct"/>
            <w:tcBorders>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5.47</w:t>
            </w:r>
            <w:r>
              <w:rPr>
                <w:rFonts w:eastAsia="Times New Roman" w:cs="Times New Roman"/>
                <w:color w:val="000000"/>
                <w:sz w:val="17"/>
                <w:szCs w:val="17"/>
                <w:lang w:eastAsia="en-GB"/>
              </w:rPr>
              <w:t>)</w:t>
            </w:r>
          </w:p>
        </w:tc>
        <w:tc>
          <w:tcPr>
            <w:tcW w:w="226" w:type="pct"/>
            <w:tcBorders>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-2.84</w:t>
            </w:r>
            <w:r>
              <w:rPr>
                <w:rFonts w:eastAsia="Times New Roman" w:cs="Times New Roman"/>
                <w:color w:val="000000"/>
                <w:sz w:val="17"/>
                <w:szCs w:val="17"/>
                <w:lang w:eastAsia="en-GB"/>
              </w:rPr>
              <w:t>)</w:t>
            </w:r>
          </w:p>
        </w:tc>
        <w:tc>
          <w:tcPr>
            <w:tcW w:w="210" w:type="pct"/>
            <w:tcBorders>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-0.85</w:t>
            </w:r>
            <w:r>
              <w:rPr>
                <w:rFonts w:eastAsia="Times New Roman" w:cs="Times New Roman"/>
                <w:color w:val="000000"/>
                <w:sz w:val="17"/>
                <w:szCs w:val="17"/>
                <w:lang w:eastAsia="en-GB"/>
              </w:rPr>
              <w:t>)</w:t>
            </w:r>
          </w:p>
        </w:tc>
        <w:tc>
          <w:tcPr>
            <w:tcW w:w="184" w:type="pct"/>
            <w:tcBorders>
              <w:bottom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34" w:type="pct"/>
            <w:tcBorders>
              <w:bottom w:val="single" w:sz="4" w:space="0" w:color="auto"/>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1.14</w:t>
            </w:r>
            <w:r>
              <w:rPr>
                <w:rFonts w:eastAsia="Times New Roman" w:cs="Times New Roman"/>
                <w:color w:val="000000"/>
                <w:sz w:val="17"/>
                <w:szCs w:val="17"/>
                <w:lang w:eastAsia="en-GB"/>
              </w:rPr>
              <w:t>)</w:t>
            </w:r>
          </w:p>
        </w:tc>
        <w:tc>
          <w:tcPr>
            <w:tcW w:w="208" w:type="pct"/>
            <w:tcBorders>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4.26</w:t>
            </w:r>
            <w:r>
              <w:rPr>
                <w:rFonts w:eastAsia="Times New Roman" w:cs="Times New Roman"/>
                <w:color w:val="000000"/>
                <w:sz w:val="17"/>
                <w:szCs w:val="17"/>
                <w:lang w:eastAsia="en-GB"/>
              </w:rPr>
              <w:t>)</w:t>
            </w:r>
          </w:p>
        </w:tc>
        <w:tc>
          <w:tcPr>
            <w:tcW w:w="226" w:type="pct"/>
            <w:tcBorders>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5.73</w:t>
            </w:r>
            <w:r>
              <w:rPr>
                <w:rFonts w:eastAsia="Times New Roman" w:cs="Times New Roman"/>
                <w:color w:val="000000"/>
                <w:sz w:val="17"/>
                <w:szCs w:val="17"/>
                <w:lang w:eastAsia="en-GB"/>
              </w:rPr>
              <w:t>)</w:t>
            </w:r>
          </w:p>
        </w:tc>
        <w:tc>
          <w:tcPr>
            <w:tcW w:w="226" w:type="pct"/>
            <w:tcBorders>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-2.67</w:t>
            </w:r>
            <w:r>
              <w:rPr>
                <w:rFonts w:eastAsia="Times New Roman" w:cs="Times New Roman"/>
                <w:color w:val="000000"/>
                <w:sz w:val="17"/>
                <w:szCs w:val="17"/>
                <w:lang w:eastAsia="en-GB"/>
              </w:rPr>
              <w:t>)</w:t>
            </w:r>
          </w:p>
        </w:tc>
        <w:tc>
          <w:tcPr>
            <w:tcW w:w="210" w:type="pct"/>
            <w:tcBorders>
              <w:bottom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-0.73</w:t>
            </w:r>
            <w:r>
              <w:rPr>
                <w:rFonts w:eastAsia="Times New Roman" w:cs="Times New Roman"/>
                <w:color w:val="000000"/>
                <w:sz w:val="17"/>
                <w:szCs w:val="17"/>
                <w:lang w:eastAsia="en-GB"/>
              </w:rPr>
              <w:t>)</w:t>
            </w:r>
          </w:p>
        </w:tc>
        <w:tc>
          <w:tcPr>
            <w:tcW w:w="184" w:type="pct"/>
            <w:tcBorders>
              <w:bottom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34" w:type="pct"/>
            <w:tcBorders>
              <w:bottom w:val="single" w:sz="4" w:space="0" w:color="auto"/>
              <w:right w:val="nil"/>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390D9E" w:rsidRPr="00AF3301" w:rsidTr="00390D9E">
        <w:trPr>
          <w:trHeight w:val="300"/>
          <w:jc w:val="center"/>
        </w:trPr>
        <w:tc>
          <w:tcPr>
            <w:tcW w:w="5000" w:type="pct"/>
            <w:gridSpan w:val="22"/>
            <w:tcBorders>
              <w:top w:val="single" w:sz="4" w:space="0" w:color="auto"/>
              <w:left w:val="nil"/>
              <w:bottom w:val="nil"/>
            </w:tcBorders>
            <w:shd w:val="clear" w:color="auto" w:fill="auto"/>
            <w:noWrap/>
            <w:vAlign w:val="center"/>
          </w:tcPr>
          <w:p w:rsidR="00390D9E" w:rsidRPr="00971A4E" w:rsidRDefault="00390D9E" w:rsidP="00390D9E">
            <w:pPr>
              <w:spacing w:after="0"/>
              <w:rPr>
                <w:rFonts w:eastAsia="Times New Roman" w:cs="Times New Roman"/>
                <w:color w:val="000000"/>
                <w:sz w:val="16"/>
                <w:szCs w:val="16"/>
                <w:lang w:eastAsia="en-GB"/>
              </w:rPr>
            </w:pPr>
            <w:r w:rsidRPr="00971A4E">
              <w:rPr>
                <w:rFonts w:eastAsia="Times New Roman" w:cs="Times New Roman"/>
                <w:color w:val="000000"/>
                <w:sz w:val="16"/>
                <w:szCs w:val="16"/>
                <w:lang w:eastAsia="en-GB"/>
              </w:rPr>
              <w:t>Note</w:t>
            </w:r>
            <w:r>
              <w:rPr>
                <w:rFonts w:eastAsia="Times New Roman" w:cs="Times New Roman"/>
                <w:color w:val="000000"/>
                <w:sz w:val="16"/>
                <w:szCs w:val="16"/>
                <w:lang w:eastAsia="en-GB"/>
              </w:rPr>
              <w:t>s</w:t>
            </w:r>
            <w:r w:rsidRPr="00971A4E">
              <w:rPr>
                <w:rFonts w:eastAsia="Times New Roman" w:cs="Times New Roman"/>
                <w:color w:val="000000"/>
                <w:sz w:val="16"/>
                <w:szCs w:val="16"/>
                <w:lang w:eastAsia="en-GB"/>
              </w:rPr>
              <w:t xml:space="preserve">: The dependent variable is the ERPs of the FTSE indices (in percentages). The independent variable is durable, semi durable and non-durable consumption shocks in Panels A, B and C </w:t>
            </w:r>
          </w:p>
          <w:p w:rsidR="00390D9E" w:rsidRPr="00971A4E" w:rsidRDefault="00390D9E" w:rsidP="00390D9E">
            <w:pPr>
              <w:spacing w:after="0"/>
              <w:rPr>
                <w:rFonts w:eastAsia="Times New Roman" w:cs="Times New Roman"/>
                <w:color w:val="000000"/>
                <w:sz w:val="16"/>
                <w:szCs w:val="16"/>
                <w:lang w:eastAsia="en-GB"/>
              </w:rPr>
            </w:pPr>
            <w:r w:rsidRPr="00971A4E">
              <w:rPr>
                <w:rFonts w:eastAsia="Times New Roman" w:cs="Times New Roman"/>
                <w:color w:val="000000"/>
                <w:sz w:val="16"/>
                <w:szCs w:val="16"/>
                <w:lang w:eastAsia="en-GB"/>
              </w:rPr>
              <w:t>respectively controlling for size premium (SMB), value premium (HML) and momentum factor (UMD). Table reports the e</w:t>
            </w:r>
            <w:r>
              <w:rPr>
                <w:rFonts w:eastAsia="Times New Roman" w:cs="Times New Roman"/>
                <w:color w:val="000000"/>
                <w:sz w:val="16"/>
                <w:szCs w:val="16"/>
                <w:lang w:eastAsia="en-GB"/>
              </w:rPr>
              <w:t>stimated parameters of model (25), (26) and (27</w:t>
            </w:r>
            <w:r w:rsidRPr="00971A4E">
              <w:rPr>
                <w:rFonts w:eastAsia="Times New Roman" w:cs="Times New Roman"/>
                <w:color w:val="000000"/>
                <w:sz w:val="16"/>
                <w:szCs w:val="16"/>
                <w:lang w:eastAsia="en-GB"/>
              </w:rPr>
              <w:t>). Figures in parentheses</w:t>
            </w:r>
          </w:p>
          <w:p w:rsidR="00390D9E" w:rsidRPr="00971A4E" w:rsidRDefault="00390D9E" w:rsidP="00390D9E">
            <w:pPr>
              <w:spacing w:after="0"/>
              <w:rPr>
                <w:rFonts w:eastAsia="Times New Roman" w:cs="Times New Roman"/>
                <w:color w:val="000000"/>
                <w:sz w:val="16"/>
                <w:szCs w:val="16"/>
                <w:lang w:eastAsia="en-GB"/>
              </w:rPr>
            </w:pPr>
            <w:r w:rsidRPr="00971A4E">
              <w:rPr>
                <w:rFonts w:eastAsia="Times New Roman" w:cs="Times New Roman"/>
                <w:color w:val="000000"/>
                <w:sz w:val="16"/>
                <w:szCs w:val="16"/>
                <w:lang w:eastAsia="en-GB"/>
              </w:rPr>
              <w:t>are t-statistics computed using New</w:t>
            </w:r>
            <w:r>
              <w:rPr>
                <w:rFonts w:eastAsia="Times New Roman" w:cs="Times New Roman"/>
                <w:color w:val="000000"/>
                <w:sz w:val="16"/>
                <w:szCs w:val="16"/>
                <w:lang w:eastAsia="en-GB"/>
              </w:rPr>
              <w:t>e</w:t>
            </w:r>
            <w:r w:rsidRPr="00971A4E">
              <w:rPr>
                <w:rFonts w:eastAsia="Times New Roman" w:cs="Times New Roman"/>
                <w:color w:val="000000"/>
                <w:sz w:val="16"/>
                <w:szCs w:val="16"/>
                <w:lang w:eastAsia="en-GB"/>
              </w:rPr>
              <w:t xml:space="preserve">y-West HAC standard errors with 4 lags (initial pre-whitening with 2 lags). Adjusted sample size, 1990Q1 – 2014Q4. </w:t>
            </w:r>
          </w:p>
        </w:tc>
      </w:tr>
    </w:tbl>
    <w:p w:rsidR="00D85B35" w:rsidRDefault="00D85B35">
      <w:pPr>
        <w:sectPr w:rsidR="00D85B35" w:rsidSect="00D85B35">
          <w:pgSz w:w="16838" w:h="11906" w:orient="landscape"/>
          <w:pgMar w:top="1440" w:right="1440" w:bottom="1440" w:left="1440" w:header="709" w:footer="709" w:gutter="0"/>
          <w:cols w:space="708"/>
          <w:docGrid w:linePitch="360"/>
        </w:sectPr>
      </w:pPr>
    </w:p>
    <w:tbl>
      <w:tblPr>
        <w:tblW w:w="5000" w:type="pct"/>
        <w:jc w:val="center"/>
        <w:tblCellMar>
          <w:left w:w="0" w:type="dxa"/>
          <w:right w:w="0" w:type="dxa"/>
        </w:tblCellMar>
        <w:tblLook w:val="04A0" w:firstRow="1" w:lastRow="0" w:firstColumn="1" w:lastColumn="0" w:noHBand="0" w:noVBand="1"/>
      </w:tblPr>
      <w:tblGrid>
        <w:gridCol w:w="3842"/>
        <w:gridCol w:w="1126"/>
        <w:gridCol w:w="1222"/>
        <w:gridCol w:w="1455"/>
        <w:gridCol w:w="1381"/>
      </w:tblGrid>
      <w:tr w:rsidR="00D85B35" w:rsidRPr="003E3CC5" w:rsidTr="00390D9E">
        <w:trPr>
          <w:trHeight w:val="300"/>
          <w:jc w:val="center"/>
        </w:trPr>
        <w:tc>
          <w:tcPr>
            <w:tcW w:w="5000" w:type="pct"/>
            <w:gridSpan w:val="5"/>
            <w:tcBorders>
              <w:top w:val="single" w:sz="4" w:space="0" w:color="auto"/>
            </w:tcBorders>
            <w:shd w:val="clear" w:color="auto" w:fill="auto"/>
            <w:noWrap/>
            <w:tcMar>
              <w:top w:w="15" w:type="dxa"/>
              <w:left w:w="15" w:type="dxa"/>
              <w:bottom w:w="0" w:type="dxa"/>
              <w:right w:w="15" w:type="dxa"/>
            </w:tcMar>
            <w:vAlign w:val="center"/>
          </w:tcPr>
          <w:p w:rsidR="00D85B35" w:rsidRPr="00390D9E" w:rsidRDefault="00D85B35" w:rsidP="009D59CA">
            <w:pPr>
              <w:spacing w:after="0"/>
              <w:rPr>
                <w:rFonts w:eastAsia="Times New Roman" w:cs="Times New Roman"/>
                <w:b/>
                <w:color w:val="000000"/>
                <w:sz w:val="18"/>
                <w:szCs w:val="18"/>
                <w:lang w:eastAsia="en-GB"/>
              </w:rPr>
            </w:pPr>
            <w:r w:rsidRPr="00390D9E">
              <w:rPr>
                <w:rFonts w:eastAsia="Times New Roman" w:cs="Times New Roman"/>
                <w:b/>
                <w:color w:val="000000"/>
                <w:sz w:val="20"/>
                <w:szCs w:val="20"/>
                <w:lang w:eastAsia="en-GB"/>
              </w:rPr>
              <w:t>Table 10: Pricing of dis-aggregated consumption shocks in the FTSE indices</w:t>
            </w:r>
            <w:r>
              <w:rPr>
                <w:rFonts w:eastAsia="Times New Roman" w:cs="Times New Roman"/>
                <w:sz w:val="18"/>
                <w:szCs w:val="18"/>
              </w:rPr>
              <w:t>.</w:t>
            </w:r>
          </w:p>
        </w:tc>
      </w:tr>
      <w:tr w:rsidR="00D85B35" w:rsidRPr="003E3CC5" w:rsidTr="00390D9E">
        <w:trPr>
          <w:trHeight w:val="300"/>
          <w:jc w:val="center"/>
        </w:trPr>
        <w:tc>
          <w:tcPr>
            <w:tcW w:w="2136"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sz w:val="20"/>
                <w:szCs w:val="20"/>
              </w:rPr>
            </w:pPr>
          </w:p>
        </w:tc>
        <w:tc>
          <w:tcPr>
            <w:tcW w:w="618"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sidRPr="003E3CC5">
              <w:rPr>
                <w:rFonts w:cs="Times New Roman"/>
                <w:color w:val="000000"/>
                <w:sz w:val="20"/>
                <w:szCs w:val="20"/>
              </w:rPr>
              <w:t>1</w:t>
            </w:r>
          </w:p>
        </w:tc>
        <w:tc>
          <w:tcPr>
            <w:tcW w:w="672"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sidRPr="003E3CC5">
              <w:rPr>
                <w:rFonts w:cs="Times New Roman"/>
                <w:color w:val="000000"/>
                <w:sz w:val="20"/>
                <w:szCs w:val="20"/>
              </w:rPr>
              <w:t>2</w:t>
            </w:r>
          </w:p>
        </w:tc>
        <w:tc>
          <w:tcPr>
            <w:tcW w:w="802" w:type="pct"/>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3</w:t>
            </w:r>
          </w:p>
        </w:tc>
        <w:tc>
          <w:tcPr>
            <w:tcW w:w="772" w:type="pct"/>
            <w:tcBorders>
              <w:top w:val="single" w:sz="4" w:space="0" w:color="auto"/>
              <w:bottom w:val="single" w:sz="4" w:space="0" w:color="auto"/>
            </w:tcBorders>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4</w:t>
            </w:r>
          </w:p>
        </w:tc>
      </w:tr>
      <w:tr w:rsidR="00D85B35" w:rsidRPr="003E3CC5" w:rsidTr="00390D9E">
        <w:trPr>
          <w:trHeight w:val="300"/>
          <w:jc w:val="center"/>
        </w:trPr>
        <w:tc>
          <w:tcPr>
            <w:tcW w:w="2136" w:type="pct"/>
            <w:tcBorders>
              <w:top w:val="single" w:sz="4" w:space="0" w:color="auto"/>
            </w:tcBorders>
            <w:shd w:val="clear" w:color="auto" w:fill="auto"/>
            <w:noWrap/>
            <w:tcMar>
              <w:top w:w="15" w:type="dxa"/>
              <w:left w:w="15" w:type="dxa"/>
              <w:bottom w:w="0" w:type="dxa"/>
              <w:right w:w="15" w:type="dxa"/>
            </w:tcMar>
            <w:vAlign w:val="center"/>
            <w:hideMark/>
          </w:tcPr>
          <w:p w:rsidR="00D85B35" w:rsidRPr="003E3CC5" w:rsidRDefault="005E14F1" w:rsidP="008772EC">
            <w:pPr>
              <w:jc w:val="center"/>
              <w:rPr>
                <w:rFonts w:cs="Times New Roman"/>
                <w:color w:val="000000"/>
                <w:sz w:val="20"/>
                <w:szCs w:val="20"/>
              </w:rPr>
            </w:pPr>
            <m:oMathPara>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γ</m:t>
                    </m:r>
                  </m:e>
                  <m:sub>
                    <m:r>
                      <w:rPr>
                        <w:rFonts w:ascii="Cambria Math" w:hAnsi="Cambria Math" w:cs="Times New Roman"/>
                        <w:color w:val="000000"/>
                        <w:sz w:val="20"/>
                        <w:szCs w:val="20"/>
                      </w:rPr>
                      <m:t>0</m:t>
                    </m:r>
                  </m:sub>
                </m:sSub>
              </m:oMath>
            </m:oMathPara>
          </w:p>
        </w:tc>
        <w:tc>
          <w:tcPr>
            <w:tcW w:w="618" w:type="pct"/>
            <w:tcBorders>
              <w:top w:val="single" w:sz="4" w:space="0" w:color="auto"/>
            </w:tcBorders>
            <w:shd w:val="clear" w:color="auto" w:fill="auto"/>
            <w:noWrap/>
            <w:tcMar>
              <w:top w:w="0" w:type="dxa"/>
              <w:left w:w="15" w:type="dxa"/>
              <w:bottom w:w="0" w:type="dxa"/>
              <w:right w:w="15" w:type="dxa"/>
            </w:tcMar>
            <w:vAlign w:val="center"/>
            <w:hideMark/>
          </w:tcPr>
          <w:p w:rsidR="00D85B35" w:rsidRPr="00203F59" w:rsidRDefault="00D85B35" w:rsidP="008772EC">
            <w:pPr>
              <w:jc w:val="center"/>
              <w:rPr>
                <w:rFonts w:cs="Times New Roman"/>
                <w:color w:val="000000"/>
                <w:sz w:val="20"/>
                <w:szCs w:val="20"/>
                <w:vertAlign w:val="superscript"/>
              </w:rPr>
            </w:pPr>
            <w:r>
              <w:rPr>
                <w:rFonts w:cs="Times New Roman"/>
                <w:color w:val="000000"/>
                <w:sz w:val="20"/>
                <w:szCs w:val="20"/>
              </w:rPr>
              <w:t>1.98</w:t>
            </w:r>
            <w:r>
              <w:rPr>
                <w:rFonts w:cs="Times New Roman"/>
                <w:color w:val="000000"/>
                <w:sz w:val="20"/>
                <w:szCs w:val="20"/>
                <w:vertAlign w:val="superscript"/>
              </w:rPr>
              <w:t>***</w:t>
            </w:r>
          </w:p>
        </w:tc>
        <w:tc>
          <w:tcPr>
            <w:tcW w:w="672" w:type="pct"/>
            <w:tcBorders>
              <w:top w:val="single" w:sz="4" w:space="0" w:color="auto"/>
            </w:tcBorders>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1.99</w:t>
            </w:r>
            <w:r w:rsidRPr="003E3CC5">
              <w:rPr>
                <w:rFonts w:cs="Times New Roman"/>
                <w:color w:val="000000"/>
                <w:sz w:val="20"/>
                <w:szCs w:val="20"/>
                <w:vertAlign w:val="superscript"/>
              </w:rPr>
              <w:t>***</w:t>
            </w:r>
          </w:p>
        </w:tc>
        <w:tc>
          <w:tcPr>
            <w:tcW w:w="802" w:type="pct"/>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2.02</w:t>
            </w:r>
            <w:r w:rsidRPr="003E3CC5">
              <w:rPr>
                <w:rFonts w:cs="Times New Roman"/>
                <w:color w:val="000000"/>
                <w:sz w:val="20"/>
                <w:szCs w:val="20"/>
                <w:vertAlign w:val="superscript"/>
              </w:rPr>
              <w:t>***</w:t>
            </w:r>
          </w:p>
        </w:tc>
        <w:tc>
          <w:tcPr>
            <w:tcW w:w="772" w:type="pct"/>
            <w:shd w:val="clear" w:color="auto" w:fill="auto"/>
            <w:vAlign w:val="center"/>
          </w:tcPr>
          <w:p w:rsidR="00D85B35" w:rsidRPr="002F4C17" w:rsidRDefault="00D85B35" w:rsidP="008772EC">
            <w:pPr>
              <w:jc w:val="center"/>
              <w:rPr>
                <w:rFonts w:cs="Times New Roman"/>
                <w:color w:val="000000"/>
                <w:sz w:val="20"/>
                <w:szCs w:val="20"/>
                <w:vertAlign w:val="superscript"/>
              </w:rPr>
            </w:pPr>
            <w:r>
              <w:rPr>
                <w:rFonts w:cs="Times New Roman"/>
                <w:color w:val="000000"/>
                <w:sz w:val="20"/>
                <w:szCs w:val="20"/>
              </w:rPr>
              <w:t>2.04</w:t>
            </w:r>
          </w:p>
        </w:tc>
      </w:tr>
      <w:tr w:rsidR="00D85B35" w:rsidRPr="003E3CC5" w:rsidTr="00390D9E">
        <w:trPr>
          <w:trHeight w:val="315"/>
          <w:jc w:val="center"/>
        </w:trPr>
        <w:tc>
          <w:tcPr>
            <w:tcW w:w="2136"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p>
        </w:tc>
        <w:tc>
          <w:tcPr>
            <w:tcW w:w="618"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sidRPr="003E3CC5">
              <w:rPr>
                <w:rFonts w:cs="Times New Roman"/>
                <w:color w:val="000000"/>
                <w:sz w:val="20"/>
                <w:szCs w:val="20"/>
              </w:rPr>
              <w:t>(4.67)</w:t>
            </w:r>
          </w:p>
        </w:tc>
        <w:tc>
          <w:tcPr>
            <w:tcW w:w="672"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(4.37</w:t>
            </w:r>
            <w:r w:rsidRPr="003E3CC5">
              <w:rPr>
                <w:rFonts w:cs="Times New Roman"/>
                <w:color w:val="000000"/>
                <w:sz w:val="20"/>
                <w:szCs w:val="20"/>
              </w:rPr>
              <w:t>)</w:t>
            </w:r>
          </w:p>
        </w:tc>
        <w:tc>
          <w:tcPr>
            <w:tcW w:w="802" w:type="pct"/>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(4.22</w:t>
            </w:r>
            <w:r w:rsidRPr="003E3CC5">
              <w:rPr>
                <w:rFonts w:cs="Times New Roman"/>
                <w:color w:val="000000"/>
                <w:sz w:val="20"/>
                <w:szCs w:val="20"/>
              </w:rPr>
              <w:t>)</w:t>
            </w:r>
          </w:p>
        </w:tc>
        <w:tc>
          <w:tcPr>
            <w:tcW w:w="772"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(1.00)</w:t>
            </w:r>
          </w:p>
        </w:tc>
      </w:tr>
      <w:tr w:rsidR="00D85B35" w:rsidRPr="003E3CC5" w:rsidTr="00390D9E">
        <w:trPr>
          <w:trHeight w:val="315"/>
          <w:jc w:val="center"/>
        </w:trPr>
        <w:tc>
          <w:tcPr>
            <w:tcW w:w="2136"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Durable Consumption Shocks</w:t>
            </w:r>
          </w:p>
        </w:tc>
        <w:tc>
          <w:tcPr>
            <w:tcW w:w="618" w:type="pct"/>
            <w:shd w:val="clear" w:color="auto" w:fill="auto"/>
            <w:noWrap/>
            <w:tcMar>
              <w:top w:w="0"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0.16</w:t>
            </w:r>
            <w:r w:rsidRPr="003E3CC5">
              <w:rPr>
                <w:rFonts w:cs="Times New Roman"/>
                <w:color w:val="000000"/>
                <w:sz w:val="20"/>
                <w:szCs w:val="20"/>
                <w:vertAlign w:val="superscript"/>
              </w:rPr>
              <w:t>**</w:t>
            </w:r>
          </w:p>
        </w:tc>
        <w:tc>
          <w:tcPr>
            <w:tcW w:w="672"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p>
        </w:tc>
        <w:tc>
          <w:tcPr>
            <w:tcW w:w="802" w:type="pct"/>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sz w:val="20"/>
                <w:szCs w:val="20"/>
              </w:rPr>
            </w:pPr>
          </w:p>
        </w:tc>
        <w:tc>
          <w:tcPr>
            <w:tcW w:w="772" w:type="pct"/>
            <w:shd w:val="clear" w:color="auto" w:fill="auto"/>
            <w:vAlign w:val="center"/>
          </w:tcPr>
          <w:p w:rsidR="00D85B35" w:rsidRPr="003E3CC5" w:rsidRDefault="00D85B35" w:rsidP="008772EC">
            <w:pPr>
              <w:jc w:val="center"/>
              <w:rPr>
                <w:rFonts w:cs="Times New Roman"/>
                <w:sz w:val="20"/>
                <w:szCs w:val="20"/>
              </w:rPr>
            </w:pPr>
            <w:r>
              <w:rPr>
                <w:rFonts w:cs="Times New Roman"/>
                <w:sz w:val="20"/>
                <w:szCs w:val="20"/>
              </w:rPr>
              <w:t>0.28</w:t>
            </w:r>
          </w:p>
        </w:tc>
      </w:tr>
      <w:tr w:rsidR="00D85B35" w:rsidRPr="003E3CC5" w:rsidTr="00390D9E">
        <w:trPr>
          <w:trHeight w:val="315"/>
          <w:jc w:val="center"/>
        </w:trPr>
        <w:tc>
          <w:tcPr>
            <w:tcW w:w="2136"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sz w:val="20"/>
                <w:szCs w:val="20"/>
              </w:rPr>
            </w:pPr>
          </w:p>
        </w:tc>
        <w:tc>
          <w:tcPr>
            <w:tcW w:w="618"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(2.4</w:t>
            </w:r>
            <w:r w:rsidRPr="003E3CC5">
              <w:rPr>
                <w:rFonts w:cs="Times New Roman"/>
                <w:color w:val="000000"/>
                <w:sz w:val="20"/>
                <w:szCs w:val="20"/>
              </w:rPr>
              <w:t>1)</w:t>
            </w:r>
          </w:p>
        </w:tc>
        <w:tc>
          <w:tcPr>
            <w:tcW w:w="672"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p>
        </w:tc>
        <w:tc>
          <w:tcPr>
            <w:tcW w:w="802" w:type="pct"/>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sz w:val="20"/>
                <w:szCs w:val="20"/>
              </w:rPr>
            </w:pPr>
          </w:p>
        </w:tc>
        <w:tc>
          <w:tcPr>
            <w:tcW w:w="772" w:type="pct"/>
            <w:shd w:val="clear" w:color="auto" w:fill="auto"/>
            <w:vAlign w:val="center"/>
          </w:tcPr>
          <w:p w:rsidR="00D85B35" w:rsidRPr="003E3CC5" w:rsidRDefault="00D85B35" w:rsidP="008772EC">
            <w:pPr>
              <w:jc w:val="center"/>
              <w:rPr>
                <w:rFonts w:cs="Times New Roman"/>
                <w:sz w:val="20"/>
                <w:szCs w:val="20"/>
              </w:rPr>
            </w:pPr>
            <w:r>
              <w:rPr>
                <w:rFonts w:cs="Times New Roman"/>
                <w:sz w:val="20"/>
                <w:szCs w:val="20"/>
              </w:rPr>
              <w:t>(0.44)</w:t>
            </w:r>
          </w:p>
        </w:tc>
      </w:tr>
      <w:tr w:rsidR="00D85B35" w:rsidRPr="003E3CC5" w:rsidTr="00390D9E">
        <w:trPr>
          <w:trHeight w:val="300"/>
          <w:jc w:val="center"/>
        </w:trPr>
        <w:tc>
          <w:tcPr>
            <w:tcW w:w="2136"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Semi-Durable Consumption Shocks</w:t>
            </w:r>
          </w:p>
        </w:tc>
        <w:tc>
          <w:tcPr>
            <w:tcW w:w="618"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p>
        </w:tc>
        <w:tc>
          <w:tcPr>
            <w:tcW w:w="672" w:type="pct"/>
            <w:shd w:val="clear" w:color="auto" w:fill="auto"/>
            <w:noWrap/>
            <w:tcMar>
              <w:top w:w="0"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0.17</w:t>
            </w:r>
            <w:r w:rsidRPr="003E3CC5">
              <w:rPr>
                <w:rFonts w:cs="Times New Roman"/>
                <w:color w:val="000000"/>
                <w:sz w:val="20"/>
                <w:szCs w:val="20"/>
                <w:vertAlign w:val="superscript"/>
              </w:rPr>
              <w:t>**</w:t>
            </w:r>
          </w:p>
        </w:tc>
        <w:tc>
          <w:tcPr>
            <w:tcW w:w="802" w:type="pct"/>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p>
        </w:tc>
        <w:tc>
          <w:tcPr>
            <w:tcW w:w="772"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0.35</w:t>
            </w:r>
          </w:p>
        </w:tc>
      </w:tr>
      <w:tr w:rsidR="00D85B35" w:rsidRPr="003E3CC5" w:rsidTr="00390D9E">
        <w:trPr>
          <w:trHeight w:val="315"/>
          <w:jc w:val="center"/>
        </w:trPr>
        <w:tc>
          <w:tcPr>
            <w:tcW w:w="2136" w:type="pct"/>
            <w:shd w:val="clear" w:color="auto" w:fill="auto"/>
            <w:noWrap/>
            <w:tcMar>
              <w:top w:w="0" w:type="dxa"/>
              <w:left w:w="15" w:type="dxa"/>
              <w:bottom w:w="0" w:type="dxa"/>
              <w:right w:w="15" w:type="dxa"/>
            </w:tcMar>
            <w:vAlign w:val="center"/>
            <w:hideMark/>
          </w:tcPr>
          <w:p w:rsidR="00D85B35" w:rsidRPr="003E3CC5" w:rsidRDefault="00D85B35" w:rsidP="008772EC">
            <w:pPr>
              <w:jc w:val="center"/>
              <w:rPr>
                <w:rFonts w:cs="Times New Roman"/>
                <w:sz w:val="20"/>
                <w:szCs w:val="20"/>
              </w:rPr>
            </w:pPr>
          </w:p>
        </w:tc>
        <w:tc>
          <w:tcPr>
            <w:tcW w:w="618"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sz w:val="20"/>
                <w:szCs w:val="20"/>
              </w:rPr>
            </w:pPr>
          </w:p>
        </w:tc>
        <w:tc>
          <w:tcPr>
            <w:tcW w:w="672"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(2.38</w:t>
            </w:r>
            <w:r w:rsidRPr="003E3CC5">
              <w:rPr>
                <w:rFonts w:cs="Times New Roman"/>
                <w:color w:val="000000"/>
                <w:sz w:val="20"/>
                <w:szCs w:val="20"/>
              </w:rPr>
              <w:t>)</w:t>
            </w:r>
          </w:p>
        </w:tc>
        <w:tc>
          <w:tcPr>
            <w:tcW w:w="802" w:type="pct"/>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p>
        </w:tc>
        <w:tc>
          <w:tcPr>
            <w:tcW w:w="772"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(0.94)</w:t>
            </w:r>
          </w:p>
        </w:tc>
      </w:tr>
      <w:tr w:rsidR="00D85B35" w:rsidRPr="003E3CC5" w:rsidTr="00390D9E">
        <w:trPr>
          <w:trHeight w:val="315"/>
          <w:jc w:val="center"/>
        </w:trPr>
        <w:tc>
          <w:tcPr>
            <w:tcW w:w="2136"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Non-Durable Consumption Shocks</w:t>
            </w:r>
          </w:p>
        </w:tc>
        <w:tc>
          <w:tcPr>
            <w:tcW w:w="618"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p>
        </w:tc>
        <w:tc>
          <w:tcPr>
            <w:tcW w:w="672"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sz w:val="20"/>
                <w:szCs w:val="20"/>
              </w:rPr>
            </w:pPr>
          </w:p>
        </w:tc>
        <w:tc>
          <w:tcPr>
            <w:tcW w:w="802" w:type="pct"/>
            <w:shd w:val="clear" w:color="auto" w:fill="auto"/>
            <w:noWrap/>
            <w:tcMar>
              <w:top w:w="0"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r w:rsidRPr="003E3CC5">
              <w:rPr>
                <w:rFonts w:cs="Times New Roman"/>
                <w:color w:val="000000"/>
                <w:sz w:val="20"/>
                <w:szCs w:val="20"/>
              </w:rPr>
              <w:t>-0.17</w:t>
            </w:r>
            <w:r w:rsidRPr="003E3CC5">
              <w:rPr>
                <w:rFonts w:cs="Times New Roman"/>
                <w:color w:val="000000"/>
                <w:sz w:val="20"/>
                <w:szCs w:val="20"/>
                <w:vertAlign w:val="superscript"/>
              </w:rPr>
              <w:t>**</w:t>
            </w:r>
          </w:p>
        </w:tc>
        <w:tc>
          <w:tcPr>
            <w:tcW w:w="772"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-0.14</w:t>
            </w:r>
          </w:p>
        </w:tc>
      </w:tr>
      <w:tr w:rsidR="00D85B35" w:rsidRPr="003E3CC5" w:rsidTr="00390D9E">
        <w:trPr>
          <w:trHeight w:val="315"/>
          <w:jc w:val="center"/>
        </w:trPr>
        <w:tc>
          <w:tcPr>
            <w:tcW w:w="2136"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p>
        </w:tc>
        <w:tc>
          <w:tcPr>
            <w:tcW w:w="618"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sz w:val="20"/>
                <w:szCs w:val="20"/>
              </w:rPr>
            </w:pPr>
          </w:p>
        </w:tc>
        <w:tc>
          <w:tcPr>
            <w:tcW w:w="672"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sz w:val="20"/>
                <w:szCs w:val="20"/>
              </w:rPr>
            </w:pPr>
          </w:p>
        </w:tc>
        <w:tc>
          <w:tcPr>
            <w:tcW w:w="802" w:type="pct"/>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(-2.32</w:t>
            </w:r>
            <w:r w:rsidRPr="003E3CC5">
              <w:rPr>
                <w:rFonts w:cs="Times New Roman"/>
                <w:color w:val="000000"/>
                <w:sz w:val="20"/>
                <w:szCs w:val="20"/>
              </w:rPr>
              <w:t>)</w:t>
            </w:r>
          </w:p>
        </w:tc>
        <w:tc>
          <w:tcPr>
            <w:tcW w:w="772"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(-0.29)</w:t>
            </w:r>
          </w:p>
        </w:tc>
      </w:tr>
      <w:tr w:rsidR="00D85B35" w:rsidRPr="003E3CC5" w:rsidTr="00390D9E">
        <w:trPr>
          <w:trHeight w:val="315"/>
          <w:jc w:val="center"/>
        </w:trPr>
        <w:tc>
          <w:tcPr>
            <w:tcW w:w="2136"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r>
              <w:rPr>
                <w:rFonts w:cs="Times New Roman"/>
                <w:color w:val="000000"/>
                <w:sz w:val="20"/>
                <w:szCs w:val="20"/>
              </w:rPr>
              <w:t>Size Premium</w:t>
            </w:r>
          </w:p>
        </w:tc>
        <w:tc>
          <w:tcPr>
            <w:tcW w:w="618"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72"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802"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72"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-0.09</w:t>
            </w:r>
          </w:p>
        </w:tc>
      </w:tr>
      <w:tr w:rsidR="00D85B35" w:rsidRPr="003E3CC5" w:rsidTr="00390D9E">
        <w:trPr>
          <w:trHeight w:val="315"/>
          <w:jc w:val="center"/>
        </w:trPr>
        <w:tc>
          <w:tcPr>
            <w:tcW w:w="2136"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18"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72"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802"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72"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(-0.27)</w:t>
            </w:r>
          </w:p>
        </w:tc>
      </w:tr>
      <w:tr w:rsidR="00D85B35" w:rsidRPr="003E3CC5" w:rsidTr="00390D9E">
        <w:trPr>
          <w:trHeight w:val="315"/>
          <w:jc w:val="center"/>
        </w:trPr>
        <w:tc>
          <w:tcPr>
            <w:tcW w:w="2136"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r>
              <w:rPr>
                <w:rFonts w:cs="Times New Roman"/>
                <w:color w:val="000000"/>
                <w:sz w:val="20"/>
                <w:szCs w:val="20"/>
              </w:rPr>
              <w:t>Value Premium</w:t>
            </w:r>
          </w:p>
        </w:tc>
        <w:tc>
          <w:tcPr>
            <w:tcW w:w="618"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72"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802"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72"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0.27</w:t>
            </w:r>
          </w:p>
        </w:tc>
      </w:tr>
      <w:tr w:rsidR="00D85B35" w:rsidRPr="003E3CC5" w:rsidTr="00390D9E">
        <w:trPr>
          <w:trHeight w:val="315"/>
          <w:jc w:val="center"/>
        </w:trPr>
        <w:tc>
          <w:tcPr>
            <w:tcW w:w="2136"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18"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72"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802"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72"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(1.57)</w:t>
            </w:r>
          </w:p>
        </w:tc>
      </w:tr>
      <w:tr w:rsidR="00D85B35" w:rsidRPr="003E3CC5" w:rsidTr="00390D9E">
        <w:trPr>
          <w:trHeight w:val="315"/>
          <w:jc w:val="center"/>
        </w:trPr>
        <w:tc>
          <w:tcPr>
            <w:tcW w:w="2136"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r>
              <w:rPr>
                <w:rFonts w:cs="Times New Roman"/>
                <w:color w:val="000000"/>
                <w:sz w:val="20"/>
                <w:szCs w:val="20"/>
              </w:rPr>
              <w:t>Momentum Premium</w:t>
            </w:r>
          </w:p>
        </w:tc>
        <w:tc>
          <w:tcPr>
            <w:tcW w:w="618"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72"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802"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72"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-1.75</w:t>
            </w:r>
          </w:p>
        </w:tc>
      </w:tr>
      <w:tr w:rsidR="00D85B35" w:rsidRPr="003E3CC5" w:rsidTr="00390D9E">
        <w:trPr>
          <w:trHeight w:val="315"/>
          <w:jc w:val="center"/>
        </w:trPr>
        <w:tc>
          <w:tcPr>
            <w:tcW w:w="2136"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18"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72"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802"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72"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(-1.22)</w:t>
            </w:r>
          </w:p>
        </w:tc>
      </w:tr>
      <w:tr w:rsidR="00D85B35" w:rsidRPr="003E3CC5" w:rsidTr="00390D9E">
        <w:trPr>
          <w:trHeight w:val="315"/>
          <w:jc w:val="center"/>
        </w:trPr>
        <w:tc>
          <w:tcPr>
            <w:tcW w:w="2136"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R-Squared</w:t>
            </w:r>
          </w:p>
        </w:tc>
        <w:tc>
          <w:tcPr>
            <w:tcW w:w="618"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39.61</w:t>
            </w:r>
            <w:r w:rsidRPr="003E3CC5">
              <w:rPr>
                <w:rFonts w:cs="Times New Roman"/>
                <w:color w:val="000000"/>
                <w:sz w:val="20"/>
                <w:szCs w:val="20"/>
              </w:rPr>
              <w:t>%</w:t>
            </w:r>
          </w:p>
        </w:tc>
        <w:tc>
          <w:tcPr>
            <w:tcW w:w="672" w:type="pct"/>
            <w:shd w:val="clear" w:color="auto" w:fill="auto"/>
            <w:noWrap/>
            <w:tcMar>
              <w:top w:w="0"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41.80</w:t>
            </w:r>
            <w:r w:rsidRPr="003E3CC5">
              <w:rPr>
                <w:rFonts w:cs="Times New Roman"/>
                <w:color w:val="000000"/>
                <w:sz w:val="20"/>
                <w:szCs w:val="20"/>
              </w:rPr>
              <w:t>%</w:t>
            </w:r>
          </w:p>
        </w:tc>
        <w:tc>
          <w:tcPr>
            <w:tcW w:w="802" w:type="pct"/>
            <w:shd w:val="clear" w:color="auto" w:fill="auto"/>
            <w:noWrap/>
            <w:tcMar>
              <w:top w:w="0"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39.18</w:t>
            </w:r>
            <w:r w:rsidRPr="003E3CC5">
              <w:rPr>
                <w:rFonts w:cs="Times New Roman"/>
                <w:color w:val="000000"/>
                <w:sz w:val="20"/>
                <w:szCs w:val="20"/>
              </w:rPr>
              <w:t>%</w:t>
            </w:r>
          </w:p>
        </w:tc>
        <w:tc>
          <w:tcPr>
            <w:tcW w:w="772"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13.35%</w:t>
            </w:r>
          </w:p>
        </w:tc>
      </w:tr>
      <w:tr w:rsidR="00D85B35" w:rsidRPr="003E3CC5" w:rsidTr="00390D9E">
        <w:trPr>
          <w:trHeight w:val="315"/>
          <w:jc w:val="center"/>
        </w:trPr>
        <w:tc>
          <w:tcPr>
            <w:tcW w:w="2136" w:type="pct"/>
            <w:tcBorders>
              <w:bottom w:val="single" w:sz="4" w:space="0" w:color="auto"/>
            </w:tcBorders>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sidRPr="003E3CC5">
              <w:rPr>
                <w:rFonts w:cs="Times New Roman"/>
                <w:color w:val="000000"/>
                <w:sz w:val="20"/>
                <w:szCs w:val="20"/>
              </w:rPr>
              <w:t>F-stat</w:t>
            </w:r>
            <w:r>
              <w:rPr>
                <w:rFonts w:cs="Times New Roman"/>
                <w:color w:val="000000"/>
                <w:sz w:val="20"/>
                <w:szCs w:val="20"/>
              </w:rPr>
              <w:t>istics</w:t>
            </w:r>
          </w:p>
        </w:tc>
        <w:tc>
          <w:tcPr>
            <w:tcW w:w="618" w:type="pct"/>
            <w:tcBorders>
              <w:bottom w:val="single" w:sz="4" w:space="0" w:color="auto"/>
            </w:tcBorders>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6.56</w:t>
            </w:r>
            <w:r w:rsidRPr="003E3CC5">
              <w:rPr>
                <w:rFonts w:cs="Times New Roman"/>
                <w:color w:val="000000"/>
                <w:sz w:val="20"/>
                <w:szCs w:val="20"/>
                <w:vertAlign w:val="superscript"/>
              </w:rPr>
              <w:t>**</w:t>
            </w:r>
          </w:p>
        </w:tc>
        <w:tc>
          <w:tcPr>
            <w:tcW w:w="672" w:type="pct"/>
            <w:tcBorders>
              <w:bottom w:val="single" w:sz="4" w:space="0" w:color="auto"/>
            </w:tcBorders>
            <w:shd w:val="clear" w:color="auto" w:fill="auto"/>
            <w:noWrap/>
            <w:tcMar>
              <w:top w:w="15" w:type="dxa"/>
              <w:left w:w="15" w:type="dxa"/>
              <w:bottom w:w="0" w:type="dxa"/>
              <w:right w:w="15" w:type="dxa"/>
            </w:tcMar>
            <w:vAlign w:val="center"/>
            <w:hideMark/>
          </w:tcPr>
          <w:p w:rsidR="00D85B35" w:rsidRPr="00203F59" w:rsidRDefault="00D85B35" w:rsidP="008772EC">
            <w:pPr>
              <w:jc w:val="center"/>
              <w:rPr>
                <w:rFonts w:cs="Times New Roman"/>
                <w:color w:val="000000"/>
                <w:sz w:val="20"/>
                <w:szCs w:val="20"/>
                <w:vertAlign w:val="superscript"/>
              </w:rPr>
            </w:pPr>
            <w:r>
              <w:rPr>
                <w:rFonts w:cs="Times New Roman"/>
                <w:color w:val="000000"/>
                <w:sz w:val="20"/>
                <w:szCs w:val="20"/>
              </w:rPr>
              <w:t>7.18</w:t>
            </w:r>
            <w:r>
              <w:rPr>
                <w:rFonts w:cs="Times New Roman"/>
                <w:color w:val="000000"/>
                <w:sz w:val="20"/>
                <w:szCs w:val="20"/>
                <w:vertAlign w:val="superscript"/>
              </w:rPr>
              <w:t>**</w:t>
            </w:r>
          </w:p>
        </w:tc>
        <w:tc>
          <w:tcPr>
            <w:tcW w:w="802" w:type="pct"/>
            <w:tcBorders>
              <w:bottom w:val="single" w:sz="4" w:space="0" w:color="auto"/>
            </w:tcBorders>
            <w:shd w:val="clear" w:color="auto" w:fill="auto"/>
            <w:noWrap/>
            <w:tcMar>
              <w:top w:w="0"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6.44</w:t>
            </w:r>
            <w:r w:rsidRPr="003E3CC5">
              <w:rPr>
                <w:rFonts w:cs="Times New Roman"/>
                <w:color w:val="000000"/>
                <w:sz w:val="20"/>
                <w:szCs w:val="20"/>
                <w:vertAlign w:val="superscript"/>
              </w:rPr>
              <w:t>**</w:t>
            </w:r>
          </w:p>
        </w:tc>
        <w:tc>
          <w:tcPr>
            <w:tcW w:w="772" w:type="pct"/>
            <w:tcBorders>
              <w:bottom w:val="single" w:sz="4" w:space="0" w:color="auto"/>
            </w:tcBorders>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1.28</w:t>
            </w:r>
          </w:p>
        </w:tc>
      </w:tr>
      <w:tr w:rsidR="00390D9E" w:rsidRPr="003E3CC5" w:rsidTr="00390D9E">
        <w:trPr>
          <w:trHeight w:val="315"/>
          <w:jc w:val="center"/>
        </w:trPr>
        <w:tc>
          <w:tcPr>
            <w:tcW w:w="5000" w:type="pct"/>
            <w:gridSpan w:val="5"/>
            <w:tcBorders>
              <w:top w:val="single" w:sz="4" w:space="0" w:color="auto"/>
            </w:tcBorders>
            <w:shd w:val="clear" w:color="auto" w:fill="auto"/>
            <w:noWrap/>
            <w:tcMar>
              <w:top w:w="15" w:type="dxa"/>
              <w:left w:w="15" w:type="dxa"/>
              <w:bottom w:w="0" w:type="dxa"/>
              <w:right w:w="15" w:type="dxa"/>
            </w:tcMar>
            <w:vAlign w:val="center"/>
          </w:tcPr>
          <w:p w:rsidR="00390D9E" w:rsidRDefault="00390D9E" w:rsidP="00390D9E">
            <w:pPr>
              <w:rPr>
                <w:rFonts w:cs="Times New Roman"/>
                <w:color w:val="000000"/>
                <w:sz w:val="20"/>
                <w:szCs w:val="20"/>
              </w:rPr>
            </w:pPr>
            <w:r>
              <w:rPr>
                <w:rFonts w:eastAsia="Times New Roman" w:cs="Times New Roman"/>
                <w:color w:val="000000"/>
                <w:sz w:val="18"/>
                <w:szCs w:val="18"/>
                <w:lang w:eastAsia="en-GB"/>
              </w:rPr>
              <w:t xml:space="preserve">Notes: The table reports the estimates of second stage Fama and MacBeth (1973) cross-sectional regression The dependent variable </w:t>
            </w:r>
            <w:r>
              <w:rPr>
                <w:rFonts w:eastAsia="Times New Roman" w:cs="Times New Roman"/>
                <w:sz w:val="18"/>
                <w:szCs w:val="18"/>
              </w:rPr>
              <w:t>ERPs of the FTSE indices. The independent variables are the time-series loadings on durable, semi-durable and non-durable consumption shocks and other factors. The reported t-statistics are corrected for heteroscedasticity and auto-correlation</w:t>
            </w:r>
          </w:p>
        </w:tc>
      </w:tr>
    </w:tbl>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tbl>
      <w:tblPr>
        <w:tblW w:w="0" w:type="auto"/>
        <w:jc w:val="center"/>
        <w:tblLook w:val="04A0" w:firstRow="1" w:lastRow="0" w:firstColumn="1" w:lastColumn="0" w:noHBand="0" w:noVBand="1"/>
      </w:tblPr>
      <w:tblGrid>
        <w:gridCol w:w="863"/>
        <w:gridCol w:w="806"/>
        <w:gridCol w:w="806"/>
        <w:gridCol w:w="806"/>
        <w:gridCol w:w="806"/>
        <w:gridCol w:w="806"/>
        <w:gridCol w:w="863"/>
        <w:gridCol w:w="654"/>
        <w:gridCol w:w="654"/>
        <w:gridCol w:w="654"/>
        <w:gridCol w:w="654"/>
        <w:gridCol w:w="654"/>
      </w:tblGrid>
      <w:tr w:rsidR="00530CC4" w:rsidRPr="00AF4957" w:rsidTr="00530CC4">
        <w:trPr>
          <w:trHeight w:val="300"/>
          <w:jc w:val="center"/>
        </w:trPr>
        <w:tc>
          <w:tcPr>
            <w:tcW w:w="0" w:type="auto"/>
            <w:gridSpan w:val="12"/>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rPr>
                <w:rFonts w:eastAsia="Times New Roman" w:cs="Times New Roman"/>
                <w:color w:val="000000"/>
                <w:sz w:val="18"/>
                <w:szCs w:val="18"/>
                <w:lang w:eastAsia="en-GB"/>
              </w:rPr>
            </w:pPr>
            <w:r w:rsidRPr="00AF4957">
              <w:rPr>
                <w:rFonts w:eastAsia="Times New Roman" w:cs="Times New Roman"/>
                <w:b/>
                <w:color w:val="000000"/>
                <w:sz w:val="18"/>
                <w:szCs w:val="18"/>
                <w:lang w:eastAsia="en-GB"/>
              </w:rPr>
              <w:t>TABLE 11</w:t>
            </w:r>
            <w:r w:rsidRPr="00AF4957">
              <w:rPr>
                <w:rFonts w:eastAsia="Times New Roman" w:cs="Times New Roman"/>
                <w:color w:val="000000"/>
                <w:sz w:val="18"/>
                <w:szCs w:val="18"/>
                <w:lang w:eastAsia="en-GB"/>
              </w:rPr>
              <w:t xml:space="preserve">: </w:t>
            </w:r>
            <w:r w:rsidRPr="00AF4957">
              <w:rPr>
                <w:rFonts w:eastAsia="Times New Roman" w:cs="Times New Roman"/>
                <w:b/>
                <w:color w:val="000000"/>
                <w:sz w:val="18"/>
                <w:szCs w:val="18"/>
                <w:lang w:eastAsia="en-GB"/>
              </w:rPr>
              <w:t>The Impact of dis-aggregate consumption shocks on the ERP of the 25 value-weighted Fama-French portfolios</w:t>
            </w:r>
            <w:r w:rsidR="00390D9E">
              <w:rPr>
                <w:rFonts w:eastAsia="Times New Roman" w:cs="Times New Roman"/>
                <w:color w:val="000000"/>
                <w:sz w:val="18"/>
                <w:szCs w:val="18"/>
                <w:lang w:eastAsia="en-GB"/>
              </w:rPr>
              <w:t>.</w:t>
            </w:r>
          </w:p>
        </w:tc>
      </w:tr>
      <w:tr w:rsidR="00530CC4" w:rsidRPr="00AF4957" w:rsidTr="00530CC4">
        <w:trPr>
          <w:trHeight w:val="300"/>
          <w:jc w:val="center"/>
        </w:trPr>
        <w:tc>
          <w:tcPr>
            <w:tcW w:w="0" w:type="auto"/>
            <w:gridSpan w:val="12"/>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Panel A: Loadings on Durable Consumption Shocks</w:t>
            </w:r>
          </w:p>
        </w:tc>
      </w:tr>
      <w:tr w:rsidR="00530CC4" w:rsidRPr="00AF4957" w:rsidTr="00530CC4">
        <w:trPr>
          <w:trHeight w:val="300"/>
          <w:jc w:val="center"/>
        </w:trPr>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Small</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2</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3</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4</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Large</w:t>
            </w:r>
          </w:p>
        </w:tc>
        <w:tc>
          <w:tcPr>
            <w:tcW w:w="0" w:type="auto"/>
            <w:tcBorders>
              <w:top w:val="single" w:sz="4" w:space="0" w:color="auto"/>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0" w:type="auto"/>
            <w:gridSpan w:val="5"/>
            <w:tcBorders>
              <w:top w:val="single" w:sz="4" w:space="0" w:color="auto"/>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t-statistics</w:t>
            </w:r>
          </w:p>
        </w:tc>
      </w:tr>
      <w:tr w:rsidR="00530CC4" w:rsidRPr="00AF4957" w:rsidTr="00530CC4">
        <w:trPr>
          <w:trHeight w:val="300"/>
          <w:jc w:val="center"/>
        </w:trPr>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Growth</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-2.08</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-2.07</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-1.91</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-2.00</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-1.85</w:t>
            </w:r>
            <w:r w:rsidRPr="00AF4957">
              <w:rPr>
                <w:rFonts w:eastAsia="Times New Roman" w:cs="Times New Roman"/>
                <w:color w:val="000000"/>
                <w:sz w:val="18"/>
                <w:szCs w:val="18"/>
                <w:vertAlign w:val="superscript"/>
                <w:lang w:eastAsia="en-GB"/>
              </w:rPr>
              <w:t>***</w:t>
            </w:r>
          </w:p>
        </w:tc>
        <w:tc>
          <w:tcPr>
            <w:tcW w:w="0" w:type="auto"/>
            <w:tcBorders>
              <w:top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-1.98</w:t>
            </w:r>
          </w:p>
        </w:tc>
        <w:tc>
          <w:tcPr>
            <w:tcW w:w="0" w:type="auto"/>
            <w:tcBorders>
              <w:top w:val="single" w:sz="4" w:space="0" w:color="auto"/>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-4.91</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-3.66</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-3.03</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-4.38</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-5.63</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-1.43</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-2.08</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-1.95</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-2.14</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-1.42</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-1.80</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-3.09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-4.16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-4.44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-4.35</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-1.57</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-1.51</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-1.69</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-1.58</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-1.55</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-1.58</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-3.72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-4.60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-3.49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-4.67</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-1.59</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-1.67</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-1.95</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-1.94</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-1.59</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-1.75</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-3.90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-3.95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-4.77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-5.26</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Value</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-1.58</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-2.00</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-1.85</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-2.08</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-1.43</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-1.79</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-4.74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-4.76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-3.77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-4.45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-7.78</w:t>
            </w:r>
          </w:p>
        </w:tc>
      </w:tr>
      <w:tr w:rsidR="00530CC4" w:rsidRPr="00AF4957" w:rsidTr="00530CC4">
        <w:trPr>
          <w:trHeight w:val="300"/>
          <w:jc w:val="center"/>
        </w:trPr>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-1.65</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-1.87</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-1.87</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-1.95</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-1.57</w:t>
            </w:r>
          </w:p>
        </w:tc>
        <w:tc>
          <w:tcPr>
            <w:tcW w:w="0" w:type="auto"/>
            <w:tcBorders>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r>
      <w:tr w:rsidR="00530CC4" w:rsidRPr="00AF4957" w:rsidTr="00530CC4">
        <w:trPr>
          <w:trHeight w:val="300"/>
          <w:jc w:val="center"/>
        </w:trPr>
        <w:tc>
          <w:tcPr>
            <w:tcW w:w="0" w:type="auto"/>
            <w:gridSpan w:val="7"/>
            <w:tcBorders>
              <w:top w:val="single" w:sz="4" w:space="0" w:color="auto"/>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R-Squared</w:t>
            </w:r>
          </w:p>
        </w:tc>
        <w:tc>
          <w:tcPr>
            <w:tcW w:w="0" w:type="auto"/>
            <w:gridSpan w:val="5"/>
            <w:tcBorders>
              <w:top w:val="single" w:sz="4" w:space="0" w:color="auto"/>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F-statistics</w:t>
            </w:r>
          </w:p>
        </w:tc>
      </w:tr>
      <w:tr w:rsidR="00530CC4" w:rsidRPr="00AF4957" w:rsidTr="00530CC4">
        <w:trPr>
          <w:trHeight w:val="300"/>
          <w:jc w:val="center"/>
        </w:trPr>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Growth</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13.34%</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12.76%</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12.58%</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18.10%</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32.18%</w:t>
            </w:r>
          </w:p>
        </w:tc>
        <w:tc>
          <w:tcPr>
            <w:tcW w:w="0" w:type="auto"/>
            <w:tcBorders>
              <w:top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17.79%</w:t>
            </w:r>
          </w:p>
        </w:tc>
        <w:tc>
          <w:tcPr>
            <w:tcW w:w="0" w:type="auto"/>
            <w:tcBorders>
              <w:top w:val="single" w:sz="4" w:space="0" w:color="auto"/>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14.77</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14.05</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13.82</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21.22</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45.56</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8.65%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15.50%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18.30%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19.94%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14.55%</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15.39%</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9.09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17.61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21.50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23.92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16.34</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13.03%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12.97%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15.22%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15.06%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17.04%</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14.66%</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14.38</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14.31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17.23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17.02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19.71</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11.89%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16.93%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17.36%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22.06%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24.74%</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18.59%</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12.95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19.57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20.16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27.18</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31.55</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Value</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12.64%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13.75%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14.26%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15.41%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13.98%</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14.01%</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13.88</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15.30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15.96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17.49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15.60</w:t>
            </w:r>
          </w:p>
        </w:tc>
      </w:tr>
      <w:tr w:rsidR="00530CC4" w:rsidRPr="00AF4957" w:rsidTr="00530CC4">
        <w:trPr>
          <w:trHeight w:val="300"/>
          <w:jc w:val="center"/>
        </w:trPr>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11.91%</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14.38%</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15.54%</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18.11%</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20.50%</w:t>
            </w:r>
          </w:p>
        </w:tc>
        <w:tc>
          <w:tcPr>
            <w:tcW w:w="0" w:type="auto"/>
            <w:tcBorders>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r>
      <w:tr w:rsidR="00530CC4" w:rsidRPr="00AF4957" w:rsidTr="00530CC4">
        <w:trPr>
          <w:trHeight w:val="300"/>
          <w:jc w:val="center"/>
        </w:trPr>
        <w:tc>
          <w:tcPr>
            <w:tcW w:w="0" w:type="auto"/>
            <w:gridSpan w:val="12"/>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Panel B: Loadings on Semi-Durable Consumption Shocks</w:t>
            </w:r>
          </w:p>
        </w:tc>
      </w:tr>
      <w:tr w:rsidR="00530CC4" w:rsidRPr="00AF4957" w:rsidTr="00530CC4">
        <w:trPr>
          <w:trHeight w:val="300"/>
          <w:jc w:val="center"/>
        </w:trPr>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Small</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2</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3</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4</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Large</w:t>
            </w:r>
          </w:p>
        </w:tc>
        <w:tc>
          <w:tcPr>
            <w:tcW w:w="0" w:type="auto"/>
            <w:tcBorders>
              <w:top w:val="single" w:sz="4" w:space="0" w:color="auto"/>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0" w:type="auto"/>
            <w:gridSpan w:val="5"/>
            <w:tcBorders>
              <w:top w:val="single" w:sz="4" w:space="0" w:color="auto"/>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t-statistics</w:t>
            </w:r>
          </w:p>
        </w:tc>
      </w:tr>
      <w:tr w:rsidR="00530CC4" w:rsidRPr="00AF4957" w:rsidTr="00530CC4">
        <w:trPr>
          <w:trHeight w:val="300"/>
          <w:jc w:val="center"/>
        </w:trPr>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Growth</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-2.13</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-2.10</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-1.81</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-1.97</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-1.84</w:t>
            </w:r>
            <w:r w:rsidRPr="00AF4957">
              <w:rPr>
                <w:rFonts w:eastAsia="Times New Roman" w:cs="Times New Roman"/>
                <w:color w:val="000000"/>
                <w:sz w:val="18"/>
                <w:szCs w:val="18"/>
                <w:vertAlign w:val="superscript"/>
                <w:lang w:eastAsia="en-GB"/>
              </w:rPr>
              <w:t>***</w:t>
            </w:r>
          </w:p>
        </w:tc>
        <w:tc>
          <w:tcPr>
            <w:tcW w:w="0" w:type="auto"/>
            <w:tcBorders>
              <w:top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-1.97</w:t>
            </w:r>
          </w:p>
        </w:tc>
        <w:tc>
          <w:tcPr>
            <w:tcW w:w="0" w:type="auto"/>
            <w:tcBorders>
              <w:top w:val="single" w:sz="4" w:space="0" w:color="auto"/>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-4.75</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-3.53</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-2.23</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-4.60</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-5.50</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-1.40</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-1.85</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-1.82</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-1.96</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-1.41</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-1.69</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-3.26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-3.86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-4.45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-3.91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-4.70</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-1.43</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-1.37</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-1.62</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-1.53</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-1.45</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-1.48</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-3.66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-4.63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-3.69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-4.80</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-1.47</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-1.55</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-1.74</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-1.89</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-1.56</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-1.64</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-3.71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-3.66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-3.71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-5.17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-5.83</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Value</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-1.49</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-1.90</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-1.76</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-1.93</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-1.45</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-1.71</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-4.63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-4.92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-3.93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-4.88</w:t>
            </w:r>
          </w:p>
        </w:tc>
      </w:tr>
      <w:tr w:rsidR="00530CC4" w:rsidRPr="00AF4957" w:rsidTr="00530CC4">
        <w:trPr>
          <w:trHeight w:val="300"/>
          <w:jc w:val="center"/>
        </w:trPr>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-1.59</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-1.76</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-1.75</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-1.86</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-1.54</w:t>
            </w:r>
          </w:p>
        </w:tc>
        <w:tc>
          <w:tcPr>
            <w:tcW w:w="0" w:type="auto"/>
            <w:tcBorders>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r>
      <w:tr w:rsidR="00530CC4" w:rsidRPr="00AF4957" w:rsidTr="00530CC4">
        <w:trPr>
          <w:trHeight w:val="300"/>
          <w:jc w:val="center"/>
        </w:trPr>
        <w:tc>
          <w:tcPr>
            <w:tcW w:w="0" w:type="auto"/>
            <w:gridSpan w:val="7"/>
            <w:tcBorders>
              <w:top w:val="single" w:sz="4" w:space="0" w:color="auto"/>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R-Squared</w:t>
            </w:r>
          </w:p>
        </w:tc>
        <w:tc>
          <w:tcPr>
            <w:tcW w:w="0" w:type="auto"/>
            <w:gridSpan w:val="5"/>
            <w:tcBorders>
              <w:top w:val="single" w:sz="4" w:space="0" w:color="auto"/>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F-statistics</w:t>
            </w:r>
          </w:p>
        </w:tc>
      </w:tr>
      <w:tr w:rsidR="00530CC4" w:rsidRPr="00AF4957" w:rsidTr="00530CC4">
        <w:trPr>
          <w:trHeight w:val="300"/>
          <w:jc w:val="center"/>
        </w:trPr>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Growth</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14.80%</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14.00%</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11.91%</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18.76%</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33.92%</w:t>
            </w:r>
          </w:p>
        </w:tc>
        <w:tc>
          <w:tcPr>
            <w:tcW w:w="0" w:type="auto"/>
            <w:tcBorders>
              <w:top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18.68%</w:t>
            </w:r>
          </w:p>
        </w:tc>
        <w:tc>
          <w:tcPr>
            <w:tcW w:w="0" w:type="auto"/>
            <w:tcBorders>
              <w:top w:val="single" w:sz="4" w:space="0" w:color="auto"/>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16.67</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15.62</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12.97</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22.17</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49.28</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8.84%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13.01%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15.91%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17.64%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15.04%</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14.09%</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9.31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14.36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18.17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20.56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17.00</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11.45%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11.40%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14.78%</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14.86%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15.76%</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13.65%</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12.41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12.35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16.65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16.76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17.96</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10.83%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15.51%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15.49%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22.29%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25.35%</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17.89%</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11.66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17.62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17.59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27.54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32.59</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Value</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11.99%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13.05%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13.57%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14.15%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15.29%</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13.61%</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13.08</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14.40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15.07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15.82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17.33</w:t>
            </w:r>
          </w:p>
        </w:tc>
      </w:tr>
      <w:tr w:rsidR="00530CC4" w:rsidRPr="00AF4957" w:rsidTr="00530CC4">
        <w:trPr>
          <w:trHeight w:val="300"/>
          <w:jc w:val="center"/>
        </w:trPr>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11.58%</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13.39%</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14.33%</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17.54%</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21.07%</w:t>
            </w:r>
          </w:p>
        </w:tc>
        <w:tc>
          <w:tcPr>
            <w:tcW w:w="0" w:type="auto"/>
            <w:tcBorders>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r>
    </w:tbl>
    <w:p w:rsidR="00D85B35" w:rsidRDefault="00D85B35"/>
    <w:p w:rsidR="00530CC4" w:rsidRDefault="00530CC4"/>
    <w:p w:rsidR="00530CC4" w:rsidRDefault="00530CC4"/>
    <w:p w:rsidR="00530CC4" w:rsidRDefault="00530CC4"/>
    <w:p w:rsidR="00530CC4" w:rsidRDefault="00530CC4"/>
    <w:p w:rsidR="00530CC4" w:rsidRDefault="00530CC4"/>
    <w:p w:rsidR="00390D9E" w:rsidRDefault="00390D9E"/>
    <w:p w:rsidR="00530CC4" w:rsidRDefault="00530CC4"/>
    <w:tbl>
      <w:tblPr>
        <w:tblW w:w="5000" w:type="pct"/>
        <w:jc w:val="center"/>
        <w:tblLook w:val="04A0" w:firstRow="1" w:lastRow="0" w:firstColumn="1" w:lastColumn="0" w:noHBand="0" w:noVBand="1"/>
      </w:tblPr>
      <w:tblGrid>
        <w:gridCol w:w="843"/>
        <w:gridCol w:w="792"/>
        <w:gridCol w:w="791"/>
        <w:gridCol w:w="791"/>
        <w:gridCol w:w="791"/>
        <w:gridCol w:w="790"/>
        <w:gridCol w:w="845"/>
        <w:gridCol w:w="677"/>
        <w:gridCol w:w="677"/>
        <w:gridCol w:w="677"/>
        <w:gridCol w:w="677"/>
        <w:gridCol w:w="675"/>
      </w:tblGrid>
      <w:tr w:rsidR="00530CC4" w:rsidRPr="00AF4957" w:rsidTr="00530CC4">
        <w:trPr>
          <w:trHeight w:val="300"/>
          <w:jc w:val="center"/>
        </w:trPr>
        <w:tc>
          <w:tcPr>
            <w:tcW w:w="5000" w:type="pct"/>
            <w:gridSpan w:val="12"/>
            <w:tcBorders>
              <w:top w:val="single" w:sz="4" w:space="0" w:color="auto"/>
              <w:bottom w:val="single" w:sz="4" w:space="0" w:color="auto"/>
            </w:tcBorders>
            <w:shd w:val="clear" w:color="auto" w:fill="auto"/>
            <w:noWrap/>
            <w:vAlign w:val="center"/>
          </w:tcPr>
          <w:p w:rsidR="00530CC4" w:rsidRPr="00AF4957" w:rsidRDefault="00530CC4" w:rsidP="00530CC4">
            <w:pPr>
              <w:spacing w:after="0"/>
              <w:rPr>
                <w:rFonts w:eastAsia="Times New Roman" w:cs="Times New Roman"/>
                <w:color w:val="000000"/>
                <w:sz w:val="18"/>
                <w:szCs w:val="18"/>
                <w:lang w:eastAsia="en-GB"/>
              </w:rPr>
            </w:pPr>
            <w:r w:rsidRPr="00AF4957">
              <w:rPr>
                <w:rFonts w:eastAsia="Times New Roman" w:cs="Times New Roman"/>
                <w:color w:val="000000"/>
                <w:sz w:val="18"/>
                <w:szCs w:val="18"/>
                <w:lang w:eastAsia="en-GB"/>
              </w:rPr>
              <w:t>Table 11 continues..</w:t>
            </w:r>
          </w:p>
        </w:tc>
      </w:tr>
      <w:tr w:rsidR="00530CC4" w:rsidRPr="00AF4957" w:rsidTr="00530CC4">
        <w:trPr>
          <w:trHeight w:val="300"/>
          <w:jc w:val="center"/>
        </w:trPr>
        <w:tc>
          <w:tcPr>
            <w:tcW w:w="5000" w:type="pct"/>
            <w:gridSpan w:val="12"/>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Panel C: Loadings on Non-Durable Consumption Shocks</w:t>
            </w:r>
          </w:p>
        </w:tc>
      </w:tr>
      <w:tr w:rsidR="00530CC4" w:rsidRPr="00AF4957" w:rsidTr="00390D9E">
        <w:trPr>
          <w:trHeight w:val="300"/>
          <w:jc w:val="center"/>
        </w:trPr>
        <w:tc>
          <w:tcPr>
            <w:tcW w:w="482" w:type="pct"/>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445" w:type="pct"/>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Small</w:t>
            </w:r>
          </w:p>
        </w:tc>
        <w:tc>
          <w:tcPr>
            <w:tcW w:w="444" w:type="pct"/>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2</w:t>
            </w:r>
          </w:p>
        </w:tc>
        <w:tc>
          <w:tcPr>
            <w:tcW w:w="444" w:type="pct"/>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3</w:t>
            </w:r>
          </w:p>
        </w:tc>
        <w:tc>
          <w:tcPr>
            <w:tcW w:w="444" w:type="pct"/>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4</w:t>
            </w:r>
          </w:p>
        </w:tc>
        <w:tc>
          <w:tcPr>
            <w:tcW w:w="444" w:type="pct"/>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Large</w:t>
            </w:r>
          </w:p>
        </w:tc>
        <w:tc>
          <w:tcPr>
            <w:tcW w:w="482" w:type="pct"/>
            <w:tcBorders>
              <w:top w:val="single" w:sz="4" w:space="0" w:color="auto"/>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1814" w:type="pct"/>
            <w:gridSpan w:val="5"/>
            <w:tcBorders>
              <w:top w:val="single" w:sz="4" w:space="0" w:color="auto"/>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t-statistics</w:t>
            </w:r>
          </w:p>
        </w:tc>
      </w:tr>
      <w:tr w:rsidR="00530CC4" w:rsidRPr="00AF4957" w:rsidTr="00390D9E">
        <w:trPr>
          <w:trHeight w:val="300"/>
          <w:jc w:val="center"/>
        </w:trPr>
        <w:tc>
          <w:tcPr>
            <w:tcW w:w="482"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Growth</w:t>
            </w:r>
          </w:p>
        </w:tc>
        <w:tc>
          <w:tcPr>
            <w:tcW w:w="445"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2.09</w:t>
            </w:r>
            <w:r w:rsidRPr="00AF4957">
              <w:rPr>
                <w:rFonts w:eastAsia="Times New Roman" w:cs="Times New Roman"/>
                <w:color w:val="000000"/>
                <w:sz w:val="18"/>
                <w:szCs w:val="18"/>
                <w:vertAlign w:val="superscript"/>
                <w:lang w:eastAsia="en-GB"/>
              </w:rPr>
              <w:t>***</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2.24</w:t>
            </w:r>
            <w:r w:rsidRPr="00AF4957">
              <w:rPr>
                <w:rFonts w:eastAsia="Times New Roman" w:cs="Times New Roman"/>
                <w:color w:val="000000"/>
                <w:sz w:val="18"/>
                <w:szCs w:val="18"/>
                <w:vertAlign w:val="superscript"/>
                <w:lang w:eastAsia="en-GB"/>
              </w:rPr>
              <w:t>***</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2.05</w:t>
            </w:r>
            <w:r w:rsidRPr="00AF4957">
              <w:rPr>
                <w:rFonts w:eastAsia="Times New Roman" w:cs="Times New Roman"/>
                <w:color w:val="000000"/>
                <w:sz w:val="18"/>
                <w:szCs w:val="18"/>
                <w:vertAlign w:val="superscript"/>
                <w:lang w:eastAsia="en-GB"/>
              </w:rPr>
              <w:t>**</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2.04</w:t>
            </w:r>
            <w:r w:rsidRPr="00AF4957">
              <w:rPr>
                <w:rFonts w:eastAsia="Times New Roman" w:cs="Times New Roman"/>
                <w:color w:val="000000"/>
                <w:sz w:val="18"/>
                <w:szCs w:val="18"/>
                <w:vertAlign w:val="superscript"/>
                <w:lang w:eastAsia="en-GB"/>
              </w:rPr>
              <w:t>***</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1.90</w:t>
            </w:r>
            <w:r w:rsidRPr="00AF4957">
              <w:rPr>
                <w:rFonts w:eastAsia="Times New Roman" w:cs="Times New Roman"/>
                <w:color w:val="000000"/>
                <w:sz w:val="18"/>
                <w:szCs w:val="18"/>
                <w:vertAlign w:val="superscript"/>
                <w:lang w:eastAsia="en-GB"/>
              </w:rPr>
              <w:t>***</w:t>
            </w:r>
          </w:p>
        </w:tc>
        <w:tc>
          <w:tcPr>
            <w:tcW w:w="482" w:type="pct"/>
            <w:tcBorders>
              <w:top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2.06</w:t>
            </w:r>
          </w:p>
        </w:tc>
        <w:tc>
          <w:tcPr>
            <w:tcW w:w="363" w:type="pct"/>
            <w:tcBorders>
              <w:top w:val="single" w:sz="4" w:space="0" w:color="auto"/>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3.91</w:t>
            </w:r>
          </w:p>
        </w:tc>
        <w:tc>
          <w:tcPr>
            <w:tcW w:w="363"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2.50</w:t>
            </w:r>
          </w:p>
        </w:tc>
        <w:tc>
          <w:tcPr>
            <w:tcW w:w="363"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2.01</w:t>
            </w:r>
          </w:p>
        </w:tc>
        <w:tc>
          <w:tcPr>
            <w:tcW w:w="363"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4.28</w:t>
            </w:r>
          </w:p>
        </w:tc>
        <w:tc>
          <w:tcPr>
            <w:tcW w:w="363"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6.08</w:t>
            </w:r>
          </w:p>
        </w:tc>
      </w:tr>
      <w:tr w:rsidR="00530CC4" w:rsidRPr="00AF4957" w:rsidTr="00390D9E">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BM2</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1.52</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1.97</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1.87</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2.06</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1.36</w:t>
            </w:r>
            <w:r w:rsidRPr="00AF4957">
              <w:rPr>
                <w:rFonts w:eastAsia="Times New Roman" w:cs="Times New Roman"/>
                <w:color w:val="000000"/>
                <w:sz w:val="18"/>
                <w:szCs w:val="18"/>
                <w:vertAlign w:val="superscript"/>
                <w:lang w:eastAsia="en-GB"/>
              </w:rPr>
              <w:t>***</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1.75</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3.49</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4.29</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5.97</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5.53</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5.37</w:t>
            </w:r>
          </w:p>
        </w:tc>
      </w:tr>
      <w:tr w:rsidR="00530CC4" w:rsidRPr="00AF4957" w:rsidTr="00390D9E">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BM3</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1.52</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1.39</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1.56</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1.50</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1.59</w:t>
            </w:r>
            <w:r w:rsidRPr="00AF4957">
              <w:rPr>
                <w:rFonts w:eastAsia="Times New Roman" w:cs="Times New Roman"/>
                <w:color w:val="000000"/>
                <w:sz w:val="18"/>
                <w:szCs w:val="18"/>
                <w:vertAlign w:val="superscript"/>
                <w:lang w:eastAsia="en-GB"/>
              </w:rPr>
              <w:t>***</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1.51</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4.35</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3.55</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4.95</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4.07</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5.87</w:t>
            </w:r>
          </w:p>
        </w:tc>
      </w:tr>
      <w:tr w:rsidR="00530CC4" w:rsidRPr="00AF4957" w:rsidTr="00390D9E">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BM4</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1.37</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1.55</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1.94</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1.90</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1.68</w:t>
            </w:r>
            <w:r w:rsidRPr="00AF4957">
              <w:rPr>
                <w:rFonts w:eastAsia="Times New Roman" w:cs="Times New Roman"/>
                <w:color w:val="000000"/>
                <w:sz w:val="18"/>
                <w:szCs w:val="18"/>
                <w:vertAlign w:val="superscript"/>
                <w:lang w:eastAsia="en-GB"/>
              </w:rPr>
              <w:t>***</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1.69</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3.80</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3.87</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4.62</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5.69</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6.76</w:t>
            </w:r>
          </w:p>
        </w:tc>
      </w:tr>
      <w:tr w:rsidR="00530CC4" w:rsidRPr="00AF4957" w:rsidTr="00390D9E">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Value</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1.40</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1.73</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1.75</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1.91</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1.56</w:t>
            </w:r>
            <w:r w:rsidRPr="00AF4957">
              <w:rPr>
                <w:rFonts w:eastAsia="Times New Roman" w:cs="Times New Roman"/>
                <w:color w:val="000000"/>
                <w:sz w:val="18"/>
                <w:szCs w:val="18"/>
                <w:vertAlign w:val="superscript"/>
                <w:lang w:eastAsia="en-GB"/>
              </w:rPr>
              <w:t>***</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1.67</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4.67</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4.98</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4.22</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4.78</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6.01</w:t>
            </w:r>
          </w:p>
        </w:tc>
      </w:tr>
      <w:tr w:rsidR="00530CC4" w:rsidRPr="00AF4957" w:rsidTr="00390D9E">
        <w:trPr>
          <w:trHeight w:val="300"/>
          <w:jc w:val="center"/>
        </w:trPr>
        <w:tc>
          <w:tcPr>
            <w:tcW w:w="482"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445"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1.58</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1.77</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1.83</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1.88</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1.62</w:t>
            </w:r>
          </w:p>
        </w:tc>
        <w:tc>
          <w:tcPr>
            <w:tcW w:w="482" w:type="pct"/>
            <w:tcBorders>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r>
      <w:tr w:rsidR="00530CC4" w:rsidRPr="00AF4957" w:rsidTr="00390D9E">
        <w:trPr>
          <w:trHeight w:val="300"/>
          <w:jc w:val="center"/>
        </w:trPr>
        <w:tc>
          <w:tcPr>
            <w:tcW w:w="3186" w:type="pct"/>
            <w:gridSpan w:val="7"/>
            <w:tcBorders>
              <w:top w:val="single" w:sz="4" w:space="0" w:color="auto"/>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R-Squared</w:t>
            </w:r>
          </w:p>
        </w:tc>
        <w:tc>
          <w:tcPr>
            <w:tcW w:w="1814" w:type="pct"/>
            <w:gridSpan w:val="5"/>
            <w:tcBorders>
              <w:top w:val="single" w:sz="4" w:space="0" w:color="auto"/>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F-statistics</w:t>
            </w:r>
          </w:p>
        </w:tc>
      </w:tr>
      <w:tr w:rsidR="00530CC4" w:rsidRPr="00AF4957" w:rsidTr="00390D9E">
        <w:trPr>
          <w:trHeight w:val="300"/>
          <w:jc w:val="center"/>
        </w:trPr>
        <w:tc>
          <w:tcPr>
            <w:tcW w:w="482"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Growth</w:t>
            </w:r>
          </w:p>
        </w:tc>
        <w:tc>
          <w:tcPr>
            <w:tcW w:w="445"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16.47%</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18.20%</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17.66%</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23.01%</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41.75%</w:t>
            </w:r>
          </w:p>
        </w:tc>
        <w:tc>
          <w:tcPr>
            <w:tcW w:w="482" w:type="pct"/>
            <w:tcBorders>
              <w:top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23.42%</w:t>
            </w:r>
          </w:p>
        </w:tc>
        <w:tc>
          <w:tcPr>
            <w:tcW w:w="363" w:type="pct"/>
            <w:tcBorders>
              <w:top w:val="single" w:sz="4" w:space="0" w:color="auto"/>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18.93</w:t>
            </w:r>
          </w:p>
        </w:tc>
        <w:tc>
          <w:tcPr>
            <w:tcW w:w="363"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21.36</w:t>
            </w:r>
          </w:p>
        </w:tc>
        <w:tc>
          <w:tcPr>
            <w:tcW w:w="363"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20.59</w:t>
            </w:r>
          </w:p>
        </w:tc>
        <w:tc>
          <w:tcPr>
            <w:tcW w:w="363"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28.69</w:t>
            </w:r>
          </w:p>
        </w:tc>
        <w:tc>
          <w:tcPr>
            <w:tcW w:w="363"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68.82</w:t>
            </w:r>
          </w:p>
        </w:tc>
      </w:tr>
      <w:tr w:rsidR="00530CC4" w:rsidRPr="00AF4957" w:rsidTr="00390D9E">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BM2</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11.92%</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16.91%</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19.31%</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22.52%</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16.16%</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17.36%</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12.99</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19.53</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22.97</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27.90</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18.51</w:t>
            </w:r>
          </w:p>
        </w:tc>
      </w:tr>
      <w:tr w:rsidR="00530CC4" w:rsidRPr="00AF4957" w:rsidTr="00390D9E">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BM3</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14.92%</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13.37%</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15.79%</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16.59%</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21.77%</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16.49%</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16.84</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14.81</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18.00</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19.10</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26.71</w:t>
            </w:r>
          </w:p>
        </w:tc>
      </w:tr>
      <w:tr w:rsidR="00530CC4" w:rsidRPr="00AF4957" w:rsidTr="00390D9E">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BM4</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10.78%</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17.90%</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22.32%</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25.78%</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33.60%</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22.07%</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11.59</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20.93</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27.59</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33.34</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48.58</w:t>
            </w:r>
          </w:p>
        </w:tc>
      </w:tr>
      <w:tr w:rsidR="00530CC4" w:rsidRPr="00AF4957" w:rsidTr="00390D9E">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Value</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12.13%</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12.53%</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15.46%</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15.99%</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20.34%</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15.29%</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13.25</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13.75</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17.56</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18.27</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24.51</w:t>
            </w:r>
          </w:p>
        </w:tc>
      </w:tr>
      <w:tr w:rsidR="00530CC4" w:rsidRPr="00AF4957" w:rsidTr="00390D9E">
        <w:trPr>
          <w:trHeight w:val="300"/>
          <w:jc w:val="center"/>
        </w:trPr>
        <w:tc>
          <w:tcPr>
            <w:tcW w:w="482"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445"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13.24%</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15.78%</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18.11%</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20.78%</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26.72%</w:t>
            </w:r>
          </w:p>
        </w:tc>
        <w:tc>
          <w:tcPr>
            <w:tcW w:w="482" w:type="pct"/>
            <w:tcBorders>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r>
      <w:tr w:rsidR="00390D9E" w:rsidRPr="00AF4957" w:rsidTr="00390D9E">
        <w:trPr>
          <w:trHeight w:val="300"/>
          <w:jc w:val="center"/>
        </w:trPr>
        <w:tc>
          <w:tcPr>
            <w:tcW w:w="5000" w:type="pct"/>
            <w:gridSpan w:val="12"/>
            <w:tcBorders>
              <w:top w:val="single" w:sz="4" w:space="0" w:color="auto"/>
            </w:tcBorders>
            <w:shd w:val="clear" w:color="auto" w:fill="auto"/>
            <w:noWrap/>
            <w:vAlign w:val="center"/>
          </w:tcPr>
          <w:p w:rsidR="00390D9E" w:rsidRPr="00AF4957" w:rsidRDefault="00390D9E" w:rsidP="00390D9E">
            <w:pPr>
              <w:spacing w:after="0"/>
              <w:rPr>
                <w:rFonts w:eastAsia="Times New Roman" w:cs="Times New Roman"/>
                <w:color w:val="000000"/>
                <w:sz w:val="18"/>
                <w:szCs w:val="18"/>
                <w:lang w:eastAsia="en-GB"/>
              </w:rPr>
            </w:pPr>
            <w:r w:rsidRPr="00AF4957">
              <w:rPr>
                <w:rFonts w:eastAsia="Times New Roman" w:cs="Times New Roman"/>
                <w:color w:val="000000"/>
                <w:sz w:val="18"/>
                <w:szCs w:val="18"/>
                <w:lang w:eastAsia="en-GB"/>
              </w:rPr>
              <w:t>Note</w:t>
            </w:r>
            <w:r>
              <w:rPr>
                <w:rFonts w:eastAsia="Times New Roman" w:cs="Times New Roman"/>
                <w:color w:val="000000"/>
                <w:sz w:val="18"/>
                <w:szCs w:val="18"/>
                <w:lang w:eastAsia="en-GB"/>
              </w:rPr>
              <w:t>s</w:t>
            </w:r>
            <w:r w:rsidRPr="00AF4957">
              <w:rPr>
                <w:rFonts w:eastAsia="Times New Roman" w:cs="Times New Roman"/>
                <w:color w:val="000000"/>
                <w:sz w:val="18"/>
                <w:szCs w:val="18"/>
                <w:lang w:eastAsia="en-GB"/>
              </w:rPr>
              <w:t>: The dependent variable is the ERP of the 25 value weighted Fama-French Portfolios. The independent variables in Panels A, B and C are the durable, semi-durable and Non- durable personal consumption shocks. The tables reports the estimated parameters of Models (19), (20) and (21). The t-statistics computed using Newey-West heteroskedastic-robust standard errors with 4 lags (initial pre-whitening using 2 lags).</w:t>
            </w:r>
          </w:p>
        </w:tc>
      </w:tr>
    </w:tbl>
    <w:p w:rsidR="00530CC4" w:rsidRDefault="00530CC4"/>
    <w:p w:rsidR="00D85B35" w:rsidRDefault="00D85B35"/>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tbl>
      <w:tblPr>
        <w:tblW w:w="5811" w:type="pct"/>
        <w:jc w:val="center"/>
        <w:tblLayout w:type="fixed"/>
        <w:tblCellMar>
          <w:left w:w="0" w:type="dxa"/>
          <w:right w:w="0" w:type="dxa"/>
        </w:tblCellMar>
        <w:tblLook w:val="04A0" w:firstRow="1" w:lastRow="0" w:firstColumn="1" w:lastColumn="0" w:noHBand="0" w:noVBand="1"/>
      </w:tblPr>
      <w:tblGrid>
        <w:gridCol w:w="3121"/>
        <w:gridCol w:w="992"/>
        <w:gridCol w:w="992"/>
        <w:gridCol w:w="992"/>
        <w:gridCol w:w="990"/>
        <w:gridCol w:w="1135"/>
        <w:gridCol w:w="992"/>
        <w:gridCol w:w="1276"/>
      </w:tblGrid>
      <w:tr w:rsidR="005A27C8" w:rsidRPr="007B2307" w:rsidTr="00294809">
        <w:trPr>
          <w:trHeight w:val="300"/>
          <w:jc w:val="center"/>
        </w:trPr>
        <w:tc>
          <w:tcPr>
            <w:tcW w:w="5000" w:type="pct"/>
            <w:gridSpan w:val="8"/>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rPr>
                <w:rFonts w:eastAsia="Times New Roman" w:cs="Times New Roman"/>
                <w:b/>
                <w:color w:val="000000"/>
                <w:sz w:val="18"/>
                <w:szCs w:val="18"/>
                <w:lang w:eastAsia="en-GB"/>
              </w:rPr>
            </w:pPr>
            <w:r>
              <w:rPr>
                <w:rFonts w:eastAsia="Times New Roman" w:cs="Times New Roman"/>
                <w:b/>
                <w:color w:val="000000"/>
                <w:sz w:val="18"/>
                <w:szCs w:val="18"/>
                <w:lang w:eastAsia="en-GB"/>
              </w:rPr>
              <w:t>Table 12</w:t>
            </w:r>
            <w:r w:rsidRPr="007B2307">
              <w:rPr>
                <w:rFonts w:eastAsia="Times New Roman" w:cs="Times New Roman"/>
                <w:b/>
                <w:color w:val="000000"/>
                <w:sz w:val="18"/>
                <w:szCs w:val="18"/>
                <w:lang w:eastAsia="en-GB"/>
              </w:rPr>
              <w:t>:</w:t>
            </w:r>
            <w:r>
              <w:rPr>
                <w:rFonts w:eastAsia="Times New Roman" w:cs="Times New Roman"/>
                <w:b/>
                <w:color w:val="000000"/>
                <w:sz w:val="18"/>
                <w:szCs w:val="18"/>
                <w:lang w:eastAsia="en-GB"/>
              </w:rPr>
              <w:t xml:space="preserve"> The pricing of dis-aggregated consumption shocks in the 25 Fama-French portfolios sorted on size and book-</w:t>
            </w:r>
            <w:r w:rsidR="00390D9E">
              <w:rPr>
                <w:rFonts w:eastAsia="Times New Roman" w:cs="Times New Roman"/>
                <w:b/>
                <w:color w:val="000000"/>
                <w:sz w:val="18"/>
                <w:szCs w:val="18"/>
                <w:lang w:eastAsia="en-GB"/>
              </w:rPr>
              <w:t>to-market characteristics</w:t>
            </w:r>
          </w:p>
        </w:tc>
      </w:tr>
      <w:tr w:rsidR="005A27C8" w:rsidRPr="007B2307" w:rsidTr="00390D9E">
        <w:trPr>
          <w:trHeight w:val="300"/>
          <w:jc w:val="center"/>
        </w:trPr>
        <w:tc>
          <w:tcPr>
            <w:tcW w:w="1487"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2</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3</w:t>
            </w:r>
          </w:p>
        </w:tc>
        <w:tc>
          <w:tcPr>
            <w:tcW w:w="472"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w:t>
            </w:r>
          </w:p>
        </w:tc>
        <w:tc>
          <w:tcPr>
            <w:tcW w:w="541"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5</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6</w:t>
            </w:r>
          </w:p>
        </w:tc>
        <w:tc>
          <w:tcPr>
            <w:tcW w:w="609"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7</w:t>
            </w:r>
          </w:p>
        </w:tc>
      </w:tr>
      <w:tr w:rsidR="005A27C8" w:rsidRPr="007B2307" w:rsidTr="00390D9E">
        <w:trPr>
          <w:trHeight w:val="300"/>
          <w:jc w:val="center"/>
        </w:trPr>
        <w:tc>
          <w:tcPr>
            <w:tcW w:w="1487"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Constant</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0.80</w:t>
            </w:r>
            <w:r>
              <w:rPr>
                <w:rFonts w:eastAsia="Times New Roman" w:cs="Times New Roman"/>
                <w:color w:val="000000"/>
                <w:sz w:val="18"/>
                <w:szCs w:val="18"/>
                <w:vertAlign w:val="superscript"/>
                <w:lang w:eastAsia="en-GB"/>
              </w:rPr>
              <w:t>***</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0.89</w:t>
            </w:r>
            <w:r>
              <w:rPr>
                <w:rFonts w:eastAsia="Times New Roman" w:cs="Times New Roman"/>
                <w:color w:val="000000"/>
                <w:sz w:val="18"/>
                <w:szCs w:val="18"/>
                <w:vertAlign w:val="superscript"/>
                <w:lang w:eastAsia="en-GB"/>
              </w:rPr>
              <w:t>***</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1.05</w:t>
            </w:r>
            <w:r>
              <w:rPr>
                <w:rFonts w:eastAsia="Times New Roman" w:cs="Times New Roman"/>
                <w:color w:val="000000"/>
                <w:sz w:val="18"/>
                <w:szCs w:val="18"/>
                <w:vertAlign w:val="superscript"/>
                <w:lang w:eastAsia="en-GB"/>
              </w:rPr>
              <w:t>***</w:t>
            </w:r>
          </w:p>
        </w:tc>
        <w:tc>
          <w:tcPr>
            <w:tcW w:w="472"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296A8D"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0.80</w:t>
            </w:r>
            <w:r>
              <w:rPr>
                <w:rFonts w:eastAsia="Times New Roman" w:cs="Times New Roman"/>
                <w:color w:val="000000"/>
                <w:sz w:val="18"/>
                <w:szCs w:val="18"/>
                <w:vertAlign w:val="superscript"/>
                <w:lang w:eastAsia="en-GB"/>
              </w:rPr>
              <w:t>***</w:t>
            </w:r>
          </w:p>
        </w:tc>
        <w:tc>
          <w:tcPr>
            <w:tcW w:w="541"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0.68</w:t>
            </w:r>
            <w:r>
              <w:rPr>
                <w:rFonts w:eastAsia="Times New Roman" w:cs="Times New Roman"/>
                <w:color w:val="000000"/>
                <w:sz w:val="18"/>
                <w:szCs w:val="18"/>
                <w:vertAlign w:val="superscript"/>
                <w:lang w:eastAsia="en-GB"/>
              </w:rPr>
              <w:t>***</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5A27C8" w:rsidRPr="00296A8D"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0.69</w:t>
            </w:r>
            <w:r>
              <w:rPr>
                <w:rFonts w:eastAsia="Times New Roman" w:cs="Times New Roman"/>
                <w:color w:val="000000"/>
                <w:sz w:val="18"/>
                <w:szCs w:val="18"/>
                <w:vertAlign w:val="superscript"/>
                <w:lang w:eastAsia="en-GB"/>
              </w:rPr>
              <w:t>***</w:t>
            </w:r>
          </w:p>
        </w:tc>
        <w:tc>
          <w:tcPr>
            <w:tcW w:w="609"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5A27C8" w:rsidRPr="00296A8D"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0.60</w:t>
            </w:r>
            <w:r>
              <w:rPr>
                <w:rFonts w:eastAsia="Times New Roman" w:cs="Times New Roman"/>
                <w:color w:val="000000"/>
                <w:sz w:val="18"/>
                <w:szCs w:val="18"/>
                <w:vertAlign w:val="superscript"/>
                <w:lang w:eastAsia="en-GB"/>
              </w:rPr>
              <w:t>***</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(3.31)</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(3.93)</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(5.44)</w:t>
            </w: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(5.11)</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(4.00)</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(4.00)</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(3.32)</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Durable Consumption Shocks </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0.14</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1E7208"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-0.02</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1E7208"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0.11</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0.13</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0.16</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(1.04)</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(-0.25)</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(1.39)</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(1.11)</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(1.57)</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Semi-Durable Consumption shocks</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0.19</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-0.001</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0.11</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0.09</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0.13</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(1.51)</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(-0.05)</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(1.42)</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(0.73)</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(1.14)</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Non-Durable  Consumption shocks</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1E7208"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-0.28</w:t>
            </w:r>
            <w:r>
              <w:rPr>
                <w:rFonts w:eastAsia="Times New Roman" w:cs="Times New Roman"/>
                <w:color w:val="000000"/>
                <w:sz w:val="18"/>
                <w:szCs w:val="18"/>
                <w:vertAlign w:val="superscript"/>
                <w:lang w:eastAsia="en-GB"/>
              </w:rPr>
              <w:t>**</w:t>
            </w: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671DD5"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-0.18</w:t>
            </w:r>
            <w:r>
              <w:rPr>
                <w:rFonts w:eastAsia="Times New Roman" w:cs="Times New Roman"/>
                <w:color w:val="000000"/>
                <w:sz w:val="18"/>
                <w:szCs w:val="18"/>
                <w:vertAlign w:val="superscript"/>
                <w:lang w:eastAsia="en-GB"/>
              </w:rPr>
              <w:t>**</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1E7208"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-0.29</w:t>
            </w:r>
            <w:r>
              <w:rPr>
                <w:rFonts w:eastAsia="Times New Roman" w:cs="Times New Roman"/>
                <w:color w:val="000000"/>
                <w:sz w:val="18"/>
                <w:szCs w:val="18"/>
                <w:vertAlign w:val="superscript"/>
                <w:lang w:eastAsia="en-GB"/>
              </w:rPr>
              <w:t>***</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-0.14</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296A8D"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-0.18</w:t>
            </w:r>
            <w:r>
              <w:rPr>
                <w:rFonts w:eastAsia="Times New Roman" w:cs="Times New Roman"/>
                <w:color w:val="000000"/>
                <w:sz w:val="18"/>
                <w:szCs w:val="18"/>
                <w:vertAlign w:val="superscript"/>
                <w:lang w:eastAsia="en-GB"/>
              </w:rPr>
              <w:t>*</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(-2.61)</w:t>
            </w: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(-2.17)</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(-3.55)</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(-1.43)</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(-1.71)</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Market Factor</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-0.18</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-0.11</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(-1.06)</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(-0.55)</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Size Premium</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296A8D"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0.11</w:t>
            </w:r>
            <w:r>
              <w:rPr>
                <w:rFonts w:eastAsia="Times New Roman" w:cs="Times New Roman"/>
                <w:color w:val="000000"/>
                <w:sz w:val="18"/>
                <w:szCs w:val="18"/>
                <w:vertAlign w:val="superscript"/>
                <w:lang w:eastAsia="en-GB"/>
              </w:rPr>
              <w:t>**</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0.10</w:t>
            </w:r>
            <w:r>
              <w:rPr>
                <w:rFonts w:eastAsia="Times New Roman" w:cs="Times New Roman"/>
                <w:color w:val="000000"/>
                <w:sz w:val="18"/>
                <w:szCs w:val="18"/>
                <w:vertAlign w:val="superscript"/>
                <w:lang w:eastAsia="en-GB"/>
              </w:rPr>
              <w:t>*</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(2.54)</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(1.99)</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Value Premium</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0.22</w:t>
            </w:r>
            <w:r>
              <w:rPr>
                <w:rFonts w:eastAsia="Times New Roman" w:cs="Times New Roman"/>
                <w:color w:val="000000"/>
                <w:sz w:val="18"/>
                <w:szCs w:val="18"/>
                <w:vertAlign w:val="superscript"/>
                <w:lang w:eastAsia="en-GB"/>
              </w:rPr>
              <w:t>***</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0.23</w:t>
            </w:r>
            <w:r>
              <w:rPr>
                <w:rFonts w:eastAsia="Times New Roman" w:cs="Times New Roman"/>
                <w:color w:val="000000"/>
                <w:sz w:val="18"/>
                <w:szCs w:val="18"/>
                <w:vertAlign w:val="superscript"/>
                <w:lang w:eastAsia="en-GB"/>
              </w:rPr>
              <w:t>***</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(4.49)</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(4.44)</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Momentum Premium</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85162"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0.15</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0.14</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(1.39)</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(1.09)</w:t>
            </w:r>
          </w:p>
        </w:tc>
      </w:tr>
      <w:tr w:rsidR="005A27C8" w:rsidRPr="007B2307" w:rsidTr="00390D9E">
        <w:trPr>
          <w:trHeight w:val="300"/>
          <w:jc w:val="center"/>
        </w:trPr>
        <w:tc>
          <w:tcPr>
            <w:tcW w:w="1487"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85162"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Adjusted R</w:t>
            </w:r>
            <w:r>
              <w:rPr>
                <w:rFonts w:eastAsia="Times New Roman" w:cs="Times New Roman"/>
                <w:color w:val="000000"/>
                <w:sz w:val="18"/>
                <w:szCs w:val="18"/>
                <w:vertAlign w:val="superscript"/>
                <w:lang w:eastAsia="en-GB"/>
              </w:rPr>
              <w:t>2</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4.67%</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8.84%</w:t>
            </w:r>
            <w:r w:rsidRPr="007B2307">
              <w:rPr>
                <w:rFonts w:eastAsia="Times New Roman" w:cs="Times New Roman"/>
                <w:color w:val="000000"/>
                <w:sz w:val="18"/>
                <w:szCs w:val="18"/>
                <w:lang w:eastAsia="en-GB"/>
              </w:rPr>
              <w:t>%</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23.36</w:t>
            </w:r>
            <w:r w:rsidRPr="007B2307">
              <w:rPr>
                <w:rFonts w:eastAsia="Times New Roman" w:cs="Times New Roman"/>
                <w:color w:val="000000"/>
                <w:sz w:val="18"/>
                <w:szCs w:val="18"/>
                <w:lang w:eastAsia="en-GB"/>
              </w:rPr>
              <w:t>%</w:t>
            </w:r>
          </w:p>
        </w:tc>
        <w:tc>
          <w:tcPr>
            <w:tcW w:w="472"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44.85</w:t>
            </w:r>
            <w:r w:rsidRPr="007B2307">
              <w:rPr>
                <w:rFonts w:eastAsia="Times New Roman" w:cs="Times New Roman"/>
                <w:color w:val="000000"/>
                <w:sz w:val="18"/>
                <w:szCs w:val="18"/>
                <w:lang w:eastAsia="en-GB"/>
              </w:rPr>
              <w:t>%</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sidRPr="007B2307">
              <w:rPr>
                <w:rFonts w:eastAsia="Times New Roman" w:cs="Times New Roman"/>
                <w:color w:val="000000"/>
                <w:sz w:val="18"/>
                <w:szCs w:val="18"/>
                <w:lang w:eastAsia="en-GB"/>
              </w:rPr>
              <w:t>33.24%</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45.75%</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44.30</w:t>
            </w:r>
            <w:r w:rsidRPr="007B2307">
              <w:rPr>
                <w:rFonts w:eastAsia="Times New Roman" w:cs="Times New Roman"/>
                <w:color w:val="000000"/>
                <w:sz w:val="18"/>
                <w:szCs w:val="18"/>
                <w:lang w:eastAsia="en-GB"/>
              </w:rPr>
              <w:t>%</w:t>
            </w:r>
          </w:p>
        </w:tc>
      </w:tr>
      <w:tr w:rsidR="005A27C8" w:rsidRPr="007B2307" w:rsidTr="00390D9E">
        <w:trPr>
          <w:trHeight w:val="300"/>
          <w:jc w:val="center"/>
        </w:trPr>
        <w:tc>
          <w:tcPr>
            <w:tcW w:w="1487"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F-Statistics</w:t>
            </w:r>
          </w:p>
        </w:tc>
        <w:tc>
          <w:tcPr>
            <w:tcW w:w="473"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1.13</w:t>
            </w:r>
          </w:p>
        </w:tc>
        <w:tc>
          <w:tcPr>
            <w:tcW w:w="473"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2.23</w:t>
            </w:r>
          </w:p>
        </w:tc>
        <w:tc>
          <w:tcPr>
            <w:tcW w:w="473"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Pr="001E7208"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7.01</w:t>
            </w:r>
            <w:r>
              <w:rPr>
                <w:rFonts w:eastAsia="Times New Roman" w:cs="Times New Roman"/>
                <w:color w:val="000000"/>
                <w:sz w:val="18"/>
                <w:szCs w:val="18"/>
                <w:vertAlign w:val="superscript"/>
                <w:lang w:eastAsia="en-GB"/>
              </w:rPr>
              <w:t>**</w:t>
            </w:r>
          </w:p>
        </w:tc>
        <w:tc>
          <w:tcPr>
            <w:tcW w:w="472"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Pr="001E7208"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5.88</w:t>
            </w:r>
            <w:r>
              <w:rPr>
                <w:rFonts w:eastAsia="Times New Roman" w:cs="Times New Roman"/>
                <w:color w:val="000000"/>
                <w:sz w:val="18"/>
                <w:szCs w:val="18"/>
                <w:vertAlign w:val="superscript"/>
                <w:lang w:eastAsia="en-GB"/>
              </w:rPr>
              <w:t>**</w:t>
            </w:r>
          </w:p>
        </w:tc>
        <w:tc>
          <w:tcPr>
            <w:tcW w:w="541"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Pr="00296A8D"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4.37</w:t>
            </w:r>
            <w:r>
              <w:rPr>
                <w:rFonts w:eastAsia="Times New Roman" w:cs="Times New Roman"/>
                <w:color w:val="000000"/>
                <w:sz w:val="18"/>
                <w:szCs w:val="18"/>
                <w:vertAlign w:val="superscript"/>
                <w:lang w:eastAsia="en-GB"/>
              </w:rPr>
              <w:t>***</w:t>
            </w:r>
          </w:p>
        </w:tc>
        <w:tc>
          <w:tcPr>
            <w:tcW w:w="609"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Pr="00296A8D"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3.73</w:t>
            </w:r>
            <w:r>
              <w:rPr>
                <w:rFonts w:eastAsia="Times New Roman" w:cs="Times New Roman"/>
                <w:color w:val="000000"/>
                <w:sz w:val="18"/>
                <w:szCs w:val="18"/>
                <w:vertAlign w:val="superscript"/>
                <w:lang w:eastAsia="en-GB"/>
              </w:rPr>
              <w:t>**</w:t>
            </w:r>
          </w:p>
        </w:tc>
      </w:tr>
      <w:tr w:rsidR="00390D9E" w:rsidRPr="007B2307" w:rsidTr="00390D9E">
        <w:trPr>
          <w:trHeight w:val="300"/>
          <w:jc w:val="center"/>
        </w:trPr>
        <w:tc>
          <w:tcPr>
            <w:tcW w:w="5000" w:type="pct"/>
            <w:gridSpan w:val="8"/>
            <w:tcBorders>
              <w:top w:val="single" w:sz="4" w:space="0" w:color="auto"/>
              <w:left w:val="nil"/>
              <w:right w:val="nil"/>
            </w:tcBorders>
            <w:shd w:val="clear" w:color="auto" w:fill="auto"/>
            <w:noWrap/>
            <w:tcMar>
              <w:top w:w="15" w:type="dxa"/>
              <w:left w:w="15" w:type="dxa"/>
              <w:bottom w:w="0" w:type="dxa"/>
              <w:right w:w="15" w:type="dxa"/>
            </w:tcMar>
            <w:vAlign w:val="center"/>
          </w:tcPr>
          <w:p w:rsidR="00390D9E" w:rsidRDefault="00390D9E" w:rsidP="00390D9E">
            <w:pPr>
              <w:spacing w:after="0"/>
              <w:rPr>
                <w:rFonts w:eastAsia="Times New Roman" w:cs="Times New Roman"/>
                <w:color w:val="000000"/>
                <w:sz w:val="18"/>
                <w:szCs w:val="18"/>
                <w:lang w:eastAsia="en-GB"/>
              </w:rPr>
            </w:pPr>
            <w:r>
              <w:rPr>
                <w:rFonts w:eastAsia="Times New Roman" w:cs="Times New Roman"/>
                <w:color w:val="000000"/>
                <w:sz w:val="18"/>
                <w:szCs w:val="18"/>
                <w:lang w:eastAsia="en-GB"/>
              </w:rPr>
              <w:t xml:space="preserve">Notes: </w:t>
            </w:r>
            <w:r w:rsidRPr="007B2307">
              <w:rPr>
                <w:rFonts w:eastAsia="Times New Roman" w:cs="Times New Roman"/>
                <w:b/>
                <w:color w:val="000000"/>
                <w:sz w:val="18"/>
                <w:szCs w:val="18"/>
                <w:lang w:eastAsia="en-GB"/>
              </w:rPr>
              <w:t xml:space="preserve"> </w:t>
            </w:r>
            <w:r>
              <w:rPr>
                <w:rFonts w:eastAsia="Times New Roman" w:cs="Times New Roman"/>
                <w:color w:val="000000"/>
                <w:sz w:val="18"/>
                <w:szCs w:val="18"/>
                <w:lang w:eastAsia="en-GB"/>
              </w:rPr>
              <w:t xml:space="preserve">The table reports the estimates of second stage Fama and MacBeth (1973) cross-sectional regression The dependent variable </w:t>
            </w:r>
            <w:r>
              <w:rPr>
                <w:rFonts w:eastAsia="Times New Roman" w:cs="Times New Roman"/>
                <w:sz w:val="18"/>
                <w:szCs w:val="18"/>
              </w:rPr>
              <w:t xml:space="preserve">ERPs of the FTSE indices. The independent variables for columns (1), (2), and (3) are exposures of durable, semi-durable and non-durable consumption shocks from table 11. Column (4) </w:t>
            </w:r>
            <w:r w:rsidRPr="009524B6">
              <w:rPr>
                <w:rFonts w:eastAsia="Times New Roman" w:cs="Times New Roman"/>
                <w:sz w:val="18"/>
                <w:szCs w:val="18"/>
              </w:rPr>
              <w:t>reports the pricing of all three consumption shocks together</w:t>
            </w:r>
            <w:r>
              <w:rPr>
                <w:rFonts w:eastAsia="Times New Roman" w:cs="Times New Roman"/>
                <w:sz w:val="18"/>
                <w:szCs w:val="18"/>
              </w:rPr>
              <w:t>. In column (5), (6) and (7) we control for other cross-sectional asset pricing factors. The t-statistics are in reported in parentheses and are corrected for heteroscedasticity and auto-correlation</w:t>
            </w:r>
          </w:p>
        </w:tc>
      </w:tr>
    </w:tbl>
    <w:p w:rsidR="00D85B35" w:rsidRDefault="00D85B35"/>
    <w:sectPr w:rsidR="00D85B35" w:rsidSect="00D85B3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55" w:rsidRDefault="00671555" w:rsidP="00C114C6">
      <w:pPr>
        <w:spacing w:after="0"/>
      </w:pPr>
      <w:r>
        <w:separator/>
      </w:r>
    </w:p>
  </w:endnote>
  <w:endnote w:type="continuationSeparator" w:id="0">
    <w:p w:rsidR="00671555" w:rsidRDefault="00671555" w:rsidP="00C114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843523"/>
      <w:docPartObj>
        <w:docPartGallery w:val="Page Numbers (Bottom of Page)"/>
        <w:docPartUnique/>
      </w:docPartObj>
    </w:sdtPr>
    <w:sdtEndPr>
      <w:rPr>
        <w:noProof/>
      </w:rPr>
    </w:sdtEndPr>
    <w:sdtContent>
      <w:p w:rsidR="00671555" w:rsidRDefault="00671555">
        <w:pPr>
          <w:pStyle w:val="Footer"/>
          <w:jc w:val="right"/>
        </w:pPr>
        <w:r w:rsidRPr="003572EC">
          <w:rPr>
            <w:sz w:val="20"/>
            <w:szCs w:val="20"/>
          </w:rPr>
          <w:fldChar w:fldCharType="begin"/>
        </w:r>
        <w:r w:rsidRPr="008A58A2">
          <w:rPr>
            <w:sz w:val="20"/>
            <w:szCs w:val="20"/>
          </w:rPr>
          <w:instrText xml:space="preserve"> PAGE   \* MERGEFORMAT </w:instrText>
        </w:r>
        <w:r w:rsidRPr="003572EC">
          <w:rPr>
            <w:sz w:val="20"/>
            <w:szCs w:val="20"/>
          </w:rPr>
          <w:fldChar w:fldCharType="separate"/>
        </w:r>
        <w:r w:rsidR="005E14F1">
          <w:rPr>
            <w:noProof/>
            <w:sz w:val="20"/>
            <w:szCs w:val="20"/>
          </w:rPr>
          <w:t>1</w:t>
        </w:r>
        <w:r w:rsidRPr="003572EC">
          <w:rPr>
            <w:noProof/>
            <w:sz w:val="20"/>
            <w:szCs w:val="20"/>
          </w:rPr>
          <w:fldChar w:fldCharType="end"/>
        </w:r>
      </w:p>
    </w:sdtContent>
  </w:sdt>
  <w:p w:rsidR="00671555" w:rsidRDefault="00671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55" w:rsidRDefault="00671555" w:rsidP="00C114C6">
      <w:pPr>
        <w:spacing w:after="0"/>
      </w:pPr>
      <w:r>
        <w:separator/>
      </w:r>
    </w:p>
  </w:footnote>
  <w:footnote w:type="continuationSeparator" w:id="0">
    <w:p w:rsidR="00671555" w:rsidRDefault="00671555" w:rsidP="00C114C6">
      <w:pPr>
        <w:spacing w:after="0"/>
      </w:pPr>
      <w:r>
        <w:continuationSeparator/>
      </w:r>
    </w:p>
  </w:footnote>
  <w:footnote w:id="1">
    <w:p w:rsidR="00671555" w:rsidRPr="00F07A57" w:rsidRDefault="00671555" w:rsidP="00F07A57">
      <w:pPr>
        <w:spacing w:after="0"/>
        <w:rPr>
          <w:sz w:val="16"/>
          <w:szCs w:val="16"/>
        </w:rPr>
      </w:pPr>
      <w:r>
        <w:rPr>
          <w:rStyle w:val="FootnoteReference"/>
        </w:rPr>
        <w:footnoteRef/>
      </w:r>
      <w:r>
        <w:t xml:space="preserve"> </w:t>
      </w:r>
      <w:r w:rsidRPr="00F07A57">
        <w:rPr>
          <w:sz w:val="16"/>
          <w:szCs w:val="16"/>
        </w:rPr>
        <w:t>Professor of International Finance</w:t>
      </w:r>
      <w:r>
        <w:rPr>
          <w:sz w:val="16"/>
          <w:szCs w:val="16"/>
        </w:rPr>
        <w:t xml:space="preserve">, </w:t>
      </w:r>
      <w:r w:rsidRPr="00F07A57">
        <w:rPr>
          <w:sz w:val="16"/>
          <w:szCs w:val="16"/>
        </w:rPr>
        <w:t xml:space="preserve">Director of Centre of Research in Finance </w:t>
      </w:r>
      <w:r>
        <w:rPr>
          <w:sz w:val="16"/>
          <w:szCs w:val="16"/>
        </w:rPr>
        <w:t>,</w:t>
      </w:r>
      <w:r w:rsidRPr="00F07A57">
        <w:rPr>
          <w:sz w:val="16"/>
          <w:szCs w:val="16"/>
        </w:rPr>
        <w:t xml:space="preserve">Cranfield School of Management, Cranfield University, </w:t>
      </w:r>
      <w:r>
        <w:rPr>
          <w:sz w:val="16"/>
          <w:szCs w:val="16"/>
        </w:rPr>
        <w:t>England – MK43 0AL, E</w:t>
      </w:r>
      <w:r w:rsidRPr="00F07A57">
        <w:rPr>
          <w:sz w:val="16"/>
          <w:szCs w:val="16"/>
        </w:rPr>
        <w:t>-mail: sunil.poshakwale@cranfield.ac.uk</w:t>
      </w:r>
    </w:p>
    <w:p w:rsidR="00671555" w:rsidRPr="00F07A57" w:rsidRDefault="00671555" w:rsidP="00F07A57">
      <w:pPr>
        <w:pStyle w:val="FootnoteText"/>
        <w:rPr>
          <w:sz w:val="16"/>
          <w:szCs w:val="16"/>
        </w:rPr>
      </w:pPr>
    </w:p>
  </w:footnote>
  <w:footnote w:id="2">
    <w:p w:rsidR="00671555" w:rsidRDefault="00671555">
      <w:pPr>
        <w:pStyle w:val="FootnoteText"/>
      </w:pPr>
      <w:r>
        <w:rPr>
          <w:rStyle w:val="FootnoteReference"/>
        </w:rPr>
        <w:footnoteRef/>
      </w:r>
      <w:r>
        <w:t xml:space="preserve"> </w:t>
      </w:r>
      <w:r w:rsidRPr="00F07A57">
        <w:rPr>
          <w:sz w:val="16"/>
          <w:szCs w:val="16"/>
        </w:rPr>
        <w:t>Lecturer in Finance,</w:t>
      </w:r>
      <w:r>
        <w:rPr>
          <w:sz w:val="16"/>
          <w:szCs w:val="16"/>
        </w:rPr>
        <w:t xml:space="preserve"> </w:t>
      </w:r>
      <w:r w:rsidRPr="00F07A57">
        <w:rPr>
          <w:sz w:val="16"/>
          <w:szCs w:val="16"/>
        </w:rPr>
        <w:t>Accounting and Financial Management Department</w:t>
      </w:r>
      <w:r>
        <w:rPr>
          <w:sz w:val="16"/>
          <w:szCs w:val="16"/>
        </w:rPr>
        <w:t xml:space="preserve"> </w:t>
      </w:r>
      <w:r w:rsidRPr="00F07A57">
        <w:rPr>
          <w:sz w:val="16"/>
          <w:szCs w:val="16"/>
        </w:rPr>
        <w:t>Newcastle Business School (NBS), Northumbria University, City Campus East,</w:t>
      </w:r>
      <w:r>
        <w:rPr>
          <w:sz w:val="16"/>
          <w:szCs w:val="16"/>
        </w:rPr>
        <w:t xml:space="preserve"> </w:t>
      </w:r>
      <w:r w:rsidRPr="00F07A57">
        <w:rPr>
          <w:sz w:val="16"/>
          <w:szCs w:val="16"/>
        </w:rPr>
        <w:t>Newcastle upon Tyne, NE1 8ST</w:t>
      </w:r>
      <w:r>
        <w:rPr>
          <w:sz w:val="16"/>
          <w:szCs w:val="16"/>
        </w:rPr>
        <w:t xml:space="preserve">. </w:t>
      </w:r>
      <w:r w:rsidRPr="00F07A57">
        <w:rPr>
          <w:sz w:val="16"/>
          <w:szCs w:val="16"/>
        </w:rPr>
        <w:t>Email:pankaj.chandorkar@northumbria.ac.uk</w:t>
      </w:r>
    </w:p>
  </w:footnote>
  <w:footnote w:id="3">
    <w:p w:rsidR="00671555" w:rsidRDefault="00671555">
      <w:pPr>
        <w:pStyle w:val="FootnoteText"/>
      </w:pPr>
      <w:r>
        <w:rPr>
          <w:rStyle w:val="FootnoteReference"/>
        </w:rPr>
        <w:footnoteRef/>
      </w:r>
      <w:r>
        <w:t xml:space="preserve"> See </w:t>
      </w:r>
      <w:r>
        <w:fldChar w:fldCharType="begin" w:fldLock="1"/>
      </w:r>
      <w:r>
        <w:instrText>ADDIN CSL_CITATION { "citationItems" : [ { "id" : "ITEM-1", "itemData" : { "DOI" : "10.1126/science.151.3712.867-a", "ISBN" : "0-262-13454-3", "ISSN" : "0002-8282", "PMID" : "17746758", "abstract" : "This paper, gives a brief summary of the major aggregative implications of the Modigliani-Brumberg life cycle hypothesis of saving. It also presents the results of a number of empirical tests for the U.S., which appear to support the hypothesis. The Modigliani-Brumberg model starts from the utility function of the individual consumer: his utility is assumed to be a function of his own aggregate consumption in current and future periods. The individual is then assumed to maximize his utility subject to the resources available to him, his resources being the sum of current and discounted future earnings over his lifetime and his current net worth. As a result of this maximization the current consumption of the individual can be expressed as a function of his resources and the rate of return on capital with parameters depending on age. The individual consumption functions thus obtained are then aggregated to arrive at the aggregate consumption function for the community. The most crucial", "author" : [ { "dropping-particle" : "", "family" : "Ando", "given" : "Albert", "non-dropping-particle" : "", "parse-names" : false, "suffix" : "" }, { "dropping-particle" : "", "family" : "Modigliani", "given" : "Franco", "non-dropping-particle" : "", "parse-names" : false, "suffix" : "" } ], "container-title" : "The American Economic Review", "id" : "ITEM-1", "issue" : "1", "issued" : { "date-parts" : [ [ "1963" ] ] }, "page" : "55-84", "title" : "The \"Life Cycle\" Hypothesis of Saving: Aggregate Implications and Tests", "type" : "article-journal", "volume" : "53" }, "uris" : [ "http://www.mendeley.com/documents/?uuid=212e4fb3-2184-4237-8ada-cef0c42db842", "http://www.mendeley.com/documents/?uuid=fd04a73a-ff9f-4f39-b711-01c7cbf37063" ] }, { "id" : "ITEM-2", "itemData" : { "DOI" : "10.1017/CBO9781107415324.004", "ISBN" : "9788578110796", "ISSN" : "1098-6596", "PMID" : "25246403", "author" : [ { "dropping-particle" : "", "family" : "Modigliani", "given" : "Franco", "non-dropping-particle" : "", "parse-names" : false, "suffix" : "" } ], "container-title" : "Review of Economics &amp; Statistics,", "id" : "ITEM-2", "issue" : "1", "issued" : { "date-parts" : [ [ "1963" ] ] }, "page" : "79-107", "title" : "The Monetary Mechanism and Its Interaction with Real Phenomena", "type" : "article-journal", "volume" : "45" }, "uris" : [ "http://www.mendeley.com/documents/?uuid=4e96e0a3-20a7-4503-92a5-6fb881f94f21", "http://www.mendeley.com/documents/?uuid=8b954492-a1b7-4b6c-ba48-c4bc94a63a2a" ] }, { "id" : "ITEM-3", "itemData" : { "author" : [ { "dropping-particle" : "", "family" : "Modigliani", "given" : "Franco", "non-dropping-particle" : "", "parse-names" : false, "suffix" : "" } ], "container-title" : "Consumer Spending and Monetary Policy: The Linkages", "id" : "ITEM-3", "issued" : { "date-parts" : [ [ "1971" ] ] }, "page" : "9-84", "publisher" : "The Federal Reserve Bank of Boston. Series 5", "publisher-place" : "Nantucket Island", "title" : "Monetary Policy and Consumption: Linkages via Interest Rate and Wealth Effects in the FMP Model", "type" : "paper-conference" }, "uris" : [ "http://www.mendeley.com/documents/?uuid=6307cbc0-95af-4f76-ae01-bbb8d5fcd98f", "http://www.mendeley.com/documents/?uuid=08a070e6-a8f9-465c-8102-f6150619682b" ] } ], "mendeley" : { "formattedCitation" : "(Ando and Modigliani 1963; Modigliani 1963; Modigliani 1971)", "manualFormatting" : "Ando and Modigliani, (1963); Modigliani, (1963, 1971)", "plainTextFormattedCitation" : "(Ando and Modigliani 1963; Modigliani 1963; Modigliani 1971)", "previouslyFormattedCitation" : "(Ando and Modigliani 1963; Modigliani 1963; Modigliani 1971)" }, "properties" : { "noteIndex" : 0 }, "schema" : "https://github.com/citation-style-language/schema/raw/master/csl-citation.json" }</w:instrText>
      </w:r>
      <w:r>
        <w:fldChar w:fldCharType="separate"/>
      </w:r>
      <w:r w:rsidRPr="003027F9">
        <w:rPr>
          <w:noProof/>
        </w:rPr>
        <w:t xml:space="preserve">Ando and Modigliani, </w:t>
      </w:r>
      <w:r>
        <w:rPr>
          <w:noProof/>
        </w:rPr>
        <w:t>(</w:t>
      </w:r>
      <w:r w:rsidRPr="003027F9">
        <w:rPr>
          <w:noProof/>
        </w:rPr>
        <w:t>1963</w:t>
      </w:r>
      <w:r>
        <w:rPr>
          <w:noProof/>
        </w:rPr>
        <w:t>)</w:t>
      </w:r>
      <w:r w:rsidRPr="003027F9">
        <w:rPr>
          <w:noProof/>
        </w:rPr>
        <w:t xml:space="preserve">; Modigliani, </w:t>
      </w:r>
      <w:r>
        <w:rPr>
          <w:noProof/>
        </w:rPr>
        <w:t>(</w:t>
      </w:r>
      <w:r w:rsidRPr="003027F9">
        <w:rPr>
          <w:noProof/>
        </w:rPr>
        <w:t>1963, 1971)</w:t>
      </w:r>
      <w:r>
        <w:fldChar w:fldCharType="end"/>
      </w:r>
      <w:r>
        <w:t>.</w:t>
      </w:r>
    </w:p>
  </w:footnote>
  <w:footnote w:id="4">
    <w:p w:rsidR="00671555" w:rsidRDefault="00671555">
      <w:pPr>
        <w:pStyle w:val="FootnoteText"/>
      </w:pPr>
      <w:r>
        <w:rPr>
          <w:rStyle w:val="FootnoteReference"/>
        </w:rPr>
        <w:footnoteRef/>
      </w:r>
      <w:r>
        <w:t xml:space="preserve"> The Bank of England has maintained its accommodative monetary policy stance by keeping the base rate at its historic low levels since March 2009. </w:t>
      </w:r>
    </w:p>
  </w:footnote>
  <w:footnote w:id="5">
    <w:p w:rsidR="00671555" w:rsidRDefault="00671555">
      <w:pPr>
        <w:pStyle w:val="FootnoteText"/>
      </w:pPr>
      <w:r>
        <w:rPr>
          <w:rStyle w:val="FootnoteReference"/>
        </w:rPr>
        <w:footnoteRef/>
      </w:r>
      <w:r>
        <w:t xml:space="preserve"> Return data of the 25 Fama-French portfolios and pricing factors i.e., size premium (SMB), value premium (HML) and momentum premium (UMD) for the UK are taken from </w:t>
      </w:r>
      <w:r>
        <w:fldChar w:fldCharType="begin" w:fldLock="1"/>
      </w:r>
      <w:r>
        <w:instrText>ADDIN CSL_CITATION { "citationItems" : [ { "id" : "ITEM-1", "itemData" : { "DOI" : "10.1111/jbfa.12006", "ISBN" : "1468-5957", "ISSN" : "0306686X", "abstract" : "This paper constructs and tests alternative versions of the Fama\u2013French and Carhart models for the UK market with the purpose of providing guidance for researchers interested in asset pricing and event studies. We conduct a comprehensive analysis of such models, forming risk factors using approaches advanced in the recent literature including value-weighted factor components and various decompositions of the risk factors. We also test whether such factor models can at least explain the returns of large firms. We find that versions of the four-factor model using decomposed and value-weighted factor components are able to explain the cross-section of returns in large firms or in portfolios without extreme momentum exposures. However, we do not find that risk factors are consistently and reliably priced.", "author" : [ { "dropping-particle" : "", "family" : "Gregory", "given" : "Alan", "non-dropping-particle" : "", "parse-names" : false, "suffix" : "" }, { "dropping-particle" : "", "family" : "Tharyan", "given" : "Rajesh", "non-dropping-particle" : "", "parse-names" : false, "suffix" : "" }, { "dropping-particle" : "", "family" : "Christidis", "given" : "Angela", "non-dropping-particle" : "", "parse-names" : false, "suffix" : "" } ], "container-title" : "Journal of Business Finance and Accounting", "id" : "ITEM-1", "issue" : "1 and 2", "issued" : { "date-parts" : [ [ "2013" ] ] }, "page" : "172-214", "title" : "Constructing and Testing Alternative Versions of the Fama-French and Carhart Models in the UK", "type" : "article-journal", "volume" : "40" }, "uris" : [ "http://www.mendeley.com/documents/?uuid=785a6a9d-9cd3-4c4f-87df-b652909f6ede" ] } ], "mendeley" : { "formattedCitation" : "(Gregory, Tharyan, and Christidis 2013)", "manualFormatting" : "Gregory, Tharyan and Christidis, (2013)", "plainTextFormattedCitation" : "(Gregory, Tharyan, and Christidis 2013)", "previouslyFormattedCitation" : "(Gregory, Tharyan, and Christidis 2013)" }, "properties" : { "noteIndex" : 0 }, "schema" : "https://github.com/citation-style-language/schema/raw/master/csl-citation.json" }</w:instrText>
      </w:r>
      <w:r>
        <w:fldChar w:fldCharType="separate"/>
      </w:r>
      <w:r w:rsidRPr="0003550F">
        <w:rPr>
          <w:noProof/>
        </w:rPr>
        <w:t xml:space="preserve">Gregory, Tharyan and Christidis, </w:t>
      </w:r>
      <w:r>
        <w:rPr>
          <w:noProof/>
        </w:rPr>
        <w:t>(</w:t>
      </w:r>
      <w:r w:rsidRPr="0003550F">
        <w:rPr>
          <w:noProof/>
        </w:rPr>
        <w:t>2013)</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55" w:rsidRDefault="00671555">
    <w:pPr>
      <w:pStyle w:val="Header"/>
    </w:pPr>
  </w:p>
  <w:p w:rsidR="00671555" w:rsidRDefault="00671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2DAB"/>
    <w:multiLevelType w:val="hybridMultilevel"/>
    <w:tmpl w:val="98546DF8"/>
    <w:lvl w:ilvl="0" w:tplc="6D5CCF2E">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A526C"/>
    <w:multiLevelType w:val="multilevel"/>
    <w:tmpl w:val="E5022F7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ascii="Times New Roman" w:hAnsi="Times New Roman" w:cs="Times New Roman"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42"/>
    <w:rsid w:val="0000271F"/>
    <w:rsid w:val="00005707"/>
    <w:rsid w:val="00005EA8"/>
    <w:rsid w:val="00010278"/>
    <w:rsid w:val="000124A1"/>
    <w:rsid w:val="00013263"/>
    <w:rsid w:val="00020AC0"/>
    <w:rsid w:val="000224A1"/>
    <w:rsid w:val="00023666"/>
    <w:rsid w:val="0002554A"/>
    <w:rsid w:val="0002625C"/>
    <w:rsid w:val="00034602"/>
    <w:rsid w:val="000352AE"/>
    <w:rsid w:val="0003547B"/>
    <w:rsid w:val="0003550F"/>
    <w:rsid w:val="00037AA4"/>
    <w:rsid w:val="000402B5"/>
    <w:rsid w:val="0004569C"/>
    <w:rsid w:val="00047BB2"/>
    <w:rsid w:val="00047F8F"/>
    <w:rsid w:val="000538F3"/>
    <w:rsid w:val="00056056"/>
    <w:rsid w:val="00056353"/>
    <w:rsid w:val="000640A8"/>
    <w:rsid w:val="00067F42"/>
    <w:rsid w:val="00072CE9"/>
    <w:rsid w:val="00074F1D"/>
    <w:rsid w:val="000771AE"/>
    <w:rsid w:val="00077E26"/>
    <w:rsid w:val="0008219E"/>
    <w:rsid w:val="00083FC2"/>
    <w:rsid w:val="000877C4"/>
    <w:rsid w:val="00091F97"/>
    <w:rsid w:val="00092DDA"/>
    <w:rsid w:val="0009309F"/>
    <w:rsid w:val="00094E6C"/>
    <w:rsid w:val="000958F2"/>
    <w:rsid w:val="000970D5"/>
    <w:rsid w:val="000A021D"/>
    <w:rsid w:val="000A0582"/>
    <w:rsid w:val="000A333F"/>
    <w:rsid w:val="000B01AA"/>
    <w:rsid w:val="000B3E30"/>
    <w:rsid w:val="000B5FA4"/>
    <w:rsid w:val="000C0A6C"/>
    <w:rsid w:val="000C3B94"/>
    <w:rsid w:val="000C6194"/>
    <w:rsid w:val="000C6C5A"/>
    <w:rsid w:val="000D03BE"/>
    <w:rsid w:val="000D1243"/>
    <w:rsid w:val="000D437C"/>
    <w:rsid w:val="000E24AC"/>
    <w:rsid w:val="000F08A4"/>
    <w:rsid w:val="000F209A"/>
    <w:rsid w:val="000F2BEC"/>
    <w:rsid w:val="000F2CC9"/>
    <w:rsid w:val="000F7343"/>
    <w:rsid w:val="000F7DDA"/>
    <w:rsid w:val="00102A92"/>
    <w:rsid w:val="00103090"/>
    <w:rsid w:val="00106E66"/>
    <w:rsid w:val="00111079"/>
    <w:rsid w:val="00111A2E"/>
    <w:rsid w:val="001129B7"/>
    <w:rsid w:val="001212BA"/>
    <w:rsid w:val="001217E1"/>
    <w:rsid w:val="001222A1"/>
    <w:rsid w:val="0012403E"/>
    <w:rsid w:val="001242DE"/>
    <w:rsid w:val="00124417"/>
    <w:rsid w:val="00125026"/>
    <w:rsid w:val="00125780"/>
    <w:rsid w:val="0013367F"/>
    <w:rsid w:val="001361FA"/>
    <w:rsid w:val="001432A0"/>
    <w:rsid w:val="00143B54"/>
    <w:rsid w:val="00155240"/>
    <w:rsid w:val="00161115"/>
    <w:rsid w:val="00161D82"/>
    <w:rsid w:val="00163860"/>
    <w:rsid w:val="00164C3E"/>
    <w:rsid w:val="00165E44"/>
    <w:rsid w:val="00165F6A"/>
    <w:rsid w:val="00167568"/>
    <w:rsid w:val="00170696"/>
    <w:rsid w:val="00181742"/>
    <w:rsid w:val="001818B6"/>
    <w:rsid w:val="00183818"/>
    <w:rsid w:val="00185989"/>
    <w:rsid w:val="00186C81"/>
    <w:rsid w:val="00190E42"/>
    <w:rsid w:val="001B087B"/>
    <w:rsid w:val="001B1492"/>
    <w:rsid w:val="001B313D"/>
    <w:rsid w:val="001B5A96"/>
    <w:rsid w:val="001B5AC6"/>
    <w:rsid w:val="001B7AB7"/>
    <w:rsid w:val="001C1A99"/>
    <w:rsid w:val="001C3947"/>
    <w:rsid w:val="001C4563"/>
    <w:rsid w:val="001C64AB"/>
    <w:rsid w:val="001C66C3"/>
    <w:rsid w:val="001C67D1"/>
    <w:rsid w:val="001C6978"/>
    <w:rsid w:val="001D303B"/>
    <w:rsid w:val="001D78B0"/>
    <w:rsid w:val="001E1BF6"/>
    <w:rsid w:val="001E202E"/>
    <w:rsid w:val="001E21C7"/>
    <w:rsid w:val="001E2C5E"/>
    <w:rsid w:val="001E37A0"/>
    <w:rsid w:val="001E5DA2"/>
    <w:rsid w:val="001E727E"/>
    <w:rsid w:val="001F2C0E"/>
    <w:rsid w:val="001F3621"/>
    <w:rsid w:val="001F4178"/>
    <w:rsid w:val="001F51F9"/>
    <w:rsid w:val="001F5CA1"/>
    <w:rsid w:val="001F7CFC"/>
    <w:rsid w:val="002001BE"/>
    <w:rsid w:val="0020028C"/>
    <w:rsid w:val="00200445"/>
    <w:rsid w:val="00202A01"/>
    <w:rsid w:val="00202C1F"/>
    <w:rsid w:val="0020372E"/>
    <w:rsid w:val="00205A17"/>
    <w:rsid w:val="0021284A"/>
    <w:rsid w:val="00212B34"/>
    <w:rsid w:val="00212C51"/>
    <w:rsid w:val="00215441"/>
    <w:rsid w:val="0021630F"/>
    <w:rsid w:val="0022092C"/>
    <w:rsid w:val="00220F18"/>
    <w:rsid w:val="0022226E"/>
    <w:rsid w:val="00222D46"/>
    <w:rsid w:val="00224DDA"/>
    <w:rsid w:val="00227B2C"/>
    <w:rsid w:val="002300EE"/>
    <w:rsid w:val="00240B04"/>
    <w:rsid w:val="00240BBE"/>
    <w:rsid w:val="00241C28"/>
    <w:rsid w:val="00242595"/>
    <w:rsid w:val="002432FE"/>
    <w:rsid w:val="00243504"/>
    <w:rsid w:val="00243F66"/>
    <w:rsid w:val="00245601"/>
    <w:rsid w:val="0024583B"/>
    <w:rsid w:val="002469E1"/>
    <w:rsid w:val="00247A63"/>
    <w:rsid w:val="00251209"/>
    <w:rsid w:val="0025157A"/>
    <w:rsid w:val="00252593"/>
    <w:rsid w:val="00253316"/>
    <w:rsid w:val="00256069"/>
    <w:rsid w:val="0026316B"/>
    <w:rsid w:val="002671ED"/>
    <w:rsid w:val="0026727B"/>
    <w:rsid w:val="0027288D"/>
    <w:rsid w:val="00273B96"/>
    <w:rsid w:val="00274018"/>
    <w:rsid w:val="0027710C"/>
    <w:rsid w:val="002822F7"/>
    <w:rsid w:val="0028595D"/>
    <w:rsid w:val="0029084E"/>
    <w:rsid w:val="00292C38"/>
    <w:rsid w:val="00294809"/>
    <w:rsid w:val="00295C54"/>
    <w:rsid w:val="002A5EE9"/>
    <w:rsid w:val="002A5FBB"/>
    <w:rsid w:val="002B006D"/>
    <w:rsid w:val="002B0C48"/>
    <w:rsid w:val="002B139C"/>
    <w:rsid w:val="002B3222"/>
    <w:rsid w:val="002B4A10"/>
    <w:rsid w:val="002B5793"/>
    <w:rsid w:val="002B6E20"/>
    <w:rsid w:val="002C2BEF"/>
    <w:rsid w:val="002C30F5"/>
    <w:rsid w:val="002D324E"/>
    <w:rsid w:val="002D40B2"/>
    <w:rsid w:val="002D45F2"/>
    <w:rsid w:val="002D4F04"/>
    <w:rsid w:val="002D557E"/>
    <w:rsid w:val="002D7939"/>
    <w:rsid w:val="002E225D"/>
    <w:rsid w:val="002E2CCD"/>
    <w:rsid w:val="002E48D3"/>
    <w:rsid w:val="002E4C4F"/>
    <w:rsid w:val="002E6EC9"/>
    <w:rsid w:val="002E7B2B"/>
    <w:rsid w:val="002F423E"/>
    <w:rsid w:val="002F6127"/>
    <w:rsid w:val="003004A6"/>
    <w:rsid w:val="0030128D"/>
    <w:rsid w:val="003027F9"/>
    <w:rsid w:val="00302E25"/>
    <w:rsid w:val="00302E30"/>
    <w:rsid w:val="00303822"/>
    <w:rsid w:val="00305956"/>
    <w:rsid w:val="00306430"/>
    <w:rsid w:val="00307CC6"/>
    <w:rsid w:val="00310C1A"/>
    <w:rsid w:val="00315DDC"/>
    <w:rsid w:val="00320AD1"/>
    <w:rsid w:val="00320F05"/>
    <w:rsid w:val="00320F5B"/>
    <w:rsid w:val="00321097"/>
    <w:rsid w:val="003214A6"/>
    <w:rsid w:val="00327738"/>
    <w:rsid w:val="0033103F"/>
    <w:rsid w:val="00335017"/>
    <w:rsid w:val="00335305"/>
    <w:rsid w:val="003406DD"/>
    <w:rsid w:val="0034202E"/>
    <w:rsid w:val="00346DCF"/>
    <w:rsid w:val="0035134E"/>
    <w:rsid w:val="003520C5"/>
    <w:rsid w:val="0035405D"/>
    <w:rsid w:val="003541B3"/>
    <w:rsid w:val="003550C7"/>
    <w:rsid w:val="00356237"/>
    <w:rsid w:val="003563BE"/>
    <w:rsid w:val="00357163"/>
    <w:rsid w:val="003572EC"/>
    <w:rsid w:val="00357986"/>
    <w:rsid w:val="00362076"/>
    <w:rsid w:val="00362575"/>
    <w:rsid w:val="00370D76"/>
    <w:rsid w:val="00371AF0"/>
    <w:rsid w:val="00372F44"/>
    <w:rsid w:val="003744D4"/>
    <w:rsid w:val="003745A3"/>
    <w:rsid w:val="00384599"/>
    <w:rsid w:val="00384C8A"/>
    <w:rsid w:val="00384E44"/>
    <w:rsid w:val="00386D3F"/>
    <w:rsid w:val="00390D9E"/>
    <w:rsid w:val="00395F85"/>
    <w:rsid w:val="00396CDE"/>
    <w:rsid w:val="00396DE9"/>
    <w:rsid w:val="003A34C0"/>
    <w:rsid w:val="003B267E"/>
    <w:rsid w:val="003B3883"/>
    <w:rsid w:val="003B566F"/>
    <w:rsid w:val="003C010F"/>
    <w:rsid w:val="003C1B05"/>
    <w:rsid w:val="003C213D"/>
    <w:rsid w:val="003C2965"/>
    <w:rsid w:val="003C5268"/>
    <w:rsid w:val="003D10A9"/>
    <w:rsid w:val="003D1A3E"/>
    <w:rsid w:val="003D56EE"/>
    <w:rsid w:val="003D6B3F"/>
    <w:rsid w:val="003E242E"/>
    <w:rsid w:val="003E3075"/>
    <w:rsid w:val="003E459D"/>
    <w:rsid w:val="003E4648"/>
    <w:rsid w:val="003E531D"/>
    <w:rsid w:val="003E594A"/>
    <w:rsid w:val="003E7067"/>
    <w:rsid w:val="003F4D50"/>
    <w:rsid w:val="003F4F99"/>
    <w:rsid w:val="003F7266"/>
    <w:rsid w:val="004060A4"/>
    <w:rsid w:val="00406A21"/>
    <w:rsid w:val="004116C3"/>
    <w:rsid w:val="00412C2A"/>
    <w:rsid w:val="00412C4A"/>
    <w:rsid w:val="00422B03"/>
    <w:rsid w:val="00423378"/>
    <w:rsid w:val="00427061"/>
    <w:rsid w:val="00427F97"/>
    <w:rsid w:val="0043074F"/>
    <w:rsid w:val="00431168"/>
    <w:rsid w:val="00433B2B"/>
    <w:rsid w:val="004427FA"/>
    <w:rsid w:val="00445289"/>
    <w:rsid w:val="00445AB5"/>
    <w:rsid w:val="00446982"/>
    <w:rsid w:val="00456925"/>
    <w:rsid w:val="0046282C"/>
    <w:rsid w:val="004631ED"/>
    <w:rsid w:val="00466255"/>
    <w:rsid w:val="004662E6"/>
    <w:rsid w:val="004701D1"/>
    <w:rsid w:val="00472A67"/>
    <w:rsid w:val="0047466C"/>
    <w:rsid w:val="00474D38"/>
    <w:rsid w:val="00475FEE"/>
    <w:rsid w:val="00485BE8"/>
    <w:rsid w:val="00486E60"/>
    <w:rsid w:val="004929A5"/>
    <w:rsid w:val="00495590"/>
    <w:rsid w:val="004965A9"/>
    <w:rsid w:val="004A00CC"/>
    <w:rsid w:val="004A0EEC"/>
    <w:rsid w:val="004A131F"/>
    <w:rsid w:val="004A5752"/>
    <w:rsid w:val="004B1026"/>
    <w:rsid w:val="004B2D02"/>
    <w:rsid w:val="004B5508"/>
    <w:rsid w:val="004C59AC"/>
    <w:rsid w:val="004D17DD"/>
    <w:rsid w:val="004D399D"/>
    <w:rsid w:val="004D4D76"/>
    <w:rsid w:val="004D6AFD"/>
    <w:rsid w:val="004E0071"/>
    <w:rsid w:val="004E51B6"/>
    <w:rsid w:val="004F0223"/>
    <w:rsid w:val="004F2A28"/>
    <w:rsid w:val="004F3FF5"/>
    <w:rsid w:val="00502896"/>
    <w:rsid w:val="00505EDF"/>
    <w:rsid w:val="005060DD"/>
    <w:rsid w:val="0050642C"/>
    <w:rsid w:val="00506A1B"/>
    <w:rsid w:val="00506F5B"/>
    <w:rsid w:val="00507F9C"/>
    <w:rsid w:val="005102B7"/>
    <w:rsid w:val="00510597"/>
    <w:rsid w:val="0051310E"/>
    <w:rsid w:val="00513537"/>
    <w:rsid w:val="005145B3"/>
    <w:rsid w:val="00515A9D"/>
    <w:rsid w:val="00516151"/>
    <w:rsid w:val="005172A0"/>
    <w:rsid w:val="00521CFD"/>
    <w:rsid w:val="00525425"/>
    <w:rsid w:val="0052656E"/>
    <w:rsid w:val="00527AB3"/>
    <w:rsid w:val="00527C0D"/>
    <w:rsid w:val="00530CC4"/>
    <w:rsid w:val="00534728"/>
    <w:rsid w:val="00534A37"/>
    <w:rsid w:val="00543AB3"/>
    <w:rsid w:val="00547091"/>
    <w:rsid w:val="0055349B"/>
    <w:rsid w:val="005536FE"/>
    <w:rsid w:val="0056374F"/>
    <w:rsid w:val="00565356"/>
    <w:rsid w:val="00567EA2"/>
    <w:rsid w:val="00570434"/>
    <w:rsid w:val="00572FC0"/>
    <w:rsid w:val="00574318"/>
    <w:rsid w:val="00575C2D"/>
    <w:rsid w:val="0058055A"/>
    <w:rsid w:val="005809E3"/>
    <w:rsid w:val="0058250B"/>
    <w:rsid w:val="00585BE2"/>
    <w:rsid w:val="00587BA1"/>
    <w:rsid w:val="00592938"/>
    <w:rsid w:val="005936F3"/>
    <w:rsid w:val="005A07DB"/>
    <w:rsid w:val="005A0EB6"/>
    <w:rsid w:val="005A1B75"/>
    <w:rsid w:val="005A27C8"/>
    <w:rsid w:val="005A2B69"/>
    <w:rsid w:val="005A36FB"/>
    <w:rsid w:val="005A3724"/>
    <w:rsid w:val="005A3C32"/>
    <w:rsid w:val="005A7AC6"/>
    <w:rsid w:val="005B050B"/>
    <w:rsid w:val="005C193A"/>
    <w:rsid w:val="005C273F"/>
    <w:rsid w:val="005C65B3"/>
    <w:rsid w:val="005D05E8"/>
    <w:rsid w:val="005D23E3"/>
    <w:rsid w:val="005D3815"/>
    <w:rsid w:val="005D3D77"/>
    <w:rsid w:val="005E14F1"/>
    <w:rsid w:val="005E1C98"/>
    <w:rsid w:val="005E3D16"/>
    <w:rsid w:val="005E4778"/>
    <w:rsid w:val="005E685A"/>
    <w:rsid w:val="005E76EA"/>
    <w:rsid w:val="005F120F"/>
    <w:rsid w:val="005F34E6"/>
    <w:rsid w:val="005F5679"/>
    <w:rsid w:val="005F7016"/>
    <w:rsid w:val="006054D5"/>
    <w:rsid w:val="00605737"/>
    <w:rsid w:val="006063BA"/>
    <w:rsid w:val="006065A5"/>
    <w:rsid w:val="0061126A"/>
    <w:rsid w:val="006138C7"/>
    <w:rsid w:val="00620790"/>
    <w:rsid w:val="00623C8A"/>
    <w:rsid w:val="006258A4"/>
    <w:rsid w:val="00626B65"/>
    <w:rsid w:val="00630543"/>
    <w:rsid w:val="006338A7"/>
    <w:rsid w:val="006339BA"/>
    <w:rsid w:val="00634BB2"/>
    <w:rsid w:val="00637DFF"/>
    <w:rsid w:val="0064060E"/>
    <w:rsid w:val="00643980"/>
    <w:rsid w:val="00643E97"/>
    <w:rsid w:val="00646906"/>
    <w:rsid w:val="00646E91"/>
    <w:rsid w:val="0065047B"/>
    <w:rsid w:val="006532EE"/>
    <w:rsid w:val="00653CF2"/>
    <w:rsid w:val="00654F88"/>
    <w:rsid w:val="0066145C"/>
    <w:rsid w:val="00665AD5"/>
    <w:rsid w:val="006662F2"/>
    <w:rsid w:val="00671555"/>
    <w:rsid w:val="00673D4E"/>
    <w:rsid w:val="00677BEF"/>
    <w:rsid w:val="00680597"/>
    <w:rsid w:val="00680C70"/>
    <w:rsid w:val="0068402D"/>
    <w:rsid w:val="00686BDB"/>
    <w:rsid w:val="0069155C"/>
    <w:rsid w:val="006921F5"/>
    <w:rsid w:val="00692C36"/>
    <w:rsid w:val="0069392C"/>
    <w:rsid w:val="00695A04"/>
    <w:rsid w:val="00696F6A"/>
    <w:rsid w:val="006A4A65"/>
    <w:rsid w:val="006B4340"/>
    <w:rsid w:val="006B488B"/>
    <w:rsid w:val="006B5751"/>
    <w:rsid w:val="006B6375"/>
    <w:rsid w:val="006C0FA5"/>
    <w:rsid w:val="006C18BF"/>
    <w:rsid w:val="006D0D67"/>
    <w:rsid w:val="006D2716"/>
    <w:rsid w:val="006D3352"/>
    <w:rsid w:val="006E186D"/>
    <w:rsid w:val="006E624E"/>
    <w:rsid w:val="006F2885"/>
    <w:rsid w:val="006F28C9"/>
    <w:rsid w:val="006F3711"/>
    <w:rsid w:val="006F3FB3"/>
    <w:rsid w:val="006F5F6A"/>
    <w:rsid w:val="006F7CAD"/>
    <w:rsid w:val="00702E31"/>
    <w:rsid w:val="007038BD"/>
    <w:rsid w:val="00703BF7"/>
    <w:rsid w:val="007053DC"/>
    <w:rsid w:val="0070633F"/>
    <w:rsid w:val="00706CD9"/>
    <w:rsid w:val="007070D3"/>
    <w:rsid w:val="007104B2"/>
    <w:rsid w:val="00716E74"/>
    <w:rsid w:val="00717111"/>
    <w:rsid w:val="00717428"/>
    <w:rsid w:val="00717E75"/>
    <w:rsid w:val="00723AA8"/>
    <w:rsid w:val="00724592"/>
    <w:rsid w:val="00726B53"/>
    <w:rsid w:val="00730564"/>
    <w:rsid w:val="00732F59"/>
    <w:rsid w:val="00733863"/>
    <w:rsid w:val="00734A01"/>
    <w:rsid w:val="0074211E"/>
    <w:rsid w:val="00742CE3"/>
    <w:rsid w:val="00745458"/>
    <w:rsid w:val="00745905"/>
    <w:rsid w:val="00747C8F"/>
    <w:rsid w:val="007519E9"/>
    <w:rsid w:val="0075355A"/>
    <w:rsid w:val="0075576F"/>
    <w:rsid w:val="00756B80"/>
    <w:rsid w:val="00775231"/>
    <w:rsid w:val="00780CEE"/>
    <w:rsid w:val="0078251F"/>
    <w:rsid w:val="00784ECA"/>
    <w:rsid w:val="007857E1"/>
    <w:rsid w:val="00790E0E"/>
    <w:rsid w:val="007910D3"/>
    <w:rsid w:val="00796F84"/>
    <w:rsid w:val="00797AC1"/>
    <w:rsid w:val="007A7A4E"/>
    <w:rsid w:val="007B24EA"/>
    <w:rsid w:val="007B44C4"/>
    <w:rsid w:val="007C3B5D"/>
    <w:rsid w:val="007C5644"/>
    <w:rsid w:val="007D0C0E"/>
    <w:rsid w:val="007D62E9"/>
    <w:rsid w:val="007D7BA9"/>
    <w:rsid w:val="007E01AB"/>
    <w:rsid w:val="007E233B"/>
    <w:rsid w:val="007E3072"/>
    <w:rsid w:val="007E4590"/>
    <w:rsid w:val="007F0BAC"/>
    <w:rsid w:val="007F0C0D"/>
    <w:rsid w:val="007F67B4"/>
    <w:rsid w:val="00800281"/>
    <w:rsid w:val="00800532"/>
    <w:rsid w:val="00800A8D"/>
    <w:rsid w:val="00800E89"/>
    <w:rsid w:val="00811A1B"/>
    <w:rsid w:val="00812B0A"/>
    <w:rsid w:val="00814843"/>
    <w:rsid w:val="008156E6"/>
    <w:rsid w:val="00821AFE"/>
    <w:rsid w:val="00835D06"/>
    <w:rsid w:val="00841AAD"/>
    <w:rsid w:val="00842E9F"/>
    <w:rsid w:val="00843498"/>
    <w:rsid w:val="00843A68"/>
    <w:rsid w:val="00850B52"/>
    <w:rsid w:val="0085171C"/>
    <w:rsid w:val="00853503"/>
    <w:rsid w:val="00855F34"/>
    <w:rsid w:val="00856679"/>
    <w:rsid w:val="00860837"/>
    <w:rsid w:val="00867EC5"/>
    <w:rsid w:val="008724CC"/>
    <w:rsid w:val="00872DF3"/>
    <w:rsid w:val="008766AC"/>
    <w:rsid w:val="00877158"/>
    <w:rsid w:val="008772EC"/>
    <w:rsid w:val="00880158"/>
    <w:rsid w:val="00880651"/>
    <w:rsid w:val="00892585"/>
    <w:rsid w:val="008954EE"/>
    <w:rsid w:val="00897208"/>
    <w:rsid w:val="00897869"/>
    <w:rsid w:val="008A4B8E"/>
    <w:rsid w:val="008A58A2"/>
    <w:rsid w:val="008B091A"/>
    <w:rsid w:val="008B11DE"/>
    <w:rsid w:val="008B2D18"/>
    <w:rsid w:val="008B5692"/>
    <w:rsid w:val="008C2DB5"/>
    <w:rsid w:val="008C5425"/>
    <w:rsid w:val="008C7102"/>
    <w:rsid w:val="008D5A5B"/>
    <w:rsid w:val="008D6BEE"/>
    <w:rsid w:val="008E1B06"/>
    <w:rsid w:val="008E69F5"/>
    <w:rsid w:val="008F08E9"/>
    <w:rsid w:val="008F49A2"/>
    <w:rsid w:val="00903891"/>
    <w:rsid w:val="00910720"/>
    <w:rsid w:val="009137D8"/>
    <w:rsid w:val="0091510D"/>
    <w:rsid w:val="00915EFC"/>
    <w:rsid w:val="00916201"/>
    <w:rsid w:val="00916CDA"/>
    <w:rsid w:val="00920271"/>
    <w:rsid w:val="0092151F"/>
    <w:rsid w:val="00925A26"/>
    <w:rsid w:val="00925ABC"/>
    <w:rsid w:val="00934103"/>
    <w:rsid w:val="00934819"/>
    <w:rsid w:val="00934BB7"/>
    <w:rsid w:val="00934C05"/>
    <w:rsid w:val="00935BA3"/>
    <w:rsid w:val="009369B0"/>
    <w:rsid w:val="009402C8"/>
    <w:rsid w:val="00941B6A"/>
    <w:rsid w:val="0094409A"/>
    <w:rsid w:val="00951AB6"/>
    <w:rsid w:val="009546B6"/>
    <w:rsid w:val="00960D74"/>
    <w:rsid w:val="009624EB"/>
    <w:rsid w:val="0096728E"/>
    <w:rsid w:val="0097138F"/>
    <w:rsid w:val="00971A4E"/>
    <w:rsid w:val="0097377D"/>
    <w:rsid w:val="0097749F"/>
    <w:rsid w:val="0098271C"/>
    <w:rsid w:val="00982BC1"/>
    <w:rsid w:val="00985E65"/>
    <w:rsid w:val="009860CF"/>
    <w:rsid w:val="009863A1"/>
    <w:rsid w:val="00990F9D"/>
    <w:rsid w:val="00991EE0"/>
    <w:rsid w:val="009958D4"/>
    <w:rsid w:val="00995E65"/>
    <w:rsid w:val="0099615C"/>
    <w:rsid w:val="009970B9"/>
    <w:rsid w:val="00997E63"/>
    <w:rsid w:val="009A1434"/>
    <w:rsid w:val="009A265D"/>
    <w:rsid w:val="009A3265"/>
    <w:rsid w:val="009A3AEC"/>
    <w:rsid w:val="009A77E0"/>
    <w:rsid w:val="009A7B29"/>
    <w:rsid w:val="009B18FC"/>
    <w:rsid w:val="009B250A"/>
    <w:rsid w:val="009B6503"/>
    <w:rsid w:val="009B742E"/>
    <w:rsid w:val="009C06FC"/>
    <w:rsid w:val="009C1D5F"/>
    <w:rsid w:val="009C4900"/>
    <w:rsid w:val="009D25EC"/>
    <w:rsid w:val="009D33CD"/>
    <w:rsid w:val="009D52A5"/>
    <w:rsid w:val="009D59CA"/>
    <w:rsid w:val="009D6B81"/>
    <w:rsid w:val="009E34D7"/>
    <w:rsid w:val="009E3DAB"/>
    <w:rsid w:val="009E45FB"/>
    <w:rsid w:val="009E7910"/>
    <w:rsid w:val="009F0E0E"/>
    <w:rsid w:val="009F170F"/>
    <w:rsid w:val="009F4458"/>
    <w:rsid w:val="009F44D1"/>
    <w:rsid w:val="009F4981"/>
    <w:rsid w:val="009F7FE1"/>
    <w:rsid w:val="00A00149"/>
    <w:rsid w:val="00A01DB1"/>
    <w:rsid w:val="00A0334F"/>
    <w:rsid w:val="00A11647"/>
    <w:rsid w:val="00A133C4"/>
    <w:rsid w:val="00A234E7"/>
    <w:rsid w:val="00A24968"/>
    <w:rsid w:val="00A257B8"/>
    <w:rsid w:val="00A27406"/>
    <w:rsid w:val="00A31B75"/>
    <w:rsid w:val="00A33156"/>
    <w:rsid w:val="00A34A09"/>
    <w:rsid w:val="00A35C31"/>
    <w:rsid w:val="00A37E1A"/>
    <w:rsid w:val="00A40F0D"/>
    <w:rsid w:val="00A46347"/>
    <w:rsid w:val="00A509B5"/>
    <w:rsid w:val="00A53890"/>
    <w:rsid w:val="00A54EF8"/>
    <w:rsid w:val="00A61F95"/>
    <w:rsid w:val="00A62F90"/>
    <w:rsid w:val="00A65010"/>
    <w:rsid w:val="00A665A4"/>
    <w:rsid w:val="00A71F30"/>
    <w:rsid w:val="00A7269D"/>
    <w:rsid w:val="00A76536"/>
    <w:rsid w:val="00A76F9A"/>
    <w:rsid w:val="00A803F3"/>
    <w:rsid w:val="00A817D6"/>
    <w:rsid w:val="00A85384"/>
    <w:rsid w:val="00A87155"/>
    <w:rsid w:val="00A90E68"/>
    <w:rsid w:val="00A91522"/>
    <w:rsid w:val="00A931B3"/>
    <w:rsid w:val="00A936BF"/>
    <w:rsid w:val="00A95D65"/>
    <w:rsid w:val="00AA2A30"/>
    <w:rsid w:val="00AA329B"/>
    <w:rsid w:val="00AA4965"/>
    <w:rsid w:val="00AA662F"/>
    <w:rsid w:val="00AB2B17"/>
    <w:rsid w:val="00AB30EF"/>
    <w:rsid w:val="00AB31D6"/>
    <w:rsid w:val="00AB4959"/>
    <w:rsid w:val="00AB5C9C"/>
    <w:rsid w:val="00AB6149"/>
    <w:rsid w:val="00AB75E5"/>
    <w:rsid w:val="00AC0017"/>
    <w:rsid w:val="00AC1250"/>
    <w:rsid w:val="00AC2B92"/>
    <w:rsid w:val="00AC3268"/>
    <w:rsid w:val="00AC4597"/>
    <w:rsid w:val="00AC4ED7"/>
    <w:rsid w:val="00AC7789"/>
    <w:rsid w:val="00AD0091"/>
    <w:rsid w:val="00AD1C22"/>
    <w:rsid w:val="00AD2940"/>
    <w:rsid w:val="00AD5384"/>
    <w:rsid w:val="00AD6D4F"/>
    <w:rsid w:val="00AE5890"/>
    <w:rsid w:val="00AE6AC7"/>
    <w:rsid w:val="00AF1375"/>
    <w:rsid w:val="00AF14D8"/>
    <w:rsid w:val="00AF3301"/>
    <w:rsid w:val="00AF43D6"/>
    <w:rsid w:val="00B22C3D"/>
    <w:rsid w:val="00B23D42"/>
    <w:rsid w:val="00B25A72"/>
    <w:rsid w:val="00B26694"/>
    <w:rsid w:val="00B26F04"/>
    <w:rsid w:val="00B303EF"/>
    <w:rsid w:val="00B371B0"/>
    <w:rsid w:val="00B402A5"/>
    <w:rsid w:val="00B41C6E"/>
    <w:rsid w:val="00B448A0"/>
    <w:rsid w:val="00B477A9"/>
    <w:rsid w:val="00B47B2A"/>
    <w:rsid w:val="00B50843"/>
    <w:rsid w:val="00B5379B"/>
    <w:rsid w:val="00B5661D"/>
    <w:rsid w:val="00B5702C"/>
    <w:rsid w:val="00B57A85"/>
    <w:rsid w:val="00B60B4D"/>
    <w:rsid w:val="00B612B7"/>
    <w:rsid w:val="00B61B53"/>
    <w:rsid w:val="00B65211"/>
    <w:rsid w:val="00B6564E"/>
    <w:rsid w:val="00B66E74"/>
    <w:rsid w:val="00B678DF"/>
    <w:rsid w:val="00B70BCE"/>
    <w:rsid w:val="00B732A0"/>
    <w:rsid w:val="00B73311"/>
    <w:rsid w:val="00B758AA"/>
    <w:rsid w:val="00B76BF5"/>
    <w:rsid w:val="00B76E6B"/>
    <w:rsid w:val="00B906B0"/>
    <w:rsid w:val="00B97DC9"/>
    <w:rsid w:val="00BA32B7"/>
    <w:rsid w:val="00BA412E"/>
    <w:rsid w:val="00BB154C"/>
    <w:rsid w:val="00BB561B"/>
    <w:rsid w:val="00BC1938"/>
    <w:rsid w:val="00BC7D73"/>
    <w:rsid w:val="00BD1D2F"/>
    <w:rsid w:val="00BD30D2"/>
    <w:rsid w:val="00BD586D"/>
    <w:rsid w:val="00BD7019"/>
    <w:rsid w:val="00BE1F8E"/>
    <w:rsid w:val="00BE2CE1"/>
    <w:rsid w:val="00BE42C9"/>
    <w:rsid w:val="00BE6704"/>
    <w:rsid w:val="00BF5E61"/>
    <w:rsid w:val="00C0022C"/>
    <w:rsid w:val="00C012A6"/>
    <w:rsid w:val="00C06213"/>
    <w:rsid w:val="00C06CCC"/>
    <w:rsid w:val="00C06EEA"/>
    <w:rsid w:val="00C077F6"/>
    <w:rsid w:val="00C114C6"/>
    <w:rsid w:val="00C1176C"/>
    <w:rsid w:val="00C14195"/>
    <w:rsid w:val="00C14449"/>
    <w:rsid w:val="00C1797C"/>
    <w:rsid w:val="00C31A0D"/>
    <w:rsid w:val="00C35CE2"/>
    <w:rsid w:val="00C41EE9"/>
    <w:rsid w:val="00C431CD"/>
    <w:rsid w:val="00C43AFB"/>
    <w:rsid w:val="00C44E0D"/>
    <w:rsid w:val="00C458CC"/>
    <w:rsid w:val="00C45F9E"/>
    <w:rsid w:val="00C4704F"/>
    <w:rsid w:val="00C476DA"/>
    <w:rsid w:val="00C52708"/>
    <w:rsid w:val="00C562BB"/>
    <w:rsid w:val="00C5678D"/>
    <w:rsid w:val="00C57D00"/>
    <w:rsid w:val="00C60485"/>
    <w:rsid w:val="00C6272C"/>
    <w:rsid w:val="00C6415D"/>
    <w:rsid w:val="00C64592"/>
    <w:rsid w:val="00C754D7"/>
    <w:rsid w:val="00C760E6"/>
    <w:rsid w:val="00C76312"/>
    <w:rsid w:val="00C836DE"/>
    <w:rsid w:val="00C84CE3"/>
    <w:rsid w:val="00C87C3D"/>
    <w:rsid w:val="00C90334"/>
    <w:rsid w:val="00C91DFD"/>
    <w:rsid w:val="00C92486"/>
    <w:rsid w:val="00C94370"/>
    <w:rsid w:val="00C94723"/>
    <w:rsid w:val="00C965F8"/>
    <w:rsid w:val="00C9795F"/>
    <w:rsid w:val="00CA1635"/>
    <w:rsid w:val="00CA35E2"/>
    <w:rsid w:val="00CA3908"/>
    <w:rsid w:val="00CA4610"/>
    <w:rsid w:val="00CA5934"/>
    <w:rsid w:val="00CB1862"/>
    <w:rsid w:val="00CB36CB"/>
    <w:rsid w:val="00CB493E"/>
    <w:rsid w:val="00CB540B"/>
    <w:rsid w:val="00CB6E13"/>
    <w:rsid w:val="00CB7B77"/>
    <w:rsid w:val="00CC0C6A"/>
    <w:rsid w:val="00CC4CCE"/>
    <w:rsid w:val="00CD2D42"/>
    <w:rsid w:val="00CD5049"/>
    <w:rsid w:val="00CD56FD"/>
    <w:rsid w:val="00CD57B7"/>
    <w:rsid w:val="00CD6686"/>
    <w:rsid w:val="00CE5D92"/>
    <w:rsid w:val="00CF528E"/>
    <w:rsid w:val="00D02F71"/>
    <w:rsid w:val="00D03448"/>
    <w:rsid w:val="00D03E8D"/>
    <w:rsid w:val="00D057C3"/>
    <w:rsid w:val="00D1111C"/>
    <w:rsid w:val="00D13AE8"/>
    <w:rsid w:val="00D21A23"/>
    <w:rsid w:val="00D21A3C"/>
    <w:rsid w:val="00D24B1B"/>
    <w:rsid w:val="00D259C5"/>
    <w:rsid w:val="00D30C40"/>
    <w:rsid w:val="00D340D3"/>
    <w:rsid w:val="00D376B6"/>
    <w:rsid w:val="00D43FA5"/>
    <w:rsid w:val="00D44B9D"/>
    <w:rsid w:val="00D467D6"/>
    <w:rsid w:val="00D46C54"/>
    <w:rsid w:val="00D47EF8"/>
    <w:rsid w:val="00D51559"/>
    <w:rsid w:val="00D51A97"/>
    <w:rsid w:val="00D53E77"/>
    <w:rsid w:val="00D62A62"/>
    <w:rsid w:val="00D656E7"/>
    <w:rsid w:val="00D70592"/>
    <w:rsid w:val="00D74186"/>
    <w:rsid w:val="00D753FE"/>
    <w:rsid w:val="00D768F4"/>
    <w:rsid w:val="00D76E91"/>
    <w:rsid w:val="00D82E9A"/>
    <w:rsid w:val="00D8588F"/>
    <w:rsid w:val="00D85B35"/>
    <w:rsid w:val="00D861CF"/>
    <w:rsid w:val="00D87C7A"/>
    <w:rsid w:val="00D96063"/>
    <w:rsid w:val="00DA2CDB"/>
    <w:rsid w:val="00DA6D2B"/>
    <w:rsid w:val="00DA7555"/>
    <w:rsid w:val="00DB26FD"/>
    <w:rsid w:val="00DB2F7D"/>
    <w:rsid w:val="00DB4E6C"/>
    <w:rsid w:val="00DB599B"/>
    <w:rsid w:val="00DC0158"/>
    <w:rsid w:val="00DC1811"/>
    <w:rsid w:val="00DC3709"/>
    <w:rsid w:val="00DD2F3D"/>
    <w:rsid w:val="00DE0C36"/>
    <w:rsid w:val="00DE13B0"/>
    <w:rsid w:val="00DE3E64"/>
    <w:rsid w:val="00DE6AE3"/>
    <w:rsid w:val="00DE7D80"/>
    <w:rsid w:val="00DF00F1"/>
    <w:rsid w:val="00DF46E2"/>
    <w:rsid w:val="00DF6621"/>
    <w:rsid w:val="00E001E6"/>
    <w:rsid w:val="00E00B41"/>
    <w:rsid w:val="00E0186C"/>
    <w:rsid w:val="00E02075"/>
    <w:rsid w:val="00E07CA3"/>
    <w:rsid w:val="00E1224D"/>
    <w:rsid w:val="00E13CB2"/>
    <w:rsid w:val="00E15315"/>
    <w:rsid w:val="00E20465"/>
    <w:rsid w:val="00E23B9E"/>
    <w:rsid w:val="00E24D36"/>
    <w:rsid w:val="00E25B9D"/>
    <w:rsid w:val="00E31AD2"/>
    <w:rsid w:val="00E3343E"/>
    <w:rsid w:val="00E4175A"/>
    <w:rsid w:val="00E4221A"/>
    <w:rsid w:val="00E42CDF"/>
    <w:rsid w:val="00E42EAF"/>
    <w:rsid w:val="00E431B6"/>
    <w:rsid w:val="00E46D3A"/>
    <w:rsid w:val="00E51CE3"/>
    <w:rsid w:val="00E54E7A"/>
    <w:rsid w:val="00E55B77"/>
    <w:rsid w:val="00E565DA"/>
    <w:rsid w:val="00E6359F"/>
    <w:rsid w:val="00E63662"/>
    <w:rsid w:val="00E66F8F"/>
    <w:rsid w:val="00E7018F"/>
    <w:rsid w:val="00E72EF0"/>
    <w:rsid w:val="00E74629"/>
    <w:rsid w:val="00E75363"/>
    <w:rsid w:val="00E7574E"/>
    <w:rsid w:val="00E75B53"/>
    <w:rsid w:val="00E765D9"/>
    <w:rsid w:val="00E76DCF"/>
    <w:rsid w:val="00E80417"/>
    <w:rsid w:val="00E80ADE"/>
    <w:rsid w:val="00E83FEB"/>
    <w:rsid w:val="00E8450C"/>
    <w:rsid w:val="00E85B60"/>
    <w:rsid w:val="00E879D1"/>
    <w:rsid w:val="00E92BEA"/>
    <w:rsid w:val="00E9333F"/>
    <w:rsid w:val="00E93A60"/>
    <w:rsid w:val="00E9430F"/>
    <w:rsid w:val="00E94BF4"/>
    <w:rsid w:val="00E95B21"/>
    <w:rsid w:val="00E96B2B"/>
    <w:rsid w:val="00E97652"/>
    <w:rsid w:val="00EA0495"/>
    <w:rsid w:val="00EA0F0C"/>
    <w:rsid w:val="00EB018C"/>
    <w:rsid w:val="00EB0CD9"/>
    <w:rsid w:val="00EB185D"/>
    <w:rsid w:val="00EB6437"/>
    <w:rsid w:val="00EC1614"/>
    <w:rsid w:val="00EC34DB"/>
    <w:rsid w:val="00EC3B9B"/>
    <w:rsid w:val="00EC5463"/>
    <w:rsid w:val="00ED4286"/>
    <w:rsid w:val="00ED4E42"/>
    <w:rsid w:val="00EE21B1"/>
    <w:rsid w:val="00EE3D84"/>
    <w:rsid w:val="00EE4275"/>
    <w:rsid w:val="00EE43D5"/>
    <w:rsid w:val="00EE474D"/>
    <w:rsid w:val="00EE5010"/>
    <w:rsid w:val="00EE77C1"/>
    <w:rsid w:val="00EE7DE6"/>
    <w:rsid w:val="00F04C3B"/>
    <w:rsid w:val="00F04F69"/>
    <w:rsid w:val="00F05341"/>
    <w:rsid w:val="00F07A57"/>
    <w:rsid w:val="00F115D6"/>
    <w:rsid w:val="00F12F5F"/>
    <w:rsid w:val="00F13BF5"/>
    <w:rsid w:val="00F13F52"/>
    <w:rsid w:val="00F20217"/>
    <w:rsid w:val="00F20288"/>
    <w:rsid w:val="00F20951"/>
    <w:rsid w:val="00F21B93"/>
    <w:rsid w:val="00F23D08"/>
    <w:rsid w:val="00F246A6"/>
    <w:rsid w:val="00F339BD"/>
    <w:rsid w:val="00F42D9F"/>
    <w:rsid w:val="00F451B9"/>
    <w:rsid w:val="00F5229D"/>
    <w:rsid w:val="00F52E08"/>
    <w:rsid w:val="00F579B6"/>
    <w:rsid w:val="00F62759"/>
    <w:rsid w:val="00F627AC"/>
    <w:rsid w:val="00F63620"/>
    <w:rsid w:val="00F646BC"/>
    <w:rsid w:val="00F66E36"/>
    <w:rsid w:val="00F672C0"/>
    <w:rsid w:val="00F7292C"/>
    <w:rsid w:val="00F741EA"/>
    <w:rsid w:val="00F75D07"/>
    <w:rsid w:val="00F8235F"/>
    <w:rsid w:val="00F84E2E"/>
    <w:rsid w:val="00F86DEF"/>
    <w:rsid w:val="00F87F4D"/>
    <w:rsid w:val="00F94852"/>
    <w:rsid w:val="00F96AAA"/>
    <w:rsid w:val="00F97AFF"/>
    <w:rsid w:val="00FA095A"/>
    <w:rsid w:val="00FA203F"/>
    <w:rsid w:val="00FA3FB5"/>
    <w:rsid w:val="00FB2FB6"/>
    <w:rsid w:val="00FB63A5"/>
    <w:rsid w:val="00FB69CB"/>
    <w:rsid w:val="00FB6BBB"/>
    <w:rsid w:val="00FC3005"/>
    <w:rsid w:val="00FC3E31"/>
    <w:rsid w:val="00FC4B8F"/>
    <w:rsid w:val="00FC7844"/>
    <w:rsid w:val="00FD0A31"/>
    <w:rsid w:val="00FD51B2"/>
    <w:rsid w:val="00FD665B"/>
    <w:rsid w:val="00FE104D"/>
    <w:rsid w:val="00FE265C"/>
    <w:rsid w:val="00FE61CA"/>
    <w:rsid w:val="00FF382E"/>
    <w:rsid w:val="00FF3B47"/>
    <w:rsid w:val="00FF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E6B9802-2ECF-4659-8BF9-B78E99DC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AD"/>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20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38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95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209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95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20951"/>
    <w:pPr>
      <w:ind w:left="720"/>
      <w:contextualSpacing/>
    </w:pPr>
  </w:style>
  <w:style w:type="table" w:styleId="TableGrid">
    <w:name w:val="Table Grid"/>
    <w:basedOn w:val="TableNormal"/>
    <w:uiPriority w:val="59"/>
    <w:rsid w:val="007E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5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90"/>
    <w:rPr>
      <w:rFonts w:ascii="Tahoma" w:hAnsi="Tahoma" w:cs="Tahoma"/>
      <w:sz w:val="16"/>
      <w:szCs w:val="16"/>
    </w:rPr>
  </w:style>
  <w:style w:type="paragraph" w:styleId="FootnoteText">
    <w:name w:val="footnote text"/>
    <w:basedOn w:val="Normal"/>
    <w:link w:val="FootnoteTextChar"/>
    <w:uiPriority w:val="99"/>
    <w:semiHidden/>
    <w:unhideWhenUsed/>
    <w:rsid w:val="00C114C6"/>
    <w:pPr>
      <w:spacing w:after="0"/>
    </w:pPr>
    <w:rPr>
      <w:sz w:val="20"/>
      <w:szCs w:val="20"/>
    </w:rPr>
  </w:style>
  <w:style w:type="character" w:customStyle="1" w:styleId="FootnoteTextChar">
    <w:name w:val="Footnote Text Char"/>
    <w:basedOn w:val="DefaultParagraphFont"/>
    <w:link w:val="FootnoteText"/>
    <w:uiPriority w:val="99"/>
    <w:semiHidden/>
    <w:rsid w:val="00C114C6"/>
    <w:rPr>
      <w:rFonts w:ascii="Times New Roman" w:hAnsi="Times New Roman"/>
      <w:sz w:val="20"/>
      <w:szCs w:val="20"/>
    </w:rPr>
  </w:style>
  <w:style w:type="character" w:styleId="FootnoteReference">
    <w:name w:val="footnote reference"/>
    <w:basedOn w:val="DefaultParagraphFont"/>
    <w:uiPriority w:val="99"/>
    <w:semiHidden/>
    <w:unhideWhenUsed/>
    <w:rsid w:val="00C114C6"/>
    <w:rPr>
      <w:vertAlign w:val="superscript"/>
    </w:rPr>
  </w:style>
  <w:style w:type="character" w:customStyle="1" w:styleId="Heading2Char">
    <w:name w:val="Heading 2 Char"/>
    <w:basedOn w:val="DefaultParagraphFont"/>
    <w:link w:val="Heading2"/>
    <w:uiPriority w:val="9"/>
    <w:rsid w:val="007038BD"/>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D03BE"/>
    <w:rPr>
      <w:color w:val="808080"/>
    </w:rPr>
  </w:style>
  <w:style w:type="paragraph" w:styleId="Header">
    <w:name w:val="header"/>
    <w:basedOn w:val="Normal"/>
    <w:link w:val="HeaderChar"/>
    <w:uiPriority w:val="99"/>
    <w:unhideWhenUsed/>
    <w:rsid w:val="003572EC"/>
    <w:pPr>
      <w:tabs>
        <w:tab w:val="center" w:pos="4513"/>
        <w:tab w:val="right" w:pos="9026"/>
      </w:tabs>
      <w:spacing w:after="0"/>
    </w:pPr>
  </w:style>
  <w:style w:type="character" w:customStyle="1" w:styleId="HeaderChar">
    <w:name w:val="Header Char"/>
    <w:basedOn w:val="DefaultParagraphFont"/>
    <w:link w:val="Header"/>
    <w:uiPriority w:val="99"/>
    <w:rsid w:val="003572EC"/>
    <w:rPr>
      <w:rFonts w:ascii="Times New Roman" w:hAnsi="Times New Roman"/>
      <w:sz w:val="24"/>
    </w:rPr>
  </w:style>
  <w:style w:type="paragraph" w:styleId="Footer">
    <w:name w:val="footer"/>
    <w:basedOn w:val="Normal"/>
    <w:link w:val="FooterChar"/>
    <w:uiPriority w:val="99"/>
    <w:unhideWhenUsed/>
    <w:rsid w:val="003572EC"/>
    <w:pPr>
      <w:tabs>
        <w:tab w:val="center" w:pos="4513"/>
        <w:tab w:val="right" w:pos="9026"/>
      </w:tabs>
      <w:spacing w:after="0"/>
    </w:pPr>
  </w:style>
  <w:style w:type="character" w:customStyle="1" w:styleId="FooterChar">
    <w:name w:val="Footer Char"/>
    <w:basedOn w:val="DefaultParagraphFont"/>
    <w:link w:val="Footer"/>
    <w:uiPriority w:val="99"/>
    <w:rsid w:val="003572EC"/>
    <w:rPr>
      <w:rFonts w:ascii="Times New Roman" w:hAnsi="Times New Roman"/>
      <w:sz w:val="24"/>
    </w:rPr>
  </w:style>
  <w:style w:type="paragraph" w:styleId="NormalWeb">
    <w:name w:val="Normal (Web)"/>
    <w:basedOn w:val="Normal"/>
    <w:uiPriority w:val="99"/>
    <w:unhideWhenUsed/>
    <w:rsid w:val="0097138F"/>
    <w:pPr>
      <w:spacing w:before="100" w:beforeAutospacing="1" w:after="100" w:afterAutospacing="1"/>
      <w:jc w:val="left"/>
    </w:pPr>
    <w:rPr>
      <w:rFonts w:eastAsiaTheme="minorEastAsi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7543">
      <w:bodyDiv w:val="1"/>
      <w:marLeft w:val="0"/>
      <w:marRight w:val="0"/>
      <w:marTop w:val="0"/>
      <w:marBottom w:val="0"/>
      <w:divBdr>
        <w:top w:val="none" w:sz="0" w:space="0" w:color="auto"/>
        <w:left w:val="none" w:sz="0" w:space="0" w:color="auto"/>
        <w:bottom w:val="none" w:sz="0" w:space="0" w:color="auto"/>
        <w:right w:val="none" w:sz="0" w:space="0" w:color="auto"/>
      </w:divBdr>
    </w:div>
    <w:div w:id="122507025">
      <w:bodyDiv w:val="1"/>
      <w:marLeft w:val="0"/>
      <w:marRight w:val="0"/>
      <w:marTop w:val="0"/>
      <w:marBottom w:val="0"/>
      <w:divBdr>
        <w:top w:val="none" w:sz="0" w:space="0" w:color="auto"/>
        <w:left w:val="none" w:sz="0" w:space="0" w:color="auto"/>
        <w:bottom w:val="none" w:sz="0" w:space="0" w:color="auto"/>
        <w:right w:val="none" w:sz="0" w:space="0" w:color="auto"/>
      </w:divBdr>
    </w:div>
    <w:div w:id="189146686">
      <w:bodyDiv w:val="1"/>
      <w:marLeft w:val="0"/>
      <w:marRight w:val="0"/>
      <w:marTop w:val="0"/>
      <w:marBottom w:val="0"/>
      <w:divBdr>
        <w:top w:val="none" w:sz="0" w:space="0" w:color="auto"/>
        <w:left w:val="none" w:sz="0" w:space="0" w:color="auto"/>
        <w:bottom w:val="none" w:sz="0" w:space="0" w:color="auto"/>
        <w:right w:val="none" w:sz="0" w:space="0" w:color="auto"/>
      </w:divBdr>
    </w:div>
    <w:div w:id="308636089">
      <w:bodyDiv w:val="1"/>
      <w:marLeft w:val="0"/>
      <w:marRight w:val="0"/>
      <w:marTop w:val="0"/>
      <w:marBottom w:val="0"/>
      <w:divBdr>
        <w:top w:val="none" w:sz="0" w:space="0" w:color="auto"/>
        <w:left w:val="none" w:sz="0" w:space="0" w:color="auto"/>
        <w:bottom w:val="none" w:sz="0" w:space="0" w:color="auto"/>
        <w:right w:val="none" w:sz="0" w:space="0" w:color="auto"/>
      </w:divBdr>
    </w:div>
    <w:div w:id="343746504">
      <w:bodyDiv w:val="1"/>
      <w:marLeft w:val="0"/>
      <w:marRight w:val="0"/>
      <w:marTop w:val="0"/>
      <w:marBottom w:val="0"/>
      <w:divBdr>
        <w:top w:val="none" w:sz="0" w:space="0" w:color="auto"/>
        <w:left w:val="none" w:sz="0" w:space="0" w:color="auto"/>
        <w:bottom w:val="none" w:sz="0" w:space="0" w:color="auto"/>
        <w:right w:val="none" w:sz="0" w:space="0" w:color="auto"/>
      </w:divBdr>
    </w:div>
    <w:div w:id="406808769">
      <w:bodyDiv w:val="1"/>
      <w:marLeft w:val="0"/>
      <w:marRight w:val="0"/>
      <w:marTop w:val="0"/>
      <w:marBottom w:val="0"/>
      <w:divBdr>
        <w:top w:val="none" w:sz="0" w:space="0" w:color="auto"/>
        <w:left w:val="none" w:sz="0" w:space="0" w:color="auto"/>
        <w:bottom w:val="none" w:sz="0" w:space="0" w:color="auto"/>
        <w:right w:val="none" w:sz="0" w:space="0" w:color="auto"/>
      </w:divBdr>
    </w:div>
    <w:div w:id="435563218">
      <w:bodyDiv w:val="1"/>
      <w:marLeft w:val="0"/>
      <w:marRight w:val="0"/>
      <w:marTop w:val="0"/>
      <w:marBottom w:val="0"/>
      <w:divBdr>
        <w:top w:val="none" w:sz="0" w:space="0" w:color="auto"/>
        <w:left w:val="none" w:sz="0" w:space="0" w:color="auto"/>
        <w:bottom w:val="none" w:sz="0" w:space="0" w:color="auto"/>
        <w:right w:val="none" w:sz="0" w:space="0" w:color="auto"/>
      </w:divBdr>
    </w:div>
    <w:div w:id="472723755">
      <w:bodyDiv w:val="1"/>
      <w:marLeft w:val="0"/>
      <w:marRight w:val="0"/>
      <w:marTop w:val="0"/>
      <w:marBottom w:val="0"/>
      <w:divBdr>
        <w:top w:val="none" w:sz="0" w:space="0" w:color="auto"/>
        <w:left w:val="none" w:sz="0" w:space="0" w:color="auto"/>
        <w:bottom w:val="none" w:sz="0" w:space="0" w:color="auto"/>
        <w:right w:val="none" w:sz="0" w:space="0" w:color="auto"/>
      </w:divBdr>
    </w:div>
    <w:div w:id="508757137">
      <w:bodyDiv w:val="1"/>
      <w:marLeft w:val="0"/>
      <w:marRight w:val="0"/>
      <w:marTop w:val="0"/>
      <w:marBottom w:val="0"/>
      <w:divBdr>
        <w:top w:val="none" w:sz="0" w:space="0" w:color="auto"/>
        <w:left w:val="none" w:sz="0" w:space="0" w:color="auto"/>
        <w:bottom w:val="none" w:sz="0" w:space="0" w:color="auto"/>
        <w:right w:val="none" w:sz="0" w:space="0" w:color="auto"/>
      </w:divBdr>
    </w:div>
    <w:div w:id="523599548">
      <w:bodyDiv w:val="1"/>
      <w:marLeft w:val="0"/>
      <w:marRight w:val="0"/>
      <w:marTop w:val="0"/>
      <w:marBottom w:val="0"/>
      <w:divBdr>
        <w:top w:val="none" w:sz="0" w:space="0" w:color="auto"/>
        <w:left w:val="none" w:sz="0" w:space="0" w:color="auto"/>
        <w:bottom w:val="none" w:sz="0" w:space="0" w:color="auto"/>
        <w:right w:val="none" w:sz="0" w:space="0" w:color="auto"/>
      </w:divBdr>
    </w:div>
    <w:div w:id="540365646">
      <w:bodyDiv w:val="1"/>
      <w:marLeft w:val="0"/>
      <w:marRight w:val="0"/>
      <w:marTop w:val="0"/>
      <w:marBottom w:val="0"/>
      <w:divBdr>
        <w:top w:val="none" w:sz="0" w:space="0" w:color="auto"/>
        <w:left w:val="none" w:sz="0" w:space="0" w:color="auto"/>
        <w:bottom w:val="none" w:sz="0" w:space="0" w:color="auto"/>
        <w:right w:val="none" w:sz="0" w:space="0" w:color="auto"/>
      </w:divBdr>
    </w:div>
    <w:div w:id="564880878">
      <w:bodyDiv w:val="1"/>
      <w:marLeft w:val="0"/>
      <w:marRight w:val="0"/>
      <w:marTop w:val="0"/>
      <w:marBottom w:val="0"/>
      <w:divBdr>
        <w:top w:val="none" w:sz="0" w:space="0" w:color="auto"/>
        <w:left w:val="none" w:sz="0" w:space="0" w:color="auto"/>
        <w:bottom w:val="none" w:sz="0" w:space="0" w:color="auto"/>
        <w:right w:val="none" w:sz="0" w:space="0" w:color="auto"/>
      </w:divBdr>
    </w:div>
    <w:div w:id="839852072">
      <w:bodyDiv w:val="1"/>
      <w:marLeft w:val="0"/>
      <w:marRight w:val="0"/>
      <w:marTop w:val="0"/>
      <w:marBottom w:val="0"/>
      <w:divBdr>
        <w:top w:val="none" w:sz="0" w:space="0" w:color="auto"/>
        <w:left w:val="none" w:sz="0" w:space="0" w:color="auto"/>
        <w:bottom w:val="none" w:sz="0" w:space="0" w:color="auto"/>
        <w:right w:val="none" w:sz="0" w:space="0" w:color="auto"/>
      </w:divBdr>
    </w:div>
    <w:div w:id="851605133">
      <w:bodyDiv w:val="1"/>
      <w:marLeft w:val="0"/>
      <w:marRight w:val="0"/>
      <w:marTop w:val="0"/>
      <w:marBottom w:val="0"/>
      <w:divBdr>
        <w:top w:val="none" w:sz="0" w:space="0" w:color="auto"/>
        <w:left w:val="none" w:sz="0" w:space="0" w:color="auto"/>
        <w:bottom w:val="none" w:sz="0" w:space="0" w:color="auto"/>
        <w:right w:val="none" w:sz="0" w:space="0" w:color="auto"/>
      </w:divBdr>
    </w:div>
    <w:div w:id="868446734">
      <w:bodyDiv w:val="1"/>
      <w:marLeft w:val="0"/>
      <w:marRight w:val="0"/>
      <w:marTop w:val="0"/>
      <w:marBottom w:val="0"/>
      <w:divBdr>
        <w:top w:val="none" w:sz="0" w:space="0" w:color="auto"/>
        <w:left w:val="none" w:sz="0" w:space="0" w:color="auto"/>
        <w:bottom w:val="none" w:sz="0" w:space="0" w:color="auto"/>
        <w:right w:val="none" w:sz="0" w:space="0" w:color="auto"/>
      </w:divBdr>
      <w:divsChild>
        <w:div w:id="489978726">
          <w:marLeft w:val="0"/>
          <w:marRight w:val="0"/>
          <w:marTop w:val="0"/>
          <w:marBottom w:val="0"/>
          <w:divBdr>
            <w:top w:val="none" w:sz="0" w:space="0" w:color="auto"/>
            <w:left w:val="none" w:sz="0" w:space="0" w:color="auto"/>
            <w:bottom w:val="none" w:sz="0" w:space="0" w:color="auto"/>
            <w:right w:val="none" w:sz="0" w:space="0" w:color="auto"/>
          </w:divBdr>
          <w:divsChild>
            <w:div w:id="1150561374">
              <w:marLeft w:val="0"/>
              <w:marRight w:val="0"/>
              <w:marTop w:val="0"/>
              <w:marBottom w:val="0"/>
              <w:divBdr>
                <w:top w:val="none" w:sz="0" w:space="0" w:color="auto"/>
                <w:left w:val="none" w:sz="0" w:space="0" w:color="auto"/>
                <w:bottom w:val="none" w:sz="0" w:space="0" w:color="auto"/>
                <w:right w:val="none" w:sz="0" w:space="0" w:color="auto"/>
              </w:divBdr>
              <w:divsChild>
                <w:div w:id="1154105168">
                  <w:marLeft w:val="0"/>
                  <w:marRight w:val="0"/>
                  <w:marTop w:val="0"/>
                  <w:marBottom w:val="0"/>
                  <w:divBdr>
                    <w:top w:val="none" w:sz="0" w:space="0" w:color="auto"/>
                    <w:left w:val="none" w:sz="0" w:space="0" w:color="auto"/>
                    <w:bottom w:val="none" w:sz="0" w:space="0" w:color="auto"/>
                    <w:right w:val="none" w:sz="0" w:space="0" w:color="auto"/>
                  </w:divBdr>
                  <w:divsChild>
                    <w:div w:id="991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6444">
      <w:bodyDiv w:val="1"/>
      <w:marLeft w:val="0"/>
      <w:marRight w:val="0"/>
      <w:marTop w:val="0"/>
      <w:marBottom w:val="0"/>
      <w:divBdr>
        <w:top w:val="none" w:sz="0" w:space="0" w:color="auto"/>
        <w:left w:val="none" w:sz="0" w:space="0" w:color="auto"/>
        <w:bottom w:val="none" w:sz="0" w:space="0" w:color="auto"/>
        <w:right w:val="none" w:sz="0" w:space="0" w:color="auto"/>
      </w:divBdr>
    </w:div>
    <w:div w:id="1012608114">
      <w:bodyDiv w:val="1"/>
      <w:marLeft w:val="0"/>
      <w:marRight w:val="0"/>
      <w:marTop w:val="0"/>
      <w:marBottom w:val="0"/>
      <w:divBdr>
        <w:top w:val="none" w:sz="0" w:space="0" w:color="auto"/>
        <w:left w:val="none" w:sz="0" w:space="0" w:color="auto"/>
        <w:bottom w:val="none" w:sz="0" w:space="0" w:color="auto"/>
        <w:right w:val="none" w:sz="0" w:space="0" w:color="auto"/>
      </w:divBdr>
    </w:div>
    <w:div w:id="1155805113">
      <w:bodyDiv w:val="1"/>
      <w:marLeft w:val="0"/>
      <w:marRight w:val="0"/>
      <w:marTop w:val="0"/>
      <w:marBottom w:val="0"/>
      <w:divBdr>
        <w:top w:val="none" w:sz="0" w:space="0" w:color="auto"/>
        <w:left w:val="none" w:sz="0" w:space="0" w:color="auto"/>
        <w:bottom w:val="none" w:sz="0" w:space="0" w:color="auto"/>
        <w:right w:val="none" w:sz="0" w:space="0" w:color="auto"/>
      </w:divBdr>
    </w:div>
    <w:div w:id="1336880681">
      <w:bodyDiv w:val="1"/>
      <w:marLeft w:val="0"/>
      <w:marRight w:val="0"/>
      <w:marTop w:val="0"/>
      <w:marBottom w:val="0"/>
      <w:divBdr>
        <w:top w:val="none" w:sz="0" w:space="0" w:color="auto"/>
        <w:left w:val="none" w:sz="0" w:space="0" w:color="auto"/>
        <w:bottom w:val="none" w:sz="0" w:space="0" w:color="auto"/>
        <w:right w:val="none" w:sz="0" w:space="0" w:color="auto"/>
      </w:divBdr>
    </w:div>
    <w:div w:id="1400907361">
      <w:bodyDiv w:val="1"/>
      <w:marLeft w:val="0"/>
      <w:marRight w:val="0"/>
      <w:marTop w:val="0"/>
      <w:marBottom w:val="0"/>
      <w:divBdr>
        <w:top w:val="none" w:sz="0" w:space="0" w:color="auto"/>
        <w:left w:val="none" w:sz="0" w:space="0" w:color="auto"/>
        <w:bottom w:val="none" w:sz="0" w:space="0" w:color="auto"/>
        <w:right w:val="none" w:sz="0" w:space="0" w:color="auto"/>
      </w:divBdr>
    </w:div>
    <w:div w:id="1568960081">
      <w:bodyDiv w:val="1"/>
      <w:marLeft w:val="0"/>
      <w:marRight w:val="0"/>
      <w:marTop w:val="0"/>
      <w:marBottom w:val="0"/>
      <w:divBdr>
        <w:top w:val="none" w:sz="0" w:space="0" w:color="auto"/>
        <w:left w:val="none" w:sz="0" w:space="0" w:color="auto"/>
        <w:bottom w:val="none" w:sz="0" w:space="0" w:color="auto"/>
        <w:right w:val="none" w:sz="0" w:space="0" w:color="auto"/>
      </w:divBdr>
    </w:div>
    <w:div w:id="1701392802">
      <w:bodyDiv w:val="1"/>
      <w:marLeft w:val="0"/>
      <w:marRight w:val="0"/>
      <w:marTop w:val="0"/>
      <w:marBottom w:val="0"/>
      <w:divBdr>
        <w:top w:val="none" w:sz="0" w:space="0" w:color="auto"/>
        <w:left w:val="none" w:sz="0" w:space="0" w:color="auto"/>
        <w:bottom w:val="none" w:sz="0" w:space="0" w:color="auto"/>
        <w:right w:val="none" w:sz="0" w:space="0" w:color="auto"/>
      </w:divBdr>
    </w:div>
    <w:div w:id="1724062177">
      <w:bodyDiv w:val="1"/>
      <w:marLeft w:val="0"/>
      <w:marRight w:val="0"/>
      <w:marTop w:val="0"/>
      <w:marBottom w:val="0"/>
      <w:divBdr>
        <w:top w:val="none" w:sz="0" w:space="0" w:color="auto"/>
        <w:left w:val="none" w:sz="0" w:space="0" w:color="auto"/>
        <w:bottom w:val="none" w:sz="0" w:space="0" w:color="auto"/>
        <w:right w:val="none" w:sz="0" w:space="0" w:color="auto"/>
      </w:divBdr>
    </w:div>
    <w:div w:id="1792746645">
      <w:bodyDiv w:val="1"/>
      <w:marLeft w:val="0"/>
      <w:marRight w:val="0"/>
      <w:marTop w:val="0"/>
      <w:marBottom w:val="0"/>
      <w:divBdr>
        <w:top w:val="none" w:sz="0" w:space="0" w:color="auto"/>
        <w:left w:val="none" w:sz="0" w:space="0" w:color="auto"/>
        <w:bottom w:val="none" w:sz="0" w:space="0" w:color="auto"/>
        <w:right w:val="none" w:sz="0" w:space="0" w:color="auto"/>
      </w:divBdr>
    </w:div>
    <w:div w:id="1801071482">
      <w:bodyDiv w:val="1"/>
      <w:marLeft w:val="0"/>
      <w:marRight w:val="0"/>
      <w:marTop w:val="0"/>
      <w:marBottom w:val="0"/>
      <w:divBdr>
        <w:top w:val="none" w:sz="0" w:space="0" w:color="auto"/>
        <w:left w:val="none" w:sz="0" w:space="0" w:color="auto"/>
        <w:bottom w:val="none" w:sz="0" w:space="0" w:color="auto"/>
        <w:right w:val="none" w:sz="0" w:space="0" w:color="auto"/>
      </w:divBdr>
    </w:div>
    <w:div w:id="1848326288">
      <w:bodyDiv w:val="1"/>
      <w:marLeft w:val="0"/>
      <w:marRight w:val="0"/>
      <w:marTop w:val="0"/>
      <w:marBottom w:val="0"/>
      <w:divBdr>
        <w:top w:val="none" w:sz="0" w:space="0" w:color="auto"/>
        <w:left w:val="none" w:sz="0" w:space="0" w:color="auto"/>
        <w:bottom w:val="none" w:sz="0" w:space="0" w:color="auto"/>
        <w:right w:val="none" w:sz="0" w:space="0" w:color="auto"/>
      </w:divBdr>
    </w:div>
    <w:div w:id="1899239004">
      <w:bodyDiv w:val="1"/>
      <w:marLeft w:val="0"/>
      <w:marRight w:val="0"/>
      <w:marTop w:val="0"/>
      <w:marBottom w:val="0"/>
      <w:divBdr>
        <w:top w:val="none" w:sz="0" w:space="0" w:color="auto"/>
        <w:left w:val="none" w:sz="0" w:space="0" w:color="auto"/>
        <w:bottom w:val="none" w:sz="0" w:space="0" w:color="auto"/>
        <w:right w:val="none" w:sz="0" w:space="0" w:color="auto"/>
      </w:divBdr>
    </w:div>
    <w:div w:id="20934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Major Components of UK GDP</a:t>
            </a:r>
          </a:p>
        </c:rich>
      </c:tx>
      <c:layout/>
      <c:overlay val="0"/>
    </c:title>
    <c:autoTitleDeleted val="0"/>
    <c:plotArea>
      <c:layout/>
      <c:lineChart>
        <c:grouping val="standard"/>
        <c:varyColors val="0"/>
        <c:ser>
          <c:idx val="0"/>
          <c:order val="0"/>
          <c:tx>
            <c:strRef>
              <c:f>Sheet1!$I$2</c:f>
              <c:strCache>
                <c:ptCount val="1"/>
                <c:pt idx="0">
                  <c:v>C%GDP</c:v>
                </c:pt>
              </c:strCache>
            </c:strRef>
          </c:tx>
          <c:marker>
            <c:symbol val="none"/>
          </c:marker>
          <c:cat>
            <c:strRef>
              <c:f>Sheet1!$A$3:$A$242</c:f>
              <c:strCache>
                <c:ptCount val="240"/>
                <c:pt idx="0">
                  <c:v>Q1 1955</c:v>
                </c:pt>
                <c:pt idx="1">
                  <c:v>Q2 1955</c:v>
                </c:pt>
                <c:pt idx="2">
                  <c:v>Q3 1955</c:v>
                </c:pt>
                <c:pt idx="3">
                  <c:v>Q4 1955</c:v>
                </c:pt>
                <c:pt idx="4">
                  <c:v>Q1 1956</c:v>
                </c:pt>
                <c:pt idx="5">
                  <c:v>Q2 1956</c:v>
                </c:pt>
                <c:pt idx="6">
                  <c:v>Q3 1956</c:v>
                </c:pt>
                <c:pt idx="7">
                  <c:v>Q4 1956</c:v>
                </c:pt>
                <c:pt idx="8">
                  <c:v>Q1 1957</c:v>
                </c:pt>
                <c:pt idx="9">
                  <c:v>Q2 1957</c:v>
                </c:pt>
                <c:pt idx="10">
                  <c:v>Q3 1957</c:v>
                </c:pt>
                <c:pt idx="11">
                  <c:v>Q4 1957</c:v>
                </c:pt>
                <c:pt idx="12">
                  <c:v>Q1 1958</c:v>
                </c:pt>
                <c:pt idx="13">
                  <c:v>Q2 1958</c:v>
                </c:pt>
                <c:pt idx="14">
                  <c:v>Q3 1958</c:v>
                </c:pt>
                <c:pt idx="15">
                  <c:v>Q4 1958</c:v>
                </c:pt>
                <c:pt idx="16">
                  <c:v>Q1 1959</c:v>
                </c:pt>
                <c:pt idx="17">
                  <c:v>Q2 1959</c:v>
                </c:pt>
                <c:pt idx="18">
                  <c:v>Q3 1959</c:v>
                </c:pt>
                <c:pt idx="19">
                  <c:v>Q4 1959</c:v>
                </c:pt>
                <c:pt idx="20">
                  <c:v>Q1 1960</c:v>
                </c:pt>
                <c:pt idx="21">
                  <c:v>Q2 1960</c:v>
                </c:pt>
                <c:pt idx="22">
                  <c:v>Q3 1960</c:v>
                </c:pt>
                <c:pt idx="23">
                  <c:v>Q4 1960</c:v>
                </c:pt>
                <c:pt idx="24">
                  <c:v>Q1 1961</c:v>
                </c:pt>
                <c:pt idx="25">
                  <c:v>Q2 1961</c:v>
                </c:pt>
                <c:pt idx="26">
                  <c:v>Q3 1961</c:v>
                </c:pt>
                <c:pt idx="27">
                  <c:v>Q4 1961</c:v>
                </c:pt>
                <c:pt idx="28">
                  <c:v>Q1 1962</c:v>
                </c:pt>
                <c:pt idx="29">
                  <c:v>Q2 1962</c:v>
                </c:pt>
                <c:pt idx="30">
                  <c:v>Q3 1962</c:v>
                </c:pt>
                <c:pt idx="31">
                  <c:v>Q4 1962</c:v>
                </c:pt>
                <c:pt idx="32">
                  <c:v>Q1 1963</c:v>
                </c:pt>
                <c:pt idx="33">
                  <c:v>Q2 1963</c:v>
                </c:pt>
                <c:pt idx="34">
                  <c:v>Q3 1963</c:v>
                </c:pt>
                <c:pt idx="35">
                  <c:v>Q4 1963</c:v>
                </c:pt>
                <c:pt idx="36">
                  <c:v>Q1 1964</c:v>
                </c:pt>
                <c:pt idx="37">
                  <c:v>Q2 1964</c:v>
                </c:pt>
                <c:pt idx="38">
                  <c:v>Q3 1964</c:v>
                </c:pt>
                <c:pt idx="39">
                  <c:v>Q4 1964</c:v>
                </c:pt>
                <c:pt idx="40">
                  <c:v>Q1 1965</c:v>
                </c:pt>
                <c:pt idx="41">
                  <c:v>Q2 1965</c:v>
                </c:pt>
                <c:pt idx="42">
                  <c:v>Q3 1965</c:v>
                </c:pt>
                <c:pt idx="43">
                  <c:v>Q4 1965</c:v>
                </c:pt>
                <c:pt idx="44">
                  <c:v>Q1 1966</c:v>
                </c:pt>
                <c:pt idx="45">
                  <c:v>Q2 1966</c:v>
                </c:pt>
                <c:pt idx="46">
                  <c:v>Q3 1966</c:v>
                </c:pt>
                <c:pt idx="47">
                  <c:v>Q4 1966</c:v>
                </c:pt>
                <c:pt idx="48">
                  <c:v>Q1 1967</c:v>
                </c:pt>
                <c:pt idx="49">
                  <c:v>Q2 1967</c:v>
                </c:pt>
                <c:pt idx="50">
                  <c:v>Q3 1967</c:v>
                </c:pt>
                <c:pt idx="51">
                  <c:v>Q4 1967</c:v>
                </c:pt>
                <c:pt idx="52">
                  <c:v>Q1 1968</c:v>
                </c:pt>
                <c:pt idx="53">
                  <c:v>Q2 1968</c:v>
                </c:pt>
                <c:pt idx="54">
                  <c:v>Q3 1968</c:v>
                </c:pt>
                <c:pt idx="55">
                  <c:v>Q4 1968</c:v>
                </c:pt>
                <c:pt idx="56">
                  <c:v>Q1 1969</c:v>
                </c:pt>
                <c:pt idx="57">
                  <c:v>Q2 1969</c:v>
                </c:pt>
                <c:pt idx="58">
                  <c:v>Q3 1969</c:v>
                </c:pt>
                <c:pt idx="59">
                  <c:v>Q4 1969</c:v>
                </c:pt>
                <c:pt idx="60">
                  <c:v>Q1 1970</c:v>
                </c:pt>
                <c:pt idx="61">
                  <c:v>Q2 1970</c:v>
                </c:pt>
                <c:pt idx="62">
                  <c:v>Q3 1970</c:v>
                </c:pt>
                <c:pt idx="63">
                  <c:v>Q4 1970</c:v>
                </c:pt>
                <c:pt idx="64">
                  <c:v>Q1 1971</c:v>
                </c:pt>
                <c:pt idx="65">
                  <c:v>Q2 1971</c:v>
                </c:pt>
                <c:pt idx="66">
                  <c:v>Q3 1971</c:v>
                </c:pt>
                <c:pt idx="67">
                  <c:v>Q4 1971</c:v>
                </c:pt>
                <c:pt idx="68">
                  <c:v>Q1 1972</c:v>
                </c:pt>
                <c:pt idx="69">
                  <c:v>Q2 1972</c:v>
                </c:pt>
                <c:pt idx="70">
                  <c:v>Q3 1972</c:v>
                </c:pt>
                <c:pt idx="71">
                  <c:v>Q4 1972</c:v>
                </c:pt>
                <c:pt idx="72">
                  <c:v>Q1 1973</c:v>
                </c:pt>
                <c:pt idx="73">
                  <c:v>Q2 1973</c:v>
                </c:pt>
                <c:pt idx="74">
                  <c:v>Q3 1973</c:v>
                </c:pt>
                <c:pt idx="75">
                  <c:v>Q4 1973</c:v>
                </c:pt>
                <c:pt idx="76">
                  <c:v>Q1 1974</c:v>
                </c:pt>
                <c:pt idx="77">
                  <c:v>Q2 1974</c:v>
                </c:pt>
                <c:pt idx="78">
                  <c:v>Q3 1974</c:v>
                </c:pt>
                <c:pt idx="79">
                  <c:v>Q4 1974</c:v>
                </c:pt>
                <c:pt idx="80">
                  <c:v>Q1 1975</c:v>
                </c:pt>
                <c:pt idx="81">
                  <c:v>Q2 1975</c:v>
                </c:pt>
                <c:pt idx="82">
                  <c:v>Q3 1975</c:v>
                </c:pt>
                <c:pt idx="83">
                  <c:v>Q4 1975</c:v>
                </c:pt>
                <c:pt idx="84">
                  <c:v>Q1 1976</c:v>
                </c:pt>
                <c:pt idx="85">
                  <c:v>Q2 1976</c:v>
                </c:pt>
                <c:pt idx="86">
                  <c:v>Q3 1976</c:v>
                </c:pt>
                <c:pt idx="87">
                  <c:v>Q4 1976</c:v>
                </c:pt>
                <c:pt idx="88">
                  <c:v>Q1 1977</c:v>
                </c:pt>
                <c:pt idx="89">
                  <c:v>Q2 1977</c:v>
                </c:pt>
                <c:pt idx="90">
                  <c:v>Q3 1977</c:v>
                </c:pt>
                <c:pt idx="91">
                  <c:v>Q4 1977</c:v>
                </c:pt>
                <c:pt idx="92">
                  <c:v>Q1 1978</c:v>
                </c:pt>
                <c:pt idx="93">
                  <c:v>Q2 1978</c:v>
                </c:pt>
                <c:pt idx="94">
                  <c:v>Q3 1978</c:v>
                </c:pt>
                <c:pt idx="95">
                  <c:v>Q4 1978</c:v>
                </c:pt>
                <c:pt idx="96">
                  <c:v>Q1 1979</c:v>
                </c:pt>
                <c:pt idx="97">
                  <c:v>Q2 1979</c:v>
                </c:pt>
                <c:pt idx="98">
                  <c:v>Q3 1979</c:v>
                </c:pt>
                <c:pt idx="99">
                  <c:v>Q4 1979</c:v>
                </c:pt>
                <c:pt idx="100">
                  <c:v>Q1 1980</c:v>
                </c:pt>
                <c:pt idx="101">
                  <c:v>Q2 1980</c:v>
                </c:pt>
                <c:pt idx="102">
                  <c:v>Q3 1980</c:v>
                </c:pt>
                <c:pt idx="103">
                  <c:v>Q4 1980</c:v>
                </c:pt>
                <c:pt idx="104">
                  <c:v>Q1 1981</c:v>
                </c:pt>
                <c:pt idx="105">
                  <c:v>Q2 1981</c:v>
                </c:pt>
                <c:pt idx="106">
                  <c:v>Q3 1981</c:v>
                </c:pt>
                <c:pt idx="107">
                  <c:v>Q4 1981</c:v>
                </c:pt>
                <c:pt idx="108">
                  <c:v>Q1 1982</c:v>
                </c:pt>
                <c:pt idx="109">
                  <c:v>Q2 1982</c:v>
                </c:pt>
                <c:pt idx="110">
                  <c:v>Q3 1982</c:v>
                </c:pt>
                <c:pt idx="111">
                  <c:v>Q4 1982</c:v>
                </c:pt>
                <c:pt idx="112">
                  <c:v>Q1 1983</c:v>
                </c:pt>
                <c:pt idx="113">
                  <c:v>Q2 1983</c:v>
                </c:pt>
                <c:pt idx="114">
                  <c:v>Q3 1983</c:v>
                </c:pt>
                <c:pt idx="115">
                  <c:v>Q4 1983</c:v>
                </c:pt>
                <c:pt idx="116">
                  <c:v>Q1 1984</c:v>
                </c:pt>
                <c:pt idx="117">
                  <c:v>Q2 1984</c:v>
                </c:pt>
                <c:pt idx="118">
                  <c:v>Q3 1984</c:v>
                </c:pt>
                <c:pt idx="119">
                  <c:v>Q4 1984</c:v>
                </c:pt>
                <c:pt idx="120">
                  <c:v>Q1 1985</c:v>
                </c:pt>
                <c:pt idx="121">
                  <c:v>Q2 1985</c:v>
                </c:pt>
                <c:pt idx="122">
                  <c:v>Q3 1985</c:v>
                </c:pt>
                <c:pt idx="123">
                  <c:v>Q4 1985</c:v>
                </c:pt>
                <c:pt idx="124">
                  <c:v>Q1 1986</c:v>
                </c:pt>
                <c:pt idx="125">
                  <c:v>Q2 1986</c:v>
                </c:pt>
                <c:pt idx="126">
                  <c:v>Q3 1986</c:v>
                </c:pt>
                <c:pt idx="127">
                  <c:v>Q4 1986</c:v>
                </c:pt>
                <c:pt idx="128">
                  <c:v>Q1 1987</c:v>
                </c:pt>
                <c:pt idx="129">
                  <c:v>Q2 1987</c:v>
                </c:pt>
                <c:pt idx="130">
                  <c:v>Q3 1987</c:v>
                </c:pt>
                <c:pt idx="131">
                  <c:v>Q4 1987</c:v>
                </c:pt>
                <c:pt idx="132">
                  <c:v>Q1 1988</c:v>
                </c:pt>
                <c:pt idx="133">
                  <c:v>Q2 1988</c:v>
                </c:pt>
                <c:pt idx="134">
                  <c:v>Q3 1988</c:v>
                </c:pt>
                <c:pt idx="135">
                  <c:v>Q4 1988</c:v>
                </c:pt>
                <c:pt idx="136">
                  <c:v>Q1 1989</c:v>
                </c:pt>
                <c:pt idx="137">
                  <c:v>Q2 1989</c:v>
                </c:pt>
                <c:pt idx="138">
                  <c:v>Q3 1989</c:v>
                </c:pt>
                <c:pt idx="139">
                  <c:v>Q4 1989</c:v>
                </c:pt>
                <c:pt idx="140">
                  <c:v>Q1 1990</c:v>
                </c:pt>
                <c:pt idx="141">
                  <c:v>Q2 1990</c:v>
                </c:pt>
                <c:pt idx="142">
                  <c:v>Q3 1990</c:v>
                </c:pt>
                <c:pt idx="143">
                  <c:v>Q4 1990</c:v>
                </c:pt>
                <c:pt idx="144">
                  <c:v>Q1 1991</c:v>
                </c:pt>
                <c:pt idx="145">
                  <c:v>Q2 1991</c:v>
                </c:pt>
                <c:pt idx="146">
                  <c:v>Q3 1991</c:v>
                </c:pt>
                <c:pt idx="147">
                  <c:v>Q4 1991</c:v>
                </c:pt>
                <c:pt idx="148">
                  <c:v>Q1 1992</c:v>
                </c:pt>
                <c:pt idx="149">
                  <c:v>Q2 1992</c:v>
                </c:pt>
                <c:pt idx="150">
                  <c:v>Q3 1992</c:v>
                </c:pt>
                <c:pt idx="151">
                  <c:v>Q4 1992</c:v>
                </c:pt>
                <c:pt idx="152">
                  <c:v>Q1 1993</c:v>
                </c:pt>
                <c:pt idx="153">
                  <c:v>Q2 1993</c:v>
                </c:pt>
                <c:pt idx="154">
                  <c:v>Q3 1993</c:v>
                </c:pt>
                <c:pt idx="155">
                  <c:v>Q4 1993</c:v>
                </c:pt>
                <c:pt idx="156">
                  <c:v>Q1 1994</c:v>
                </c:pt>
                <c:pt idx="157">
                  <c:v>Q2 1994</c:v>
                </c:pt>
                <c:pt idx="158">
                  <c:v>Q3 1994</c:v>
                </c:pt>
                <c:pt idx="159">
                  <c:v>Q4 1994</c:v>
                </c:pt>
                <c:pt idx="160">
                  <c:v>Q1 1995</c:v>
                </c:pt>
                <c:pt idx="161">
                  <c:v>Q2 1995</c:v>
                </c:pt>
                <c:pt idx="162">
                  <c:v>Q3 1995</c:v>
                </c:pt>
                <c:pt idx="163">
                  <c:v>Q4 1995</c:v>
                </c:pt>
                <c:pt idx="164">
                  <c:v>Q1 1996</c:v>
                </c:pt>
                <c:pt idx="165">
                  <c:v>Q2 1996</c:v>
                </c:pt>
                <c:pt idx="166">
                  <c:v>Q3 1996</c:v>
                </c:pt>
                <c:pt idx="167">
                  <c:v>Q4 1996</c:v>
                </c:pt>
                <c:pt idx="168">
                  <c:v>Q1 1997</c:v>
                </c:pt>
                <c:pt idx="169">
                  <c:v>Q2 1997</c:v>
                </c:pt>
                <c:pt idx="170">
                  <c:v>Q3 1997</c:v>
                </c:pt>
                <c:pt idx="171">
                  <c:v>Q4 1997</c:v>
                </c:pt>
                <c:pt idx="172">
                  <c:v>Q1 1998</c:v>
                </c:pt>
                <c:pt idx="173">
                  <c:v>Q2 1998</c:v>
                </c:pt>
                <c:pt idx="174">
                  <c:v>Q3 1998</c:v>
                </c:pt>
                <c:pt idx="175">
                  <c:v>Q4 1998</c:v>
                </c:pt>
                <c:pt idx="176">
                  <c:v>Q1 1999</c:v>
                </c:pt>
                <c:pt idx="177">
                  <c:v>Q2 1999</c:v>
                </c:pt>
                <c:pt idx="178">
                  <c:v>Q3 1999</c:v>
                </c:pt>
                <c:pt idx="179">
                  <c:v>Q4 1999</c:v>
                </c:pt>
                <c:pt idx="180">
                  <c:v>Q1 2000</c:v>
                </c:pt>
                <c:pt idx="181">
                  <c:v>Q2 2000</c:v>
                </c:pt>
                <c:pt idx="182">
                  <c:v>Q3 2000</c:v>
                </c:pt>
                <c:pt idx="183">
                  <c:v>Q4 2000</c:v>
                </c:pt>
                <c:pt idx="184">
                  <c:v>Q1 2001</c:v>
                </c:pt>
                <c:pt idx="185">
                  <c:v>Q2 2001</c:v>
                </c:pt>
                <c:pt idx="186">
                  <c:v>Q3 2001</c:v>
                </c:pt>
                <c:pt idx="187">
                  <c:v>Q4 2001</c:v>
                </c:pt>
                <c:pt idx="188">
                  <c:v>Q1 2002</c:v>
                </c:pt>
                <c:pt idx="189">
                  <c:v>Q2 2002</c:v>
                </c:pt>
                <c:pt idx="190">
                  <c:v>Q3 2002</c:v>
                </c:pt>
                <c:pt idx="191">
                  <c:v>Q4 2002</c:v>
                </c:pt>
                <c:pt idx="192">
                  <c:v>Q1 2003</c:v>
                </c:pt>
                <c:pt idx="193">
                  <c:v>Q2 2003</c:v>
                </c:pt>
                <c:pt idx="194">
                  <c:v>Q3 2003</c:v>
                </c:pt>
                <c:pt idx="195">
                  <c:v>Q4 2003</c:v>
                </c:pt>
                <c:pt idx="196">
                  <c:v>Q1 2004</c:v>
                </c:pt>
                <c:pt idx="197">
                  <c:v>Q2 2004</c:v>
                </c:pt>
                <c:pt idx="198">
                  <c:v>Q3 2004</c:v>
                </c:pt>
                <c:pt idx="199">
                  <c:v>Q4 2004</c:v>
                </c:pt>
                <c:pt idx="200">
                  <c:v>Q1 2005</c:v>
                </c:pt>
                <c:pt idx="201">
                  <c:v>Q2 2005</c:v>
                </c:pt>
                <c:pt idx="202">
                  <c:v>Q3 2005</c:v>
                </c:pt>
                <c:pt idx="203">
                  <c:v>Q4 2005</c:v>
                </c:pt>
                <c:pt idx="204">
                  <c:v>Q1 2006</c:v>
                </c:pt>
                <c:pt idx="205">
                  <c:v>Q2 2006</c:v>
                </c:pt>
                <c:pt idx="206">
                  <c:v>Q3 2006</c:v>
                </c:pt>
                <c:pt idx="207">
                  <c:v>Q4 2006</c:v>
                </c:pt>
                <c:pt idx="208">
                  <c:v>Q1 2007</c:v>
                </c:pt>
                <c:pt idx="209">
                  <c:v>Q2 2007</c:v>
                </c:pt>
                <c:pt idx="210">
                  <c:v>Q3 2007</c:v>
                </c:pt>
                <c:pt idx="211">
                  <c:v>Q4 2007</c:v>
                </c:pt>
                <c:pt idx="212">
                  <c:v>Q1 2008</c:v>
                </c:pt>
                <c:pt idx="213">
                  <c:v>Q2 2008</c:v>
                </c:pt>
                <c:pt idx="214">
                  <c:v>Q3 2008</c:v>
                </c:pt>
                <c:pt idx="215">
                  <c:v>Q4 2008</c:v>
                </c:pt>
                <c:pt idx="216">
                  <c:v>Q1 2009</c:v>
                </c:pt>
                <c:pt idx="217">
                  <c:v>Q2 2009</c:v>
                </c:pt>
                <c:pt idx="218">
                  <c:v>Q3 2009</c:v>
                </c:pt>
                <c:pt idx="219">
                  <c:v>Q4 2009</c:v>
                </c:pt>
                <c:pt idx="220">
                  <c:v>Q1 2010</c:v>
                </c:pt>
                <c:pt idx="221">
                  <c:v>Q2 2010</c:v>
                </c:pt>
                <c:pt idx="222">
                  <c:v>Q3 2010</c:v>
                </c:pt>
                <c:pt idx="223">
                  <c:v>Q4 2010</c:v>
                </c:pt>
                <c:pt idx="224">
                  <c:v>Q1 2011</c:v>
                </c:pt>
                <c:pt idx="225">
                  <c:v>Q2 2011</c:v>
                </c:pt>
                <c:pt idx="226">
                  <c:v>Q3 2011</c:v>
                </c:pt>
                <c:pt idx="227">
                  <c:v>Q4 2011</c:v>
                </c:pt>
                <c:pt idx="228">
                  <c:v>Q1 2012</c:v>
                </c:pt>
                <c:pt idx="229">
                  <c:v>Q2 2012</c:v>
                </c:pt>
                <c:pt idx="230">
                  <c:v>Q3 2012</c:v>
                </c:pt>
                <c:pt idx="231">
                  <c:v>Q4 2012</c:v>
                </c:pt>
                <c:pt idx="232">
                  <c:v>Q1 2013</c:v>
                </c:pt>
                <c:pt idx="233">
                  <c:v>Q2 2013</c:v>
                </c:pt>
                <c:pt idx="234">
                  <c:v>Q3 2013</c:v>
                </c:pt>
                <c:pt idx="235">
                  <c:v>Q4 2013</c:v>
                </c:pt>
                <c:pt idx="236">
                  <c:v>Q1 2014</c:v>
                </c:pt>
                <c:pt idx="237">
                  <c:v>Q2 2014</c:v>
                </c:pt>
                <c:pt idx="238">
                  <c:v>Q3 2014</c:v>
                </c:pt>
                <c:pt idx="239">
                  <c:v>Q4 2014</c:v>
                </c:pt>
              </c:strCache>
            </c:strRef>
          </c:cat>
          <c:val>
            <c:numRef>
              <c:f>Sheet1!$I$3:$I$242</c:f>
              <c:numCache>
                <c:formatCode>0.00%</c:formatCode>
                <c:ptCount val="240"/>
                <c:pt idx="0">
                  <c:v>0.58445161100600884</c:v>
                </c:pt>
                <c:pt idx="1">
                  <c:v>0.58606408913343577</c:v>
                </c:pt>
                <c:pt idx="2">
                  <c:v>0.57812889733110762</c:v>
                </c:pt>
                <c:pt idx="3">
                  <c:v>0.57620710276046994</c:v>
                </c:pt>
                <c:pt idx="4">
                  <c:v>0.5682609649750503</c:v>
                </c:pt>
                <c:pt idx="5">
                  <c:v>0.56737195360977521</c:v>
                </c:pt>
                <c:pt idx="6">
                  <c:v>0.56794861977870514</c:v>
                </c:pt>
                <c:pt idx="7">
                  <c:v>0.56543160462767073</c:v>
                </c:pt>
                <c:pt idx="8">
                  <c:v>0.55656709163644524</c:v>
                </c:pt>
                <c:pt idx="9">
                  <c:v>0.5599611254917719</c:v>
                </c:pt>
                <c:pt idx="10">
                  <c:v>0.56820234019338578</c:v>
                </c:pt>
                <c:pt idx="11">
                  <c:v>0.57052335132597987</c:v>
                </c:pt>
                <c:pt idx="12">
                  <c:v>0.56071405578905742</c:v>
                </c:pt>
                <c:pt idx="13">
                  <c:v>0.57297088694571774</c:v>
                </c:pt>
                <c:pt idx="14">
                  <c:v>0.56508486126587409</c:v>
                </c:pt>
                <c:pt idx="15">
                  <c:v>0.57427993006349498</c:v>
                </c:pt>
                <c:pt idx="16">
                  <c:v>0.57146387449889258</c:v>
                </c:pt>
                <c:pt idx="17">
                  <c:v>0.57171677143937893</c:v>
                </c:pt>
                <c:pt idx="18">
                  <c:v>0.56113090408832766</c:v>
                </c:pt>
                <c:pt idx="19">
                  <c:v>0.56300461732917173</c:v>
                </c:pt>
                <c:pt idx="20">
                  <c:v>0.55371019990265025</c:v>
                </c:pt>
                <c:pt idx="21">
                  <c:v>0.55625105735070213</c:v>
                </c:pt>
                <c:pt idx="22">
                  <c:v>0.55015030519031716</c:v>
                </c:pt>
                <c:pt idx="23">
                  <c:v>0.54605649773628318</c:v>
                </c:pt>
                <c:pt idx="24">
                  <c:v>0.5467576680620938</c:v>
                </c:pt>
                <c:pt idx="25">
                  <c:v>0.54423324977487897</c:v>
                </c:pt>
                <c:pt idx="26">
                  <c:v>0.54872668857485341</c:v>
                </c:pt>
                <c:pt idx="27">
                  <c:v>0.54957847269875504</c:v>
                </c:pt>
                <c:pt idx="28">
                  <c:v>0.55165405159307646</c:v>
                </c:pt>
                <c:pt idx="29">
                  <c:v>0.55507143662516312</c:v>
                </c:pt>
                <c:pt idx="30">
                  <c:v>0.54826727719562274</c:v>
                </c:pt>
                <c:pt idx="31">
                  <c:v>0.55746849279835387</c:v>
                </c:pt>
                <c:pt idx="32">
                  <c:v>0.56358665675435859</c:v>
                </c:pt>
                <c:pt idx="33">
                  <c:v>0.55662611815025176</c:v>
                </c:pt>
                <c:pt idx="34">
                  <c:v>0.55904634751096705</c:v>
                </c:pt>
                <c:pt idx="35">
                  <c:v>0.54457254504235775</c:v>
                </c:pt>
                <c:pt idx="36">
                  <c:v>0.5481003084588919</c:v>
                </c:pt>
                <c:pt idx="37">
                  <c:v>0.54023231410499317</c:v>
                </c:pt>
                <c:pt idx="38">
                  <c:v>0.54155655582982432</c:v>
                </c:pt>
                <c:pt idx="39">
                  <c:v>0.54026538549531</c:v>
                </c:pt>
                <c:pt idx="40">
                  <c:v>0.53987941182796473</c:v>
                </c:pt>
                <c:pt idx="41">
                  <c:v>0.53878167934556809</c:v>
                </c:pt>
                <c:pt idx="42">
                  <c:v>0.54049465848391864</c:v>
                </c:pt>
                <c:pt idx="43">
                  <c:v>0.53853158552338998</c:v>
                </c:pt>
                <c:pt idx="44">
                  <c:v>0.54523091237171539</c:v>
                </c:pt>
                <c:pt idx="45">
                  <c:v>0.54670666657320899</c:v>
                </c:pt>
                <c:pt idx="46">
                  <c:v>0.53590160843116852</c:v>
                </c:pt>
                <c:pt idx="47">
                  <c:v>0.53888775889519347</c:v>
                </c:pt>
                <c:pt idx="48">
                  <c:v>0.5362816184203244</c:v>
                </c:pt>
                <c:pt idx="49">
                  <c:v>0.53652860525902724</c:v>
                </c:pt>
                <c:pt idx="50">
                  <c:v>0.54482519667921248</c:v>
                </c:pt>
                <c:pt idx="51">
                  <c:v>0.54645174371451744</c:v>
                </c:pt>
                <c:pt idx="52">
                  <c:v>0.54293334376670965</c:v>
                </c:pt>
                <c:pt idx="53">
                  <c:v>0.52521913315571378</c:v>
                </c:pt>
                <c:pt idx="54">
                  <c:v>0.52408486497587026</c:v>
                </c:pt>
                <c:pt idx="55">
                  <c:v>0.52230947649565818</c:v>
                </c:pt>
                <c:pt idx="56">
                  <c:v>0.5232653479553141</c:v>
                </c:pt>
                <c:pt idx="57">
                  <c:v>0.5242323250311649</c:v>
                </c:pt>
                <c:pt idx="58">
                  <c:v>0.5218419438666152</c:v>
                </c:pt>
                <c:pt idx="59">
                  <c:v>0.52301876348448539</c:v>
                </c:pt>
                <c:pt idx="60">
                  <c:v>0.52888196397355025</c:v>
                </c:pt>
                <c:pt idx="61">
                  <c:v>0.52460223195506395</c:v>
                </c:pt>
                <c:pt idx="62">
                  <c:v>0.5271923215915425</c:v>
                </c:pt>
                <c:pt idx="63">
                  <c:v>0.51983662173562095</c:v>
                </c:pt>
                <c:pt idx="64">
                  <c:v>0.52155962182102455</c:v>
                </c:pt>
                <c:pt idx="65">
                  <c:v>0.5238886954851566</c:v>
                </c:pt>
                <c:pt idx="66">
                  <c:v>0.52316420163706268</c:v>
                </c:pt>
                <c:pt idx="67">
                  <c:v>0.5256951829243216</c:v>
                </c:pt>
                <c:pt idx="68">
                  <c:v>0.53290980189532278</c:v>
                </c:pt>
                <c:pt idx="69">
                  <c:v>0.53165179592770528</c:v>
                </c:pt>
                <c:pt idx="70">
                  <c:v>0.53779527559055118</c:v>
                </c:pt>
                <c:pt idx="71">
                  <c:v>0.53463984002875886</c:v>
                </c:pt>
                <c:pt idx="72">
                  <c:v>0.52826152068803223</c:v>
                </c:pt>
                <c:pt idx="73">
                  <c:v>0.52365667775754243</c:v>
                </c:pt>
                <c:pt idx="74">
                  <c:v>0.53364806172273327</c:v>
                </c:pt>
                <c:pt idx="75">
                  <c:v>0.53107966059450151</c:v>
                </c:pt>
                <c:pt idx="76">
                  <c:v>0.53667951517312062</c:v>
                </c:pt>
                <c:pt idx="77">
                  <c:v>0.53100683671508198</c:v>
                </c:pt>
                <c:pt idx="78">
                  <c:v>0.53334315619440531</c:v>
                </c:pt>
                <c:pt idx="79">
                  <c:v>0.54247768487890824</c:v>
                </c:pt>
                <c:pt idx="80">
                  <c:v>0.5399190489637492</c:v>
                </c:pt>
                <c:pt idx="81">
                  <c:v>0.55021435532846219</c:v>
                </c:pt>
                <c:pt idx="82">
                  <c:v>0.54672160333689401</c:v>
                </c:pt>
                <c:pt idx="83">
                  <c:v>0.53588898816171548</c:v>
                </c:pt>
                <c:pt idx="84">
                  <c:v>0.53044610339315434</c:v>
                </c:pt>
                <c:pt idx="85">
                  <c:v>0.53500597240035452</c:v>
                </c:pt>
                <c:pt idx="86">
                  <c:v>0.5329456521739131</c:v>
                </c:pt>
                <c:pt idx="87">
                  <c:v>0.52245568691268207</c:v>
                </c:pt>
                <c:pt idx="88">
                  <c:v>0.51292668147848919</c:v>
                </c:pt>
                <c:pt idx="89">
                  <c:v>0.51322889981120667</c:v>
                </c:pt>
                <c:pt idx="90">
                  <c:v>0.51560574512386859</c:v>
                </c:pt>
                <c:pt idx="91">
                  <c:v>0.51711999665747477</c:v>
                </c:pt>
                <c:pt idx="92">
                  <c:v>0.52348548061923095</c:v>
                </c:pt>
                <c:pt idx="93">
                  <c:v>0.51962465637014243</c:v>
                </c:pt>
                <c:pt idx="94">
                  <c:v>0.52312302297142976</c:v>
                </c:pt>
                <c:pt idx="95">
                  <c:v>0.51563977722512178</c:v>
                </c:pt>
                <c:pt idx="96">
                  <c:v>0.52382317297006453</c:v>
                </c:pt>
                <c:pt idx="97">
                  <c:v>0.53135281734581308</c:v>
                </c:pt>
                <c:pt idx="98">
                  <c:v>0.52292548479181022</c:v>
                </c:pt>
                <c:pt idx="99">
                  <c:v>0.5226936190940088</c:v>
                </c:pt>
                <c:pt idx="100">
                  <c:v>0.53650355849976605</c:v>
                </c:pt>
                <c:pt idx="101">
                  <c:v>0.53428242752440136</c:v>
                </c:pt>
                <c:pt idx="102">
                  <c:v>0.54167967530440209</c:v>
                </c:pt>
                <c:pt idx="103">
                  <c:v>0.53813789980820403</c:v>
                </c:pt>
                <c:pt idx="104">
                  <c:v>0.54697336067664493</c:v>
                </c:pt>
                <c:pt idx="105">
                  <c:v>0.54754552068335716</c:v>
                </c:pt>
                <c:pt idx="106">
                  <c:v>0.54324539081280609</c:v>
                </c:pt>
                <c:pt idx="107">
                  <c:v>0.54165138720745065</c:v>
                </c:pt>
                <c:pt idx="108">
                  <c:v>0.53829562041964918</c:v>
                </c:pt>
                <c:pt idx="109">
                  <c:v>0.53638098069823337</c:v>
                </c:pt>
                <c:pt idx="110">
                  <c:v>0.54398330192552147</c:v>
                </c:pt>
                <c:pt idx="111">
                  <c:v>0.54568899455720821</c:v>
                </c:pt>
                <c:pt idx="112">
                  <c:v>0.54096745686428849</c:v>
                </c:pt>
                <c:pt idx="113">
                  <c:v>0.54251729172151353</c:v>
                </c:pt>
                <c:pt idx="114">
                  <c:v>0.54530916592148904</c:v>
                </c:pt>
                <c:pt idx="115">
                  <c:v>0.5399422837279465</c:v>
                </c:pt>
                <c:pt idx="116">
                  <c:v>0.53986880737354592</c:v>
                </c:pt>
                <c:pt idx="117">
                  <c:v>0.54739319826135069</c:v>
                </c:pt>
                <c:pt idx="118">
                  <c:v>0.54312128899041856</c:v>
                </c:pt>
                <c:pt idx="119">
                  <c:v>0.54562572221736272</c:v>
                </c:pt>
                <c:pt idx="120">
                  <c:v>0.54721592615855152</c:v>
                </c:pt>
                <c:pt idx="121">
                  <c:v>0.54061146713599251</c:v>
                </c:pt>
                <c:pt idx="122">
                  <c:v>0.54802404227567936</c:v>
                </c:pt>
                <c:pt idx="123">
                  <c:v>0.55564378697168959</c:v>
                </c:pt>
                <c:pt idx="124">
                  <c:v>0.56309944472488638</c:v>
                </c:pt>
                <c:pt idx="125">
                  <c:v>0.56635331514814502</c:v>
                </c:pt>
                <c:pt idx="126">
                  <c:v>0.56623377753035731</c:v>
                </c:pt>
                <c:pt idx="127">
                  <c:v>0.56159342957884761</c:v>
                </c:pt>
                <c:pt idx="128">
                  <c:v>0.56161605899360367</c:v>
                </c:pt>
                <c:pt idx="129">
                  <c:v>0.56286090060750293</c:v>
                </c:pt>
                <c:pt idx="130">
                  <c:v>0.56367274742831064</c:v>
                </c:pt>
                <c:pt idx="131">
                  <c:v>0.56534839317795482</c:v>
                </c:pt>
                <c:pt idx="132">
                  <c:v>0.56768179140590103</c:v>
                </c:pt>
                <c:pt idx="133">
                  <c:v>0.57151722485595224</c:v>
                </c:pt>
                <c:pt idx="134">
                  <c:v>0.57857811400150061</c:v>
                </c:pt>
                <c:pt idx="135">
                  <c:v>0.57830211832558709</c:v>
                </c:pt>
                <c:pt idx="136">
                  <c:v>0.57912284319791019</c:v>
                </c:pt>
                <c:pt idx="137">
                  <c:v>0.58133154215715299</c:v>
                </c:pt>
                <c:pt idx="138">
                  <c:v>0.58313831542455752</c:v>
                </c:pt>
                <c:pt idx="139">
                  <c:v>0.58398143478475195</c:v>
                </c:pt>
                <c:pt idx="140">
                  <c:v>0.57928334294252193</c:v>
                </c:pt>
                <c:pt idx="141">
                  <c:v>0.58242075576423991</c:v>
                </c:pt>
                <c:pt idx="142">
                  <c:v>0.58721900312471564</c:v>
                </c:pt>
                <c:pt idx="143">
                  <c:v>0.58775246035825102</c:v>
                </c:pt>
                <c:pt idx="144">
                  <c:v>0.58823394618046276</c:v>
                </c:pt>
                <c:pt idx="145">
                  <c:v>0.58607645290351207</c:v>
                </c:pt>
                <c:pt idx="146">
                  <c:v>0.58816085651068528</c:v>
                </c:pt>
                <c:pt idx="147">
                  <c:v>0.58845123258306542</c:v>
                </c:pt>
                <c:pt idx="148">
                  <c:v>0.58672028651672492</c:v>
                </c:pt>
                <c:pt idx="149">
                  <c:v>0.59480899539198751</c:v>
                </c:pt>
                <c:pt idx="150">
                  <c:v>0.59493714233532202</c:v>
                </c:pt>
                <c:pt idx="151">
                  <c:v>0.5891471696972902</c:v>
                </c:pt>
                <c:pt idx="152">
                  <c:v>0.59477736709126483</c:v>
                </c:pt>
                <c:pt idx="153">
                  <c:v>0.5937989410097696</c:v>
                </c:pt>
                <c:pt idx="154">
                  <c:v>0.59794836142564478</c:v>
                </c:pt>
                <c:pt idx="155">
                  <c:v>0.59819229117181683</c:v>
                </c:pt>
                <c:pt idx="156">
                  <c:v>0.59827216171928244</c:v>
                </c:pt>
                <c:pt idx="157">
                  <c:v>0.59309391077544815</c:v>
                </c:pt>
                <c:pt idx="158">
                  <c:v>0.59128485209112547</c:v>
                </c:pt>
                <c:pt idx="159">
                  <c:v>0.59074478579481393</c:v>
                </c:pt>
                <c:pt idx="160">
                  <c:v>0.59049245178947218</c:v>
                </c:pt>
                <c:pt idx="161">
                  <c:v>0.59165147278574703</c:v>
                </c:pt>
                <c:pt idx="162">
                  <c:v>0.5894510181332262</c:v>
                </c:pt>
                <c:pt idx="163">
                  <c:v>0.59292602507519454</c:v>
                </c:pt>
                <c:pt idx="164">
                  <c:v>0.59476071455326796</c:v>
                </c:pt>
                <c:pt idx="165">
                  <c:v>0.59534788957180207</c:v>
                </c:pt>
                <c:pt idx="166">
                  <c:v>0.60028559730103781</c:v>
                </c:pt>
                <c:pt idx="167">
                  <c:v>0.60654559927683371</c:v>
                </c:pt>
                <c:pt idx="168">
                  <c:v>0.6169031482768228</c:v>
                </c:pt>
                <c:pt idx="169">
                  <c:v>0.61604351548862002</c:v>
                </c:pt>
                <c:pt idx="170">
                  <c:v>0.61538436192296286</c:v>
                </c:pt>
                <c:pt idx="171">
                  <c:v>0.61149369228768369</c:v>
                </c:pt>
                <c:pt idx="172">
                  <c:v>0.61616001705883683</c:v>
                </c:pt>
                <c:pt idx="173">
                  <c:v>0.61949226728917417</c:v>
                </c:pt>
                <c:pt idx="174">
                  <c:v>0.62427968341091</c:v>
                </c:pt>
                <c:pt idx="175">
                  <c:v>0.61888778581446291</c:v>
                </c:pt>
                <c:pt idx="176">
                  <c:v>0.62610804062658798</c:v>
                </c:pt>
                <c:pt idx="177">
                  <c:v>0.63010076354988109</c:v>
                </c:pt>
                <c:pt idx="178">
                  <c:v>0.63059670471445683</c:v>
                </c:pt>
                <c:pt idx="179">
                  <c:v>0.63240061863626562</c:v>
                </c:pt>
                <c:pt idx="180">
                  <c:v>0.63827336831501558</c:v>
                </c:pt>
                <c:pt idx="181">
                  <c:v>0.63353236207308339</c:v>
                </c:pt>
                <c:pt idx="182">
                  <c:v>0.63858593008765063</c:v>
                </c:pt>
                <c:pt idx="183">
                  <c:v>0.64147670153108882</c:v>
                </c:pt>
                <c:pt idx="184">
                  <c:v>0.63828271158210814</c:v>
                </c:pt>
                <c:pt idx="185">
                  <c:v>0.64043452829584702</c:v>
                </c:pt>
                <c:pt idx="186">
                  <c:v>0.64818738638600393</c:v>
                </c:pt>
                <c:pt idx="187">
                  <c:v>0.65277048357216649</c:v>
                </c:pt>
                <c:pt idx="188">
                  <c:v>0.65632908665239931</c:v>
                </c:pt>
                <c:pt idx="189">
                  <c:v>0.65541714865319189</c:v>
                </c:pt>
                <c:pt idx="190">
                  <c:v>0.65405385558298357</c:v>
                </c:pt>
                <c:pt idx="191">
                  <c:v>0.65303986162346128</c:v>
                </c:pt>
                <c:pt idx="192">
                  <c:v>0.65130997164107529</c:v>
                </c:pt>
                <c:pt idx="193">
                  <c:v>0.65426199347736347</c:v>
                </c:pt>
                <c:pt idx="194">
                  <c:v>0.65221311563920659</c:v>
                </c:pt>
                <c:pt idx="195">
                  <c:v>0.6516450296289763</c:v>
                </c:pt>
                <c:pt idx="196">
                  <c:v>0.65298781852479459</c:v>
                </c:pt>
                <c:pt idx="197">
                  <c:v>0.65966981445325468</c:v>
                </c:pt>
                <c:pt idx="198">
                  <c:v>0.66318160353582245</c:v>
                </c:pt>
                <c:pt idx="199">
                  <c:v>0.66290591064020932</c:v>
                </c:pt>
                <c:pt idx="200">
                  <c:v>0.66662818582050787</c:v>
                </c:pt>
                <c:pt idx="201">
                  <c:v>0.66027715305226742</c:v>
                </c:pt>
                <c:pt idx="202">
                  <c:v>0.65929777930867839</c:v>
                </c:pt>
                <c:pt idx="203">
                  <c:v>0.65675378169164123</c:v>
                </c:pt>
                <c:pt idx="204">
                  <c:v>0.65029780667026427</c:v>
                </c:pt>
                <c:pt idx="205">
                  <c:v>0.65601563656527484</c:v>
                </c:pt>
                <c:pt idx="206">
                  <c:v>0.65830267175285717</c:v>
                </c:pt>
                <c:pt idx="207">
                  <c:v>0.65328719379104949</c:v>
                </c:pt>
                <c:pt idx="208">
                  <c:v>0.65185812019371914</c:v>
                </c:pt>
                <c:pt idx="209">
                  <c:v>0.65326277016041023</c:v>
                </c:pt>
                <c:pt idx="210">
                  <c:v>0.65672596393526339</c:v>
                </c:pt>
                <c:pt idx="211">
                  <c:v>0.65785428834921611</c:v>
                </c:pt>
                <c:pt idx="212">
                  <c:v>0.65240671389687854</c:v>
                </c:pt>
                <c:pt idx="213">
                  <c:v>0.64939958642206719</c:v>
                </c:pt>
                <c:pt idx="214">
                  <c:v>0.65526680833480899</c:v>
                </c:pt>
                <c:pt idx="215">
                  <c:v>0.65931696862060463</c:v>
                </c:pt>
                <c:pt idx="216">
                  <c:v>0.66549182133471307</c:v>
                </c:pt>
                <c:pt idx="217">
                  <c:v>0.66058019250721645</c:v>
                </c:pt>
                <c:pt idx="218">
                  <c:v>0.66145522301988635</c:v>
                </c:pt>
                <c:pt idx="219">
                  <c:v>0.66240473850160209</c:v>
                </c:pt>
                <c:pt idx="220">
                  <c:v>0.65498199035760185</c:v>
                </c:pt>
                <c:pt idx="221">
                  <c:v>0.65532230677315895</c:v>
                </c:pt>
                <c:pt idx="222">
                  <c:v>0.64997900503879069</c:v>
                </c:pt>
                <c:pt idx="223">
                  <c:v>0.64938342558002971</c:v>
                </c:pt>
                <c:pt idx="224">
                  <c:v>0.64367290432742374</c:v>
                </c:pt>
                <c:pt idx="225">
                  <c:v>0.64332688588007736</c:v>
                </c:pt>
                <c:pt idx="226">
                  <c:v>0.64013416472117968</c:v>
                </c:pt>
                <c:pt idx="227">
                  <c:v>0.64225335461370214</c:v>
                </c:pt>
                <c:pt idx="228">
                  <c:v>0.64384185407708416</c:v>
                </c:pt>
                <c:pt idx="229">
                  <c:v>0.64707318275964099</c:v>
                </c:pt>
                <c:pt idx="230">
                  <c:v>0.64264020462759641</c:v>
                </c:pt>
                <c:pt idx="231">
                  <c:v>0.64772780249143069</c:v>
                </c:pt>
                <c:pt idx="232">
                  <c:v>0.64729929143749165</c:v>
                </c:pt>
                <c:pt idx="233">
                  <c:v>0.64577335078280262</c:v>
                </c:pt>
                <c:pt idx="234">
                  <c:v>0.64466753453631942</c:v>
                </c:pt>
                <c:pt idx="235">
                  <c:v>0.64414700490096222</c:v>
                </c:pt>
                <c:pt idx="236">
                  <c:v>0.64360036679289034</c:v>
                </c:pt>
                <c:pt idx="237">
                  <c:v>0.64177272448840161</c:v>
                </c:pt>
                <c:pt idx="238">
                  <c:v>0.64434766320127379</c:v>
                </c:pt>
                <c:pt idx="239">
                  <c:v>0.64329618104930963</c:v>
                </c:pt>
              </c:numCache>
            </c:numRef>
          </c:val>
          <c:smooth val="0"/>
          <c:extLst>
            <c:ext xmlns:c16="http://schemas.microsoft.com/office/drawing/2014/chart" uri="{C3380CC4-5D6E-409C-BE32-E72D297353CC}">
              <c16:uniqueId val="{00000000-1ED4-420A-B829-290C4FC8CEAD}"/>
            </c:ext>
          </c:extLst>
        </c:ser>
        <c:ser>
          <c:idx val="1"/>
          <c:order val="1"/>
          <c:tx>
            <c:strRef>
              <c:f>Sheet1!$J$2</c:f>
              <c:strCache>
                <c:ptCount val="1"/>
                <c:pt idx="0">
                  <c:v>G%GDP</c:v>
                </c:pt>
              </c:strCache>
            </c:strRef>
          </c:tx>
          <c:marker>
            <c:symbol val="none"/>
          </c:marker>
          <c:cat>
            <c:strRef>
              <c:f>Sheet1!$A$3:$A$242</c:f>
              <c:strCache>
                <c:ptCount val="240"/>
                <c:pt idx="0">
                  <c:v>Q1 1955</c:v>
                </c:pt>
                <c:pt idx="1">
                  <c:v>Q2 1955</c:v>
                </c:pt>
                <c:pt idx="2">
                  <c:v>Q3 1955</c:v>
                </c:pt>
                <c:pt idx="3">
                  <c:v>Q4 1955</c:v>
                </c:pt>
                <c:pt idx="4">
                  <c:v>Q1 1956</c:v>
                </c:pt>
                <c:pt idx="5">
                  <c:v>Q2 1956</c:v>
                </c:pt>
                <c:pt idx="6">
                  <c:v>Q3 1956</c:v>
                </c:pt>
                <c:pt idx="7">
                  <c:v>Q4 1956</c:v>
                </c:pt>
                <c:pt idx="8">
                  <c:v>Q1 1957</c:v>
                </c:pt>
                <c:pt idx="9">
                  <c:v>Q2 1957</c:v>
                </c:pt>
                <c:pt idx="10">
                  <c:v>Q3 1957</c:v>
                </c:pt>
                <c:pt idx="11">
                  <c:v>Q4 1957</c:v>
                </c:pt>
                <c:pt idx="12">
                  <c:v>Q1 1958</c:v>
                </c:pt>
                <c:pt idx="13">
                  <c:v>Q2 1958</c:v>
                </c:pt>
                <c:pt idx="14">
                  <c:v>Q3 1958</c:v>
                </c:pt>
                <c:pt idx="15">
                  <c:v>Q4 1958</c:v>
                </c:pt>
                <c:pt idx="16">
                  <c:v>Q1 1959</c:v>
                </c:pt>
                <c:pt idx="17">
                  <c:v>Q2 1959</c:v>
                </c:pt>
                <c:pt idx="18">
                  <c:v>Q3 1959</c:v>
                </c:pt>
                <c:pt idx="19">
                  <c:v>Q4 1959</c:v>
                </c:pt>
                <c:pt idx="20">
                  <c:v>Q1 1960</c:v>
                </c:pt>
                <c:pt idx="21">
                  <c:v>Q2 1960</c:v>
                </c:pt>
                <c:pt idx="22">
                  <c:v>Q3 1960</c:v>
                </c:pt>
                <c:pt idx="23">
                  <c:v>Q4 1960</c:v>
                </c:pt>
                <c:pt idx="24">
                  <c:v>Q1 1961</c:v>
                </c:pt>
                <c:pt idx="25">
                  <c:v>Q2 1961</c:v>
                </c:pt>
                <c:pt idx="26">
                  <c:v>Q3 1961</c:v>
                </c:pt>
                <c:pt idx="27">
                  <c:v>Q4 1961</c:v>
                </c:pt>
                <c:pt idx="28">
                  <c:v>Q1 1962</c:v>
                </c:pt>
                <c:pt idx="29">
                  <c:v>Q2 1962</c:v>
                </c:pt>
                <c:pt idx="30">
                  <c:v>Q3 1962</c:v>
                </c:pt>
                <c:pt idx="31">
                  <c:v>Q4 1962</c:v>
                </c:pt>
                <c:pt idx="32">
                  <c:v>Q1 1963</c:v>
                </c:pt>
                <c:pt idx="33">
                  <c:v>Q2 1963</c:v>
                </c:pt>
                <c:pt idx="34">
                  <c:v>Q3 1963</c:v>
                </c:pt>
                <c:pt idx="35">
                  <c:v>Q4 1963</c:v>
                </c:pt>
                <c:pt idx="36">
                  <c:v>Q1 1964</c:v>
                </c:pt>
                <c:pt idx="37">
                  <c:v>Q2 1964</c:v>
                </c:pt>
                <c:pt idx="38">
                  <c:v>Q3 1964</c:v>
                </c:pt>
                <c:pt idx="39">
                  <c:v>Q4 1964</c:v>
                </c:pt>
                <c:pt idx="40">
                  <c:v>Q1 1965</c:v>
                </c:pt>
                <c:pt idx="41">
                  <c:v>Q2 1965</c:v>
                </c:pt>
                <c:pt idx="42">
                  <c:v>Q3 1965</c:v>
                </c:pt>
                <c:pt idx="43">
                  <c:v>Q4 1965</c:v>
                </c:pt>
                <c:pt idx="44">
                  <c:v>Q1 1966</c:v>
                </c:pt>
                <c:pt idx="45">
                  <c:v>Q2 1966</c:v>
                </c:pt>
                <c:pt idx="46">
                  <c:v>Q3 1966</c:v>
                </c:pt>
                <c:pt idx="47">
                  <c:v>Q4 1966</c:v>
                </c:pt>
                <c:pt idx="48">
                  <c:v>Q1 1967</c:v>
                </c:pt>
                <c:pt idx="49">
                  <c:v>Q2 1967</c:v>
                </c:pt>
                <c:pt idx="50">
                  <c:v>Q3 1967</c:v>
                </c:pt>
                <c:pt idx="51">
                  <c:v>Q4 1967</c:v>
                </c:pt>
                <c:pt idx="52">
                  <c:v>Q1 1968</c:v>
                </c:pt>
                <c:pt idx="53">
                  <c:v>Q2 1968</c:v>
                </c:pt>
                <c:pt idx="54">
                  <c:v>Q3 1968</c:v>
                </c:pt>
                <c:pt idx="55">
                  <c:v>Q4 1968</c:v>
                </c:pt>
                <c:pt idx="56">
                  <c:v>Q1 1969</c:v>
                </c:pt>
                <c:pt idx="57">
                  <c:v>Q2 1969</c:v>
                </c:pt>
                <c:pt idx="58">
                  <c:v>Q3 1969</c:v>
                </c:pt>
                <c:pt idx="59">
                  <c:v>Q4 1969</c:v>
                </c:pt>
                <c:pt idx="60">
                  <c:v>Q1 1970</c:v>
                </c:pt>
                <c:pt idx="61">
                  <c:v>Q2 1970</c:v>
                </c:pt>
                <c:pt idx="62">
                  <c:v>Q3 1970</c:v>
                </c:pt>
                <c:pt idx="63">
                  <c:v>Q4 1970</c:v>
                </c:pt>
                <c:pt idx="64">
                  <c:v>Q1 1971</c:v>
                </c:pt>
                <c:pt idx="65">
                  <c:v>Q2 1971</c:v>
                </c:pt>
                <c:pt idx="66">
                  <c:v>Q3 1971</c:v>
                </c:pt>
                <c:pt idx="67">
                  <c:v>Q4 1971</c:v>
                </c:pt>
                <c:pt idx="68">
                  <c:v>Q1 1972</c:v>
                </c:pt>
                <c:pt idx="69">
                  <c:v>Q2 1972</c:v>
                </c:pt>
                <c:pt idx="70">
                  <c:v>Q3 1972</c:v>
                </c:pt>
                <c:pt idx="71">
                  <c:v>Q4 1972</c:v>
                </c:pt>
                <c:pt idx="72">
                  <c:v>Q1 1973</c:v>
                </c:pt>
                <c:pt idx="73">
                  <c:v>Q2 1973</c:v>
                </c:pt>
                <c:pt idx="74">
                  <c:v>Q3 1973</c:v>
                </c:pt>
                <c:pt idx="75">
                  <c:v>Q4 1973</c:v>
                </c:pt>
                <c:pt idx="76">
                  <c:v>Q1 1974</c:v>
                </c:pt>
                <c:pt idx="77">
                  <c:v>Q2 1974</c:v>
                </c:pt>
                <c:pt idx="78">
                  <c:v>Q3 1974</c:v>
                </c:pt>
                <c:pt idx="79">
                  <c:v>Q4 1974</c:v>
                </c:pt>
                <c:pt idx="80">
                  <c:v>Q1 1975</c:v>
                </c:pt>
                <c:pt idx="81">
                  <c:v>Q2 1975</c:v>
                </c:pt>
                <c:pt idx="82">
                  <c:v>Q3 1975</c:v>
                </c:pt>
                <c:pt idx="83">
                  <c:v>Q4 1975</c:v>
                </c:pt>
                <c:pt idx="84">
                  <c:v>Q1 1976</c:v>
                </c:pt>
                <c:pt idx="85">
                  <c:v>Q2 1976</c:v>
                </c:pt>
                <c:pt idx="86">
                  <c:v>Q3 1976</c:v>
                </c:pt>
                <c:pt idx="87">
                  <c:v>Q4 1976</c:v>
                </c:pt>
                <c:pt idx="88">
                  <c:v>Q1 1977</c:v>
                </c:pt>
                <c:pt idx="89">
                  <c:v>Q2 1977</c:v>
                </c:pt>
                <c:pt idx="90">
                  <c:v>Q3 1977</c:v>
                </c:pt>
                <c:pt idx="91">
                  <c:v>Q4 1977</c:v>
                </c:pt>
                <c:pt idx="92">
                  <c:v>Q1 1978</c:v>
                </c:pt>
                <c:pt idx="93">
                  <c:v>Q2 1978</c:v>
                </c:pt>
                <c:pt idx="94">
                  <c:v>Q3 1978</c:v>
                </c:pt>
                <c:pt idx="95">
                  <c:v>Q4 1978</c:v>
                </c:pt>
                <c:pt idx="96">
                  <c:v>Q1 1979</c:v>
                </c:pt>
                <c:pt idx="97">
                  <c:v>Q2 1979</c:v>
                </c:pt>
                <c:pt idx="98">
                  <c:v>Q3 1979</c:v>
                </c:pt>
                <c:pt idx="99">
                  <c:v>Q4 1979</c:v>
                </c:pt>
                <c:pt idx="100">
                  <c:v>Q1 1980</c:v>
                </c:pt>
                <c:pt idx="101">
                  <c:v>Q2 1980</c:v>
                </c:pt>
                <c:pt idx="102">
                  <c:v>Q3 1980</c:v>
                </c:pt>
                <c:pt idx="103">
                  <c:v>Q4 1980</c:v>
                </c:pt>
                <c:pt idx="104">
                  <c:v>Q1 1981</c:v>
                </c:pt>
                <c:pt idx="105">
                  <c:v>Q2 1981</c:v>
                </c:pt>
                <c:pt idx="106">
                  <c:v>Q3 1981</c:v>
                </c:pt>
                <c:pt idx="107">
                  <c:v>Q4 1981</c:v>
                </c:pt>
                <c:pt idx="108">
                  <c:v>Q1 1982</c:v>
                </c:pt>
                <c:pt idx="109">
                  <c:v>Q2 1982</c:v>
                </c:pt>
                <c:pt idx="110">
                  <c:v>Q3 1982</c:v>
                </c:pt>
                <c:pt idx="111">
                  <c:v>Q4 1982</c:v>
                </c:pt>
                <c:pt idx="112">
                  <c:v>Q1 1983</c:v>
                </c:pt>
                <c:pt idx="113">
                  <c:v>Q2 1983</c:v>
                </c:pt>
                <c:pt idx="114">
                  <c:v>Q3 1983</c:v>
                </c:pt>
                <c:pt idx="115">
                  <c:v>Q4 1983</c:v>
                </c:pt>
                <c:pt idx="116">
                  <c:v>Q1 1984</c:v>
                </c:pt>
                <c:pt idx="117">
                  <c:v>Q2 1984</c:v>
                </c:pt>
                <c:pt idx="118">
                  <c:v>Q3 1984</c:v>
                </c:pt>
                <c:pt idx="119">
                  <c:v>Q4 1984</c:v>
                </c:pt>
                <c:pt idx="120">
                  <c:v>Q1 1985</c:v>
                </c:pt>
                <c:pt idx="121">
                  <c:v>Q2 1985</c:v>
                </c:pt>
                <c:pt idx="122">
                  <c:v>Q3 1985</c:v>
                </c:pt>
                <c:pt idx="123">
                  <c:v>Q4 1985</c:v>
                </c:pt>
                <c:pt idx="124">
                  <c:v>Q1 1986</c:v>
                </c:pt>
                <c:pt idx="125">
                  <c:v>Q2 1986</c:v>
                </c:pt>
                <c:pt idx="126">
                  <c:v>Q3 1986</c:v>
                </c:pt>
                <c:pt idx="127">
                  <c:v>Q4 1986</c:v>
                </c:pt>
                <c:pt idx="128">
                  <c:v>Q1 1987</c:v>
                </c:pt>
                <c:pt idx="129">
                  <c:v>Q2 1987</c:v>
                </c:pt>
                <c:pt idx="130">
                  <c:v>Q3 1987</c:v>
                </c:pt>
                <c:pt idx="131">
                  <c:v>Q4 1987</c:v>
                </c:pt>
                <c:pt idx="132">
                  <c:v>Q1 1988</c:v>
                </c:pt>
                <c:pt idx="133">
                  <c:v>Q2 1988</c:v>
                </c:pt>
                <c:pt idx="134">
                  <c:v>Q3 1988</c:v>
                </c:pt>
                <c:pt idx="135">
                  <c:v>Q4 1988</c:v>
                </c:pt>
                <c:pt idx="136">
                  <c:v>Q1 1989</c:v>
                </c:pt>
                <c:pt idx="137">
                  <c:v>Q2 1989</c:v>
                </c:pt>
                <c:pt idx="138">
                  <c:v>Q3 1989</c:v>
                </c:pt>
                <c:pt idx="139">
                  <c:v>Q4 1989</c:v>
                </c:pt>
                <c:pt idx="140">
                  <c:v>Q1 1990</c:v>
                </c:pt>
                <c:pt idx="141">
                  <c:v>Q2 1990</c:v>
                </c:pt>
                <c:pt idx="142">
                  <c:v>Q3 1990</c:v>
                </c:pt>
                <c:pt idx="143">
                  <c:v>Q4 1990</c:v>
                </c:pt>
                <c:pt idx="144">
                  <c:v>Q1 1991</c:v>
                </c:pt>
                <c:pt idx="145">
                  <c:v>Q2 1991</c:v>
                </c:pt>
                <c:pt idx="146">
                  <c:v>Q3 1991</c:v>
                </c:pt>
                <c:pt idx="147">
                  <c:v>Q4 1991</c:v>
                </c:pt>
                <c:pt idx="148">
                  <c:v>Q1 1992</c:v>
                </c:pt>
                <c:pt idx="149">
                  <c:v>Q2 1992</c:v>
                </c:pt>
                <c:pt idx="150">
                  <c:v>Q3 1992</c:v>
                </c:pt>
                <c:pt idx="151">
                  <c:v>Q4 1992</c:v>
                </c:pt>
                <c:pt idx="152">
                  <c:v>Q1 1993</c:v>
                </c:pt>
                <c:pt idx="153">
                  <c:v>Q2 1993</c:v>
                </c:pt>
                <c:pt idx="154">
                  <c:v>Q3 1993</c:v>
                </c:pt>
                <c:pt idx="155">
                  <c:v>Q4 1993</c:v>
                </c:pt>
                <c:pt idx="156">
                  <c:v>Q1 1994</c:v>
                </c:pt>
                <c:pt idx="157">
                  <c:v>Q2 1994</c:v>
                </c:pt>
                <c:pt idx="158">
                  <c:v>Q3 1994</c:v>
                </c:pt>
                <c:pt idx="159">
                  <c:v>Q4 1994</c:v>
                </c:pt>
                <c:pt idx="160">
                  <c:v>Q1 1995</c:v>
                </c:pt>
                <c:pt idx="161">
                  <c:v>Q2 1995</c:v>
                </c:pt>
                <c:pt idx="162">
                  <c:v>Q3 1995</c:v>
                </c:pt>
                <c:pt idx="163">
                  <c:v>Q4 1995</c:v>
                </c:pt>
                <c:pt idx="164">
                  <c:v>Q1 1996</c:v>
                </c:pt>
                <c:pt idx="165">
                  <c:v>Q2 1996</c:v>
                </c:pt>
                <c:pt idx="166">
                  <c:v>Q3 1996</c:v>
                </c:pt>
                <c:pt idx="167">
                  <c:v>Q4 1996</c:v>
                </c:pt>
                <c:pt idx="168">
                  <c:v>Q1 1997</c:v>
                </c:pt>
                <c:pt idx="169">
                  <c:v>Q2 1997</c:v>
                </c:pt>
                <c:pt idx="170">
                  <c:v>Q3 1997</c:v>
                </c:pt>
                <c:pt idx="171">
                  <c:v>Q4 1997</c:v>
                </c:pt>
                <c:pt idx="172">
                  <c:v>Q1 1998</c:v>
                </c:pt>
                <c:pt idx="173">
                  <c:v>Q2 1998</c:v>
                </c:pt>
                <c:pt idx="174">
                  <c:v>Q3 1998</c:v>
                </c:pt>
                <c:pt idx="175">
                  <c:v>Q4 1998</c:v>
                </c:pt>
                <c:pt idx="176">
                  <c:v>Q1 1999</c:v>
                </c:pt>
                <c:pt idx="177">
                  <c:v>Q2 1999</c:v>
                </c:pt>
                <c:pt idx="178">
                  <c:v>Q3 1999</c:v>
                </c:pt>
                <c:pt idx="179">
                  <c:v>Q4 1999</c:v>
                </c:pt>
                <c:pt idx="180">
                  <c:v>Q1 2000</c:v>
                </c:pt>
                <c:pt idx="181">
                  <c:v>Q2 2000</c:v>
                </c:pt>
                <c:pt idx="182">
                  <c:v>Q3 2000</c:v>
                </c:pt>
                <c:pt idx="183">
                  <c:v>Q4 2000</c:v>
                </c:pt>
                <c:pt idx="184">
                  <c:v>Q1 2001</c:v>
                </c:pt>
                <c:pt idx="185">
                  <c:v>Q2 2001</c:v>
                </c:pt>
                <c:pt idx="186">
                  <c:v>Q3 2001</c:v>
                </c:pt>
                <c:pt idx="187">
                  <c:v>Q4 2001</c:v>
                </c:pt>
                <c:pt idx="188">
                  <c:v>Q1 2002</c:v>
                </c:pt>
                <c:pt idx="189">
                  <c:v>Q2 2002</c:v>
                </c:pt>
                <c:pt idx="190">
                  <c:v>Q3 2002</c:v>
                </c:pt>
                <c:pt idx="191">
                  <c:v>Q4 2002</c:v>
                </c:pt>
                <c:pt idx="192">
                  <c:v>Q1 2003</c:v>
                </c:pt>
                <c:pt idx="193">
                  <c:v>Q2 2003</c:v>
                </c:pt>
                <c:pt idx="194">
                  <c:v>Q3 2003</c:v>
                </c:pt>
                <c:pt idx="195">
                  <c:v>Q4 2003</c:v>
                </c:pt>
                <c:pt idx="196">
                  <c:v>Q1 2004</c:v>
                </c:pt>
                <c:pt idx="197">
                  <c:v>Q2 2004</c:v>
                </c:pt>
                <c:pt idx="198">
                  <c:v>Q3 2004</c:v>
                </c:pt>
                <c:pt idx="199">
                  <c:v>Q4 2004</c:v>
                </c:pt>
                <c:pt idx="200">
                  <c:v>Q1 2005</c:v>
                </c:pt>
                <c:pt idx="201">
                  <c:v>Q2 2005</c:v>
                </c:pt>
                <c:pt idx="202">
                  <c:v>Q3 2005</c:v>
                </c:pt>
                <c:pt idx="203">
                  <c:v>Q4 2005</c:v>
                </c:pt>
                <c:pt idx="204">
                  <c:v>Q1 2006</c:v>
                </c:pt>
                <c:pt idx="205">
                  <c:v>Q2 2006</c:v>
                </c:pt>
                <c:pt idx="206">
                  <c:v>Q3 2006</c:v>
                </c:pt>
                <c:pt idx="207">
                  <c:v>Q4 2006</c:v>
                </c:pt>
                <c:pt idx="208">
                  <c:v>Q1 2007</c:v>
                </c:pt>
                <c:pt idx="209">
                  <c:v>Q2 2007</c:v>
                </c:pt>
                <c:pt idx="210">
                  <c:v>Q3 2007</c:v>
                </c:pt>
                <c:pt idx="211">
                  <c:v>Q4 2007</c:v>
                </c:pt>
                <c:pt idx="212">
                  <c:v>Q1 2008</c:v>
                </c:pt>
                <c:pt idx="213">
                  <c:v>Q2 2008</c:v>
                </c:pt>
                <c:pt idx="214">
                  <c:v>Q3 2008</c:v>
                </c:pt>
                <c:pt idx="215">
                  <c:v>Q4 2008</c:v>
                </c:pt>
                <c:pt idx="216">
                  <c:v>Q1 2009</c:v>
                </c:pt>
                <c:pt idx="217">
                  <c:v>Q2 2009</c:v>
                </c:pt>
                <c:pt idx="218">
                  <c:v>Q3 2009</c:v>
                </c:pt>
                <c:pt idx="219">
                  <c:v>Q4 2009</c:v>
                </c:pt>
                <c:pt idx="220">
                  <c:v>Q1 2010</c:v>
                </c:pt>
                <c:pt idx="221">
                  <c:v>Q2 2010</c:v>
                </c:pt>
                <c:pt idx="222">
                  <c:v>Q3 2010</c:v>
                </c:pt>
                <c:pt idx="223">
                  <c:v>Q4 2010</c:v>
                </c:pt>
                <c:pt idx="224">
                  <c:v>Q1 2011</c:v>
                </c:pt>
                <c:pt idx="225">
                  <c:v>Q2 2011</c:v>
                </c:pt>
                <c:pt idx="226">
                  <c:v>Q3 2011</c:v>
                </c:pt>
                <c:pt idx="227">
                  <c:v>Q4 2011</c:v>
                </c:pt>
                <c:pt idx="228">
                  <c:v>Q1 2012</c:v>
                </c:pt>
                <c:pt idx="229">
                  <c:v>Q2 2012</c:v>
                </c:pt>
                <c:pt idx="230">
                  <c:v>Q3 2012</c:v>
                </c:pt>
                <c:pt idx="231">
                  <c:v>Q4 2012</c:v>
                </c:pt>
                <c:pt idx="232">
                  <c:v>Q1 2013</c:v>
                </c:pt>
                <c:pt idx="233">
                  <c:v>Q2 2013</c:v>
                </c:pt>
                <c:pt idx="234">
                  <c:v>Q3 2013</c:v>
                </c:pt>
                <c:pt idx="235">
                  <c:v>Q4 2013</c:v>
                </c:pt>
                <c:pt idx="236">
                  <c:v>Q1 2014</c:v>
                </c:pt>
                <c:pt idx="237">
                  <c:v>Q2 2014</c:v>
                </c:pt>
                <c:pt idx="238">
                  <c:v>Q3 2014</c:v>
                </c:pt>
                <c:pt idx="239">
                  <c:v>Q4 2014</c:v>
                </c:pt>
              </c:strCache>
            </c:strRef>
          </c:cat>
          <c:val>
            <c:numRef>
              <c:f>Sheet1!$J$3:$J$242</c:f>
              <c:numCache>
                <c:formatCode>0.00%</c:formatCode>
                <c:ptCount val="240"/>
                <c:pt idx="0">
                  <c:v>0.33192507131164412</c:v>
                </c:pt>
                <c:pt idx="1">
                  <c:v>0.32899284308638227</c:v>
                </c:pt>
                <c:pt idx="2">
                  <c:v>0.32103455553636867</c:v>
                </c:pt>
                <c:pt idx="3">
                  <c:v>0.31880437508439591</c:v>
                </c:pt>
                <c:pt idx="4">
                  <c:v>0.31469979296066253</c:v>
                </c:pt>
                <c:pt idx="5">
                  <c:v>0.3159067223757302</c:v>
                </c:pt>
                <c:pt idx="6">
                  <c:v>0.31965236035070255</c:v>
                </c:pt>
                <c:pt idx="7">
                  <c:v>0.31661806468828024</c:v>
                </c:pt>
                <c:pt idx="8">
                  <c:v>0.31474557894343291</c:v>
                </c:pt>
                <c:pt idx="9">
                  <c:v>0.30422106138621263</c:v>
                </c:pt>
                <c:pt idx="10">
                  <c:v>0.30551375145791793</c:v>
                </c:pt>
                <c:pt idx="11">
                  <c:v>0.30230462332785729</c:v>
                </c:pt>
                <c:pt idx="12">
                  <c:v>0.29250167845416669</c:v>
                </c:pt>
                <c:pt idx="13">
                  <c:v>0.29918769589894673</c:v>
                </c:pt>
                <c:pt idx="14">
                  <c:v>0.29334462975071141</c:v>
                </c:pt>
                <c:pt idx="15">
                  <c:v>0.29508604030551211</c:v>
                </c:pt>
                <c:pt idx="16">
                  <c:v>0.2936352486774424</c:v>
                </c:pt>
                <c:pt idx="17">
                  <c:v>0.29220779220779219</c:v>
                </c:pt>
                <c:pt idx="18">
                  <c:v>0.28773501710818722</c:v>
                </c:pt>
                <c:pt idx="19">
                  <c:v>0.28076284812684327</c:v>
                </c:pt>
                <c:pt idx="20">
                  <c:v>0.27523959784487823</c:v>
                </c:pt>
                <c:pt idx="21">
                  <c:v>0.27914904415496533</c:v>
                </c:pt>
                <c:pt idx="22">
                  <c:v>0.27574548876250116</c:v>
                </c:pt>
                <c:pt idx="23">
                  <c:v>0.27719150133671028</c:v>
                </c:pt>
                <c:pt idx="24">
                  <c:v>0.27553713084979881</c:v>
                </c:pt>
                <c:pt idx="25">
                  <c:v>0.27717880697997033</c:v>
                </c:pt>
                <c:pt idx="26">
                  <c:v>0.28202849151533438</c:v>
                </c:pt>
                <c:pt idx="27">
                  <c:v>0.28247230663660428</c:v>
                </c:pt>
                <c:pt idx="28">
                  <c:v>0.28532288355379226</c:v>
                </c:pt>
                <c:pt idx="29">
                  <c:v>0.2848766973245494</c:v>
                </c:pt>
                <c:pt idx="30">
                  <c:v>0.28316749253516277</c:v>
                </c:pt>
                <c:pt idx="31">
                  <c:v>0.2861207561728395</c:v>
                </c:pt>
                <c:pt idx="32">
                  <c:v>0.28919958112504696</c:v>
                </c:pt>
                <c:pt idx="33">
                  <c:v>0.27478710112600702</c:v>
                </c:pt>
                <c:pt idx="34">
                  <c:v>0.27327102803738318</c:v>
                </c:pt>
                <c:pt idx="35">
                  <c:v>0.27252863620093065</c:v>
                </c:pt>
                <c:pt idx="36">
                  <c:v>0.27176266461027404</c:v>
                </c:pt>
                <c:pt idx="37">
                  <c:v>0.26718308216981956</c:v>
                </c:pt>
                <c:pt idx="38">
                  <c:v>0.26905038478292437</c:v>
                </c:pt>
                <c:pt idx="39">
                  <c:v>0.26453471745595974</c:v>
                </c:pt>
                <c:pt idx="40">
                  <c:v>0.25799559802986743</c:v>
                </c:pt>
                <c:pt idx="41">
                  <c:v>0.27622813426741738</c:v>
                </c:pt>
                <c:pt idx="42">
                  <c:v>0.27187748607796342</c:v>
                </c:pt>
                <c:pt idx="43">
                  <c:v>0.26999287040370457</c:v>
                </c:pt>
                <c:pt idx="44">
                  <c:v>0.2675651291304838</c:v>
                </c:pt>
                <c:pt idx="45">
                  <c:v>0.27241758780937425</c:v>
                </c:pt>
                <c:pt idx="46">
                  <c:v>0.27521423632693826</c:v>
                </c:pt>
                <c:pt idx="47">
                  <c:v>0.27686092427249837</c:v>
                </c:pt>
                <c:pt idx="48">
                  <c:v>0.2817360380804782</c:v>
                </c:pt>
                <c:pt idx="49">
                  <c:v>0.27949416156528739</c:v>
                </c:pt>
                <c:pt idx="50">
                  <c:v>0.27828579969292228</c:v>
                </c:pt>
                <c:pt idx="51">
                  <c:v>0.28335360908353607</c:v>
                </c:pt>
                <c:pt idx="52">
                  <c:v>0.27353704500697734</c:v>
                </c:pt>
                <c:pt idx="53">
                  <c:v>0.2727332237940312</c:v>
                </c:pt>
                <c:pt idx="54">
                  <c:v>0.26852089536913443</c:v>
                </c:pt>
                <c:pt idx="55">
                  <c:v>0.26529842878411275</c:v>
                </c:pt>
                <c:pt idx="56">
                  <c:v>0.26559777595572409</c:v>
                </c:pt>
                <c:pt idx="57">
                  <c:v>0.2598582949601852</c:v>
                </c:pt>
                <c:pt idx="58">
                  <c:v>0.25781017836481007</c:v>
                </c:pt>
                <c:pt idx="59">
                  <c:v>0.25875115581303193</c:v>
                </c:pt>
                <c:pt idx="60">
                  <c:v>0.25848091003521573</c:v>
                </c:pt>
                <c:pt idx="61">
                  <c:v>0.26067107118996363</c:v>
                </c:pt>
                <c:pt idx="62">
                  <c:v>0.25650024806600391</c:v>
                </c:pt>
                <c:pt idx="63">
                  <c:v>0.25627082435622772</c:v>
                </c:pt>
                <c:pt idx="64">
                  <c:v>0.25933232355312341</c:v>
                </c:pt>
                <c:pt idx="65">
                  <c:v>0.25959449239523186</c:v>
                </c:pt>
                <c:pt idx="66">
                  <c:v>0.25748354681197366</c:v>
                </c:pt>
                <c:pt idx="67">
                  <c:v>0.25588841822016722</c:v>
                </c:pt>
                <c:pt idx="68">
                  <c:v>0.26174595159528868</c:v>
                </c:pt>
                <c:pt idx="69">
                  <c:v>0.25725806451612904</c:v>
                </c:pt>
                <c:pt idx="70">
                  <c:v>0.26027616113203239</c:v>
                </c:pt>
                <c:pt idx="71">
                  <c:v>0.25839736676552527</c:v>
                </c:pt>
                <c:pt idx="72">
                  <c:v>0.24863613024688716</c:v>
                </c:pt>
                <c:pt idx="73">
                  <c:v>0.25003604979678595</c:v>
                </c:pt>
                <c:pt idx="74">
                  <c:v>0.25500553022741373</c:v>
                </c:pt>
                <c:pt idx="75">
                  <c:v>0.25650473022031017</c:v>
                </c:pt>
                <c:pt idx="76">
                  <c:v>0.26029365892785528</c:v>
                </c:pt>
                <c:pt idx="77">
                  <c:v>0.2612503775294473</c:v>
                </c:pt>
                <c:pt idx="78">
                  <c:v>0.26266330506532204</c:v>
                </c:pt>
                <c:pt idx="79">
                  <c:v>0.27043544267327119</c:v>
                </c:pt>
                <c:pt idx="80">
                  <c:v>0.28112489825750403</c:v>
                </c:pt>
                <c:pt idx="81">
                  <c:v>0.28225611095775427</c:v>
                </c:pt>
                <c:pt idx="82">
                  <c:v>0.28394119741594182</c:v>
                </c:pt>
                <c:pt idx="83">
                  <c:v>0.28620728166182713</c:v>
                </c:pt>
                <c:pt idx="84">
                  <c:v>0.28164774256631675</c:v>
                </c:pt>
                <c:pt idx="85">
                  <c:v>0.28465505947630032</c:v>
                </c:pt>
                <c:pt idx="86">
                  <c:v>0.27982065217391305</c:v>
                </c:pt>
                <c:pt idx="87">
                  <c:v>0.27154762094694129</c:v>
                </c:pt>
                <c:pt idx="88">
                  <c:v>0.26864854521680892</c:v>
                </c:pt>
                <c:pt idx="89">
                  <c:v>0.27227412997320527</c:v>
                </c:pt>
                <c:pt idx="90">
                  <c:v>0.26986040878765988</c:v>
                </c:pt>
                <c:pt idx="91">
                  <c:v>0.26475933817999497</c:v>
                </c:pt>
                <c:pt idx="92">
                  <c:v>0.26555203706678965</c:v>
                </c:pt>
                <c:pt idx="93">
                  <c:v>0.26269446762328441</c:v>
                </c:pt>
                <c:pt idx="94">
                  <c:v>0.26178132169097212</c:v>
                </c:pt>
                <c:pt idx="95">
                  <c:v>0.26048448031704891</c:v>
                </c:pt>
                <c:pt idx="96">
                  <c:v>0.260563911475855</c:v>
                </c:pt>
                <c:pt idx="97">
                  <c:v>0.2546377698240273</c:v>
                </c:pt>
                <c:pt idx="98">
                  <c:v>0.25753519047150308</c:v>
                </c:pt>
                <c:pt idx="99">
                  <c:v>0.25620068192888457</c:v>
                </c:pt>
                <c:pt idx="100">
                  <c:v>0.26047233235649025</c:v>
                </c:pt>
                <c:pt idx="101">
                  <c:v>0.26337866145569078</c:v>
                </c:pt>
                <c:pt idx="102">
                  <c:v>0.26820118235928009</c:v>
                </c:pt>
                <c:pt idx="103">
                  <c:v>0.27191282184337845</c:v>
                </c:pt>
                <c:pt idx="104">
                  <c:v>0.26946425474171792</c:v>
                </c:pt>
                <c:pt idx="105">
                  <c:v>0.27113996306452515</c:v>
                </c:pt>
                <c:pt idx="106">
                  <c:v>0.26839400126733787</c:v>
                </c:pt>
                <c:pt idx="107">
                  <c:v>0.26294902772405548</c:v>
                </c:pt>
                <c:pt idx="108">
                  <c:v>0.26633125498477606</c:v>
                </c:pt>
                <c:pt idx="109">
                  <c:v>0.26350504224584353</c:v>
                </c:pt>
                <c:pt idx="110">
                  <c:v>0.26345466146335672</c:v>
                </c:pt>
                <c:pt idx="111">
                  <c:v>0.26337119053700903</c:v>
                </c:pt>
                <c:pt idx="112">
                  <c:v>0.25812371124063765</c:v>
                </c:pt>
                <c:pt idx="113">
                  <c:v>0.2603642629777661</c:v>
                </c:pt>
                <c:pt idx="114">
                  <c:v>0.25606669221561418</c:v>
                </c:pt>
                <c:pt idx="115">
                  <c:v>0.25540855812384639</c:v>
                </c:pt>
                <c:pt idx="116">
                  <c:v>0.25507302932322445</c:v>
                </c:pt>
                <c:pt idx="117">
                  <c:v>0.25499252118216897</c:v>
                </c:pt>
                <c:pt idx="118">
                  <c:v>0.2559294400142017</c:v>
                </c:pt>
                <c:pt idx="119">
                  <c:v>0.25312941674761641</c:v>
                </c:pt>
                <c:pt idx="120">
                  <c:v>0.25299252664827915</c:v>
                </c:pt>
                <c:pt idx="121">
                  <c:v>0.24073551605694607</c:v>
                </c:pt>
                <c:pt idx="122">
                  <c:v>0.24414742701932257</c:v>
                </c:pt>
                <c:pt idx="123">
                  <c:v>0.24346220076910036</c:v>
                </c:pt>
                <c:pt idx="124">
                  <c:v>0.24761107716287184</c:v>
                </c:pt>
                <c:pt idx="125">
                  <c:v>0.24331519192962944</c:v>
                </c:pt>
                <c:pt idx="126">
                  <c:v>0.23960979089106155</c:v>
                </c:pt>
                <c:pt idx="127">
                  <c:v>0.23524515286303369</c:v>
                </c:pt>
                <c:pt idx="128">
                  <c:v>0.23293922422733873</c:v>
                </c:pt>
                <c:pt idx="129">
                  <c:v>0.23336464791966766</c:v>
                </c:pt>
                <c:pt idx="130">
                  <c:v>0.22700966726985214</c:v>
                </c:pt>
                <c:pt idx="131">
                  <c:v>0.22369428085750884</c:v>
                </c:pt>
                <c:pt idx="132">
                  <c:v>0.22034387465851721</c:v>
                </c:pt>
                <c:pt idx="133">
                  <c:v>0.2186187908233603</c:v>
                </c:pt>
                <c:pt idx="134">
                  <c:v>0.21346854477525351</c:v>
                </c:pt>
                <c:pt idx="135">
                  <c:v>0.21467028668722102</c:v>
                </c:pt>
                <c:pt idx="136">
                  <c:v>0.21220870282532481</c:v>
                </c:pt>
                <c:pt idx="137">
                  <c:v>0.21190145495116008</c:v>
                </c:pt>
                <c:pt idx="138">
                  <c:v>0.21507599060879723</c:v>
                </c:pt>
                <c:pt idx="139">
                  <c:v>0.21403084343562656</c:v>
                </c:pt>
                <c:pt idx="140">
                  <c:v>0.21461274969759317</c:v>
                </c:pt>
                <c:pt idx="141">
                  <c:v>0.21444322767435231</c:v>
                </c:pt>
                <c:pt idx="142">
                  <c:v>0.2186390801808088</c:v>
                </c:pt>
                <c:pt idx="143">
                  <c:v>0.22145698894028515</c:v>
                </c:pt>
                <c:pt idx="144">
                  <c:v>0.22264529976550387</c:v>
                </c:pt>
                <c:pt idx="145">
                  <c:v>0.22892266736025582</c:v>
                </c:pt>
                <c:pt idx="146">
                  <c:v>0.22772539199858885</c:v>
                </c:pt>
                <c:pt idx="147">
                  <c:v>0.22692543255244219</c:v>
                </c:pt>
                <c:pt idx="148">
                  <c:v>0.22767136286761611</c:v>
                </c:pt>
                <c:pt idx="149">
                  <c:v>0.22897953398935905</c:v>
                </c:pt>
                <c:pt idx="150">
                  <c:v>0.22738722147814441</c:v>
                </c:pt>
                <c:pt idx="151">
                  <c:v>0.22677550218703493</c:v>
                </c:pt>
                <c:pt idx="152">
                  <c:v>0.22300402606068331</c:v>
                </c:pt>
                <c:pt idx="153">
                  <c:v>0.21981877843239614</c:v>
                </c:pt>
                <c:pt idx="154">
                  <c:v>0.22050677099897195</c:v>
                </c:pt>
                <c:pt idx="155">
                  <c:v>0.21873864216249556</c:v>
                </c:pt>
                <c:pt idx="156">
                  <c:v>0.21568613233950609</c:v>
                </c:pt>
                <c:pt idx="157">
                  <c:v>0.21636882156522735</c:v>
                </c:pt>
                <c:pt idx="158">
                  <c:v>0.21369573841097134</c:v>
                </c:pt>
                <c:pt idx="159">
                  <c:v>0.2118270856820744</c:v>
                </c:pt>
                <c:pt idx="160">
                  <c:v>0.21343325006938663</c:v>
                </c:pt>
                <c:pt idx="161">
                  <c:v>0.21339907821844892</c:v>
                </c:pt>
                <c:pt idx="162">
                  <c:v>0.21057806149649314</c:v>
                </c:pt>
                <c:pt idx="163">
                  <c:v>0.21047935034642909</c:v>
                </c:pt>
                <c:pt idx="164">
                  <c:v>0.20915257469369963</c:v>
                </c:pt>
                <c:pt idx="165">
                  <c:v>0.20711399368399605</c:v>
                </c:pt>
                <c:pt idx="166">
                  <c:v>0.20764345004246737</c:v>
                </c:pt>
                <c:pt idx="167">
                  <c:v>0.20751904045548683</c:v>
                </c:pt>
                <c:pt idx="168">
                  <c:v>0.20339768184244181</c:v>
                </c:pt>
                <c:pt idx="169">
                  <c:v>0.1980200319927784</c:v>
                </c:pt>
                <c:pt idx="170">
                  <c:v>0.197462848858282</c:v>
                </c:pt>
                <c:pt idx="171">
                  <c:v>0.19944401092469763</c:v>
                </c:pt>
                <c:pt idx="172">
                  <c:v>0.19844144263481489</c:v>
                </c:pt>
                <c:pt idx="173">
                  <c:v>0.19953376066594625</c:v>
                </c:pt>
                <c:pt idx="174">
                  <c:v>0.19852084381307744</c:v>
                </c:pt>
                <c:pt idx="175">
                  <c:v>0.19822877763595392</c:v>
                </c:pt>
                <c:pt idx="176">
                  <c:v>0.19424352113824708</c:v>
                </c:pt>
                <c:pt idx="177">
                  <c:v>0.2025722868944799</c:v>
                </c:pt>
                <c:pt idx="178">
                  <c:v>0.20033439358062857</c:v>
                </c:pt>
                <c:pt idx="179">
                  <c:v>0.19851053292050402</c:v>
                </c:pt>
                <c:pt idx="180">
                  <c:v>0.19433477169190058</c:v>
                </c:pt>
                <c:pt idx="181">
                  <c:v>0.19936410317649869</c:v>
                </c:pt>
                <c:pt idx="182">
                  <c:v>0.19908036678256266</c:v>
                </c:pt>
                <c:pt idx="183">
                  <c:v>0.19829424307036247</c:v>
                </c:pt>
                <c:pt idx="184">
                  <c:v>0.20092602910042048</c:v>
                </c:pt>
                <c:pt idx="185">
                  <c:v>0.19685307461070839</c:v>
                </c:pt>
                <c:pt idx="186">
                  <c:v>0.19974064168027139</c:v>
                </c:pt>
                <c:pt idx="187">
                  <c:v>0.20354007837343382</c:v>
                </c:pt>
                <c:pt idx="188">
                  <c:v>0.20134725593553854</c:v>
                </c:pt>
                <c:pt idx="189">
                  <c:v>0.20442876761506421</c:v>
                </c:pt>
                <c:pt idx="190">
                  <c:v>0.20492687638748452</c:v>
                </c:pt>
                <c:pt idx="191">
                  <c:v>0.20430411491074377</c:v>
                </c:pt>
                <c:pt idx="192">
                  <c:v>0.20372685615122543</c:v>
                </c:pt>
                <c:pt idx="193">
                  <c:v>0.20429848853071189</c:v>
                </c:pt>
                <c:pt idx="194">
                  <c:v>0.20409634260909001</c:v>
                </c:pt>
                <c:pt idx="195">
                  <c:v>0.20490100955023294</c:v>
                </c:pt>
                <c:pt idx="196">
                  <c:v>0.20262226769404568</c:v>
                </c:pt>
                <c:pt idx="197">
                  <c:v>0.20470972626210304</c:v>
                </c:pt>
                <c:pt idx="198">
                  <c:v>0.20561253455438769</c:v>
                </c:pt>
                <c:pt idx="199">
                  <c:v>0.20659761671995139</c:v>
                </c:pt>
                <c:pt idx="200">
                  <c:v>0.20434116418552664</c:v>
                </c:pt>
                <c:pt idx="201">
                  <c:v>0.20566252356787809</c:v>
                </c:pt>
                <c:pt idx="202">
                  <c:v>0.20336843836996785</c:v>
                </c:pt>
                <c:pt idx="203">
                  <c:v>0.20221778079884747</c:v>
                </c:pt>
                <c:pt idx="204">
                  <c:v>0.2027859170982888</c:v>
                </c:pt>
                <c:pt idx="205">
                  <c:v>0.20179248431199864</c:v>
                </c:pt>
                <c:pt idx="206">
                  <c:v>0.20260688138539415</c:v>
                </c:pt>
                <c:pt idx="207">
                  <c:v>0.20175360092279085</c:v>
                </c:pt>
                <c:pt idx="208">
                  <c:v>0.20136975148583003</c:v>
                </c:pt>
                <c:pt idx="209">
                  <c:v>0.20015106666306984</c:v>
                </c:pt>
                <c:pt idx="210">
                  <c:v>0.19951848834522926</c:v>
                </c:pt>
                <c:pt idx="211">
                  <c:v>0.19708034497532259</c:v>
                </c:pt>
                <c:pt idx="212">
                  <c:v>0.19873366407350926</c:v>
                </c:pt>
                <c:pt idx="213">
                  <c:v>0.1997291185469145</c:v>
                </c:pt>
                <c:pt idx="214">
                  <c:v>0.20706668240757137</c:v>
                </c:pt>
                <c:pt idx="215">
                  <c:v>0.21159080503720548</c:v>
                </c:pt>
                <c:pt idx="216">
                  <c:v>0.21514525903802709</c:v>
                </c:pt>
                <c:pt idx="217">
                  <c:v>0.21518382692841073</c:v>
                </c:pt>
                <c:pt idx="218">
                  <c:v>0.21626380498607006</c:v>
                </c:pt>
                <c:pt idx="219">
                  <c:v>0.21696005718881245</c:v>
                </c:pt>
                <c:pt idx="220">
                  <c:v>0.21280335705830652</c:v>
                </c:pt>
                <c:pt idx="221">
                  <c:v>0.21276146154329917</c:v>
                </c:pt>
                <c:pt idx="222">
                  <c:v>0.21092437814924417</c:v>
                </c:pt>
                <c:pt idx="223">
                  <c:v>0.21113207311435675</c:v>
                </c:pt>
                <c:pt idx="224">
                  <c:v>0.20966543305305699</c:v>
                </c:pt>
                <c:pt idx="225">
                  <c:v>0.20897931855378665</c:v>
                </c:pt>
                <c:pt idx="226">
                  <c:v>0.20683235320192678</c:v>
                </c:pt>
                <c:pt idx="227">
                  <c:v>0.20855746684794388</c:v>
                </c:pt>
                <c:pt idx="228">
                  <c:v>0.21578800983550875</c:v>
                </c:pt>
                <c:pt idx="229">
                  <c:v>0.21065193806095275</c:v>
                </c:pt>
                <c:pt idx="230">
                  <c:v>0.21022257652749315</c:v>
                </c:pt>
                <c:pt idx="231">
                  <c:v>0.21123180315882195</c:v>
                </c:pt>
                <c:pt idx="232">
                  <c:v>0.21042964986523896</c:v>
                </c:pt>
                <c:pt idx="233">
                  <c:v>0.20771411952886434</c:v>
                </c:pt>
                <c:pt idx="234">
                  <c:v>0.20725641698169051</c:v>
                </c:pt>
                <c:pt idx="235">
                  <c:v>0.20628377649695037</c:v>
                </c:pt>
                <c:pt idx="236">
                  <c:v>0.20494077625158572</c:v>
                </c:pt>
                <c:pt idx="237">
                  <c:v>0.20661131712741546</c:v>
                </c:pt>
                <c:pt idx="238">
                  <c:v>0.20629858574505947</c:v>
                </c:pt>
                <c:pt idx="239">
                  <c:v>0.20459512233721924</c:v>
                </c:pt>
              </c:numCache>
            </c:numRef>
          </c:val>
          <c:smooth val="0"/>
          <c:extLst>
            <c:ext xmlns:c16="http://schemas.microsoft.com/office/drawing/2014/chart" uri="{C3380CC4-5D6E-409C-BE32-E72D297353CC}">
              <c16:uniqueId val="{00000001-1ED4-420A-B829-290C4FC8CEAD}"/>
            </c:ext>
          </c:extLst>
        </c:ser>
        <c:ser>
          <c:idx val="2"/>
          <c:order val="2"/>
          <c:tx>
            <c:strRef>
              <c:f>Sheet1!$K$2</c:f>
              <c:strCache>
                <c:ptCount val="1"/>
                <c:pt idx="0">
                  <c:v>I%GDP</c:v>
                </c:pt>
              </c:strCache>
            </c:strRef>
          </c:tx>
          <c:marker>
            <c:symbol val="none"/>
          </c:marker>
          <c:cat>
            <c:strRef>
              <c:f>Sheet1!$A$3:$A$242</c:f>
              <c:strCache>
                <c:ptCount val="240"/>
                <c:pt idx="0">
                  <c:v>Q1 1955</c:v>
                </c:pt>
                <c:pt idx="1">
                  <c:v>Q2 1955</c:v>
                </c:pt>
                <c:pt idx="2">
                  <c:v>Q3 1955</c:v>
                </c:pt>
                <c:pt idx="3">
                  <c:v>Q4 1955</c:v>
                </c:pt>
                <c:pt idx="4">
                  <c:v>Q1 1956</c:v>
                </c:pt>
                <c:pt idx="5">
                  <c:v>Q2 1956</c:v>
                </c:pt>
                <c:pt idx="6">
                  <c:v>Q3 1956</c:v>
                </c:pt>
                <c:pt idx="7">
                  <c:v>Q4 1956</c:v>
                </c:pt>
                <c:pt idx="8">
                  <c:v>Q1 1957</c:v>
                </c:pt>
                <c:pt idx="9">
                  <c:v>Q2 1957</c:v>
                </c:pt>
                <c:pt idx="10">
                  <c:v>Q3 1957</c:v>
                </c:pt>
                <c:pt idx="11">
                  <c:v>Q4 1957</c:v>
                </c:pt>
                <c:pt idx="12">
                  <c:v>Q1 1958</c:v>
                </c:pt>
                <c:pt idx="13">
                  <c:v>Q2 1958</c:v>
                </c:pt>
                <c:pt idx="14">
                  <c:v>Q3 1958</c:v>
                </c:pt>
                <c:pt idx="15">
                  <c:v>Q4 1958</c:v>
                </c:pt>
                <c:pt idx="16">
                  <c:v>Q1 1959</c:v>
                </c:pt>
                <c:pt idx="17">
                  <c:v>Q2 1959</c:v>
                </c:pt>
                <c:pt idx="18">
                  <c:v>Q3 1959</c:v>
                </c:pt>
                <c:pt idx="19">
                  <c:v>Q4 1959</c:v>
                </c:pt>
                <c:pt idx="20">
                  <c:v>Q1 1960</c:v>
                </c:pt>
                <c:pt idx="21">
                  <c:v>Q2 1960</c:v>
                </c:pt>
                <c:pt idx="22">
                  <c:v>Q3 1960</c:v>
                </c:pt>
                <c:pt idx="23">
                  <c:v>Q4 1960</c:v>
                </c:pt>
                <c:pt idx="24">
                  <c:v>Q1 1961</c:v>
                </c:pt>
                <c:pt idx="25">
                  <c:v>Q2 1961</c:v>
                </c:pt>
                <c:pt idx="26">
                  <c:v>Q3 1961</c:v>
                </c:pt>
                <c:pt idx="27">
                  <c:v>Q4 1961</c:v>
                </c:pt>
                <c:pt idx="28">
                  <c:v>Q1 1962</c:v>
                </c:pt>
                <c:pt idx="29">
                  <c:v>Q2 1962</c:v>
                </c:pt>
                <c:pt idx="30">
                  <c:v>Q3 1962</c:v>
                </c:pt>
                <c:pt idx="31">
                  <c:v>Q4 1962</c:v>
                </c:pt>
                <c:pt idx="32">
                  <c:v>Q1 1963</c:v>
                </c:pt>
                <c:pt idx="33">
                  <c:v>Q2 1963</c:v>
                </c:pt>
                <c:pt idx="34">
                  <c:v>Q3 1963</c:v>
                </c:pt>
                <c:pt idx="35">
                  <c:v>Q4 1963</c:v>
                </c:pt>
                <c:pt idx="36">
                  <c:v>Q1 1964</c:v>
                </c:pt>
                <c:pt idx="37">
                  <c:v>Q2 1964</c:v>
                </c:pt>
                <c:pt idx="38">
                  <c:v>Q3 1964</c:v>
                </c:pt>
                <c:pt idx="39">
                  <c:v>Q4 1964</c:v>
                </c:pt>
                <c:pt idx="40">
                  <c:v>Q1 1965</c:v>
                </c:pt>
                <c:pt idx="41">
                  <c:v>Q2 1965</c:v>
                </c:pt>
                <c:pt idx="42">
                  <c:v>Q3 1965</c:v>
                </c:pt>
                <c:pt idx="43">
                  <c:v>Q4 1965</c:v>
                </c:pt>
                <c:pt idx="44">
                  <c:v>Q1 1966</c:v>
                </c:pt>
                <c:pt idx="45">
                  <c:v>Q2 1966</c:v>
                </c:pt>
                <c:pt idx="46">
                  <c:v>Q3 1966</c:v>
                </c:pt>
                <c:pt idx="47">
                  <c:v>Q4 1966</c:v>
                </c:pt>
                <c:pt idx="48">
                  <c:v>Q1 1967</c:v>
                </c:pt>
                <c:pt idx="49">
                  <c:v>Q2 1967</c:v>
                </c:pt>
                <c:pt idx="50">
                  <c:v>Q3 1967</c:v>
                </c:pt>
                <c:pt idx="51">
                  <c:v>Q4 1967</c:v>
                </c:pt>
                <c:pt idx="52">
                  <c:v>Q1 1968</c:v>
                </c:pt>
                <c:pt idx="53">
                  <c:v>Q2 1968</c:v>
                </c:pt>
                <c:pt idx="54">
                  <c:v>Q3 1968</c:v>
                </c:pt>
                <c:pt idx="55">
                  <c:v>Q4 1968</c:v>
                </c:pt>
                <c:pt idx="56">
                  <c:v>Q1 1969</c:v>
                </c:pt>
                <c:pt idx="57">
                  <c:v>Q2 1969</c:v>
                </c:pt>
                <c:pt idx="58">
                  <c:v>Q3 1969</c:v>
                </c:pt>
                <c:pt idx="59">
                  <c:v>Q4 1969</c:v>
                </c:pt>
                <c:pt idx="60">
                  <c:v>Q1 1970</c:v>
                </c:pt>
                <c:pt idx="61">
                  <c:v>Q2 1970</c:v>
                </c:pt>
                <c:pt idx="62">
                  <c:v>Q3 1970</c:v>
                </c:pt>
                <c:pt idx="63">
                  <c:v>Q4 1970</c:v>
                </c:pt>
                <c:pt idx="64">
                  <c:v>Q1 1971</c:v>
                </c:pt>
                <c:pt idx="65">
                  <c:v>Q2 1971</c:v>
                </c:pt>
                <c:pt idx="66">
                  <c:v>Q3 1971</c:v>
                </c:pt>
                <c:pt idx="67">
                  <c:v>Q4 1971</c:v>
                </c:pt>
                <c:pt idx="68">
                  <c:v>Q1 1972</c:v>
                </c:pt>
                <c:pt idx="69">
                  <c:v>Q2 1972</c:v>
                </c:pt>
                <c:pt idx="70">
                  <c:v>Q3 1972</c:v>
                </c:pt>
                <c:pt idx="71">
                  <c:v>Q4 1972</c:v>
                </c:pt>
                <c:pt idx="72">
                  <c:v>Q1 1973</c:v>
                </c:pt>
                <c:pt idx="73">
                  <c:v>Q2 1973</c:v>
                </c:pt>
                <c:pt idx="74">
                  <c:v>Q3 1973</c:v>
                </c:pt>
                <c:pt idx="75">
                  <c:v>Q4 1973</c:v>
                </c:pt>
                <c:pt idx="76">
                  <c:v>Q1 1974</c:v>
                </c:pt>
                <c:pt idx="77">
                  <c:v>Q2 1974</c:v>
                </c:pt>
                <c:pt idx="78">
                  <c:v>Q3 1974</c:v>
                </c:pt>
                <c:pt idx="79">
                  <c:v>Q4 1974</c:v>
                </c:pt>
                <c:pt idx="80">
                  <c:v>Q1 1975</c:v>
                </c:pt>
                <c:pt idx="81">
                  <c:v>Q2 1975</c:v>
                </c:pt>
                <c:pt idx="82">
                  <c:v>Q3 1975</c:v>
                </c:pt>
                <c:pt idx="83">
                  <c:v>Q4 1975</c:v>
                </c:pt>
                <c:pt idx="84">
                  <c:v>Q1 1976</c:v>
                </c:pt>
                <c:pt idx="85">
                  <c:v>Q2 1976</c:v>
                </c:pt>
                <c:pt idx="86">
                  <c:v>Q3 1976</c:v>
                </c:pt>
                <c:pt idx="87">
                  <c:v>Q4 1976</c:v>
                </c:pt>
                <c:pt idx="88">
                  <c:v>Q1 1977</c:v>
                </c:pt>
                <c:pt idx="89">
                  <c:v>Q2 1977</c:v>
                </c:pt>
                <c:pt idx="90">
                  <c:v>Q3 1977</c:v>
                </c:pt>
                <c:pt idx="91">
                  <c:v>Q4 1977</c:v>
                </c:pt>
                <c:pt idx="92">
                  <c:v>Q1 1978</c:v>
                </c:pt>
                <c:pt idx="93">
                  <c:v>Q2 1978</c:v>
                </c:pt>
                <c:pt idx="94">
                  <c:v>Q3 1978</c:v>
                </c:pt>
                <c:pt idx="95">
                  <c:v>Q4 1978</c:v>
                </c:pt>
                <c:pt idx="96">
                  <c:v>Q1 1979</c:v>
                </c:pt>
                <c:pt idx="97">
                  <c:v>Q2 1979</c:v>
                </c:pt>
                <c:pt idx="98">
                  <c:v>Q3 1979</c:v>
                </c:pt>
                <c:pt idx="99">
                  <c:v>Q4 1979</c:v>
                </c:pt>
                <c:pt idx="100">
                  <c:v>Q1 1980</c:v>
                </c:pt>
                <c:pt idx="101">
                  <c:v>Q2 1980</c:v>
                </c:pt>
                <c:pt idx="102">
                  <c:v>Q3 1980</c:v>
                </c:pt>
                <c:pt idx="103">
                  <c:v>Q4 1980</c:v>
                </c:pt>
                <c:pt idx="104">
                  <c:v>Q1 1981</c:v>
                </c:pt>
                <c:pt idx="105">
                  <c:v>Q2 1981</c:v>
                </c:pt>
                <c:pt idx="106">
                  <c:v>Q3 1981</c:v>
                </c:pt>
                <c:pt idx="107">
                  <c:v>Q4 1981</c:v>
                </c:pt>
                <c:pt idx="108">
                  <c:v>Q1 1982</c:v>
                </c:pt>
                <c:pt idx="109">
                  <c:v>Q2 1982</c:v>
                </c:pt>
                <c:pt idx="110">
                  <c:v>Q3 1982</c:v>
                </c:pt>
                <c:pt idx="111">
                  <c:v>Q4 1982</c:v>
                </c:pt>
                <c:pt idx="112">
                  <c:v>Q1 1983</c:v>
                </c:pt>
                <c:pt idx="113">
                  <c:v>Q2 1983</c:v>
                </c:pt>
                <c:pt idx="114">
                  <c:v>Q3 1983</c:v>
                </c:pt>
                <c:pt idx="115">
                  <c:v>Q4 1983</c:v>
                </c:pt>
                <c:pt idx="116">
                  <c:v>Q1 1984</c:v>
                </c:pt>
                <c:pt idx="117">
                  <c:v>Q2 1984</c:v>
                </c:pt>
                <c:pt idx="118">
                  <c:v>Q3 1984</c:v>
                </c:pt>
                <c:pt idx="119">
                  <c:v>Q4 1984</c:v>
                </c:pt>
                <c:pt idx="120">
                  <c:v>Q1 1985</c:v>
                </c:pt>
                <c:pt idx="121">
                  <c:v>Q2 1985</c:v>
                </c:pt>
                <c:pt idx="122">
                  <c:v>Q3 1985</c:v>
                </c:pt>
                <c:pt idx="123">
                  <c:v>Q4 1985</c:v>
                </c:pt>
                <c:pt idx="124">
                  <c:v>Q1 1986</c:v>
                </c:pt>
                <c:pt idx="125">
                  <c:v>Q2 1986</c:v>
                </c:pt>
                <c:pt idx="126">
                  <c:v>Q3 1986</c:v>
                </c:pt>
                <c:pt idx="127">
                  <c:v>Q4 1986</c:v>
                </c:pt>
                <c:pt idx="128">
                  <c:v>Q1 1987</c:v>
                </c:pt>
                <c:pt idx="129">
                  <c:v>Q2 1987</c:v>
                </c:pt>
                <c:pt idx="130">
                  <c:v>Q3 1987</c:v>
                </c:pt>
                <c:pt idx="131">
                  <c:v>Q4 1987</c:v>
                </c:pt>
                <c:pt idx="132">
                  <c:v>Q1 1988</c:v>
                </c:pt>
                <c:pt idx="133">
                  <c:v>Q2 1988</c:v>
                </c:pt>
                <c:pt idx="134">
                  <c:v>Q3 1988</c:v>
                </c:pt>
                <c:pt idx="135">
                  <c:v>Q4 1988</c:v>
                </c:pt>
                <c:pt idx="136">
                  <c:v>Q1 1989</c:v>
                </c:pt>
                <c:pt idx="137">
                  <c:v>Q2 1989</c:v>
                </c:pt>
                <c:pt idx="138">
                  <c:v>Q3 1989</c:v>
                </c:pt>
                <c:pt idx="139">
                  <c:v>Q4 1989</c:v>
                </c:pt>
                <c:pt idx="140">
                  <c:v>Q1 1990</c:v>
                </c:pt>
                <c:pt idx="141">
                  <c:v>Q2 1990</c:v>
                </c:pt>
                <c:pt idx="142">
                  <c:v>Q3 1990</c:v>
                </c:pt>
                <c:pt idx="143">
                  <c:v>Q4 1990</c:v>
                </c:pt>
                <c:pt idx="144">
                  <c:v>Q1 1991</c:v>
                </c:pt>
                <c:pt idx="145">
                  <c:v>Q2 1991</c:v>
                </c:pt>
                <c:pt idx="146">
                  <c:v>Q3 1991</c:v>
                </c:pt>
                <c:pt idx="147">
                  <c:v>Q4 1991</c:v>
                </c:pt>
                <c:pt idx="148">
                  <c:v>Q1 1992</c:v>
                </c:pt>
                <c:pt idx="149">
                  <c:v>Q2 1992</c:v>
                </c:pt>
                <c:pt idx="150">
                  <c:v>Q3 1992</c:v>
                </c:pt>
                <c:pt idx="151">
                  <c:v>Q4 1992</c:v>
                </c:pt>
                <c:pt idx="152">
                  <c:v>Q1 1993</c:v>
                </c:pt>
                <c:pt idx="153">
                  <c:v>Q2 1993</c:v>
                </c:pt>
                <c:pt idx="154">
                  <c:v>Q3 1993</c:v>
                </c:pt>
                <c:pt idx="155">
                  <c:v>Q4 1993</c:v>
                </c:pt>
                <c:pt idx="156">
                  <c:v>Q1 1994</c:v>
                </c:pt>
                <c:pt idx="157">
                  <c:v>Q2 1994</c:v>
                </c:pt>
                <c:pt idx="158">
                  <c:v>Q3 1994</c:v>
                </c:pt>
                <c:pt idx="159">
                  <c:v>Q4 1994</c:v>
                </c:pt>
                <c:pt idx="160">
                  <c:v>Q1 1995</c:v>
                </c:pt>
                <c:pt idx="161">
                  <c:v>Q2 1995</c:v>
                </c:pt>
                <c:pt idx="162">
                  <c:v>Q3 1995</c:v>
                </c:pt>
                <c:pt idx="163">
                  <c:v>Q4 1995</c:v>
                </c:pt>
                <c:pt idx="164">
                  <c:v>Q1 1996</c:v>
                </c:pt>
                <c:pt idx="165">
                  <c:v>Q2 1996</c:v>
                </c:pt>
                <c:pt idx="166">
                  <c:v>Q3 1996</c:v>
                </c:pt>
                <c:pt idx="167">
                  <c:v>Q4 1996</c:v>
                </c:pt>
                <c:pt idx="168">
                  <c:v>Q1 1997</c:v>
                </c:pt>
                <c:pt idx="169">
                  <c:v>Q2 1997</c:v>
                </c:pt>
                <c:pt idx="170">
                  <c:v>Q3 1997</c:v>
                </c:pt>
                <c:pt idx="171">
                  <c:v>Q4 1997</c:v>
                </c:pt>
                <c:pt idx="172">
                  <c:v>Q1 1998</c:v>
                </c:pt>
                <c:pt idx="173">
                  <c:v>Q2 1998</c:v>
                </c:pt>
                <c:pt idx="174">
                  <c:v>Q3 1998</c:v>
                </c:pt>
                <c:pt idx="175">
                  <c:v>Q4 1998</c:v>
                </c:pt>
                <c:pt idx="176">
                  <c:v>Q1 1999</c:v>
                </c:pt>
                <c:pt idx="177">
                  <c:v>Q2 1999</c:v>
                </c:pt>
                <c:pt idx="178">
                  <c:v>Q3 1999</c:v>
                </c:pt>
                <c:pt idx="179">
                  <c:v>Q4 1999</c:v>
                </c:pt>
                <c:pt idx="180">
                  <c:v>Q1 2000</c:v>
                </c:pt>
                <c:pt idx="181">
                  <c:v>Q2 2000</c:v>
                </c:pt>
                <c:pt idx="182">
                  <c:v>Q3 2000</c:v>
                </c:pt>
                <c:pt idx="183">
                  <c:v>Q4 2000</c:v>
                </c:pt>
                <c:pt idx="184">
                  <c:v>Q1 2001</c:v>
                </c:pt>
                <c:pt idx="185">
                  <c:v>Q2 2001</c:v>
                </c:pt>
                <c:pt idx="186">
                  <c:v>Q3 2001</c:v>
                </c:pt>
                <c:pt idx="187">
                  <c:v>Q4 2001</c:v>
                </c:pt>
                <c:pt idx="188">
                  <c:v>Q1 2002</c:v>
                </c:pt>
                <c:pt idx="189">
                  <c:v>Q2 2002</c:v>
                </c:pt>
                <c:pt idx="190">
                  <c:v>Q3 2002</c:v>
                </c:pt>
                <c:pt idx="191">
                  <c:v>Q4 2002</c:v>
                </c:pt>
                <c:pt idx="192">
                  <c:v>Q1 2003</c:v>
                </c:pt>
                <c:pt idx="193">
                  <c:v>Q2 2003</c:v>
                </c:pt>
                <c:pt idx="194">
                  <c:v>Q3 2003</c:v>
                </c:pt>
                <c:pt idx="195">
                  <c:v>Q4 2003</c:v>
                </c:pt>
                <c:pt idx="196">
                  <c:v>Q1 2004</c:v>
                </c:pt>
                <c:pt idx="197">
                  <c:v>Q2 2004</c:v>
                </c:pt>
                <c:pt idx="198">
                  <c:v>Q3 2004</c:v>
                </c:pt>
                <c:pt idx="199">
                  <c:v>Q4 2004</c:v>
                </c:pt>
                <c:pt idx="200">
                  <c:v>Q1 2005</c:v>
                </c:pt>
                <c:pt idx="201">
                  <c:v>Q2 2005</c:v>
                </c:pt>
                <c:pt idx="202">
                  <c:v>Q3 2005</c:v>
                </c:pt>
                <c:pt idx="203">
                  <c:v>Q4 2005</c:v>
                </c:pt>
                <c:pt idx="204">
                  <c:v>Q1 2006</c:v>
                </c:pt>
                <c:pt idx="205">
                  <c:v>Q2 2006</c:v>
                </c:pt>
                <c:pt idx="206">
                  <c:v>Q3 2006</c:v>
                </c:pt>
                <c:pt idx="207">
                  <c:v>Q4 2006</c:v>
                </c:pt>
                <c:pt idx="208">
                  <c:v>Q1 2007</c:v>
                </c:pt>
                <c:pt idx="209">
                  <c:v>Q2 2007</c:v>
                </c:pt>
                <c:pt idx="210">
                  <c:v>Q3 2007</c:v>
                </c:pt>
                <c:pt idx="211">
                  <c:v>Q4 2007</c:v>
                </c:pt>
                <c:pt idx="212">
                  <c:v>Q1 2008</c:v>
                </c:pt>
                <c:pt idx="213">
                  <c:v>Q2 2008</c:v>
                </c:pt>
                <c:pt idx="214">
                  <c:v>Q3 2008</c:v>
                </c:pt>
                <c:pt idx="215">
                  <c:v>Q4 2008</c:v>
                </c:pt>
                <c:pt idx="216">
                  <c:v>Q1 2009</c:v>
                </c:pt>
                <c:pt idx="217">
                  <c:v>Q2 2009</c:v>
                </c:pt>
                <c:pt idx="218">
                  <c:v>Q3 2009</c:v>
                </c:pt>
                <c:pt idx="219">
                  <c:v>Q4 2009</c:v>
                </c:pt>
                <c:pt idx="220">
                  <c:v>Q1 2010</c:v>
                </c:pt>
                <c:pt idx="221">
                  <c:v>Q2 2010</c:v>
                </c:pt>
                <c:pt idx="222">
                  <c:v>Q3 2010</c:v>
                </c:pt>
                <c:pt idx="223">
                  <c:v>Q4 2010</c:v>
                </c:pt>
                <c:pt idx="224">
                  <c:v>Q1 2011</c:v>
                </c:pt>
                <c:pt idx="225">
                  <c:v>Q2 2011</c:v>
                </c:pt>
                <c:pt idx="226">
                  <c:v>Q3 2011</c:v>
                </c:pt>
                <c:pt idx="227">
                  <c:v>Q4 2011</c:v>
                </c:pt>
                <c:pt idx="228">
                  <c:v>Q1 2012</c:v>
                </c:pt>
                <c:pt idx="229">
                  <c:v>Q2 2012</c:v>
                </c:pt>
                <c:pt idx="230">
                  <c:v>Q3 2012</c:v>
                </c:pt>
                <c:pt idx="231">
                  <c:v>Q4 2012</c:v>
                </c:pt>
                <c:pt idx="232">
                  <c:v>Q1 2013</c:v>
                </c:pt>
                <c:pt idx="233">
                  <c:v>Q2 2013</c:v>
                </c:pt>
                <c:pt idx="234">
                  <c:v>Q3 2013</c:v>
                </c:pt>
                <c:pt idx="235">
                  <c:v>Q4 2013</c:v>
                </c:pt>
                <c:pt idx="236">
                  <c:v>Q1 2014</c:v>
                </c:pt>
                <c:pt idx="237">
                  <c:v>Q2 2014</c:v>
                </c:pt>
                <c:pt idx="238">
                  <c:v>Q3 2014</c:v>
                </c:pt>
                <c:pt idx="239">
                  <c:v>Q4 2014</c:v>
                </c:pt>
              </c:strCache>
            </c:strRef>
          </c:cat>
          <c:val>
            <c:numRef>
              <c:f>Sheet1!$K$3:$K$242</c:f>
              <c:numCache>
                <c:formatCode>0.00%</c:formatCode>
                <c:ptCount val="240"/>
                <c:pt idx="0">
                  <c:v>0.12757677641961634</c:v>
                </c:pt>
                <c:pt idx="1">
                  <c:v>0.13059654000920315</c:v>
                </c:pt>
                <c:pt idx="2">
                  <c:v>0.13248527408430708</c:v>
                </c:pt>
                <c:pt idx="3">
                  <c:v>0.13620054399197515</c:v>
                </c:pt>
                <c:pt idx="4">
                  <c:v>0.13644560208375076</c:v>
                </c:pt>
                <c:pt idx="5">
                  <c:v>0.1395531164249314</c:v>
                </c:pt>
                <c:pt idx="6">
                  <c:v>0.14148704008576132</c:v>
                </c:pt>
                <c:pt idx="7">
                  <c:v>0.14342348523834028</c:v>
                </c:pt>
                <c:pt idx="8">
                  <c:v>0.14351142184170187</c:v>
                </c:pt>
                <c:pt idx="9">
                  <c:v>0.14421881862612254</c:v>
                </c:pt>
                <c:pt idx="10">
                  <c:v>0.14485119831445878</c:v>
                </c:pt>
                <c:pt idx="11">
                  <c:v>0.14779629195024643</c:v>
                </c:pt>
                <c:pt idx="12">
                  <c:v>0.14983767278880908</c:v>
                </c:pt>
                <c:pt idx="13">
                  <c:v>0.15393303903389463</c:v>
                </c:pt>
                <c:pt idx="14">
                  <c:v>0.15228061774212859</c:v>
                </c:pt>
                <c:pt idx="15">
                  <c:v>0.15310573295297691</c:v>
                </c:pt>
                <c:pt idx="16">
                  <c:v>0.15105530029837633</c:v>
                </c:pt>
                <c:pt idx="17">
                  <c:v>0.15816776843129132</c:v>
                </c:pt>
                <c:pt idx="18">
                  <c:v>0.15657518783731347</c:v>
                </c:pt>
                <c:pt idx="19">
                  <c:v>0.16547579126576728</c:v>
                </c:pt>
                <c:pt idx="20">
                  <c:v>0.16672820960405513</c:v>
                </c:pt>
                <c:pt idx="21">
                  <c:v>0.17241583488411436</c:v>
                </c:pt>
                <c:pt idx="22">
                  <c:v>0.17306331137739508</c:v>
                </c:pt>
                <c:pt idx="23">
                  <c:v>0.17762934637763927</c:v>
                </c:pt>
                <c:pt idx="24">
                  <c:v>0.17925265918457103</c:v>
                </c:pt>
                <c:pt idx="25">
                  <c:v>0.18137863337308444</c:v>
                </c:pt>
                <c:pt idx="26">
                  <c:v>0.18498283496285664</c:v>
                </c:pt>
                <c:pt idx="27">
                  <c:v>0.18068490017318564</c:v>
                </c:pt>
                <c:pt idx="28">
                  <c:v>0.18147006934902968</c:v>
                </c:pt>
                <c:pt idx="29">
                  <c:v>0.18380232914002223</c:v>
                </c:pt>
                <c:pt idx="30">
                  <c:v>0.18178979979026408</c:v>
                </c:pt>
                <c:pt idx="31">
                  <c:v>0.1779835390946502</c:v>
                </c:pt>
                <c:pt idx="32">
                  <c:v>0.16385684708666076</c:v>
                </c:pt>
                <c:pt idx="33">
                  <c:v>0.17773894113949762</c:v>
                </c:pt>
                <c:pt idx="34">
                  <c:v>0.18098798397863819</c:v>
                </c:pt>
                <c:pt idx="35">
                  <c:v>0.18417402457940579</c:v>
                </c:pt>
                <c:pt idx="36">
                  <c:v>0.19218620239648831</c:v>
                </c:pt>
                <c:pt idx="37">
                  <c:v>0.19361937796951059</c:v>
                </c:pt>
                <c:pt idx="38">
                  <c:v>0.19600696965296938</c:v>
                </c:pt>
                <c:pt idx="39">
                  <c:v>0.19687285518188058</c:v>
                </c:pt>
                <c:pt idx="40">
                  <c:v>0.20097072761555171</c:v>
                </c:pt>
                <c:pt idx="41">
                  <c:v>0.19794129023939486</c:v>
                </c:pt>
                <c:pt idx="42">
                  <c:v>0.19797704284577794</c:v>
                </c:pt>
                <c:pt idx="43">
                  <c:v>0.20118873664965445</c:v>
                </c:pt>
                <c:pt idx="44">
                  <c:v>0.1968605503552498</c:v>
                </c:pt>
                <c:pt idx="45">
                  <c:v>0.1936677718042715</c:v>
                </c:pt>
                <c:pt idx="46">
                  <c:v>0.19604282631317962</c:v>
                </c:pt>
                <c:pt idx="47">
                  <c:v>0.19757043562425916</c:v>
                </c:pt>
                <c:pt idx="48">
                  <c:v>0.2028145237172746</c:v>
                </c:pt>
                <c:pt idx="49">
                  <c:v>0.20939199748855175</c:v>
                </c:pt>
                <c:pt idx="50">
                  <c:v>0.20948544098264876</c:v>
                </c:pt>
                <c:pt idx="51">
                  <c:v>0.20766423357664235</c:v>
                </c:pt>
                <c:pt idx="52">
                  <c:v>0.21559268098647574</c:v>
                </c:pt>
                <c:pt idx="53">
                  <c:v>0.21404023278192733</c:v>
                </c:pt>
                <c:pt idx="54">
                  <c:v>0.21606427764657563</c:v>
                </c:pt>
                <c:pt idx="55">
                  <c:v>0.22659629527868475</c:v>
                </c:pt>
                <c:pt idx="56">
                  <c:v>0.20917674490109664</c:v>
                </c:pt>
                <c:pt idx="57">
                  <c:v>0.20860152135751903</c:v>
                </c:pt>
                <c:pt idx="58">
                  <c:v>0.21520115832801168</c:v>
                </c:pt>
                <c:pt idx="59">
                  <c:v>0.21516678303423722</c:v>
                </c:pt>
                <c:pt idx="60">
                  <c:v>0.20980593347014265</c:v>
                </c:pt>
                <c:pt idx="61">
                  <c:v>0.21347091282508104</c:v>
                </c:pt>
                <c:pt idx="62">
                  <c:v>0.21402889815818649</c:v>
                </c:pt>
                <c:pt idx="63">
                  <c:v>0.2187702933161782</c:v>
                </c:pt>
                <c:pt idx="64">
                  <c:v>0.21544352967043706</c:v>
                </c:pt>
                <c:pt idx="65">
                  <c:v>0.22210484616400369</c:v>
                </c:pt>
                <c:pt idx="66">
                  <c:v>0.22361592715778547</c:v>
                </c:pt>
                <c:pt idx="67">
                  <c:v>0.22618341196308026</c:v>
                </c:pt>
                <c:pt idx="68">
                  <c:v>0.22356940709513018</c:v>
                </c:pt>
                <c:pt idx="69">
                  <c:v>0.22510867078471747</c:v>
                </c:pt>
                <c:pt idx="70">
                  <c:v>0.22397580737190459</c:v>
                </c:pt>
                <c:pt idx="71">
                  <c:v>0.21981441538599802</c:v>
                </c:pt>
                <c:pt idx="72">
                  <c:v>0.22042809464721236</c:v>
                </c:pt>
                <c:pt idx="73">
                  <c:v>0.21266709748399121</c:v>
                </c:pt>
                <c:pt idx="74">
                  <c:v>0.21028352531765088</c:v>
                </c:pt>
                <c:pt idx="75">
                  <c:v>0.21017783027557732</c:v>
                </c:pt>
                <c:pt idx="76">
                  <c:v>0.21462947283989128</c:v>
                </c:pt>
                <c:pt idx="77">
                  <c:v>0.19975288981631475</c:v>
                </c:pt>
                <c:pt idx="78">
                  <c:v>0.19614616417275138</c:v>
                </c:pt>
                <c:pt idx="79">
                  <c:v>0.20005208246760084</c:v>
                </c:pt>
                <c:pt idx="80">
                  <c:v>0.19480296562072613</c:v>
                </c:pt>
                <c:pt idx="81">
                  <c:v>0.19749984507827772</c:v>
                </c:pt>
                <c:pt idx="82">
                  <c:v>0.19496866009913469</c:v>
                </c:pt>
                <c:pt idx="83">
                  <c:v>0.18679919589010499</c:v>
                </c:pt>
                <c:pt idx="84">
                  <c:v>0.19322907225216021</c:v>
                </c:pt>
                <c:pt idx="85">
                  <c:v>0.19194248881207029</c:v>
                </c:pt>
                <c:pt idx="86">
                  <c:v>0.18709239130434782</c:v>
                </c:pt>
                <c:pt idx="87">
                  <c:v>0.18437860633811431</c:v>
                </c:pt>
                <c:pt idx="88">
                  <c:v>0.17943211897649597</c:v>
                </c:pt>
                <c:pt idx="89">
                  <c:v>0.19068655503083268</c:v>
                </c:pt>
                <c:pt idx="90">
                  <c:v>0.1873273700760634</c:v>
                </c:pt>
                <c:pt idx="91">
                  <c:v>0.19132823598228463</c:v>
                </c:pt>
                <c:pt idx="92">
                  <c:v>0.19637313486983607</c:v>
                </c:pt>
                <c:pt idx="93">
                  <c:v>0.19415790847799488</c:v>
                </c:pt>
                <c:pt idx="94">
                  <c:v>0.19148248087398559</c:v>
                </c:pt>
                <c:pt idx="95">
                  <c:v>0.19025935359257018</c:v>
                </c:pt>
                <c:pt idx="96">
                  <c:v>0.2007683759007548</c:v>
                </c:pt>
                <c:pt idx="97">
                  <c:v>0.19687941075875889</c:v>
                </c:pt>
                <c:pt idx="98">
                  <c:v>0.20511861403681464</c:v>
                </c:pt>
                <c:pt idx="99">
                  <c:v>0.20603507062834875</c:v>
                </c:pt>
                <c:pt idx="100">
                  <c:v>0.19835496342995051</c:v>
                </c:pt>
                <c:pt idx="101">
                  <c:v>0.19409545529896968</c:v>
                </c:pt>
                <c:pt idx="102">
                  <c:v>0.19083923337999659</c:v>
                </c:pt>
                <c:pt idx="103">
                  <c:v>0.18985770465448737</c:v>
                </c:pt>
                <c:pt idx="104">
                  <c:v>0.18004754471345638</c:v>
                </c:pt>
                <c:pt idx="105">
                  <c:v>0.18388880692311216</c:v>
                </c:pt>
                <c:pt idx="106">
                  <c:v>0.18338680962774465</c:v>
                </c:pt>
                <c:pt idx="107">
                  <c:v>0.18080163159507506</c:v>
                </c:pt>
                <c:pt idx="108">
                  <c:v>0.17997361517278049</c:v>
                </c:pt>
                <c:pt idx="109">
                  <c:v>0.18601551079065387</c:v>
                </c:pt>
                <c:pt idx="110">
                  <c:v>0.1914689458351263</c:v>
                </c:pt>
                <c:pt idx="111">
                  <c:v>0.1924134949796632</c:v>
                </c:pt>
                <c:pt idx="112">
                  <c:v>0.19441372616247907</c:v>
                </c:pt>
                <c:pt idx="113">
                  <c:v>0.19014910370246271</c:v>
                </c:pt>
                <c:pt idx="114">
                  <c:v>0.18989491812508574</c:v>
                </c:pt>
                <c:pt idx="115">
                  <c:v>0.19730345079594111</c:v>
                </c:pt>
                <c:pt idx="116">
                  <c:v>0.19946017764893895</c:v>
                </c:pt>
                <c:pt idx="117">
                  <c:v>0.2020171708030703</c:v>
                </c:pt>
                <c:pt idx="118">
                  <c:v>0.20160796789670138</c:v>
                </c:pt>
                <c:pt idx="119">
                  <c:v>0.20030108695151763</c:v>
                </c:pt>
                <c:pt idx="120">
                  <c:v>0.21333642826583649</c:v>
                </c:pt>
                <c:pt idx="121">
                  <c:v>0.19210117376253363</c:v>
                </c:pt>
                <c:pt idx="122">
                  <c:v>0.19396522744692007</c:v>
                </c:pt>
                <c:pt idx="123">
                  <c:v>0.19224386370328073</c:v>
                </c:pt>
                <c:pt idx="124">
                  <c:v>0.18866955374301478</c:v>
                </c:pt>
                <c:pt idx="125">
                  <c:v>0.1811104640725773</c:v>
                </c:pt>
                <c:pt idx="126">
                  <c:v>0.19064228802059774</c:v>
                </c:pt>
                <c:pt idx="127">
                  <c:v>0.19671137444399861</c:v>
                </c:pt>
                <c:pt idx="128">
                  <c:v>0.18877868508946827</c:v>
                </c:pt>
                <c:pt idx="129">
                  <c:v>0.19526523454625164</c:v>
                </c:pt>
                <c:pt idx="130">
                  <c:v>0.20942355031707993</c:v>
                </c:pt>
                <c:pt idx="131">
                  <c:v>0.21228258154954199</c:v>
                </c:pt>
                <c:pt idx="132">
                  <c:v>0.21765550068988421</c:v>
                </c:pt>
                <c:pt idx="133">
                  <c:v>0.22209086302989359</c:v>
                </c:pt>
                <c:pt idx="134">
                  <c:v>0.22075511103891585</c:v>
                </c:pt>
                <c:pt idx="135">
                  <c:v>0.21863927108738668</c:v>
                </c:pt>
                <c:pt idx="136">
                  <c:v>0.22937910069277362</c:v>
                </c:pt>
                <c:pt idx="137">
                  <c:v>0.2231911776983386</c:v>
                </c:pt>
                <c:pt idx="138">
                  <c:v>0.22569988355818868</c:v>
                </c:pt>
                <c:pt idx="139">
                  <c:v>0.2209131689411836</c:v>
                </c:pt>
                <c:pt idx="140">
                  <c:v>0.221380633151324</c:v>
                </c:pt>
                <c:pt idx="141">
                  <c:v>0.21708720241220503</c:v>
                </c:pt>
                <c:pt idx="142">
                  <c:v>0.21735354791736189</c:v>
                </c:pt>
                <c:pt idx="143">
                  <c:v>0.21561304322996974</c:v>
                </c:pt>
                <c:pt idx="144">
                  <c:v>0.20685309237009142</c:v>
                </c:pt>
                <c:pt idx="145">
                  <c:v>0.20397258282907874</c:v>
                </c:pt>
                <c:pt idx="146">
                  <c:v>0.20048776933725493</c:v>
                </c:pt>
                <c:pt idx="147">
                  <c:v>0.20091103965702037</c:v>
                </c:pt>
                <c:pt idx="148">
                  <c:v>0.20156420989798965</c:v>
                </c:pt>
                <c:pt idx="149">
                  <c:v>0.20055388080454442</c:v>
                </c:pt>
                <c:pt idx="150">
                  <c:v>0.20001445878485327</c:v>
                </c:pt>
                <c:pt idx="151">
                  <c:v>0.19346760242046973</c:v>
                </c:pt>
                <c:pt idx="152">
                  <c:v>0.19683088295934204</c:v>
                </c:pt>
                <c:pt idx="153">
                  <c:v>0.19466403162055335</c:v>
                </c:pt>
                <c:pt idx="154">
                  <c:v>0.19328225192109993</c:v>
                </c:pt>
                <c:pt idx="155">
                  <c:v>0.19616430913142602</c:v>
                </c:pt>
                <c:pt idx="156">
                  <c:v>0.19590988848446178</c:v>
                </c:pt>
                <c:pt idx="157">
                  <c:v>0.18948394216024878</c:v>
                </c:pt>
                <c:pt idx="158">
                  <c:v>0.18866527825002832</c:v>
                </c:pt>
                <c:pt idx="159">
                  <c:v>0.18874718151071027</c:v>
                </c:pt>
                <c:pt idx="160">
                  <c:v>0.18566806142560524</c:v>
                </c:pt>
                <c:pt idx="161">
                  <c:v>0.18525219509293056</c:v>
                </c:pt>
                <c:pt idx="162">
                  <c:v>0.1846694961607965</c:v>
                </c:pt>
                <c:pt idx="163">
                  <c:v>0.18477365829793246</c:v>
                </c:pt>
                <c:pt idx="164">
                  <c:v>0.18695729161700708</c:v>
                </c:pt>
                <c:pt idx="165">
                  <c:v>0.19305918706917044</c:v>
                </c:pt>
                <c:pt idx="166">
                  <c:v>0.19071741094541506</c:v>
                </c:pt>
                <c:pt idx="167">
                  <c:v>0.18407010395515289</c:v>
                </c:pt>
                <c:pt idx="168">
                  <c:v>0.17806108576780158</c:v>
                </c:pt>
                <c:pt idx="169">
                  <c:v>0.17861860227400952</c:v>
                </c:pt>
                <c:pt idx="170">
                  <c:v>0.18307028238162706</c:v>
                </c:pt>
                <c:pt idx="171">
                  <c:v>0.18442255169722982</c:v>
                </c:pt>
                <c:pt idx="172">
                  <c:v>0.18324680066038376</c:v>
                </c:pt>
                <c:pt idx="173">
                  <c:v>0.18464873323350126</c:v>
                </c:pt>
                <c:pt idx="174">
                  <c:v>0.18808779425529612</c:v>
                </c:pt>
                <c:pt idx="175">
                  <c:v>0.1912226792101987</c:v>
                </c:pt>
                <c:pt idx="176">
                  <c:v>0.18853472017465167</c:v>
                </c:pt>
                <c:pt idx="177">
                  <c:v>0.18500438102390787</c:v>
                </c:pt>
                <c:pt idx="178">
                  <c:v>0.19001314788756246</c:v>
                </c:pt>
                <c:pt idx="179">
                  <c:v>0.17912801456043706</c:v>
                </c:pt>
                <c:pt idx="180">
                  <c:v>0.1852295109079701</c:v>
                </c:pt>
                <c:pt idx="181">
                  <c:v>0.19018987341772151</c:v>
                </c:pt>
                <c:pt idx="182">
                  <c:v>0.18096728044946628</c:v>
                </c:pt>
                <c:pt idx="183">
                  <c:v>0.18375735073885491</c:v>
                </c:pt>
                <c:pt idx="184">
                  <c:v>0.17610094245013577</c:v>
                </c:pt>
                <c:pt idx="185">
                  <c:v>0.1811970189473194</c:v>
                </c:pt>
                <c:pt idx="186">
                  <c:v>0.18011509025437958</c:v>
                </c:pt>
                <c:pt idx="187">
                  <c:v>0.17378356697234998</c:v>
                </c:pt>
                <c:pt idx="188">
                  <c:v>0.16860232968990133</c:v>
                </c:pt>
                <c:pt idx="189">
                  <c:v>0.17714785542113751</c:v>
                </c:pt>
                <c:pt idx="190">
                  <c:v>0.18073027583051365</c:v>
                </c:pt>
                <c:pt idx="191">
                  <c:v>0.18466998427030445</c:v>
                </c:pt>
                <c:pt idx="192">
                  <c:v>0.17782404160417817</c:v>
                </c:pt>
                <c:pt idx="193">
                  <c:v>0.17422492434452425</c:v>
                </c:pt>
                <c:pt idx="194">
                  <c:v>0.17455213968706471</c:v>
                </c:pt>
                <c:pt idx="195">
                  <c:v>0.17640533829421559</c:v>
                </c:pt>
                <c:pt idx="196">
                  <c:v>0.18116880348712047</c:v>
                </c:pt>
                <c:pt idx="197">
                  <c:v>0.17931226839861339</c:v>
                </c:pt>
                <c:pt idx="198">
                  <c:v>0.17532670808771642</c:v>
                </c:pt>
                <c:pt idx="199">
                  <c:v>0.17254471952862843</c:v>
                </c:pt>
                <c:pt idx="200">
                  <c:v>0.17463045269217248</c:v>
                </c:pt>
                <c:pt idx="201">
                  <c:v>0.17525931158422886</c:v>
                </c:pt>
                <c:pt idx="202">
                  <c:v>0.17844189161052174</c:v>
                </c:pt>
                <c:pt idx="203">
                  <c:v>0.17202004727748638</c:v>
                </c:pt>
                <c:pt idx="204">
                  <c:v>0.171666254797436</c:v>
                </c:pt>
                <c:pt idx="205">
                  <c:v>0.16968884941275061</c:v>
                </c:pt>
                <c:pt idx="206">
                  <c:v>0.17910036543427568</c:v>
                </c:pt>
                <c:pt idx="207">
                  <c:v>0.18134878610245167</c:v>
                </c:pt>
                <c:pt idx="208">
                  <c:v>0.17898299899587741</c:v>
                </c:pt>
                <c:pt idx="209">
                  <c:v>0.18071840045908572</c:v>
                </c:pt>
                <c:pt idx="210">
                  <c:v>0.17707469510341556</c:v>
                </c:pt>
                <c:pt idx="211">
                  <c:v>0.18356405111211699</c:v>
                </c:pt>
                <c:pt idx="212">
                  <c:v>0.17545315908345077</c:v>
                </c:pt>
                <c:pt idx="213">
                  <c:v>0.17620354806331853</c:v>
                </c:pt>
                <c:pt idx="214">
                  <c:v>0.16962300533223146</c:v>
                </c:pt>
                <c:pt idx="215">
                  <c:v>0.1673089791256836</c:v>
                </c:pt>
                <c:pt idx="216">
                  <c:v>0.15744891215811233</c:v>
                </c:pt>
                <c:pt idx="217">
                  <c:v>0.14834560900695451</c:v>
                </c:pt>
                <c:pt idx="218">
                  <c:v>0.15604600081503561</c:v>
                </c:pt>
                <c:pt idx="219">
                  <c:v>0.15443021816000102</c:v>
                </c:pt>
                <c:pt idx="220">
                  <c:v>0.15562718770162418</c:v>
                </c:pt>
                <c:pt idx="221">
                  <c:v>0.15641783535626691</c:v>
                </c:pt>
                <c:pt idx="222">
                  <c:v>0.16383068063664721</c:v>
                </c:pt>
                <c:pt idx="223">
                  <c:v>0.16458476492709803</c:v>
                </c:pt>
                <c:pt idx="224">
                  <c:v>0.16086354609647041</c:v>
                </c:pt>
                <c:pt idx="225">
                  <c:v>0.15763527252888956</c:v>
                </c:pt>
                <c:pt idx="226">
                  <c:v>0.16219450929400986</c:v>
                </c:pt>
                <c:pt idx="227">
                  <c:v>0.16410267777974819</c:v>
                </c:pt>
                <c:pt idx="228">
                  <c:v>0.16388330301784718</c:v>
                </c:pt>
                <c:pt idx="229">
                  <c:v>0.1616185028109281</c:v>
                </c:pt>
                <c:pt idx="230">
                  <c:v>0.15879668800649488</c:v>
                </c:pt>
                <c:pt idx="231">
                  <c:v>0.16103268990595179</c:v>
                </c:pt>
                <c:pt idx="232">
                  <c:v>0.16173762454723953</c:v>
                </c:pt>
                <c:pt idx="233">
                  <c:v>0.16164509718384953</c:v>
                </c:pt>
                <c:pt idx="234">
                  <c:v>0.16479978439615281</c:v>
                </c:pt>
                <c:pt idx="235">
                  <c:v>0.16790528800642276</c:v>
                </c:pt>
                <c:pt idx="236">
                  <c:v>0.17168710475928028</c:v>
                </c:pt>
                <c:pt idx="237">
                  <c:v>0.17153331103017053</c:v>
                </c:pt>
                <c:pt idx="238">
                  <c:v>0.17343120726795916</c:v>
                </c:pt>
                <c:pt idx="239">
                  <c:v>0.17133494541197608</c:v>
                </c:pt>
              </c:numCache>
            </c:numRef>
          </c:val>
          <c:smooth val="0"/>
          <c:extLst>
            <c:ext xmlns:c16="http://schemas.microsoft.com/office/drawing/2014/chart" uri="{C3380CC4-5D6E-409C-BE32-E72D297353CC}">
              <c16:uniqueId val="{00000002-1ED4-420A-B829-290C4FC8CEAD}"/>
            </c:ext>
          </c:extLst>
        </c:ser>
        <c:dLbls>
          <c:showLegendKey val="0"/>
          <c:showVal val="0"/>
          <c:showCatName val="0"/>
          <c:showSerName val="0"/>
          <c:showPercent val="0"/>
          <c:showBubbleSize val="0"/>
        </c:dLbls>
        <c:smooth val="0"/>
        <c:axId val="39962880"/>
        <c:axId val="39972864"/>
      </c:lineChart>
      <c:catAx>
        <c:axId val="39962880"/>
        <c:scaling>
          <c:orientation val="minMax"/>
        </c:scaling>
        <c:delete val="0"/>
        <c:axPos val="b"/>
        <c:numFmt formatCode="General" sourceLinked="0"/>
        <c:majorTickMark val="none"/>
        <c:minorTickMark val="none"/>
        <c:tickLblPos val="nextTo"/>
        <c:crossAx val="39972864"/>
        <c:crosses val="autoZero"/>
        <c:auto val="1"/>
        <c:lblAlgn val="ctr"/>
        <c:lblOffset val="100"/>
        <c:noMultiLvlLbl val="0"/>
      </c:catAx>
      <c:valAx>
        <c:axId val="39972864"/>
        <c:scaling>
          <c:orientation val="minMax"/>
        </c:scaling>
        <c:delete val="0"/>
        <c:axPos val="l"/>
        <c:majorGridlines/>
        <c:title>
          <c:tx>
            <c:rich>
              <a:bodyPr/>
              <a:lstStyle/>
              <a:p>
                <a:pPr>
                  <a:defRPr/>
                </a:pPr>
                <a:r>
                  <a:rPr lang="en-GB"/>
                  <a:t>%of</a:t>
                </a:r>
                <a:r>
                  <a:rPr lang="en-GB" baseline="0"/>
                  <a:t> GDP</a:t>
                </a:r>
                <a:endParaRPr lang="en-GB"/>
              </a:p>
            </c:rich>
          </c:tx>
          <c:layout/>
          <c:overlay val="0"/>
        </c:title>
        <c:numFmt formatCode="0.00%" sourceLinked="1"/>
        <c:majorTickMark val="none"/>
        <c:minorTickMark val="none"/>
        <c:tickLblPos val="nextTo"/>
        <c:crossAx val="39962880"/>
        <c:crosses val="autoZero"/>
        <c:crossBetween val="between"/>
      </c:valAx>
    </c:plotArea>
    <c:legend>
      <c:legendPos val="r"/>
      <c:layout>
        <c:manualLayout>
          <c:xMode val="edge"/>
          <c:yMode val="edge"/>
          <c:x val="0.8257478632478632"/>
          <c:y val="0.28146108800079234"/>
          <c:w val="0.14006410256410257"/>
          <c:h val="0.200049212598425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2FDE-8E21-4EE7-AAF5-B562461F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20056</Words>
  <Characters>114322</Characters>
  <Application>Microsoft Office Word</Application>
  <DocSecurity>4</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134110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Paul Burns</cp:lastModifiedBy>
  <cp:revision>2</cp:revision>
  <cp:lastPrinted>2016-08-08T09:49:00Z</cp:lastPrinted>
  <dcterms:created xsi:type="dcterms:W3CDTF">2018-06-01T08:46:00Z</dcterms:created>
  <dcterms:modified xsi:type="dcterms:W3CDTF">2018-06-01T08:46:00Z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pankaj.chandorkar@cranfield.ac.uk@www.mendeley.com</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http://www.zotero.org/styles/harvard-cranfield-university</vt:lpwstr>
  </property>
  <property fmtid="{D5CDD505-2E9C-101B-9397-08002B2CF9AE}" pid="16" name="Mendeley Recent Style Name 5_1">
    <vt:lpwstr>Harvard - Cranfield University</vt:lpwstr>
  </property>
  <property fmtid="{D5CDD505-2E9C-101B-9397-08002B2CF9AE}" pid="17" name="Mendeley Recent Style Id 6_1">
    <vt:lpwstr>http://citationstyles.org/styles/harvard1-sorted</vt:lpwstr>
  </property>
  <property fmtid="{D5CDD505-2E9C-101B-9397-08002B2CF9AE}" pid="18" name="Mendeley Recent Style Name 6_1">
    <vt:lpwstr>Harvard Cranfield Reference Format v.2</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http://www.zotero.org/styles/journal-of-finance</vt:lpwstr>
  </property>
  <property fmtid="{D5CDD505-2E9C-101B-9397-08002B2CF9AE}" pid="22" name="Mendeley Recent Style Name 8_1">
    <vt:lpwstr>Journal of Finance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