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0908" w14:textId="695EED98" w:rsidR="000740FA" w:rsidRPr="00827A08" w:rsidRDefault="000740FA" w:rsidP="005B08CE">
      <w:pPr>
        <w:spacing w:line="360" w:lineRule="auto"/>
        <w:ind w:right="20"/>
        <w:rPr>
          <w:b/>
          <w:color w:val="000000" w:themeColor="text1"/>
        </w:rPr>
      </w:pPr>
      <w:bookmarkStart w:id="0" w:name="_GoBack"/>
      <w:bookmarkEnd w:id="0"/>
      <w:r w:rsidRPr="00827A08">
        <w:rPr>
          <w:b/>
          <w:color w:val="000000" w:themeColor="text1"/>
        </w:rPr>
        <w:t xml:space="preserve">MAPPING THE POWER STRUGGLES OF THE NATIONAL GREEN </w:t>
      </w:r>
      <w:r w:rsidR="00021CDC" w:rsidRPr="00827A08">
        <w:rPr>
          <w:b/>
          <w:color w:val="000000" w:themeColor="text1"/>
        </w:rPr>
        <w:t>TRIBUNAL</w:t>
      </w:r>
      <w:r w:rsidRPr="00827A08">
        <w:rPr>
          <w:b/>
          <w:color w:val="000000" w:themeColor="text1"/>
        </w:rPr>
        <w:t xml:space="preserve"> OF INDIA: THE RISE AND FALL?</w:t>
      </w:r>
    </w:p>
    <w:p w14:paraId="0A771377" w14:textId="3503AF0A" w:rsidR="001302FD" w:rsidRPr="00D77E98" w:rsidRDefault="00A37556" w:rsidP="00D77E98">
      <w:pPr>
        <w:pStyle w:val="Heading1"/>
        <w:spacing w:line="360" w:lineRule="auto"/>
        <w:rPr>
          <w:b w:val="0"/>
        </w:rPr>
      </w:pPr>
      <w:r w:rsidRPr="00D77E98">
        <w:rPr>
          <w:b w:val="0"/>
        </w:rPr>
        <w:t>1. Introduction</w:t>
      </w:r>
    </w:p>
    <w:p w14:paraId="3E3B586E" w14:textId="6FEA17C8" w:rsidR="00071DE3" w:rsidRPr="00827A08" w:rsidRDefault="00071DE3" w:rsidP="00D77E98">
      <w:pPr>
        <w:spacing w:line="360" w:lineRule="auto"/>
        <w:outlineLvl w:val="0"/>
        <w:rPr>
          <w:color w:val="000000" w:themeColor="text1"/>
        </w:rPr>
      </w:pPr>
      <w:r w:rsidRPr="00827A08">
        <w:rPr>
          <w:color w:val="000000" w:themeColor="text1"/>
        </w:rPr>
        <w:t>“WHAT THOUGH THE FIELD BE LOST? ALL IS</w:t>
      </w:r>
      <w:r w:rsidR="00422134">
        <w:rPr>
          <w:color w:val="000000" w:themeColor="text1"/>
        </w:rPr>
        <w:t xml:space="preserve"> NOT LOST”</w:t>
      </w:r>
      <w:r w:rsidR="007C343B" w:rsidRPr="00827A08">
        <w:rPr>
          <w:rStyle w:val="FootnoteReference"/>
          <w:color w:val="000000" w:themeColor="text1"/>
        </w:rPr>
        <w:footnoteReference w:id="1"/>
      </w:r>
    </w:p>
    <w:p w14:paraId="05BC4869" w14:textId="77777777" w:rsidR="00071DE3" w:rsidRPr="00827A08" w:rsidRDefault="00071DE3" w:rsidP="00D77E98">
      <w:pPr>
        <w:spacing w:line="360" w:lineRule="auto"/>
        <w:rPr>
          <w:color w:val="000000" w:themeColor="text1"/>
        </w:rPr>
      </w:pPr>
    </w:p>
    <w:p w14:paraId="23328C75" w14:textId="38966135" w:rsidR="00071DE3" w:rsidRPr="00827A08" w:rsidRDefault="007719A7" w:rsidP="002C4CC5">
      <w:pPr>
        <w:widowControl w:val="0"/>
        <w:autoSpaceDE w:val="0"/>
        <w:autoSpaceDN w:val="0"/>
        <w:adjustRightInd w:val="0"/>
        <w:spacing w:after="240" w:line="360" w:lineRule="auto"/>
        <w:rPr>
          <w:color w:val="000000" w:themeColor="text1"/>
        </w:rPr>
      </w:pPr>
      <w:r w:rsidRPr="00827A08">
        <w:rPr>
          <w:color w:val="000000" w:themeColor="text1"/>
        </w:rPr>
        <w:t>International declarations and institutions call for judicial specialisation, envisaging expert courts and</w:t>
      </w:r>
      <w:r w:rsidR="00975DBB" w:rsidRPr="00827A08">
        <w:rPr>
          <w:color w:val="000000" w:themeColor="text1"/>
        </w:rPr>
        <w:t xml:space="preserve"> </w:t>
      </w:r>
      <w:r w:rsidRPr="00827A08">
        <w:rPr>
          <w:color w:val="000000" w:themeColor="text1"/>
        </w:rPr>
        <w:t xml:space="preserve"> judges </w:t>
      </w:r>
      <w:r w:rsidR="005F14A6" w:rsidRPr="00827A08">
        <w:rPr>
          <w:color w:val="000000" w:themeColor="text1"/>
        </w:rPr>
        <w:t>and lawyers trained in environ</w:t>
      </w:r>
      <w:r w:rsidR="007E299F" w:rsidRPr="00827A08">
        <w:rPr>
          <w:color w:val="000000" w:themeColor="text1"/>
        </w:rPr>
        <w:t>mental matters to advance</w:t>
      </w:r>
      <w:r w:rsidRPr="00827A08">
        <w:rPr>
          <w:color w:val="000000" w:themeColor="text1"/>
        </w:rPr>
        <w:t xml:space="preserve"> the envir</w:t>
      </w:r>
      <w:r w:rsidR="00EC1F57" w:rsidRPr="00827A08">
        <w:rPr>
          <w:color w:val="000000" w:themeColor="text1"/>
        </w:rPr>
        <w:t>onmental rule of law and promote</w:t>
      </w:r>
      <w:r w:rsidRPr="00827A08">
        <w:rPr>
          <w:color w:val="000000" w:themeColor="text1"/>
        </w:rPr>
        <w:t xml:space="preserve"> sustainable development.</w:t>
      </w:r>
      <w:r w:rsidRPr="00827A08">
        <w:rPr>
          <w:rStyle w:val="FootnoteReference"/>
          <w:color w:val="000000" w:themeColor="text1"/>
        </w:rPr>
        <w:footnoteReference w:id="2"/>
      </w:r>
      <w:r w:rsidR="00F266EE" w:rsidRPr="00827A08">
        <w:rPr>
          <w:color w:val="000000" w:themeColor="text1"/>
        </w:rPr>
        <w:t xml:space="preserve"> </w:t>
      </w:r>
      <w:r w:rsidR="001F0F23" w:rsidRPr="00827A08">
        <w:rPr>
          <w:color w:val="000000" w:themeColor="text1"/>
        </w:rPr>
        <w:t xml:space="preserve"> Specialist</w:t>
      </w:r>
      <w:r w:rsidR="00F266EE" w:rsidRPr="00827A08">
        <w:rPr>
          <w:color w:val="000000" w:themeColor="text1"/>
        </w:rPr>
        <w:t xml:space="preserve"> environment</w:t>
      </w:r>
      <w:r w:rsidR="005F14A6" w:rsidRPr="00827A08">
        <w:rPr>
          <w:color w:val="000000" w:themeColor="text1"/>
        </w:rPr>
        <w:t xml:space="preserve"> courts and </w:t>
      </w:r>
      <w:r w:rsidR="00021CDC" w:rsidRPr="00827A08">
        <w:rPr>
          <w:color w:val="000000" w:themeColor="text1"/>
        </w:rPr>
        <w:t>Tribunal</w:t>
      </w:r>
      <w:r w:rsidR="005F14A6" w:rsidRPr="00827A08">
        <w:rPr>
          <w:color w:val="000000" w:themeColor="text1"/>
        </w:rPr>
        <w:t xml:space="preserve">s </w:t>
      </w:r>
      <w:r w:rsidR="001F0F23" w:rsidRPr="00827A08">
        <w:rPr>
          <w:color w:val="000000" w:themeColor="text1"/>
        </w:rPr>
        <w:t xml:space="preserve">are better positioned </w:t>
      </w:r>
      <w:r w:rsidR="00127391">
        <w:rPr>
          <w:color w:val="000000" w:themeColor="text1"/>
        </w:rPr>
        <w:t xml:space="preserve">than general courts </w:t>
      </w:r>
      <w:r w:rsidR="001F0F23" w:rsidRPr="00827A08">
        <w:rPr>
          <w:color w:val="000000" w:themeColor="text1"/>
        </w:rPr>
        <w:t>to develop innovative remedies and holistic solutions to environmental problems by embracing a flexible mechanism for dispute resolution.</w:t>
      </w:r>
      <w:r w:rsidR="001F0F23" w:rsidRPr="00827A08">
        <w:rPr>
          <w:rStyle w:val="FootnoteReference"/>
          <w:color w:val="000000" w:themeColor="text1"/>
        </w:rPr>
        <w:footnoteReference w:id="3"/>
      </w:r>
      <w:r w:rsidR="001F0F23" w:rsidRPr="00827A08">
        <w:rPr>
          <w:color w:val="000000" w:themeColor="text1"/>
        </w:rPr>
        <w:t xml:space="preserve"> </w:t>
      </w:r>
      <w:r w:rsidR="0008330D" w:rsidRPr="00827A08">
        <w:rPr>
          <w:color w:val="000000" w:themeColor="text1"/>
        </w:rPr>
        <w:t>In this co</w:t>
      </w:r>
      <w:r w:rsidR="006579A9">
        <w:rPr>
          <w:color w:val="000000" w:themeColor="text1"/>
        </w:rPr>
        <w:t>ntext, India’s commitment to a “green court”</w:t>
      </w:r>
      <w:r w:rsidR="0008330D" w:rsidRPr="00827A08">
        <w:rPr>
          <w:color w:val="000000" w:themeColor="text1"/>
        </w:rPr>
        <w:t xml:space="preserve"> assumes significant practical importance. </w:t>
      </w:r>
      <w:r w:rsidR="00071DE3" w:rsidRPr="00827A08">
        <w:rPr>
          <w:color w:val="000000" w:themeColor="text1"/>
        </w:rPr>
        <w:t xml:space="preserve">The National Green </w:t>
      </w:r>
      <w:r w:rsidR="00021CDC" w:rsidRPr="00827A08">
        <w:rPr>
          <w:color w:val="000000" w:themeColor="text1"/>
        </w:rPr>
        <w:t>Tribunal</w:t>
      </w:r>
      <w:r w:rsidR="00071DE3" w:rsidRPr="00827A08">
        <w:rPr>
          <w:color w:val="000000" w:themeColor="text1"/>
        </w:rPr>
        <w:t xml:space="preserve"> of India</w:t>
      </w:r>
      <w:r w:rsidR="00217DEC" w:rsidRPr="00827A08">
        <w:rPr>
          <w:color w:val="000000" w:themeColor="text1"/>
        </w:rPr>
        <w:t xml:space="preserve"> (NGT)</w:t>
      </w:r>
      <w:r w:rsidR="00071DE3" w:rsidRPr="00827A08">
        <w:rPr>
          <w:color w:val="000000" w:themeColor="text1"/>
        </w:rPr>
        <w:t xml:space="preserve"> was established by statute in 2010.</w:t>
      </w:r>
      <w:r w:rsidR="000123D5" w:rsidRPr="00827A08">
        <w:rPr>
          <w:rStyle w:val="FootnoteReference"/>
          <w:color w:val="000000" w:themeColor="text1"/>
        </w:rPr>
        <w:footnoteReference w:id="4"/>
      </w:r>
      <w:r w:rsidR="00071DE3" w:rsidRPr="00827A08">
        <w:rPr>
          <w:color w:val="000000" w:themeColor="text1"/>
        </w:rPr>
        <w:t xml:space="preserve"> Subsequently the NGT </w:t>
      </w:r>
      <w:r w:rsidR="00C30B8D" w:rsidRPr="00827A08">
        <w:rPr>
          <w:color w:val="000000" w:themeColor="text1"/>
        </w:rPr>
        <w:t>acquir</w:t>
      </w:r>
      <w:r w:rsidR="00071DE3" w:rsidRPr="00827A08">
        <w:rPr>
          <w:color w:val="000000" w:themeColor="text1"/>
        </w:rPr>
        <w:t>ed a national and international reputation based upon its progressive, innovative environmental decisions that reach far beyond the court room door. The ju</w:t>
      </w:r>
      <w:r w:rsidR="009B43F1" w:rsidRPr="00827A08">
        <w:rPr>
          <w:color w:val="000000" w:themeColor="text1"/>
        </w:rPr>
        <w:t>dicial membership of the NGT</w:t>
      </w:r>
      <w:r w:rsidR="00071DE3" w:rsidRPr="00827A08">
        <w:rPr>
          <w:color w:val="000000" w:themeColor="text1"/>
        </w:rPr>
        <w:t xml:space="preserve"> is comprised of </w:t>
      </w:r>
      <w:r w:rsidR="00E316FF" w:rsidRPr="00827A08">
        <w:rPr>
          <w:color w:val="000000" w:themeColor="text1"/>
        </w:rPr>
        <w:t>legal</w:t>
      </w:r>
      <w:r w:rsidR="00635D13" w:rsidRPr="00827A08">
        <w:rPr>
          <w:color w:val="000000" w:themeColor="text1"/>
        </w:rPr>
        <w:t xml:space="preserve"> and scientific experts</w:t>
      </w:r>
      <w:r w:rsidR="00071DE3" w:rsidRPr="00827A08">
        <w:rPr>
          <w:color w:val="000000" w:themeColor="text1"/>
        </w:rPr>
        <w:t xml:space="preserve">, a composition unique </w:t>
      </w:r>
      <w:r w:rsidR="00AA559C" w:rsidRPr="00827A08">
        <w:rPr>
          <w:color w:val="000000" w:themeColor="text1"/>
        </w:rPr>
        <w:t>with</w:t>
      </w:r>
      <w:r w:rsidR="00071DE3" w:rsidRPr="00827A08">
        <w:rPr>
          <w:color w:val="000000" w:themeColor="text1"/>
        </w:rPr>
        <w:t>in India. It resulted in a symbiotic, dynamic community of decision makers employing a vigorous, flexible court process that offers swift, affordable and open public access through the widest possible interpretation of who is an aggrieved party.</w:t>
      </w:r>
    </w:p>
    <w:p w14:paraId="704108E7" w14:textId="5281D7FF" w:rsidR="00071DE3" w:rsidRPr="0061367F" w:rsidRDefault="0005378B" w:rsidP="002C4CC5">
      <w:pPr>
        <w:spacing w:line="360" w:lineRule="auto"/>
        <w:rPr>
          <w:color w:val="000000" w:themeColor="text1"/>
        </w:rPr>
      </w:pPr>
      <w:r w:rsidRPr="00827A08">
        <w:rPr>
          <w:color w:val="000000" w:themeColor="text1"/>
        </w:rPr>
        <w:t>The widespread</w:t>
      </w:r>
      <w:r w:rsidR="00071DE3" w:rsidRPr="00827A08">
        <w:rPr>
          <w:color w:val="000000" w:themeColor="text1"/>
        </w:rPr>
        <w:t xml:space="preserve"> recognition of this bold, </w:t>
      </w:r>
      <w:r w:rsidR="0030572A" w:rsidRPr="00827A08">
        <w:rPr>
          <w:color w:val="000000" w:themeColor="text1"/>
        </w:rPr>
        <w:t xml:space="preserve">innovative </w:t>
      </w:r>
      <w:r w:rsidR="00021CDC" w:rsidRPr="00827A08">
        <w:rPr>
          <w:color w:val="000000" w:themeColor="text1"/>
        </w:rPr>
        <w:t>Tribunal</w:t>
      </w:r>
      <w:r w:rsidR="00071DE3" w:rsidRPr="00827A08">
        <w:rPr>
          <w:color w:val="000000" w:themeColor="text1"/>
        </w:rPr>
        <w:t xml:space="preserve"> is fulsome and positive</w:t>
      </w:r>
      <w:r w:rsidR="008A0AF2" w:rsidRPr="00827A08">
        <w:rPr>
          <w:color w:val="000000" w:themeColor="text1"/>
        </w:rPr>
        <w:t>. It stands as</w:t>
      </w:r>
      <w:r w:rsidR="00071DE3" w:rsidRPr="00827A08">
        <w:rPr>
          <w:color w:val="000000" w:themeColor="text1"/>
        </w:rPr>
        <w:t xml:space="preserve"> an exemplar fo</w:t>
      </w:r>
      <w:r w:rsidR="00E44255" w:rsidRPr="00827A08">
        <w:rPr>
          <w:color w:val="000000" w:themeColor="text1"/>
        </w:rPr>
        <w:t>r developing nations. Pring and</w:t>
      </w:r>
      <w:r w:rsidR="00071DE3" w:rsidRPr="00827A08">
        <w:rPr>
          <w:color w:val="000000" w:themeColor="text1"/>
        </w:rPr>
        <w:t xml:space="preserve"> Pring describe the </w:t>
      </w:r>
      <w:r w:rsidR="00B65505" w:rsidRPr="00827A08">
        <w:rPr>
          <w:color w:val="000000" w:themeColor="text1"/>
        </w:rPr>
        <w:t xml:space="preserve">NGT in their path breaking </w:t>
      </w:r>
      <w:r w:rsidR="0030572A" w:rsidRPr="00827A08">
        <w:rPr>
          <w:color w:val="000000" w:themeColor="text1"/>
        </w:rPr>
        <w:t>publication</w:t>
      </w:r>
      <w:r w:rsidR="00071DE3" w:rsidRPr="00827A08">
        <w:rPr>
          <w:color w:val="000000" w:themeColor="text1"/>
        </w:rPr>
        <w:t xml:space="preserve"> on courts and environmental </w:t>
      </w:r>
      <w:r w:rsidR="00021CDC" w:rsidRPr="00827A08">
        <w:rPr>
          <w:color w:val="000000" w:themeColor="text1"/>
        </w:rPr>
        <w:t>Tribunal</w:t>
      </w:r>
      <w:r w:rsidR="00071DE3" w:rsidRPr="00827A08">
        <w:rPr>
          <w:color w:val="000000" w:themeColor="text1"/>
        </w:rPr>
        <w:t>s</w:t>
      </w:r>
      <w:r w:rsidR="00B818A3">
        <w:rPr>
          <w:color w:val="000000" w:themeColor="text1"/>
        </w:rPr>
        <w:t xml:space="preserve"> as “</w:t>
      </w:r>
      <w:r w:rsidR="00071DE3" w:rsidRPr="00827A08">
        <w:rPr>
          <w:color w:val="000000" w:themeColor="text1"/>
        </w:rPr>
        <w:t xml:space="preserve">incorporating a number of best practices… and has become a major arbiter of some of the most pivotal </w:t>
      </w:r>
      <w:r w:rsidR="000123D5" w:rsidRPr="00827A08">
        <w:rPr>
          <w:color w:val="000000" w:themeColor="text1"/>
        </w:rPr>
        <w:t xml:space="preserve">environmental </w:t>
      </w:r>
      <w:r w:rsidR="000123D5" w:rsidRPr="00827A08">
        <w:rPr>
          <w:color w:val="000000" w:themeColor="text1"/>
        </w:rPr>
        <w:lastRenderedPageBreak/>
        <w:t>battles in India.</w:t>
      </w:r>
      <w:r w:rsidR="00B818A3">
        <w:rPr>
          <w:color w:val="000000" w:themeColor="text1"/>
        </w:rPr>
        <w:t>”</w:t>
      </w:r>
      <w:r w:rsidR="00AA07E6" w:rsidRPr="00827A08">
        <w:rPr>
          <w:rStyle w:val="FootnoteReference"/>
          <w:color w:val="000000" w:themeColor="text1"/>
        </w:rPr>
        <w:footnoteReference w:id="5"/>
      </w:r>
      <w:r w:rsidR="00071DE3" w:rsidRPr="00827A08">
        <w:rPr>
          <w:color w:val="000000" w:themeColor="text1"/>
        </w:rPr>
        <w:t xml:space="preserve"> </w:t>
      </w:r>
      <w:r w:rsidR="0061367F">
        <w:rPr>
          <w:color w:val="000000" w:themeColor="text1"/>
        </w:rPr>
        <w:t>They subsequently stated “</w:t>
      </w:r>
      <w:r w:rsidR="00071DE3" w:rsidRPr="00827A08">
        <w:rPr>
          <w:color w:val="000000" w:themeColor="text1"/>
        </w:rPr>
        <w:t>the NGT has successfully expanded its openness, procedural flexibility, transpar</w:t>
      </w:r>
      <w:r w:rsidR="00AA07E6" w:rsidRPr="00827A08">
        <w:rPr>
          <w:color w:val="000000" w:themeColor="text1"/>
        </w:rPr>
        <w:t>ency and progressive judgments.</w:t>
      </w:r>
      <w:r w:rsidR="0061367F">
        <w:rPr>
          <w:color w:val="000000" w:themeColor="text1"/>
        </w:rPr>
        <w:t>”</w:t>
      </w:r>
      <w:r w:rsidR="00AA07E6" w:rsidRPr="00827A08">
        <w:rPr>
          <w:rStyle w:val="FootnoteReference"/>
          <w:color w:val="000000" w:themeColor="text1"/>
        </w:rPr>
        <w:footnoteReference w:id="6"/>
      </w:r>
      <w:r w:rsidR="00AA07E6" w:rsidRPr="00827A08">
        <w:rPr>
          <w:color w:val="000000" w:themeColor="text1"/>
        </w:rPr>
        <w:t xml:space="preserve"> </w:t>
      </w:r>
      <w:r w:rsidR="00EC6462" w:rsidRPr="00827A08">
        <w:rPr>
          <w:color w:val="000000" w:themeColor="text1"/>
        </w:rPr>
        <w:t>Lord Carnwath of Notting Hill, Judge o</w:t>
      </w:r>
      <w:r w:rsidR="00AF3028" w:rsidRPr="00827A08">
        <w:rPr>
          <w:color w:val="000000" w:themeColor="text1"/>
        </w:rPr>
        <w:t xml:space="preserve">f the Supreme Court UK observed </w:t>
      </w:r>
      <w:r w:rsidR="00EC6462" w:rsidRPr="00827A08">
        <w:rPr>
          <w:color w:val="000000" w:themeColor="text1"/>
        </w:rPr>
        <w:t xml:space="preserve">the </w:t>
      </w:r>
      <w:r w:rsidR="00021CDC" w:rsidRPr="00827A08">
        <w:rPr>
          <w:color w:val="000000" w:themeColor="text1"/>
        </w:rPr>
        <w:t>Tribunal</w:t>
      </w:r>
      <w:r w:rsidR="00EC6462" w:rsidRPr="00827A08">
        <w:rPr>
          <w:color w:val="000000" w:themeColor="text1"/>
        </w:rPr>
        <w:t xml:space="preserve"> as </w:t>
      </w:r>
      <w:r w:rsidR="0061367F">
        <w:rPr>
          <w:rFonts w:eastAsia="Times New Roman"/>
          <w:color w:val="000000" w:themeColor="text1"/>
        </w:rPr>
        <w:t>“</w:t>
      </w:r>
      <w:r w:rsidR="00A20DD0" w:rsidRPr="00827A08">
        <w:rPr>
          <w:rFonts w:eastAsia="Times New Roman"/>
          <w:color w:val="000000" w:themeColor="text1"/>
        </w:rPr>
        <w:t>raising awareness and a sense of environmental responsibility in the government, loca</w:t>
      </w:r>
      <w:r w:rsidR="00A47C49" w:rsidRPr="00827A08">
        <w:rPr>
          <w:rFonts w:eastAsia="Times New Roman"/>
          <w:color w:val="000000" w:themeColor="text1"/>
        </w:rPr>
        <w:t>l and national, and the public.</w:t>
      </w:r>
      <w:r w:rsidR="0061367F">
        <w:rPr>
          <w:rFonts w:eastAsia="Times New Roman"/>
          <w:color w:val="000000" w:themeColor="text1"/>
        </w:rPr>
        <w:t>”</w:t>
      </w:r>
      <w:r w:rsidR="00EC6462" w:rsidRPr="00827A08">
        <w:rPr>
          <w:rStyle w:val="FootnoteReference"/>
          <w:color w:val="000000" w:themeColor="text1"/>
        </w:rPr>
        <w:footnoteReference w:id="7"/>
      </w:r>
      <w:r w:rsidR="00E309D4" w:rsidRPr="00827A08">
        <w:rPr>
          <w:color w:val="000000" w:themeColor="text1"/>
        </w:rPr>
        <w:t xml:space="preserve"> </w:t>
      </w:r>
      <w:r w:rsidR="0052600A">
        <w:rPr>
          <w:color w:val="000000" w:themeColor="text1"/>
        </w:rPr>
        <w:t>Chief Justice Brian Preston</w:t>
      </w:r>
      <w:r w:rsidR="00393C9D">
        <w:rPr>
          <w:color w:val="000000" w:themeColor="text1"/>
        </w:rPr>
        <w:t xml:space="preserve">, Land and Environment Court of NSW Australia wrote </w:t>
      </w:r>
      <w:r w:rsidR="0061367F">
        <w:rPr>
          <w:color w:val="000000" w:themeColor="text1"/>
        </w:rPr>
        <w:t>“</w:t>
      </w:r>
      <w:r w:rsidR="00722200">
        <w:rPr>
          <w:color w:val="000000" w:themeColor="text1"/>
        </w:rPr>
        <w:t>the NGT is an example of a specialised court to better achieve the goals of ensuring access to justice, upholding the rule of law and promoting good governance.</w:t>
      </w:r>
      <w:r w:rsidR="0061367F">
        <w:rPr>
          <w:color w:val="000000" w:themeColor="text1"/>
        </w:rPr>
        <w:t>”</w:t>
      </w:r>
      <w:r w:rsidR="00722200">
        <w:rPr>
          <w:rStyle w:val="FootnoteReference"/>
          <w:color w:val="000000" w:themeColor="text1"/>
        </w:rPr>
        <w:footnoteReference w:id="8"/>
      </w:r>
      <w:r w:rsidR="00722200">
        <w:rPr>
          <w:color w:val="000000" w:themeColor="text1"/>
        </w:rPr>
        <w:t xml:space="preserve"> </w:t>
      </w:r>
      <w:r w:rsidR="00071DE3" w:rsidRPr="00827A08">
        <w:rPr>
          <w:color w:val="000000" w:themeColor="text1"/>
        </w:rPr>
        <w:t xml:space="preserve">Judge Michael Hantke Domas, Chief Justice of the </w:t>
      </w:r>
      <w:r w:rsidR="00AA559C" w:rsidRPr="00827A08">
        <w:rPr>
          <w:color w:val="000000" w:themeColor="text1"/>
        </w:rPr>
        <w:t>T</w:t>
      </w:r>
      <w:r w:rsidR="00071DE3" w:rsidRPr="00827A08">
        <w:rPr>
          <w:color w:val="000000" w:themeColor="text1"/>
        </w:rPr>
        <w:t xml:space="preserve">hird </w:t>
      </w:r>
      <w:r w:rsidR="00AA559C" w:rsidRPr="00827A08">
        <w:rPr>
          <w:color w:val="000000" w:themeColor="text1"/>
        </w:rPr>
        <w:t>E</w:t>
      </w:r>
      <w:r w:rsidR="00071DE3" w:rsidRPr="00827A08">
        <w:rPr>
          <w:color w:val="000000" w:themeColor="text1"/>
        </w:rPr>
        <w:t xml:space="preserve">nvironmental </w:t>
      </w:r>
      <w:r w:rsidR="00AA559C" w:rsidRPr="00827A08">
        <w:rPr>
          <w:color w:val="000000" w:themeColor="text1"/>
        </w:rPr>
        <w:t>C</w:t>
      </w:r>
      <w:r w:rsidR="00071DE3" w:rsidRPr="00827A08">
        <w:rPr>
          <w:color w:val="000000" w:themeColor="text1"/>
        </w:rPr>
        <w:t xml:space="preserve">ourt Chile focused on </w:t>
      </w:r>
      <w:r w:rsidR="00AA559C" w:rsidRPr="00827A08">
        <w:rPr>
          <w:color w:val="000000" w:themeColor="text1"/>
        </w:rPr>
        <w:t xml:space="preserve">the </w:t>
      </w:r>
      <w:r w:rsidR="00071DE3" w:rsidRPr="00827A08">
        <w:rPr>
          <w:color w:val="000000" w:themeColor="text1"/>
        </w:rPr>
        <w:t>novelty and bol</w:t>
      </w:r>
      <w:r w:rsidR="00AA559C" w:rsidRPr="00827A08">
        <w:rPr>
          <w:color w:val="000000" w:themeColor="text1"/>
        </w:rPr>
        <w:t>d</w:t>
      </w:r>
      <w:r w:rsidR="00071DE3" w:rsidRPr="00827A08">
        <w:rPr>
          <w:color w:val="000000" w:themeColor="text1"/>
        </w:rPr>
        <w:t>ness of the NGT</w:t>
      </w:r>
      <w:r w:rsidR="00AA07E6" w:rsidRPr="00827A08">
        <w:rPr>
          <w:color w:val="000000" w:themeColor="text1"/>
        </w:rPr>
        <w:t xml:space="preserve">. </w:t>
      </w:r>
      <w:r w:rsidR="0061367F">
        <w:rPr>
          <w:color w:val="000000" w:themeColor="text1"/>
        </w:rPr>
        <w:t>According to Domas J, “</w:t>
      </w:r>
      <w:r w:rsidR="00A8071D" w:rsidRPr="00827A08">
        <w:rPr>
          <w:color w:val="000000" w:themeColor="text1"/>
        </w:rPr>
        <w:t>as a new player in the Indian judicial panorama, the NGT was strongly led by knowledgeable and valorous judges, who were fit to answer justice demands of the people represented by equally qualified and tenacious lawyers.</w:t>
      </w:r>
      <w:r w:rsidR="0061367F">
        <w:rPr>
          <w:color w:val="000000" w:themeColor="text1"/>
        </w:rPr>
        <w:t>”</w:t>
      </w:r>
      <w:r w:rsidR="00A8071D" w:rsidRPr="00827A08">
        <w:rPr>
          <w:rStyle w:val="FootnoteReference"/>
          <w:color w:val="000000" w:themeColor="text1"/>
        </w:rPr>
        <w:footnoteReference w:id="9"/>
      </w:r>
      <w:r w:rsidR="00A8071D" w:rsidRPr="00827A08">
        <w:rPr>
          <w:color w:val="000000" w:themeColor="text1"/>
        </w:rPr>
        <w:t xml:space="preserve"> </w:t>
      </w:r>
      <w:r w:rsidR="00C431AD" w:rsidRPr="00827A08">
        <w:rPr>
          <w:color w:val="000000" w:themeColor="text1"/>
        </w:rPr>
        <w:t xml:space="preserve">Judge Michael </w:t>
      </w:r>
      <w:r w:rsidR="00071DE3" w:rsidRPr="00827A08">
        <w:rPr>
          <w:color w:val="000000" w:themeColor="text1"/>
        </w:rPr>
        <w:t xml:space="preserve">Rackemann of the Queensland Planning and </w:t>
      </w:r>
      <w:r w:rsidR="0061367F">
        <w:rPr>
          <w:color w:val="000000" w:themeColor="text1"/>
        </w:rPr>
        <w:t>Environmental Court considered “</w:t>
      </w:r>
      <w:r w:rsidR="00071DE3" w:rsidRPr="00827A08">
        <w:rPr>
          <w:color w:val="000000" w:themeColor="text1"/>
        </w:rPr>
        <w:t xml:space="preserve">the </w:t>
      </w:r>
      <w:r w:rsidR="00071DE3" w:rsidRPr="00827A08">
        <w:rPr>
          <w:bCs/>
          <w:color w:val="000000" w:themeColor="text1"/>
        </w:rPr>
        <w:t>NGT</w:t>
      </w:r>
      <w:r w:rsidR="00071DE3" w:rsidRPr="00827A08">
        <w:rPr>
          <w:b/>
          <w:bCs/>
          <w:color w:val="000000" w:themeColor="text1"/>
        </w:rPr>
        <w:t xml:space="preserve"> </w:t>
      </w:r>
      <w:r w:rsidR="00071DE3" w:rsidRPr="00827A08">
        <w:rPr>
          <w:color w:val="000000" w:themeColor="text1"/>
        </w:rPr>
        <w:t>adopts a robust</w:t>
      </w:r>
      <w:r w:rsidR="00AA559C" w:rsidRPr="00827A08">
        <w:rPr>
          <w:color w:val="000000" w:themeColor="text1"/>
        </w:rPr>
        <w:t xml:space="preserve"> and expansionist approach to the interpretation </w:t>
      </w:r>
      <w:r w:rsidR="00AA07E6" w:rsidRPr="00827A08">
        <w:rPr>
          <w:color w:val="000000" w:themeColor="text1"/>
        </w:rPr>
        <w:t>of its jurisdiction and powers.</w:t>
      </w:r>
      <w:r w:rsidR="0061367F">
        <w:rPr>
          <w:color w:val="000000" w:themeColor="text1"/>
        </w:rPr>
        <w:t>”</w:t>
      </w:r>
      <w:r w:rsidR="00AA07E6" w:rsidRPr="00827A08">
        <w:rPr>
          <w:rStyle w:val="FootnoteReference"/>
          <w:color w:val="000000" w:themeColor="text1"/>
        </w:rPr>
        <w:footnoteReference w:id="10"/>
      </w:r>
      <w:r w:rsidR="00F24E0A" w:rsidRPr="00827A08">
        <w:rPr>
          <w:color w:val="000000" w:themeColor="text1"/>
        </w:rPr>
        <w:t xml:space="preserve"> </w:t>
      </w:r>
      <w:r w:rsidR="001E1179" w:rsidRPr="00827A08">
        <w:rPr>
          <w:color w:val="000000" w:themeColor="text1"/>
        </w:rPr>
        <w:t xml:space="preserve">Academic experts </w:t>
      </w:r>
      <w:r w:rsidR="0037295F" w:rsidRPr="00827A08">
        <w:rPr>
          <w:color w:val="000000" w:themeColor="text1"/>
        </w:rPr>
        <w:t>including</w:t>
      </w:r>
      <w:r w:rsidR="00856711" w:rsidRPr="00827A08">
        <w:rPr>
          <w:color w:val="000000" w:themeColor="text1"/>
        </w:rPr>
        <w:t xml:space="preserve"> Warnock </w:t>
      </w:r>
      <w:r w:rsidR="0061367F">
        <w:rPr>
          <w:color w:val="000000" w:themeColor="text1"/>
        </w:rPr>
        <w:t>described the NGT as follows “</w:t>
      </w:r>
      <w:r w:rsidR="00A47C49" w:rsidRPr="00827A08">
        <w:rPr>
          <w:color w:val="000000" w:themeColor="text1"/>
        </w:rPr>
        <w:t>t</w:t>
      </w:r>
      <w:r w:rsidR="00071DE3" w:rsidRPr="00827A08">
        <w:rPr>
          <w:color w:val="000000" w:themeColor="text1"/>
        </w:rPr>
        <w:t>he NGT is one of the world</w:t>
      </w:r>
      <w:r w:rsidR="00A47C49" w:rsidRPr="00827A08">
        <w:rPr>
          <w:color w:val="000000" w:themeColor="text1"/>
        </w:rPr>
        <w:t xml:space="preserve">’s most progressive </w:t>
      </w:r>
      <w:r w:rsidR="00021CDC" w:rsidRPr="00827A08">
        <w:rPr>
          <w:color w:val="000000" w:themeColor="text1"/>
        </w:rPr>
        <w:t>Tribunal</w:t>
      </w:r>
      <w:r w:rsidR="00A47C49" w:rsidRPr="00827A08">
        <w:rPr>
          <w:color w:val="000000" w:themeColor="text1"/>
        </w:rPr>
        <w:t>s….t</w:t>
      </w:r>
      <w:r w:rsidR="00071DE3" w:rsidRPr="00827A08">
        <w:rPr>
          <w:color w:val="000000" w:themeColor="text1"/>
        </w:rPr>
        <w:t>he procedures adopted, powers assumed, and remedies employed by the NGT are notable.</w:t>
      </w:r>
      <w:r w:rsidR="0061367F">
        <w:rPr>
          <w:color w:val="000000" w:themeColor="text1"/>
        </w:rPr>
        <w:t>”</w:t>
      </w:r>
      <w:r w:rsidR="00AA07E6" w:rsidRPr="00827A08">
        <w:rPr>
          <w:rStyle w:val="FootnoteReference"/>
          <w:color w:val="000000" w:themeColor="text1"/>
        </w:rPr>
        <w:footnoteReference w:id="11"/>
      </w:r>
      <w:r w:rsidR="000E505A" w:rsidRPr="00827A08">
        <w:rPr>
          <w:color w:val="000000" w:themeColor="text1"/>
        </w:rPr>
        <w:t xml:space="preserve"> Ryall</w:t>
      </w:r>
      <w:r w:rsidR="00856711" w:rsidRPr="00827A08">
        <w:rPr>
          <w:color w:val="000000" w:themeColor="text1"/>
        </w:rPr>
        <w:t xml:space="preserve"> stated</w:t>
      </w:r>
      <w:r w:rsidR="0030572A" w:rsidRPr="00827A08">
        <w:rPr>
          <w:color w:val="000000" w:themeColor="text1"/>
        </w:rPr>
        <w:t xml:space="preserve"> </w:t>
      </w:r>
      <w:r w:rsidR="0061367F">
        <w:rPr>
          <w:color w:val="000000" w:themeColor="text1"/>
        </w:rPr>
        <w:t xml:space="preserve">“the </w:t>
      </w:r>
      <w:r w:rsidR="00BE22EF" w:rsidRPr="00827A08">
        <w:rPr>
          <w:color w:val="000000" w:themeColor="text1"/>
        </w:rPr>
        <w:t>emergence of the NGT, its co</w:t>
      </w:r>
      <w:r w:rsidR="0061367F">
        <w:rPr>
          <w:color w:val="000000" w:themeColor="text1"/>
        </w:rPr>
        <w:t>ntemporary jurisprudence and</w:t>
      </w:r>
      <w:r w:rsidR="00BE22EF" w:rsidRPr="00827A08">
        <w:rPr>
          <w:color w:val="000000" w:themeColor="text1"/>
        </w:rPr>
        <w:t xml:space="preserve"> impact on Indian society provide important insights for an</w:t>
      </w:r>
      <w:r w:rsidR="004C0108">
        <w:rPr>
          <w:color w:val="000000" w:themeColor="text1"/>
        </w:rPr>
        <w:t xml:space="preserve">yone interested in </w:t>
      </w:r>
      <w:r w:rsidR="00BE22EF" w:rsidRPr="00827A08">
        <w:rPr>
          <w:color w:val="000000" w:themeColor="text1"/>
        </w:rPr>
        <w:t>environmental governance and regulation….the NGT is held in high esteem and enjoys a strong degree of public confidence.</w:t>
      </w:r>
      <w:r w:rsidR="0061367F">
        <w:rPr>
          <w:color w:val="000000" w:themeColor="text1"/>
        </w:rPr>
        <w:t>”</w:t>
      </w:r>
      <w:r w:rsidR="00AA07E6" w:rsidRPr="00827A08">
        <w:rPr>
          <w:rStyle w:val="FootnoteReference"/>
          <w:color w:val="000000" w:themeColor="text1"/>
        </w:rPr>
        <w:footnoteReference w:id="12"/>
      </w:r>
      <w:r w:rsidR="000E505A" w:rsidRPr="00827A08">
        <w:rPr>
          <w:color w:val="000000" w:themeColor="text1"/>
        </w:rPr>
        <w:t xml:space="preserve"> </w:t>
      </w:r>
    </w:p>
    <w:p w14:paraId="30DA59E1" w14:textId="77777777" w:rsidR="00071DE3" w:rsidRPr="00827A08" w:rsidRDefault="00071DE3" w:rsidP="002C4CC5">
      <w:pPr>
        <w:autoSpaceDE w:val="0"/>
        <w:autoSpaceDN w:val="0"/>
        <w:adjustRightInd w:val="0"/>
        <w:spacing w:line="360" w:lineRule="auto"/>
        <w:rPr>
          <w:color w:val="000000" w:themeColor="text1"/>
        </w:rPr>
      </w:pPr>
    </w:p>
    <w:p w14:paraId="74CAA1CB" w14:textId="268D4173" w:rsidR="00D4024B" w:rsidRPr="00827A08" w:rsidRDefault="00071DE3" w:rsidP="002C4CC5">
      <w:pPr>
        <w:spacing w:line="360" w:lineRule="auto"/>
        <w:rPr>
          <w:color w:val="000000" w:themeColor="text1"/>
        </w:rPr>
      </w:pPr>
      <w:r w:rsidRPr="00827A08">
        <w:rPr>
          <w:color w:val="000000" w:themeColor="text1"/>
        </w:rPr>
        <w:t>Similar views have been expressed in Indi</w:t>
      </w:r>
      <w:r w:rsidR="007544E2" w:rsidRPr="00827A08">
        <w:rPr>
          <w:color w:val="000000" w:themeColor="text1"/>
        </w:rPr>
        <w:t>a. Th</w:t>
      </w:r>
      <w:r w:rsidR="002955B4" w:rsidRPr="00827A08">
        <w:rPr>
          <w:color w:val="000000" w:themeColor="text1"/>
        </w:rPr>
        <w:t xml:space="preserve">e Vice President of India, M Venkaiah Naidu applauded the </w:t>
      </w:r>
      <w:r w:rsidR="00021CDC" w:rsidRPr="00827A08">
        <w:rPr>
          <w:color w:val="000000" w:themeColor="text1"/>
        </w:rPr>
        <w:t>Tribunal</w:t>
      </w:r>
      <w:r w:rsidR="00F85A07">
        <w:rPr>
          <w:color w:val="000000" w:themeColor="text1"/>
        </w:rPr>
        <w:t xml:space="preserve"> by stating “</w:t>
      </w:r>
      <w:r w:rsidR="002955B4" w:rsidRPr="00827A08">
        <w:rPr>
          <w:color w:val="000000" w:themeColor="text1"/>
        </w:rPr>
        <w:t>the efforts and involvement of the NGT in dispensation of environmental justice, evolving environmental jurisprudence, promoting discourse and spreading awareness are c</w:t>
      </w:r>
      <w:r w:rsidR="00F85A07">
        <w:rPr>
          <w:color w:val="000000" w:themeColor="text1"/>
        </w:rPr>
        <w:t>ommendable…</w:t>
      </w:r>
      <w:r w:rsidR="002955B4" w:rsidRPr="00827A08">
        <w:rPr>
          <w:color w:val="000000" w:themeColor="text1"/>
        </w:rPr>
        <w:t xml:space="preserve"> all stakehol</w:t>
      </w:r>
      <w:r w:rsidR="00F85A07">
        <w:rPr>
          <w:color w:val="000000" w:themeColor="text1"/>
        </w:rPr>
        <w:t>ders stand united</w:t>
      </w:r>
      <w:r w:rsidR="002955B4" w:rsidRPr="00827A08">
        <w:rPr>
          <w:color w:val="000000" w:themeColor="text1"/>
        </w:rPr>
        <w:t xml:space="preserve"> and miss no </w:t>
      </w:r>
      <w:r w:rsidR="002955B4" w:rsidRPr="00827A08">
        <w:rPr>
          <w:color w:val="000000" w:themeColor="text1"/>
        </w:rPr>
        <w:lastRenderedPageBreak/>
        <w:t>opportunity to join hands for the same.</w:t>
      </w:r>
      <w:r w:rsidR="00F85A07">
        <w:rPr>
          <w:color w:val="000000" w:themeColor="text1"/>
        </w:rPr>
        <w:t>”</w:t>
      </w:r>
      <w:r w:rsidR="00F737CB" w:rsidRPr="00827A08">
        <w:rPr>
          <w:rStyle w:val="FootnoteReference"/>
          <w:color w:val="000000" w:themeColor="text1"/>
        </w:rPr>
        <w:footnoteReference w:id="13"/>
      </w:r>
      <w:r w:rsidR="008C6D6A" w:rsidRPr="00827A08">
        <w:rPr>
          <w:color w:val="000000" w:themeColor="text1"/>
        </w:rPr>
        <w:t xml:space="preserve"> </w:t>
      </w:r>
      <w:r w:rsidR="00F737CB" w:rsidRPr="00827A08">
        <w:rPr>
          <w:color w:val="000000" w:themeColor="text1"/>
        </w:rPr>
        <w:t xml:space="preserve"> </w:t>
      </w:r>
      <w:r w:rsidR="00AD3CE7" w:rsidRPr="00827A08">
        <w:rPr>
          <w:color w:val="000000" w:themeColor="text1"/>
        </w:rPr>
        <w:t>Prakash Jav</w:t>
      </w:r>
      <w:r w:rsidR="00563C84" w:rsidRPr="00827A08">
        <w:rPr>
          <w:color w:val="000000" w:themeColor="text1"/>
        </w:rPr>
        <w:t>adekar , Minister for H</w:t>
      </w:r>
      <w:r w:rsidR="008C6D6A" w:rsidRPr="00827A08">
        <w:rPr>
          <w:color w:val="000000" w:themeColor="text1"/>
        </w:rPr>
        <w:t>uman Resource Development in a similar vein stated</w:t>
      </w:r>
      <w:r w:rsidR="00C254AB">
        <w:rPr>
          <w:color w:val="000000" w:themeColor="text1"/>
        </w:rPr>
        <w:t xml:space="preserve"> “</w:t>
      </w:r>
      <w:r w:rsidR="00563C84" w:rsidRPr="00827A08">
        <w:rPr>
          <w:color w:val="000000" w:themeColor="text1"/>
        </w:rPr>
        <w:t>the NGT has been responsible for expeditious dispensation of environmental justice in our country, thus, satisfying legislative intent behind its enactment.</w:t>
      </w:r>
      <w:r w:rsidR="00C254AB">
        <w:rPr>
          <w:color w:val="000000" w:themeColor="text1"/>
        </w:rPr>
        <w:t>”</w:t>
      </w:r>
      <w:r w:rsidR="00563C84" w:rsidRPr="00827A08">
        <w:rPr>
          <w:rStyle w:val="FootnoteReference"/>
          <w:color w:val="000000" w:themeColor="text1"/>
        </w:rPr>
        <w:footnoteReference w:id="14"/>
      </w:r>
      <w:r w:rsidR="002C5974" w:rsidRPr="00827A08">
        <w:rPr>
          <w:color w:val="000000" w:themeColor="text1"/>
        </w:rPr>
        <w:t xml:space="preserve"> </w:t>
      </w:r>
      <w:r w:rsidR="00974F9E" w:rsidRPr="00827A08">
        <w:rPr>
          <w:color w:val="000000" w:themeColor="text1"/>
        </w:rPr>
        <w:t>Judge Rajan Gogoi of the S</w:t>
      </w:r>
      <w:r w:rsidR="00C254AB">
        <w:rPr>
          <w:color w:val="000000" w:themeColor="text1"/>
        </w:rPr>
        <w:t>upreme Court of India observed “</w:t>
      </w:r>
      <w:r w:rsidR="00974F9E" w:rsidRPr="00827A08">
        <w:rPr>
          <w:color w:val="000000" w:themeColor="text1"/>
        </w:rPr>
        <w:t>Its [NGT] advent marks another rendition of India’s green revolution…with the passage of time the NGT has become one of the foremost environmental courts globally with a wide and comprehensive jurisdiction.</w:t>
      </w:r>
      <w:r w:rsidR="00C254AB">
        <w:rPr>
          <w:color w:val="000000" w:themeColor="text1"/>
        </w:rPr>
        <w:t>”</w:t>
      </w:r>
      <w:r w:rsidR="00D22E57" w:rsidRPr="00827A08">
        <w:rPr>
          <w:rStyle w:val="FootnoteReference"/>
          <w:color w:val="000000" w:themeColor="text1"/>
        </w:rPr>
        <w:footnoteReference w:id="15"/>
      </w:r>
      <w:r w:rsidR="00D22E57" w:rsidRPr="00827A08">
        <w:rPr>
          <w:color w:val="000000" w:themeColor="text1"/>
        </w:rPr>
        <w:t xml:space="preserve"> </w:t>
      </w:r>
      <w:r w:rsidR="003F5431" w:rsidRPr="00827A08">
        <w:rPr>
          <w:color w:val="000000" w:themeColor="text1"/>
        </w:rPr>
        <w:t xml:space="preserve"> </w:t>
      </w:r>
      <w:r w:rsidRPr="00827A08">
        <w:rPr>
          <w:color w:val="000000" w:themeColor="text1"/>
        </w:rPr>
        <w:t xml:space="preserve">Ritwick Dutta, a leading </w:t>
      </w:r>
      <w:r w:rsidR="0089181C">
        <w:rPr>
          <w:color w:val="000000" w:themeColor="text1"/>
        </w:rPr>
        <w:t>environmental barrister stated “</w:t>
      </w:r>
      <w:r w:rsidR="005D1D8D" w:rsidRPr="00827A08">
        <w:rPr>
          <w:color w:val="000000" w:themeColor="text1"/>
        </w:rPr>
        <w:t>t</w:t>
      </w:r>
      <w:r w:rsidRPr="00827A08">
        <w:rPr>
          <w:color w:val="000000" w:themeColor="text1"/>
        </w:rPr>
        <w:t xml:space="preserve">he Green </w:t>
      </w:r>
      <w:r w:rsidR="00021CDC" w:rsidRPr="00827A08">
        <w:rPr>
          <w:color w:val="000000" w:themeColor="text1"/>
        </w:rPr>
        <w:t>Tribunal</w:t>
      </w:r>
      <w:r w:rsidRPr="00827A08">
        <w:rPr>
          <w:color w:val="000000" w:themeColor="text1"/>
        </w:rPr>
        <w:t xml:space="preserve"> is now the epicentre of the environmental movement in India… It has become the first and last recourse for people.</w:t>
      </w:r>
      <w:r w:rsidR="0089181C">
        <w:rPr>
          <w:color w:val="000000" w:themeColor="text1"/>
        </w:rPr>
        <w:t>”</w:t>
      </w:r>
      <w:r w:rsidR="00AA07E6" w:rsidRPr="00827A08">
        <w:rPr>
          <w:rStyle w:val="FootnoteReference"/>
          <w:color w:val="000000" w:themeColor="text1"/>
        </w:rPr>
        <w:footnoteReference w:id="16"/>
      </w:r>
      <w:r w:rsidRPr="00827A08">
        <w:rPr>
          <w:color w:val="000000" w:themeColor="text1"/>
        </w:rPr>
        <w:t xml:space="preserve"> Field-work unde</w:t>
      </w:r>
      <w:r w:rsidR="00492AC5" w:rsidRPr="00827A08">
        <w:rPr>
          <w:color w:val="000000" w:themeColor="text1"/>
        </w:rPr>
        <w:t>rtaken at</w:t>
      </w:r>
      <w:r w:rsidRPr="00827A08">
        <w:rPr>
          <w:color w:val="000000" w:themeColor="text1"/>
        </w:rPr>
        <w:t xml:space="preserve"> the NGT involving interviews with lawyers and litigants appearing before the </w:t>
      </w:r>
      <w:r w:rsidR="00021CDC" w:rsidRPr="00827A08">
        <w:rPr>
          <w:color w:val="000000" w:themeColor="text1"/>
        </w:rPr>
        <w:t>Tribunal</w:t>
      </w:r>
      <w:r w:rsidRPr="00827A08">
        <w:rPr>
          <w:color w:val="000000" w:themeColor="text1"/>
        </w:rPr>
        <w:t xml:space="preserve"> reinforce the professional and public assessment of the value and appreciation of the strength of the NGT.</w:t>
      </w:r>
      <w:r w:rsidR="00AA07E6" w:rsidRPr="00827A08">
        <w:rPr>
          <w:rStyle w:val="FootnoteReference"/>
          <w:color w:val="000000" w:themeColor="text1"/>
        </w:rPr>
        <w:footnoteReference w:id="17"/>
      </w:r>
      <w:r w:rsidRPr="00827A08">
        <w:rPr>
          <w:color w:val="000000" w:themeColor="text1"/>
        </w:rPr>
        <w:t xml:space="preserve"> </w:t>
      </w:r>
      <w:r w:rsidR="00B90AF5" w:rsidRPr="00827A08">
        <w:rPr>
          <w:color w:val="000000" w:themeColor="text1"/>
        </w:rPr>
        <w:t>A young lawyer who appear</w:t>
      </w:r>
      <w:r w:rsidR="0089181C">
        <w:rPr>
          <w:color w:val="000000" w:themeColor="text1"/>
        </w:rPr>
        <w:t>s before the NGT described it “</w:t>
      </w:r>
      <w:r w:rsidR="007549A4" w:rsidRPr="00827A08">
        <w:rPr>
          <w:color w:val="000000" w:themeColor="text1"/>
        </w:rPr>
        <w:t>a</w:t>
      </w:r>
      <w:r w:rsidR="00B90AF5" w:rsidRPr="00827A08">
        <w:rPr>
          <w:color w:val="000000" w:themeColor="text1"/>
        </w:rPr>
        <w:t xml:space="preserve"> bench of this kind with an expert member is creating new environmental jurisprudence. The expert members help young lawyers understand environmental issues.</w:t>
      </w:r>
      <w:r w:rsidR="0089181C">
        <w:rPr>
          <w:color w:val="000000" w:themeColor="text1"/>
        </w:rPr>
        <w:t>”</w:t>
      </w:r>
      <w:r w:rsidR="00AA07E6" w:rsidRPr="00827A08">
        <w:rPr>
          <w:rStyle w:val="FootnoteReference"/>
          <w:color w:val="000000" w:themeColor="text1"/>
        </w:rPr>
        <w:footnoteReference w:id="18"/>
      </w:r>
      <w:r w:rsidR="00B90AF5" w:rsidRPr="00827A08">
        <w:rPr>
          <w:color w:val="000000" w:themeColor="text1"/>
        </w:rPr>
        <w:t xml:space="preserve"> </w:t>
      </w:r>
      <w:r w:rsidR="00D82C3C" w:rsidRPr="00827A08">
        <w:rPr>
          <w:color w:val="000000" w:themeColor="text1"/>
        </w:rPr>
        <w:t>Three</w:t>
      </w:r>
      <w:r w:rsidR="00B90AF5" w:rsidRPr="00827A08">
        <w:rPr>
          <w:color w:val="000000" w:themeColor="text1"/>
        </w:rPr>
        <w:t xml:space="preserve"> litigant</w:t>
      </w:r>
      <w:r w:rsidR="00D82C3C" w:rsidRPr="00827A08">
        <w:rPr>
          <w:color w:val="000000" w:themeColor="text1"/>
        </w:rPr>
        <w:t>s</w:t>
      </w:r>
      <w:r w:rsidR="00B90AF5" w:rsidRPr="00827A08">
        <w:rPr>
          <w:color w:val="000000" w:themeColor="text1"/>
        </w:rPr>
        <w:t xml:space="preserve"> </w:t>
      </w:r>
      <w:r w:rsidR="00D82C3C" w:rsidRPr="00827A08">
        <w:rPr>
          <w:color w:val="000000" w:themeColor="text1"/>
        </w:rPr>
        <w:t>summarised their</w:t>
      </w:r>
      <w:r w:rsidR="00B90AF5" w:rsidRPr="00827A08">
        <w:rPr>
          <w:color w:val="000000" w:themeColor="text1"/>
        </w:rPr>
        <w:t xml:space="preserve"> </w:t>
      </w:r>
      <w:r w:rsidR="0089181C">
        <w:rPr>
          <w:color w:val="000000" w:themeColor="text1"/>
        </w:rPr>
        <w:t>experiences before the NGT as “</w:t>
      </w:r>
      <w:r w:rsidR="007549A4" w:rsidRPr="00827A08">
        <w:rPr>
          <w:color w:val="000000" w:themeColor="text1"/>
        </w:rPr>
        <w:t>o</w:t>
      </w:r>
      <w:r w:rsidR="00B90AF5" w:rsidRPr="00827A08">
        <w:rPr>
          <w:color w:val="000000" w:themeColor="text1"/>
        </w:rPr>
        <w:t>ur experience has been tremendous in the NGT benches.</w:t>
      </w:r>
      <w:r w:rsidR="00D82C3C" w:rsidRPr="00827A08">
        <w:rPr>
          <w:color w:val="000000" w:themeColor="text1"/>
        </w:rPr>
        <w:t xml:space="preserve"> We are attending the case in person and have been here three to five times. The NGT is a life saver. The NGT has given us justice.</w:t>
      </w:r>
      <w:r w:rsidR="0089181C">
        <w:rPr>
          <w:color w:val="000000" w:themeColor="text1"/>
        </w:rPr>
        <w:t>”</w:t>
      </w:r>
      <w:r w:rsidR="00AA07E6" w:rsidRPr="00827A08">
        <w:rPr>
          <w:rStyle w:val="FootnoteReference"/>
          <w:color w:val="000000" w:themeColor="text1"/>
        </w:rPr>
        <w:footnoteReference w:id="19"/>
      </w:r>
      <w:r w:rsidR="006E0A87" w:rsidRPr="00827A08">
        <w:rPr>
          <w:color w:val="000000" w:themeColor="text1"/>
        </w:rPr>
        <w:t xml:space="preserve"> </w:t>
      </w:r>
    </w:p>
    <w:p w14:paraId="542542C0" w14:textId="77777777" w:rsidR="00D4024B" w:rsidRPr="00827A08" w:rsidRDefault="00D4024B" w:rsidP="002C4CC5">
      <w:pPr>
        <w:spacing w:line="360" w:lineRule="auto"/>
        <w:rPr>
          <w:color w:val="000000" w:themeColor="text1"/>
        </w:rPr>
      </w:pPr>
    </w:p>
    <w:p w14:paraId="499D6B1C" w14:textId="64C8EAC5" w:rsidR="00F64B7D" w:rsidRPr="00827A08" w:rsidRDefault="006E0A87" w:rsidP="002C4CC5">
      <w:pPr>
        <w:spacing w:line="360" w:lineRule="auto"/>
        <w:rPr>
          <w:rFonts w:eastAsia="Times New Roman"/>
          <w:color w:val="000000" w:themeColor="text1"/>
          <w:shd w:val="clear" w:color="auto" w:fill="FFFFFF"/>
        </w:rPr>
      </w:pPr>
      <w:r w:rsidRPr="00827A08">
        <w:rPr>
          <w:color w:val="000000" w:themeColor="text1"/>
        </w:rPr>
        <w:t xml:space="preserve">Nevertheless, these national and international commendations of the NGT tell </w:t>
      </w:r>
      <w:r w:rsidR="00A209D1" w:rsidRPr="00827A08">
        <w:rPr>
          <w:color w:val="000000" w:themeColor="text1"/>
        </w:rPr>
        <w:t xml:space="preserve">but part of the story of the </w:t>
      </w:r>
      <w:r w:rsidR="00021CDC" w:rsidRPr="00827A08">
        <w:rPr>
          <w:color w:val="000000" w:themeColor="text1"/>
        </w:rPr>
        <w:t>Tribunal</w:t>
      </w:r>
      <w:r w:rsidRPr="00827A08">
        <w:rPr>
          <w:color w:val="000000" w:themeColor="text1"/>
        </w:rPr>
        <w:t>.</w:t>
      </w:r>
      <w:r w:rsidR="00AB55BA" w:rsidRPr="00827A08">
        <w:rPr>
          <w:color w:val="000000" w:themeColor="text1"/>
        </w:rPr>
        <w:t xml:space="preserve"> The </w:t>
      </w:r>
      <w:r w:rsidR="00021CDC" w:rsidRPr="00827A08">
        <w:rPr>
          <w:color w:val="000000" w:themeColor="text1"/>
        </w:rPr>
        <w:t>Tribunal</w:t>
      </w:r>
      <w:r w:rsidR="00AB55BA" w:rsidRPr="00827A08">
        <w:rPr>
          <w:color w:val="000000" w:themeColor="text1"/>
        </w:rPr>
        <w:t xml:space="preserve"> has been subject to criticism at the national level</w:t>
      </w:r>
      <w:r w:rsidR="002342E1" w:rsidRPr="00827A08">
        <w:rPr>
          <w:color w:val="000000" w:themeColor="text1"/>
        </w:rPr>
        <w:t xml:space="preserve"> from key affected parties</w:t>
      </w:r>
      <w:r w:rsidR="00AB55BA" w:rsidRPr="00827A08">
        <w:rPr>
          <w:color w:val="000000" w:themeColor="text1"/>
        </w:rPr>
        <w:t xml:space="preserve">. For instance, </w:t>
      </w:r>
      <w:r w:rsidR="001F36EF">
        <w:rPr>
          <w:color w:val="000000" w:themeColor="text1"/>
        </w:rPr>
        <w:t>“</w:t>
      </w:r>
      <w:r w:rsidR="004D63CD" w:rsidRPr="00827A08">
        <w:rPr>
          <w:rFonts w:eastAsia="Times New Roman"/>
          <w:color w:val="000000" w:themeColor="text1"/>
          <w:spacing w:val="-4"/>
          <w:shd w:val="clear" w:color="auto" w:fill="FFFFFF"/>
        </w:rPr>
        <w:t xml:space="preserve">officials speak about the </w:t>
      </w:r>
      <w:r w:rsidR="00021CDC" w:rsidRPr="00827A08">
        <w:rPr>
          <w:rFonts w:eastAsia="Times New Roman"/>
          <w:color w:val="000000" w:themeColor="text1"/>
          <w:spacing w:val="-4"/>
          <w:shd w:val="clear" w:color="auto" w:fill="FFFFFF"/>
        </w:rPr>
        <w:t>Tribunal</w:t>
      </w:r>
      <w:r w:rsidR="004D63CD" w:rsidRPr="00827A08">
        <w:rPr>
          <w:rFonts w:eastAsia="Times New Roman"/>
          <w:color w:val="000000" w:themeColor="text1"/>
          <w:spacing w:val="-4"/>
          <w:shd w:val="clear" w:color="auto" w:fill="FFFFFF"/>
        </w:rPr>
        <w:t>’s clamour to get more po</w:t>
      </w:r>
      <w:r w:rsidR="005378CA" w:rsidRPr="00827A08">
        <w:rPr>
          <w:rFonts w:eastAsia="Times New Roman"/>
          <w:color w:val="000000" w:themeColor="text1"/>
          <w:spacing w:val="-4"/>
          <w:shd w:val="clear" w:color="auto" w:fill="FFFFFF"/>
        </w:rPr>
        <w:t>wers and perks. They call it a ‘power-hungry institution’</w:t>
      </w:r>
      <w:r w:rsidR="004D63CD" w:rsidRPr="00827A08">
        <w:rPr>
          <w:rFonts w:eastAsia="Times New Roman"/>
          <w:color w:val="000000" w:themeColor="text1"/>
          <w:spacing w:val="-4"/>
          <w:shd w:val="clear" w:color="auto" w:fill="FFFFFF"/>
        </w:rPr>
        <w:t xml:space="preserve"> that has failed the pur</w:t>
      </w:r>
      <w:r w:rsidR="00975278" w:rsidRPr="00827A08">
        <w:rPr>
          <w:rFonts w:eastAsia="Times New Roman"/>
          <w:color w:val="000000" w:themeColor="text1"/>
          <w:spacing w:val="-4"/>
          <w:shd w:val="clear" w:color="auto" w:fill="FFFFFF"/>
        </w:rPr>
        <w:t>pose for which it was created.</w:t>
      </w:r>
      <w:r w:rsidR="001F36EF">
        <w:rPr>
          <w:rFonts w:eastAsia="Times New Roman"/>
          <w:color w:val="000000" w:themeColor="text1"/>
          <w:spacing w:val="-4"/>
          <w:shd w:val="clear" w:color="auto" w:fill="FFFFFF"/>
        </w:rPr>
        <w:t>”</w:t>
      </w:r>
      <w:r w:rsidR="00975278" w:rsidRPr="00827A08">
        <w:rPr>
          <w:rStyle w:val="FootnoteReference"/>
          <w:rFonts w:eastAsia="Times New Roman"/>
          <w:color w:val="000000" w:themeColor="text1"/>
          <w:spacing w:val="-4"/>
          <w:shd w:val="clear" w:color="auto" w:fill="FFFFFF"/>
        </w:rPr>
        <w:footnoteReference w:id="20"/>
      </w:r>
      <w:r w:rsidR="00B76F9D" w:rsidRPr="00827A08">
        <w:rPr>
          <w:rFonts w:eastAsia="Times New Roman"/>
          <w:color w:val="000000" w:themeColor="text1"/>
          <w:spacing w:val="-4"/>
          <w:shd w:val="clear" w:color="auto" w:fill="FFFFFF"/>
        </w:rPr>
        <w:t xml:space="preserve"> The NGT has been accused o</w:t>
      </w:r>
      <w:r w:rsidR="0095513A" w:rsidRPr="00827A08">
        <w:rPr>
          <w:rFonts w:eastAsia="Times New Roman"/>
          <w:color w:val="000000" w:themeColor="text1"/>
          <w:spacing w:val="-4"/>
          <w:shd w:val="clear" w:color="auto" w:fill="FFFFFF"/>
        </w:rPr>
        <w:t xml:space="preserve">f overstepping its jurisdiction </w:t>
      </w:r>
      <w:r w:rsidR="00EE53BA" w:rsidRPr="00827A08">
        <w:rPr>
          <w:color w:val="000000" w:themeColor="text1"/>
        </w:rPr>
        <w:t xml:space="preserve">by not </w:t>
      </w:r>
      <w:r w:rsidR="00B76F9D" w:rsidRPr="00827A08">
        <w:rPr>
          <w:color w:val="000000" w:themeColor="text1"/>
        </w:rPr>
        <w:t>follow</w:t>
      </w:r>
      <w:r w:rsidR="00EE53BA" w:rsidRPr="00827A08">
        <w:rPr>
          <w:color w:val="000000" w:themeColor="text1"/>
        </w:rPr>
        <w:t>ing</w:t>
      </w:r>
      <w:r w:rsidR="00B76F9D" w:rsidRPr="00827A08">
        <w:rPr>
          <w:color w:val="000000" w:themeColor="text1"/>
        </w:rPr>
        <w:t xml:space="preserve"> the provisions of the NGT Act 2010</w:t>
      </w:r>
      <w:r w:rsidR="00EE53BA" w:rsidRPr="00827A08">
        <w:rPr>
          <w:color w:val="000000" w:themeColor="text1"/>
        </w:rPr>
        <w:t xml:space="preserve"> </w:t>
      </w:r>
      <w:r w:rsidR="00B76F9D" w:rsidRPr="00827A08">
        <w:rPr>
          <w:rFonts w:eastAsia="Times New Roman"/>
          <w:color w:val="000000" w:themeColor="text1"/>
          <w:shd w:val="clear" w:color="auto" w:fill="FFFFFF"/>
        </w:rPr>
        <w:t>resulting in embarrassment to the government before Parliament.</w:t>
      </w:r>
      <w:r w:rsidR="00B76F9D" w:rsidRPr="00827A08">
        <w:rPr>
          <w:rStyle w:val="FootnoteReference"/>
          <w:color w:val="000000" w:themeColor="text1"/>
        </w:rPr>
        <w:footnoteReference w:id="21"/>
      </w:r>
      <w:r w:rsidR="00B76F9D" w:rsidRPr="00827A08">
        <w:rPr>
          <w:color w:val="000000" w:themeColor="text1"/>
        </w:rPr>
        <w:t xml:space="preserve"> </w:t>
      </w:r>
      <w:r w:rsidR="00A7572C" w:rsidRPr="00827A08">
        <w:rPr>
          <w:color w:val="000000" w:themeColor="text1"/>
        </w:rPr>
        <w:t>Again, the NGT</w:t>
      </w:r>
      <w:r w:rsidR="00C22391" w:rsidRPr="00827A08">
        <w:rPr>
          <w:color w:val="000000" w:themeColor="text1"/>
        </w:rPr>
        <w:t>’s orders have been</w:t>
      </w:r>
      <w:r w:rsidR="00A7572C" w:rsidRPr="00827A08">
        <w:rPr>
          <w:color w:val="000000" w:themeColor="text1"/>
        </w:rPr>
        <w:t xml:space="preserve"> considered as a</w:t>
      </w:r>
      <w:r w:rsidR="00C22391" w:rsidRPr="00827A08">
        <w:rPr>
          <w:color w:val="000000" w:themeColor="text1"/>
        </w:rPr>
        <w:t xml:space="preserve"> case of judicial overreach</w:t>
      </w:r>
      <w:r w:rsidR="00A7572C" w:rsidRPr="00827A08">
        <w:rPr>
          <w:color w:val="000000" w:themeColor="text1"/>
        </w:rPr>
        <w:t xml:space="preserve"> </w:t>
      </w:r>
      <w:r w:rsidR="00B30A2A" w:rsidRPr="00827A08">
        <w:rPr>
          <w:color w:val="000000" w:themeColor="text1"/>
        </w:rPr>
        <w:lastRenderedPageBreak/>
        <w:t xml:space="preserve">as it </w:t>
      </w:r>
      <w:r w:rsidR="00B30A2A" w:rsidRPr="00827A08">
        <w:rPr>
          <w:rFonts w:eastAsia="Times New Roman"/>
          <w:color w:val="000000" w:themeColor="text1"/>
          <w:shd w:val="clear" w:color="auto" w:fill="FFFFFF"/>
        </w:rPr>
        <w:t>disturbs the</w:t>
      </w:r>
      <w:r w:rsidR="00A7572C" w:rsidRPr="00827A08">
        <w:rPr>
          <w:rFonts w:eastAsia="Times New Roman"/>
          <w:color w:val="000000" w:themeColor="text1"/>
          <w:shd w:val="clear" w:color="auto" w:fill="FFFFFF"/>
        </w:rPr>
        <w:t xml:space="preserve"> balance of power between the judiciary and the executive as envisaged in the Indian constitutional structure. </w:t>
      </w:r>
      <w:r w:rsidR="00B52F18" w:rsidRPr="00827A08">
        <w:rPr>
          <w:rFonts w:eastAsia="Times New Roman"/>
          <w:color w:val="000000" w:themeColor="text1"/>
          <w:shd w:val="clear" w:color="auto" w:fill="FFFFFF"/>
        </w:rPr>
        <w:t>For example, NGT’s</w:t>
      </w:r>
      <w:r w:rsidR="00B52F18" w:rsidRPr="00827A08">
        <w:rPr>
          <w:rFonts w:eastAsia="Times New Roman"/>
          <w:b/>
          <w:color w:val="000000" w:themeColor="text1"/>
          <w:shd w:val="clear" w:color="auto" w:fill="FFFFFF"/>
        </w:rPr>
        <w:t xml:space="preserve"> </w:t>
      </w:r>
      <w:r w:rsidR="00B52F18" w:rsidRPr="00827A08">
        <w:rPr>
          <w:rStyle w:val="Strong"/>
          <w:rFonts w:eastAsia="Times New Roman"/>
          <w:b w:val="0"/>
          <w:color w:val="000000" w:themeColor="text1"/>
          <w:bdr w:val="none" w:sz="0" w:space="0" w:color="auto" w:frame="1"/>
          <w:shd w:val="clear" w:color="auto" w:fill="FFFFFF"/>
        </w:rPr>
        <w:t xml:space="preserve">general order banning mining of sand without a requisite environmental clearance from the State Environment Impact Assessment Authority was considered as a case of judicial overreach by Manohar Parrikar, the Goa Chief Minister. According to Parrikar, </w:t>
      </w:r>
      <w:r w:rsidR="001F36EF">
        <w:rPr>
          <w:rStyle w:val="Strong"/>
          <w:rFonts w:eastAsia="Times New Roman"/>
          <w:b w:val="0"/>
          <w:color w:val="000000" w:themeColor="text1"/>
          <w:bdr w:val="none" w:sz="0" w:space="0" w:color="auto" w:frame="1"/>
          <w:shd w:val="clear" w:color="auto" w:fill="FFFFFF"/>
        </w:rPr>
        <w:t>“</w:t>
      </w:r>
      <w:r w:rsidR="00E4282A" w:rsidRPr="00827A08">
        <w:rPr>
          <w:rFonts w:eastAsia="Times New Roman"/>
          <w:color w:val="000000" w:themeColor="text1"/>
          <w:shd w:val="clear" w:color="auto" w:fill="FFFFFF"/>
        </w:rPr>
        <w:t>the order is a case of (judicial) overreach. Everyone knows the order is not implemented. It (the order) has resulted in rise of prices and black marketing of sand… If you stop economic activity, we (Governments) will not have money to pay. We might also have to take a cut (from the illegal sand mining operation)</w:t>
      </w:r>
      <w:r w:rsidR="002752C3" w:rsidRPr="00827A08">
        <w:rPr>
          <w:rFonts w:eastAsia="Times New Roman"/>
          <w:color w:val="000000" w:themeColor="text1"/>
          <w:shd w:val="clear" w:color="auto" w:fill="FFFFFF"/>
        </w:rPr>
        <w:t xml:space="preserve"> </w:t>
      </w:r>
      <w:r w:rsidR="00E4282A" w:rsidRPr="00827A08">
        <w:rPr>
          <w:rFonts w:eastAsia="Times New Roman"/>
          <w:color w:val="000000" w:themeColor="text1"/>
          <w:shd w:val="clear" w:color="auto" w:fill="FFFFFF"/>
        </w:rPr>
        <w:t>… Irrational and sudden bans order going across board should not be issued without hearing the State.</w:t>
      </w:r>
      <w:r w:rsidR="001F36EF">
        <w:rPr>
          <w:rFonts w:eastAsia="Times New Roman"/>
          <w:color w:val="000000" w:themeColor="text1"/>
          <w:shd w:val="clear" w:color="auto" w:fill="FFFFFF"/>
        </w:rPr>
        <w:t>”</w:t>
      </w:r>
      <w:r w:rsidR="00A60617" w:rsidRPr="00827A08">
        <w:rPr>
          <w:rStyle w:val="FootnoteReference"/>
          <w:rFonts w:eastAsia="Times New Roman"/>
          <w:color w:val="000000" w:themeColor="text1"/>
          <w:shd w:val="clear" w:color="auto" w:fill="FFFFFF"/>
        </w:rPr>
        <w:footnoteReference w:id="22"/>
      </w:r>
      <w:r w:rsidR="004448F7" w:rsidRPr="00827A08">
        <w:rPr>
          <w:rFonts w:eastAsia="Times New Roman"/>
          <w:color w:val="000000" w:themeColor="text1"/>
          <w:shd w:val="clear" w:color="auto" w:fill="FFFFFF"/>
        </w:rPr>
        <w:t xml:space="preserve"> </w:t>
      </w:r>
      <w:r w:rsidR="00696979" w:rsidRPr="00827A08">
        <w:rPr>
          <w:rFonts w:eastAsia="Times New Roman"/>
          <w:color w:val="000000" w:themeColor="text1"/>
          <w:shd w:val="clear" w:color="auto" w:fill="FFFFFF"/>
        </w:rPr>
        <w:t>Similarly, the ministers and officials from the states of Arunachal Pradesh, Mizoram and Manipur were of the view that sand-min</w:t>
      </w:r>
      <w:r w:rsidR="00F00D7A" w:rsidRPr="00827A08">
        <w:rPr>
          <w:rFonts w:eastAsia="Times New Roman"/>
          <w:color w:val="000000" w:themeColor="text1"/>
          <w:shd w:val="clear" w:color="auto" w:fill="FFFFFF"/>
        </w:rPr>
        <w:t>ing order</w:t>
      </w:r>
      <w:r w:rsidR="002752C3" w:rsidRPr="00827A08">
        <w:rPr>
          <w:rFonts w:eastAsia="Times New Roman"/>
          <w:color w:val="000000" w:themeColor="text1"/>
          <w:shd w:val="clear" w:color="auto" w:fill="FFFFFF"/>
        </w:rPr>
        <w:t>s</w:t>
      </w:r>
      <w:r w:rsidR="00F00D7A" w:rsidRPr="00827A08">
        <w:rPr>
          <w:rFonts w:eastAsia="Times New Roman"/>
          <w:color w:val="000000" w:themeColor="text1"/>
          <w:shd w:val="clear" w:color="auto" w:fill="FFFFFF"/>
        </w:rPr>
        <w:t xml:space="preserve"> witho</w:t>
      </w:r>
      <w:r w:rsidR="009B5B08">
        <w:rPr>
          <w:rFonts w:eastAsia="Times New Roman"/>
          <w:color w:val="000000" w:themeColor="text1"/>
          <w:shd w:val="clear" w:color="auto" w:fill="FFFFFF"/>
        </w:rPr>
        <w:t>ut prior clearance from the environment ministry</w:t>
      </w:r>
      <w:r w:rsidR="00F00D7A" w:rsidRPr="00827A08">
        <w:rPr>
          <w:rFonts w:eastAsia="Times New Roman"/>
          <w:color w:val="000000" w:themeColor="text1"/>
          <w:shd w:val="clear" w:color="auto" w:fill="FFFFFF"/>
        </w:rPr>
        <w:t xml:space="preserve"> across India was </w:t>
      </w:r>
      <w:r w:rsidR="00953753" w:rsidRPr="00827A08">
        <w:rPr>
          <w:rFonts w:eastAsia="Times New Roman"/>
          <w:color w:val="000000" w:themeColor="text1"/>
          <w:shd w:val="clear" w:color="auto" w:fill="FFFFFF"/>
        </w:rPr>
        <w:t>a case of not studying the situation in the north-eastern states.</w:t>
      </w:r>
      <w:r w:rsidR="00A60617" w:rsidRPr="00827A08">
        <w:rPr>
          <w:rStyle w:val="FootnoteReference"/>
          <w:rFonts w:eastAsia="Times New Roman"/>
          <w:color w:val="000000" w:themeColor="text1"/>
          <w:shd w:val="clear" w:color="auto" w:fill="FFFFFF"/>
        </w:rPr>
        <w:footnoteReference w:id="23"/>
      </w:r>
    </w:p>
    <w:p w14:paraId="500F15BD" w14:textId="77777777" w:rsidR="00F64B7D" w:rsidRPr="00827A08" w:rsidRDefault="00F64B7D" w:rsidP="002C4CC5">
      <w:pPr>
        <w:spacing w:line="360" w:lineRule="auto"/>
        <w:rPr>
          <w:rFonts w:eastAsia="Times New Roman"/>
          <w:color w:val="000000" w:themeColor="text1"/>
          <w:shd w:val="clear" w:color="auto" w:fill="FFFFFF"/>
        </w:rPr>
      </w:pPr>
    </w:p>
    <w:p w14:paraId="7E6E169A" w14:textId="5121A89F" w:rsidR="00B047A3" w:rsidRPr="005B08CE" w:rsidRDefault="006E0A87" w:rsidP="005B08CE">
      <w:pPr>
        <w:spacing w:line="360" w:lineRule="auto"/>
        <w:rPr>
          <w:color w:val="000000" w:themeColor="text1"/>
        </w:rPr>
      </w:pPr>
      <w:r w:rsidRPr="00827A08">
        <w:rPr>
          <w:color w:val="000000" w:themeColor="text1"/>
        </w:rPr>
        <w:t xml:space="preserve">There </w:t>
      </w:r>
      <w:r w:rsidR="0041437A" w:rsidRPr="00827A08">
        <w:rPr>
          <w:color w:val="000000" w:themeColor="text1"/>
        </w:rPr>
        <w:t xml:space="preserve">have </w:t>
      </w:r>
      <w:r w:rsidRPr="00827A08">
        <w:rPr>
          <w:color w:val="000000" w:themeColor="text1"/>
        </w:rPr>
        <w:t xml:space="preserve">emerged negative forces </w:t>
      </w:r>
      <w:r w:rsidR="00C05819" w:rsidRPr="00827A08">
        <w:rPr>
          <w:color w:val="000000" w:themeColor="text1"/>
        </w:rPr>
        <w:t xml:space="preserve">within India </w:t>
      </w:r>
      <w:r w:rsidRPr="00827A08">
        <w:rPr>
          <w:color w:val="000000" w:themeColor="text1"/>
        </w:rPr>
        <w:t xml:space="preserve">determined to contain or </w:t>
      </w:r>
      <w:r w:rsidR="0041437A" w:rsidRPr="00827A08">
        <w:rPr>
          <w:color w:val="000000" w:themeColor="text1"/>
        </w:rPr>
        <w:t>possibly</w:t>
      </w:r>
      <w:r w:rsidRPr="00827A08">
        <w:rPr>
          <w:color w:val="000000" w:themeColor="text1"/>
        </w:rPr>
        <w:t xml:space="preserve"> close the </w:t>
      </w:r>
      <w:r w:rsidR="00021CDC" w:rsidRPr="00827A08">
        <w:rPr>
          <w:color w:val="000000" w:themeColor="text1"/>
        </w:rPr>
        <w:t>Tribunal</w:t>
      </w:r>
      <w:r w:rsidRPr="00827A08">
        <w:rPr>
          <w:color w:val="000000" w:themeColor="text1"/>
        </w:rPr>
        <w:t xml:space="preserve">. </w:t>
      </w:r>
      <w:r w:rsidR="00DD76CB" w:rsidRPr="00827A08">
        <w:rPr>
          <w:color w:val="000000" w:themeColor="text1"/>
        </w:rPr>
        <w:t>This is an account</w:t>
      </w:r>
      <w:r w:rsidR="0041437A" w:rsidRPr="00827A08">
        <w:rPr>
          <w:color w:val="000000" w:themeColor="text1"/>
        </w:rPr>
        <w:t xml:space="preserve"> of two campaigns</w:t>
      </w:r>
      <w:r w:rsidR="002752C3" w:rsidRPr="00827A08">
        <w:rPr>
          <w:color w:val="000000" w:themeColor="text1"/>
        </w:rPr>
        <w:t>,</w:t>
      </w:r>
      <w:r w:rsidR="0041437A" w:rsidRPr="00827A08">
        <w:rPr>
          <w:color w:val="000000" w:themeColor="text1"/>
        </w:rPr>
        <w:t xml:space="preserve"> </w:t>
      </w:r>
      <w:r w:rsidR="00DD76CB" w:rsidRPr="00827A08">
        <w:rPr>
          <w:color w:val="000000" w:themeColor="text1"/>
        </w:rPr>
        <w:t xml:space="preserve">one </w:t>
      </w:r>
      <w:r w:rsidR="0041437A" w:rsidRPr="00827A08">
        <w:rPr>
          <w:color w:val="000000" w:themeColor="text1"/>
        </w:rPr>
        <w:t xml:space="preserve">seeking to promote </w:t>
      </w:r>
      <w:r w:rsidR="00DD76CB" w:rsidRPr="00827A08">
        <w:rPr>
          <w:color w:val="000000" w:themeColor="text1"/>
        </w:rPr>
        <w:t>the NGT</w:t>
      </w:r>
      <w:r w:rsidR="007F40EE" w:rsidRPr="00827A08">
        <w:rPr>
          <w:color w:val="000000" w:themeColor="text1"/>
        </w:rPr>
        <w:t>, the other constituting a</w:t>
      </w:r>
      <w:r w:rsidR="00DD76CB" w:rsidRPr="00827A08">
        <w:rPr>
          <w:color w:val="000000" w:themeColor="text1"/>
        </w:rPr>
        <w:t xml:space="preserve"> </w:t>
      </w:r>
      <w:r w:rsidR="0041437A" w:rsidRPr="00827A08">
        <w:rPr>
          <w:color w:val="000000" w:themeColor="text1"/>
        </w:rPr>
        <w:t>restrain</w:t>
      </w:r>
      <w:r w:rsidR="007F40EE" w:rsidRPr="00827A08">
        <w:rPr>
          <w:color w:val="000000" w:themeColor="text1"/>
        </w:rPr>
        <w:t>ing force. This article</w:t>
      </w:r>
      <w:r w:rsidR="0075633F" w:rsidRPr="00827A08">
        <w:rPr>
          <w:color w:val="000000" w:themeColor="text1"/>
        </w:rPr>
        <w:t xml:space="preserve"> </w:t>
      </w:r>
      <w:r w:rsidR="00EB0C3B" w:rsidRPr="00827A08">
        <w:rPr>
          <w:color w:val="000000" w:themeColor="text1"/>
        </w:rPr>
        <w:t xml:space="preserve">is comprised of four sections. It opened with a brief account of the current standing </w:t>
      </w:r>
      <w:r w:rsidR="00035873" w:rsidRPr="00827A08">
        <w:rPr>
          <w:color w:val="000000" w:themeColor="text1"/>
        </w:rPr>
        <w:t xml:space="preserve">of the NGT </w:t>
      </w:r>
      <w:r w:rsidR="00EB0C3B" w:rsidRPr="00827A08">
        <w:rPr>
          <w:color w:val="000000" w:themeColor="text1"/>
        </w:rPr>
        <w:t xml:space="preserve">in judicial and academic international and national communities. The second section presents the paper’s theoretical underpinning derived from social psychology </w:t>
      </w:r>
      <w:r w:rsidR="00AA07E6" w:rsidRPr="00827A08">
        <w:rPr>
          <w:color w:val="000000" w:themeColor="text1"/>
        </w:rPr>
        <w:t xml:space="preserve">and organisational management </w:t>
      </w:r>
      <w:r w:rsidR="00EB0C3B" w:rsidRPr="00827A08">
        <w:rPr>
          <w:color w:val="000000" w:themeColor="text1"/>
        </w:rPr>
        <w:t>s</w:t>
      </w:r>
      <w:r w:rsidR="00376937" w:rsidRPr="00827A08">
        <w:rPr>
          <w:color w:val="000000" w:themeColor="text1"/>
        </w:rPr>
        <w:t>cholarship. It offers a practise-based</w:t>
      </w:r>
      <w:r w:rsidR="006611AD" w:rsidRPr="00827A08">
        <w:rPr>
          <w:color w:val="000000" w:themeColor="text1"/>
        </w:rPr>
        <w:t>,</w:t>
      </w:r>
      <w:r w:rsidR="00376937" w:rsidRPr="00827A08">
        <w:rPr>
          <w:color w:val="000000" w:themeColor="text1"/>
        </w:rPr>
        <w:t xml:space="preserve"> </w:t>
      </w:r>
      <w:r w:rsidR="00EB0C3B" w:rsidRPr="00827A08">
        <w:rPr>
          <w:color w:val="000000" w:themeColor="text1"/>
        </w:rPr>
        <w:t xml:space="preserve">theoretical framework </w:t>
      </w:r>
      <w:r w:rsidR="00AE0C50" w:rsidRPr="00827A08">
        <w:rPr>
          <w:color w:val="000000" w:themeColor="text1"/>
        </w:rPr>
        <w:t>applicable to the NGT. The article</w:t>
      </w:r>
      <w:r w:rsidR="00EB0C3B" w:rsidRPr="00827A08">
        <w:rPr>
          <w:color w:val="000000" w:themeColor="text1"/>
        </w:rPr>
        <w:t xml:space="preserve"> employs a transmigration of theory and its application from one discipline to another social science:</w:t>
      </w:r>
      <w:r w:rsidR="008A0AF2" w:rsidRPr="00827A08">
        <w:rPr>
          <w:color w:val="000000" w:themeColor="text1"/>
        </w:rPr>
        <w:t xml:space="preserve"> business</w:t>
      </w:r>
      <w:r w:rsidR="00EB0C3B" w:rsidRPr="00827A08">
        <w:rPr>
          <w:color w:val="000000" w:themeColor="text1"/>
        </w:rPr>
        <w:t xml:space="preserve"> psychology</w:t>
      </w:r>
      <w:r w:rsidR="00DC5A83" w:rsidRPr="00827A08">
        <w:rPr>
          <w:color w:val="000000" w:themeColor="text1"/>
        </w:rPr>
        <w:t xml:space="preserve"> and management</w:t>
      </w:r>
      <w:r w:rsidR="00EB0C3B" w:rsidRPr="00827A08">
        <w:rPr>
          <w:color w:val="000000" w:themeColor="text1"/>
        </w:rPr>
        <w:t xml:space="preserve"> to law. In the third section the history of the NGT is unpacked by identifying the principal actors</w:t>
      </w:r>
      <w:r w:rsidR="0005378B" w:rsidRPr="00827A08">
        <w:rPr>
          <w:color w:val="000000" w:themeColor="text1"/>
        </w:rPr>
        <w:t xml:space="preserve"> or forces</w:t>
      </w:r>
      <w:r w:rsidR="00EB0C3B" w:rsidRPr="00827A08">
        <w:rPr>
          <w:color w:val="000000" w:themeColor="text1"/>
        </w:rPr>
        <w:t xml:space="preserve">, both positive and negative, involved in the establishment, exercise and review of the </w:t>
      </w:r>
      <w:r w:rsidR="00021CDC" w:rsidRPr="00827A08">
        <w:rPr>
          <w:color w:val="000000" w:themeColor="text1"/>
        </w:rPr>
        <w:t>Tribunal</w:t>
      </w:r>
      <w:r w:rsidR="00EB0C3B" w:rsidRPr="00827A08">
        <w:rPr>
          <w:color w:val="000000" w:themeColor="text1"/>
        </w:rPr>
        <w:t xml:space="preserve">. Today the NGT faces major challenges regarding its future survival because of external </w:t>
      </w:r>
      <w:r w:rsidR="00DA5D21">
        <w:rPr>
          <w:color w:val="000000" w:themeColor="text1"/>
        </w:rPr>
        <w:t>“restraining forces”</w:t>
      </w:r>
      <w:r w:rsidR="00EB0C3B" w:rsidRPr="00827A08">
        <w:rPr>
          <w:color w:val="000000" w:themeColor="text1"/>
        </w:rPr>
        <w:t xml:space="preserve"> seeking to downgrade its status and functionality. This section addresses this crisis, identifies and analyses the reasons and actions of those interested in supporting the NGT and on the other hand those who are concerned</w:t>
      </w:r>
      <w:r w:rsidR="00E14CDE" w:rsidRPr="00827A08">
        <w:rPr>
          <w:color w:val="000000" w:themeColor="text1"/>
        </w:rPr>
        <w:t xml:space="preserve"> and challenged</w:t>
      </w:r>
      <w:r w:rsidR="00EB0C3B" w:rsidRPr="00827A08">
        <w:rPr>
          <w:color w:val="000000" w:themeColor="text1"/>
        </w:rPr>
        <w:t xml:space="preserve"> by its growth, </w:t>
      </w:r>
      <w:r w:rsidR="00873CFE" w:rsidRPr="00827A08">
        <w:rPr>
          <w:color w:val="000000" w:themeColor="text1"/>
        </w:rPr>
        <w:t xml:space="preserve">activities and popularity. This growing </w:t>
      </w:r>
      <w:r w:rsidR="00AC3ED7" w:rsidRPr="00827A08">
        <w:rPr>
          <w:color w:val="000000" w:themeColor="text1"/>
        </w:rPr>
        <w:t>lobby constitutes</w:t>
      </w:r>
      <w:r w:rsidR="00EB0C3B" w:rsidRPr="00827A08">
        <w:rPr>
          <w:color w:val="000000" w:themeColor="text1"/>
        </w:rPr>
        <w:t xml:space="preserve"> a negative force seeking to restraint and even possibly close the NGT. This oppositional struggle process commenced in 2011 and continues to date. The </w:t>
      </w:r>
      <w:r w:rsidR="00EB0C3B" w:rsidRPr="00827A08">
        <w:rPr>
          <w:color w:val="000000" w:themeColor="text1"/>
        </w:rPr>
        <w:lastRenderedPageBreak/>
        <w:t>conclusion reviews the relationship between theory and practice as played out in the life history of the NGT.</w:t>
      </w:r>
    </w:p>
    <w:p w14:paraId="3311ADD4" w14:textId="134EB262" w:rsidR="001302FD" w:rsidRPr="00D77E98" w:rsidRDefault="007B48D8" w:rsidP="00D77E98">
      <w:pPr>
        <w:pStyle w:val="Heading1"/>
        <w:spacing w:line="360" w:lineRule="auto"/>
        <w:rPr>
          <w:b w:val="0"/>
        </w:rPr>
      </w:pPr>
      <w:r w:rsidRPr="00D77E98">
        <w:rPr>
          <w:b w:val="0"/>
        </w:rPr>
        <w:t>2. T</w:t>
      </w:r>
      <w:r w:rsidR="00A37556" w:rsidRPr="00D77E98">
        <w:rPr>
          <w:b w:val="0"/>
        </w:rPr>
        <w:t xml:space="preserve">heoretical </w:t>
      </w:r>
      <w:r w:rsidRPr="00D77E98">
        <w:rPr>
          <w:b w:val="0"/>
        </w:rPr>
        <w:t>F</w:t>
      </w:r>
      <w:r w:rsidR="00A37556" w:rsidRPr="00D77E98">
        <w:rPr>
          <w:b w:val="0"/>
        </w:rPr>
        <w:t>ramework</w:t>
      </w:r>
      <w:r w:rsidRPr="00D77E98">
        <w:rPr>
          <w:b w:val="0"/>
        </w:rPr>
        <w:t>: T</w:t>
      </w:r>
      <w:r w:rsidR="00A37556" w:rsidRPr="00D77E98">
        <w:rPr>
          <w:b w:val="0"/>
        </w:rPr>
        <w:t>hree- Step</w:t>
      </w:r>
      <w:r w:rsidRPr="00D77E98">
        <w:rPr>
          <w:b w:val="0"/>
        </w:rPr>
        <w:t xml:space="preserve"> C</w:t>
      </w:r>
      <w:r w:rsidR="00A37556" w:rsidRPr="00D77E98">
        <w:rPr>
          <w:b w:val="0"/>
        </w:rPr>
        <w:t xml:space="preserve">hange </w:t>
      </w:r>
      <w:r w:rsidRPr="00D77E98">
        <w:rPr>
          <w:b w:val="0"/>
        </w:rPr>
        <w:t>M</w:t>
      </w:r>
      <w:r w:rsidR="00A37556" w:rsidRPr="00D77E98">
        <w:rPr>
          <w:b w:val="0"/>
        </w:rPr>
        <w:t>odel and</w:t>
      </w:r>
      <w:r w:rsidRPr="00D77E98">
        <w:rPr>
          <w:b w:val="0"/>
        </w:rPr>
        <w:t xml:space="preserve"> F</w:t>
      </w:r>
      <w:r w:rsidR="00A37556" w:rsidRPr="00D77E98">
        <w:rPr>
          <w:b w:val="0"/>
        </w:rPr>
        <w:t>orce</w:t>
      </w:r>
      <w:r w:rsidRPr="00D77E98">
        <w:rPr>
          <w:b w:val="0"/>
        </w:rPr>
        <w:t xml:space="preserve"> F</w:t>
      </w:r>
      <w:r w:rsidR="00A37556" w:rsidRPr="00D77E98">
        <w:rPr>
          <w:b w:val="0"/>
        </w:rPr>
        <w:t>ield</w:t>
      </w:r>
      <w:r w:rsidRPr="00D77E98">
        <w:rPr>
          <w:b w:val="0"/>
        </w:rPr>
        <w:t xml:space="preserve"> T</w:t>
      </w:r>
      <w:r w:rsidR="00A37556" w:rsidRPr="00D77E98">
        <w:rPr>
          <w:b w:val="0"/>
        </w:rPr>
        <w:t>heory</w:t>
      </w:r>
    </w:p>
    <w:p w14:paraId="200FF172" w14:textId="5E31C54C" w:rsidR="00462815" w:rsidRPr="00827A08" w:rsidRDefault="001302FD" w:rsidP="00D77E98">
      <w:pPr>
        <w:widowControl w:val="0"/>
        <w:autoSpaceDE w:val="0"/>
        <w:autoSpaceDN w:val="0"/>
        <w:adjustRightInd w:val="0"/>
        <w:spacing w:after="240" w:line="360" w:lineRule="auto"/>
        <w:rPr>
          <w:color w:val="000000" w:themeColor="text1"/>
        </w:rPr>
      </w:pPr>
      <w:r w:rsidRPr="00D77E98">
        <w:rPr>
          <w:color w:val="000000" w:themeColor="text1"/>
        </w:rPr>
        <w:t xml:space="preserve">Kurt Lewin (1890-1947) </w:t>
      </w:r>
      <w:r w:rsidR="00716D6F" w:rsidRPr="00D77E98">
        <w:rPr>
          <w:color w:val="000000" w:themeColor="text1"/>
        </w:rPr>
        <w:t>i</w:t>
      </w:r>
      <w:r w:rsidRPr="00D77E98">
        <w:rPr>
          <w:color w:val="000000" w:themeColor="text1"/>
        </w:rPr>
        <w:t>s</w:t>
      </w:r>
      <w:r w:rsidR="00DB4B38" w:rsidRPr="00D77E98">
        <w:rPr>
          <w:color w:val="000000" w:themeColor="text1"/>
        </w:rPr>
        <w:t xml:space="preserve"> </w:t>
      </w:r>
      <w:r w:rsidRPr="00D77E98">
        <w:rPr>
          <w:color w:val="000000" w:themeColor="text1"/>
        </w:rPr>
        <w:t xml:space="preserve">considered </w:t>
      </w:r>
      <w:r w:rsidR="00197603" w:rsidRPr="00D77E98">
        <w:rPr>
          <w:color w:val="000000" w:themeColor="text1"/>
        </w:rPr>
        <w:t>an i</w:t>
      </w:r>
      <w:r w:rsidR="00446FCD" w:rsidRPr="00D77E98">
        <w:rPr>
          <w:color w:val="000000" w:themeColor="text1"/>
        </w:rPr>
        <w:t>nfluential</w:t>
      </w:r>
      <w:r w:rsidR="00197603" w:rsidRPr="00D77E98">
        <w:rPr>
          <w:color w:val="000000" w:themeColor="text1"/>
        </w:rPr>
        <w:t xml:space="preserve"> </w:t>
      </w:r>
      <w:r w:rsidR="00912805" w:rsidRPr="00D77E98">
        <w:rPr>
          <w:color w:val="000000" w:themeColor="text1"/>
        </w:rPr>
        <w:t xml:space="preserve">physicist and </w:t>
      </w:r>
      <w:r w:rsidRPr="00D77E98">
        <w:rPr>
          <w:color w:val="000000" w:themeColor="text1"/>
        </w:rPr>
        <w:t>psychologist and</w:t>
      </w:r>
      <w:r w:rsidR="00067134" w:rsidRPr="00D77E98">
        <w:rPr>
          <w:color w:val="000000" w:themeColor="text1"/>
        </w:rPr>
        <w:t xml:space="preserve"> for the purposes of this paper</w:t>
      </w:r>
      <w:r w:rsidR="00197603" w:rsidRPr="00D77E98">
        <w:rPr>
          <w:color w:val="000000" w:themeColor="text1"/>
        </w:rPr>
        <w:t xml:space="preserve"> the </w:t>
      </w:r>
      <w:r w:rsidRPr="00D77E98">
        <w:rPr>
          <w:color w:val="000000" w:themeColor="text1"/>
        </w:rPr>
        <w:t>founding father of change management</w:t>
      </w:r>
      <w:r w:rsidR="00716D6F" w:rsidRPr="00827A08">
        <w:rPr>
          <w:color w:val="000000" w:themeColor="text1"/>
        </w:rPr>
        <w:t xml:space="preserve"> theory</w:t>
      </w:r>
      <w:r w:rsidRPr="00827A08">
        <w:rPr>
          <w:color w:val="000000" w:themeColor="text1"/>
        </w:rPr>
        <w:t>.</w:t>
      </w:r>
      <w:r w:rsidR="002B3E08" w:rsidRPr="00827A08">
        <w:rPr>
          <w:rStyle w:val="FootnoteReference"/>
          <w:color w:val="000000" w:themeColor="text1"/>
        </w:rPr>
        <w:footnoteReference w:id="24"/>
      </w:r>
      <w:r w:rsidRPr="00827A08">
        <w:rPr>
          <w:color w:val="000000" w:themeColor="text1"/>
        </w:rPr>
        <w:t xml:space="preserve"> Lewin</w:t>
      </w:r>
      <w:r w:rsidR="00CE661E" w:rsidRPr="00827A08">
        <w:rPr>
          <w:color w:val="000000" w:themeColor="text1"/>
        </w:rPr>
        <w:t>’s work on planned c</w:t>
      </w:r>
      <w:r w:rsidRPr="00827A08">
        <w:rPr>
          <w:color w:val="000000" w:themeColor="text1"/>
        </w:rPr>
        <w:t>hange</w:t>
      </w:r>
      <w:r w:rsidR="00E47023" w:rsidRPr="00827A08">
        <w:rPr>
          <w:rStyle w:val="FootnoteReference"/>
          <w:color w:val="000000" w:themeColor="text1"/>
        </w:rPr>
        <w:footnoteReference w:id="25"/>
      </w:r>
      <w:r w:rsidRPr="00827A08">
        <w:rPr>
          <w:color w:val="000000" w:themeColor="text1"/>
        </w:rPr>
        <w:t xml:space="preserve"> provide</w:t>
      </w:r>
      <w:r w:rsidR="00716D6F" w:rsidRPr="00827A08">
        <w:rPr>
          <w:color w:val="000000" w:themeColor="text1"/>
        </w:rPr>
        <w:t>s</w:t>
      </w:r>
      <w:r w:rsidRPr="00827A08">
        <w:rPr>
          <w:color w:val="000000" w:themeColor="text1"/>
        </w:rPr>
        <w:t xml:space="preserve"> an elaborate and robust approach</w:t>
      </w:r>
      <w:r w:rsidR="00324A92" w:rsidRPr="00827A08">
        <w:rPr>
          <w:color w:val="000000" w:themeColor="text1"/>
        </w:rPr>
        <w:t xml:space="preserve"> to</w:t>
      </w:r>
      <w:r w:rsidR="00067134" w:rsidRPr="00827A08">
        <w:rPr>
          <w:color w:val="000000" w:themeColor="text1"/>
        </w:rPr>
        <w:t xml:space="preserve"> understanding and</w:t>
      </w:r>
      <w:r w:rsidR="00324A92" w:rsidRPr="00827A08">
        <w:rPr>
          <w:color w:val="000000" w:themeColor="text1"/>
        </w:rPr>
        <w:t xml:space="preserve"> </w:t>
      </w:r>
      <w:r w:rsidRPr="00827A08">
        <w:rPr>
          <w:color w:val="000000" w:themeColor="text1"/>
        </w:rPr>
        <w:t>reso</w:t>
      </w:r>
      <w:r w:rsidR="0078108B" w:rsidRPr="00827A08">
        <w:rPr>
          <w:color w:val="000000" w:themeColor="text1"/>
        </w:rPr>
        <w:t>lving social conflict whether</w:t>
      </w:r>
      <w:r w:rsidRPr="00827A08">
        <w:rPr>
          <w:color w:val="000000" w:themeColor="text1"/>
        </w:rPr>
        <w:t xml:space="preserve"> in an organ</w:t>
      </w:r>
      <w:r w:rsidR="00CE661E" w:rsidRPr="00827A08">
        <w:rPr>
          <w:color w:val="000000" w:themeColor="text1"/>
        </w:rPr>
        <w:t>isation or wider society.</w:t>
      </w:r>
      <w:r w:rsidR="00716D6F" w:rsidRPr="00827A08">
        <w:rPr>
          <w:color w:val="000000" w:themeColor="text1"/>
        </w:rPr>
        <w:t xml:space="preserve"> </w:t>
      </w:r>
      <w:r w:rsidR="00462815" w:rsidRPr="00827A08">
        <w:rPr>
          <w:color w:val="000000" w:themeColor="text1"/>
        </w:rPr>
        <w:t>As Edgar Schein commented:</w:t>
      </w:r>
    </w:p>
    <w:p w14:paraId="66FF2DFA" w14:textId="7645A949" w:rsidR="00462815" w:rsidRPr="00E255DE" w:rsidRDefault="00462815" w:rsidP="00E255DE">
      <w:pPr>
        <w:widowControl w:val="0"/>
        <w:autoSpaceDE w:val="0"/>
        <w:autoSpaceDN w:val="0"/>
        <w:adjustRightInd w:val="0"/>
        <w:spacing w:after="240" w:line="360" w:lineRule="auto"/>
        <w:ind w:left="360" w:right="360"/>
        <w:rPr>
          <w:color w:val="000000" w:themeColor="text1"/>
          <w:sz w:val="20"/>
          <w:szCs w:val="20"/>
        </w:rPr>
      </w:pPr>
      <w:r w:rsidRPr="00E255DE">
        <w:rPr>
          <w:color w:val="000000" w:themeColor="text1"/>
          <w:sz w:val="20"/>
          <w:szCs w:val="20"/>
        </w:rPr>
        <w:t>The intellectual father of planned change is Kurt Lewin. His seminal work on leadership style and the experiments on planned change that sought to</w:t>
      </w:r>
      <w:r w:rsidR="002752C3" w:rsidRPr="00E255DE">
        <w:rPr>
          <w:color w:val="000000" w:themeColor="text1"/>
          <w:sz w:val="20"/>
          <w:szCs w:val="20"/>
        </w:rPr>
        <w:t xml:space="preserve"> </w:t>
      </w:r>
      <w:r w:rsidRPr="00E255DE">
        <w:rPr>
          <w:color w:val="000000" w:themeColor="text1"/>
          <w:sz w:val="20"/>
          <w:szCs w:val="20"/>
        </w:rPr>
        <w:t>understand and change consumer behaviour launched a generation of research in group dynamics and the implementation of change programmes.</w:t>
      </w:r>
      <w:r w:rsidR="00AD6355" w:rsidRPr="00E255DE">
        <w:rPr>
          <w:rStyle w:val="FootnoteReference"/>
          <w:color w:val="000000" w:themeColor="text1"/>
          <w:sz w:val="20"/>
          <w:szCs w:val="20"/>
        </w:rPr>
        <w:footnoteReference w:id="26"/>
      </w:r>
      <w:r w:rsidRPr="00E255DE">
        <w:rPr>
          <w:color w:val="000000" w:themeColor="text1"/>
          <w:sz w:val="20"/>
          <w:szCs w:val="20"/>
        </w:rPr>
        <w:t xml:space="preserve"> </w:t>
      </w:r>
    </w:p>
    <w:p w14:paraId="3CD3E14A" w14:textId="660D3DEB" w:rsidR="00E94F9D" w:rsidRPr="00827A08" w:rsidRDefault="003003AC" w:rsidP="002C4CC5">
      <w:pPr>
        <w:spacing w:line="360" w:lineRule="auto"/>
        <w:rPr>
          <w:rFonts w:eastAsia="Times New Roman"/>
          <w:color w:val="000000" w:themeColor="text1"/>
        </w:rPr>
      </w:pPr>
      <w:r w:rsidRPr="00827A08">
        <w:rPr>
          <w:color w:val="000000" w:themeColor="text1"/>
        </w:rPr>
        <w:t>The relevance of Lewin’s work to</w:t>
      </w:r>
      <w:r w:rsidR="001302FD" w:rsidRPr="00827A08">
        <w:rPr>
          <w:color w:val="000000" w:themeColor="text1"/>
        </w:rPr>
        <w:t xml:space="preserve"> </w:t>
      </w:r>
      <w:r w:rsidR="0094212A" w:rsidRPr="00827A08">
        <w:rPr>
          <w:color w:val="000000" w:themeColor="text1"/>
        </w:rPr>
        <w:t>fast-changing</w:t>
      </w:r>
      <w:r w:rsidR="006659FA" w:rsidRPr="00827A08">
        <w:rPr>
          <w:color w:val="000000" w:themeColor="text1"/>
        </w:rPr>
        <w:t xml:space="preserve"> modern organisations</w:t>
      </w:r>
      <w:r w:rsidR="008210DD" w:rsidRPr="00827A08">
        <w:rPr>
          <w:color w:val="000000" w:themeColor="text1"/>
        </w:rPr>
        <w:t xml:space="preserve"> continues to this day.</w:t>
      </w:r>
      <w:r w:rsidR="006659FA" w:rsidRPr="00827A08">
        <w:rPr>
          <w:color w:val="000000" w:themeColor="text1"/>
        </w:rPr>
        <w:t xml:space="preserve"> </w:t>
      </w:r>
      <w:r w:rsidR="00912805" w:rsidRPr="00827A08">
        <w:rPr>
          <w:color w:val="000000" w:themeColor="text1"/>
        </w:rPr>
        <w:t xml:space="preserve"> Change</w:t>
      </w:r>
      <w:r w:rsidR="001F0253" w:rsidRPr="00827A08">
        <w:rPr>
          <w:color w:val="000000" w:themeColor="text1"/>
        </w:rPr>
        <w:t xml:space="preserve"> management is defined as </w:t>
      </w:r>
      <w:r w:rsidR="006D4053">
        <w:rPr>
          <w:rFonts w:eastAsia="Times New Roman"/>
          <w:color w:val="000000" w:themeColor="text1"/>
        </w:rPr>
        <w:t>“</w:t>
      </w:r>
      <w:r w:rsidR="001F0253" w:rsidRPr="00827A08">
        <w:rPr>
          <w:rFonts w:eastAsia="Times New Roman"/>
          <w:color w:val="000000" w:themeColor="text1"/>
        </w:rPr>
        <w:t>the process of continually renewing an organization’s direction, structure, and capabilities to serve the ever-changing needs of e</w:t>
      </w:r>
      <w:r w:rsidR="00D74980" w:rsidRPr="00827A08">
        <w:rPr>
          <w:rFonts w:eastAsia="Times New Roman"/>
          <w:color w:val="000000" w:themeColor="text1"/>
        </w:rPr>
        <w:t>xternal and internal customers.</w:t>
      </w:r>
      <w:r w:rsidR="006D4053">
        <w:rPr>
          <w:rFonts w:eastAsia="Times New Roman"/>
          <w:color w:val="000000" w:themeColor="text1"/>
        </w:rPr>
        <w:t>”</w:t>
      </w:r>
      <w:r w:rsidR="00D74980" w:rsidRPr="00827A08">
        <w:rPr>
          <w:rStyle w:val="FootnoteReference"/>
          <w:rFonts w:eastAsia="Times New Roman"/>
          <w:color w:val="000000" w:themeColor="text1"/>
        </w:rPr>
        <w:footnoteReference w:id="27"/>
      </w:r>
      <w:r w:rsidR="001C2126" w:rsidRPr="00827A08">
        <w:rPr>
          <w:rFonts w:eastAsia="Times New Roman"/>
          <w:color w:val="000000" w:themeColor="text1"/>
        </w:rPr>
        <w:t xml:space="preserve"> </w:t>
      </w:r>
      <w:r w:rsidR="001E2636" w:rsidRPr="00827A08">
        <w:rPr>
          <w:rFonts w:eastAsia="Times New Roman"/>
          <w:color w:val="000000" w:themeColor="text1"/>
        </w:rPr>
        <w:t>The</w:t>
      </w:r>
      <w:r w:rsidR="00A1692A" w:rsidRPr="00827A08">
        <w:rPr>
          <w:rFonts w:eastAsia="Times New Roman"/>
          <w:color w:val="000000" w:themeColor="text1"/>
        </w:rPr>
        <w:t xml:space="preserve"> academic literature </w:t>
      </w:r>
      <w:r w:rsidR="008D28E7" w:rsidRPr="00827A08">
        <w:rPr>
          <w:rFonts w:eastAsia="Times New Roman"/>
          <w:color w:val="000000" w:themeColor="text1"/>
        </w:rPr>
        <w:t xml:space="preserve">on organisational change reflects </w:t>
      </w:r>
      <w:r w:rsidR="001E2636" w:rsidRPr="00827A08">
        <w:rPr>
          <w:rFonts w:eastAsia="Times New Roman"/>
          <w:color w:val="000000" w:themeColor="text1"/>
        </w:rPr>
        <w:t>consensus on two important matters</w:t>
      </w:r>
      <w:r w:rsidR="008D28E7" w:rsidRPr="00827A08">
        <w:rPr>
          <w:rFonts w:eastAsia="Times New Roman"/>
          <w:color w:val="000000" w:themeColor="text1"/>
        </w:rPr>
        <w:t>.</w:t>
      </w:r>
      <w:r w:rsidR="0089174F" w:rsidRPr="00827A08">
        <w:rPr>
          <w:rFonts w:eastAsia="Times New Roman"/>
          <w:color w:val="000000" w:themeColor="text1"/>
        </w:rPr>
        <w:t xml:space="preserve"> </w:t>
      </w:r>
      <w:r w:rsidR="008D28E7" w:rsidRPr="00827A08">
        <w:rPr>
          <w:rFonts w:eastAsia="Times New Roman"/>
          <w:color w:val="000000" w:themeColor="text1"/>
        </w:rPr>
        <w:t>First,</w:t>
      </w:r>
      <w:r w:rsidR="00B2446A" w:rsidRPr="00827A08">
        <w:rPr>
          <w:rFonts w:eastAsia="Times New Roman"/>
          <w:color w:val="000000" w:themeColor="text1"/>
        </w:rPr>
        <w:t xml:space="preserve"> the pace of change is faster</w:t>
      </w:r>
      <w:r w:rsidR="001E2636" w:rsidRPr="00827A08">
        <w:rPr>
          <w:rFonts w:eastAsia="Times New Roman"/>
          <w:color w:val="000000" w:themeColor="text1"/>
        </w:rPr>
        <w:t xml:space="preserve"> in the </w:t>
      </w:r>
      <w:r w:rsidR="0084590B" w:rsidRPr="00827A08">
        <w:rPr>
          <w:rFonts w:eastAsia="Times New Roman"/>
          <w:color w:val="000000" w:themeColor="text1"/>
        </w:rPr>
        <w:t xml:space="preserve">present economic </w:t>
      </w:r>
      <w:r w:rsidR="007659C4" w:rsidRPr="00827A08">
        <w:rPr>
          <w:rFonts w:eastAsia="Times New Roman"/>
          <w:color w:val="000000" w:themeColor="text1"/>
        </w:rPr>
        <w:t xml:space="preserve">and globalised </w:t>
      </w:r>
      <w:r w:rsidR="0084590B" w:rsidRPr="00827A08">
        <w:rPr>
          <w:rFonts w:eastAsia="Times New Roman"/>
          <w:color w:val="000000" w:themeColor="text1"/>
        </w:rPr>
        <w:t>environment</w:t>
      </w:r>
      <w:r w:rsidR="007659C4" w:rsidRPr="00827A08">
        <w:rPr>
          <w:rFonts w:eastAsia="Times New Roman"/>
          <w:color w:val="000000" w:themeColor="text1"/>
        </w:rPr>
        <w:t>.</w:t>
      </w:r>
      <w:r w:rsidR="00D74980" w:rsidRPr="00827A08">
        <w:rPr>
          <w:rStyle w:val="FootnoteReference"/>
          <w:rFonts w:eastAsia="Times New Roman"/>
          <w:color w:val="000000" w:themeColor="text1"/>
        </w:rPr>
        <w:footnoteReference w:id="28"/>
      </w:r>
      <w:r w:rsidR="007659C4" w:rsidRPr="00827A08">
        <w:rPr>
          <w:rFonts w:eastAsia="Times New Roman"/>
          <w:color w:val="000000" w:themeColor="text1"/>
        </w:rPr>
        <w:t xml:space="preserve"> S</w:t>
      </w:r>
      <w:r w:rsidR="00B2446A" w:rsidRPr="00827A08">
        <w:rPr>
          <w:rFonts w:eastAsia="Times New Roman"/>
          <w:color w:val="000000" w:themeColor="text1"/>
        </w:rPr>
        <w:t>econd,</w:t>
      </w:r>
      <w:r w:rsidR="0084590B" w:rsidRPr="00827A08">
        <w:rPr>
          <w:rFonts w:eastAsia="Times New Roman"/>
          <w:color w:val="000000" w:themeColor="text1"/>
        </w:rPr>
        <w:t xml:space="preserve"> internal and external factors </w:t>
      </w:r>
      <w:r w:rsidR="004538D1" w:rsidRPr="00827A08">
        <w:rPr>
          <w:rFonts w:eastAsia="Times New Roman"/>
          <w:color w:val="000000" w:themeColor="text1"/>
        </w:rPr>
        <w:t xml:space="preserve">precipitate </w:t>
      </w:r>
      <w:r w:rsidR="0089174F" w:rsidRPr="00827A08">
        <w:rPr>
          <w:rFonts w:eastAsia="Times New Roman"/>
          <w:color w:val="000000" w:themeColor="text1"/>
        </w:rPr>
        <w:t xml:space="preserve">change </w:t>
      </w:r>
      <w:r w:rsidR="00E94F9D" w:rsidRPr="00827A08">
        <w:rPr>
          <w:rFonts w:eastAsia="Times New Roman"/>
          <w:color w:val="000000" w:themeColor="text1"/>
        </w:rPr>
        <w:t>and affect organisations</w:t>
      </w:r>
      <w:r w:rsidR="00D74980" w:rsidRPr="00827A08">
        <w:rPr>
          <w:rFonts w:eastAsia="Times New Roman"/>
          <w:color w:val="000000" w:themeColor="text1"/>
        </w:rPr>
        <w:t>.</w:t>
      </w:r>
      <w:r w:rsidR="00D74980" w:rsidRPr="00827A08">
        <w:rPr>
          <w:rStyle w:val="FootnoteReference"/>
          <w:rFonts w:eastAsia="Times New Roman"/>
          <w:color w:val="000000" w:themeColor="text1"/>
        </w:rPr>
        <w:footnoteReference w:id="29"/>
      </w:r>
      <w:r w:rsidR="00E94F9D" w:rsidRPr="00827A08">
        <w:rPr>
          <w:rFonts w:eastAsia="Times New Roman"/>
          <w:color w:val="000000" w:themeColor="text1"/>
        </w:rPr>
        <w:t xml:space="preserve"> Thus, </w:t>
      </w:r>
      <w:r w:rsidR="00B2446A" w:rsidRPr="00827A08">
        <w:rPr>
          <w:color w:val="000000" w:themeColor="text1"/>
        </w:rPr>
        <w:t>change is</w:t>
      </w:r>
      <w:r w:rsidR="00E94F9D" w:rsidRPr="00827A08">
        <w:rPr>
          <w:color w:val="000000" w:themeColor="text1"/>
        </w:rPr>
        <w:t xml:space="preserve"> </w:t>
      </w:r>
      <w:r w:rsidR="006D4053">
        <w:rPr>
          <w:color w:val="000000" w:themeColor="text1"/>
        </w:rPr>
        <w:t>“</w:t>
      </w:r>
      <w:r w:rsidR="001856D4" w:rsidRPr="00827A08">
        <w:rPr>
          <w:color w:val="000000" w:themeColor="text1"/>
        </w:rPr>
        <w:t>both pervasive and persistent and normality</w:t>
      </w:r>
      <w:r w:rsidR="006D4053">
        <w:rPr>
          <w:color w:val="000000" w:themeColor="text1"/>
        </w:rPr>
        <w:t>”</w:t>
      </w:r>
      <w:r w:rsidR="001856D4" w:rsidRPr="00827A08">
        <w:rPr>
          <w:rStyle w:val="FootnoteReference"/>
          <w:color w:val="000000" w:themeColor="text1"/>
        </w:rPr>
        <w:footnoteReference w:id="30"/>
      </w:r>
      <w:r w:rsidR="006D4053">
        <w:rPr>
          <w:color w:val="000000" w:themeColor="text1"/>
        </w:rPr>
        <w:t xml:space="preserve"> but simultaneously “</w:t>
      </w:r>
      <w:r w:rsidR="00E94F9D" w:rsidRPr="00827A08">
        <w:rPr>
          <w:color w:val="000000" w:themeColor="text1"/>
        </w:rPr>
        <w:t xml:space="preserve">reactive, </w:t>
      </w:r>
      <w:r w:rsidR="00C2307B" w:rsidRPr="00827A08">
        <w:rPr>
          <w:color w:val="000000" w:themeColor="text1"/>
        </w:rPr>
        <w:t xml:space="preserve">discontinuous, </w:t>
      </w:r>
      <w:r w:rsidR="00E94F9D" w:rsidRPr="00827A08">
        <w:rPr>
          <w:rFonts w:eastAsia="Times New Roman"/>
          <w:color w:val="000000" w:themeColor="text1"/>
        </w:rPr>
        <w:t>ad hoc and often triggered by a situation of organisational crisis.</w:t>
      </w:r>
      <w:r w:rsidR="006D4053">
        <w:rPr>
          <w:rFonts w:eastAsia="Times New Roman"/>
          <w:color w:val="000000" w:themeColor="text1"/>
        </w:rPr>
        <w:t>”</w:t>
      </w:r>
      <w:r w:rsidR="00C2307B" w:rsidRPr="00827A08">
        <w:rPr>
          <w:rStyle w:val="FootnoteReference"/>
          <w:rFonts w:eastAsia="Times New Roman"/>
          <w:color w:val="000000" w:themeColor="text1"/>
        </w:rPr>
        <w:footnoteReference w:id="31"/>
      </w:r>
    </w:p>
    <w:p w14:paraId="781122B4" w14:textId="77777777" w:rsidR="00565389" w:rsidRPr="00827A08" w:rsidRDefault="00565389" w:rsidP="002C4CC5">
      <w:pPr>
        <w:spacing w:line="360" w:lineRule="auto"/>
        <w:rPr>
          <w:rFonts w:eastAsia="Times New Roman"/>
          <w:color w:val="000000" w:themeColor="text1"/>
        </w:rPr>
      </w:pPr>
    </w:p>
    <w:p w14:paraId="34AAB0E3" w14:textId="601B69B0" w:rsidR="00B95337" w:rsidRPr="00827A08" w:rsidRDefault="005A6915" w:rsidP="00D77E98">
      <w:pPr>
        <w:spacing w:line="360" w:lineRule="auto"/>
        <w:rPr>
          <w:rFonts w:eastAsia="Times New Roman"/>
          <w:color w:val="000000" w:themeColor="text1"/>
        </w:rPr>
      </w:pPr>
      <w:r w:rsidRPr="00827A08">
        <w:rPr>
          <w:rFonts w:eastAsia="Times New Roman"/>
          <w:color w:val="000000" w:themeColor="text1"/>
        </w:rPr>
        <w:t>U</w:t>
      </w:r>
      <w:r w:rsidR="00710E14" w:rsidRPr="00827A08">
        <w:rPr>
          <w:rFonts w:eastAsia="Times New Roman"/>
          <w:color w:val="000000" w:themeColor="text1"/>
        </w:rPr>
        <w:t xml:space="preserve">nderstanding </w:t>
      </w:r>
      <w:r w:rsidRPr="00827A08">
        <w:rPr>
          <w:rFonts w:eastAsia="Times New Roman"/>
          <w:color w:val="000000" w:themeColor="text1"/>
        </w:rPr>
        <w:t>organisational chan</w:t>
      </w:r>
      <w:r w:rsidR="00C455B1">
        <w:rPr>
          <w:rFonts w:eastAsia="Times New Roman"/>
          <w:color w:val="000000" w:themeColor="text1"/>
        </w:rPr>
        <w:t>ge requires an analysis of the “</w:t>
      </w:r>
      <w:r w:rsidRPr="00827A08">
        <w:rPr>
          <w:rFonts w:eastAsia="Times New Roman"/>
          <w:color w:val="000000" w:themeColor="text1"/>
        </w:rPr>
        <w:t>field as a whole</w:t>
      </w:r>
      <w:r w:rsidR="00C455B1">
        <w:rPr>
          <w:rFonts w:eastAsia="Times New Roman"/>
          <w:color w:val="000000" w:themeColor="text1"/>
        </w:rPr>
        <w:t>”</w:t>
      </w:r>
      <w:r w:rsidR="00D74980" w:rsidRPr="00827A08">
        <w:rPr>
          <w:rStyle w:val="FootnoteReference"/>
          <w:rFonts w:eastAsia="Times New Roman"/>
          <w:color w:val="000000" w:themeColor="text1"/>
        </w:rPr>
        <w:footnoteReference w:id="32"/>
      </w:r>
      <w:r w:rsidR="00376D05" w:rsidRPr="00827A08">
        <w:rPr>
          <w:rFonts w:eastAsia="Times New Roman"/>
          <w:color w:val="000000" w:themeColor="text1"/>
        </w:rPr>
        <w:t xml:space="preserve"> </w:t>
      </w:r>
      <w:r w:rsidR="00E241AA" w:rsidRPr="00827A08">
        <w:rPr>
          <w:rFonts w:eastAsia="Times New Roman"/>
          <w:color w:val="000000" w:themeColor="text1"/>
        </w:rPr>
        <w:t xml:space="preserve">as it </w:t>
      </w:r>
      <w:r w:rsidR="00710E14" w:rsidRPr="00827A08">
        <w:rPr>
          <w:rFonts w:eastAsia="Times New Roman"/>
          <w:color w:val="000000" w:themeColor="text1"/>
        </w:rPr>
        <w:t>helps</w:t>
      </w:r>
      <w:r w:rsidR="008210DD" w:rsidRPr="00827A08">
        <w:rPr>
          <w:rFonts w:eastAsia="Times New Roman"/>
          <w:color w:val="000000" w:themeColor="text1"/>
        </w:rPr>
        <w:t xml:space="preserve"> to analyse</w:t>
      </w:r>
      <w:r w:rsidR="00710E14" w:rsidRPr="00827A08">
        <w:rPr>
          <w:rFonts w:eastAsia="Times New Roman"/>
          <w:color w:val="000000" w:themeColor="text1"/>
        </w:rPr>
        <w:t xml:space="preserve"> </w:t>
      </w:r>
      <w:r w:rsidR="008D7FB5" w:rsidRPr="00827A08">
        <w:rPr>
          <w:rFonts w:eastAsia="Times New Roman"/>
          <w:color w:val="000000" w:themeColor="text1"/>
        </w:rPr>
        <w:t>scientifically</w:t>
      </w:r>
      <w:r w:rsidR="00710E14" w:rsidRPr="00827A08">
        <w:rPr>
          <w:rFonts w:eastAsia="Times New Roman"/>
          <w:color w:val="000000" w:themeColor="text1"/>
        </w:rPr>
        <w:t xml:space="preserve"> the pattern of forces </w:t>
      </w:r>
      <w:r w:rsidR="00C455B1">
        <w:rPr>
          <w:rFonts w:eastAsia="Times New Roman"/>
          <w:color w:val="000000" w:themeColor="text1"/>
        </w:rPr>
        <w:t>operating in the group. “</w:t>
      </w:r>
      <w:r w:rsidR="008D7FB5" w:rsidRPr="00827A08">
        <w:rPr>
          <w:rFonts w:eastAsia="Times New Roman"/>
          <w:color w:val="000000" w:themeColor="text1"/>
        </w:rPr>
        <w:t xml:space="preserve">The process is but the epiphenomenon, the real object of the study </w:t>
      </w:r>
      <w:r w:rsidR="00D74980" w:rsidRPr="00827A08">
        <w:rPr>
          <w:rFonts w:eastAsia="Times New Roman"/>
          <w:color w:val="000000" w:themeColor="text1"/>
        </w:rPr>
        <w:t>is the constellation of forces.</w:t>
      </w:r>
      <w:r w:rsidR="00C455B1">
        <w:rPr>
          <w:rFonts w:eastAsia="Times New Roman"/>
          <w:color w:val="000000" w:themeColor="text1"/>
        </w:rPr>
        <w:t>”</w:t>
      </w:r>
      <w:r w:rsidR="00D74980" w:rsidRPr="00827A08">
        <w:rPr>
          <w:rStyle w:val="FootnoteReference"/>
          <w:rFonts w:eastAsia="Times New Roman"/>
          <w:color w:val="000000" w:themeColor="text1"/>
        </w:rPr>
        <w:footnoteReference w:id="33"/>
      </w:r>
      <w:r w:rsidR="00376D05" w:rsidRPr="00827A08">
        <w:rPr>
          <w:rFonts w:eastAsia="Times New Roman"/>
          <w:color w:val="000000" w:themeColor="text1"/>
        </w:rPr>
        <w:t xml:space="preserve"> </w:t>
      </w:r>
      <w:r w:rsidR="00C455B1">
        <w:rPr>
          <w:rFonts w:eastAsia="Times New Roman"/>
          <w:color w:val="000000" w:themeColor="text1"/>
        </w:rPr>
        <w:t>In this context, Lewin’s “three step change model” and “field force theory”</w:t>
      </w:r>
      <w:r w:rsidR="00406F6A" w:rsidRPr="00827A08">
        <w:rPr>
          <w:rFonts w:eastAsia="Times New Roman"/>
          <w:color w:val="000000" w:themeColor="text1"/>
        </w:rPr>
        <w:t xml:space="preserve"> </w:t>
      </w:r>
      <w:r w:rsidR="00184E9C" w:rsidRPr="00827A08">
        <w:rPr>
          <w:rFonts w:eastAsia="Times New Roman"/>
          <w:color w:val="000000" w:themeColor="text1"/>
        </w:rPr>
        <w:t xml:space="preserve">are </w:t>
      </w:r>
      <w:r w:rsidR="00406F6A" w:rsidRPr="00827A08">
        <w:rPr>
          <w:rFonts w:eastAsia="Times New Roman"/>
          <w:color w:val="000000" w:themeColor="text1"/>
        </w:rPr>
        <w:t>of foundational importance</w:t>
      </w:r>
      <w:r w:rsidR="00444EF0" w:rsidRPr="00827A08">
        <w:rPr>
          <w:rFonts w:eastAsia="Times New Roman"/>
          <w:color w:val="000000" w:themeColor="text1"/>
        </w:rPr>
        <w:t>.</w:t>
      </w:r>
      <w:r w:rsidR="00406F6A" w:rsidRPr="00827A08">
        <w:rPr>
          <w:rFonts w:eastAsia="Times New Roman"/>
          <w:color w:val="000000" w:themeColor="text1"/>
        </w:rPr>
        <w:t xml:space="preserve"> </w:t>
      </w:r>
      <w:r w:rsidR="00804595" w:rsidRPr="00827A08">
        <w:rPr>
          <w:rFonts w:eastAsia="Times New Roman"/>
          <w:color w:val="000000" w:themeColor="text1"/>
        </w:rPr>
        <w:t>There exists a body of lively</w:t>
      </w:r>
      <w:r w:rsidR="00746EAB" w:rsidRPr="00827A08">
        <w:rPr>
          <w:rFonts w:eastAsia="Times New Roman"/>
          <w:color w:val="000000" w:themeColor="text1"/>
        </w:rPr>
        <w:t>,</w:t>
      </w:r>
      <w:r w:rsidR="00804595" w:rsidRPr="00827A08">
        <w:rPr>
          <w:rFonts w:eastAsia="Times New Roman"/>
          <w:color w:val="000000" w:themeColor="text1"/>
        </w:rPr>
        <w:t xml:space="preserve"> disparate opinion and literature about </w:t>
      </w:r>
      <w:r w:rsidR="001F70FF" w:rsidRPr="00827A08">
        <w:rPr>
          <w:rFonts w:eastAsia="Times New Roman"/>
          <w:color w:val="000000" w:themeColor="text1"/>
        </w:rPr>
        <w:t xml:space="preserve">Lewin’s </w:t>
      </w:r>
      <w:r w:rsidR="00684BA7" w:rsidRPr="00827A08">
        <w:rPr>
          <w:rFonts w:eastAsia="Times New Roman"/>
          <w:color w:val="000000" w:themeColor="text1"/>
        </w:rPr>
        <w:t>diluted</w:t>
      </w:r>
      <w:r w:rsidR="001F70FF" w:rsidRPr="00827A08">
        <w:rPr>
          <w:rFonts w:eastAsia="Times New Roman"/>
          <w:color w:val="000000" w:themeColor="text1"/>
        </w:rPr>
        <w:t xml:space="preserve"> and overly simplistic theories that are beyond the scope of this article.</w:t>
      </w:r>
      <w:r w:rsidR="00D74980" w:rsidRPr="00827A08">
        <w:rPr>
          <w:rStyle w:val="FootnoteReference"/>
          <w:rFonts w:eastAsia="Times New Roman"/>
          <w:color w:val="000000" w:themeColor="text1"/>
        </w:rPr>
        <w:footnoteReference w:id="34"/>
      </w:r>
      <w:r w:rsidR="00546EED" w:rsidRPr="00827A08">
        <w:rPr>
          <w:rFonts w:eastAsia="Times New Roman"/>
          <w:color w:val="000000" w:themeColor="text1"/>
        </w:rPr>
        <w:t xml:space="preserve"> </w:t>
      </w:r>
      <w:r w:rsidR="00FE4236" w:rsidRPr="00827A08">
        <w:rPr>
          <w:rFonts w:eastAsia="Times New Roman"/>
          <w:color w:val="000000" w:themeColor="text1"/>
        </w:rPr>
        <w:t>For instance</w:t>
      </w:r>
      <w:r w:rsidR="001F70FF" w:rsidRPr="00827A08">
        <w:rPr>
          <w:rFonts w:eastAsia="Times New Roman"/>
          <w:color w:val="000000" w:themeColor="text1"/>
        </w:rPr>
        <w:t xml:space="preserve">, </w:t>
      </w:r>
      <w:r w:rsidR="00C455B1">
        <w:rPr>
          <w:rFonts w:eastAsia="Times New Roman"/>
          <w:color w:val="000000" w:themeColor="text1"/>
        </w:rPr>
        <w:t>Kanter claims that “</w:t>
      </w:r>
      <w:r w:rsidR="00D601AC" w:rsidRPr="00827A08">
        <w:rPr>
          <w:rFonts w:eastAsia="Times New Roman"/>
          <w:color w:val="000000" w:themeColor="text1"/>
        </w:rPr>
        <w:t xml:space="preserve">Lewin’s …quaintly linear and static conception- the organisation as an ice cube- is so wildly inappropriate that </w:t>
      </w:r>
      <w:r w:rsidR="00746EAB" w:rsidRPr="00827A08">
        <w:rPr>
          <w:rFonts w:eastAsia="Times New Roman"/>
          <w:color w:val="000000" w:themeColor="text1"/>
        </w:rPr>
        <w:t xml:space="preserve">it </w:t>
      </w:r>
      <w:r w:rsidR="00D601AC" w:rsidRPr="00827A08">
        <w:rPr>
          <w:rFonts w:eastAsia="Times New Roman"/>
          <w:color w:val="000000" w:themeColor="text1"/>
        </w:rPr>
        <w:t>is difficult to see why it has not only survived but prospered.</w:t>
      </w:r>
      <w:r w:rsidR="00C455B1">
        <w:rPr>
          <w:rFonts w:eastAsia="Times New Roman"/>
          <w:color w:val="000000" w:themeColor="text1"/>
        </w:rPr>
        <w:t>”</w:t>
      </w:r>
      <w:r w:rsidR="00D74980" w:rsidRPr="00827A08">
        <w:rPr>
          <w:rStyle w:val="FootnoteReference"/>
          <w:rFonts w:eastAsia="Times New Roman"/>
          <w:color w:val="000000" w:themeColor="text1"/>
        </w:rPr>
        <w:footnoteReference w:id="35"/>
      </w:r>
      <w:r w:rsidR="00D601AC" w:rsidRPr="00827A08">
        <w:rPr>
          <w:rFonts w:eastAsia="Times New Roman"/>
          <w:color w:val="000000" w:themeColor="text1"/>
        </w:rPr>
        <w:t xml:space="preserve"> </w:t>
      </w:r>
      <w:r w:rsidR="002B746B" w:rsidRPr="00827A08">
        <w:rPr>
          <w:rFonts w:eastAsia="Times New Roman"/>
          <w:color w:val="000000" w:themeColor="text1"/>
        </w:rPr>
        <w:t xml:space="preserve"> </w:t>
      </w:r>
      <w:r w:rsidR="00546EED" w:rsidRPr="00827A08">
        <w:rPr>
          <w:rFonts w:eastAsia="Times New Roman"/>
          <w:color w:val="000000" w:themeColor="text1"/>
        </w:rPr>
        <w:t>Nevertheless,</w:t>
      </w:r>
      <w:r w:rsidR="005C588B" w:rsidRPr="00827A08">
        <w:rPr>
          <w:rFonts w:eastAsia="Times New Roman"/>
          <w:color w:val="000000" w:themeColor="text1"/>
        </w:rPr>
        <w:t xml:space="preserve"> Lewin’s </w:t>
      </w:r>
      <w:r w:rsidR="00C609C2" w:rsidRPr="00827A08">
        <w:rPr>
          <w:rFonts w:eastAsia="Times New Roman"/>
          <w:color w:val="000000" w:themeColor="text1"/>
        </w:rPr>
        <w:t xml:space="preserve">contribution </w:t>
      </w:r>
      <w:r w:rsidR="00546EED" w:rsidRPr="00827A08">
        <w:rPr>
          <w:rFonts w:eastAsia="Times New Roman"/>
          <w:color w:val="000000" w:themeColor="text1"/>
        </w:rPr>
        <w:t>remains</w:t>
      </w:r>
      <w:r w:rsidR="00C609C2" w:rsidRPr="00827A08">
        <w:rPr>
          <w:rFonts w:eastAsia="Times New Roman"/>
          <w:color w:val="000000" w:themeColor="text1"/>
        </w:rPr>
        <w:t xml:space="preserve"> the quintessence of </w:t>
      </w:r>
      <w:r w:rsidR="00B1590E" w:rsidRPr="00827A08">
        <w:rPr>
          <w:rFonts w:eastAsia="Times New Roman"/>
          <w:color w:val="000000" w:themeColor="text1"/>
        </w:rPr>
        <w:t>organisational change</w:t>
      </w:r>
      <w:r w:rsidR="00BC2287" w:rsidRPr="00827A08">
        <w:rPr>
          <w:rFonts w:eastAsia="Times New Roman"/>
          <w:color w:val="000000" w:themeColor="text1"/>
        </w:rPr>
        <w:t>. It</w:t>
      </w:r>
      <w:r w:rsidR="00B1590E" w:rsidRPr="00827A08">
        <w:rPr>
          <w:rFonts w:eastAsia="Times New Roman"/>
          <w:color w:val="000000" w:themeColor="text1"/>
        </w:rPr>
        <w:t xml:space="preserve"> explores, assesses and creates organisational realities </w:t>
      </w:r>
      <w:r w:rsidR="00B03CC6" w:rsidRPr="00827A08">
        <w:rPr>
          <w:rFonts w:eastAsia="Times New Roman"/>
          <w:color w:val="000000" w:themeColor="text1"/>
        </w:rPr>
        <w:t xml:space="preserve">to address and answer issues about </w:t>
      </w:r>
      <w:r w:rsidR="00172164" w:rsidRPr="00827A08">
        <w:rPr>
          <w:rFonts w:eastAsia="Times New Roman"/>
          <w:color w:val="000000" w:themeColor="text1"/>
        </w:rPr>
        <w:t xml:space="preserve">resistance, barriers and failure to change initiatives. </w:t>
      </w:r>
      <w:r w:rsidR="00D74980" w:rsidRPr="00827A08">
        <w:rPr>
          <w:rStyle w:val="FootnoteReference"/>
          <w:rFonts w:eastAsia="Times New Roman"/>
          <w:color w:val="000000" w:themeColor="text1"/>
        </w:rPr>
        <w:footnoteReference w:id="36"/>
      </w:r>
    </w:p>
    <w:p w14:paraId="16B27BA0" w14:textId="77777777" w:rsidR="002C4CC5" w:rsidRDefault="002C4CC5" w:rsidP="00D77E98">
      <w:pPr>
        <w:spacing w:line="360" w:lineRule="auto"/>
        <w:outlineLvl w:val="0"/>
        <w:rPr>
          <w:rFonts w:eastAsia="Times New Roman"/>
          <w:color w:val="000000" w:themeColor="text1"/>
        </w:rPr>
      </w:pPr>
    </w:p>
    <w:p w14:paraId="680A53DB" w14:textId="0FD6111B" w:rsidR="00790DE9" w:rsidRPr="00827A08" w:rsidRDefault="00531438" w:rsidP="00D77E98">
      <w:pPr>
        <w:pStyle w:val="Heading2"/>
        <w:spacing w:line="360" w:lineRule="auto"/>
        <w:rPr>
          <w:rFonts w:eastAsia="Times New Roman"/>
        </w:rPr>
      </w:pPr>
      <w:r>
        <w:rPr>
          <w:rFonts w:eastAsia="Times New Roman"/>
        </w:rPr>
        <w:t>A.</w:t>
      </w:r>
      <w:r w:rsidR="00267F47" w:rsidRPr="00827A08">
        <w:rPr>
          <w:rFonts w:eastAsia="Times New Roman"/>
        </w:rPr>
        <w:t xml:space="preserve"> T</w:t>
      </w:r>
      <w:r w:rsidR="00BA115F" w:rsidRPr="00827A08">
        <w:rPr>
          <w:rFonts w:eastAsia="Times New Roman"/>
        </w:rPr>
        <w:t xml:space="preserve">he </w:t>
      </w:r>
      <w:r w:rsidR="00B95337" w:rsidRPr="00827A08">
        <w:rPr>
          <w:rFonts w:eastAsia="Times New Roman"/>
        </w:rPr>
        <w:t>Three Step Change Model</w:t>
      </w:r>
      <w:r w:rsidR="007B15B0" w:rsidRPr="00827A08">
        <w:rPr>
          <w:rFonts w:eastAsia="Times New Roman"/>
        </w:rPr>
        <w:t xml:space="preserve"> </w:t>
      </w:r>
    </w:p>
    <w:p w14:paraId="1F14A584" w14:textId="77777777" w:rsidR="00F7717F" w:rsidRPr="00827A08" w:rsidRDefault="00F7717F" w:rsidP="00D77E98">
      <w:pPr>
        <w:spacing w:line="360" w:lineRule="auto"/>
        <w:rPr>
          <w:rFonts w:eastAsia="Times New Roman"/>
          <w:color w:val="000000" w:themeColor="text1"/>
        </w:rPr>
      </w:pPr>
    </w:p>
    <w:p w14:paraId="1B10CE11" w14:textId="3C5A4FE5" w:rsidR="00604CBC" w:rsidRPr="00827A08" w:rsidRDefault="00B21CBA" w:rsidP="00D77E98">
      <w:pPr>
        <w:spacing w:line="360" w:lineRule="auto"/>
        <w:rPr>
          <w:rFonts w:eastAsia="Times New Roman"/>
          <w:color w:val="000000" w:themeColor="text1"/>
        </w:rPr>
      </w:pPr>
      <w:r>
        <w:rPr>
          <w:rFonts w:eastAsia="Times New Roman"/>
          <w:color w:val="000000" w:themeColor="text1"/>
        </w:rPr>
        <w:t>Lewin’s “three step change model”</w:t>
      </w:r>
      <w:r w:rsidR="00F7717F" w:rsidRPr="00827A08">
        <w:rPr>
          <w:rFonts w:eastAsia="Times New Roman"/>
          <w:color w:val="000000" w:themeColor="text1"/>
        </w:rPr>
        <w:t xml:space="preserve"> is considered as the bedrock </w:t>
      </w:r>
      <w:r w:rsidR="005F3DA8" w:rsidRPr="00827A08">
        <w:rPr>
          <w:rFonts w:eastAsia="Times New Roman"/>
          <w:color w:val="000000" w:themeColor="text1"/>
        </w:rPr>
        <w:t>of</w:t>
      </w:r>
      <w:r w:rsidR="00711FDB" w:rsidRPr="00827A08">
        <w:rPr>
          <w:rFonts w:eastAsia="Times New Roman"/>
          <w:color w:val="000000" w:themeColor="text1"/>
        </w:rPr>
        <w:t xml:space="preserve"> organisation</w:t>
      </w:r>
      <w:r w:rsidR="00546EED" w:rsidRPr="00827A08">
        <w:rPr>
          <w:rFonts w:eastAsia="Times New Roman"/>
          <w:color w:val="000000" w:themeColor="text1"/>
        </w:rPr>
        <w:t>al</w:t>
      </w:r>
      <w:r w:rsidR="00711FDB" w:rsidRPr="00827A08">
        <w:rPr>
          <w:rFonts w:eastAsia="Times New Roman"/>
          <w:color w:val="000000" w:themeColor="text1"/>
        </w:rPr>
        <w:t xml:space="preserve"> change. S</w:t>
      </w:r>
      <w:r w:rsidR="003C11D2" w:rsidRPr="00827A08">
        <w:rPr>
          <w:rFonts w:eastAsia="Times New Roman"/>
          <w:color w:val="000000" w:themeColor="text1"/>
        </w:rPr>
        <w:t>uccessful cha</w:t>
      </w:r>
      <w:r w:rsidR="00711FDB" w:rsidRPr="00827A08">
        <w:rPr>
          <w:rFonts w:eastAsia="Times New Roman"/>
          <w:color w:val="000000" w:themeColor="text1"/>
        </w:rPr>
        <w:t xml:space="preserve">nge according to Lewin includes </w:t>
      </w:r>
      <w:r>
        <w:rPr>
          <w:rFonts w:eastAsia="Times New Roman"/>
          <w:color w:val="000000" w:themeColor="text1"/>
        </w:rPr>
        <w:t>three aspects: “</w:t>
      </w:r>
      <w:r w:rsidR="003C11D2" w:rsidRPr="00827A08">
        <w:rPr>
          <w:rFonts w:eastAsia="Times New Roman"/>
          <w:color w:val="000000" w:themeColor="text1"/>
        </w:rPr>
        <w:t>unfreezing the present level…moving to the new level…and freezi</w:t>
      </w:r>
      <w:r w:rsidR="00D74980" w:rsidRPr="00827A08">
        <w:rPr>
          <w:rFonts w:eastAsia="Times New Roman"/>
          <w:color w:val="000000" w:themeColor="text1"/>
        </w:rPr>
        <w:t>ng group life on the new level.</w:t>
      </w:r>
      <w:r>
        <w:rPr>
          <w:rFonts w:eastAsia="Times New Roman"/>
          <w:color w:val="000000" w:themeColor="text1"/>
        </w:rPr>
        <w:t>”</w:t>
      </w:r>
      <w:r w:rsidR="00D74980" w:rsidRPr="00827A08">
        <w:rPr>
          <w:rStyle w:val="FootnoteReference"/>
          <w:rFonts w:eastAsia="Times New Roman"/>
          <w:color w:val="000000" w:themeColor="text1"/>
        </w:rPr>
        <w:footnoteReference w:id="37"/>
      </w:r>
    </w:p>
    <w:p w14:paraId="3049B617" w14:textId="6732F24F" w:rsidR="00762B02" w:rsidRDefault="00762B02" w:rsidP="002C4CC5">
      <w:pPr>
        <w:spacing w:line="360" w:lineRule="auto"/>
        <w:rPr>
          <w:rFonts w:eastAsia="Times New Roman"/>
          <w:color w:val="000000" w:themeColor="text1"/>
        </w:rPr>
      </w:pPr>
    </w:p>
    <w:p w14:paraId="2886B298" w14:textId="0AAA77E3" w:rsidR="00803D7F" w:rsidRPr="00803D7F" w:rsidRDefault="00E37756" w:rsidP="002C4CC5">
      <w:pPr>
        <w:spacing w:line="360" w:lineRule="auto"/>
        <w:jc w:val="center"/>
        <w:rPr>
          <w:rFonts w:eastAsia="Times New Roman"/>
          <w:b/>
          <w:color w:val="000000" w:themeColor="text1"/>
        </w:rPr>
      </w:pPr>
      <w:r w:rsidRPr="00E37756">
        <w:rPr>
          <w:rFonts w:eastAsia="Times New Roman"/>
          <w:b/>
          <w:noProof/>
          <w:color w:val="000000" w:themeColor="text1"/>
        </w:rPr>
        <w:drawing>
          <wp:inline distT="0" distB="0" distL="0" distR="0" wp14:anchorId="48C6048C" wp14:editId="6FA95AD4">
            <wp:extent cx="4584700" cy="9271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4700" cy="927100"/>
                    </a:xfrm>
                    <a:prstGeom prst="rect">
                      <a:avLst/>
                    </a:prstGeom>
                  </pic:spPr>
                </pic:pic>
              </a:graphicData>
            </a:graphic>
          </wp:inline>
        </w:drawing>
      </w:r>
    </w:p>
    <w:p w14:paraId="73C0BBB2" w14:textId="77777777" w:rsidR="00B20A53" w:rsidRPr="00827A08" w:rsidRDefault="00B20A53" w:rsidP="002C4CC5">
      <w:pPr>
        <w:spacing w:line="360" w:lineRule="auto"/>
        <w:rPr>
          <w:rFonts w:eastAsia="Times New Roman"/>
          <w:b/>
          <w:color w:val="000000" w:themeColor="text1"/>
        </w:rPr>
      </w:pPr>
    </w:p>
    <w:p w14:paraId="0C5EB458" w14:textId="77777777" w:rsidR="0018544B" w:rsidRPr="00827A08" w:rsidRDefault="0020689A" w:rsidP="002C4CC5">
      <w:pPr>
        <w:spacing w:line="360" w:lineRule="auto"/>
        <w:outlineLvl w:val="0"/>
        <w:rPr>
          <w:rFonts w:eastAsia="Times New Roman"/>
          <w:b/>
          <w:color w:val="000000" w:themeColor="text1"/>
        </w:rPr>
      </w:pPr>
      <w:r w:rsidRPr="00827A08">
        <w:rPr>
          <w:rFonts w:eastAsia="Times New Roman"/>
          <w:b/>
          <w:color w:val="000000" w:themeColor="text1"/>
        </w:rPr>
        <w:t>Figure 1</w:t>
      </w:r>
    </w:p>
    <w:p w14:paraId="547F4281" w14:textId="6993EC79" w:rsidR="001F0253" w:rsidRPr="00827A08" w:rsidRDefault="0018544B" w:rsidP="002C4CC5">
      <w:pPr>
        <w:spacing w:line="360" w:lineRule="auto"/>
        <w:outlineLvl w:val="0"/>
        <w:rPr>
          <w:rFonts w:eastAsia="Times New Roman"/>
          <w:color w:val="000000" w:themeColor="text1"/>
        </w:rPr>
      </w:pPr>
      <w:r w:rsidRPr="00827A08">
        <w:rPr>
          <w:rFonts w:eastAsia="Times New Roman"/>
          <w:b/>
          <w:color w:val="000000" w:themeColor="text1"/>
        </w:rPr>
        <w:t>Source</w:t>
      </w:r>
      <w:r w:rsidRPr="00827A08">
        <w:rPr>
          <w:rFonts w:eastAsia="Times New Roman"/>
          <w:color w:val="000000" w:themeColor="text1"/>
        </w:rPr>
        <w:t>:</w:t>
      </w:r>
      <w:r w:rsidR="00EC1826" w:rsidRPr="00827A08">
        <w:rPr>
          <w:rFonts w:eastAsia="Times New Roman"/>
          <w:color w:val="000000" w:themeColor="text1"/>
        </w:rPr>
        <w:t xml:space="preserve"> </w:t>
      </w:r>
      <w:r w:rsidR="00720F0F" w:rsidRPr="00827A08">
        <w:rPr>
          <w:rFonts w:eastAsia="Times New Roman"/>
          <w:color w:val="000000" w:themeColor="text1"/>
        </w:rPr>
        <w:t>Lewin (1947); Schein (2010)</w:t>
      </w:r>
    </w:p>
    <w:p w14:paraId="7C50222D" w14:textId="61D6CC81" w:rsidR="001F0253" w:rsidRPr="00827A08" w:rsidRDefault="001F0253" w:rsidP="002C4CC5">
      <w:pPr>
        <w:spacing w:line="360" w:lineRule="auto"/>
        <w:rPr>
          <w:rFonts w:eastAsia="Times New Roman"/>
          <w:color w:val="000000" w:themeColor="text1"/>
        </w:rPr>
      </w:pPr>
    </w:p>
    <w:p w14:paraId="3AE28851" w14:textId="3C0BD53D" w:rsidR="0020689A" w:rsidRPr="00827A08" w:rsidRDefault="00EB26E1" w:rsidP="002C4CC5">
      <w:pPr>
        <w:widowControl w:val="0"/>
        <w:autoSpaceDE w:val="0"/>
        <w:autoSpaceDN w:val="0"/>
        <w:adjustRightInd w:val="0"/>
        <w:spacing w:after="240" w:line="360" w:lineRule="auto"/>
        <w:rPr>
          <w:color w:val="000000" w:themeColor="text1"/>
        </w:rPr>
      </w:pPr>
      <w:r w:rsidRPr="00827A08">
        <w:rPr>
          <w:color w:val="000000" w:themeColor="text1"/>
        </w:rPr>
        <w:t xml:space="preserve">Lewin also suggested the </w:t>
      </w:r>
      <w:r w:rsidR="00D30DCF" w:rsidRPr="00827A08">
        <w:rPr>
          <w:color w:val="000000" w:themeColor="text1"/>
        </w:rPr>
        <w:t>change at any level is determined b</w:t>
      </w:r>
      <w:r w:rsidR="00711FDB" w:rsidRPr="00827A08">
        <w:rPr>
          <w:color w:val="000000" w:themeColor="text1"/>
        </w:rPr>
        <w:t>y a force field (see below</w:t>
      </w:r>
      <w:r w:rsidR="00D30DCF" w:rsidRPr="00827A08">
        <w:rPr>
          <w:color w:val="000000" w:themeColor="text1"/>
        </w:rPr>
        <w:t>)</w:t>
      </w:r>
      <w:r w:rsidR="0077484A" w:rsidRPr="00827A08">
        <w:rPr>
          <w:color w:val="000000" w:themeColor="text1"/>
        </w:rPr>
        <w:t xml:space="preserve"> thereby facilitating the </w:t>
      </w:r>
      <w:r w:rsidR="009A637B" w:rsidRPr="00827A08">
        <w:rPr>
          <w:color w:val="000000" w:themeColor="text1"/>
        </w:rPr>
        <w:t xml:space="preserve">movement of the organisation to </w:t>
      </w:r>
      <w:r w:rsidR="00962CD7" w:rsidRPr="00827A08">
        <w:rPr>
          <w:color w:val="000000" w:themeColor="text1"/>
        </w:rPr>
        <w:t>a new level of equilibrium.</w:t>
      </w:r>
    </w:p>
    <w:p w14:paraId="44150A4B" w14:textId="5A836799" w:rsidR="008E2849" w:rsidRPr="00827A08" w:rsidRDefault="00482D62" w:rsidP="002C4CC5">
      <w:pPr>
        <w:widowControl w:val="0"/>
        <w:autoSpaceDE w:val="0"/>
        <w:autoSpaceDN w:val="0"/>
        <w:adjustRightInd w:val="0"/>
        <w:spacing w:after="240" w:line="360" w:lineRule="auto"/>
        <w:rPr>
          <w:color w:val="000000" w:themeColor="text1"/>
        </w:rPr>
      </w:pPr>
      <w:r w:rsidRPr="00827A08">
        <w:rPr>
          <w:color w:val="000000" w:themeColor="text1"/>
        </w:rPr>
        <w:t>Lewin’</w:t>
      </w:r>
      <w:r w:rsidR="001E7B9F" w:rsidRPr="00827A08">
        <w:rPr>
          <w:color w:val="000000" w:themeColor="text1"/>
        </w:rPr>
        <w:t xml:space="preserve">s </w:t>
      </w:r>
      <w:r w:rsidR="00711FDB" w:rsidRPr="00827A08">
        <w:rPr>
          <w:color w:val="000000" w:themeColor="text1"/>
        </w:rPr>
        <w:t>basic</w:t>
      </w:r>
      <w:r w:rsidR="00A32257" w:rsidRPr="00827A08">
        <w:rPr>
          <w:color w:val="000000" w:themeColor="text1"/>
        </w:rPr>
        <w:t xml:space="preserve"> </w:t>
      </w:r>
      <w:r w:rsidR="001E7B9F" w:rsidRPr="00827A08">
        <w:rPr>
          <w:color w:val="000000" w:themeColor="text1"/>
        </w:rPr>
        <w:t>paradigm</w:t>
      </w:r>
      <w:r w:rsidR="0043706D" w:rsidRPr="00827A08">
        <w:rPr>
          <w:color w:val="000000" w:themeColor="text1"/>
        </w:rPr>
        <w:t xml:space="preserve"> (unfreeze- change-freeze) </w:t>
      </w:r>
      <w:r w:rsidR="00A447AD" w:rsidRPr="00827A08">
        <w:rPr>
          <w:color w:val="000000" w:themeColor="text1"/>
        </w:rPr>
        <w:t xml:space="preserve">was </w:t>
      </w:r>
      <w:r w:rsidR="00A32257" w:rsidRPr="00827A08">
        <w:rPr>
          <w:color w:val="000000" w:themeColor="text1"/>
        </w:rPr>
        <w:t>elaborated and refined</w:t>
      </w:r>
      <w:r w:rsidR="0043706D" w:rsidRPr="00827A08">
        <w:rPr>
          <w:color w:val="000000" w:themeColor="text1"/>
        </w:rPr>
        <w:t xml:space="preserve"> by Schein</w:t>
      </w:r>
      <w:r w:rsidR="00DF253D" w:rsidRPr="00827A08">
        <w:rPr>
          <w:color w:val="000000" w:themeColor="text1"/>
        </w:rPr>
        <w:t xml:space="preserve"> </w:t>
      </w:r>
      <w:r w:rsidR="00462718" w:rsidRPr="00827A08">
        <w:rPr>
          <w:color w:val="000000" w:themeColor="text1"/>
        </w:rPr>
        <w:t>for a better understanding of</w:t>
      </w:r>
      <w:r w:rsidR="00546EED" w:rsidRPr="00827A08">
        <w:rPr>
          <w:color w:val="000000" w:themeColor="text1"/>
        </w:rPr>
        <w:t xml:space="preserve"> the</w:t>
      </w:r>
      <w:r w:rsidR="00462718" w:rsidRPr="00827A08">
        <w:rPr>
          <w:color w:val="000000" w:themeColor="text1"/>
        </w:rPr>
        <w:t xml:space="preserve"> psychosocial dynamics of transformative organisational change.</w:t>
      </w:r>
      <w:r w:rsidR="00D74980" w:rsidRPr="00827A08">
        <w:rPr>
          <w:rStyle w:val="FootnoteReference"/>
          <w:color w:val="000000" w:themeColor="text1"/>
        </w:rPr>
        <w:footnoteReference w:id="38"/>
      </w:r>
      <w:r w:rsidR="00034552" w:rsidRPr="00827A08">
        <w:rPr>
          <w:color w:val="000000" w:themeColor="text1"/>
        </w:rPr>
        <w:t xml:space="preserve"> </w:t>
      </w:r>
      <w:r w:rsidR="003E56B6" w:rsidRPr="00827A08">
        <w:rPr>
          <w:color w:val="000000" w:themeColor="text1"/>
        </w:rPr>
        <w:t>In his 2010 work, Schein observed that t</w:t>
      </w:r>
      <w:r w:rsidR="00152603" w:rsidRPr="00827A08">
        <w:rPr>
          <w:color w:val="000000" w:themeColor="text1"/>
        </w:rPr>
        <w:t>he process of change entails creating the perception that the change is needed, then movin</w:t>
      </w:r>
      <w:r w:rsidR="00A41733" w:rsidRPr="00827A08">
        <w:rPr>
          <w:color w:val="000000" w:themeColor="text1"/>
        </w:rPr>
        <w:t>g towards learning new concepts</w:t>
      </w:r>
      <w:r w:rsidR="00152603" w:rsidRPr="00827A08">
        <w:rPr>
          <w:color w:val="000000" w:themeColor="text1"/>
        </w:rPr>
        <w:t xml:space="preserve"> and finally </w:t>
      </w:r>
      <w:r w:rsidR="00E4314F" w:rsidRPr="00827A08">
        <w:rPr>
          <w:color w:val="000000" w:themeColor="text1"/>
        </w:rPr>
        <w:t>institutionalizing new concepts</w:t>
      </w:r>
      <w:r w:rsidR="00152603" w:rsidRPr="00827A08">
        <w:rPr>
          <w:color w:val="000000" w:themeColor="text1"/>
        </w:rPr>
        <w:t xml:space="preserve"> as a norm.</w:t>
      </w:r>
      <w:r w:rsidR="00D74980" w:rsidRPr="00827A08">
        <w:rPr>
          <w:rStyle w:val="FootnoteReference"/>
          <w:color w:val="000000" w:themeColor="text1"/>
        </w:rPr>
        <w:footnoteReference w:id="39"/>
      </w:r>
      <w:r w:rsidR="00A171D5" w:rsidRPr="00827A08">
        <w:rPr>
          <w:color w:val="000000" w:themeColor="text1"/>
        </w:rPr>
        <w:t xml:space="preserve"> </w:t>
      </w:r>
    </w:p>
    <w:p w14:paraId="465E0D9A" w14:textId="5D14A3B4" w:rsidR="0061280A" w:rsidRPr="00827A08" w:rsidRDefault="00A171D5" w:rsidP="002C4CC5">
      <w:pPr>
        <w:widowControl w:val="0"/>
        <w:autoSpaceDE w:val="0"/>
        <w:autoSpaceDN w:val="0"/>
        <w:adjustRightInd w:val="0"/>
        <w:spacing w:after="240" w:line="360" w:lineRule="auto"/>
        <w:rPr>
          <w:color w:val="000000" w:themeColor="text1"/>
        </w:rPr>
      </w:pPr>
      <w:r w:rsidRPr="00827A08">
        <w:rPr>
          <w:color w:val="000000" w:themeColor="text1"/>
        </w:rPr>
        <w:t xml:space="preserve">Accordingly, </w:t>
      </w:r>
      <w:r w:rsidR="00406E59" w:rsidRPr="00827A08">
        <w:rPr>
          <w:color w:val="000000" w:themeColor="text1"/>
        </w:rPr>
        <w:t xml:space="preserve">the </w:t>
      </w:r>
      <w:r w:rsidR="00406E59" w:rsidRPr="00827A08">
        <w:rPr>
          <w:i/>
          <w:color w:val="000000" w:themeColor="text1"/>
        </w:rPr>
        <w:t>first step</w:t>
      </w:r>
      <w:r w:rsidR="00406E59" w:rsidRPr="00827A08">
        <w:rPr>
          <w:color w:val="000000" w:themeColor="text1"/>
        </w:rPr>
        <w:t xml:space="preserve"> is </w:t>
      </w:r>
      <w:r w:rsidR="00B21CBA">
        <w:rPr>
          <w:color w:val="000000" w:themeColor="text1"/>
        </w:rPr>
        <w:t>“</w:t>
      </w:r>
      <w:r w:rsidRPr="00827A08">
        <w:rPr>
          <w:color w:val="000000" w:themeColor="text1"/>
        </w:rPr>
        <w:t>u</w:t>
      </w:r>
      <w:r w:rsidR="003B137F" w:rsidRPr="00827A08">
        <w:rPr>
          <w:color w:val="000000" w:themeColor="text1"/>
        </w:rPr>
        <w:t xml:space="preserve">nfreezing or </w:t>
      </w:r>
      <w:r w:rsidR="009145DC" w:rsidRPr="00827A08">
        <w:rPr>
          <w:color w:val="000000" w:themeColor="text1"/>
        </w:rPr>
        <w:t xml:space="preserve">creating a </w:t>
      </w:r>
      <w:r w:rsidR="003B669E" w:rsidRPr="00827A08">
        <w:rPr>
          <w:color w:val="000000" w:themeColor="text1"/>
        </w:rPr>
        <w:t>motivation to change</w:t>
      </w:r>
      <w:r w:rsidR="00406E59" w:rsidRPr="00827A08">
        <w:rPr>
          <w:color w:val="000000" w:themeColor="text1"/>
        </w:rPr>
        <w:t>.</w:t>
      </w:r>
      <w:r w:rsidR="003B669E" w:rsidRPr="00827A08">
        <w:rPr>
          <w:color w:val="000000" w:themeColor="text1"/>
        </w:rPr>
        <w:t xml:space="preserve"> </w:t>
      </w:r>
      <w:r w:rsidR="006D1847" w:rsidRPr="00827A08">
        <w:rPr>
          <w:color w:val="000000" w:themeColor="text1"/>
        </w:rPr>
        <w:t xml:space="preserve">This requires the ‘group that is the target of change must </w:t>
      </w:r>
      <w:r w:rsidR="006D1847" w:rsidRPr="00827A08">
        <w:rPr>
          <w:i/>
          <w:color w:val="000000" w:themeColor="text1"/>
        </w:rPr>
        <w:t>unlearn</w:t>
      </w:r>
      <w:r w:rsidR="00D74980" w:rsidRPr="00827A08">
        <w:rPr>
          <w:color w:val="000000" w:themeColor="text1"/>
        </w:rPr>
        <w:t xml:space="preserve"> something…</w:t>
      </w:r>
      <w:r w:rsidR="00B21CBA">
        <w:rPr>
          <w:color w:val="000000" w:themeColor="text1"/>
        </w:rPr>
        <w:t>”</w:t>
      </w:r>
      <w:r w:rsidR="00D74980" w:rsidRPr="00827A08">
        <w:rPr>
          <w:rStyle w:val="FootnoteReference"/>
          <w:color w:val="000000" w:themeColor="text1"/>
        </w:rPr>
        <w:footnoteReference w:id="40"/>
      </w:r>
      <w:r w:rsidR="00EA4578" w:rsidRPr="00827A08">
        <w:rPr>
          <w:color w:val="000000" w:themeColor="text1"/>
        </w:rPr>
        <w:t xml:space="preserve"> </w:t>
      </w:r>
      <w:r w:rsidR="007401DF" w:rsidRPr="00827A08">
        <w:rPr>
          <w:color w:val="000000" w:themeColor="text1"/>
        </w:rPr>
        <w:t xml:space="preserve">Unfreezing involves three processes to develop motivation to </w:t>
      </w:r>
      <w:r w:rsidR="00ED5A01" w:rsidRPr="00827A08">
        <w:rPr>
          <w:color w:val="000000" w:themeColor="text1"/>
        </w:rPr>
        <w:t xml:space="preserve">change- (1) </w:t>
      </w:r>
      <w:r w:rsidR="00501B99" w:rsidRPr="00827A08">
        <w:rPr>
          <w:color w:val="000000" w:themeColor="text1"/>
        </w:rPr>
        <w:t xml:space="preserve">disconfirming data </w:t>
      </w:r>
      <w:r w:rsidR="002507B9" w:rsidRPr="00827A08">
        <w:rPr>
          <w:color w:val="000000" w:themeColor="text1"/>
        </w:rPr>
        <w:t>creating</w:t>
      </w:r>
      <w:r w:rsidR="00EC66E0" w:rsidRPr="00827A08">
        <w:rPr>
          <w:color w:val="000000" w:themeColor="text1"/>
        </w:rPr>
        <w:t xml:space="preserve"> </w:t>
      </w:r>
      <w:r w:rsidR="00AD521D" w:rsidRPr="00827A08">
        <w:rPr>
          <w:color w:val="000000" w:themeColor="text1"/>
        </w:rPr>
        <w:t>disequilibrium due to</w:t>
      </w:r>
      <w:r w:rsidR="00EC66E0" w:rsidRPr="00827A08">
        <w:rPr>
          <w:color w:val="000000" w:themeColor="text1"/>
        </w:rPr>
        <w:t xml:space="preserve"> </w:t>
      </w:r>
      <w:r w:rsidR="00D759F8" w:rsidRPr="00827A08">
        <w:rPr>
          <w:color w:val="000000" w:themeColor="text1"/>
        </w:rPr>
        <w:t xml:space="preserve">the </w:t>
      </w:r>
      <w:r w:rsidR="00AD521D" w:rsidRPr="00827A08">
        <w:rPr>
          <w:color w:val="000000" w:themeColor="text1"/>
        </w:rPr>
        <w:t>organization</w:t>
      </w:r>
      <w:r w:rsidR="0031517C" w:rsidRPr="00827A08">
        <w:rPr>
          <w:color w:val="000000" w:themeColor="text1"/>
        </w:rPr>
        <w:t xml:space="preserve">’s inability to </w:t>
      </w:r>
      <w:r w:rsidR="00EC66E0" w:rsidRPr="00827A08">
        <w:rPr>
          <w:color w:val="000000" w:themeColor="text1"/>
        </w:rPr>
        <w:t>achieve its goals or</w:t>
      </w:r>
      <w:r w:rsidR="00AD521D" w:rsidRPr="00827A08">
        <w:rPr>
          <w:color w:val="000000" w:themeColor="text1"/>
        </w:rPr>
        <w:t xml:space="preserve"> its processes</w:t>
      </w:r>
      <w:r w:rsidR="00B21CBA">
        <w:rPr>
          <w:color w:val="000000" w:themeColor="text1"/>
        </w:rPr>
        <w:t xml:space="preserve"> thereby pointing that “</w:t>
      </w:r>
      <w:r w:rsidR="00AA4405" w:rsidRPr="00827A08">
        <w:rPr>
          <w:color w:val="000000" w:themeColor="text1"/>
        </w:rPr>
        <w:t>something is wrong somewhere</w:t>
      </w:r>
      <w:r w:rsidR="00B21CBA">
        <w:rPr>
          <w:color w:val="000000" w:themeColor="text1"/>
        </w:rPr>
        <w:t>”</w:t>
      </w:r>
      <w:r w:rsidR="00D74980" w:rsidRPr="00827A08">
        <w:rPr>
          <w:rStyle w:val="FootnoteReference"/>
          <w:color w:val="000000" w:themeColor="text1"/>
        </w:rPr>
        <w:footnoteReference w:id="41"/>
      </w:r>
      <w:r w:rsidR="00ED5A01" w:rsidRPr="00827A08">
        <w:rPr>
          <w:color w:val="000000" w:themeColor="text1"/>
        </w:rPr>
        <w:t>; (2)</w:t>
      </w:r>
      <w:r w:rsidR="00EC66E0" w:rsidRPr="00827A08">
        <w:rPr>
          <w:color w:val="000000" w:themeColor="text1"/>
        </w:rPr>
        <w:t xml:space="preserve"> </w:t>
      </w:r>
      <w:r w:rsidR="00AA4405" w:rsidRPr="00827A08">
        <w:rPr>
          <w:color w:val="000000" w:themeColor="text1"/>
        </w:rPr>
        <w:t xml:space="preserve">making the members of organisation </w:t>
      </w:r>
      <w:r w:rsidR="00636B8B" w:rsidRPr="00827A08">
        <w:rPr>
          <w:color w:val="000000" w:themeColor="text1"/>
        </w:rPr>
        <w:t>unc</w:t>
      </w:r>
      <w:r w:rsidR="008B538A" w:rsidRPr="00827A08">
        <w:rPr>
          <w:color w:val="000000" w:themeColor="text1"/>
        </w:rPr>
        <w:t>omfortable</w:t>
      </w:r>
      <w:r w:rsidR="00B21CBA">
        <w:rPr>
          <w:color w:val="000000" w:themeColor="text1"/>
        </w:rPr>
        <w:t xml:space="preserve"> and anxious implying “</w:t>
      </w:r>
      <w:r w:rsidR="00AA4405" w:rsidRPr="00827A08">
        <w:rPr>
          <w:iCs/>
          <w:color w:val="000000" w:themeColor="text1"/>
        </w:rPr>
        <w:t>unless we change, something bad will happen to the individual, the group, and/or the organization</w:t>
      </w:r>
      <w:r w:rsidR="00B21CBA">
        <w:rPr>
          <w:iCs/>
          <w:color w:val="000000" w:themeColor="text1"/>
        </w:rPr>
        <w:t>”</w:t>
      </w:r>
      <w:r w:rsidR="00D74980" w:rsidRPr="00827A08">
        <w:rPr>
          <w:rStyle w:val="FootnoteReference"/>
          <w:iCs/>
          <w:color w:val="000000" w:themeColor="text1"/>
        </w:rPr>
        <w:footnoteReference w:id="42"/>
      </w:r>
      <w:r w:rsidR="00ED5A01" w:rsidRPr="00827A08">
        <w:rPr>
          <w:iCs/>
          <w:color w:val="000000" w:themeColor="text1"/>
        </w:rPr>
        <w:t>;</w:t>
      </w:r>
      <w:r w:rsidR="002F3FF6" w:rsidRPr="00827A08">
        <w:rPr>
          <w:iCs/>
          <w:color w:val="000000" w:themeColor="text1"/>
        </w:rPr>
        <w:t xml:space="preserve"> </w:t>
      </w:r>
      <w:r w:rsidR="00ED5A01" w:rsidRPr="00827A08">
        <w:rPr>
          <w:iCs/>
          <w:color w:val="000000" w:themeColor="text1"/>
        </w:rPr>
        <w:t xml:space="preserve">and (3) </w:t>
      </w:r>
      <w:r w:rsidR="008C6FE2" w:rsidRPr="00827A08">
        <w:rPr>
          <w:iCs/>
          <w:color w:val="000000" w:themeColor="text1"/>
        </w:rPr>
        <w:t>psychological safety,</w:t>
      </w:r>
      <w:r w:rsidR="008C6FE2" w:rsidRPr="00827A08">
        <w:rPr>
          <w:i/>
          <w:iCs/>
          <w:color w:val="000000" w:themeColor="text1"/>
        </w:rPr>
        <w:t xml:space="preserve"> </w:t>
      </w:r>
      <w:r w:rsidR="008C6FE2" w:rsidRPr="00827A08">
        <w:rPr>
          <w:color w:val="000000" w:themeColor="text1"/>
        </w:rPr>
        <w:t xml:space="preserve">in the sense of </w:t>
      </w:r>
      <w:r w:rsidR="00784299" w:rsidRPr="00827A08">
        <w:rPr>
          <w:color w:val="000000" w:themeColor="text1"/>
        </w:rPr>
        <w:t xml:space="preserve">being able to see </w:t>
      </w:r>
      <w:r w:rsidR="00B21CBA">
        <w:rPr>
          <w:color w:val="000000" w:themeColor="text1"/>
        </w:rPr>
        <w:t>“</w:t>
      </w:r>
      <w:r w:rsidR="008C6FE2" w:rsidRPr="00827A08">
        <w:rPr>
          <w:color w:val="000000" w:themeColor="text1"/>
        </w:rPr>
        <w:t>the problem and learning something new</w:t>
      </w:r>
      <w:r w:rsidR="00B21CBA">
        <w:rPr>
          <w:color w:val="000000" w:themeColor="text1"/>
        </w:rPr>
        <w:t>”</w:t>
      </w:r>
      <w:r w:rsidR="00D74980" w:rsidRPr="00827A08">
        <w:rPr>
          <w:rStyle w:val="FootnoteReference"/>
          <w:color w:val="000000" w:themeColor="text1"/>
        </w:rPr>
        <w:footnoteReference w:id="43"/>
      </w:r>
      <w:r w:rsidR="00D759F8" w:rsidRPr="00827A08">
        <w:rPr>
          <w:color w:val="000000" w:themeColor="text1"/>
        </w:rPr>
        <w:t xml:space="preserve"> </w:t>
      </w:r>
      <w:r w:rsidR="002A2163" w:rsidRPr="00827A08">
        <w:rPr>
          <w:color w:val="000000" w:themeColor="text1"/>
        </w:rPr>
        <w:t>b</w:t>
      </w:r>
      <w:r w:rsidR="00103E3F" w:rsidRPr="00827A08">
        <w:rPr>
          <w:color w:val="000000" w:themeColor="text1"/>
        </w:rPr>
        <w:t>y adopting a positive vision,</w:t>
      </w:r>
      <w:r w:rsidR="002A2163" w:rsidRPr="00827A08">
        <w:rPr>
          <w:color w:val="000000" w:themeColor="text1"/>
        </w:rPr>
        <w:t xml:space="preserve"> team effort</w:t>
      </w:r>
      <w:r w:rsidR="008A22A2" w:rsidRPr="00827A08">
        <w:rPr>
          <w:color w:val="000000" w:themeColor="text1"/>
        </w:rPr>
        <w:t xml:space="preserve"> and constructive </w:t>
      </w:r>
      <w:r w:rsidR="00F3011C" w:rsidRPr="00827A08">
        <w:rPr>
          <w:color w:val="000000" w:themeColor="text1"/>
        </w:rPr>
        <w:t>support</w:t>
      </w:r>
      <w:r w:rsidR="00027036" w:rsidRPr="00827A08">
        <w:rPr>
          <w:color w:val="000000" w:themeColor="text1"/>
        </w:rPr>
        <w:t>.</w:t>
      </w:r>
      <w:r w:rsidR="008C6FE2" w:rsidRPr="00827A08">
        <w:rPr>
          <w:color w:val="000000" w:themeColor="text1"/>
        </w:rPr>
        <w:t xml:space="preserve"> </w:t>
      </w:r>
    </w:p>
    <w:p w14:paraId="2FE57289" w14:textId="3194AEF6" w:rsidR="0061280A" w:rsidRPr="00827A08" w:rsidRDefault="003E56B6" w:rsidP="002C4CC5">
      <w:pPr>
        <w:widowControl w:val="0"/>
        <w:autoSpaceDE w:val="0"/>
        <w:autoSpaceDN w:val="0"/>
        <w:adjustRightInd w:val="0"/>
        <w:spacing w:after="240" w:line="360" w:lineRule="auto"/>
        <w:rPr>
          <w:color w:val="000000" w:themeColor="text1"/>
        </w:rPr>
      </w:pPr>
      <w:r w:rsidRPr="00827A08">
        <w:rPr>
          <w:color w:val="000000" w:themeColor="text1"/>
        </w:rPr>
        <w:t xml:space="preserve">The </w:t>
      </w:r>
      <w:r w:rsidRPr="00827A08">
        <w:rPr>
          <w:i/>
          <w:color w:val="000000" w:themeColor="text1"/>
        </w:rPr>
        <w:t>second step</w:t>
      </w:r>
      <w:r w:rsidRPr="00827A08">
        <w:rPr>
          <w:color w:val="000000" w:themeColor="text1"/>
        </w:rPr>
        <w:t xml:space="preserve"> is </w:t>
      </w:r>
      <w:r w:rsidR="00B21CBA">
        <w:rPr>
          <w:color w:val="000000" w:themeColor="text1"/>
        </w:rPr>
        <w:t>“</w:t>
      </w:r>
      <w:r w:rsidR="007548D2" w:rsidRPr="00827A08">
        <w:rPr>
          <w:color w:val="000000" w:themeColor="text1"/>
        </w:rPr>
        <w:t>cognitive redefinition</w:t>
      </w:r>
      <w:r w:rsidR="00B21CBA">
        <w:rPr>
          <w:color w:val="000000" w:themeColor="text1"/>
        </w:rPr>
        <w:t>”</w:t>
      </w:r>
      <w:r w:rsidR="00ED5A01" w:rsidRPr="00827A08">
        <w:rPr>
          <w:color w:val="000000" w:themeColor="text1"/>
        </w:rPr>
        <w:t xml:space="preserve"> </w:t>
      </w:r>
      <w:r w:rsidR="00BA62FA" w:rsidRPr="00827A08">
        <w:rPr>
          <w:color w:val="000000" w:themeColor="text1"/>
        </w:rPr>
        <w:t>that lays groundwork for</w:t>
      </w:r>
      <w:r w:rsidR="005F380F" w:rsidRPr="00827A08">
        <w:rPr>
          <w:color w:val="000000" w:themeColor="text1"/>
        </w:rPr>
        <w:t xml:space="preserve"> making the change</w:t>
      </w:r>
      <w:r w:rsidR="00F11B93" w:rsidRPr="00827A08">
        <w:rPr>
          <w:color w:val="000000" w:themeColor="text1"/>
        </w:rPr>
        <w:t>. L</w:t>
      </w:r>
      <w:r w:rsidR="00BA62FA" w:rsidRPr="00827A08">
        <w:rPr>
          <w:color w:val="000000" w:themeColor="text1"/>
        </w:rPr>
        <w:t>earning new concepts</w:t>
      </w:r>
      <w:r w:rsidR="002140A5" w:rsidRPr="00827A08">
        <w:rPr>
          <w:color w:val="000000" w:themeColor="text1"/>
        </w:rPr>
        <w:t xml:space="preserve">, </w:t>
      </w:r>
      <w:r w:rsidR="00BF5169" w:rsidRPr="00827A08">
        <w:rPr>
          <w:color w:val="000000" w:themeColor="text1"/>
        </w:rPr>
        <w:t>expanding concepts with broader meaning</w:t>
      </w:r>
      <w:r w:rsidR="009B1D4F" w:rsidRPr="00827A08">
        <w:rPr>
          <w:color w:val="000000" w:themeColor="text1"/>
        </w:rPr>
        <w:t xml:space="preserve"> </w:t>
      </w:r>
      <w:r w:rsidR="0062339E" w:rsidRPr="00827A08">
        <w:rPr>
          <w:color w:val="000000" w:themeColor="text1"/>
        </w:rPr>
        <w:t xml:space="preserve">and new standards of evaluation </w:t>
      </w:r>
      <w:r w:rsidR="00B21CBA">
        <w:rPr>
          <w:color w:val="000000" w:themeColor="text1"/>
        </w:rPr>
        <w:t>either through “</w:t>
      </w:r>
      <w:r w:rsidR="009B1D4F" w:rsidRPr="00827A08">
        <w:rPr>
          <w:color w:val="000000" w:themeColor="text1"/>
        </w:rPr>
        <w:t xml:space="preserve">imitating a role model…or </w:t>
      </w:r>
      <w:r w:rsidR="00F67D6F" w:rsidRPr="00827A08">
        <w:rPr>
          <w:color w:val="000000" w:themeColor="text1"/>
        </w:rPr>
        <w:t>scan our own environment and develop our</w:t>
      </w:r>
      <w:r w:rsidR="009B1D4F" w:rsidRPr="00827A08">
        <w:rPr>
          <w:color w:val="000000" w:themeColor="text1"/>
        </w:rPr>
        <w:t xml:space="preserve"> own solutions</w:t>
      </w:r>
      <w:r w:rsidR="00B21CBA">
        <w:rPr>
          <w:color w:val="000000" w:themeColor="text1"/>
        </w:rPr>
        <w:t>”</w:t>
      </w:r>
      <w:r w:rsidR="00D74980" w:rsidRPr="00827A08">
        <w:rPr>
          <w:rStyle w:val="FootnoteReference"/>
          <w:color w:val="000000" w:themeColor="text1"/>
        </w:rPr>
        <w:footnoteReference w:id="44"/>
      </w:r>
      <w:r w:rsidR="00EA2F4B" w:rsidRPr="00827A08">
        <w:rPr>
          <w:color w:val="000000" w:themeColor="text1"/>
        </w:rPr>
        <w:t xml:space="preserve"> </w:t>
      </w:r>
      <w:r w:rsidR="00746EAB" w:rsidRPr="00827A08">
        <w:rPr>
          <w:color w:val="000000" w:themeColor="text1"/>
        </w:rPr>
        <w:t>thereby</w:t>
      </w:r>
      <w:r w:rsidR="00EA2F4B" w:rsidRPr="00827A08">
        <w:rPr>
          <w:color w:val="000000" w:themeColor="text1"/>
        </w:rPr>
        <w:t xml:space="preserve"> moving to a new changed state</w:t>
      </w:r>
      <w:r w:rsidR="00F67D6F" w:rsidRPr="00827A08">
        <w:rPr>
          <w:color w:val="000000" w:themeColor="text1"/>
        </w:rPr>
        <w:t>.</w:t>
      </w:r>
      <w:r w:rsidR="00761D59" w:rsidRPr="00827A08">
        <w:rPr>
          <w:color w:val="000000" w:themeColor="text1"/>
        </w:rPr>
        <w:t xml:space="preserve"> </w:t>
      </w:r>
      <w:r w:rsidR="00381575" w:rsidRPr="00827A08">
        <w:rPr>
          <w:color w:val="000000" w:themeColor="text1"/>
        </w:rPr>
        <w:t xml:space="preserve">The mechanism works best when there is clarity about </w:t>
      </w:r>
      <w:r w:rsidR="00C71A49" w:rsidRPr="00827A08">
        <w:rPr>
          <w:color w:val="000000" w:themeColor="text1"/>
        </w:rPr>
        <w:t xml:space="preserve">the goals to achieve and </w:t>
      </w:r>
      <w:r w:rsidR="00746EAB" w:rsidRPr="00827A08">
        <w:rPr>
          <w:color w:val="000000" w:themeColor="text1"/>
        </w:rPr>
        <w:t xml:space="preserve">the </w:t>
      </w:r>
      <w:r w:rsidR="00C71A49" w:rsidRPr="00827A08">
        <w:rPr>
          <w:color w:val="000000" w:themeColor="text1"/>
        </w:rPr>
        <w:t>new way of working.</w:t>
      </w:r>
      <w:r w:rsidR="009B1D4F" w:rsidRPr="00827A08">
        <w:rPr>
          <w:color w:val="000000" w:themeColor="text1"/>
        </w:rPr>
        <w:t xml:space="preserve"> </w:t>
      </w:r>
    </w:p>
    <w:p w14:paraId="29DB027A" w14:textId="25CC322F" w:rsidR="001962FE" w:rsidRPr="00827A08" w:rsidRDefault="00DE774F" w:rsidP="002C4CC5">
      <w:pPr>
        <w:widowControl w:val="0"/>
        <w:autoSpaceDE w:val="0"/>
        <w:autoSpaceDN w:val="0"/>
        <w:adjustRightInd w:val="0"/>
        <w:spacing w:after="240" w:line="360" w:lineRule="auto"/>
        <w:rPr>
          <w:color w:val="000000" w:themeColor="text1"/>
        </w:rPr>
      </w:pPr>
      <w:r w:rsidRPr="00827A08">
        <w:rPr>
          <w:color w:val="000000" w:themeColor="text1"/>
        </w:rPr>
        <w:t xml:space="preserve">The </w:t>
      </w:r>
      <w:r w:rsidRPr="00827A08">
        <w:rPr>
          <w:i/>
          <w:color w:val="000000" w:themeColor="text1"/>
        </w:rPr>
        <w:t>final step</w:t>
      </w:r>
      <w:r w:rsidR="00B21CBA">
        <w:rPr>
          <w:color w:val="000000" w:themeColor="text1"/>
        </w:rPr>
        <w:t xml:space="preserve"> is “refreezing”</w:t>
      </w:r>
      <w:r w:rsidR="00416BA7" w:rsidRPr="00827A08">
        <w:rPr>
          <w:color w:val="000000" w:themeColor="text1"/>
        </w:rPr>
        <w:t xml:space="preserve"> </w:t>
      </w:r>
      <w:r w:rsidR="00745460" w:rsidRPr="00827A08">
        <w:rPr>
          <w:color w:val="000000" w:themeColor="text1"/>
        </w:rPr>
        <w:t xml:space="preserve">wherein the new learning is </w:t>
      </w:r>
      <w:r w:rsidR="00BD5F90" w:rsidRPr="00827A08">
        <w:rPr>
          <w:color w:val="000000" w:themeColor="text1"/>
        </w:rPr>
        <w:t xml:space="preserve">reinforced and </w:t>
      </w:r>
      <w:r w:rsidR="00745460" w:rsidRPr="00827A08">
        <w:rPr>
          <w:color w:val="000000" w:themeColor="text1"/>
        </w:rPr>
        <w:t xml:space="preserve">institutionalised </w:t>
      </w:r>
      <w:r w:rsidR="00002D80" w:rsidRPr="00827A08">
        <w:rPr>
          <w:color w:val="000000" w:themeColor="text1"/>
        </w:rPr>
        <w:t xml:space="preserve">for producing better </w:t>
      </w:r>
      <w:r w:rsidR="00187BF6" w:rsidRPr="00827A08">
        <w:rPr>
          <w:color w:val="000000" w:themeColor="text1"/>
        </w:rPr>
        <w:t>confirm</w:t>
      </w:r>
      <w:r w:rsidR="00746EAB" w:rsidRPr="00827A08">
        <w:rPr>
          <w:color w:val="000000" w:themeColor="text1"/>
        </w:rPr>
        <w:t>ed</w:t>
      </w:r>
      <w:r w:rsidR="00187BF6" w:rsidRPr="00827A08">
        <w:rPr>
          <w:color w:val="000000" w:themeColor="text1"/>
        </w:rPr>
        <w:t xml:space="preserve"> </w:t>
      </w:r>
      <w:r w:rsidR="00ED56F1" w:rsidRPr="00827A08">
        <w:rPr>
          <w:color w:val="000000" w:themeColor="text1"/>
        </w:rPr>
        <w:t xml:space="preserve">actual </w:t>
      </w:r>
      <w:r w:rsidR="00002D80" w:rsidRPr="00827A08">
        <w:rPr>
          <w:color w:val="000000" w:themeColor="text1"/>
        </w:rPr>
        <w:t>results</w:t>
      </w:r>
      <w:r w:rsidR="003F7939" w:rsidRPr="00827A08">
        <w:rPr>
          <w:color w:val="000000" w:themeColor="text1"/>
        </w:rPr>
        <w:t xml:space="preserve"> to fix the problems that launched the change programm</w:t>
      </w:r>
      <w:r w:rsidR="001962FE" w:rsidRPr="00827A08">
        <w:rPr>
          <w:color w:val="000000" w:themeColor="text1"/>
        </w:rPr>
        <w:t>e.</w:t>
      </w:r>
      <w:r w:rsidR="00D74980" w:rsidRPr="00827A08">
        <w:rPr>
          <w:rStyle w:val="FootnoteReference"/>
          <w:color w:val="000000" w:themeColor="text1"/>
        </w:rPr>
        <w:footnoteReference w:id="45"/>
      </w:r>
      <w:r w:rsidR="00ED56F1" w:rsidRPr="00827A08">
        <w:rPr>
          <w:color w:val="000000" w:themeColor="text1"/>
        </w:rPr>
        <w:t xml:space="preserve"> </w:t>
      </w:r>
      <w:r w:rsidR="00E166EB" w:rsidRPr="00827A08">
        <w:rPr>
          <w:color w:val="000000" w:themeColor="text1"/>
        </w:rPr>
        <w:t xml:space="preserve">The </w:t>
      </w:r>
      <w:r w:rsidR="008B5C3F" w:rsidRPr="00827A08">
        <w:rPr>
          <w:color w:val="000000" w:themeColor="text1"/>
        </w:rPr>
        <w:t>change has been made</w:t>
      </w:r>
      <w:r w:rsidR="00D759F8" w:rsidRPr="00827A08">
        <w:rPr>
          <w:color w:val="000000" w:themeColor="text1"/>
        </w:rPr>
        <w:t xml:space="preserve"> and</w:t>
      </w:r>
      <w:r w:rsidR="00D02087" w:rsidRPr="00827A08">
        <w:rPr>
          <w:color w:val="000000" w:themeColor="text1"/>
        </w:rPr>
        <w:t xml:space="preserve"> </w:t>
      </w:r>
      <w:r w:rsidR="008B5C3F" w:rsidRPr="00827A08">
        <w:rPr>
          <w:color w:val="000000" w:themeColor="text1"/>
        </w:rPr>
        <w:t xml:space="preserve">the emphasis is on structures and procedures that </w:t>
      </w:r>
      <w:r w:rsidR="00D311A9" w:rsidRPr="00827A08">
        <w:rPr>
          <w:color w:val="000000" w:themeColor="text1"/>
        </w:rPr>
        <w:t xml:space="preserve">help to maintain the changed behaviour in the system. Thus, to maintain the new change as permanent, </w:t>
      </w:r>
      <w:r w:rsidR="00681033" w:rsidRPr="00827A08">
        <w:rPr>
          <w:color w:val="000000" w:themeColor="text1"/>
        </w:rPr>
        <w:t xml:space="preserve">institutional policies and procedures should </w:t>
      </w:r>
      <w:r w:rsidR="00D311A9" w:rsidRPr="00827A08">
        <w:rPr>
          <w:color w:val="000000" w:themeColor="text1"/>
        </w:rPr>
        <w:t>en</w:t>
      </w:r>
      <w:r w:rsidR="00681033" w:rsidRPr="00827A08">
        <w:rPr>
          <w:color w:val="000000" w:themeColor="text1"/>
        </w:rPr>
        <w:t xml:space="preserve">courage </w:t>
      </w:r>
      <w:r w:rsidR="00D311A9" w:rsidRPr="00827A08">
        <w:rPr>
          <w:color w:val="000000" w:themeColor="text1"/>
        </w:rPr>
        <w:t>and re</w:t>
      </w:r>
      <w:r w:rsidR="00681033" w:rsidRPr="00827A08">
        <w:rPr>
          <w:color w:val="000000" w:themeColor="text1"/>
        </w:rPr>
        <w:t>inforce</w:t>
      </w:r>
      <w:r w:rsidR="00D311A9" w:rsidRPr="00827A08">
        <w:rPr>
          <w:color w:val="000000" w:themeColor="text1"/>
        </w:rPr>
        <w:t xml:space="preserve"> the new behaviour</w:t>
      </w:r>
      <w:r w:rsidR="00681033" w:rsidRPr="00827A08">
        <w:rPr>
          <w:color w:val="000000" w:themeColor="text1"/>
        </w:rPr>
        <w:t xml:space="preserve"> until it becomes a habit.</w:t>
      </w:r>
      <w:r w:rsidR="00D311A9" w:rsidRPr="00827A08">
        <w:rPr>
          <w:color w:val="000000" w:themeColor="text1"/>
        </w:rPr>
        <w:t xml:space="preserve"> </w:t>
      </w:r>
    </w:p>
    <w:p w14:paraId="21A16DB4" w14:textId="200D5BDB" w:rsidR="008E2849" w:rsidRPr="00827A08" w:rsidRDefault="007D79C9" w:rsidP="00D77E98">
      <w:pPr>
        <w:widowControl w:val="0"/>
        <w:autoSpaceDE w:val="0"/>
        <w:autoSpaceDN w:val="0"/>
        <w:adjustRightInd w:val="0"/>
        <w:spacing w:after="240" w:line="360" w:lineRule="auto"/>
        <w:rPr>
          <w:color w:val="000000" w:themeColor="text1"/>
        </w:rPr>
      </w:pPr>
      <w:r w:rsidRPr="00827A08">
        <w:rPr>
          <w:color w:val="000000" w:themeColor="text1"/>
        </w:rPr>
        <w:t xml:space="preserve">The </w:t>
      </w:r>
      <w:r w:rsidR="00702057">
        <w:rPr>
          <w:color w:val="000000" w:themeColor="text1"/>
        </w:rPr>
        <w:t>“</w:t>
      </w:r>
      <w:r w:rsidRPr="00827A08">
        <w:rPr>
          <w:color w:val="000000" w:themeColor="text1"/>
        </w:rPr>
        <w:t xml:space="preserve">three- </w:t>
      </w:r>
      <w:r w:rsidR="007F7713" w:rsidRPr="00827A08">
        <w:rPr>
          <w:color w:val="000000" w:themeColor="text1"/>
        </w:rPr>
        <w:t>step change model</w:t>
      </w:r>
      <w:r w:rsidR="00702057">
        <w:rPr>
          <w:color w:val="000000" w:themeColor="text1"/>
        </w:rPr>
        <w:t>”</w:t>
      </w:r>
      <w:r w:rsidR="00FB7FDF" w:rsidRPr="00827A08">
        <w:rPr>
          <w:color w:val="000000" w:themeColor="text1"/>
        </w:rPr>
        <w:t xml:space="preserve"> (classic model)</w:t>
      </w:r>
      <w:r w:rsidR="007F7713" w:rsidRPr="00827A08">
        <w:rPr>
          <w:color w:val="000000" w:themeColor="text1"/>
        </w:rPr>
        <w:t xml:space="preserve"> has </w:t>
      </w:r>
      <w:r w:rsidR="00702057">
        <w:rPr>
          <w:color w:val="000000" w:themeColor="text1"/>
        </w:rPr>
        <w:t>become “</w:t>
      </w:r>
      <w:r w:rsidR="00DC6837" w:rsidRPr="00827A08">
        <w:rPr>
          <w:color w:val="000000" w:themeColor="text1"/>
        </w:rPr>
        <w:t>far more fundamental and instrumental than Lewin ever intended…</w:t>
      </w:r>
      <w:r w:rsidR="00310231" w:rsidRPr="00827A08">
        <w:rPr>
          <w:color w:val="000000" w:themeColor="text1"/>
        </w:rPr>
        <w:t xml:space="preserve">a solid foundation…hardened through series of interpretations…repress[ing] other ways of seeing or organising thinking about </w:t>
      </w:r>
      <w:r w:rsidR="00D74980" w:rsidRPr="00827A08">
        <w:rPr>
          <w:color w:val="000000" w:themeColor="text1"/>
        </w:rPr>
        <w:t>change.</w:t>
      </w:r>
      <w:r w:rsidR="00702057">
        <w:rPr>
          <w:color w:val="000000" w:themeColor="text1"/>
        </w:rPr>
        <w:t>”</w:t>
      </w:r>
      <w:r w:rsidR="00D74980" w:rsidRPr="00827A08">
        <w:rPr>
          <w:rStyle w:val="FootnoteReference"/>
          <w:color w:val="000000" w:themeColor="text1"/>
        </w:rPr>
        <w:footnoteReference w:id="46"/>
      </w:r>
      <w:r w:rsidR="00310231" w:rsidRPr="00827A08">
        <w:rPr>
          <w:color w:val="000000" w:themeColor="text1"/>
        </w:rPr>
        <w:t xml:space="preserve"> </w:t>
      </w:r>
      <w:r w:rsidR="0063268D" w:rsidRPr="00827A08">
        <w:rPr>
          <w:color w:val="000000" w:themeColor="text1"/>
        </w:rPr>
        <w:t>Lewin’</w:t>
      </w:r>
      <w:r w:rsidR="00FB7FDF" w:rsidRPr="00827A08">
        <w:rPr>
          <w:color w:val="000000" w:themeColor="text1"/>
        </w:rPr>
        <w:t>s classic</w:t>
      </w:r>
      <w:r w:rsidR="0063268D" w:rsidRPr="00827A08">
        <w:rPr>
          <w:color w:val="000000" w:themeColor="text1"/>
        </w:rPr>
        <w:t xml:space="preserve"> model </w:t>
      </w:r>
      <w:r w:rsidR="001C23AF" w:rsidRPr="00827A08">
        <w:rPr>
          <w:color w:val="000000" w:themeColor="text1"/>
        </w:rPr>
        <w:t>has continuing relevance to contemporary organisations</w:t>
      </w:r>
      <w:r w:rsidR="00CD58C0">
        <w:rPr>
          <w:color w:val="000000" w:themeColor="text1"/>
        </w:rPr>
        <w:t>. I</w:t>
      </w:r>
      <w:r w:rsidR="00832CD8" w:rsidRPr="00827A08">
        <w:rPr>
          <w:color w:val="000000" w:themeColor="text1"/>
        </w:rPr>
        <w:t>ts application to an adjud</w:t>
      </w:r>
      <w:r w:rsidR="00FB7FDF" w:rsidRPr="00827A08">
        <w:rPr>
          <w:color w:val="000000" w:themeColor="text1"/>
        </w:rPr>
        <w:t>icatory body such as</w:t>
      </w:r>
      <w:r w:rsidR="00C944F8" w:rsidRPr="00827A08">
        <w:rPr>
          <w:color w:val="000000" w:themeColor="text1"/>
        </w:rPr>
        <w:t xml:space="preserve"> NGT </w:t>
      </w:r>
      <w:r w:rsidR="00D759F8" w:rsidRPr="00827A08">
        <w:rPr>
          <w:color w:val="000000" w:themeColor="text1"/>
        </w:rPr>
        <w:t>is</w:t>
      </w:r>
      <w:r w:rsidR="00C944F8" w:rsidRPr="00827A08">
        <w:rPr>
          <w:color w:val="000000" w:themeColor="text1"/>
        </w:rPr>
        <w:t xml:space="preserve"> useful</w:t>
      </w:r>
      <w:r w:rsidR="00A313AA" w:rsidRPr="00827A08">
        <w:rPr>
          <w:color w:val="000000" w:themeColor="text1"/>
        </w:rPr>
        <w:t xml:space="preserve"> </w:t>
      </w:r>
      <w:r w:rsidR="00D759F8" w:rsidRPr="00827A08">
        <w:rPr>
          <w:color w:val="000000" w:themeColor="text1"/>
        </w:rPr>
        <w:t>in</w:t>
      </w:r>
      <w:r w:rsidR="00A313AA" w:rsidRPr="00827A08">
        <w:rPr>
          <w:color w:val="000000" w:themeColor="text1"/>
        </w:rPr>
        <w:t xml:space="preserve"> understand</w:t>
      </w:r>
      <w:r w:rsidR="00D759F8" w:rsidRPr="00827A08">
        <w:rPr>
          <w:color w:val="000000" w:themeColor="text1"/>
        </w:rPr>
        <w:t>ing</w:t>
      </w:r>
      <w:r w:rsidR="00FB7FDF" w:rsidRPr="00827A08">
        <w:rPr>
          <w:color w:val="000000" w:themeColor="text1"/>
        </w:rPr>
        <w:t xml:space="preserve"> </w:t>
      </w:r>
      <w:r w:rsidR="00D759F8" w:rsidRPr="00827A08">
        <w:rPr>
          <w:color w:val="000000" w:themeColor="text1"/>
        </w:rPr>
        <w:t>this</w:t>
      </w:r>
      <w:r w:rsidR="00FB7FDF" w:rsidRPr="00827A08">
        <w:rPr>
          <w:color w:val="000000" w:themeColor="text1"/>
        </w:rPr>
        <w:t xml:space="preserve"> new organisational reality</w:t>
      </w:r>
      <w:r w:rsidR="00D759F8" w:rsidRPr="00827A08">
        <w:rPr>
          <w:color w:val="000000" w:themeColor="text1"/>
        </w:rPr>
        <w:t>, the NGT</w:t>
      </w:r>
      <w:r w:rsidR="00066313">
        <w:rPr>
          <w:color w:val="000000" w:themeColor="text1"/>
        </w:rPr>
        <w:t xml:space="preserve"> that seeks to promote sustainable development</w:t>
      </w:r>
      <w:r w:rsidR="00D759F8" w:rsidRPr="00827A08">
        <w:rPr>
          <w:color w:val="000000" w:themeColor="text1"/>
        </w:rPr>
        <w:t>.</w:t>
      </w:r>
    </w:p>
    <w:p w14:paraId="5D690844" w14:textId="00347B50" w:rsidR="00676F6D" w:rsidRDefault="000D7001" w:rsidP="00D77E98">
      <w:pPr>
        <w:pStyle w:val="Heading2"/>
        <w:spacing w:line="360" w:lineRule="auto"/>
      </w:pPr>
      <w:r>
        <w:t>B.</w:t>
      </w:r>
      <w:r w:rsidR="00FA53B2" w:rsidRPr="00827A08">
        <w:t xml:space="preserve"> F</w:t>
      </w:r>
      <w:r w:rsidR="00676F6D" w:rsidRPr="00827A08">
        <w:t>orce Field Theory</w:t>
      </w:r>
    </w:p>
    <w:p w14:paraId="786B5DD0" w14:textId="77777777" w:rsidR="000D7001" w:rsidRPr="000D7001" w:rsidRDefault="000D7001" w:rsidP="00D77E98">
      <w:pPr>
        <w:spacing w:line="360" w:lineRule="auto"/>
        <w:rPr>
          <w:lang w:eastAsia="en-US"/>
        </w:rPr>
      </w:pPr>
    </w:p>
    <w:p w14:paraId="59E61010" w14:textId="281406EA" w:rsidR="00252F39" w:rsidRPr="00827A08" w:rsidRDefault="00B02D4D" w:rsidP="00D77E98">
      <w:pPr>
        <w:widowControl w:val="0"/>
        <w:autoSpaceDE w:val="0"/>
        <w:autoSpaceDN w:val="0"/>
        <w:adjustRightInd w:val="0"/>
        <w:spacing w:after="240" w:line="360" w:lineRule="auto"/>
        <w:rPr>
          <w:color w:val="000000" w:themeColor="text1"/>
        </w:rPr>
      </w:pPr>
      <w:r w:rsidRPr="00827A08">
        <w:rPr>
          <w:color w:val="000000" w:themeColor="text1"/>
        </w:rPr>
        <w:t xml:space="preserve">Lewin’s pioneering work on </w:t>
      </w:r>
      <w:r w:rsidR="00AC0630" w:rsidRPr="00827A08">
        <w:rPr>
          <w:color w:val="000000" w:themeColor="text1"/>
        </w:rPr>
        <w:t xml:space="preserve">force field theory </w:t>
      </w:r>
      <w:r w:rsidR="00DE279B" w:rsidRPr="00827A08">
        <w:rPr>
          <w:color w:val="000000" w:themeColor="text1"/>
        </w:rPr>
        <w:t>is often considered as the epitome of change model</w:t>
      </w:r>
      <w:r w:rsidR="003978DC">
        <w:rPr>
          <w:color w:val="000000" w:themeColor="text1"/>
        </w:rPr>
        <w:t xml:space="preserve"> providing the “</w:t>
      </w:r>
      <w:r w:rsidR="00510B81" w:rsidRPr="00827A08">
        <w:rPr>
          <w:color w:val="000000" w:themeColor="text1"/>
        </w:rPr>
        <w:t>theoretical underpinning of all his applied work</w:t>
      </w:r>
      <w:r w:rsidR="00B76282" w:rsidRPr="00827A08">
        <w:rPr>
          <w:color w:val="000000" w:themeColor="text1"/>
        </w:rPr>
        <w:t>.</w:t>
      </w:r>
      <w:r w:rsidR="003978DC">
        <w:rPr>
          <w:color w:val="000000" w:themeColor="text1"/>
        </w:rPr>
        <w:t>”</w:t>
      </w:r>
      <w:r w:rsidR="00B76282" w:rsidRPr="00827A08">
        <w:rPr>
          <w:rStyle w:val="FootnoteReference"/>
          <w:color w:val="000000" w:themeColor="text1"/>
        </w:rPr>
        <w:footnoteReference w:id="47"/>
      </w:r>
      <w:r w:rsidR="006470C6" w:rsidRPr="00827A08">
        <w:rPr>
          <w:color w:val="000000" w:themeColor="text1"/>
        </w:rPr>
        <w:t xml:space="preserve"> </w:t>
      </w:r>
      <w:r w:rsidR="003376C2" w:rsidRPr="00827A08">
        <w:rPr>
          <w:color w:val="000000" w:themeColor="text1"/>
        </w:rPr>
        <w:t>Field theory through its scientific rigour and practical relevance analyses the changing behaviour of individuals through the operation of forces in life.</w:t>
      </w:r>
      <w:r w:rsidR="008841FA" w:rsidRPr="00827A08">
        <w:rPr>
          <w:color w:val="000000" w:themeColor="text1"/>
        </w:rPr>
        <w:t xml:space="preserve"> </w:t>
      </w:r>
      <w:r w:rsidR="00971B4C" w:rsidRPr="00827A08">
        <w:rPr>
          <w:color w:val="000000" w:themeColor="text1"/>
        </w:rPr>
        <w:t>As stated above, the force field theory int</w:t>
      </w:r>
      <w:r w:rsidR="005D3F20" w:rsidRPr="00827A08">
        <w:rPr>
          <w:color w:val="000000" w:themeColor="text1"/>
        </w:rPr>
        <w:t xml:space="preserve">egrates with the classic </w:t>
      </w:r>
      <w:r w:rsidR="00971B4C" w:rsidRPr="00827A08">
        <w:rPr>
          <w:color w:val="000000" w:themeColor="text1"/>
        </w:rPr>
        <w:t xml:space="preserve">model </w:t>
      </w:r>
      <w:r w:rsidR="0011698A" w:rsidRPr="00827A08">
        <w:rPr>
          <w:color w:val="000000" w:themeColor="text1"/>
        </w:rPr>
        <w:t>to bring about p</w:t>
      </w:r>
      <w:r w:rsidR="00D93044" w:rsidRPr="00827A08">
        <w:rPr>
          <w:color w:val="000000" w:themeColor="text1"/>
        </w:rPr>
        <w:t>lanned c</w:t>
      </w:r>
      <w:r w:rsidR="005D3F20" w:rsidRPr="00827A08">
        <w:rPr>
          <w:color w:val="000000" w:themeColor="text1"/>
        </w:rPr>
        <w:t>hange at the individual, group, organisation or societal level.</w:t>
      </w:r>
      <w:r w:rsidR="00B76282" w:rsidRPr="00827A08">
        <w:rPr>
          <w:rStyle w:val="FootnoteReference"/>
          <w:color w:val="000000" w:themeColor="text1"/>
        </w:rPr>
        <w:footnoteReference w:id="48"/>
      </w:r>
      <w:r w:rsidR="005D3F20" w:rsidRPr="00827A08">
        <w:rPr>
          <w:color w:val="000000" w:themeColor="text1"/>
        </w:rPr>
        <w:t xml:space="preserve"> </w:t>
      </w:r>
    </w:p>
    <w:p w14:paraId="6986411D" w14:textId="5B94D0B9" w:rsidR="002667FE" w:rsidRDefault="002408BE" w:rsidP="002667FE">
      <w:pPr>
        <w:widowControl w:val="0"/>
        <w:autoSpaceDE w:val="0"/>
        <w:autoSpaceDN w:val="0"/>
        <w:adjustRightInd w:val="0"/>
        <w:spacing w:after="240" w:line="360" w:lineRule="auto"/>
        <w:rPr>
          <w:color w:val="000000" w:themeColor="text1"/>
        </w:rPr>
      </w:pPr>
      <w:r w:rsidRPr="00827A08">
        <w:rPr>
          <w:color w:val="000000" w:themeColor="text1"/>
        </w:rPr>
        <w:t xml:space="preserve">According to Lewin </w:t>
      </w:r>
      <w:r w:rsidR="003978DC">
        <w:rPr>
          <w:color w:val="000000" w:themeColor="text1"/>
        </w:rPr>
        <w:t>“</w:t>
      </w:r>
      <w:r w:rsidR="00804000" w:rsidRPr="00827A08">
        <w:rPr>
          <w:color w:val="000000" w:themeColor="text1"/>
        </w:rPr>
        <w:t>c</w:t>
      </w:r>
      <w:r w:rsidR="00195A38" w:rsidRPr="00827A08">
        <w:rPr>
          <w:color w:val="000000" w:themeColor="text1"/>
        </w:rPr>
        <w:t>hange and constancy are relative concepts; group life is never without change, merely differences in the amount and type of change exist</w:t>
      </w:r>
      <w:r w:rsidR="00B76282" w:rsidRPr="00827A08">
        <w:rPr>
          <w:color w:val="000000" w:themeColor="text1"/>
        </w:rPr>
        <w:t>.</w:t>
      </w:r>
      <w:r w:rsidR="003978DC">
        <w:rPr>
          <w:color w:val="000000" w:themeColor="text1"/>
        </w:rPr>
        <w:t>”</w:t>
      </w:r>
      <w:r w:rsidR="00B76282" w:rsidRPr="00827A08">
        <w:rPr>
          <w:rStyle w:val="FootnoteReference"/>
          <w:color w:val="000000" w:themeColor="text1"/>
        </w:rPr>
        <w:footnoteReference w:id="49"/>
      </w:r>
      <w:r w:rsidR="00804000" w:rsidRPr="00827A08">
        <w:rPr>
          <w:color w:val="000000" w:themeColor="text1"/>
        </w:rPr>
        <w:t xml:space="preserve"> </w:t>
      </w:r>
      <w:r w:rsidR="003978DC">
        <w:rPr>
          <w:color w:val="000000" w:themeColor="text1"/>
        </w:rPr>
        <w:t>The construct “force”</w:t>
      </w:r>
      <w:r w:rsidR="00B5264A" w:rsidRPr="00827A08">
        <w:rPr>
          <w:color w:val="000000" w:themeColor="text1"/>
        </w:rPr>
        <w:t xml:space="preserve"> characterised</w:t>
      </w:r>
      <w:r w:rsidR="00A37EBB" w:rsidRPr="00827A08">
        <w:rPr>
          <w:color w:val="000000" w:themeColor="text1"/>
        </w:rPr>
        <w:t xml:space="preserve"> the direction and strength of tendency to change. </w:t>
      </w:r>
      <w:r w:rsidR="004250B3" w:rsidRPr="00827A08">
        <w:rPr>
          <w:color w:val="000000" w:themeColor="text1"/>
        </w:rPr>
        <w:t>He believed that</w:t>
      </w:r>
      <w:r w:rsidR="00804000" w:rsidRPr="00827A08">
        <w:rPr>
          <w:color w:val="000000" w:themeColor="text1"/>
        </w:rPr>
        <w:t xml:space="preserve"> the driv</w:t>
      </w:r>
      <w:r w:rsidR="001C07B1" w:rsidRPr="00827A08">
        <w:rPr>
          <w:color w:val="000000" w:themeColor="text1"/>
        </w:rPr>
        <w:t xml:space="preserve">ing and </w:t>
      </w:r>
      <w:r w:rsidR="00DA5D21">
        <w:rPr>
          <w:color w:val="000000" w:themeColor="text1"/>
        </w:rPr>
        <w:t>“restraining forces”</w:t>
      </w:r>
      <w:r w:rsidR="001C07B1" w:rsidRPr="00827A08">
        <w:rPr>
          <w:color w:val="000000" w:themeColor="text1"/>
        </w:rPr>
        <w:t xml:space="preserve"> </w:t>
      </w:r>
      <w:r w:rsidR="00DA147D" w:rsidRPr="00827A08">
        <w:rPr>
          <w:color w:val="000000" w:themeColor="text1"/>
        </w:rPr>
        <w:t xml:space="preserve">tend to </w:t>
      </w:r>
      <w:r w:rsidR="00804000" w:rsidRPr="00827A08">
        <w:rPr>
          <w:color w:val="000000" w:themeColor="text1"/>
        </w:rPr>
        <w:t xml:space="preserve">cause </w:t>
      </w:r>
      <w:r w:rsidR="00DA147D" w:rsidRPr="00827A08">
        <w:rPr>
          <w:color w:val="000000" w:themeColor="text1"/>
        </w:rPr>
        <w:t>the changes</w:t>
      </w:r>
      <w:r w:rsidR="00B92FDA" w:rsidRPr="00827A08">
        <w:rPr>
          <w:color w:val="000000" w:themeColor="text1"/>
        </w:rPr>
        <w:t xml:space="preserve">. </w:t>
      </w:r>
      <w:r w:rsidR="00AC71F5" w:rsidRPr="00827A08">
        <w:rPr>
          <w:color w:val="000000" w:themeColor="text1"/>
        </w:rPr>
        <w:t xml:space="preserve">The forces towards a positive side are the </w:t>
      </w:r>
      <w:r w:rsidR="00243313">
        <w:rPr>
          <w:color w:val="000000" w:themeColor="text1"/>
        </w:rPr>
        <w:t>“driving forces”</w:t>
      </w:r>
      <w:r w:rsidR="00AC71F5" w:rsidRPr="00827A08">
        <w:rPr>
          <w:color w:val="000000" w:themeColor="text1"/>
        </w:rPr>
        <w:t xml:space="preserve"> whereas the </w:t>
      </w:r>
      <w:r w:rsidR="00DA5D21">
        <w:rPr>
          <w:color w:val="000000" w:themeColor="text1"/>
        </w:rPr>
        <w:t>“restraining forces”</w:t>
      </w:r>
      <w:r w:rsidR="00AC71F5" w:rsidRPr="00827A08">
        <w:rPr>
          <w:color w:val="000000" w:themeColor="text1"/>
        </w:rPr>
        <w:t xml:space="preserve"> create</w:t>
      </w:r>
      <w:r w:rsidR="003978DC">
        <w:rPr>
          <w:color w:val="000000" w:themeColor="text1"/>
        </w:rPr>
        <w:t xml:space="preserve"> physical or social obstacles. </w:t>
      </w:r>
      <w:r w:rsidR="003E52D2">
        <w:rPr>
          <w:color w:val="000000" w:themeColor="text1"/>
        </w:rPr>
        <w:t xml:space="preserve"> </w:t>
      </w:r>
      <w:r w:rsidR="00E335DF">
        <w:rPr>
          <w:color w:val="000000" w:themeColor="text1"/>
        </w:rPr>
        <w:t>“‘</w:t>
      </w:r>
      <w:r w:rsidR="003E52D2">
        <w:rPr>
          <w:color w:val="000000" w:themeColor="text1"/>
        </w:rPr>
        <w:t>D</w:t>
      </w:r>
      <w:r w:rsidR="00E335DF">
        <w:rPr>
          <w:color w:val="000000" w:themeColor="text1"/>
        </w:rPr>
        <w:t>riving forces’</w:t>
      </w:r>
      <w:r w:rsidR="00AC71F5" w:rsidRPr="00827A08">
        <w:rPr>
          <w:color w:val="000000" w:themeColor="text1"/>
        </w:rPr>
        <w:t>-corresponding, for instance, to ambition, goals, needs, or fears- are ‘forces towards’ somet</w:t>
      </w:r>
      <w:r w:rsidR="0049048D">
        <w:rPr>
          <w:color w:val="000000" w:themeColor="text1"/>
        </w:rPr>
        <w:t xml:space="preserve">hing…tend to bring a change… a </w:t>
      </w:r>
      <w:r w:rsidR="00E335DF">
        <w:rPr>
          <w:color w:val="000000" w:themeColor="text1"/>
        </w:rPr>
        <w:t>‘</w:t>
      </w:r>
      <w:r w:rsidR="00AC71F5" w:rsidRPr="00827A08">
        <w:rPr>
          <w:color w:val="000000" w:themeColor="text1"/>
        </w:rPr>
        <w:t xml:space="preserve">restraining force’ is not in itself equivalent to a tendency to change; it merely opposes </w:t>
      </w:r>
      <w:r w:rsidR="00E335DF">
        <w:rPr>
          <w:color w:val="000000" w:themeColor="text1"/>
        </w:rPr>
        <w:t>‘driving forces’</w:t>
      </w:r>
      <w:r w:rsidR="00B76282" w:rsidRPr="00827A08">
        <w:rPr>
          <w:color w:val="000000" w:themeColor="text1"/>
        </w:rPr>
        <w:t>.</w:t>
      </w:r>
      <w:r w:rsidR="003978DC">
        <w:rPr>
          <w:color w:val="000000" w:themeColor="text1"/>
        </w:rPr>
        <w:t>”</w:t>
      </w:r>
      <w:r w:rsidR="00B76282" w:rsidRPr="00827A08">
        <w:rPr>
          <w:rStyle w:val="FootnoteReference"/>
          <w:color w:val="000000" w:themeColor="text1"/>
        </w:rPr>
        <w:footnoteReference w:id="50"/>
      </w:r>
      <w:r w:rsidR="00AC71F5" w:rsidRPr="00827A08">
        <w:rPr>
          <w:color w:val="000000" w:themeColor="text1"/>
        </w:rPr>
        <w:t xml:space="preserve"> </w:t>
      </w:r>
    </w:p>
    <w:p w14:paraId="36CC58D9" w14:textId="6A3BA444" w:rsidR="002667FE" w:rsidRDefault="00C4737D" w:rsidP="002667FE">
      <w:pPr>
        <w:widowControl w:val="0"/>
        <w:autoSpaceDE w:val="0"/>
        <w:autoSpaceDN w:val="0"/>
        <w:adjustRightInd w:val="0"/>
        <w:spacing w:after="240" w:line="360" w:lineRule="auto"/>
        <w:jc w:val="center"/>
        <w:rPr>
          <w:color w:val="000000" w:themeColor="text1"/>
        </w:rPr>
      </w:pPr>
      <w:r w:rsidRPr="00C4737D">
        <w:rPr>
          <w:noProof/>
          <w:color w:val="000000" w:themeColor="text1"/>
        </w:rPr>
        <w:drawing>
          <wp:inline distT="0" distB="0" distL="0" distR="0" wp14:anchorId="0D19ADFB" wp14:editId="30D80792">
            <wp:extent cx="2779923" cy="2503657"/>
            <wp:effectExtent l="0" t="0" r="0"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8627" cy="2529508"/>
                    </a:xfrm>
                    <a:prstGeom prst="rect">
                      <a:avLst/>
                    </a:prstGeom>
                  </pic:spPr>
                </pic:pic>
              </a:graphicData>
            </a:graphic>
          </wp:inline>
        </w:drawing>
      </w:r>
    </w:p>
    <w:p w14:paraId="7F5E8D7A" w14:textId="58794211" w:rsidR="00767B71" w:rsidRPr="002667FE" w:rsidRDefault="00C441F4" w:rsidP="002667FE">
      <w:pPr>
        <w:widowControl w:val="0"/>
        <w:autoSpaceDE w:val="0"/>
        <w:autoSpaceDN w:val="0"/>
        <w:adjustRightInd w:val="0"/>
        <w:spacing w:after="240" w:line="360" w:lineRule="auto"/>
        <w:rPr>
          <w:color w:val="000000" w:themeColor="text1"/>
        </w:rPr>
      </w:pPr>
      <w:r w:rsidRPr="00827A08">
        <w:rPr>
          <w:rFonts w:eastAsia="Times New Roman"/>
          <w:b/>
          <w:color w:val="000000" w:themeColor="text1"/>
        </w:rPr>
        <w:t>Figure 2</w:t>
      </w:r>
    </w:p>
    <w:p w14:paraId="0C04BCF2" w14:textId="63C50617" w:rsidR="00767B71" w:rsidRPr="00827A08" w:rsidRDefault="00767B71" w:rsidP="002C4CC5">
      <w:pPr>
        <w:spacing w:line="360" w:lineRule="auto"/>
        <w:outlineLvl w:val="0"/>
        <w:rPr>
          <w:color w:val="000000" w:themeColor="text1"/>
        </w:rPr>
      </w:pPr>
      <w:r w:rsidRPr="00827A08">
        <w:rPr>
          <w:rFonts w:eastAsia="Times New Roman"/>
          <w:b/>
          <w:color w:val="000000" w:themeColor="text1"/>
        </w:rPr>
        <w:t xml:space="preserve">Source: </w:t>
      </w:r>
      <w:r w:rsidR="00B94CE0" w:rsidRPr="00827A08">
        <w:rPr>
          <w:rFonts w:eastAsia="Times New Roman"/>
          <w:color w:val="000000" w:themeColor="text1"/>
        </w:rPr>
        <w:t>Lewin (1943)</w:t>
      </w:r>
      <w:r w:rsidRPr="00827A08">
        <w:rPr>
          <w:rFonts w:eastAsia="Times New Roman"/>
          <w:color w:val="000000" w:themeColor="text1"/>
        </w:rPr>
        <w:t xml:space="preserve"> </w:t>
      </w:r>
      <w:r w:rsidRPr="00827A08">
        <w:rPr>
          <w:rFonts w:eastAsia="Times New Roman"/>
          <w:b/>
          <w:color w:val="000000" w:themeColor="text1"/>
        </w:rPr>
        <w:t xml:space="preserve">                                                                                                                                               </w:t>
      </w:r>
      <w:r w:rsidR="009B1ED9" w:rsidRPr="00827A08">
        <w:rPr>
          <w:color w:val="000000" w:themeColor="text1"/>
        </w:rPr>
        <w:t xml:space="preserve"> </w:t>
      </w:r>
    </w:p>
    <w:p w14:paraId="749453AB" w14:textId="77777777" w:rsidR="00767B71" w:rsidRPr="00827A08" w:rsidRDefault="00767B71" w:rsidP="002C4CC5">
      <w:pPr>
        <w:spacing w:line="360" w:lineRule="auto"/>
        <w:outlineLvl w:val="0"/>
        <w:rPr>
          <w:color w:val="000000" w:themeColor="text1"/>
        </w:rPr>
      </w:pPr>
    </w:p>
    <w:p w14:paraId="66D8087B" w14:textId="79065BC2" w:rsidR="001C4D2F" w:rsidRPr="00827A08" w:rsidRDefault="003074C7" w:rsidP="002C4CC5">
      <w:pPr>
        <w:spacing w:line="360" w:lineRule="auto"/>
        <w:outlineLvl w:val="0"/>
        <w:rPr>
          <w:color w:val="000000" w:themeColor="text1"/>
        </w:rPr>
      </w:pPr>
      <w:r w:rsidRPr="00827A08">
        <w:rPr>
          <w:color w:val="000000" w:themeColor="text1"/>
        </w:rPr>
        <w:t>Where the forces are equal in magnitude, the status quo will be maintained</w:t>
      </w:r>
      <w:r w:rsidR="00E0248C" w:rsidRPr="00827A08">
        <w:rPr>
          <w:color w:val="000000" w:themeColor="text1"/>
        </w:rPr>
        <w:t>.</w:t>
      </w:r>
      <w:r w:rsidR="00164936" w:rsidRPr="00827A08">
        <w:rPr>
          <w:rStyle w:val="FootnoteReference"/>
          <w:color w:val="000000" w:themeColor="text1"/>
        </w:rPr>
        <w:footnoteReference w:id="51"/>
      </w:r>
      <w:r w:rsidRPr="00827A08">
        <w:rPr>
          <w:color w:val="000000" w:themeColor="text1"/>
        </w:rPr>
        <w:t xml:space="preserve"> </w:t>
      </w:r>
      <w:r w:rsidR="00E0248C" w:rsidRPr="00827A08">
        <w:rPr>
          <w:color w:val="000000" w:themeColor="text1"/>
        </w:rPr>
        <w:t>H</w:t>
      </w:r>
      <w:r w:rsidR="00D36EE0">
        <w:rPr>
          <w:color w:val="000000" w:themeColor="text1"/>
        </w:rPr>
        <w:t>owever, “</w:t>
      </w:r>
      <w:r w:rsidRPr="00827A08">
        <w:rPr>
          <w:color w:val="000000" w:themeColor="text1"/>
        </w:rPr>
        <w:t>…quasi-stationary equilibria can be changed by adding forces in the desired direction or diminishing opposing forces</w:t>
      </w:r>
      <w:r w:rsidR="00B76282" w:rsidRPr="00827A08">
        <w:rPr>
          <w:color w:val="000000" w:themeColor="text1"/>
        </w:rPr>
        <w:t>.</w:t>
      </w:r>
      <w:r w:rsidR="00D36EE0">
        <w:rPr>
          <w:color w:val="000000" w:themeColor="text1"/>
        </w:rPr>
        <w:t>”</w:t>
      </w:r>
      <w:r w:rsidR="00B76282" w:rsidRPr="00827A08">
        <w:rPr>
          <w:rStyle w:val="FootnoteReference"/>
          <w:color w:val="000000" w:themeColor="text1"/>
        </w:rPr>
        <w:footnoteReference w:id="52"/>
      </w:r>
      <w:r w:rsidRPr="00827A08">
        <w:rPr>
          <w:color w:val="000000" w:themeColor="text1"/>
        </w:rPr>
        <w:t xml:space="preserve"> </w:t>
      </w:r>
      <w:r w:rsidR="001C4D2F" w:rsidRPr="00827A08">
        <w:rPr>
          <w:color w:val="000000" w:themeColor="text1"/>
        </w:rPr>
        <w:t xml:space="preserve">Lewin recognised </w:t>
      </w:r>
      <w:r w:rsidR="00980C10" w:rsidRPr="00827A08">
        <w:rPr>
          <w:color w:val="000000" w:themeColor="text1"/>
        </w:rPr>
        <w:t xml:space="preserve">that </w:t>
      </w:r>
      <w:r w:rsidR="001C4D2F" w:rsidRPr="00827A08">
        <w:rPr>
          <w:color w:val="000000" w:themeColor="text1"/>
        </w:rPr>
        <w:t xml:space="preserve">forces shift quickly and radically under certain circumstances such as organisational or societal crisis, and thus lead to </w:t>
      </w:r>
      <w:r w:rsidR="00A364FE">
        <w:rPr>
          <w:color w:val="000000" w:themeColor="text1"/>
        </w:rPr>
        <w:t xml:space="preserve">the </w:t>
      </w:r>
      <w:r w:rsidR="00D36EE0">
        <w:rPr>
          <w:color w:val="000000" w:themeColor="text1"/>
        </w:rPr>
        <w:t>loss of the status quo. “</w:t>
      </w:r>
      <w:r w:rsidR="001C4D2F" w:rsidRPr="00827A08">
        <w:rPr>
          <w:color w:val="000000" w:themeColor="text1"/>
        </w:rPr>
        <w:t>New patterns of activity can rapidly emerge, and a new behavioural equilibrium or ‘quasi-stationary equilibrium’ is formed</w:t>
      </w:r>
      <w:r w:rsidR="00B76282" w:rsidRPr="00827A08">
        <w:rPr>
          <w:color w:val="000000" w:themeColor="text1"/>
        </w:rPr>
        <w:t>.</w:t>
      </w:r>
      <w:r w:rsidR="00D36EE0">
        <w:rPr>
          <w:color w:val="000000" w:themeColor="text1"/>
        </w:rPr>
        <w:t>”</w:t>
      </w:r>
      <w:r w:rsidR="00B76282" w:rsidRPr="00827A08">
        <w:rPr>
          <w:rStyle w:val="FootnoteReference"/>
          <w:color w:val="000000" w:themeColor="text1"/>
        </w:rPr>
        <w:footnoteReference w:id="53"/>
      </w:r>
      <w:r w:rsidR="001C4D2F" w:rsidRPr="00827A08">
        <w:rPr>
          <w:color w:val="000000" w:themeColor="text1"/>
        </w:rPr>
        <w:t xml:space="preserve"> </w:t>
      </w:r>
    </w:p>
    <w:p w14:paraId="609B5479" w14:textId="77777777" w:rsidR="002D3A61" w:rsidRPr="00827A08" w:rsidRDefault="002D3A61" w:rsidP="002C4CC5">
      <w:pPr>
        <w:spacing w:line="360" w:lineRule="auto"/>
        <w:outlineLvl w:val="0"/>
        <w:rPr>
          <w:rFonts w:eastAsia="Times New Roman"/>
          <w:b/>
          <w:color w:val="000000" w:themeColor="text1"/>
        </w:rPr>
      </w:pPr>
    </w:p>
    <w:p w14:paraId="57480C84" w14:textId="03BB8F91" w:rsidR="007E0C3E" w:rsidRPr="00827A08" w:rsidRDefault="003074C7" w:rsidP="002C4CC5">
      <w:pPr>
        <w:widowControl w:val="0"/>
        <w:autoSpaceDE w:val="0"/>
        <w:autoSpaceDN w:val="0"/>
        <w:adjustRightInd w:val="0"/>
        <w:spacing w:after="240" w:line="360" w:lineRule="auto"/>
        <w:rPr>
          <w:color w:val="000000" w:themeColor="text1"/>
        </w:rPr>
      </w:pPr>
      <w:r w:rsidRPr="00827A08">
        <w:rPr>
          <w:color w:val="000000" w:themeColor="text1"/>
        </w:rPr>
        <w:t>To understand the actual changes</w:t>
      </w:r>
      <w:r w:rsidR="00180A87" w:rsidRPr="00827A08">
        <w:rPr>
          <w:color w:val="000000" w:themeColor="text1"/>
        </w:rPr>
        <w:t xml:space="preserve"> and its effect</w:t>
      </w:r>
      <w:r w:rsidRPr="00827A08">
        <w:rPr>
          <w:color w:val="000000" w:themeColor="text1"/>
        </w:rPr>
        <w:t xml:space="preserve">, it </w:t>
      </w:r>
      <w:r w:rsidR="00215DDA" w:rsidRPr="00827A08">
        <w:rPr>
          <w:color w:val="000000" w:themeColor="text1"/>
        </w:rPr>
        <w:t>is important to examine the total circumstances and not</w:t>
      </w:r>
      <w:r w:rsidR="00E0248C" w:rsidRPr="00827A08">
        <w:rPr>
          <w:color w:val="000000" w:themeColor="text1"/>
        </w:rPr>
        <w:t xml:space="preserve"> merely</w:t>
      </w:r>
      <w:r w:rsidR="00215DDA" w:rsidRPr="00827A08">
        <w:rPr>
          <w:color w:val="000000" w:themeColor="text1"/>
        </w:rPr>
        <w:t xml:space="preserve"> one</w:t>
      </w:r>
      <w:r w:rsidR="00D36EE0">
        <w:rPr>
          <w:color w:val="000000" w:themeColor="text1"/>
        </w:rPr>
        <w:t xml:space="preserve"> property. According to Lewin, “</w:t>
      </w:r>
      <w:r w:rsidR="00215DDA" w:rsidRPr="00827A08">
        <w:rPr>
          <w:color w:val="000000" w:themeColor="text1"/>
        </w:rPr>
        <w:t xml:space="preserve">to change the level of </w:t>
      </w:r>
      <w:r w:rsidR="008577A0">
        <w:rPr>
          <w:color w:val="000000" w:themeColor="text1"/>
        </w:rPr>
        <w:t xml:space="preserve">velocity of a river its bed has </w:t>
      </w:r>
      <w:r w:rsidR="00215DDA" w:rsidRPr="00827A08">
        <w:rPr>
          <w:color w:val="000000" w:themeColor="text1"/>
        </w:rPr>
        <w:t>to be narrowed or widened, rectified, cleared from rocks etc…for changing a social equilibrium, too, one has to consider the total social field: the groups and subgroups involved, their relations, their value system etc</w:t>
      </w:r>
      <w:r w:rsidR="00B76282" w:rsidRPr="00827A08">
        <w:rPr>
          <w:color w:val="000000" w:themeColor="text1"/>
        </w:rPr>
        <w:t>.</w:t>
      </w:r>
      <w:r w:rsidR="00D36EE0">
        <w:rPr>
          <w:color w:val="000000" w:themeColor="text1"/>
        </w:rPr>
        <w:t>”</w:t>
      </w:r>
      <w:r w:rsidR="00B76282" w:rsidRPr="00827A08">
        <w:rPr>
          <w:rStyle w:val="FootnoteReference"/>
          <w:color w:val="000000" w:themeColor="text1"/>
        </w:rPr>
        <w:footnoteReference w:id="54"/>
      </w:r>
      <w:r w:rsidR="00EE6E88" w:rsidRPr="00827A08">
        <w:rPr>
          <w:color w:val="000000" w:themeColor="text1"/>
        </w:rPr>
        <w:t xml:space="preserve"> </w:t>
      </w:r>
      <w:r w:rsidR="008E4E7A" w:rsidRPr="00827A08">
        <w:rPr>
          <w:color w:val="000000" w:themeColor="text1"/>
        </w:rPr>
        <w:t>To achieve success</w:t>
      </w:r>
      <w:r w:rsidR="0068694D" w:rsidRPr="00827A08">
        <w:rPr>
          <w:color w:val="000000" w:themeColor="text1"/>
        </w:rPr>
        <w:t xml:space="preserve">ful change, </w:t>
      </w:r>
      <w:r w:rsidR="008E4E7A" w:rsidRPr="00827A08">
        <w:rPr>
          <w:color w:val="000000" w:themeColor="text1"/>
        </w:rPr>
        <w:t xml:space="preserve">the </w:t>
      </w:r>
      <w:r w:rsidR="00243313">
        <w:rPr>
          <w:color w:val="000000" w:themeColor="text1"/>
        </w:rPr>
        <w:t>“driving forces”</w:t>
      </w:r>
      <w:r w:rsidR="0068694D" w:rsidRPr="00827A08">
        <w:rPr>
          <w:color w:val="000000" w:themeColor="text1"/>
        </w:rPr>
        <w:t xml:space="preserve"> must always</w:t>
      </w:r>
      <w:r w:rsidR="008E4E7A" w:rsidRPr="00827A08">
        <w:rPr>
          <w:color w:val="000000" w:themeColor="text1"/>
        </w:rPr>
        <w:t xml:space="preserve"> outweigh </w:t>
      </w:r>
      <w:r w:rsidR="00DA5D21">
        <w:rPr>
          <w:color w:val="000000" w:themeColor="text1"/>
        </w:rPr>
        <w:t>“restraining forces”</w:t>
      </w:r>
      <w:r w:rsidR="008E4E7A" w:rsidRPr="00827A08">
        <w:rPr>
          <w:color w:val="000000" w:themeColor="text1"/>
        </w:rPr>
        <w:t>. This provides support in moving through the unfreezing- learning – refreezing stages of change.</w:t>
      </w:r>
      <w:r w:rsidR="00B52F0C" w:rsidRPr="00827A08">
        <w:rPr>
          <w:color w:val="000000" w:themeColor="text1"/>
        </w:rPr>
        <w:t xml:space="preserve"> </w:t>
      </w:r>
      <w:r w:rsidR="007E0C3E" w:rsidRPr="00827A08">
        <w:rPr>
          <w:color w:val="000000" w:themeColor="text1"/>
        </w:rPr>
        <w:t>For Lewin, the change was a slow learning process, the success of which depended on how individuals or groups understood and reflected on the forces that impinged on their lives</w:t>
      </w:r>
      <w:r w:rsidR="0062739F" w:rsidRPr="00827A08">
        <w:rPr>
          <w:color w:val="000000" w:themeColor="text1"/>
        </w:rPr>
        <w:t>.</w:t>
      </w:r>
      <w:r w:rsidR="00F11BBC" w:rsidRPr="00827A08">
        <w:rPr>
          <w:rStyle w:val="FootnoteReference"/>
          <w:color w:val="000000" w:themeColor="text1"/>
        </w:rPr>
        <w:footnoteReference w:id="55"/>
      </w:r>
    </w:p>
    <w:p w14:paraId="7E2759A7" w14:textId="63EC280A" w:rsidR="00E518B8" w:rsidRPr="00D77E98" w:rsidRDefault="00BC400A" w:rsidP="00D77E98">
      <w:pPr>
        <w:spacing w:line="360" w:lineRule="auto"/>
        <w:rPr>
          <w:rFonts w:eastAsia="Times New Roman"/>
          <w:color w:val="000000" w:themeColor="text1"/>
          <w:shd w:val="clear" w:color="auto" w:fill="FFFFFF"/>
        </w:rPr>
      </w:pPr>
      <w:r w:rsidRPr="00827A08">
        <w:rPr>
          <w:color w:val="000000" w:themeColor="text1"/>
        </w:rPr>
        <w:t xml:space="preserve">The </w:t>
      </w:r>
      <w:r w:rsidR="00886E56" w:rsidRPr="00827A08">
        <w:rPr>
          <w:color w:val="000000" w:themeColor="text1"/>
        </w:rPr>
        <w:t>use of f</w:t>
      </w:r>
      <w:r w:rsidR="00794A18" w:rsidRPr="00827A08">
        <w:rPr>
          <w:color w:val="000000" w:themeColor="text1"/>
        </w:rPr>
        <w:t>orce field theory is</w:t>
      </w:r>
      <w:r w:rsidR="00886E56" w:rsidRPr="00827A08">
        <w:rPr>
          <w:color w:val="000000" w:themeColor="text1"/>
        </w:rPr>
        <w:t xml:space="preserve"> helpful to understand the </w:t>
      </w:r>
      <w:r w:rsidR="00BF3B0A" w:rsidRPr="00827A08">
        <w:rPr>
          <w:color w:val="000000" w:themeColor="text1"/>
        </w:rPr>
        <w:t xml:space="preserve">change </w:t>
      </w:r>
      <w:r w:rsidR="00987641" w:rsidRPr="00827A08">
        <w:rPr>
          <w:color w:val="000000" w:themeColor="text1"/>
        </w:rPr>
        <w:t xml:space="preserve">analysis insights that align </w:t>
      </w:r>
      <w:r w:rsidR="00D13E33" w:rsidRPr="00827A08">
        <w:rPr>
          <w:color w:val="000000" w:themeColor="text1"/>
        </w:rPr>
        <w:t>with the current organisational environment of the NGT.</w:t>
      </w:r>
      <w:r w:rsidR="00D805C7" w:rsidRPr="00827A08">
        <w:rPr>
          <w:color w:val="000000" w:themeColor="text1"/>
        </w:rPr>
        <w:t xml:space="preserve"> T</w:t>
      </w:r>
      <w:r w:rsidR="004C60CA" w:rsidRPr="00827A08">
        <w:rPr>
          <w:color w:val="000000" w:themeColor="text1"/>
        </w:rPr>
        <w:t>he inter-play of forces</w:t>
      </w:r>
      <w:r w:rsidR="00D805C7" w:rsidRPr="00827A08">
        <w:rPr>
          <w:color w:val="000000" w:themeColor="text1"/>
        </w:rPr>
        <w:t xml:space="preserve"> would help distinguish</w:t>
      </w:r>
      <w:r w:rsidR="004C60CA" w:rsidRPr="00827A08">
        <w:rPr>
          <w:color w:val="000000" w:themeColor="text1"/>
        </w:rPr>
        <w:t xml:space="preserve"> </w:t>
      </w:r>
      <w:r w:rsidR="00D805C7" w:rsidRPr="00827A08">
        <w:rPr>
          <w:rFonts w:eastAsia="Times New Roman"/>
          <w:color w:val="000000" w:themeColor="text1"/>
          <w:shd w:val="clear" w:color="auto" w:fill="FFFFFF"/>
        </w:rPr>
        <w:t xml:space="preserve">whether factors within </w:t>
      </w:r>
      <w:r w:rsidR="00563FAA" w:rsidRPr="00827A08">
        <w:rPr>
          <w:rFonts w:eastAsia="Times New Roman"/>
          <w:color w:val="000000" w:themeColor="text1"/>
          <w:shd w:val="clear" w:color="auto" w:fill="FFFFFF"/>
        </w:rPr>
        <w:t xml:space="preserve">and without </w:t>
      </w:r>
      <w:r w:rsidR="00D36EE0">
        <w:rPr>
          <w:rFonts w:eastAsia="Times New Roman"/>
          <w:color w:val="000000" w:themeColor="text1"/>
          <w:shd w:val="clear" w:color="auto" w:fill="FFFFFF"/>
        </w:rPr>
        <w:t>the NGT are “</w:t>
      </w:r>
      <w:r w:rsidR="00243313">
        <w:rPr>
          <w:rFonts w:eastAsia="Times New Roman"/>
          <w:color w:val="000000" w:themeColor="text1"/>
          <w:shd w:val="clear" w:color="auto" w:fill="FFFFFF"/>
        </w:rPr>
        <w:t>driving forces”</w:t>
      </w:r>
      <w:r w:rsidR="00D36EE0">
        <w:rPr>
          <w:rFonts w:eastAsia="Times New Roman"/>
          <w:color w:val="000000" w:themeColor="text1"/>
          <w:shd w:val="clear" w:color="auto" w:fill="FFFFFF"/>
        </w:rPr>
        <w:t xml:space="preserve"> for change, or “</w:t>
      </w:r>
      <w:r w:rsidR="00DA5D21" w:rsidRPr="00D77E98">
        <w:rPr>
          <w:rFonts w:eastAsia="Times New Roman"/>
          <w:color w:val="000000" w:themeColor="text1"/>
          <w:shd w:val="clear" w:color="auto" w:fill="FFFFFF"/>
        </w:rPr>
        <w:t>restraining forces”</w:t>
      </w:r>
      <w:r w:rsidR="00D805C7" w:rsidRPr="00D77E98">
        <w:rPr>
          <w:rFonts w:eastAsia="Times New Roman"/>
          <w:color w:val="000000" w:themeColor="text1"/>
          <w:shd w:val="clear" w:color="auto" w:fill="FFFFFF"/>
        </w:rPr>
        <w:t xml:space="preserve"> t</w:t>
      </w:r>
      <w:r w:rsidR="001F1F75" w:rsidRPr="00D77E98">
        <w:rPr>
          <w:rFonts w:eastAsia="Times New Roman"/>
          <w:color w:val="000000" w:themeColor="text1"/>
          <w:shd w:val="clear" w:color="auto" w:fill="FFFFFF"/>
        </w:rPr>
        <w:t>hat work against desired change</w:t>
      </w:r>
      <w:r w:rsidR="00D805C7" w:rsidRPr="00D77E98">
        <w:rPr>
          <w:rFonts w:eastAsia="Times New Roman"/>
          <w:color w:val="000000" w:themeColor="text1"/>
          <w:shd w:val="clear" w:color="auto" w:fill="FFFFFF"/>
        </w:rPr>
        <w:t>.</w:t>
      </w:r>
    </w:p>
    <w:p w14:paraId="4E7CC10D" w14:textId="49FAE5C8" w:rsidR="008D62A4" w:rsidRPr="00D77E98" w:rsidRDefault="009933AA" w:rsidP="00D77E98">
      <w:pPr>
        <w:pStyle w:val="Heading1"/>
        <w:spacing w:line="360" w:lineRule="auto"/>
        <w:rPr>
          <w:b w:val="0"/>
          <w:shd w:val="clear" w:color="auto" w:fill="FFFFFF"/>
        </w:rPr>
      </w:pPr>
      <w:r w:rsidRPr="00D77E98">
        <w:rPr>
          <w:b w:val="0"/>
          <w:shd w:val="clear" w:color="auto" w:fill="FFFFFF"/>
        </w:rPr>
        <w:t xml:space="preserve">3. APPLICATION OF THEORY: THE NATIONAL GREEN </w:t>
      </w:r>
      <w:r w:rsidR="00021CDC" w:rsidRPr="00D77E98">
        <w:rPr>
          <w:b w:val="0"/>
          <w:shd w:val="clear" w:color="auto" w:fill="FFFFFF"/>
        </w:rPr>
        <w:t>TRIBUNAL</w:t>
      </w:r>
    </w:p>
    <w:p w14:paraId="045A02D3" w14:textId="5755F80D" w:rsidR="00A57B8E" w:rsidRPr="002C4CC5" w:rsidRDefault="00322A9A" w:rsidP="00D77E98">
      <w:pPr>
        <w:spacing w:line="360" w:lineRule="auto"/>
        <w:rPr>
          <w:rFonts w:eastAsia="Times New Roman"/>
          <w:color w:val="000000" w:themeColor="text1"/>
        </w:rPr>
      </w:pPr>
      <w:r w:rsidRPr="00D77E98">
        <w:rPr>
          <w:rFonts w:eastAsia="Times New Roman"/>
          <w:color w:val="000000" w:themeColor="text1"/>
          <w:shd w:val="clear" w:color="auto" w:fill="FFFFFF"/>
        </w:rPr>
        <w:t>This section deals with the</w:t>
      </w:r>
      <w:r w:rsidR="00B31917" w:rsidRPr="00D77E98">
        <w:rPr>
          <w:rFonts w:eastAsia="Times New Roman"/>
          <w:color w:val="000000" w:themeColor="text1"/>
          <w:shd w:val="clear" w:color="auto" w:fill="FFFFFF"/>
        </w:rPr>
        <w:t xml:space="preserve"> practical application of </w:t>
      </w:r>
      <w:r w:rsidR="00332CB6" w:rsidRPr="00D77E98">
        <w:rPr>
          <w:rFonts w:eastAsia="Times New Roman"/>
          <w:color w:val="000000" w:themeColor="text1"/>
          <w:shd w:val="clear" w:color="auto" w:fill="FFFFFF"/>
        </w:rPr>
        <w:t xml:space="preserve">Kurt Lewin’s theory followed </w:t>
      </w:r>
      <w:r w:rsidR="00940C2E" w:rsidRPr="00D77E98">
        <w:rPr>
          <w:rFonts w:eastAsia="Times New Roman"/>
          <w:color w:val="000000" w:themeColor="text1"/>
          <w:shd w:val="clear" w:color="auto" w:fill="FFFFFF"/>
        </w:rPr>
        <w:t>by</w:t>
      </w:r>
      <w:r w:rsidRPr="00D77E98">
        <w:rPr>
          <w:rFonts w:eastAsia="Times New Roman"/>
          <w:color w:val="000000" w:themeColor="text1"/>
          <w:shd w:val="clear" w:color="auto" w:fill="FFFFFF"/>
        </w:rPr>
        <w:t xml:space="preserve"> Schein’s work tha</w:t>
      </w:r>
      <w:r w:rsidR="00B31917" w:rsidRPr="00D77E98">
        <w:rPr>
          <w:rFonts w:eastAsia="Times New Roman"/>
          <w:color w:val="000000" w:themeColor="text1"/>
          <w:shd w:val="clear" w:color="auto" w:fill="FFFFFF"/>
        </w:rPr>
        <w:t>t</w:t>
      </w:r>
      <w:r w:rsidRPr="00D77E98">
        <w:rPr>
          <w:rFonts w:eastAsia="Times New Roman"/>
          <w:color w:val="000000" w:themeColor="text1"/>
          <w:shd w:val="clear" w:color="auto" w:fill="FFFFFF"/>
        </w:rPr>
        <w:t xml:space="preserve"> developed the thr</w:t>
      </w:r>
      <w:r w:rsidR="00F64E35" w:rsidRPr="00D77E98">
        <w:rPr>
          <w:rFonts w:eastAsia="Times New Roman"/>
          <w:color w:val="000000" w:themeColor="text1"/>
          <w:shd w:val="clear" w:color="auto" w:fill="FFFFFF"/>
        </w:rPr>
        <w:t>ee</w:t>
      </w:r>
      <w:r w:rsidR="00F64E35" w:rsidRPr="002C4CC5">
        <w:rPr>
          <w:rFonts w:eastAsia="Times New Roman"/>
          <w:color w:val="000000" w:themeColor="text1"/>
          <w:shd w:val="clear" w:color="auto" w:fill="FFFFFF"/>
        </w:rPr>
        <w:t>-step change model. T</w:t>
      </w:r>
      <w:r w:rsidRPr="002C4CC5">
        <w:rPr>
          <w:rFonts w:eastAsia="Times New Roman"/>
          <w:color w:val="000000" w:themeColor="text1"/>
          <w:shd w:val="clear" w:color="auto" w:fill="FFFFFF"/>
        </w:rPr>
        <w:t>he frame work has been a</w:t>
      </w:r>
      <w:r w:rsidR="00B76282" w:rsidRPr="002C4CC5">
        <w:rPr>
          <w:rFonts w:eastAsia="Times New Roman"/>
          <w:color w:val="000000" w:themeColor="text1"/>
          <w:shd w:val="clear" w:color="auto" w:fill="FFFFFF"/>
        </w:rPr>
        <w:t>pplied to various organisations</w:t>
      </w:r>
      <w:r w:rsidR="00FC3DAF" w:rsidRPr="002C4CC5">
        <w:rPr>
          <w:rFonts w:eastAsia="Times New Roman"/>
          <w:color w:val="000000" w:themeColor="text1"/>
          <w:shd w:val="clear" w:color="auto" w:fill="FFFFFF"/>
        </w:rPr>
        <w:t xml:space="preserve"> including NHS</w:t>
      </w:r>
      <w:r w:rsidR="00B428B8" w:rsidRPr="002C4CC5">
        <w:rPr>
          <w:rFonts w:eastAsia="Times New Roman"/>
          <w:color w:val="000000" w:themeColor="text1"/>
          <w:shd w:val="clear" w:color="auto" w:fill="FFFFFF"/>
        </w:rPr>
        <w:t>,</w:t>
      </w:r>
      <w:r w:rsidR="00B76282" w:rsidRPr="002C4CC5">
        <w:rPr>
          <w:rStyle w:val="FootnoteReference"/>
          <w:rFonts w:eastAsia="Times New Roman"/>
          <w:color w:val="000000" w:themeColor="text1"/>
          <w:shd w:val="clear" w:color="auto" w:fill="FFFFFF"/>
        </w:rPr>
        <w:footnoteReference w:id="56"/>
      </w:r>
      <w:r w:rsidR="00B428B8" w:rsidRPr="002C4CC5">
        <w:rPr>
          <w:rFonts w:eastAsia="Times New Roman"/>
          <w:color w:val="000000" w:themeColor="text1"/>
          <w:shd w:val="clear" w:color="auto" w:fill="FFFFFF"/>
        </w:rPr>
        <w:t xml:space="preserve"> </w:t>
      </w:r>
      <w:r w:rsidR="00B428B8" w:rsidRPr="002C4CC5">
        <w:rPr>
          <w:rFonts w:eastAsia="Times New Roman"/>
          <w:color w:val="000000" w:themeColor="text1"/>
        </w:rPr>
        <w:t>poor state of primary education in State of Bihar, India,</w:t>
      </w:r>
      <w:r w:rsidR="00B428B8" w:rsidRPr="002C4CC5">
        <w:rPr>
          <w:rStyle w:val="FootnoteReference"/>
          <w:rFonts w:eastAsia="Times New Roman"/>
          <w:color w:val="000000" w:themeColor="text1"/>
        </w:rPr>
        <w:footnoteReference w:id="57"/>
      </w:r>
      <w:r w:rsidR="00A5568D" w:rsidRPr="002C4CC5">
        <w:rPr>
          <w:rFonts w:eastAsia="Times New Roman"/>
          <w:color w:val="000000" w:themeColor="text1"/>
        </w:rPr>
        <w:t xml:space="preserve"> gender</w:t>
      </w:r>
      <w:r w:rsidR="00A5568D" w:rsidRPr="002C4CC5">
        <w:rPr>
          <w:rStyle w:val="FootnoteReference"/>
          <w:rFonts w:eastAsia="Times New Roman"/>
          <w:color w:val="000000" w:themeColor="text1"/>
        </w:rPr>
        <w:footnoteReference w:id="58"/>
      </w:r>
      <w:r w:rsidR="00592952" w:rsidRPr="002C4CC5">
        <w:rPr>
          <w:rFonts w:eastAsia="Times New Roman"/>
          <w:color w:val="000000" w:themeColor="text1"/>
        </w:rPr>
        <w:t xml:space="preserve"> </w:t>
      </w:r>
      <w:r w:rsidR="00F64E35" w:rsidRPr="002C4CC5">
        <w:rPr>
          <w:rFonts w:eastAsia="Times New Roman"/>
          <w:color w:val="000000" w:themeColor="text1"/>
        </w:rPr>
        <w:t>and IT implementation.</w:t>
      </w:r>
      <w:r w:rsidR="00F64E35" w:rsidRPr="002C4CC5">
        <w:rPr>
          <w:rStyle w:val="FootnoteReference"/>
          <w:rFonts w:eastAsia="Times New Roman"/>
          <w:color w:val="000000" w:themeColor="text1"/>
        </w:rPr>
        <w:footnoteReference w:id="59"/>
      </w:r>
      <w:r w:rsidR="00F64E35" w:rsidRPr="002C4CC5">
        <w:rPr>
          <w:rFonts w:eastAsia="Times New Roman"/>
          <w:color w:val="000000" w:themeColor="text1"/>
        </w:rPr>
        <w:t xml:space="preserve"> However, </w:t>
      </w:r>
      <w:r w:rsidRPr="002C4CC5">
        <w:rPr>
          <w:rFonts w:eastAsia="Times New Roman"/>
          <w:color w:val="000000" w:themeColor="text1"/>
          <w:shd w:val="clear" w:color="auto" w:fill="FFFFFF"/>
        </w:rPr>
        <w:t>this is the first time</w:t>
      </w:r>
      <w:r w:rsidR="00B31917" w:rsidRPr="002C4CC5">
        <w:rPr>
          <w:rFonts w:eastAsia="Times New Roman"/>
          <w:color w:val="000000" w:themeColor="text1"/>
          <w:shd w:val="clear" w:color="auto" w:fill="FFFFFF"/>
        </w:rPr>
        <w:t xml:space="preserve"> it has been</w:t>
      </w:r>
      <w:r w:rsidRPr="002C4CC5">
        <w:rPr>
          <w:rFonts w:eastAsia="Times New Roman"/>
          <w:color w:val="000000" w:themeColor="text1"/>
          <w:shd w:val="clear" w:color="auto" w:fill="FFFFFF"/>
        </w:rPr>
        <w:t xml:space="preserve"> applied to an Indian adjudicatory </w:t>
      </w:r>
      <w:r w:rsidR="00021CDC" w:rsidRPr="002C4CC5">
        <w:rPr>
          <w:rFonts w:eastAsia="Times New Roman"/>
          <w:color w:val="000000" w:themeColor="text1"/>
          <w:shd w:val="clear" w:color="auto" w:fill="FFFFFF"/>
        </w:rPr>
        <w:t>Tribunal</w:t>
      </w:r>
      <w:r w:rsidRPr="002C4CC5">
        <w:rPr>
          <w:rFonts w:eastAsia="Times New Roman"/>
          <w:color w:val="000000" w:themeColor="text1"/>
          <w:shd w:val="clear" w:color="auto" w:fill="FFFFFF"/>
        </w:rPr>
        <w:t>, the NGT.</w:t>
      </w:r>
      <w:r w:rsidR="0005509B" w:rsidRPr="002C4CC5">
        <w:rPr>
          <w:rFonts w:eastAsia="Times New Roman"/>
          <w:color w:val="000000" w:themeColor="text1"/>
          <w:shd w:val="clear" w:color="auto" w:fill="FFFFFF"/>
        </w:rPr>
        <w:t xml:space="preserve"> </w:t>
      </w:r>
    </w:p>
    <w:p w14:paraId="69384E46" w14:textId="77777777" w:rsidR="00A57B8E" w:rsidRPr="002C4CC5" w:rsidRDefault="00A57B8E" w:rsidP="002C4CC5">
      <w:pPr>
        <w:spacing w:line="360" w:lineRule="auto"/>
        <w:rPr>
          <w:rFonts w:eastAsia="Times New Roman"/>
          <w:color w:val="000000" w:themeColor="text1"/>
          <w:shd w:val="clear" w:color="auto" w:fill="FFFFFF"/>
        </w:rPr>
      </w:pPr>
    </w:p>
    <w:p w14:paraId="00A139AF" w14:textId="54504FC6" w:rsidR="006F2938" w:rsidRPr="002C4CC5" w:rsidRDefault="00A57B8E" w:rsidP="002C4CC5">
      <w:pPr>
        <w:spacing w:line="360" w:lineRule="auto"/>
        <w:rPr>
          <w:rFonts w:eastAsia="Times New Roman"/>
          <w:color w:val="000000" w:themeColor="text1"/>
        </w:rPr>
      </w:pPr>
      <w:r w:rsidRPr="002C4CC5">
        <w:rPr>
          <w:rFonts w:eastAsia="Times New Roman"/>
          <w:color w:val="000000" w:themeColor="text1"/>
          <w:shd w:val="clear" w:color="auto" w:fill="FFFFFF"/>
        </w:rPr>
        <w:t xml:space="preserve">In </w:t>
      </w:r>
      <w:r w:rsidR="009A16CB" w:rsidRPr="002C4CC5">
        <w:rPr>
          <w:rFonts w:eastAsia="Times New Roman"/>
          <w:color w:val="000000" w:themeColor="text1"/>
          <w:shd w:val="clear" w:color="auto" w:fill="FFFFFF"/>
        </w:rPr>
        <w:t xml:space="preserve">Lewin’s theory, </w:t>
      </w:r>
      <w:r w:rsidR="003C0254" w:rsidRPr="002C4CC5">
        <w:rPr>
          <w:rFonts w:eastAsia="Times New Roman"/>
          <w:color w:val="000000" w:themeColor="text1"/>
          <w:shd w:val="clear" w:color="auto" w:fill="FFFFFF"/>
        </w:rPr>
        <w:t xml:space="preserve">the existence of an </w:t>
      </w:r>
      <w:r w:rsidR="00D1716F" w:rsidRPr="002C4CC5">
        <w:rPr>
          <w:rFonts w:eastAsia="Times New Roman"/>
          <w:color w:val="000000" w:themeColor="text1"/>
          <w:shd w:val="clear" w:color="auto" w:fill="FFFFFF"/>
        </w:rPr>
        <w:t>“</w:t>
      </w:r>
      <w:r w:rsidR="00E43E0B" w:rsidRPr="002C4CC5">
        <w:rPr>
          <w:rFonts w:eastAsia="Times New Roman"/>
          <w:color w:val="000000" w:themeColor="text1"/>
          <w:shd w:val="clear" w:color="auto" w:fill="FFFFFF"/>
        </w:rPr>
        <w:t>orga</w:t>
      </w:r>
      <w:r w:rsidR="00D1716F" w:rsidRPr="002C4CC5">
        <w:rPr>
          <w:rFonts w:eastAsia="Times New Roman"/>
          <w:color w:val="000000" w:themeColor="text1"/>
          <w:shd w:val="clear" w:color="auto" w:fill="FFFFFF"/>
        </w:rPr>
        <w:t>nisation”</w:t>
      </w:r>
      <w:r w:rsidRPr="002C4CC5">
        <w:rPr>
          <w:rFonts w:eastAsia="Times New Roman"/>
          <w:color w:val="000000" w:themeColor="text1"/>
          <w:shd w:val="clear" w:color="auto" w:fill="FFFFFF"/>
        </w:rPr>
        <w:t xml:space="preserve"> is central to understand</w:t>
      </w:r>
      <w:r w:rsidR="00675148" w:rsidRPr="002C4CC5">
        <w:rPr>
          <w:rFonts w:eastAsia="Times New Roman"/>
          <w:color w:val="000000" w:themeColor="text1"/>
          <w:shd w:val="clear" w:color="auto" w:fill="FFFFFF"/>
        </w:rPr>
        <w:t>ing</w:t>
      </w:r>
      <w:r w:rsidRPr="002C4CC5">
        <w:rPr>
          <w:rFonts w:eastAsia="Times New Roman"/>
          <w:color w:val="000000" w:themeColor="text1"/>
          <w:shd w:val="clear" w:color="auto" w:fill="FFFFFF"/>
        </w:rPr>
        <w:t xml:space="preserve"> change</w:t>
      </w:r>
      <w:r w:rsidR="00E43E0B" w:rsidRPr="002C4CC5">
        <w:rPr>
          <w:rFonts w:eastAsia="Times New Roman"/>
          <w:color w:val="000000" w:themeColor="text1"/>
          <w:shd w:val="clear" w:color="auto" w:fill="FFFFFF"/>
        </w:rPr>
        <w:t>.</w:t>
      </w:r>
      <w:r w:rsidR="003A275C" w:rsidRPr="002C4CC5">
        <w:rPr>
          <w:rFonts w:eastAsia="Times New Roman"/>
          <w:color w:val="000000" w:themeColor="text1"/>
          <w:shd w:val="clear" w:color="auto" w:fill="FFFFFF"/>
        </w:rPr>
        <w:t xml:space="preserve"> </w:t>
      </w:r>
      <w:r w:rsidR="00B31917" w:rsidRPr="002C4CC5">
        <w:rPr>
          <w:rFonts w:eastAsia="Times New Roman"/>
          <w:color w:val="000000" w:themeColor="text1"/>
          <w:shd w:val="clear" w:color="auto" w:fill="FFFFFF"/>
        </w:rPr>
        <w:t xml:space="preserve">Academics </w:t>
      </w:r>
      <w:r w:rsidR="003A275C" w:rsidRPr="002C4CC5">
        <w:rPr>
          <w:rFonts w:eastAsia="Times New Roman"/>
          <w:color w:val="000000" w:themeColor="text1"/>
          <w:shd w:val="clear" w:color="auto" w:fill="FFFFFF"/>
        </w:rPr>
        <w:t>have defined</w:t>
      </w:r>
      <w:r w:rsidR="00B31917" w:rsidRPr="002C4CC5">
        <w:rPr>
          <w:rFonts w:eastAsia="Times New Roman"/>
          <w:color w:val="000000" w:themeColor="text1"/>
          <w:shd w:val="clear" w:color="auto" w:fill="FFFFFF"/>
        </w:rPr>
        <w:t xml:space="preserve"> the term</w:t>
      </w:r>
      <w:r w:rsidR="00D1716F" w:rsidRPr="002C4CC5">
        <w:rPr>
          <w:rFonts w:eastAsia="Times New Roman"/>
          <w:color w:val="000000" w:themeColor="text1"/>
          <w:shd w:val="clear" w:color="auto" w:fill="FFFFFF"/>
        </w:rPr>
        <w:t xml:space="preserve"> “organisation”</w:t>
      </w:r>
      <w:r w:rsidR="009E2B7B" w:rsidRPr="002C4CC5">
        <w:rPr>
          <w:rFonts w:eastAsia="Times New Roman"/>
          <w:color w:val="000000" w:themeColor="text1"/>
          <w:shd w:val="clear" w:color="auto" w:fill="FFFFFF"/>
        </w:rPr>
        <w:t xml:space="preserve"> from different perspectives</w:t>
      </w:r>
      <w:r w:rsidR="00847EE1" w:rsidRPr="002C4CC5">
        <w:rPr>
          <w:rFonts w:eastAsia="Times New Roman"/>
          <w:color w:val="000000" w:themeColor="text1"/>
          <w:shd w:val="clear" w:color="auto" w:fill="FFFFFF"/>
        </w:rPr>
        <w:t>. These include</w:t>
      </w:r>
      <w:r w:rsidR="00626FF1" w:rsidRPr="002C4CC5">
        <w:rPr>
          <w:rFonts w:eastAsia="Times New Roman"/>
          <w:color w:val="000000" w:themeColor="text1"/>
          <w:shd w:val="clear" w:color="auto" w:fill="FFFFFF"/>
        </w:rPr>
        <w:t xml:space="preserve"> adopting a</w:t>
      </w:r>
      <w:r w:rsidR="006E72BF" w:rsidRPr="002C4CC5">
        <w:rPr>
          <w:rFonts w:eastAsia="Times New Roman"/>
          <w:color w:val="000000" w:themeColor="text1"/>
          <w:shd w:val="clear" w:color="auto" w:fill="FFFFFF"/>
        </w:rPr>
        <w:t xml:space="preserve"> </w:t>
      </w:r>
      <w:r w:rsidR="00626FF1" w:rsidRPr="002C4CC5">
        <w:rPr>
          <w:rFonts w:eastAsia="Times New Roman"/>
          <w:color w:val="000000" w:themeColor="text1"/>
          <w:shd w:val="clear" w:color="auto" w:fill="FFFFFF"/>
        </w:rPr>
        <w:t xml:space="preserve">professional </w:t>
      </w:r>
      <w:r w:rsidR="00F40FC8" w:rsidRPr="002C4CC5">
        <w:rPr>
          <w:rFonts w:eastAsia="Times New Roman"/>
          <w:color w:val="000000" w:themeColor="text1"/>
          <w:shd w:val="clear" w:color="auto" w:fill="FFFFFF"/>
        </w:rPr>
        <w:t>categorisation</w:t>
      </w:r>
      <w:r w:rsidR="00AD6DFC" w:rsidRPr="002C4CC5">
        <w:rPr>
          <w:rFonts w:eastAsia="Times New Roman"/>
          <w:color w:val="000000" w:themeColor="text1"/>
          <w:shd w:val="clear" w:color="auto" w:fill="FFFFFF"/>
        </w:rPr>
        <w:t xml:space="preserve">, as human labour, </w:t>
      </w:r>
      <w:r w:rsidR="00626FF1" w:rsidRPr="002C4CC5">
        <w:rPr>
          <w:rFonts w:eastAsia="Times New Roman"/>
          <w:color w:val="000000" w:themeColor="text1"/>
        </w:rPr>
        <w:t xml:space="preserve">conscious human activity linking and coordinating all the production agents to achieve </w:t>
      </w:r>
      <w:r w:rsidR="0049252B" w:rsidRPr="002C4CC5">
        <w:rPr>
          <w:rFonts w:eastAsia="Times New Roman"/>
          <w:color w:val="000000" w:themeColor="text1"/>
        </w:rPr>
        <w:t xml:space="preserve">the optimum result of the </w:t>
      </w:r>
      <w:r w:rsidR="00626FF1" w:rsidRPr="002C4CC5">
        <w:rPr>
          <w:rFonts w:eastAsia="Times New Roman"/>
          <w:color w:val="000000" w:themeColor="text1"/>
        </w:rPr>
        <w:t>work</w:t>
      </w:r>
      <w:r w:rsidR="00AD6DFC" w:rsidRPr="002C4CC5">
        <w:rPr>
          <w:rFonts w:eastAsia="Times New Roman"/>
          <w:color w:val="000000" w:themeColor="text1"/>
        </w:rPr>
        <w:t xml:space="preserve"> or</w:t>
      </w:r>
      <w:r w:rsidR="007F34A8" w:rsidRPr="002C4CC5">
        <w:rPr>
          <w:rFonts w:eastAsia="Times New Roman"/>
          <w:color w:val="000000" w:themeColor="text1"/>
        </w:rPr>
        <w:t xml:space="preserve"> a</w:t>
      </w:r>
      <w:r w:rsidR="00AD6DFC" w:rsidRPr="002C4CC5">
        <w:rPr>
          <w:rFonts w:eastAsia="Times New Roman"/>
          <w:color w:val="000000" w:themeColor="text1"/>
        </w:rPr>
        <w:t xml:space="preserve"> scientific approach.</w:t>
      </w:r>
      <w:r w:rsidR="00B76282" w:rsidRPr="002C4CC5">
        <w:rPr>
          <w:rStyle w:val="FootnoteReference"/>
          <w:rFonts w:eastAsia="Times New Roman"/>
          <w:color w:val="000000" w:themeColor="text1"/>
        </w:rPr>
        <w:footnoteReference w:id="60"/>
      </w:r>
      <w:r w:rsidR="00AD6DFC" w:rsidRPr="002C4CC5">
        <w:rPr>
          <w:rFonts w:eastAsia="Times New Roman"/>
          <w:color w:val="000000" w:themeColor="text1"/>
        </w:rPr>
        <w:t xml:space="preserve"> </w:t>
      </w:r>
      <w:r w:rsidR="00B02B45" w:rsidRPr="002C4CC5">
        <w:rPr>
          <w:rFonts w:eastAsia="Times New Roman"/>
          <w:color w:val="000000" w:themeColor="text1"/>
          <w:shd w:val="clear" w:color="auto" w:fill="FFFFFF"/>
        </w:rPr>
        <w:t xml:space="preserve">A </w:t>
      </w:r>
      <w:r w:rsidR="000073AC" w:rsidRPr="002C4CC5">
        <w:rPr>
          <w:rFonts w:eastAsia="Times New Roman"/>
          <w:color w:val="000000" w:themeColor="text1"/>
          <w:shd w:val="clear" w:color="auto" w:fill="FFFFFF"/>
        </w:rPr>
        <w:t xml:space="preserve"> </w:t>
      </w:r>
      <w:r w:rsidR="00CB3BD6" w:rsidRPr="002C4CC5">
        <w:rPr>
          <w:rFonts w:eastAsia="Times New Roman"/>
          <w:color w:val="000000" w:themeColor="text1"/>
          <w:shd w:val="clear" w:color="auto" w:fill="FFFFFF"/>
        </w:rPr>
        <w:t>definition</w:t>
      </w:r>
      <w:r w:rsidR="007D0469" w:rsidRPr="002C4CC5">
        <w:rPr>
          <w:rFonts w:eastAsia="Times New Roman"/>
          <w:color w:val="000000" w:themeColor="text1"/>
          <w:shd w:val="clear" w:color="auto" w:fill="FFFFFF"/>
        </w:rPr>
        <w:t xml:space="preserve"> by McGovern suggests that </w:t>
      </w:r>
      <w:r w:rsidR="00E0248C" w:rsidRPr="002C4CC5">
        <w:rPr>
          <w:rFonts w:eastAsia="Times New Roman"/>
          <w:color w:val="000000" w:themeColor="text1"/>
          <w:shd w:val="clear" w:color="auto" w:fill="FFFFFF"/>
        </w:rPr>
        <w:t xml:space="preserve">an </w:t>
      </w:r>
      <w:r w:rsidR="00D1716F" w:rsidRPr="002C4CC5">
        <w:rPr>
          <w:rFonts w:eastAsia="Times New Roman"/>
          <w:color w:val="000000" w:themeColor="text1"/>
          <w:shd w:val="clear" w:color="auto" w:fill="FFFFFF"/>
        </w:rPr>
        <w:t>organisation is “</w:t>
      </w:r>
      <w:r w:rsidR="007D0469" w:rsidRPr="002C4CC5">
        <w:rPr>
          <w:rFonts w:eastAsia="Times New Roman"/>
          <w:color w:val="000000" w:themeColor="text1"/>
          <w:shd w:val="clear" w:color="auto" w:fill="FFFFFF"/>
        </w:rPr>
        <w:t xml:space="preserve">an organised or cohesive </w:t>
      </w:r>
      <w:r w:rsidR="00553503" w:rsidRPr="002C4CC5">
        <w:rPr>
          <w:rFonts w:eastAsia="Times New Roman"/>
          <w:color w:val="000000" w:themeColor="text1"/>
          <w:shd w:val="clear" w:color="auto" w:fill="FFFFFF"/>
        </w:rPr>
        <w:t>gr</w:t>
      </w:r>
      <w:r w:rsidR="007D0469" w:rsidRPr="002C4CC5">
        <w:rPr>
          <w:rFonts w:eastAsia="Times New Roman"/>
          <w:color w:val="000000" w:themeColor="text1"/>
          <w:shd w:val="clear" w:color="auto" w:fill="FFFFFF"/>
        </w:rPr>
        <w:t xml:space="preserve">oup of people working together </w:t>
      </w:r>
      <w:r w:rsidR="00553503" w:rsidRPr="002C4CC5">
        <w:rPr>
          <w:rFonts w:eastAsia="Times New Roman"/>
          <w:color w:val="000000" w:themeColor="text1"/>
          <w:shd w:val="clear" w:color="auto" w:fill="FFFFFF"/>
        </w:rPr>
        <w:t>to achieve common</w:t>
      </w:r>
      <w:r w:rsidR="00D1716F" w:rsidRPr="002C4CC5">
        <w:rPr>
          <w:rFonts w:eastAsia="Times New Roman"/>
          <w:color w:val="000000" w:themeColor="text1"/>
          <w:shd w:val="clear" w:color="auto" w:fill="FFFFFF"/>
        </w:rPr>
        <w:t>ly agreed goals and objectives…”</w:t>
      </w:r>
      <w:r w:rsidR="00553503" w:rsidRPr="002C4CC5">
        <w:rPr>
          <w:rFonts w:eastAsia="Times New Roman"/>
          <w:color w:val="000000" w:themeColor="text1"/>
          <w:shd w:val="clear" w:color="auto" w:fill="FFFFFF"/>
        </w:rPr>
        <w:t>.</w:t>
      </w:r>
      <w:r w:rsidR="00B76282" w:rsidRPr="002C4CC5">
        <w:rPr>
          <w:rStyle w:val="FootnoteReference"/>
          <w:rFonts w:eastAsia="Times New Roman"/>
          <w:color w:val="000000" w:themeColor="text1"/>
          <w:shd w:val="clear" w:color="auto" w:fill="FFFFFF"/>
        </w:rPr>
        <w:footnoteReference w:id="61"/>
      </w:r>
      <w:r w:rsidR="009E0DC2" w:rsidRPr="002C4CC5">
        <w:rPr>
          <w:rFonts w:eastAsia="Times New Roman"/>
          <w:color w:val="000000" w:themeColor="text1"/>
          <w:shd w:val="clear" w:color="auto" w:fill="FFFFFF"/>
        </w:rPr>
        <w:t xml:space="preserve"> </w:t>
      </w:r>
      <w:r w:rsidR="00B31917" w:rsidRPr="002C4CC5">
        <w:rPr>
          <w:rFonts w:eastAsia="Times New Roman"/>
          <w:color w:val="000000" w:themeColor="text1"/>
        </w:rPr>
        <w:t>A</w:t>
      </w:r>
      <w:r w:rsidR="00C63C47" w:rsidRPr="002C4CC5">
        <w:rPr>
          <w:rFonts w:eastAsia="Times New Roman"/>
          <w:color w:val="000000" w:themeColor="text1"/>
        </w:rPr>
        <w:t>dopting</w:t>
      </w:r>
      <w:r w:rsidR="00C54229" w:rsidRPr="002C4CC5">
        <w:rPr>
          <w:rFonts w:eastAsia="Times New Roman"/>
          <w:color w:val="000000" w:themeColor="text1"/>
        </w:rPr>
        <w:t xml:space="preserve"> </w:t>
      </w:r>
      <w:r w:rsidR="0037434D" w:rsidRPr="002C4CC5">
        <w:rPr>
          <w:rFonts w:eastAsia="Times New Roman"/>
          <w:color w:val="000000" w:themeColor="text1"/>
        </w:rPr>
        <w:t xml:space="preserve">McGovern’s </w:t>
      </w:r>
      <w:r w:rsidR="00E92CF2" w:rsidRPr="002C4CC5">
        <w:rPr>
          <w:rFonts w:eastAsia="Times New Roman"/>
          <w:color w:val="000000" w:themeColor="text1"/>
        </w:rPr>
        <w:t>definition, it is advanced here</w:t>
      </w:r>
      <w:r w:rsidR="00C54229" w:rsidRPr="002C4CC5">
        <w:rPr>
          <w:rFonts w:eastAsia="Times New Roman"/>
          <w:color w:val="000000" w:themeColor="text1"/>
        </w:rPr>
        <w:t xml:space="preserve"> that the</w:t>
      </w:r>
      <w:r w:rsidR="00E92CF2" w:rsidRPr="002C4CC5">
        <w:rPr>
          <w:rFonts w:eastAsia="Times New Roman"/>
          <w:color w:val="000000" w:themeColor="text1"/>
        </w:rPr>
        <w:t xml:space="preserve"> courts and </w:t>
      </w:r>
      <w:r w:rsidR="00021CDC" w:rsidRPr="002C4CC5">
        <w:rPr>
          <w:rFonts w:eastAsia="Times New Roman"/>
          <w:color w:val="000000" w:themeColor="text1"/>
        </w:rPr>
        <w:t>Tribunal</w:t>
      </w:r>
      <w:r w:rsidR="00E92CF2" w:rsidRPr="002C4CC5">
        <w:rPr>
          <w:rFonts w:eastAsia="Times New Roman"/>
          <w:color w:val="000000" w:themeColor="text1"/>
        </w:rPr>
        <w:t>s are</w:t>
      </w:r>
      <w:r w:rsidR="000A3156" w:rsidRPr="002C4CC5">
        <w:rPr>
          <w:rFonts w:eastAsia="Times New Roman"/>
          <w:color w:val="000000" w:themeColor="text1"/>
        </w:rPr>
        <w:t xml:space="preserve"> organisation</w:t>
      </w:r>
      <w:r w:rsidR="00E92CF2" w:rsidRPr="002C4CC5">
        <w:rPr>
          <w:rFonts w:eastAsia="Times New Roman"/>
          <w:color w:val="000000" w:themeColor="text1"/>
        </w:rPr>
        <w:t>s</w:t>
      </w:r>
      <w:r w:rsidR="0029381A" w:rsidRPr="002C4CC5">
        <w:rPr>
          <w:rFonts w:eastAsia="Times New Roman"/>
          <w:color w:val="000000" w:themeColor="text1"/>
        </w:rPr>
        <w:t xml:space="preserve"> within</w:t>
      </w:r>
      <w:r w:rsidR="00D1716F" w:rsidRPr="002C4CC5">
        <w:rPr>
          <w:rFonts w:eastAsia="Times New Roman"/>
          <w:color w:val="000000" w:themeColor="text1"/>
        </w:rPr>
        <w:t xml:space="preserve"> the “</w:t>
      </w:r>
      <w:r w:rsidR="00F0729D" w:rsidRPr="002C4CC5">
        <w:rPr>
          <w:rFonts w:eastAsia="Times New Roman"/>
          <w:color w:val="000000" w:themeColor="text1"/>
        </w:rPr>
        <w:t>new public management</w:t>
      </w:r>
      <w:r w:rsidR="00AC708A" w:rsidRPr="002C4CC5">
        <w:rPr>
          <w:rFonts w:eastAsia="Times New Roman"/>
          <w:color w:val="000000" w:themeColor="text1"/>
        </w:rPr>
        <w:t xml:space="preserve"> (NPM)</w:t>
      </w:r>
      <w:r w:rsidR="00D1716F" w:rsidRPr="002C4CC5">
        <w:rPr>
          <w:rFonts w:eastAsia="Times New Roman"/>
          <w:color w:val="000000" w:themeColor="text1"/>
        </w:rPr>
        <w:t xml:space="preserve">” </w:t>
      </w:r>
      <w:r w:rsidR="00F0729D" w:rsidRPr="002C4CC5">
        <w:rPr>
          <w:rFonts w:eastAsia="Times New Roman"/>
          <w:color w:val="000000" w:themeColor="text1"/>
        </w:rPr>
        <w:t>paradigm</w:t>
      </w:r>
      <w:r w:rsidR="002A26E1" w:rsidRPr="002C4CC5">
        <w:rPr>
          <w:rFonts w:eastAsia="Times New Roman"/>
          <w:color w:val="000000" w:themeColor="text1"/>
        </w:rPr>
        <w:t>.</w:t>
      </w:r>
      <w:r w:rsidR="001136A8" w:rsidRPr="002C4CC5">
        <w:rPr>
          <w:rStyle w:val="FootnoteReference"/>
          <w:rFonts w:eastAsia="Times New Roman"/>
          <w:color w:val="000000" w:themeColor="text1"/>
        </w:rPr>
        <w:footnoteReference w:id="62"/>
      </w:r>
      <w:r w:rsidR="00BC4338" w:rsidRPr="002C4CC5">
        <w:rPr>
          <w:rFonts w:eastAsia="Times New Roman"/>
          <w:color w:val="000000" w:themeColor="text1"/>
        </w:rPr>
        <w:t xml:space="preserve"> </w:t>
      </w:r>
      <w:r w:rsidR="00AC708A" w:rsidRPr="002C4CC5">
        <w:rPr>
          <w:rFonts w:eastAsia="Times New Roman"/>
          <w:color w:val="000000" w:themeColor="text1"/>
        </w:rPr>
        <w:t>The focus of NPM is on</w:t>
      </w:r>
      <w:r w:rsidR="00D1716F" w:rsidRPr="002C4CC5">
        <w:rPr>
          <w:rFonts w:eastAsia="Times New Roman"/>
          <w:color w:val="000000" w:themeColor="text1"/>
        </w:rPr>
        <w:t xml:space="preserve"> “quality”</w:t>
      </w:r>
      <w:r w:rsidR="00E666B5" w:rsidRPr="002C4CC5">
        <w:rPr>
          <w:rFonts w:eastAsia="Times New Roman"/>
          <w:color w:val="000000" w:themeColor="text1"/>
        </w:rPr>
        <w:t>, i</w:t>
      </w:r>
      <w:r w:rsidR="00894961" w:rsidRPr="002C4CC5">
        <w:rPr>
          <w:rFonts w:eastAsia="Times New Roman"/>
          <w:color w:val="000000" w:themeColor="text1"/>
        </w:rPr>
        <w:t>.</w:t>
      </w:r>
      <w:r w:rsidR="00E666B5" w:rsidRPr="002C4CC5">
        <w:rPr>
          <w:rFonts w:eastAsia="Times New Roman"/>
          <w:color w:val="000000" w:themeColor="text1"/>
        </w:rPr>
        <w:t>e</w:t>
      </w:r>
      <w:r w:rsidR="00C63C47" w:rsidRPr="002C4CC5">
        <w:rPr>
          <w:rFonts w:eastAsia="Times New Roman"/>
          <w:color w:val="000000" w:themeColor="text1"/>
        </w:rPr>
        <w:t>.</w:t>
      </w:r>
      <w:r w:rsidR="00D1716F" w:rsidRPr="002C4CC5">
        <w:rPr>
          <w:rFonts w:eastAsia="Times New Roman"/>
          <w:color w:val="000000" w:themeColor="text1"/>
        </w:rPr>
        <w:t xml:space="preserve"> “</w:t>
      </w:r>
      <w:r w:rsidR="00E666B5" w:rsidRPr="002C4CC5">
        <w:rPr>
          <w:rFonts w:eastAsia="Times New Roman"/>
          <w:color w:val="000000" w:themeColor="text1"/>
        </w:rPr>
        <w:t>achieving the full potential that one is capable of with the resources one has</w:t>
      </w:r>
      <w:r w:rsidR="00D1716F" w:rsidRPr="002C4CC5">
        <w:rPr>
          <w:rFonts w:eastAsia="Times New Roman"/>
          <w:color w:val="000000" w:themeColor="text1"/>
        </w:rPr>
        <w:t>”</w:t>
      </w:r>
      <w:r w:rsidR="00AC708A" w:rsidRPr="002C4CC5">
        <w:rPr>
          <w:rStyle w:val="FootnoteReference"/>
          <w:rFonts w:eastAsia="Times New Roman"/>
          <w:color w:val="000000" w:themeColor="text1"/>
        </w:rPr>
        <w:footnoteReference w:id="63"/>
      </w:r>
      <w:r w:rsidR="00AC708A" w:rsidRPr="002C4CC5">
        <w:rPr>
          <w:rFonts w:eastAsia="Times New Roman"/>
          <w:color w:val="000000" w:themeColor="text1"/>
        </w:rPr>
        <w:t xml:space="preserve"> </w:t>
      </w:r>
      <w:r w:rsidR="00D1716F" w:rsidRPr="002C4CC5">
        <w:rPr>
          <w:rFonts w:eastAsia="Times New Roman"/>
          <w:color w:val="000000" w:themeColor="text1"/>
        </w:rPr>
        <w:t xml:space="preserve"> with a “</w:t>
      </w:r>
      <w:r w:rsidR="0062381E" w:rsidRPr="002C4CC5">
        <w:rPr>
          <w:rFonts w:eastAsia="Times New Roman"/>
          <w:color w:val="000000" w:themeColor="text1"/>
        </w:rPr>
        <w:t>client</w:t>
      </w:r>
      <w:r w:rsidR="007F7590" w:rsidRPr="002C4CC5">
        <w:rPr>
          <w:rFonts w:eastAsia="Times New Roman"/>
          <w:color w:val="000000" w:themeColor="text1"/>
        </w:rPr>
        <w:t>-oriented approach.</w:t>
      </w:r>
      <w:r w:rsidR="00D1716F" w:rsidRPr="002C4CC5">
        <w:rPr>
          <w:rFonts w:eastAsia="Times New Roman"/>
          <w:color w:val="000000" w:themeColor="text1"/>
        </w:rPr>
        <w:t>”</w:t>
      </w:r>
      <w:r w:rsidR="007F7590" w:rsidRPr="002C4CC5">
        <w:rPr>
          <w:rStyle w:val="FootnoteReference"/>
          <w:rFonts w:eastAsia="Times New Roman"/>
          <w:color w:val="000000" w:themeColor="text1"/>
        </w:rPr>
        <w:footnoteReference w:id="64"/>
      </w:r>
      <w:r w:rsidR="007F7590" w:rsidRPr="002C4CC5">
        <w:rPr>
          <w:rFonts w:eastAsia="Times New Roman"/>
          <w:color w:val="000000" w:themeColor="text1"/>
        </w:rPr>
        <w:t xml:space="preserve"> </w:t>
      </w:r>
      <w:r w:rsidR="006451AF" w:rsidRPr="002C4CC5">
        <w:rPr>
          <w:rFonts w:eastAsia="Times New Roman"/>
          <w:color w:val="000000" w:themeColor="text1"/>
        </w:rPr>
        <w:t>In the cont</w:t>
      </w:r>
      <w:r w:rsidR="00D1716F" w:rsidRPr="002C4CC5">
        <w:rPr>
          <w:rFonts w:eastAsia="Times New Roman"/>
          <w:color w:val="000000" w:themeColor="text1"/>
        </w:rPr>
        <w:t>ext of judicial organisations, “quality”</w:t>
      </w:r>
      <w:r w:rsidR="00852A0A" w:rsidRPr="002C4CC5">
        <w:rPr>
          <w:rFonts w:eastAsia="Times New Roman"/>
          <w:color w:val="000000" w:themeColor="text1"/>
        </w:rPr>
        <w:t xml:space="preserve"> in NPM</w:t>
      </w:r>
      <w:r w:rsidR="006451AF" w:rsidRPr="002C4CC5">
        <w:rPr>
          <w:rFonts w:eastAsia="Times New Roman"/>
          <w:color w:val="000000" w:themeColor="text1"/>
        </w:rPr>
        <w:t xml:space="preserve"> includes the principles of effectiven</w:t>
      </w:r>
      <w:r w:rsidR="00852A0A" w:rsidRPr="002C4CC5">
        <w:rPr>
          <w:rFonts w:eastAsia="Times New Roman"/>
          <w:color w:val="000000" w:themeColor="text1"/>
        </w:rPr>
        <w:t>ess, efficiency and transparency</w:t>
      </w:r>
      <w:r w:rsidR="00D33601" w:rsidRPr="002C4CC5">
        <w:rPr>
          <w:rFonts w:eastAsia="Times New Roman"/>
          <w:color w:val="000000" w:themeColor="text1"/>
        </w:rPr>
        <w:t>.</w:t>
      </w:r>
      <w:r w:rsidR="007E094D" w:rsidRPr="002C4CC5">
        <w:rPr>
          <w:rStyle w:val="FootnoteReference"/>
          <w:rFonts w:eastAsia="Times New Roman"/>
          <w:color w:val="000000" w:themeColor="text1"/>
        </w:rPr>
        <w:footnoteReference w:id="65"/>
      </w:r>
      <w:r w:rsidR="00D33601" w:rsidRPr="002C4CC5">
        <w:rPr>
          <w:rFonts w:eastAsia="Times New Roman"/>
          <w:color w:val="000000" w:themeColor="text1"/>
        </w:rPr>
        <w:t xml:space="preserve"> </w:t>
      </w:r>
      <w:r w:rsidR="006F2938" w:rsidRPr="002C4CC5">
        <w:rPr>
          <w:rFonts w:eastAsia="Times New Roman"/>
          <w:color w:val="000000" w:themeColor="text1"/>
        </w:rPr>
        <w:t>Facto</w:t>
      </w:r>
      <w:r w:rsidR="00C32AFA" w:rsidRPr="002C4CC5">
        <w:rPr>
          <w:rFonts w:eastAsia="Times New Roman"/>
          <w:color w:val="000000" w:themeColor="text1"/>
        </w:rPr>
        <w:t>rs including</w:t>
      </w:r>
      <w:r w:rsidR="006F2938" w:rsidRPr="002C4CC5">
        <w:rPr>
          <w:rFonts w:eastAsia="Times New Roman"/>
          <w:color w:val="000000" w:themeColor="text1"/>
        </w:rPr>
        <w:t xml:space="preserve"> time, timeliness, co</w:t>
      </w:r>
      <w:r w:rsidR="005B0AD3" w:rsidRPr="002C4CC5">
        <w:rPr>
          <w:rFonts w:eastAsia="Times New Roman"/>
          <w:color w:val="000000" w:themeColor="text1"/>
        </w:rPr>
        <w:t>mpetency</w:t>
      </w:r>
      <w:r w:rsidR="006F2938" w:rsidRPr="002C4CC5">
        <w:rPr>
          <w:rFonts w:eastAsia="Times New Roman"/>
          <w:color w:val="000000" w:themeColor="text1"/>
        </w:rPr>
        <w:t>, consistency, accessibility, accuracy, and responsiveness</w:t>
      </w:r>
      <w:r w:rsidR="00D75E4B" w:rsidRPr="002C4CC5">
        <w:rPr>
          <w:rFonts w:eastAsia="Times New Roman"/>
          <w:color w:val="000000" w:themeColor="text1"/>
        </w:rPr>
        <w:t xml:space="preserve"> </w:t>
      </w:r>
      <w:r w:rsidR="005B0AD3" w:rsidRPr="002C4CC5">
        <w:rPr>
          <w:rFonts w:eastAsia="Times New Roman"/>
          <w:color w:val="000000" w:themeColor="text1"/>
        </w:rPr>
        <w:t xml:space="preserve">provide direction and </w:t>
      </w:r>
      <w:r w:rsidR="00D75E4B" w:rsidRPr="002C4CC5">
        <w:rPr>
          <w:rFonts w:eastAsia="Times New Roman"/>
          <w:color w:val="000000" w:themeColor="text1"/>
        </w:rPr>
        <w:t>help in assessing quality service</w:t>
      </w:r>
      <w:r w:rsidR="005B0AD3" w:rsidRPr="002C4CC5">
        <w:rPr>
          <w:rFonts w:eastAsia="Times New Roman"/>
          <w:color w:val="000000" w:themeColor="text1"/>
        </w:rPr>
        <w:t xml:space="preserve"> in the judicial organisation.</w:t>
      </w:r>
      <w:r w:rsidR="00AA290F" w:rsidRPr="002C4CC5">
        <w:rPr>
          <w:rStyle w:val="FootnoteReference"/>
          <w:rFonts w:eastAsia="Times New Roman"/>
          <w:color w:val="000000" w:themeColor="text1"/>
        </w:rPr>
        <w:footnoteReference w:id="66"/>
      </w:r>
      <w:r w:rsidR="004C7B9D" w:rsidRPr="002C4CC5">
        <w:rPr>
          <w:rFonts w:eastAsia="Times New Roman"/>
          <w:color w:val="000000" w:themeColor="text1"/>
        </w:rPr>
        <w:t xml:space="preserve"> The fulfilment of quality requirements contributes towards the</w:t>
      </w:r>
      <w:r w:rsidR="000D7001">
        <w:rPr>
          <w:rFonts w:eastAsia="Times New Roman"/>
          <w:color w:val="000000" w:themeColor="text1"/>
        </w:rPr>
        <w:t xml:space="preserve"> </w:t>
      </w:r>
      <w:r w:rsidR="004C7B9D" w:rsidRPr="002C4CC5">
        <w:rPr>
          <w:rFonts w:eastAsia="Times New Roman"/>
          <w:color w:val="000000" w:themeColor="text1"/>
        </w:rPr>
        <w:t>legitimisation of judicial organisations towards the public</w:t>
      </w:r>
      <w:r w:rsidR="001249C5" w:rsidRPr="002C4CC5">
        <w:rPr>
          <w:rFonts w:eastAsia="Times New Roman"/>
          <w:color w:val="000000" w:themeColor="text1"/>
        </w:rPr>
        <w:t xml:space="preserve"> and are compatible with values </w:t>
      </w:r>
      <w:r w:rsidR="00C63C47" w:rsidRPr="002C4CC5">
        <w:rPr>
          <w:rFonts w:eastAsia="Times New Roman"/>
          <w:color w:val="000000" w:themeColor="text1"/>
        </w:rPr>
        <w:t>such as</w:t>
      </w:r>
      <w:r w:rsidR="001249C5" w:rsidRPr="002C4CC5">
        <w:rPr>
          <w:rFonts w:eastAsia="Times New Roman"/>
          <w:color w:val="000000" w:themeColor="text1"/>
        </w:rPr>
        <w:t xml:space="preserve"> equity and equality</w:t>
      </w:r>
      <w:r w:rsidR="004C7B9D" w:rsidRPr="002C4CC5">
        <w:rPr>
          <w:rFonts w:eastAsia="Times New Roman"/>
          <w:color w:val="000000" w:themeColor="text1"/>
        </w:rPr>
        <w:t>.</w:t>
      </w:r>
      <w:r w:rsidR="001249C5" w:rsidRPr="002C4CC5">
        <w:rPr>
          <w:rStyle w:val="FootnoteReference"/>
          <w:rFonts w:eastAsia="Times New Roman"/>
          <w:color w:val="000000" w:themeColor="text1"/>
        </w:rPr>
        <w:footnoteReference w:id="67"/>
      </w:r>
    </w:p>
    <w:p w14:paraId="60FBC150" w14:textId="75D16A55" w:rsidR="000A3156" w:rsidRPr="002C4CC5" w:rsidRDefault="000A3156" w:rsidP="002C4CC5">
      <w:pPr>
        <w:spacing w:line="360" w:lineRule="auto"/>
        <w:rPr>
          <w:rFonts w:eastAsia="Times New Roman"/>
          <w:color w:val="000000" w:themeColor="text1"/>
        </w:rPr>
      </w:pPr>
    </w:p>
    <w:p w14:paraId="75DD5BE0" w14:textId="4972F735" w:rsidR="00C40CA9" w:rsidRPr="002C4CC5" w:rsidRDefault="00BF7D3F" w:rsidP="002C4CC5">
      <w:pPr>
        <w:spacing w:line="360" w:lineRule="auto"/>
        <w:rPr>
          <w:rFonts w:eastAsia="Times New Roman"/>
          <w:color w:val="000000" w:themeColor="text1"/>
        </w:rPr>
      </w:pPr>
      <w:r w:rsidRPr="002C4CC5">
        <w:rPr>
          <w:rFonts w:eastAsia="Times New Roman"/>
          <w:color w:val="000000" w:themeColor="text1"/>
        </w:rPr>
        <w:t xml:space="preserve">The courts and </w:t>
      </w:r>
      <w:r w:rsidR="00021CDC" w:rsidRPr="002C4CC5">
        <w:rPr>
          <w:rFonts w:eastAsia="Times New Roman"/>
          <w:color w:val="000000" w:themeColor="text1"/>
        </w:rPr>
        <w:t>Tribunal</w:t>
      </w:r>
      <w:r w:rsidRPr="002C4CC5">
        <w:rPr>
          <w:rFonts w:eastAsia="Times New Roman"/>
          <w:color w:val="000000" w:themeColor="text1"/>
        </w:rPr>
        <w:t xml:space="preserve">s in India are judicial organisations </w:t>
      </w:r>
      <w:r w:rsidR="000F2DAF" w:rsidRPr="002C4CC5">
        <w:rPr>
          <w:rFonts w:eastAsia="Times New Roman"/>
          <w:color w:val="000000" w:themeColor="text1"/>
        </w:rPr>
        <w:t xml:space="preserve">that </w:t>
      </w:r>
      <w:r w:rsidR="004C153A" w:rsidRPr="002C4CC5">
        <w:rPr>
          <w:rFonts w:eastAsia="Times New Roman"/>
          <w:color w:val="000000" w:themeColor="text1"/>
        </w:rPr>
        <w:t xml:space="preserve">provide </w:t>
      </w:r>
      <w:r w:rsidR="00986F36" w:rsidRPr="002C4CC5">
        <w:rPr>
          <w:rFonts w:eastAsia="Times New Roman"/>
          <w:color w:val="000000" w:themeColor="text1"/>
        </w:rPr>
        <w:t>guarantee the “quality”</w:t>
      </w:r>
      <w:r w:rsidR="000F2DAF" w:rsidRPr="002C4CC5">
        <w:rPr>
          <w:rFonts w:eastAsia="Times New Roman"/>
          <w:color w:val="000000" w:themeColor="text1"/>
        </w:rPr>
        <w:t xml:space="preserve"> requirements for the effective delivery of justice. </w:t>
      </w:r>
      <w:r w:rsidR="00CD338F" w:rsidRPr="002C4CC5">
        <w:rPr>
          <w:rFonts w:eastAsia="Times New Roman"/>
          <w:color w:val="000000" w:themeColor="text1"/>
        </w:rPr>
        <w:t>Specifically,</w:t>
      </w:r>
      <w:r w:rsidR="00F43726" w:rsidRPr="002C4CC5">
        <w:rPr>
          <w:rFonts w:eastAsia="Times New Roman"/>
          <w:color w:val="000000" w:themeColor="text1"/>
        </w:rPr>
        <w:t xml:space="preserve"> the </w:t>
      </w:r>
      <w:r w:rsidR="00C54229" w:rsidRPr="002C4CC5">
        <w:rPr>
          <w:rFonts w:eastAsia="Times New Roman"/>
          <w:color w:val="000000" w:themeColor="text1"/>
        </w:rPr>
        <w:t>NGT</w:t>
      </w:r>
      <w:r w:rsidR="00F43726" w:rsidRPr="002C4CC5">
        <w:rPr>
          <w:rFonts w:eastAsia="Times New Roman"/>
          <w:color w:val="000000" w:themeColor="text1"/>
        </w:rPr>
        <w:t xml:space="preserve"> </w:t>
      </w:r>
      <w:r w:rsidR="00986F36" w:rsidRPr="002C4CC5">
        <w:rPr>
          <w:rFonts w:eastAsia="Times New Roman"/>
          <w:color w:val="000000" w:themeColor="text1"/>
        </w:rPr>
        <w:t>is an “organisation”</w:t>
      </w:r>
      <w:r w:rsidR="00CB3BD6" w:rsidRPr="002C4CC5">
        <w:rPr>
          <w:rFonts w:eastAsia="Times New Roman"/>
          <w:color w:val="000000" w:themeColor="text1"/>
        </w:rPr>
        <w:t xml:space="preserve"> </w:t>
      </w:r>
      <w:r w:rsidR="00582490" w:rsidRPr="002C4CC5">
        <w:rPr>
          <w:rFonts w:eastAsia="Times New Roman"/>
          <w:color w:val="000000" w:themeColor="text1"/>
        </w:rPr>
        <w:t>consisting of l</w:t>
      </w:r>
      <w:r w:rsidR="00582490" w:rsidRPr="002C4CC5">
        <w:rPr>
          <w:color w:val="000000" w:themeColor="text1"/>
        </w:rPr>
        <w:t>egal and scientific experts</w:t>
      </w:r>
      <w:r w:rsidR="003D6E4C" w:rsidRPr="002C4CC5">
        <w:rPr>
          <w:color w:val="000000" w:themeColor="text1"/>
        </w:rPr>
        <w:t xml:space="preserve"> who crea</w:t>
      </w:r>
      <w:r w:rsidR="00152E73" w:rsidRPr="002C4CC5">
        <w:rPr>
          <w:color w:val="000000" w:themeColor="text1"/>
        </w:rPr>
        <w:t>te</w:t>
      </w:r>
      <w:r w:rsidR="003D6E4C" w:rsidRPr="002C4CC5">
        <w:rPr>
          <w:color w:val="000000" w:themeColor="text1"/>
        </w:rPr>
        <w:t xml:space="preserve"> </w:t>
      </w:r>
      <w:r w:rsidR="009D2254" w:rsidRPr="002C4CC5">
        <w:rPr>
          <w:color w:val="000000" w:themeColor="text1"/>
        </w:rPr>
        <w:t>a symbiotic</w:t>
      </w:r>
      <w:r w:rsidR="003D6E4C" w:rsidRPr="002C4CC5">
        <w:rPr>
          <w:color w:val="000000" w:themeColor="text1"/>
        </w:rPr>
        <w:t xml:space="preserve"> relationship that operates collectively </w:t>
      </w:r>
      <w:r w:rsidR="00582490" w:rsidRPr="002C4CC5">
        <w:rPr>
          <w:color w:val="000000" w:themeColor="text1"/>
        </w:rPr>
        <w:t xml:space="preserve">as joint decision-makers and adjudicators </w:t>
      </w:r>
      <w:r w:rsidR="00152E73" w:rsidRPr="002C4CC5">
        <w:rPr>
          <w:color w:val="000000" w:themeColor="text1"/>
        </w:rPr>
        <w:t xml:space="preserve">to dispense environmental justice. </w:t>
      </w:r>
      <w:r w:rsidR="00CB3BD6" w:rsidRPr="002C4CC5">
        <w:rPr>
          <w:rFonts w:eastAsia="Times New Roman"/>
          <w:color w:val="000000" w:themeColor="text1"/>
        </w:rPr>
        <w:t xml:space="preserve">The overarching goal is </w:t>
      </w:r>
      <w:r w:rsidR="00B06CC7" w:rsidRPr="002C4CC5">
        <w:rPr>
          <w:rFonts w:eastAsia="Times New Roman"/>
          <w:color w:val="000000" w:themeColor="text1"/>
        </w:rPr>
        <w:t>contained in the Preambl</w:t>
      </w:r>
      <w:r w:rsidR="00912C77" w:rsidRPr="002C4CC5">
        <w:rPr>
          <w:rFonts w:eastAsia="Times New Roman"/>
          <w:color w:val="000000" w:themeColor="text1"/>
        </w:rPr>
        <w:t>e of the NGT Act 2010. It aims</w:t>
      </w:r>
      <w:r w:rsidR="00986F36" w:rsidRPr="002C4CC5">
        <w:rPr>
          <w:rFonts w:eastAsia="Times New Roman"/>
          <w:color w:val="000000" w:themeColor="text1"/>
        </w:rPr>
        <w:t xml:space="preserve"> for </w:t>
      </w:r>
      <w:r w:rsidR="005311D9" w:rsidRPr="002C4CC5">
        <w:rPr>
          <w:color w:val="000000" w:themeColor="text1"/>
        </w:rPr>
        <w:t xml:space="preserve">the effective and expeditious disposal of cases relating to environmental protection, conservation of forests and other natural resources, including enforcement of environmental legal rights, giving relief and compensation for damages to persons and property, and for matters connected or incidental. </w:t>
      </w:r>
      <w:r w:rsidR="0013508E" w:rsidRPr="002C4CC5">
        <w:rPr>
          <w:color w:val="000000" w:themeColor="text1"/>
        </w:rPr>
        <w:t xml:space="preserve">The </w:t>
      </w:r>
      <w:r w:rsidR="00986F36" w:rsidRPr="002C4CC5">
        <w:rPr>
          <w:color w:val="000000" w:themeColor="text1"/>
        </w:rPr>
        <w:t>NPM “quality”</w:t>
      </w:r>
      <w:r w:rsidR="00125F4A" w:rsidRPr="002C4CC5">
        <w:rPr>
          <w:color w:val="000000" w:themeColor="text1"/>
        </w:rPr>
        <w:t xml:space="preserve"> principles are reflected in the NGT’s measurable characteristics: </w:t>
      </w:r>
      <w:r w:rsidR="00304A90" w:rsidRPr="002C4CC5">
        <w:rPr>
          <w:color w:val="000000" w:themeColor="text1"/>
        </w:rPr>
        <w:t xml:space="preserve">participatory parity </w:t>
      </w:r>
      <w:r w:rsidR="00C62289" w:rsidRPr="002C4CC5">
        <w:rPr>
          <w:color w:val="000000" w:themeColor="text1"/>
        </w:rPr>
        <w:t>by giving a liberal and flexi</w:t>
      </w:r>
      <w:r w:rsidR="00986F36" w:rsidRPr="002C4CC5">
        <w:rPr>
          <w:color w:val="000000" w:themeColor="text1"/>
        </w:rPr>
        <w:t>ble interpretation in terms of “aggrieved party”</w:t>
      </w:r>
      <w:r w:rsidR="00C62289" w:rsidRPr="002C4CC5">
        <w:rPr>
          <w:color w:val="000000" w:themeColor="text1"/>
        </w:rPr>
        <w:t xml:space="preserve"> (standing) to access environmental justice</w:t>
      </w:r>
      <w:r w:rsidR="00B31917" w:rsidRPr="002C4CC5">
        <w:rPr>
          <w:color w:val="000000" w:themeColor="text1"/>
        </w:rPr>
        <w:t>,</w:t>
      </w:r>
      <w:r w:rsidR="00E20283" w:rsidRPr="002C4CC5">
        <w:rPr>
          <w:rStyle w:val="FootnoteReference"/>
          <w:color w:val="000000" w:themeColor="text1"/>
        </w:rPr>
        <w:footnoteReference w:id="68"/>
      </w:r>
      <w:r w:rsidR="00E44797" w:rsidRPr="002C4CC5">
        <w:rPr>
          <w:color w:val="000000" w:themeColor="text1"/>
        </w:rPr>
        <w:t xml:space="preserve"> </w:t>
      </w:r>
      <w:r w:rsidR="00C62289" w:rsidRPr="002C4CC5">
        <w:rPr>
          <w:color w:val="000000" w:themeColor="text1"/>
        </w:rPr>
        <w:t xml:space="preserve"> </w:t>
      </w:r>
      <w:r w:rsidR="00986F36" w:rsidRPr="002C4CC5">
        <w:rPr>
          <w:color w:val="000000" w:themeColor="text1"/>
        </w:rPr>
        <w:t>the availability of “</w:t>
      </w:r>
      <w:r w:rsidR="007A632F" w:rsidRPr="002C4CC5">
        <w:rPr>
          <w:color w:val="000000" w:themeColor="text1"/>
        </w:rPr>
        <w:t>re</w:t>
      </w:r>
      <w:r w:rsidR="00986F36" w:rsidRPr="002C4CC5">
        <w:rPr>
          <w:color w:val="000000" w:themeColor="text1"/>
        </w:rPr>
        <w:t>sources to enable participation”</w:t>
      </w:r>
      <w:r w:rsidR="007A632F" w:rsidRPr="002C4CC5">
        <w:rPr>
          <w:color w:val="000000" w:themeColor="text1"/>
        </w:rPr>
        <w:t xml:space="preserve"> through </w:t>
      </w:r>
      <w:r w:rsidR="006350A6" w:rsidRPr="002C4CC5">
        <w:rPr>
          <w:color w:val="000000" w:themeColor="text1"/>
        </w:rPr>
        <w:t>low fees cost</w:t>
      </w:r>
      <w:r w:rsidR="00B31917" w:rsidRPr="002C4CC5">
        <w:rPr>
          <w:color w:val="000000" w:themeColor="text1"/>
        </w:rPr>
        <w:t>,</w:t>
      </w:r>
      <w:r w:rsidR="00056B19" w:rsidRPr="002C4CC5">
        <w:rPr>
          <w:rStyle w:val="FootnoteReference"/>
          <w:color w:val="000000" w:themeColor="text1"/>
        </w:rPr>
        <w:footnoteReference w:id="69"/>
      </w:r>
      <w:r w:rsidR="006350A6" w:rsidRPr="002C4CC5">
        <w:rPr>
          <w:color w:val="000000" w:themeColor="text1"/>
        </w:rPr>
        <w:t xml:space="preserve"> the ability both to fast-track and decide cases within six months of application or appeal</w:t>
      </w:r>
      <w:r w:rsidR="00B31917" w:rsidRPr="002C4CC5">
        <w:rPr>
          <w:color w:val="000000" w:themeColor="text1"/>
        </w:rPr>
        <w:t>,</w:t>
      </w:r>
      <w:r w:rsidR="00056B19" w:rsidRPr="002C4CC5">
        <w:rPr>
          <w:rStyle w:val="FootnoteReference"/>
          <w:color w:val="000000" w:themeColor="text1"/>
        </w:rPr>
        <w:footnoteReference w:id="70"/>
      </w:r>
      <w:r w:rsidR="006350A6" w:rsidRPr="002C4CC5">
        <w:rPr>
          <w:color w:val="000000" w:themeColor="text1"/>
        </w:rPr>
        <w:t xml:space="preserve"> and </w:t>
      </w:r>
      <w:r w:rsidR="00C40CA9" w:rsidRPr="002C4CC5">
        <w:rPr>
          <w:color w:val="000000" w:themeColor="text1"/>
        </w:rPr>
        <w:t>application of the sustainable development, precautionary and polluter-pays principles when passing any order, decision or award for effective implementation of environmental rights and duties in India</w:t>
      </w:r>
      <w:r w:rsidR="00E0248C" w:rsidRPr="002C4CC5">
        <w:rPr>
          <w:color w:val="000000" w:themeColor="text1"/>
        </w:rPr>
        <w:t>.</w:t>
      </w:r>
      <w:r w:rsidR="00056B19" w:rsidRPr="002C4CC5">
        <w:rPr>
          <w:rStyle w:val="FootnoteReference"/>
          <w:color w:val="000000" w:themeColor="text1"/>
        </w:rPr>
        <w:footnoteReference w:id="71"/>
      </w:r>
    </w:p>
    <w:p w14:paraId="7E9A31EC" w14:textId="77777777" w:rsidR="00986F36" w:rsidRPr="002C4CC5" w:rsidRDefault="00986F36" w:rsidP="002C4CC5">
      <w:pPr>
        <w:spacing w:line="360" w:lineRule="auto"/>
        <w:rPr>
          <w:rFonts w:eastAsia="Times New Roman"/>
          <w:color w:val="000000" w:themeColor="text1"/>
          <w:shd w:val="clear" w:color="auto" w:fill="FFFFFF"/>
        </w:rPr>
      </w:pPr>
    </w:p>
    <w:p w14:paraId="3B600DF0" w14:textId="0130EB55" w:rsidR="00B42839" w:rsidRPr="000D7001" w:rsidRDefault="00657B14" w:rsidP="00D77E98">
      <w:pPr>
        <w:spacing w:line="360" w:lineRule="auto"/>
        <w:rPr>
          <w:rFonts w:eastAsia="Times New Roman"/>
          <w:color w:val="000000" w:themeColor="text1"/>
          <w:shd w:val="clear" w:color="auto" w:fill="FFFFFF"/>
        </w:rPr>
      </w:pPr>
      <w:r w:rsidRPr="002C4CC5">
        <w:rPr>
          <w:rFonts w:eastAsia="Times New Roman"/>
          <w:color w:val="000000" w:themeColor="text1"/>
          <w:shd w:val="clear" w:color="auto" w:fill="FFFFFF"/>
        </w:rPr>
        <w:t xml:space="preserve">In this context, </w:t>
      </w:r>
      <w:r w:rsidR="00711930" w:rsidRPr="002C4CC5">
        <w:rPr>
          <w:rFonts w:eastAsia="Times New Roman"/>
          <w:color w:val="000000" w:themeColor="text1"/>
          <w:shd w:val="clear" w:color="auto" w:fill="FFFFFF"/>
        </w:rPr>
        <w:t xml:space="preserve">I </w:t>
      </w:r>
      <w:r w:rsidR="00E0248C" w:rsidRPr="002C4CC5">
        <w:rPr>
          <w:rFonts w:eastAsia="Times New Roman"/>
          <w:color w:val="000000" w:themeColor="text1"/>
          <w:shd w:val="clear" w:color="auto" w:fill="FFFFFF"/>
        </w:rPr>
        <w:t>apply</w:t>
      </w:r>
      <w:r w:rsidR="00711930" w:rsidRPr="002C4CC5">
        <w:rPr>
          <w:rFonts w:eastAsia="Times New Roman"/>
          <w:color w:val="000000" w:themeColor="text1"/>
          <w:shd w:val="clear" w:color="auto" w:fill="FFFFFF"/>
        </w:rPr>
        <w:t xml:space="preserve"> </w:t>
      </w:r>
      <w:r w:rsidR="009114D4" w:rsidRPr="002C4CC5">
        <w:rPr>
          <w:rFonts w:eastAsia="Times New Roman"/>
          <w:color w:val="000000" w:themeColor="text1"/>
          <w:shd w:val="clear" w:color="auto" w:fill="FFFFFF"/>
        </w:rPr>
        <w:t xml:space="preserve">Lewin’s model of organisational change to </w:t>
      </w:r>
      <w:r w:rsidR="00D55EA0" w:rsidRPr="002C4CC5">
        <w:rPr>
          <w:rFonts w:eastAsia="Times New Roman"/>
          <w:color w:val="000000" w:themeColor="text1"/>
          <w:shd w:val="clear" w:color="auto" w:fill="FFFFFF"/>
        </w:rPr>
        <w:t xml:space="preserve">the NGT. Comprehending </w:t>
      </w:r>
      <w:r w:rsidR="009114D4" w:rsidRPr="002C4CC5">
        <w:rPr>
          <w:rFonts w:eastAsia="Times New Roman"/>
          <w:color w:val="000000" w:themeColor="text1"/>
          <w:shd w:val="clear" w:color="auto" w:fill="FFFFFF"/>
        </w:rPr>
        <w:t xml:space="preserve">the </w:t>
      </w:r>
      <w:r w:rsidR="00607917" w:rsidRPr="002C4CC5">
        <w:rPr>
          <w:rFonts w:eastAsia="Times New Roman"/>
          <w:color w:val="000000" w:themeColor="text1"/>
          <w:shd w:val="clear" w:color="auto" w:fill="FFFFFF"/>
        </w:rPr>
        <w:t xml:space="preserve">kinetics </w:t>
      </w:r>
      <w:r w:rsidR="00D55EA0" w:rsidRPr="002C4CC5">
        <w:rPr>
          <w:rFonts w:eastAsia="Times New Roman"/>
          <w:color w:val="000000" w:themeColor="text1"/>
          <w:shd w:val="clear" w:color="auto" w:fill="FFFFFF"/>
        </w:rPr>
        <w:t>of Lewin’s for</w:t>
      </w:r>
      <w:r w:rsidR="00957780" w:rsidRPr="002C4CC5">
        <w:rPr>
          <w:rFonts w:eastAsia="Times New Roman"/>
          <w:color w:val="000000" w:themeColor="text1"/>
          <w:shd w:val="clear" w:color="auto" w:fill="FFFFFF"/>
        </w:rPr>
        <w:t xml:space="preserve">ce-field theory is vital in learning to apply his </w:t>
      </w:r>
      <w:r w:rsidR="009533D2" w:rsidRPr="002C4CC5">
        <w:rPr>
          <w:rFonts w:eastAsia="Times New Roman"/>
          <w:color w:val="000000" w:themeColor="text1"/>
          <w:shd w:val="clear" w:color="auto" w:fill="FFFFFF"/>
        </w:rPr>
        <w:t>“</w:t>
      </w:r>
      <w:r w:rsidR="00957780" w:rsidRPr="002C4CC5">
        <w:rPr>
          <w:rFonts w:eastAsia="Times New Roman"/>
          <w:color w:val="000000" w:themeColor="text1"/>
          <w:shd w:val="clear" w:color="auto" w:fill="FFFFFF"/>
        </w:rPr>
        <w:t>three-step change</w:t>
      </w:r>
      <w:r w:rsidR="009533D2" w:rsidRPr="002C4CC5">
        <w:rPr>
          <w:rFonts w:eastAsia="Times New Roman"/>
          <w:color w:val="000000" w:themeColor="text1"/>
          <w:shd w:val="clear" w:color="auto" w:fill="FFFFFF"/>
        </w:rPr>
        <w:t>”</w:t>
      </w:r>
      <w:r w:rsidR="00957780" w:rsidRPr="002C4CC5">
        <w:rPr>
          <w:rFonts w:eastAsia="Times New Roman"/>
          <w:color w:val="000000" w:themeColor="text1"/>
          <w:shd w:val="clear" w:color="auto" w:fill="FFFFFF"/>
        </w:rPr>
        <w:t xml:space="preserve"> in practical situations.</w:t>
      </w:r>
    </w:p>
    <w:p w14:paraId="2C6D9CC6" w14:textId="37097742" w:rsidR="005E2DB0" w:rsidRPr="002C4CC5" w:rsidRDefault="000D7001" w:rsidP="00D77E98">
      <w:pPr>
        <w:pStyle w:val="Heading2"/>
        <w:spacing w:line="360" w:lineRule="auto"/>
        <w:rPr>
          <w:rFonts w:eastAsia="Times New Roman"/>
          <w:shd w:val="clear" w:color="auto" w:fill="FFFFFF"/>
        </w:rPr>
      </w:pPr>
      <w:r>
        <w:rPr>
          <w:rFonts w:eastAsia="Times New Roman"/>
          <w:shd w:val="clear" w:color="auto" w:fill="FFFFFF"/>
        </w:rPr>
        <w:t>A.</w:t>
      </w:r>
      <w:r w:rsidR="00AC5DCD" w:rsidRPr="002C4CC5">
        <w:rPr>
          <w:rFonts w:eastAsia="Times New Roman"/>
          <w:shd w:val="clear" w:color="auto" w:fill="FFFFFF"/>
        </w:rPr>
        <w:t xml:space="preserve"> U</w:t>
      </w:r>
      <w:r w:rsidR="0005070D" w:rsidRPr="002C4CC5">
        <w:rPr>
          <w:rFonts w:eastAsia="Times New Roman"/>
          <w:shd w:val="clear" w:color="auto" w:fill="FFFFFF"/>
        </w:rPr>
        <w:t xml:space="preserve">nfreeze </w:t>
      </w:r>
    </w:p>
    <w:p w14:paraId="7A59F276" w14:textId="77777777" w:rsidR="005E2DB0" w:rsidRPr="002C4CC5" w:rsidRDefault="005E2DB0" w:rsidP="00D77E98">
      <w:pPr>
        <w:spacing w:line="360" w:lineRule="auto"/>
        <w:rPr>
          <w:rFonts w:eastAsia="Times New Roman"/>
          <w:i/>
          <w:color w:val="000000" w:themeColor="text1"/>
          <w:shd w:val="clear" w:color="auto" w:fill="FFFFFF"/>
        </w:rPr>
      </w:pPr>
    </w:p>
    <w:p w14:paraId="2C3A2ED7" w14:textId="2818FB24" w:rsidR="0005070D" w:rsidRPr="002C4CC5" w:rsidRDefault="0005070D" w:rsidP="00D77E98">
      <w:pPr>
        <w:spacing w:line="360" w:lineRule="auto"/>
        <w:rPr>
          <w:rFonts w:eastAsia="Times New Roman"/>
          <w:i/>
          <w:color w:val="000000" w:themeColor="text1"/>
          <w:shd w:val="clear" w:color="auto" w:fill="FFFFFF"/>
        </w:rPr>
      </w:pPr>
      <w:r w:rsidRPr="002C4CC5">
        <w:rPr>
          <w:rFonts w:eastAsia="Times New Roman"/>
          <w:color w:val="000000" w:themeColor="text1"/>
          <w:shd w:val="clear" w:color="auto" w:fill="FFFFFF"/>
        </w:rPr>
        <w:t>Unfreezi</w:t>
      </w:r>
      <w:r w:rsidR="008A31EE" w:rsidRPr="002C4CC5">
        <w:rPr>
          <w:rFonts w:eastAsia="Times New Roman"/>
          <w:color w:val="000000" w:themeColor="text1"/>
          <w:shd w:val="clear" w:color="auto" w:fill="FFFFFF"/>
        </w:rPr>
        <w:t>ng the old behaviour to learn</w:t>
      </w:r>
      <w:r w:rsidRPr="002C4CC5">
        <w:rPr>
          <w:rFonts w:eastAsia="Times New Roman"/>
          <w:color w:val="000000" w:themeColor="text1"/>
          <w:shd w:val="clear" w:color="auto" w:fill="FFFFFF"/>
        </w:rPr>
        <w:t xml:space="preserve"> something new provides motivation to change. </w:t>
      </w:r>
      <w:r w:rsidR="00C52CC6" w:rsidRPr="002C4CC5">
        <w:rPr>
          <w:rFonts w:eastAsia="Times New Roman"/>
          <w:color w:val="000000" w:themeColor="text1"/>
          <w:shd w:val="clear" w:color="auto" w:fill="FFFFFF"/>
        </w:rPr>
        <w:t>The focus is to address underlying problem</w:t>
      </w:r>
      <w:r w:rsidR="00CA28E6" w:rsidRPr="002C4CC5">
        <w:rPr>
          <w:rFonts w:eastAsia="Times New Roman"/>
          <w:color w:val="000000" w:themeColor="text1"/>
          <w:shd w:val="clear" w:color="auto" w:fill="FFFFFF"/>
        </w:rPr>
        <w:t>s</w:t>
      </w:r>
      <w:r w:rsidR="00C52CC6" w:rsidRPr="002C4CC5">
        <w:rPr>
          <w:rFonts w:eastAsia="Times New Roman"/>
          <w:color w:val="000000" w:themeColor="text1"/>
          <w:shd w:val="clear" w:color="auto" w:fill="FFFFFF"/>
        </w:rPr>
        <w:t xml:space="preserve"> and initiate diagnostic work to accept new learning and reject old or dysfunctional behaviour.</w:t>
      </w:r>
    </w:p>
    <w:p w14:paraId="43FB6B0E" w14:textId="77777777" w:rsidR="00761266" w:rsidRPr="002C4CC5" w:rsidRDefault="00761266" w:rsidP="002C4CC5">
      <w:pPr>
        <w:spacing w:line="360" w:lineRule="auto"/>
        <w:rPr>
          <w:rFonts w:eastAsia="Times New Roman"/>
          <w:color w:val="000000" w:themeColor="text1"/>
          <w:shd w:val="clear" w:color="auto" w:fill="FFFFFF"/>
        </w:rPr>
      </w:pPr>
    </w:p>
    <w:p w14:paraId="462CAAE7" w14:textId="1EA63ABB" w:rsidR="00CB3F8A" w:rsidRPr="002C4CC5" w:rsidRDefault="00E902D9" w:rsidP="002C4CC5">
      <w:pPr>
        <w:spacing w:line="360" w:lineRule="auto"/>
        <w:rPr>
          <w:rFonts w:eastAsia="Times New Roman"/>
          <w:color w:val="000000" w:themeColor="text1"/>
          <w:shd w:val="clear" w:color="auto" w:fill="FFFFFF"/>
        </w:rPr>
      </w:pPr>
      <w:r w:rsidRPr="002C4CC5">
        <w:rPr>
          <w:rFonts w:eastAsia="Times New Roman"/>
          <w:color w:val="000000" w:themeColor="text1"/>
          <w:shd w:val="clear" w:color="auto" w:fill="FFFFFF"/>
        </w:rPr>
        <w:t>T</w:t>
      </w:r>
      <w:r w:rsidR="00761266" w:rsidRPr="002C4CC5">
        <w:rPr>
          <w:rFonts w:eastAsia="Times New Roman"/>
          <w:color w:val="000000" w:themeColor="text1"/>
          <w:shd w:val="clear" w:color="auto" w:fill="FFFFFF"/>
        </w:rPr>
        <w:t>he unfr</w:t>
      </w:r>
      <w:r w:rsidR="00A90AF4" w:rsidRPr="002C4CC5">
        <w:rPr>
          <w:rFonts w:eastAsia="Times New Roman"/>
          <w:color w:val="000000" w:themeColor="text1"/>
          <w:shd w:val="clear" w:color="auto" w:fill="FFFFFF"/>
        </w:rPr>
        <w:t>eezing was triggered by strong</w:t>
      </w:r>
      <w:r w:rsidR="00761266" w:rsidRPr="002C4CC5">
        <w:rPr>
          <w:rFonts w:eastAsia="Times New Roman"/>
          <w:color w:val="000000" w:themeColor="text1"/>
          <w:shd w:val="clear" w:color="auto" w:fill="FFFFFF"/>
        </w:rPr>
        <w:t xml:space="preserve"> </w:t>
      </w:r>
      <w:r w:rsidR="00243313" w:rsidRPr="002C4CC5">
        <w:rPr>
          <w:rFonts w:eastAsia="Times New Roman"/>
          <w:color w:val="000000" w:themeColor="text1"/>
          <w:shd w:val="clear" w:color="auto" w:fill="FFFFFF"/>
        </w:rPr>
        <w:t>“driving forces”</w:t>
      </w:r>
      <w:r w:rsidR="00E0248C" w:rsidRPr="002C4CC5">
        <w:rPr>
          <w:rFonts w:eastAsia="Times New Roman"/>
          <w:color w:val="000000" w:themeColor="text1"/>
          <w:shd w:val="clear" w:color="auto" w:fill="FFFFFF"/>
        </w:rPr>
        <w:t xml:space="preserve"> being</w:t>
      </w:r>
      <w:r w:rsidR="00A90AF4" w:rsidRPr="002C4CC5">
        <w:rPr>
          <w:rFonts w:eastAsia="Times New Roman"/>
          <w:color w:val="000000" w:themeColor="text1"/>
          <w:shd w:val="clear" w:color="auto" w:fill="FFFFFF"/>
        </w:rPr>
        <w:t xml:space="preserve"> the Supreme Court of India and the Indian Law Commissio</w:t>
      </w:r>
      <w:r w:rsidR="00E0248C" w:rsidRPr="002C4CC5">
        <w:rPr>
          <w:rFonts w:eastAsia="Times New Roman"/>
          <w:color w:val="000000" w:themeColor="text1"/>
          <w:shd w:val="clear" w:color="auto" w:fill="FFFFFF"/>
        </w:rPr>
        <w:t>n. They</w:t>
      </w:r>
      <w:r w:rsidR="00BE0150" w:rsidRPr="002C4CC5">
        <w:rPr>
          <w:rFonts w:eastAsia="Times New Roman"/>
          <w:color w:val="000000" w:themeColor="text1"/>
          <w:shd w:val="clear" w:color="auto" w:fill="FFFFFF"/>
        </w:rPr>
        <w:t xml:space="preserve"> identified</w:t>
      </w:r>
      <w:r w:rsidR="00761266" w:rsidRPr="002C4CC5">
        <w:rPr>
          <w:rFonts w:eastAsia="Times New Roman"/>
          <w:color w:val="000000" w:themeColor="text1"/>
          <w:shd w:val="clear" w:color="auto" w:fill="FFFFFF"/>
        </w:rPr>
        <w:t xml:space="preserve"> problems and challenges relating to </w:t>
      </w:r>
      <w:r w:rsidR="00DF0540" w:rsidRPr="002C4CC5">
        <w:rPr>
          <w:rFonts w:eastAsia="Times New Roman"/>
          <w:color w:val="000000" w:themeColor="text1"/>
          <w:shd w:val="clear" w:color="auto" w:fill="FFFFFF"/>
        </w:rPr>
        <w:t xml:space="preserve">environmental </w:t>
      </w:r>
      <w:r w:rsidR="00884B59" w:rsidRPr="002C4CC5">
        <w:rPr>
          <w:rFonts w:eastAsia="Times New Roman"/>
          <w:color w:val="000000" w:themeColor="text1"/>
          <w:shd w:val="clear" w:color="auto" w:fill="FFFFFF"/>
        </w:rPr>
        <w:t xml:space="preserve">adjudication and </w:t>
      </w:r>
      <w:r w:rsidR="00DF0540" w:rsidRPr="002C4CC5">
        <w:rPr>
          <w:rFonts w:eastAsia="Times New Roman"/>
          <w:color w:val="000000" w:themeColor="text1"/>
          <w:shd w:val="clear" w:color="auto" w:fill="FFFFFF"/>
        </w:rPr>
        <w:t xml:space="preserve">dispensation of </w:t>
      </w:r>
      <w:r w:rsidR="00884B59" w:rsidRPr="002C4CC5">
        <w:rPr>
          <w:rFonts w:eastAsia="Times New Roman"/>
          <w:color w:val="000000" w:themeColor="text1"/>
          <w:shd w:val="clear" w:color="auto" w:fill="FFFFFF"/>
        </w:rPr>
        <w:t xml:space="preserve">environmental </w:t>
      </w:r>
      <w:r w:rsidR="00DF0540" w:rsidRPr="002C4CC5">
        <w:rPr>
          <w:rFonts w:eastAsia="Times New Roman"/>
          <w:color w:val="000000" w:themeColor="text1"/>
          <w:shd w:val="clear" w:color="auto" w:fill="FFFFFF"/>
        </w:rPr>
        <w:t>justice in India</w:t>
      </w:r>
      <w:r w:rsidR="00E67FDD" w:rsidRPr="002C4CC5">
        <w:rPr>
          <w:rFonts w:eastAsia="Times New Roman"/>
          <w:color w:val="000000" w:themeColor="text1"/>
          <w:shd w:val="clear" w:color="auto" w:fill="FFFFFF"/>
        </w:rPr>
        <w:t xml:space="preserve">. </w:t>
      </w:r>
      <w:r w:rsidR="00071EC1" w:rsidRPr="002C4CC5">
        <w:rPr>
          <w:rFonts w:eastAsia="Times New Roman"/>
          <w:color w:val="000000" w:themeColor="text1"/>
          <w:shd w:val="clear" w:color="auto" w:fill="FFFFFF"/>
        </w:rPr>
        <w:t>The</w:t>
      </w:r>
      <w:r w:rsidR="002C5EA3" w:rsidRPr="002C4CC5">
        <w:rPr>
          <w:rFonts w:eastAsia="Times New Roman"/>
          <w:color w:val="000000" w:themeColor="text1"/>
          <w:shd w:val="clear" w:color="auto" w:fill="FFFFFF"/>
        </w:rPr>
        <w:t xml:space="preserve"> perceived accepted</w:t>
      </w:r>
      <w:r w:rsidR="00071EC1" w:rsidRPr="002C4CC5">
        <w:rPr>
          <w:rFonts w:eastAsia="Times New Roman"/>
          <w:color w:val="000000" w:themeColor="text1"/>
          <w:shd w:val="clear" w:color="auto" w:fill="FFFFFF"/>
        </w:rPr>
        <w:t xml:space="preserve"> need</w:t>
      </w:r>
      <w:r w:rsidR="002C5EA3" w:rsidRPr="002C4CC5">
        <w:rPr>
          <w:rFonts w:eastAsia="Times New Roman"/>
          <w:color w:val="000000" w:themeColor="text1"/>
          <w:shd w:val="clear" w:color="auto" w:fill="FFFFFF"/>
        </w:rPr>
        <w:t xml:space="preserve"> within these institutions</w:t>
      </w:r>
      <w:r w:rsidR="00044A9C">
        <w:rPr>
          <w:rFonts w:eastAsia="Times New Roman"/>
          <w:color w:val="000000" w:themeColor="text1"/>
          <w:shd w:val="clear" w:color="auto" w:fill="FFFFFF"/>
        </w:rPr>
        <w:t xml:space="preserve"> to “unlearn and learn something new”</w:t>
      </w:r>
      <w:r w:rsidR="00071EC1" w:rsidRPr="002C4CC5">
        <w:rPr>
          <w:rFonts w:eastAsia="Times New Roman"/>
          <w:color w:val="000000" w:themeColor="text1"/>
          <w:shd w:val="clear" w:color="auto" w:fill="FFFFFF"/>
        </w:rPr>
        <w:t xml:space="preserve"> was </w:t>
      </w:r>
      <w:r w:rsidR="002C5EA3" w:rsidRPr="002C4CC5">
        <w:rPr>
          <w:rFonts w:eastAsia="Times New Roman"/>
          <w:color w:val="000000" w:themeColor="text1"/>
          <w:shd w:val="clear" w:color="auto" w:fill="FFFFFF"/>
        </w:rPr>
        <w:t>powerful</w:t>
      </w:r>
      <w:r w:rsidR="00EF07CE" w:rsidRPr="002C4CC5">
        <w:rPr>
          <w:rFonts w:eastAsia="Times New Roman"/>
          <w:color w:val="000000" w:themeColor="text1"/>
          <w:shd w:val="clear" w:color="auto" w:fill="FFFFFF"/>
        </w:rPr>
        <w:t>.</w:t>
      </w:r>
      <w:r w:rsidR="00920C7F" w:rsidRPr="002C4CC5">
        <w:rPr>
          <w:rFonts w:eastAsia="Times New Roman"/>
          <w:color w:val="000000" w:themeColor="text1"/>
          <w:shd w:val="clear" w:color="auto" w:fill="FFFFFF"/>
        </w:rPr>
        <w:t xml:space="preserve"> </w:t>
      </w:r>
    </w:p>
    <w:p w14:paraId="000D939F" w14:textId="77777777" w:rsidR="004B2389" w:rsidRPr="002C4CC5" w:rsidRDefault="004B2389" w:rsidP="002C4CC5">
      <w:pPr>
        <w:spacing w:line="360" w:lineRule="auto"/>
        <w:rPr>
          <w:rFonts w:eastAsia="Times New Roman"/>
          <w:color w:val="000000" w:themeColor="text1"/>
          <w:shd w:val="clear" w:color="auto" w:fill="FFFFFF"/>
        </w:rPr>
      </w:pPr>
    </w:p>
    <w:p w14:paraId="1348A351" w14:textId="4B2FE965" w:rsidR="001717A9" w:rsidRPr="002C4CC5" w:rsidRDefault="002C5EA3" w:rsidP="002C4CC5">
      <w:pPr>
        <w:widowControl w:val="0"/>
        <w:autoSpaceDE w:val="0"/>
        <w:autoSpaceDN w:val="0"/>
        <w:adjustRightInd w:val="0"/>
        <w:spacing w:after="240" w:line="360" w:lineRule="auto"/>
        <w:rPr>
          <w:color w:val="000000" w:themeColor="text1"/>
        </w:rPr>
      </w:pPr>
      <w:r w:rsidRPr="002C4CC5">
        <w:rPr>
          <w:rFonts w:eastAsia="Times New Roman"/>
          <w:color w:val="000000" w:themeColor="text1"/>
          <w:shd w:val="clear" w:color="auto" w:fill="FFFFFF"/>
        </w:rPr>
        <w:t>T</w:t>
      </w:r>
      <w:r w:rsidR="00301009" w:rsidRPr="002C4CC5">
        <w:rPr>
          <w:rFonts w:eastAsia="Times New Roman"/>
          <w:color w:val="000000" w:themeColor="text1"/>
          <w:shd w:val="clear" w:color="auto" w:fill="FFFFFF"/>
        </w:rPr>
        <w:t>he Supreme Court of India</w:t>
      </w:r>
      <w:r w:rsidR="00137CD0" w:rsidRPr="002C4CC5">
        <w:rPr>
          <w:rFonts w:eastAsia="Times New Roman"/>
          <w:color w:val="000000" w:themeColor="text1"/>
          <w:shd w:val="clear" w:color="auto" w:fill="FFFFFF"/>
        </w:rPr>
        <w:t xml:space="preserve"> was the</w:t>
      </w:r>
      <w:r w:rsidRPr="002C4CC5">
        <w:rPr>
          <w:rFonts w:eastAsia="Times New Roman"/>
          <w:color w:val="000000" w:themeColor="text1"/>
          <w:shd w:val="clear" w:color="auto" w:fill="FFFFFF"/>
        </w:rPr>
        <w:t xml:space="preserve"> </w:t>
      </w:r>
      <w:r w:rsidR="001005CD" w:rsidRPr="002C4CC5">
        <w:rPr>
          <w:rFonts w:eastAsia="Times New Roman"/>
          <w:color w:val="000000" w:themeColor="text1"/>
          <w:shd w:val="clear" w:color="auto" w:fill="FFFFFF"/>
        </w:rPr>
        <w:t xml:space="preserve">initial </w:t>
      </w:r>
      <w:r w:rsidRPr="002C4CC5">
        <w:rPr>
          <w:rFonts w:eastAsia="Times New Roman"/>
          <w:color w:val="000000" w:themeColor="text1"/>
          <w:shd w:val="clear" w:color="auto" w:fill="FFFFFF"/>
        </w:rPr>
        <w:t>primary</w:t>
      </w:r>
      <w:r w:rsidR="00137CD0" w:rsidRPr="002C4CC5">
        <w:rPr>
          <w:rFonts w:eastAsia="Times New Roman"/>
          <w:color w:val="000000" w:themeColor="text1"/>
          <w:shd w:val="clear" w:color="auto" w:fill="FFFFFF"/>
        </w:rPr>
        <w:t xml:space="preserve"> external driving force behind the </w:t>
      </w:r>
      <w:r w:rsidR="006003D0" w:rsidRPr="002C4CC5">
        <w:rPr>
          <w:rFonts w:eastAsia="Times New Roman"/>
          <w:color w:val="000000" w:themeColor="text1"/>
          <w:shd w:val="clear" w:color="auto" w:fill="FFFFFF"/>
        </w:rPr>
        <w:t xml:space="preserve">initial </w:t>
      </w:r>
      <w:r w:rsidR="00F84E65" w:rsidRPr="002C4CC5">
        <w:rPr>
          <w:rFonts w:eastAsia="Times New Roman"/>
          <w:color w:val="000000" w:themeColor="text1"/>
          <w:shd w:val="clear" w:color="auto" w:fill="FFFFFF"/>
        </w:rPr>
        <w:t xml:space="preserve">unfreezing </w:t>
      </w:r>
      <w:r w:rsidR="00137CD0" w:rsidRPr="002C4CC5">
        <w:rPr>
          <w:rFonts w:eastAsia="Times New Roman"/>
          <w:color w:val="000000" w:themeColor="text1"/>
          <w:shd w:val="clear" w:color="auto" w:fill="FFFFFF"/>
        </w:rPr>
        <w:t>or motivation to change</w:t>
      </w:r>
      <w:r w:rsidR="006003D0" w:rsidRPr="002C4CC5">
        <w:rPr>
          <w:rFonts w:eastAsia="Times New Roman"/>
          <w:color w:val="000000" w:themeColor="text1"/>
          <w:shd w:val="clear" w:color="auto" w:fill="FFFFFF"/>
        </w:rPr>
        <w:t xml:space="preserve"> process</w:t>
      </w:r>
      <w:r w:rsidR="00137CD0" w:rsidRPr="002C4CC5">
        <w:rPr>
          <w:rFonts w:eastAsia="Times New Roman"/>
          <w:color w:val="000000" w:themeColor="text1"/>
          <w:shd w:val="clear" w:color="auto" w:fill="FFFFFF"/>
        </w:rPr>
        <w:t>.</w:t>
      </w:r>
      <w:r w:rsidR="00444953" w:rsidRPr="002C4CC5">
        <w:rPr>
          <w:rFonts w:eastAsia="Times New Roman"/>
          <w:color w:val="000000" w:themeColor="text1"/>
          <w:shd w:val="clear" w:color="auto" w:fill="FFFFFF"/>
        </w:rPr>
        <w:t xml:space="preserve"> The</w:t>
      </w:r>
      <w:r w:rsidR="00A6405E" w:rsidRPr="002C4CC5">
        <w:rPr>
          <w:rFonts w:eastAsia="Times New Roman"/>
          <w:color w:val="000000" w:themeColor="text1"/>
          <w:shd w:val="clear" w:color="auto" w:fill="FFFFFF"/>
        </w:rPr>
        <w:t xml:space="preserve"> Supreme Court’s intervention was </w:t>
      </w:r>
      <w:r w:rsidR="00D20D34" w:rsidRPr="002C4CC5">
        <w:rPr>
          <w:rFonts w:eastAsia="Times New Roman"/>
          <w:color w:val="000000" w:themeColor="text1"/>
          <w:shd w:val="clear" w:color="auto" w:fill="FFFFFF"/>
        </w:rPr>
        <w:t xml:space="preserve">based on </w:t>
      </w:r>
      <w:r w:rsidR="00A6405E" w:rsidRPr="002C4CC5">
        <w:rPr>
          <w:rFonts w:eastAsia="Times New Roman"/>
          <w:color w:val="000000" w:themeColor="text1"/>
          <w:shd w:val="clear" w:color="auto" w:fill="FFFFFF"/>
        </w:rPr>
        <w:t xml:space="preserve">its </w:t>
      </w:r>
      <w:r w:rsidR="00AE2F5B" w:rsidRPr="002C4CC5">
        <w:rPr>
          <w:rFonts w:eastAsia="Times New Roman"/>
          <w:color w:val="000000" w:themeColor="text1"/>
          <w:shd w:val="clear" w:color="auto" w:fill="FFFFFF"/>
        </w:rPr>
        <w:t xml:space="preserve">two-fold </w:t>
      </w:r>
      <w:r w:rsidR="00A6405E" w:rsidRPr="002C4CC5">
        <w:rPr>
          <w:color w:val="000000" w:themeColor="text1"/>
        </w:rPr>
        <w:t>concern</w:t>
      </w:r>
      <w:r w:rsidR="00A86C3D" w:rsidRPr="002C4CC5">
        <w:rPr>
          <w:color w:val="000000" w:themeColor="text1"/>
        </w:rPr>
        <w:t>. Fi</w:t>
      </w:r>
      <w:r w:rsidR="00AE2F5B" w:rsidRPr="002C4CC5">
        <w:rPr>
          <w:color w:val="000000" w:themeColor="text1"/>
        </w:rPr>
        <w:t>rst</w:t>
      </w:r>
      <w:r w:rsidR="00B31917" w:rsidRPr="002C4CC5">
        <w:rPr>
          <w:color w:val="000000" w:themeColor="text1"/>
        </w:rPr>
        <w:t xml:space="preserve"> was</w:t>
      </w:r>
      <w:r w:rsidR="00A6405E" w:rsidRPr="002C4CC5">
        <w:rPr>
          <w:color w:val="000000" w:themeColor="text1"/>
        </w:rPr>
        <w:t xml:space="preserve"> the complexity and uncertainty underpinning the scientific </w:t>
      </w:r>
      <w:r w:rsidRPr="002C4CC5">
        <w:rPr>
          <w:color w:val="000000" w:themeColor="text1"/>
        </w:rPr>
        <w:t xml:space="preserve">environmental </w:t>
      </w:r>
      <w:r w:rsidR="00D20D34" w:rsidRPr="002C4CC5">
        <w:rPr>
          <w:color w:val="000000" w:themeColor="text1"/>
        </w:rPr>
        <w:t>evidence presented in court</w:t>
      </w:r>
      <w:r w:rsidR="00A86C3D" w:rsidRPr="002C4CC5">
        <w:rPr>
          <w:color w:val="000000" w:themeColor="text1"/>
        </w:rPr>
        <w:t xml:space="preserve">. The Supreme Court was </w:t>
      </w:r>
      <w:r w:rsidR="00B31917" w:rsidRPr="002C4CC5">
        <w:rPr>
          <w:color w:val="000000" w:themeColor="text1"/>
        </w:rPr>
        <w:t>conscious</w:t>
      </w:r>
      <w:r w:rsidR="00A86C3D" w:rsidRPr="002C4CC5">
        <w:rPr>
          <w:color w:val="000000" w:themeColor="text1"/>
        </w:rPr>
        <w:t xml:space="preserve"> that complete scientific certainty is the exception, not the norm. Uncertainty, resulting from inadequate data, ignorance and indeterminacy, is inherent in science.</w:t>
      </w:r>
      <w:r w:rsidR="004934DF" w:rsidRPr="002C4CC5">
        <w:rPr>
          <w:rStyle w:val="FootnoteReference"/>
          <w:color w:val="000000" w:themeColor="text1"/>
        </w:rPr>
        <w:footnoteReference w:id="72"/>
      </w:r>
      <w:r w:rsidR="00A86C3D" w:rsidRPr="002C4CC5">
        <w:rPr>
          <w:color w:val="000000" w:themeColor="text1"/>
        </w:rPr>
        <w:t xml:space="preserve"> The Court was aware of the scientific limitations of the judiciary in environmental cases where science should undertake a key function. The involvement of independent qualified scientists sitting as equals with judicial members would go some way to ameliorate the above concerns.</w:t>
      </w:r>
      <w:r w:rsidR="00703E67" w:rsidRPr="002C4CC5">
        <w:rPr>
          <w:color w:val="000000" w:themeColor="text1"/>
        </w:rPr>
        <w:t xml:space="preserve"> S</w:t>
      </w:r>
      <w:r w:rsidR="00AE2F5B" w:rsidRPr="002C4CC5">
        <w:rPr>
          <w:color w:val="000000" w:themeColor="text1"/>
        </w:rPr>
        <w:t>econd</w:t>
      </w:r>
      <w:r w:rsidR="00B31917" w:rsidRPr="002C4CC5">
        <w:rPr>
          <w:color w:val="000000" w:themeColor="text1"/>
        </w:rPr>
        <w:t xml:space="preserve"> there is</w:t>
      </w:r>
      <w:r w:rsidRPr="002C4CC5">
        <w:rPr>
          <w:color w:val="000000" w:themeColor="text1"/>
        </w:rPr>
        <w:t xml:space="preserve"> an ossified</w:t>
      </w:r>
      <w:r w:rsidR="00AE2F5B" w:rsidRPr="002C4CC5">
        <w:rPr>
          <w:color w:val="000000" w:themeColor="text1"/>
        </w:rPr>
        <w:t xml:space="preserve"> litigious legal system that challenges and possibly surpasses</w:t>
      </w:r>
      <w:r w:rsidR="00C56002" w:rsidRPr="002C4CC5">
        <w:rPr>
          <w:color w:val="000000" w:themeColor="text1"/>
        </w:rPr>
        <w:t xml:space="preserve"> the court delays described in</w:t>
      </w:r>
      <w:r w:rsidR="00A77DBF" w:rsidRPr="002C4CC5">
        <w:rPr>
          <w:color w:val="000000" w:themeColor="text1"/>
        </w:rPr>
        <w:t xml:space="preserve"> Jardine v Jardine in Dicken's “Bleak House”</w:t>
      </w:r>
      <w:r w:rsidR="00AE2F5B" w:rsidRPr="002C4CC5">
        <w:rPr>
          <w:color w:val="000000" w:themeColor="text1"/>
        </w:rPr>
        <w:t xml:space="preserve">. </w:t>
      </w:r>
      <w:r w:rsidR="001717A9" w:rsidRPr="002C4CC5">
        <w:rPr>
          <w:color w:val="000000" w:themeColor="text1"/>
        </w:rPr>
        <w:t>Delay is not a recent phenomenon and can be traced back to the time of the Raj. It is a result of court clogging, adjournments, missing papers, absent witnesses and conscious delaying tactics by both lawyers and the parties.</w:t>
      </w:r>
      <w:r w:rsidR="00E7135E" w:rsidRPr="002C4CC5">
        <w:rPr>
          <w:rStyle w:val="FootnoteReference"/>
          <w:color w:val="000000" w:themeColor="text1"/>
        </w:rPr>
        <w:footnoteReference w:id="73"/>
      </w:r>
      <w:r w:rsidR="001717A9" w:rsidRPr="002C4CC5">
        <w:rPr>
          <w:color w:val="000000" w:themeColor="text1"/>
        </w:rPr>
        <w:t xml:space="preserve"> </w:t>
      </w:r>
    </w:p>
    <w:p w14:paraId="3882E7C2" w14:textId="6094F072" w:rsidR="00AF3333" w:rsidRPr="002C4CC5" w:rsidRDefault="00D20D34" w:rsidP="002C4CC5">
      <w:pPr>
        <w:widowControl w:val="0"/>
        <w:autoSpaceDE w:val="0"/>
        <w:autoSpaceDN w:val="0"/>
        <w:adjustRightInd w:val="0"/>
        <w:spacing w:after="240" w:line="360" w:lineRule="auto"/>
        <w:rPr>
          <w:color w:val="000000" w:themeColor="text1"/>
        </w:rPr>
      </w:pPr>
      <w:r w:rsidRPr="002C4CC5">
        <w:rPr>
          <w:color w:val="000000" w:themeColor="text1"/>
        </w:rPr>
        <w:t xml:space="preserve"> </w:t>
      </w:r>
      <w:r w:rsidR="00F47291" w:rsidRPr="002C4CC5">
        <w:rPr>
          <w:color w:val="000000" w:themeColor="text1"/>
        </w:rPr>
        <w:t>In</w:t>
      </w:r>
      <w:r w:rsidR="00B71592" w:rsidRPr="002C4CC5">
        <w:rPr>
          <w:color w:val="000000" w:themeColor="text1"/>
        </w:rPr>
        <w:t xml:space="preserve"> </w:t>
      </w:r>
      <w:r w:rsidR="00AF3333" w:rsidRPr="002C4CC5">
        <w:rPr>
          <w:i/>
          <w:iCs/>
          <w:color w:val="000000" w:themeColor="text1"/>
        </w:rPr>
        <w:t>M C Mehta v Union of India</w:t>
      </w:r>
      <w:r w:rsidR="00990D1D" w:rsidRPr="002C4CC5">
        <w:rPr>
          <w:rStyle w:val="FootnoteReference"/>
          <w:i/>
          <w:iCs/>
          <w:color w:val="000000" w:themeColor="text1"/>
        </w:rPr>
        <w:footnoteReference w:id="74"/>
      </w:r>
      <w:r w:rsidR="00AF3333" w:rsidRPr="002C4CC5">
        <w:rPr>
          <w:i/>
          <w:iCs/>
          <w:color w:val="000000" w:themeColor="text1"/>
        </w:rPr>
        <w:t xml:space="preserve"> </w:t>
      </w:r>
      <w:r w:rsidR="00AF3333" w:rsidRPr="002C4CC5">
        <w:rPr>
          <w:color w:val="000000" w:themeColor="text1"/>
        </w:rPr>
        <w:t xml:space="preserve">the </w:t>
      </w:r>
      <w:r w:rsidR="00F47291" w:rsidRPr="002C4CC5">
        <w:rPr>
          <w:color w:val="000000" w:themeColor="text1"/>
        </w:rPr>
        <w:t xml:space="preserve">Supreme Court </w:t>
      </w:r>
      <w:r w:rsidR="00AF3333" w:rsidRPr="002C4CC5">
        <w:rPr>
          <w:color w:val="000000" w:themeColor="text1"/>
        </w:rPr>
        <w:t xml:space="preserve">advocated the establishment of environmental courts, stating: </w:t>
      </w:r>
    </w:p>
    <w:p w14:paraId="253AFE77" w14:textId="5D0B70E9" w:rsidR="001811E7" w:rsidRPr="003F71D9" w:rsidRDefault="00AF3333"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...we would also suggest to the Government of India that since cases involving issues of environmental pollution,</w:t>
      </w:r>
      <w:r w:rsidR="001811E7" w:rsidRPr="003F71D9">
        <w:rPr>
          <w:color w:val="000000" w:themeColor="text1"/>
          <w:sz w:val="20"/>
          <w:szCs w:val="20"/>
        </w:rPr>
        <w:t xml:space="preserve"> ecological destruction and confl</w:t>
      </w:r>
      <w:r w:rsidRPr="003F71D9">
        <w:rPr>
          <w:color w:val="000000" w:themeColor="text1"/>
          <w:sz w:val="20"/>
          <w:szCs w:val="20"/>
        </w:rPr>
        <w:t>icts over national resources are increasingly coming up for adjudication and these cases involve assessment an</w:t>
      </w:r>
      <w:r w:rsidR="00CD5BF8" w:rsidRPr="003F71D9">
        <w:rPr>
          <w:color w:val="000000" w:themeColor="text1"/>
          <w:sz w:val="20"/>
          <w:szCs w:val="20"/>
        </w:rPr>
        <w:t>d evolution of scientifi</w:t>
      </w:r>
      <w:r w:rsidRPr="003F71D9">
        <w:rPr>
          <w:color w:val="000000" w:themeColor="text1"/>
          <w:sz w:val="20"/>
          <w:szCs w:val="20"/>
        </w:rPr>
        <w:t>c and technical data, it might be desirable to set up environment courts on a regional basis with one professional judge and two experts, keeping in view the expertise required for such adjudication. There would be a right to appeal to this court from the decision of the environment court.</w:t>
      </w:r>
      <w:r w:rsidR="00990D1D" w:rsidRPr="003F71D9">
        <w:rPr>
          <w:sz w:val="20"/>
          <w:szCs w:val="20"/>
          <w:vertAlign w:val="superscript"/>
        </w:rPr>
        <w:footnoteReference w:id="75"/>
      </w:r>
      <w:r w:rsidRPr="003F71D9">
        <w:rPr>
          <w:color w:val="000000" w:themeColor="text1"/>
          <w:sz w:val="20"/>
          <w:szCs w:val="20"/>
        </w:rPr>
        <w:t xml:space="preserve"> </w:t>
      </w:r>
      <w:r w:rsidR="00F06553" w:rsidRPr="003F71D9">
        <w:rPr>
          <w:color w:val="000000" w:themeColor="text1"/>
          <w:sz w:val="20"/>
          <w:szCs w:val="20"/>
        </w:rPr>
        <w:t>(</w:t>
      </w:r>
      <w:r w:rsidR="001811E7" w:rsidRPr="003F71D9">
        <w:rPr>
          <w:color w:val="000000" w:themeColor="text1"/>
          <w:sz w:val="20"/>
          <w:szCs w:val="20"/>
        </w:rPr>
        <w:t xml:space="preserve">emphasis added) </w:t>
      </w:r>
    </w:p>
    <w:p w14:paraId="7D11F4AB" w14:textId="097E2B8E" w:rsidR="00B24BCD" w:rsidRPr="002C4CC5" w:rsidRDefault="00092813" w:rsidP="002C4CC5">
      <w:pPr>
        <w:widowControl w:val="0"/>
        <w:autoSpaceDE w:val="0"/>
        <w:autoSpaceDN w:val="0"/>
        <w:adjustRightInd w:val="0"/>
        <w:spacing w:after="240" w:line="360" w:lineRule="auto"/>
        <w:rPr>
          <w:rFonts w:eastAsia="MS Mincho"/>
          <w:color w:val="000000" w:themeColor="text1"/>
        </w:rPr>
      </w:pPr>
      <w:r w:rsidRPr="002C4CC5">
        <w:rPr>
          <w:color w:val="000000" w:themeColor="text1"/>
        </w:rPr>
        <w:t xml:space="preserve">The </w:t>
      </w:r>
      <w:r w:rsidR="00BD0FAA" w:rsidRPr="002C4CC5">
        <w:rPr>
          <w:color w:val="000000" w:themeColor="text1"/>
        </w:rPr>
        <w:t xml:space="preserve">proposal to establish </w:t>
      </w:r>
      <w:r w:rsidRPr="002C4CC5">
        <w:rPr>
          <w:color w:val="000000" w:themeColor="text1"/>
        </w:rPr>
        <w:t>environm</w:t>
      </w:r>
      <w:r w:rsidR="00A37422" w:rsidRPr="002C4CC5">
        <w:rPr>
          <w:color w:val="000000" w:themeColor="text1"/>
        </w:rPr>
        <w:t xml:space="preserve">ental courts was supported </w:t>
      </w:r>
      <w:r w:rsidR="002D3A85" w:rsidRPr="002C4CC5">
        <w:rPr>
          <w:color w:val="000000" w:themeColor="text1"/>
        </w:rPr>
        <w:t xml:space="preserve">by </w:t>
      </w:r>
      <w:r w:rsidR="00A37422" w:rsidRPr="002C4CC5">
        <w:rPr>
          <w:color w:val="000000" w:themeColor="text1"/>
        </w:rPr>
        <w:t xml:space="preserve">two subsequent cases, </w:t>
      </w:r>
      <w:r w:rsidR="00A37422" w:rsidRPr="002C4CC5">
        <w:rPr>
          <w:i/>
          <w:iCs/>
          <w:color w:val="000000" w:themeColor="text1"/>
        </w:rPr>
        <w:t>Indian Council for Enviro- Legal Action v Union of India</w:t>
      </w:r>
      <w:r w:rsidR="00990D1D" w:rsidRPr="002C4CC5">
        <w:rPr>
          <w:rStyle w:val="FootnoteReference"/>
          <w:i/>
          <w:iCs/>
          <w:color w:val="000000" w:themeColor="text1"/>
        </w:rPr>
        <w:footnoteReference w:id="76"/>
      </w:r>
      <w:r w:rsidR="00BD0FAA" w:rsidRPr="002C4CC5">
        <w:rPr>
          <w:i/>
          <w:iCs/>
          <w:color w:val="000000" w:themeColor="text1"/>
        </w:rPr>
        <w:t xml:space="preserve"> </w:t>
      </w:r>
      <w:r w:rsidR="00A37422" w:rsidRPr="002C4CC5">
        <w:rPr>
          <w:color w:val="000000" w:themeColor="text1"/>
        </w:rPr>
        <w:t xml:space="preserve">and </w:t>
      </w:r>
      <w:r w:rsidRPr="002C4CC5">
        <w:rPr>
          <w:i/>
          <w:iCs/>
          <w:color w:val="000000" w:themeColor="text1"/>
        </w:rPr>
        <w:t>AP Pollution Control Board v M V Nayud</w:t>
      </w:r>
      <w:r w:rsidR="00745DCD" w:rsidRPr="002C4CC5">
        <w:rPr>
          <w:i/>
          <w:iCs/>
          <w:color w:val="000000" w:themeColor="text1"/>
        </w:rPr>
        <w:t>u.</w:t>
      </w:r>
      <w:r w:rsidR="00990D1D" w:rsidRPr="002C4CC5">
        <w:rPr>
          <w:rStyle w:val="FootnoteReference"/>
          <w:i/>
          <w:iCs/>
          <w:color w:val="000000" w:themeColor="text1"/>
        </w:rPr>
        <w:footnoteReference w:id="77"/>
      </w:r>
      <w:r w:rsidR="00BD0FAA" w:rsidRPr="002C4CC5">
        <w:rPr>
          <w:i/>
          <w:iCs/>
          <w:color w:val="000000" w:themeColor="text1"/>
        </w:rPr>
        <w:t xml:space="preserve"> </w:t>
      </w:r>
      <w:r w:rsidR="00A37422" w:rsidRPr="002C4CC5">
        <w:rPr>
          <w:color w:val="000000" w:themeColor="text1"/>
        </w:rPr>
        <w:t>T</w:t>
      </w:r>
      <w:r w:rsidRPr="002C4CC5">
        <w:rPr>
          <w:color w:val="000000" w:themeColor="text1"/>
        </w:rPr>
        <w:t xml:space="preserve">he court </w:t>
      </w:r>
      <w:r w:rsidR="00BD0FAA" w:rsidRPr="002C4CC5">
        <w:rPr>
          <w:color w:val="000000" w:themeColor="text1"/>
        </w:rPr>
        <w:t>suggested</w:t>
      </w:r>
      <w:r w:rsidR="00B24BCD" w:rsidRPr="002C4CC5">
        <w:rPr>
          <w:color w:val="000000" w:themeColor="text1"/>
        </w:rPr>
        <w:t xml:space="preserve"> an environmental court would benefit from</w:t>
      </w:r>
      <w:r w:rsidR="00D2221E" w:rsidRPr="002C4CC5">
        <w:rPr>
          <w:color w:val="000000" w:themeColor="text1"/>
        </w:rPr>
        <w:t xml:space="preserve"> the</w:t>
      </w:r>
      <w:r w:rsidR="00B24BCD" w:rsidRPr="002C4CC5">
        <w:rPr>
          <w:color w:val="000000" w:themeColor="text1"/>
        </w:rPr>
        <w:t xml:space="preserve"> expert advice </w:t>
      </w:r>
      <w:r w:rsidR="00D2221E" w:rsidRPr="002C4CC5">
        <w:rPr>
          <w:color w:val="000000" w:themeColor="text1"/>
        </w:rPr>
        <w:t>of</w:t>
      </w:r>
      <w:r w:rsidR="00B24BCD" w:rsidRPr="002C4CC5">
        <w:rPr>
          <w:color w:val="000000" w:themeColor="text1"/>
        </w:rPr>
        <w:t xml:space="preserve"> environmental scientists and technically qualified persons as part of the judicial process. </w:t>
      </w:r>
      <w:r w:rsidR="00D2221E" w:rsidRPr="002C4CC5">
        <w:rPr>
          <w:color w:val="000000" w:themeColor="text1"/>
        </w:rPr>
        <w:t>There was a</w:t>
      </w:r>
      <w:r w:rsidR="006405B7" w:rsidRPr="002C4CC5">
        <w:rPr>
          <w:color w:val="000000" w:themeColor="text1"/>
        </w:rPr>
        <w:t xml:space="preserve"> further</w:t>
      </w:r>
      <w:r w:rsidR="00D2221E" w:rsidRPr="002C4CC5">
        <w:rPr>
          <w:color w:val="000000" w:themeColor="text1"/>
        </w:rPr>
        <w:t xml:space="preserve"> recommendation </w:t>
      </w:r>
      <w:r w:rsidR="00B24BCD" w:rsidRPr="002C4CC5">
        <w:rPr>
          <w:color w:val="000000" w:themeColor="text1"/>
        </w:rPr>
        <w:t>that the Law Commission of</w:t>
      </w:r>
      <w:r w:rsidR="001677D2" w:rsidRPr="002C4CC5">
        <w:rPr>
          <w:color w:val="000000" w:themeColor="text1"/>
        </w:rPr>
        <w:t xml:space="preserve"> </w:t>
      </w:r>
      <w:r w:rsidR="00B24BCD" w:rsidRPr="002C4CC5">
        <w:rPr>
          <w:color w:val="000000" w:themeColor="text1"/>
        </w:rPr>
        <w:t>India should examine the matter</w:t>
      </w:r>
      <w:r w:rsidR="006405B7" w:rsidRPr="002C4CC5">
        <w:rPr>
          <w:color w:val="000000" w:themeColor="text1"/>
        </w:rPr>
        <w:t xml:space="preserve"> of establishing an environmental court</w:t>
      </w:r>
      <w:r w:rsidR="002C4CC5">
        <w:rPr>
          <w:color w:val="000000" w:themeColor="text1"/>
        </w:rPr>
        <w:t>.</w:t>
      </w:r>
    </w:p>
    <w:p w14:paraId="5BA900E1" w14:textId="1D0CC126" w:rsidR="00537A2D" w:rsidRPr="002C4CC5" w:rsidRDefault="007413EA" w:rsidP="002C4CC5">
      <w:pPr>
        <w:widowControl w:val="0"/>
        <w:autoSpaceDE w:val="0"/>
        <w:autoSpaceDN w:val="0"/>
        <w:adjustRightInd w:val="0"/>
        <w:spacing w:after="240" w:line="360" w:lineRule="auto"/>
        <w:rPr>
          <w:color w:val="000000" w:themeColor="text1"/>
        </w:rPr>
      </w:pPr>
      <w:r w:rsidRPr="002C4CC5">
        <w:rPr>
          <w:rFonts w:eastAsia="MS Mincho"/>
          <w:color w:val="000000" w:themeColor="text1"/>
        </w:rPr>
        <w:t xml:space="preserve">In </w:t>
      </w:r>
      <w:r w:rsidR="006B77FA" w:rsidRPr="002C4CC5">
        <w:rPr>
          <w:rFonts w:eastAsia="MS Mincho"/>
          <w:color w:val="000000" w:themeColor="text1"/>
        </w:rPr>
        <w:t xml:space="preserve">the </w:t>
      </w:r>
      <w:r w:rsidR="006B77FA" w:rsidRPr="002C4CC5">
        <w:rPr>
          <w:rFonts w:eastAsia="MS Mincho"/>
          <w:i/>
          <w:color w:val="000000" w:themeColor="text1"/>
        </w:rPr>
        <w:t>Indian Counci</w:t>
      </w:r>
      <w:r w:rsidR="00D3315D" w:rsidRPr="002C4CC5">
        <w:rPr>
          <w:rFonts w:eastAsia="MS Mincho"/>
          <w:i/>
          <w:color w:val="000000" w:themeColor="text1"/>
        </w:rPr>
        <w:t>l for Enviro-Legal Action</w:t>
      </w:r>
      <w:r w:rsidR="00D3315D" w:rsidRPr="002C4CC5">
        <w:rPr>
          <w:rFonts w:eastAsia="MS Mincho"/>
          <w:color w:val="000000" w:themeColor="text1"/>
        </w:rPr>
        <w:t xml:space="preserve"> case</w:t>
      </w:r>
      <w:r w:rsidR="00990D1D" w:rsidRPr="002C4CC5">
        <w:rPr>
          <w:rStyle w:val="FootnoteReference"/>
          <w:rFonts w:eastAsia="MS Mincho"/>
          <w:color w:val="000000" w:themeColor="text1"/>
        </w:rPr>
        <w:footnoteReference w:id="78"/>
      </w:r>
      <w:r w:rsidR="007645C9" w:rsidRPr="002C4CC5">
        <w:rPr>
          <w:rFonts w:eastAsia="MS Mincho"/>
          <w:color w:val="000000" w:themeColor="text1"/>
        </w:rPr>
        <w:t xml:space="preserve"> </w:t>
      </w:r>
      <w:r w:rsidR="006B77FA" w:rsidRPr="002C4CC5">
        <w:rPr>
          <w:rFonts w:eastAsia="MS Mincho"/>
          <w:color w:val="000000" w:themeColor="text1"/>
        </w:rPr>
        <w:t>the Supreme Court</w:t>
      </w:r>
      <w:r w:rsidR="00391146" w:rsidRPr="002C4CC5">
        <w:rPr>
          <w:rFonts w:eastAsia="MS Mincho"/>
          <w:color w:val="000000" w:themeColor="text1"/>
        </w:rPr>
        <w:t xml:space="preserve"> </w:t>
      </w:r>
      <w:r w:rsidR="00AA0497" w:rsidRPr="002C4CC5">
        <w:rPr>
          <w:rFonts w:eastAsia="MS Mincho"/>
          <w:color w:val="000000" w:themeColor="text1"/>
        </w:rPr>
        <w:t xml:space="preserve">highlighted the issue </w:t>
      </w:r>
      <w:r w:rsidR="006405B7" w:rsidRPr="002C4CC5">
        <w:rPr>
          <w:rFonts w:eastAsia="MS Mincho"/>
          <w:color w:val="000000" w:themeColor="text1"/>
        </w:rPr>
        <w:t>of</w:t>
      </w:r>
      <w:r w:rsidR="00767FC5" w:rsidRPr="002C4CC5">
        <w:rPr>
          <w:rFonts w:eastAsia="MS Mincho"/>
          <w:color w:val="000000" w:themeColor="text1"/>
        </w:rPr>
        <w:t xml:space="preserve"> delay</w:t>
      </w:r>
      <w:r w:rsidR="007645C9" w:rsidRPr="002C4CC5">
        <w:rPr>
          <w:rFonts w:eastAsia="MS Mincho"/>
          <w:color w:val="000000" w:themeColor="text1"/>
        </w:rPr>
        <w:t xml:space="preserve">. </w:t>
      </w:r>
      <w:r w:rsidR="00592397" w:rsidRPr="002C4CC5">
        <w:rPr>
          <w:color w:val="000000" w:themeColor="text1"/>
        </w:rPr>
        <w:t>C</w:t>
      </w:r>
      <w:r w:rsidR="00EA1FF3" w:rsidRPr="002C4CC5">
        <w:rPr>
          <w:color w:val="000000" w:themeColor="text1"/>
        </w:rPr>
        <w:t>ases are</w:t>
      </w:r>
      <w:r w:rsidR="009E6C4F" w:rsidRPr="002C4CC5">
        <w:rPr>
          <w:color w:val="000000" w:themeColor="text1"/>
        </w:rPr>
        <w:t xml:space="preserve"> lodged within a system </w:t>
      </w:r>
      <w:r w:rsidR="00EA1FF3" w:rsidRPr="002C4CC5">
        <w:rPr>
          <w:color w:val="000000" w:themeColor="text1"/>
        </w:rPr>
        <w:t xml:space="preserve">already groaning under the weight of its case load. </w:t>
      </w:r>
      <w:r w:rsidR="00537A2D" w:rsidRPr="002C4CC5">
        <w:rPr>
          <w:color w:val="000000" w:themeColor="text1"/>
        </w:rPr>
        <w:t>The court</w:t>
      </w:r>
      <w:r w:rsidR="00C9495C" w:rsidRPr="002C4CC5">
        <w:rPr>
          <w:color w:val="000000" w:themeColor="text1"/>
        </w:rPr>
        <w:t>, aware of the</w:t>
      </w:r>
      <w:r w:rsidR="00A15508" w:rsidRPr="002C4CC5">
        <w:rPr>
          <w:color w:val="000000" w:themeColor="text1"/>
        </w:rPr>
        <w:t xml:space="preserve"> existence of</w:t>
      </w:r>
      <w:r w:rsidR="00C9495C" w:rsidRPr="002C4CC5">
        <w:rPr>
          <w:color w:val="000000" w:themeColor="text1"/>
        </w:rPr>
        <w:t xml:space="preserve"> other specialised tribunals</w:t>
      </w:r>
      <w:r w:rsidR="008A2E35" w:rsidRPr="002C4CC5">
        <w:rPr>
          <w:color w:val="000000" w:themeColor="text1"/>
        </w:rPr>
        <w:t>, for example in consumer protection law,</w:t>
      </w:r>
      <w:r w:rsidR="00537A2D" w:rsidRPr="002C4CC5">
        <w:rPr>
          <w:color w:val="000000" w:themeColor="text1"/>
        </w:rPr>
        <w:t xml:space="preserve"> seized the opportunity to highlight the importance of specialised environmental courts, stating: </w:t>
      </w:r>
    </w:p>
    <w:p w14:paraId="7BCE277B" w14:textId="59DBE944" w:rsidR="00537A2D" w:rsidRPr="003F71D9" w:rsidRDefault="00537A2D"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The suggestion for the establishment of environment courts is a commendable one. The experience shows that the prosecutions launched in ordinary criminal courts under the provisions of Water Act, Air Act and Environment Act never reach their conclusion either because of the workload in those courts or because there is no proper appreciation of the significance of the environment matters on the part of those in charge of conducting those cases. Moreover, any orders passed by the authorities under Water, Air or Environment Acts are immediately questioned by the industries in courts. Those proceedings take years and years to reach conclusion. Very often, interim orders are granted meanwhile which effectively disable the authorities from ensuring the implementation of their orders. All these point to the need for creating environment courts which alone should be empowered to deal with all matters, civil and criminal, relating to the environment…</w:t>
      </w:r>
      <w:r w:rsidR="00990D1D" w:rsidRPr="003F71D9">
        <w:rPr>
          <w:sz w:val="20"/>
          <w:szCs w:val="20"/>
          <w:vertAlign w:val="superscript"/>
        </w:rPr>
        <w:footnoteReference w:id="79"/>
      </w:r>
    </w:p>
    <w:p w14:paraId="0229D06A" w14:textId="18351E87" w:rsidR="001F0F57" w:rsidRPr="002C4CC5" w:rsidRDefault="00904034" w:rsidP="002C4CC5">
      <w:pPr>
        <w:widowControl w:val="0"/>
        <w:autoSpaceDE w:val="0"/>
        <w:autoSpaceDN w:val="0"/>
        <w:adjustRightInd w:val="0"/>
        <w:spacing w:after="240" w:line="360" w:lineRule="auto"/>
        <w:rPr>
          <w:i/>
          <w:color w:val="000000" w:themeColor="text1"/>
        </w:rPr>
      </w:pPr>
      <w:r w:rsidRPr="002C4CC5">
        <w:rPr>
          <w:color w:val="000000" w:themeColor="text1"/>
        </w:rPr>
        <w:t xml:space="preserve">The interventions and </w:t>
      </w:r>
      <w:r w:rsidRPr="002C4CC5">
        <w:rPr>
          <w:i/>
          <w:iCs/>
          <w:color w:val="000000" w:themeColor="text1"/>
        </w:rPr>
        <w:t xml:space="preserve">dicta </w:t>
      </w:r>
      <w:r w:rsidRPr="002C4CC5">
        <w:rPr>
          <w:color w:val="000000" w:themeColor="text1"/>
        </w:rPr>
        <w:t>by the Supreme Court during this period w</w:t>
      </w:r>
      <w:r w:rsidR="00A939C8" w:rsidRPr="002C4CC5">
        <w:rPr>
          <w:color w:val="000000" w:themeColor="text1"/>
        </w:rPr>
        <w:t>ere</w:t>
      </w:r>
      <w:r w:rsidRPr="002C4CC5">
        <w:rPr>
          <w:color w:val="000000" w:themeColor="text1"/>
        </w:rPr>
        <w:t xml:space="preserve"> also influenced by </w:t>
      </w:r>
      <w:r w:rsidR="00B1568E" w:rsidRPr="002C4CC5">
        <w:rPr>
          <w:color w:val="000000" w:themeColor="text1"/>
        </w:rPr>
        <w:t>the non-im</w:t>
      </w:r>
      <w:r w:rsidR="00061E3A" w:rsidRPr="002C4CC5">
        <w:rPr>
          <w:color w:val="000000" w:themeColor="text1"/>
        </w:rPr>
        <w:t>plementation and non-operation</w:t>
      </w:r>
      <w:r w:rsidR="00B1568E" w:rsidRPr="002C4CC5">
        <w:rPr>
          <w:color w:val="000000" w:themeColor="text1"/>
        </w:rPr>
        <w:t xml:space="preserve"> </w:t>
      </w:r>
      <w:r w:rsidR="009E6C4F" w:rsidRPr="002C4CC5">
        <w:rPr>
          <w:color w:val="000000" w:themeColor="text1"/>
        </w:rPr>
        <w:t>of two</w:t>
      </w:r>
      <w:r w:rsidR="001A62AA" w:rsidRPr="002C4CC5">
        <w:rPr>
          <w:color w:val="000000" w:themeColor="text1"/>
        </w:rPr>
        <w:t xml:space="preserve"> </w:t>
      </w:r>
      <w:r w:rsidR="001C4307" w:rsidRPr="002C4CC5">
        <w:rPr>
          <w:color w:val="000000" w:themeColor="text1"/>
        </w:rPr>
        <w:t>stat</w:t>
      </w:r>
      <w:r w:rsidR="001A62AA" w:rsidRPr="002C4CC5">
        <w:rPr>
          <w:color w:val="000000" w:themeColor="text1"/>
        </w:rPr>
        <w:t>utes</w:t>
      </w:r>
      <w:r w:rsidR="009E6C4F" w:rsidRPr="002C4CC5">
        <w:rPr>
          <w:color w:val="000000" w:themeColor="text1"/>
        </w:rPr>
        <w:t xml:space="preserve"> that </w:t>
      </w:r>
      <w:r w:rsidR="007214B9" w:rsidRPr="002C4CC5">
        <w:rPr>
          <w:color w:val="000000" w:themeColor="text1"/>
        </w:rPr>
        <w:t>support</w:t>
      </w:r>
      <w:r w:rsidR="009E6C4F" w:rsidRPr="002C4CC5">
        <w:rPr>
          <w:color w:val="000000" w:themeColor="text1"/>
        </w:rPr>
        <w:t>ed</w:t>
      </w:r>
      <w:r w:rsidR="007214B9" w:rsidRPr="002C4CC5">
        <w:rPr>
          <w:color w:val="000000" w:themeColor="text1"/>
        </w:rPr>
        <w:t xml:space="preserve"> </w:t>
      </w:r>
      <w:r w:rsidR="00D2221E" w:rsidRPr="002C4CC5">
        <w:rPr>
          <w:color w:val="000000" w:themeColor="text1"/>
        </w:rPr>
        <w:t xml:space="preserve">the </w:t>
      </w:r>
      <w:r w:rsidR="007214B9" w:rsidRPr="002C4CC5">
        <w:rPr>
          <w:color w:val="000000" w:themeColor="text1"/>
        </w:rPr>
        <w:t>creati</w:t>
      </w:r>
      <w:r w:rsidR="00D2221E" w:rsidRPr="002C4CC5">
        <w:rPr>
          <w:color w:val="000000" w:themeColor="text1"/>
        </w:rPr>
        <w:t>on of</w:t>
      </w:r>
      <w:r w:rsidR="007214B9" w:rsidRPr="002C4CC5">
        <w:rPr>
          <w:color w:val="000000" w:themeColor="text1"/>
        </w:rPr>
        <w:t xml:space="preserve"> a specialised environmental </w:t>
      </w:r>
      <w:r w:rsidR="00021CDC" w:rsidRPr="002C4CC5">
        <w:rPr>
          <w:color w:val="000000" w:themeColor="text1"/>
        </w:rPr>
        <w:t>Tribunal</w:t>
      </w:r>
      <w:r w:rsidR="007214B9" w:rsidRPr="002C4CC5">
        <w:rPr>
          <w:color w:val="000000" w:themeColor="text1"/>
        </w:rPr>
        <w:t xml:space="preserve">. These were the </w:t>
      </w:r>
      <w:r w:rsidR="001A62AA" w:rsidRPr="002C4CC5">
        <w:rPr>
          <w:color w:val="000000" w:themeColor="text1"/>
        </w:rPr>
        <w:t xml:space="preserve">National Environment </w:t>
      </w:r>
      <w:r w:rsidR="00021CDC" w:rsidRPr="002C4CC5">
        <w:rPr>
          <w:color w:val="000000" w:themeColor="text1"/>
        </w:rPr>
        <w:t>Tribunal</w:t>
      </w:r>
      <w:r w:rsidR="001A62AA" w:rsidRPr="002C4CC5">
        <w:rPr>
          <w:color w:val="000000" w:themeColor="text1"/>
        </w:rPr>
        <w:t xml:space="preserve"> (NET) Act 1995 and the National Environmental Appellate Authority (NEAA) Act 1997.</w:t>
      </w:r>
      <w:r w:rsidR="001A62AA" w:rsidRPr="002C4CC5">
        <w:rPr>
          <w:i/>
          <w:color w:val="000000" w:themeColor="text1"/>
        </w:rPr>
        <w:t xml:space="preserve">  </w:t>
      </w:r>
    </w:p>
    <w:p w14:paraId="6ABB256B" w14:textId="4859A53A" w:rsidR="001F0F57" w:rsidRPr="002C4CC5" w:rsidRDefault="00860E99" w:rsidP="002C4CC5">
      <w:pPr>
        <w:widowControl w:val="0"/>
        <w:autoSpaceDE w:val="0"/>
        <w:autoSpaceDN w:val="0"/>
        <w:adjustRightInd w:val="0"/>
        <w:spacing w:after="240" w:line="360" w:lineRule="auto"/>
        <w:rPr>
          <w:rFonts w:eastAsia="MS Mincho"/>
          <w:i/>
          <w:color w:val="000000" w:themeColor="text1"/>
        </w:rPr>
      </w:pPr>
      <w:r w:rsidRPr="002C4CC5">
        <w:rPr>
          <w:color w:val="000000" w:themeColor="text1"/>
        </w:rPr>
        <w:t>The NET Act 1995</w:t>
      </w:r>
      <w:r w:rsidR="000E2E25" w:rsidRPr="002C4CC5">
        <w:rPr>
          <w:color w:val="000000" w:themeColor="text1"/>
        </w:rPr>
        <w:t xml:space="preserve"> provided strict liability for damages arising out of any accident occurring while handling any hazardous substance and for the establishment of a </w:t>
      </w:r>
      <w:r w:rsidR="00021CDC" w:rsidRPr="002C4CC5">
        <w:rPr>
          <w:color w:val="000000" w:themeColor="text1"/>
        </w:rPr>
        <w:t>Tribunal</w:t>
      </w:r>
      <w:r w:rsidR="000E2E25" w:rsidRPr="002C4CC5">
        <w:rPr>
          <w:color w:val="000000" w:themeColor="text1"/>
        </w:rPr>
        <w:t xml:space="preserve"> for effective and expeditious disposal of ca</w:t>
      </w:r>
      <w:r w:rsidR="00C35342" w:rsidRPr="002C4CC5">
        <w:rPr>
          <w:color w:val="000000" w:themeColor="text1"/>
        </w:rPr>
        <w:t>ses arising from such accidents</w:t>
      </w:r>
      <w:r w:rsidR="000E2E25" w:rsidRPr="002C4CC5">
        <w:rPr>
          <w:color w:val="000000" w:themeColor="text1"/>
        </w:rPr>
        <w:t xml:space="preserve"> with a view to giving relief and compensation for damages to person, property and the environment. </w:t>
      </w:r>
      <w:r w:rsidR="005066F0" w:rsidRPr="002C4CC5">
        <w:rPr>
          <w:color w:val="000000" w:themeColor="text1"/>
        </w:rPr>
        <w:t xml:space="preserve">The composition of the </w:t>
      </w:r>
      <w:r w:rsidR="00021CDC" w:rsidRPr="002C4CC5">
        <w:rPr>
          <w:color w:val="000000" w:themeColor="text1"/>
        </w:rPr>
        <w:t>Tribunal</w:t>
      </w:r>
      <w:r w:rsidR="005066F0" w:rsidRPr="002C4CC5">
        <w:rPr>
          <w:color w:val="000000" w:themeColor="text1"/>
        </w:rPr>
        <w:t xml:space="preserve"> consisted of a chairperson with membership including vice-chairpersons, judicial members and technical members as the central government deemed</w:t>
      </w:r>
      <w:r w:rsidR="005066F0" w:rsidRPr="002C4CC5">
        <w:rPr>
          <w:i/>
          <w:color w:val="000000" w:themeColor="text1"/>
        </w:rPr>
        <w:t xml:space="preserve"> </w:t>
      </w:r>
      <w:r w:rsidR="005066F0" w:rsidRPr="002C4CC5">
        <w:rPr>
          <w:color w:val="000000" w:themeColor="text1"/>
        </w:rPr>
        <w:t xml:space="preserve">fit. </w:t>
      </w:r>
      <w:r w:rsidR="001F0F57" w:rsidRPr="002C4CC5">
        <w:rPr>
          <w:color w:val="000000" w:themeColor="text1"/>
        </w:rPr>
        <w:t>Unfo</w:t>
      </w:r>
      <w:r w:rsidR="009268F8" w:rsidRPr="002C4CC5">
        <w:rPr>
          <w:color w:val="000000" w:themeColor="text1"/>
        </w:rPr>
        <w:t>rtunately, it was not notified “</w:t>
      </w:r>
      <w:r w:rsidR="001F0F57" w:rsidRPr="002C4CC5">
        <w:rPr>
          <w:color w:val="000000" w:themeColor="text1"/>
        </w:rPr>
        <w:t xml:space="preserve">due to the sheer neglect and/or lack of political will to take the risk on the part of the executive to pave the way for the establishment of such a specialized environment </w:t>
      </w:r>
      <w:r w:rsidR="00021CDC" w:rsidRPr="002C4CC5">
        <w:rPr>
          <w:color w:val="000000" w:themeColor="text1"/>
        </w:rPr>
        <w:t>Tribunal</w:t>
      </w:r>
      <w:r w:rsidR="005721E8" w:rsidRPr="002C4CC5">
        <w:rPr>
          <w:color w:val="000000" w:themeColor="text1"/>
        </w:rPr>
        <w:t>.</w:t>
      </w:r>
      <w:r w:rsidR="009268F8" w:rsidRPr="002C4CC5">
        <w:rPr>
          <w:color w:val="000000" w:themeColor="text1"/>
        </w:rPr>
        <w:t>”</w:t>
      </w:r>
      <w:r w:rsidR="00990D1D" w:rsidRPr="002C4CC5">
        <w:rPr>
          <w:rStyle w:val="FootnoteReference"/>
          <w:color w:val="000000" w:themeColor="text1"/>
        </w:rPr>
        <w:footnoteReference w:id="80"/>
      </w:r>
      <w:r w:rsidR="001F0F57" w:rsidRPr="002C4CC5">
        <w:rPr>
          <w:color w:val="000000" w:themeColor="text1"/>
        </w:rPr>
        <w:t xml:space="preserve"> The environment </w:t>
      </w:r>
      <w:r w:rsidR="00021CDC" w:rsidRPr="002C4CC5">
        <w:rPr>
          <w:color w:val="000000" w:themeColor="text1"/>
        </w:rPr>
        <w:t>Tribunal</w:t>
      </w:r>
      <w:r w:rsidR="001F0F57" w:rsidRPr="002C4CC5">
        <w:rPr>
          <w:color w:val="000000" w:themeColor="text1"/>
        </w:rPr>
        <w:t xml:space="preserve"> was not constituted.</w:t>
      </w:r>
    </w:p>
    <w:p w14:paraId="493E36B0" w14:textId="3E306B23" w:rsidR="00047EE3" w:rsidRPr="002C4CC5" w:rsidRDefault="00A61B75" w:rsidP="002C4CC5">
      <w:pPr>
        <w:widowControl w:val="0"/>
        <w:autoSpaceDE w:val="0"/>
        <w:autoSpaceDN w:val="0"/>
        <w:adjustRightInd w:val="0"/>
        <w:spacing w:after="240" w:line="360" w:lineRule="auto"/>
        <w:rPr>
          <w:color w:val="000000" w:themeColor="text1"/>
        </w:rPr>
      </w:pPr>
      <w:r w:rsidRPr="002C4CC5">
        <w:rPr>
          <w:color w:val="000000" w:themeColor="text1"/>
        </w:rPr>
        <w:t>Subsequently, t</w:t>
      </w:r>
      <w:r w:rsidR="0082487B" w:rsidRPr="002C4CC5">
        <w:rPr>
          <w:color w:val="000000" w:themeColor="text1"/>
        </w:rPr>
        <w:t>he NEAA</w:t>
      </w:r>
      <w:r w:rsidR="00B720B9" w:rsidRPr="002C4CC5">
        <w:rPr>
          <w:color w:val="000000" w:themeColor="text1"/>
        </w:rPr>
        <w:t xml:space="preserve"> Act 1997 provided for the establishment of the NEAA to hear</w:t>
      </w:r>
      <w:r w:rsidR="0082487B" w:rsidRPr="002C4CC5">
        <w:rPr>
          <w:color w:val="000000" w:themeColor="text1"/>
        </w:rPr>
        <w:t xml:space="preserve"> appeals with respect to restric</w:t>
      </w:r>
      <w:r w:rsidR="00B720B9" w:rsidRPr="002C4CC5">
        <w:rPr>
          <w:color w:val="000000" w:themeColor="text1"/>
        </w:rPr>
        <w:t>tion of areas in which any industries, operations or processes shall be carried out or not subject to safeguards under the Environmental (Protection) Act 1986. Expertise or experience in administrative, legal, management or technical aspects of problems relating to environmental management law</w:t>
      </w:r>
      <w:r w:rsidR="006405B7" w:rsidRPr="002C4CC5">
        <w:rPr>
          <w:color w:val="000000" w:themeColor="text1"/>
        </w:rPr>
        <w:t>,</w:t>
      </w:r>
      <w:r w:rsidR="0004174C" w:rsidRPr="002C4CC5">
        <w:rPr>
          <w:color w:val="000000" w:themeColor="text1"/>
        </w:rPr>
        <w:t xml:space="preserve"> </w:t>
      </w:r>
      <w:r w:rsidR="00B720B9" w:rsidRPr="002C4CC5">
        <w:rPr>
          <w:color w:val="000000" w:themeColor="text1"/>
        </w:rPr>
        <w:t xml:space="preserve">planning and development were </w:t>
      </w:r>
      <w:r w:rsidR="0082487B" w:rsidRPr="002C4CC5">
        <w:rPr>
          <w:color w:val="000000" w:themeColor="text1"/>
        </w:rPr>
        <w:t>essential qualifi</w:t>
      </w:r>
      <w:r w:rsidR="00B720B9" w:rsidRPr="002C4CC5">
        <w:rPr>
          <w:color w:val="000000" w:themeColor="text1"/>
        </w:rPr>
        <w:t>cations for persons to be appointed to the NEAA. The NEAA was established on 9 April 1997 to address grievance</w:t>
      </w:r>
      <w:r w:rsidR="00621FB1" w:rsidRPr="002C4CC5">
        <w:rPr>
          <w:color w:val="000000" w:themeColor="text1"/>
        </w:rPr>
        <w:t>s regarding the process of environmental clearance</w:t>
      </w:r>
      <w:r w:rsidR="00B720B9" w:rsidRPr="002C4CC5">
        <w:rPr>
          <w:color w:val="000000" w:themeColor="text1"/>
        </w:rPr>
        <w:t xml:space="preserve"> and implement the precautionary and polluter-pays principles</w:t>
      </w:r>
      <w:r w:rsidR="00237FD4" w:rsidRPr="002C4CC5">
        <w:rPr>
          <w:color w:val="000000" w:themeColor="text1"/>
        </w:rPr>
        <w:t>.</w:t>
      </w:r>
      <w:r w:rsidR="00990D1D" w:rsidRPr="002C4CC5">
        <w:rPr>
          <w:rStyle w:val="FootnoteReference"/>
          <w:color w:val="000000" w:themeColor="text1"/>
        </w:rPr>
        <w:footnoteReference w:id="81"/>
      </w:r>
      <w:r w:rsidR="00B720B9" w:rsidRPr="002C4CC5">
        <w:rPr>
          <w:color w:val="000000" w:themeColor="text1"/>
        </w:rPr>
        <w:t xml:space="preserve"> </w:t>
      </w:r>
      <w:r w:rsidR="00B720B9" w:rsidRPr="002C4CC5">
        <w:rPr>
          <w:color w:val="000000" w:themeColor="text1"/>
          <w:position w:val="10"/>
        </w:rPr>
        <w:t xml:space="preserve"> </w:t>
      </w:r>
      <w:r w:rsidR="00B720B9" w:rsidRPr="002C4CC5">
        <w:rPr>
          <w:color w:val="000000" w:themeColor="text1"/>
        </w:rPr>
        <w:t>However, the NEAA did little work because it</w:t>
      </w:r>
      <w:r w:rsidR="0082487B" w:rsidRPr="002C4CC5">
        <w:rPr>
          <w:color w:val="000000" w:themeColor="text1"/>
        </w:rPr>
        <w:t>s role was limited to the exam</w:t>
      </w:r>
      <w:r w:rsidR="00B720B9" w:rsidRPr="002C4CC5">
        <w:rPr>
          <w:color w:val="000000" w:themeColor="text1"/>
        </w:rPr>
        <w:t>in</w:t>
      </w:r>
      <w:r w:rsidR="00621FB1" w:rsidRPr="002C4CC5">
        <w:rPr>
          <w:color w:val="000000" w:themeColor="text1"/>
        </w:rPr>
        <w:t>ation of complaints regarding environmental clearance</w:t>
      </w:r>
      <w:r w:rsidR="00B720B9" w:rsidRPr="002C4CC5">
        <w:rPr>
          <w:color w:val="000000" w:themeColor="text1"/>
        </w:rPr>
        <w:t xml:space="preserve">s. After the </w:t>
      </w:r>
      <w:r w:rsidR="0082487B" w:rsidRPr="002C4CC5">
        <w:rPr>
          <w:color w:val="000000" w:themeColor="text1"/>
        </w:rPr>
        <w:t>fi</w:t>
      </w:r>
      <w:r w:rsidR="00B720B9" w:rsidRPr="002C4CC5">
        <w:rPr>
          <w:color w:val="000000" w:themeColor="text1"/>
        </w:rPr>
        <w:t xml:space="preserve">rst chairperson’s term expired no </w:t>
      </w:r>
      <w:r w:rsidR="00D84CA4" w:rsidRPr="002C4CC5">
        <w:rPr>
          <w:color w:val="000000" w:themeColor="text1"/>
        </w:rPr>
        <w:t>replacement</w:t>
      </w:r>
      <w:r w:rsidR="00B720B9" w:rsidRPr="002C4CC5">
        <w:rPr>
          <w:color w:val="000000" w:themeColor="text1"/>
        </w:rPr>
        <w:t xml:space="preserve"> appointment was made.</w:t>
      </w:r>
      <w:r w:rsidR="00417BCF" w:rsidRPr="002C4CC5">
        <w:rPr>
          <w:rStyle w:val="FootnoteReference"/>
          <w:color w:val="000000" w:themeColor="text1"/>
        </w:rPr>
        <w:footnoteReference w:id="82"/>
      </w:r>
      <w:r w:rsidR="00B720B9" w:rsidRPr="002C4CC5">
        <w:rPr>
          <w:color w:val="000000" w:themeColor="text1"/>
        </w:rPr>
        <w:t xml:space="preserve"> In </w:t>
      </w:r>
      <w:r w:rsidR="00B720B9" w:rsidRPr="002C4CC5">
        <w:rPr>
          <w:i/>
          <w:iCs/>
          <w:color w:val="000000" w:themeColor="text1"/>
        </w:rPr>
        <w:t xml:space="preserve">Vimal Bhai v Union of India </w:t>
      </w:r>
      <w:r w:rsidR="00B720B9" w:rsidRPr="002C4CC5">
        <w:rPr>
          <w:i/>
          <w:color w:val="000000" w:themeColor="text1"/>
        </w:rPr>
        <w:t>High Court of Delhi</w:t>
      </w:r>
      <w:r w:rsidR="00990D1D" w:rsidRPr="002C4CC5">
        <w:rPr>
          <w:rStyle w:val="FootnoteReference"/>
          <w:color w:val="000000" w:themeColor="text1"/>
        </w:rPr>
        <w:footnoteReference w:id="83"/>
      </w:r>
      <w:r w:rsidR="00667BF8" w:rsidRPr="002C4CC5">
        <w:rPr>
          <w:color w:val="000000" w:themeColor="text1"/>
        </w:rPr>
        <w:t xml:space="preserve"> </w:t>
      </w:r>
      <w:r w:rsidR="00B720B9" w:rsidRPr="002C4CC5">
        <w:rPr>
          <w:color w:val="000000" w:themeColor="text1"/>
        </w:rPr>
        <w:t xml:space="preserve">the court expressed concern that the government was unable to </w:t>
      </w:r>
      <w:r w:rsidR="0082487B" w:rsidRPr="002C4CC5">
        <w:rPr>
          <w:color w:val="000000" w:themeColor="text1"/>
        </w:rPr>
        <w:t>find qualifi</w:t>
      </w:r>
      <w:r w:rsidR="00B720B9" w:rsidRPr="002C4CC5">
        <w:rPr>
          <w:color w:val="000000" w:themeColor="text1"/>
        </w:rPr>
        <w:t xml:space="preserve">ed members to </w:t>
      </w:r>
      <w:r w:rsidR="0082487B" w:rsidRPr="002C4CC5">
        <w:rPr>
          <w:color w:val="000000" w:themeColor="text1"/>
        </w:rPr>
        <w:t>fi</w:t>
      </w:r>
      <w:r w:rsidR="00B720B9" w:rsidRPr="002C4CC5">
        <w:rPr>
          <w:color w:val="000000" w:themeColor="text1"/>
        </w:rPr>
        <w:t xml:space="preserve">ll positions in the NEAA. The posts of chairperson and vice-chairperson remained vacant from July 2000 until the 1997 Act was repealed by the National Green </w:t>
      </w:r>
      <w:r w:rsidR="00021CDC" w:rsidRPr="002C4CC5">
        <w:rPr>
          <w:color w:val="000000" w:themeColor="text1"/>
        </w:rPr>
        <w:t>Tribunal</w:t>
      </w:r>
      <w:r w:rsidR="00B720B9" w:rsidRPr="002C4CC5">
        <w:rPr>
          <w:color w:val="000000" w:themeColor="text1"/>
        </w:rPr>
        <w:t xml:space="preserve"> (NGT) Act 2010</w:t>
      </w:r>
      <w:r w:rsidR="00ED0711" w:rsidRPr="002C4CC5">
        <w:rPr>
          <w:color w:val="000000" w:themeColor="text1"/>
        </w:rPr>
        <w:t>.</w:t>
      </w:r>
      <w:r w:rsidR="00990D1D" w:rsidRPr="002C4CC5">
        <w:rPr>
          <w:rStyle w:val="FootnoteReference"/>
          <w:color w:val="000000" w:themeColor="text1"/>
        </w:rPr>
        <w:footnoteReference w:id="84"/>
      </w:r>
      <w:r w:rsidR="00047EE3" w:rsidRPr="002C4CC5">
        <w:rPr>
          <w:color w:val="000000" w:themeColor="text1"/>
        </w:rPr>
        <w:t xml:space="preserve"> </w:t>
      </w:r>
      <w:r w:rsidR="0082487B" w:rsidRPr="002C4CC5">
        <w:rPr>
          <w:color w:val="000000" w:themeColor="text1"/>
        </w:rPr>
        <w:t>Thus, the NEAA</w:t>
      </w:r>
      <w:r w:rsidR="00047EE3" w:rsidRPr="002C4CC5">
        <w:rPr>
          <w:color w:val="000000" w:themeColor="text1"/>
        </w:rPr>
        <w:t xml:space="preserve"> </w:t>
      </w:r>
      <w:r w:rsidR="00A939C8" w:rsidRPr="002C4CC5">
        <w:rPr>
          <w:color w:val="000000" w:themeColor="text1"/>
        </w:rPr>
        <w:t>was closed.</w:t>
      </w:r>
      <w:r w:rsidR="00047EE3" w:rsidRPr="002C4CC5">
        <w:rPr>
          <w:color w:val="000000" w:themeColor="text1"/>
        </w:rPr>
        <w:t xml:space="preserve"> </w:t>
      </w:r>
    </w:p>
    <w:p w14:paraId="56ACD6F5" w14:textId="70EE1AF4" w:rsidR="00CF6885" w:rsidRPr="002C4CC5" w:rsidRDefault="00C92EB2" w:rsidP="002C4CC5">
      <w:pPr>
        <w:widowControl w:val="0"/>
        <w:autoSpaceDE w:val="0"/>
        <w:autoSpaceDN w:val="0"/>
        <w:adjustRightInd w:val="0"/>
        <w:spacing w:after="240" w:line="360" w:lineRule="auto"/>
        <w:rPr>
          <w:color w:val="000000" w:themeColor="text1"/>
        </w:rPr>
      </w:pPr>
      <w:r w:rsidRPr="002C4CC5">
        <w:rPr>
          <w:color w:val="000000" w:themeColor="text1"/>
        </w:rPr>
        <w:t>Following the powerful observations made by the Su</w:t>
      </w:r>
      <w:r w:rsidR="00535BEF" w:rsidRPr="002C4CC5">
        <w:rPr>
          <w:color w:val="000000" w:themeColor="text1"/>
        </w:rPr>
        <w:t>preme Court, the Law Commission,</w:t>
      </w:r>
      <w:r w:rsidRPr="002C4CC5">
        <w:rPr>
          <w:color w:val="000000" w:themeColor="text1"/>
        </w:rPr>
        <w:t xml:space="preserve"> an active and influential</w:t>
      </w:r>
      <w:r w:rsidR="00535BEF" w:rsidRPr="002C4CC5">
        <w:rPr>
          <w:color w:val="000000" w:themeColor="text1"/>
        </w:rPr>
        <w:t xml:space="preserve"> participant in legal reform in India, became a strong </w:t>
      </w:r>
      <w:r w:rsidR="004B5968" w:rsidRPr="002C4CC5">
        <w:rPr>
          <w:color w:val="000000" w:themeColor="text1"/>
        </w:rPr>
        <w:t xml:space="preserve">organisational driving </w:t>
      </w:r>
      <w:r w:rsidRPr="002C4CC5">
        <w:rPr>
          <w:color w:val="000000" w:themeColor="text1"/>
        </w:rPr>
        <w:t xml:space="preserve">force </w:t>
      </w:r>
      <w:r w:rsidR="00535BEF" w:rsidRPr="002C4CC5">
        <w:rPr>
          <w:color w:val="000000" w:themeColor="text1"/>
        </w:rPr>
        <w:t>to motivate change through</w:t>
      </w:r>
      <w:r w:rsidRPr="002C4CC5">
        <w:rPr>
          <w:color w:val="000000" w:themeColor="text1"/>
        </w:rPr>
        <w:t xml:space="preserve"> the establishment of </w:t>
      </w:r>
      <w:r w:rsidR="00187BBB" w:rsidRPr="002C4CC5">
        <w:rPr>
          <w:color w:val="000000" w:themeColor="text1"/>
        </w:rPr>
        <w:t>“</w:t>
      </w:r>
      <w:r w:rsidR="00CF6885" w:rsidRPr="002C4CC5">
        <w:rPr>
          <w:color w:val="000000" w:themeColor="text1"/>
        </w:rPr>
        <w:t>Environment C</w:t>
      </w:r>
      <w:r w:rsidRPr="002C4CC5">
        <w:rPr>
          <w:color w:val="000000" w:themeColor="text1"/>
        </w:rPr>
        <w:t>ourt</w:t>
      </w:r>
      <w:r w:rsidR="00187BBB" w:rsidRPr="002C4CC5">
        <w:rPr>
          <w:color w:val="000000" w:themeColor="text1"/>
        </w:rPr>
        <w:t>s”</w:t>
      </w:r>
      <w:r w:rsidR="003463DA" w:rsidRPr="002C4CC5">
        <w:rPr>
          <w:color w:val="000000" w:themeColor="text1"/>
        </w:rPr>
        <w:t>.</w:t>
      </w:r>
      <w:r w:rsidR="00990D1D" w:rsidRPr="002C4CC5">
        <w:rPr>
          <w:rStyle w:val="FootnoteReference"/>
          <w:color w:val="000000" w:themeColor="text1"/>
        </w:rPr>
        <w:footnoteReference w:id="85"/>
      </w:r>
      <w:r w:rsidR="0059782E" w:rsidRPr="002C4CC5">
        <w:rPr>
          <w:color w:val="000000" w:themeColor="text1"/>
        </w:rPr>
        <w:t xml:space="preserve"> </w:t>
      </w:r>
      <w:r w:rsidR="003463DA" w:rsidRPr="002C4CC5">
        <w:rPr>
          <w:color w:val="000000" w:themeColor="text1"/>
        </w:rPr>
        <w:t>The Law Commission examined the questions by reviewing the technical and scientific problems that arise before courts and observed</w:t>
      </w:r>
      <w:r w:rsidR="0025078A" w:rsidRPr="002C4CC5">
        <w:rPr>
          <w:color w:val="000000" w:themeColor="text1"/>
        </w:rPr>
        <w:t xml:space="preserve"> </w:t>
      </w:r>
      <w:r w:rsidR="00243313" w:rsidRPr="002C4CC5">
        <w:rPr>
          <w:color w:val="000000" w:themeColor="text1"/>
        </w:rPr>
        <w:t>“</w:t>
      </w:r>
      <w:r w:rsidR="0025078A" w:rsidRPr="002C4CC5">
        <w:rPr>
          <w:color w:val="000000" w:themeColor="text1"/>
        </w:rPr>
        <w:t>it is clear that the opinions as to science which</w:t>
      </w:r>
      <w:r w:rsidR="003463DA" w:rsidRPr="002C4CC5">
        <w:rPr>
          <w:color w:val="000000" w:themeColor="text1"/>
        </w:rPr>
        <w:t xml:space="preserve"> may be placed before the Court keep the judge always guessing whether to accept the fears expressed by an affected party or to accept the assurances given by a polluter</w:t>
      </w:r>
      <w:r w:rsidR="0059782E" w:rsidRPr="002C4CC5">
        <w:rPr>
          <w:color w:val="000000" w:themeColor="text1"/>
        </w:rPr>
        <w:t>.</w:t>
      </w:r>
      <w:r w:rsidR="00243313" w:rsidRPr="002C4CC5">
        <w:rPr>
          <w:color w:val="000000" w:themeColor="text1"/>
        </w:rPr>
        <w:t>”</w:t>
      </w:r>
      <w:r w:rsidR="00C55273" w:rsidRPr="002C4CC5">
        <w:rPr>
          <w:rStyle w:val="FootnoteReference"/>
          <w:color w:val="000000" w:themeColor="text1"/>
        </w:rPr>
        <w:footnoteReference w:id="86"/>
      </w:r>
      <w:r w:rsidR="00CF6885" w:rsidRPr="002C4CC5">
        <w:rPr>
          <w:color w:val="000000" w:themeColor="text1"/>
        </w:rPr>
        <w:t xml:space="preserve"> The Law Commission was persuaded that, in seeking a balanced</w:t>
      </w:r>
      <w:r w:rsidR="0004174C" w:rsidRPr="002C4CC5">
        <w:rPr>
          <w:color w:val="000000" w:themeColor="text1"/>
        </w:rPr>
        <w:t>, informed</w:t>
      </w:r>
      <w:r w:rsidR="00243313" w:rsidRPr="002C4CC5">
        <w:rPr>
          <w:color w:val="000000" w:themeColor="text1"/>
        </w:rPr>
        <w:t xml:space="preserve"> decision in such cases, “</w:t>
      </w:r>
      <w:r w:rsidR="00CF6885" w:rsidRPr="002C4CC5">
        <w:rPr>
          <w:color w:val="000000" w:themeColor="text1"/>
        </w:rPr>
        <w:t>Enviro</w:t>
      </w:r>
      <w:r w:rsidR="00243313" w:rsidRPr="002C4CC5">
        <w:rPr>
          <w:color w:val="000000" w:themeColor="text1"/>
        </w:rPr>
        <w:t>nmental Courts”</w:t>
      </w:r>
      <w:r w:rsidR="00CF6885" w:rsidRPr="002C4CC5">
        <w:rPr>
          <w:color w:val="000000" w:themeColor="text1"/>
        </w:rPr>
        <w:t xml:space="preserve"> with scientific as well as legal inputs would be better placed to reach a determination. Such courts could have wide powers to make on-the-spot inspections and hear oral evidence from resident panels of environmental scientists. In addition, it was suggested that the establishment of Environmental Courts would reduce the burden on the High Courts and Supreme Court</w:t>
      </w:r>
      <w:r w:rsidR="001414AF" w:rsidRPr="002C4CC5">
        <w:rPr>
          <w:color w:val="000000" w:themeColor="text1"/>
        </w:rPr>
        <w:t xml:space="preserve"> </w:t>
      </w:r>
      <w:r w:rsidR="00CF6885" w:rsidRPr="002C4CC5">
        <w:rPr>
          <w:color w:val="000000" w:themeColor="text1"/>
        </w:rPr>
        <w:t>often i</w:t>
      </w:r>
      <w:r w:rsidR="001414AF" w:rsidRPr="002C4CC5">
        <w:rPr>
          <w:color w:val="000000" w:themeColor="text1"/>
        </w:rPr>
        <w:t>nvolving complex and techni</w:t>
      </w:r>
      <w:r w:rsidR="00CF6885" w:rsidRPr="002C4CC5">
        <w:rPr>
          <w:color w:val="000000" w:themeColor="text1"/>
        </w:rPr>
        <w:t>cal environmental issues</w:t>
      </w:r>
      <w:r w:rsidR="00EB3978" w:rsidRPr="002C4CC5">
        <w:rPr>
          <w:color w:val="000000" w:themeColor="text1"/>
        </w:rPr>
        <w:t xml:space="preserve"> thereby providing accessible and speedy justice</w:t>
      </w:r>
      <w:r w:rsidR="00CF6885" w:rsidRPr="002C4CC5">
        <w:rPr>
          <w:color w:val="000000" w:themeColor="text1"/>
        </w:rPr>
        <w:t>.</w:t>
      </w:r>
      <w:r w:rsidR="00C55273" w:rsidRPr="002C4CC5">
        <w:rPr>
          <w:rStyle w:val="FootnoteReference"/>
          <w:color w:val="000000" w:themeColor="text1"/>
        </w:rPr>
        <w:footnoteReference w:id="87"/>
      </w:r>
      <w:r w:rsidR="00CF6885" w:rsidRPr="002C4CC5">
        <w:rPr>
          <w:i/>
          <w:color w:val="000000" w:themeColor="text1"/>
        </w:rPr>
        <w:t xml:space="preserve"> </w:t>
      </w:r>
    </w:p>
    <w:p w14:paraId="07C18BF6" w14:textId="056BE6D8" w:rsidR="00E95764" w:rsidRPr="002C4CC5" w:rsidRDefault="00D84CA4" w:rsidP="002C4CC5">
      <w:pPr>
        <w:spacing w:line="360" w:lineRule="auto"/>
        <w:rPr>
          <w:rFonts w:eastAsia="Times New Roman"/>
          <w:color w:val="000000" w:themeColor="text1"/>
        </w:rPr>
      </w:pPr>
      <w:r w:rsidRPr="002C4CC5">
        <w:rPr>
          <w:color w:val="000000" w:themeColor="text1"/>
        </w:rPr>
        <w:t xml:space="preserve">At that </w:t>
      </w:r>
      <w:r w:rsidR="00DB6247" w:rsidRPr="002C4CC5">
        <w:rPr>
          <w:color w:val="000000" w:themeColor="text1"/>
        </w:rPr>
        <w:t>time,</w:t>
      </w:r>
      <w:r w:rsidRPr="002C4CC5">
        <w:rPr>
          <w:color w:val="000000" w:themeColor="text1"/>
        </w:rPr>
        <w:t xml:space="preserve"> </w:t>
      </w:r>
      <w:r w:rsidR="00F102B2" w:rsidRPr="002C4CC5">
        <w:rPr>
          <w:color w:val="000000" w:themeColor="text1"/>
        </w:rPr>
        <w:t>the weak</w:t>
      </w:r>
      <w:r w:rsidRPr="002C4CC5">
        <w:rPr>
          <w:color w:val="000000" w:themeColor="text1"/>
        </w:rPr>
        <w:t>er</w:t>
      </w:r>
      <w:r w:rsidR="00F102B2" w:rsidRPr="002C4CC5">
        <w:rPr>
          <w:color w:val="000000" w:themeColor="text1"/>
        </w:rPr>
        <w:t xml:space="preserve"> </w:t>
      </w:r>
      <w:r w:rsidR="00941FC4" w:rsidRPr="002C4CC5">
        <w:rPr>
          <w:color w:val="000000" w:themeColor="text1"/>
        </w:rPr>
        <w:t>“</w:t>
      </w:r>
      <w:r w:rsidR="00F102B2" w:rsidRPr="002C4CC5">
        <w:rPr>
          <w:color w:val="000000" w:themeColor="text1"/>
        </w:rPr>
        <w:t>restraining force</w:t>
      </w:r>
      <w:r w:rsidR="00941FC4" w:rsidRPr="002C4CC5">
        <w:rPr>
          <w:color w:val="000000" w:themeColor="text1"/>
        </w:rPr>
        <w:t>”</w:t>
      </w:r>
      <w:r w:rsidRPr="002C4CC5">
        <w:rPr>
          <w:color w:val="000000" w:themeColor="text1"/>
        </w:rPr>
        <w:t xml:space="preserve"> to </w:t>
      </w:r>
      <w:r w:rsidR="00CA4258" w:rsidRPr="002C4CC5">
        <w:rPr>
          <w:color w:val="000000" w:themeColor="text1"/>
        </w:rPr>
        <w:t>the Supreme Court and Law</w:t>
      </w:r>
      <w:r w:rsidRPr="002C4CC5">
        <w:rPr>
          <w:color w:val="000000" w:themeColor="text1"/>
        </w:rPr>
        <w:t xml:space="preserve"> Commission</w:t>
      </w:r>
      <w:r w:rsidR="00CA4258" w:rsidRPr="002C4CC5">
        <w:rPr>
          <w:color w:val="000000" w:themeColor="text1"/>
        </w:rPr>
        <w:t xml:space="preserve"> of India</w:t>
      </w:r>
      <w:r w:rsidR="00F102B2" w:rsidRPr="002C4CC5">
        <w:rPr>
          <w:color w:val="000000" w:themeColor="text1"/>
        </w:rPr>
        <w:t xml:space="preserve"> was the government of India</w:t>
      </w:r>
      <w:r w:rsidRPr="002C4CC5">
        <w:rPr>
          <w:color w:val="000000" w:themeColor="text1"/>
        </w:rPr>
        <w:t xml:space="preserve">. </w:t>
      </w:r>
      <w:r w:rsidR="00265A88" w:rsidRPr="002C4CC5">
        <w:rPr>
          <w:color w:val="000000" w:themeColor="text1"/>
        </w:rPr>
        <w:t xml:space="preserve"> </w:t>
      </w:r>
      <w:r w:rsidR="00CA4258" w:rsidRPr="002C4CC5">
        <w:rPr>
          <w:color w:val="000000" w:themeColor="text1"/>
        </w:rPr>
        <w:t xml:space="preserve">The government </w:t>
      </w:r>
      <w:r w:rsidR="00265A88" w:rsidRPr="002C4CC5">
        <w:rPr>
          <w:color w:val="000000" w:themeColor="text1"/>
        </w:rPr>
        <w:t xml:space="preserve">proposed a centralised </w:t>
      </w:r>
      <w:r w:rsidR="00F102B2" w:rsidRPr="002C4CC5">
        <w:rPr>
          <w:color w:val="000000" w:themeColor="text1"/>
        </w:rPr>
        <w:t>Appellate Authority based in Delhi to hear appeals</w:t>
      </w:r>
      <w:r w:rsidR="00904BF0" w:rsidRPr="002C4CC5">
        <w:rPr>
          <w:color w:val="000000" w:themeColor="text1"/>
        </w:rPr>
        <w:t xml:space="preserve"> over the</w:t>
      </w:r>
      <w:r w:rsidR="0013178A" w:rsidRPr="002C4CC5">
        <w:rPr>
          <w:color w:val="000000" w:themeColor="text1"/>
        </w:rPr>
        <w:t xml:space="preserve"> </w:t>
      </w:r>
      <w:r w:rsidR="00904BF0" w:rsidRPr="002C4CC5">
        <w:rPr>
          <w:color w:val="000000" w:themeColor="text1"/>
        </w:rPr>
        <w:t xml:space="preserve">statutory </w:t>
      </w:r>
      <w:r w:rsidR="0013178A" w:rsidRPr="002C4CC5">
        <w:rPr>
          <w:color w:val="000000" w:themeColor="text1"/>
        </w:rPr>
        <w:t>authority</w:t>
      </w:r>
      <w:r w:rsidR="00265A88" w:rsidRPr="002C4CC5">
        <w:rPr>
          <w:color w:val="000000" w:themeColor="text1"/>
        </w:rPr>
        <w:t xml:space="preserve">, namely </w:t>
      </w:r>
      <w:r w:rsidR="00265A88" w:rsidRPr="002C4CC5">
        <w:rPr>
          <w:rFonts w:eastAsia="Times New Roman"/>
          <w:color w:val="000000" w:themeColor="text1"/>
        </w:rPr>
        <w:t>Water Act, 1974, Air Act, 1981 and the Environment (Protection) Act, 1986.</w:t>
      </w:r>
      <w:r w:rsidR="00C55273" w:rsidRPr="002C4CC5">
        <w:rPr>
          <w:rStyle w:val="FootnoteReference"/>
          <w:rFonts w:eastAsia="Times New Roman"/>
          <w:color w:val="000000" w:themeColor="text1"/>
        </w:rPr>
        <w:footnoteReference w:id="88"/>
      </w:r>
      <w:r w:rsidR="00B63DFD" w:rsidRPr="002C4CC5">
        <w:rPr>
          <w:rFonts w:eastAsia="Times New Roman"/>
          <w:color w:val="000000" w:themeColor="text1"/>
        </w:rPr>
        <w:t xml:space="preserve"> </w:t>
      </w:r>
      <w:r w:rsidR="0035511E" w:rsidRPr="002C4CC5">
        <w:rPr>
          <w:rFonts w:eastAsia="Times New Roman"/>
          <w:color w:val="000000" w:themeColor="text1"/>
        </w:rPr>
        <w:t xml:space="preserve"> The proposal </w:t>
      </w:r>
      <w:r w:rsidR="00C43156" w:rsidRPr="002C4CC5">
        <w:rPr>
          <w:rFonts w:eastAsia="Times New Roman"/>
          <w:color w:val="000000" w:themeColor="text1"/>
        </w:rPr>
        <w:t xml:space="preserve">did not </w:t>
      </w:r>
      <w:r w:rsidR="00197829" w:rsidRPr="002C4CC5">
        <w:rPr>
          <w:rFonts w:eastAsia="Times New Roman"/>
          <w:color w:val="000000" w:themeColor="text1"/>
        </w:rPr>
        <w:t xml:space="preserve">contain provisions for technical or scientific inputs in the centralised Appellate Authority. </w:t>
      </w:r>
    </w:p>
    <w:p w14:paraId="370D1223" w14:textId="58F65D00" w:rsidR="00E95764" w:rsidRPr="002C4CC5" w:rsidRDefault="00E95764" w:rsidP="002C4CC5">
      <w:pPr>
        <w:spacing w:line="360" w:lineRule="auto"/>
        <w:jc w:val="center"/>
        <w:rPr>
          <w:rFonts w:eastAsia="Times New Roman"/>
          <w:color w:val="000000" w:themeColor="text1"/>
        </w:rPr>
      </w:pPr>
    </w:p>
    <w:p w14:paraId="1E904F5F" w14:textId="4356ECDB" w:rsidR="00494C8F" w:rsidRPr="002C4CC5" w:rsidRDefault="00494C8F" w:rsidP="002C4CC5">
      <w:pPr>
        <w:spacing w:line="360" w:lineRule="auto"/>
        <w:outlineLvl w:val="0"/>
        <w:rPr>
          <w:rFonts w:eastAsia="Times New Roman"/>
          <w:color w:val="000000" w:themeColor="text1"/>
        </w:rPr>
      </w:pPr>
      <w:r w:rsidRPr="002C4CC5">
        <w:rPr>
          <w:rFonts w:eastAsia="Times New Roman"/>
          <w:color w:val="000000" w:themeColor="text1"/>
        </w:rPr>
        <w:t>Figure 3 illustrates the effect of field-forces in the NGT.</w:t>
      </w:r>
    </w:p>
    <w:p w14:paraId="7DB11383" w14:textId="77777777" w:rsidR="00077C98" w:rsidRPr="002C4CC5" w:rsidRDefault="00077C98" w:rsidP="002C4CC5">
      <w:pPr>
        <w:spacing w:line="360" w:lineRule="auto"/>
        <w:rPr>
          <w:rFonts w:eastAsia="Times New Roman"/>
          <w:color w:val="000000" w:themeColor="text1"/>
        </w:rPr>
      </w:pPr>
    </w:p>
    <w:p w14:paraId="7E5A9E6A" w14:textId="59808C68" w:rsidR="00F024BC" w:rsidRPr="002C4CC5" w:rsidRDefault="00C4737D" w:rsidP="002C4CC5">
      <w:pPr>
        <w:spacing w:line="360" w:lineRule="auto"/>
        <w:jc w:val="center"/>
        <w:rPr>
          <w:rFonts w:eastAsia="Times New Roman"/>
          <w:b/>
          <w:color w:val="000000" w:themeColor="text1"/>
        </w:rPr>
      </w:pPr>
      <w:r w:rsidRPr="001D24A8">
        <w:rPr>
          <w:noProof/>
          <w:color w:val="000000" w:themeColor="text1"/>
        </w:rPr>
        <w:drawing>
          <wp:inline distT="0" distB="0" distL="0" distR="0" wp14:anchorId="33976852" wp14:editId="34483AD5">
            <wp:extent cx="5727700" cy="2585720"/>
            <wp:effectExtent l="0" t="0" r="1270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585720"/>
                    </a:xfrm>
                    <a:prstGeom prst="rect">
                      <a:avLst/>
                    </a:prstGeom>
                  </pic:spPr>
                </pic:pic>
              </a:graphicData>
            </a:graphic>
          </wp:inline>
        </w:drawing>
      </w:r>
    </w:p>
    <w:p w14:paraId="4AE0CF10" w14:textId="77777777" w:rsidR="00C55273" w:rsidRPr="002C4CC5" w:rsidRDefault="00C55273" w:rsidP="002C4CC5">
      <w:pPr>
        <w:spacing w:line="360" w:lineRule="auto"/>
        <w:rPr>
          <w:rFonts w:eastAsia="Times New Roman"/>
          <w:color w:val="000000" w:themeColor="text1"/>
        </w:rPr>
      </w:pPr>
    </w:p>
    <w:p w14:paraId="070B56D7" w14:textId="77777777" w:rsidR="006166EE" w:rsidRPr="002C4CC5" w:rsidRDefault="00041B1F" w:rsidP="002C4CC5">
      <w:pPr>
        <w:spacing w:line="360" w:lineRule="auto"/>
        <w:outlineLvl w:val="0"/>
        <w:rPr>
          <w:rFonts w:eastAsia="Times New Roman"/>
          <w:b/>
          <w:color w:val="000000" w:themeColor="text1"/>
        </w:rPr>
      </w:pPr>
      <w:r w:rsidRPr="002C4CC5">
        <w:rPr>
          <w:rFonts w:eastAsia="Times New Roman"/>
          <w:b/>
          <w:color w:val="000000" w:themeColor="text1"/>
        </w:rPr>
        <w:t>Figure 3</w:t>
      </w:r>
    </w:p>
    <w:p w14:paraId="3B071D01" w14:textId="37111B69" w:rsidR="000F3700" w:rsidRPr="002C4CC5" w:rsidRDefault="006166EE" w:rsidP="002C4CC5">
      <w:pPr>
        <w:spacing w:line="360" w:lineRule="auto"/>
        <w:outlineLvl w:val="0"/>
        <w:rPr>
          <w:rFonts w:eastAsia="Times New Roman"/>
          <w:b/>
          <w:color w:val="000000" w:themeColor="text1"/>
        </w:rPr>
      </w:pPr>
      <w:r w:rsidRPr="002C4CC5">
        <w:rPr>
          <w:rFonts w:eastAsia="Times New Roman"/>
          <w:b/>
          <w:color w:val="000000" w:themeColor="text1"/>
        </w:rPr>
        <w:t xml:space="preserve">Source: </w:t>
      </w:r>
      <w:r w:rsidRPr="002C4CC5">
        <w:rPr>
          <w:rFonts w:eastAsia="Times New Roman"/>
          <w:color w:val="000000" w:themeColor="text1"/>
        </w:rPr>
        <w:t>Author</w:t>
      </w:r>
      <w:r w:rsidR="00041B1F" w:rsidRPr="002C4CC5">
        <w:rPr>
          <w:rFonts w:eastAsia="Times New Roman"/>
          <w:color w:val="000000" w:themeColor="text1"/>
        </w:rPr>
        <w:t xml:space="preserve"> </w:t>
      </w:r>
    </w:p>
    <w:p w14:paraId="0D469083" w14:textId="77777777" w:rsidR="00077C98" w:rsidRPr="002C4CC5" w:rsidRDefault="00077C98" w:rsidP="002C4CC5">
      <w:pPr>
        <w:spacing w:line="360" w:lineRule="auto"/>
        <w:rPr>
          <w:rFonts w:eastAsia="Times New Roman"/>
          <w:color w:val="000000" w:themeColor="text1"/>
        </w:rPr>
      </w:pPr>
    </w:p>
    <w:p w14:paraId="1C66C1A8" w14:textId="1DA8089C" w:rsidR="000D7001" w:rsidRPr="000D7001" w:rsidRDefault="00D84CA4" w:rsidP="00D77E98">
      <w:pPr>
        <w:spacing w:line="360" w:lineRule="auto"/>
        <w:rPr>
          <w:rFonts w:eastAsia="Times New Roman"/>
          <w:color w:val="000000" w:themeColor="text1"/>
        </w:rPr>
      </w:pPr>
      <w:r w:rsidRPr="002C4CC5">
        <w:rPr>
          <w:rFonts w:eastAsia="Times New Roman"/>
          <w:color w:val="000000" w:themeColor="text1"/>
        </w:rPr>
        <w:t>Initially, t</w:t>
      </w:r>
      <w:r w:rsidR="00BD4D0A" w:rsidRPr="002C4CC5">
        <w:rPr>
          <w:rFonts w:eastAsia="Times New Roman"/>
          <w:color w:val="000000" w:themeColor="text1"/>
        </w:rPr>
        <w:t xml:space="preserve">he </w:t>
      </w:r>
      <w:r w:rsidR="00243313" w:rsidRPr="002C4CC5">
        <w:rPr>
          <w:rFonts w:eastAsia="Times New Roman"/>
          <w:color w:val="000000" w:themeColor="text1"/>
        </w:rPr>
        <w:t>“driving forces”</w:t>
      </w:r>
      <w:r w:rsidR="00BD4D0A" w:rsidRPr="002C4CC5">
        <w:rPr>
          <w:rFonts w:eastAsia="Times New Roman"/>
          <w:color w:val="000000" w:themeColor="text1"/>
        </w:rPr>
        <w:t xml:space="preserve"> outweigh</w:t>
      </w:r>
      <w:r w:rsidRPr="002C4CC5">
        <w:rPr>
          <w:rFonts w:eastAsia="Times New Roman"/>
          <w:color w:val="000000" w:themeColor="text1"/>
        </w:rPr>
        <w:t>ed</w:t>
      </w:r>
      <w:r w:rsidR="00BD4D0A" w:rsidRPr="002C4CC5">
        <w:rPr>
          <w:rFonts w:eastAsia="Times New Roman"/>
          <w:color w:val="000000" w:themeColor="text1"/>
        </w:rPr>
        <w:t xml:space="preserve"> the </w:t>
      </w:r>
      <w:r w:rsidR="00243313" w:rsidRPr="002C4CC5">
        <w:rPr>
          <w:rFonts w:eastAsia="Times New Roman"/>
          <w:color w:val="000000" w:themeColor="text1"/>
        </w:rPr>
        <w:t>“</w:t>
      </w:r>
      <w:r w:rsidR="00DA5D21" w:rsidRPr="002C4CC5">
        <w:rPr>
          <w:rFonts w:eastAsia="Times New Roman"/>
          <w:color w:val="000000" w:themeColor="text1"/>
        </w:rPr>
        <w:t>restraining forces”</w:t>
      </w:r>
      <w:r w:rsidR="00941FC4" w:rsidRPr="002C4CC5">
        <w:rPr>
          <w:rFonts w:eastAsia="Times New Roman"/>
          <w:color w:val="000000" w:themeColor="text1"/>
        </w:rPr>
        <w:t xml:space="preserve"> </w:t>
      </w:r>
      <w:r w:rsidR="00BD4D0A" w:rsidRPr="002C4CC5">
        <w:rPr>
          <w:rFonts w:eastAsia="Times New Roman"/>
          <w:color w:val="000000" w:themeColor="text1"/>
        </w:rPr>
        <w:t xml:space="preserve">thereby triggering a change from the present level to the desired one. </w:t>
      </w:r>
      <w:r w:rsidR="00620292" w:rsidRPr="002C4CC5">
        <w:rPr>
          <w:color w:val="000000" w:themeColor="text1"/>
        </w:rPr>
        <w:t xml:space="preserve">Thus, the </w:t>
      </w:r>
      <w:r w:rsidR="00243313" w:rsidRPr="002C4CC5">
        <w:rPr>
          <w:color w:val="000000" w:themeColor="text1"/>
        </w:rPr>
        <w:t>first step of “unfreezing”</w:t>
      </w:r>
      <w:r w:rsidR="00B90782" w:rsidRPr="002C4CC5">
        <w:rPr>
          <w:color w:val="000000" w:themeColor="text1"/>
        </w:rPr>
        <w:t xml:space="preserve"> witnessed the </w:t>
      </w:r>
      <w:r w:rsidR="00243313" w:rsidRPr="002C4CC5">
        <w:rPr>
          <w:color w:val="000000" w:themeColor="text1"/>
        </w:rPr>
        <w:t>“driving forces”</w:t>
      </w:r>
      <w:r w:rsidR="00FD23FD" w:rsidRPr="002C4CC5">
        <w:rPr>
          <w:color w:val="000000" w:themeColor="text1"/>
        </w:rPr>
        <w:t xml:space="preserve"> </w:t>
      </w:r>
      <w:r w:rsidR="0082568A" w:rsidRPr="002C4CC5">
        <w:rPr>
          <w:color w:val="000000" w:themeColor="text1"/>
        </w:rPr>
        <w:t>advocating</w:t>
      </w:r>
      <w:r w:rsidR="009541E6" w:rsidRPr="002C4CC5">
        <w:rPr>
          <w:color w:val="000000" w:themeColor="text1"/>
        </w:rPr>
        <w:t xml:space="preserve"> a change that would shape the future of environmental justice in</w:t>
      </w:r>
      <w:r w:rsidR="00C914A7" w:rsidRPr="002C4CC5">
        <w:rPr>
          <w:color w:val="000000" w:themeColor="text1"/>
        </w:rPr>
        <w:t xml:space="preserve"> India. </w:t>
      </w:r>
    </w:p>
    <w:p w14:paraId="397116AD" w14:textId="52626F5D" w:rsidR="00316181" w:rsidRDefault="000D7001" w:rsidP="00D77E98">
      <w:pPr>
        <w:pStyle w:val="Heading2"/>
        <w:spacing w:line="360" w:lineRule="auto"/>
      </w:pPr>
      <w:r>
        <w:t>B.</w:t>
      </w:r>
      <w:r w:rsidR="00AC5DCD" w:rsidRPr="002C4CC5">
        <w:t xml:space="preserve"> </w:t>
      </w:r>
      <w:r w:rsidR="009B1D40">
        <w:t xml:space="preserve">New Learning and </w:t>
      </w:r>
      <w:r w:rsidR="00AC5DCD" w:rsidRPr="002C4CC5">
        <w:t>C</w:t>
      </w:r>
      <w:r w:rsidR="00F14ECE" w:rsidRPr="002C4CC5">
        <w:t>hange</w:t>
      </w:r>
    </w:p>
    <w:p w14:paraId="525EF7E0" w14:textId="77777777" w:rsidR="000D7001" w:rsidRPr="000D7001" w:rsidRDefault="000D7001" w:rsidP="00D77E98">
      <w:pPr>
        <w:spacing w:line="360" w:lineRule="auto"/>
        <w:rPr>
          <w:lang w:eastAsia="en-US"/>
        </w:rPr>
      </w:pPr>
    </w:p>
    <w:p w14:paraId="1F5A7E1A" w14:textId="24B94BB9" w:rsidR="0086213F" w:rsidRPr="002C4CC5" w:rsidRDefault="006C2F04" w:rsidP="00D77E98">
      <w:pPr>
        <w:widowControl w:val="0"/>
        <w:autoSpaceDE w:val="0"/>
        <w:autoSpaceDN w:val="0"/>
        <w:adjustRightInd w:val="0"/>
        <w:spacing w:after="240" w:line="360" w:lineRule="auto"/>
        <w:ind w:right="-160"/>
        <w:rPr>
          <w:color w:val="000000" w:themeColor="text1"/>
        </w:rPr>
      </w:pPr>
      <w:r w:rsidRPr="002C4CC5">
        <w:rPr>
          <w:color w:val="000000" w:themeColor="text1"/>
        </w:rPr>
        <w:t>After an organisation is unfroze</w:t>
      </w:r>
      <w:r w:rsidR="002C242A" w:rsidRPr="002C4CC5">
        <w:rPr>
          <w:color w:val="000000" w:themeColor="text1"/>
        </w:rPr>
        <w:t>n</w:t>
      </w:r>
      <w:r w:rsidRPr="002C4CC5">
        <w:rPr>
          <w:color w:val="000000" w:themeColor="text1"/>
        </w:rPr>
        <w:t xml:space="preserve">, the forces </w:t>
      </w:r>
      <w:r w:rsidR="002A0301" w:rsidRPr="002C4CC5">
        <w:rPr>
          <w:color w:val="000000" w:themeColor="text1"/>
        </w:rPr>
        <w:t>effect</w:t>
      </w:r>
      <w:r w:rsidRPr="002C4CC5">
        <w:rPr>
          <w:color w:val="000000" w:themeColor="text1"/>
        </w:rPr>
        <w:t xml:space="preserve"> a change that ref</w:t>
      </w:r>
      <w:r w:rsidR="00FA0E9E" w:rsidRPr="002C4CC5">
        <w:rPr>
          <w:color w:val="000000" w:themeColor="text1"/>
        </w:rPr>
        <w:t>lect</w:t>
      </w:r>
      <w:r w:rsidR="002A0301" w:rsidRPr="002C4CC5">
        <w:rPr>
          <w:color w:val="000000" w:themeColor="text1"/>
        </w:rPr>
        <w:t>s</w:t>
      </w:r>
      <w:r w:rsidRPr="002C4CC5">
        <w:rPr>
          <w:color w:val="000000" w:themeColor="text1"/>
        </w:rPr>
        <w:t xml:space="preserve"> </w:t>
      </w:r>
      <w:r w:rsidR="00941FC4" w:rsidRPr="002C4CC5">
        <w:rPr>
          <w:color w:val="000000" w:themeColor="text1"/>
        </w:rPr>
        <w:t>“new learning”</w:t>
      </w:r>
      <w:r w:rsidR="00F401C9" w:rsidRPr="002C4CC5">
        <w:rPr>
          <w:color w:val="000000" w:themeColor="text1"/>
        </w:rPr>
        <w:t xml:space="preserve"> and moving to a new state</w:t>
      </w:r>
      <w:r w:rsidRPr="002C4CC5">
        <w:rPr>
          <w:color w:val="000000" w:themeColor="text1"/>
        </w:rPr>
        <w:t xml:space="preserve">. </w:t>
      </w:r>
      <w:r w:rsidR="00941FC4" w:rsidRPr="002C4CC5">
        <w:rPr>
          <w:color w:val="000000" w:themeColor="text1"/>
        </w:rPr>
        <w:t>For Lewin, the term learning “</w:t>
      </w:r>
      <w:r w:rsidR="00327ED2" w:rsidRPr="002C4CC5">
        <w:rPr>
          <w:color w:val="000000" w:themeColor="text1"/>
        </w:rPr>
        <w:t>refers [ed] in a more or less vague way to some kind of betterment … and a mul</w:t>
      </w:r>
      <w:r w:rsidR="00093AE9" w:rsidRPr="002C4CC5">
        <w:rPr>
          <w:color w:val="000000" w:themeColor="text1"/>
        </w:rPr>
        <w:t>titude of different phenomenon.</w:t>
      </w:r>
      <w:r w:rsidR="00941FC4" w:rsidRPr="002C4CC5">
        <w:rPr>
          <w:color w:val="000000" w:themeColor="text1"/>
        </w:rPr>
        <w:t>”</w:t>
      </w:r>
      <w:r w:rsidR="00093AE9" w:rsidRPr="002C4CC5">
        <w:rPr>
          <w:rStyle w:val="FootnoteReference"/>
          <w:color w:val="000000" w:themeColor="text1"/>
        </w:rPr>
        <w:footnoteReference w:id="89"/>
      </w:r>
      <w:r w:rsidR="00327ED2" w:rsidRPr="002C4CC5">
        <w:rPr>
          <w:color w:val="000000" w:themeColor="text1"/>
        </w:rPr>
        <w:t xml:space="preserve"> </w:t>
      </w:r>
      <w:r w:rsidR="001B2341" w:rsidRPr="002C4CC5">
        <w:rPr>
          <w:color w:val="000000" w:themeColor="text1"/>
        </w:rPr>
        <w:t xml:space="preserve">In an organisational set-up </w:t>
      </w:r>
      <w:r w:rsidR="00941FC4" w:rsidRPr="002C4CC5">
        <w:rPr>
          <w:color w:val="000000" w:themeColor="text1"/>
        </w:rPr>
        <w:t>“new learning”</w:t>
      </w:r>
      <w:r w:rsidR="001B2341" w:rsidRPr="002C4CC5">
        <w:rPr>
          <w:color w:val="000000" w:themeColor="text1"/>
        </w:rPr>
        <w:t xml:space="preserve"> </w:t>
      </w:r>
      <w:r w:rsidR="00FD7688" w:rsidRPr="002C4CC5">
        <w:rPr>
          <w:color w:val="000000" w:themeColor="text1"/>
        </w:rPr>
        <w:t xml:space="preserve">reflects </w:t>
      </w:r>
      <w:r w:rsidR="00941FC4" w:rsidRPr="002C4CC5">
        <w:rPr>
          <w:color w:val="000000" w:themeColor="text1"/>
        </w:rPr>
        <w:t>“cognitive redefinition”</w:t>
      </w:r>
      <w:r w:rsidR="00C73EDE">
        <w:rPr>
          <w:color w:val="000000" w:themeColor="text1"/>
        </w:rPr>
        <w:t xml:space="preserve"> comprising of </w:t>
      </w:r>
      <w:r w:rsidR="005C3E6D">
        <w:rPr>
          <w:color w:val="000000" w:themeColor="text1"/>
        </w:rPr>
        <w:t>(1</w:t>
      </w:r>
      <w:r w:rsidR="00C73EDE">
        <w:rPr>
          <w:color w:val="000000" w:themeColor="text1"/>
        </w:rPr>
        <w:t xml:space="preserve">) </w:t>
      </w:r>
      <w:r w:rsidR="003A05F7" w:rsidRPr="002C4CC5">
        <w:rPr>
          <w:i/>
          <w:color w:val="000000" w:themeColor="text1"/>
        </w:rPr>
        <w:t xml:space="preserve">learning </w:t>
      </w:r>
      <w:r w:rsidR="00FD7688" w:rsidRPr="002C4CC5">
        <w:rPr>
          <w:i/>
          <w:color w:val="000000" w:themeColor="text1"/>
        </w:rPr>
        <w:t>new concepts</w:t>
      </w:r>
      <w:r w:rsidR="00C73EDE">
        <w:rPr>
          <w:color w:val="000000" w:themeColor="text1"/>
        </w:rPr>
        <w:t>;</w:t>
      </w:r>
      <w:r w:rsidR="00FD7688" w:rsidRPr="002C4CC5">
        <w:rPr>
          <w:color w:val="000000" w:themeColor="text1"/>
        </w:rPr>
        <w:t xml:space="preserve"> </w:t>
      </w:r>
      <w:r w:rsidR="005C3E6D">
        <w:rPr>
          <w:color w:val="000000" w:themeColor="text1"/>
        </w:rPr>
        <w:t>(2</w:t>
      </w:r>
      <w:r w:rsidR="00C73EDE">
        <w:rPr>
          <w:color w:val="000000" w:themeColor="text1"/>
        </w:rPr>
        <w:t xml:space="preserve">) </w:t>
      </w:r>
      <w:r w:rsidR="003A05F7" w:rsidRPr="002C4CC5">
        <w:rPr>
          <w:i/>
          <w:color w:val="000000" w:themeColor="text1"/>
        </w:rPr>
        <w:t xml:space="preserve">learning </w:t>
      </w:r>
      <w:r w:rsidR="00FD7688" w:rsidRPr="002C4CC5">
        <w:rPr>
          <w:i/>
          <w:color w:val="000000" w:themeColor="text1"/>
        </w:rPr>
        <w:t xml:space="preserve">new </w:t>
      </w:r>
      <w:r w:rsidR="003A05F7" w:rsidRPr="002C4CC5">
        <w:rPr>
          <w:i/>
          <w:color w:val="000000" w:themeColor="text1"/>
        </w:rPr>
        <w:t>meaning for old concepts</w:t>
      </w:r>
      <w:r w:rsidR="00C73EDE">
        <w:rPr>
          <w:i/>
          <w:color w:val="000000" w:themeColor="text1"/>
        </w:rPr>
        <w:t>;</w:t>
      </w:r>
      <w:r w:rsidR="003A05F7" w:rsidRPr="002C4CC5">
        <w:rPr>
          <w:color w:val="000000" w:themeColor="text1"/>
        </w:rPr>
        <w:t xml:space="preserve"> and </w:t>
      </w:r>
      <w:r w:rsidR="005C3E6D">
        <w:rPr>
          <w:color w:val="000000" w:themeColor="text1"/>
        </w:rPr>
        <w:t>(3</w:t>
      </w:r>
      <w:r w:rsidR="00C73EDE">
        <w:rPr>
          <w:color w:val="000000" w:themeColor="text1"/>
        </w:rPr>
        <w:t xml:space="preserve">) </w:t>
      </w:r>
      <w:r w:rsidR="003A05F7" w:rsidRPr="002C4CC5">
        <w:rPr>
          <w:i/>
          <w:color w:val="000000" w:themeColor="text1"/>
        </w:rPr>
        <w:t xml:space="preserve">adopting new </w:t>
      </w:r>
      <w:r w:rsidR="00FD7688" w:rsidRPr="002C4CC5">
        <w:rPr>
          <w:i/>
          <w:color w:val="000000" w:themeColor="text1"/>
        </w:rPr>
        <w:t>standards of evaluation</w:t>
      </w:r>
      <w:r w:rsidR="00FD7688" w:rsidRPr="002C4CC5">
        <w:rPr>
          <w:color w:val="000000" w:themeColor="text1"/>
        </w:rPr>
        <w:t>.</w:t>
      </w:r>
      <w:r w:rsidR="0026224F" w:rsidRPr="002C4CC5">
        <w:rPr>
          <w:rStyle w:val="FootnoteReference"/>
          <w:color w:val="000000" w:themeColor="text1"/>
        </w:rPr>
        <w:footnoteReference w:id="90"/>
      </w:r>
      <w:r w:rsidR="00FD7688" w:rsidRPr="002C4CC5">
        <w:rPr>
          <w:color w:val="000000" w:themeColor="text1"/>
        </w:rPr>
        <w:t xml:space="preserve"> </w:t>
      </w:r>
      <w:r w:rsidR="00AD77B0" w:rsidRPr="002C4CC5">
        <w:rPr>
          <w:color w:val="000000" w:themeColor="text1"/>
        </w:rPr>
        <w:t xml:space="preserve">The two mechanisms that help </w:t>
      </w:r>
      <w:r w:rsidR="00941FC4" w:rsidRPr="002C4CC5">
        <w:rPr>
          <w:color w:val="000000" w:themeColor="text1"/>
        </w:rPr>
        <w:t>“new learning”</w:t>
      </w:r>
      <w:r w:rsidR="00AD77B0" w:rsidRPr="002C4CC5">
        <w:rPr>
          <w:color w:val="000000" w:themeColor="text1"/>
        </w:rPr>
        <w:t xml:space="preserve"> </w:t>
      </w:r>
      <w:r w:rsidR="00C86349" w:rsidRPr="002C4CC5">
        <w:rPr>
          <w:color w:val="000000" w:themeColor="text1"/>
        </w:rPr>
        <w:t>are</w:t>
      </w:r>
      <w:r w:rsidR="00AD77B0" w:rsidRPr="002C4CC5">
        <w:rPr>
          <w:color w:val="000000" w:themeColor="text1"/>
        </w:rPr>
        <w:t xml:space="preserve"> either through </w:t>
      </w:r>
      <w:r w:rsidR="00C57424" w:rsidRPr="002C4CC5">
        <w:rPr>
          <w:color w:val="000000" w:themeColor="text1"/>
        </w:rPr>
        <w:t>imitation and</w:t>
      </w:r>
      <w:r w:rsidR="001C3AB1" w:rsidRPr="002C4CC5">
        <w:rPr>
          <w:color w:val="000000" w:themeColor="text1"/>
        </w:rPr>
        <w:t xml:space="preserve"> </w:t>
      </w:r>
      <w:r w:rsidR="00484440" w:rsidRPr="002C4CC5">
        <w:rPr>
          <w:color w:val="000000" w:themeColor="text1"/>
        </w:rPr>
        <w:t>identification with a role model</w:t>
      </w:r>
      <w:r w:rsidR="00AF1900" w:rsidRPr="002C4CC5">
        <w:rPr>
          <w:color w:val="000000" w:themeColor="text1"/>
        </w:rPr>
        <w:t xml:space="preserve"> </w:t>
      </w:r>
      <w:r w:rsidR="007D5DE0" w:rsidRPr="002C4CC5">
        <w:rPr>
          <w:color w:val="000000" w:themeColor="text1"/>
        </w:rPr>
        <w:t>or scanning the environment</w:t>
      </w:r>
      <w:r w:rsidR="00001358" w:rsidRPr="002C4CC5">
        <w:rPr>
          <w:color w:val="000000" w:themeColor="text1"/>
        </w:rPr>
        <w:t>.</w:t>
      </w:r>
      <w:r w:rsidR="00001358" w:rsidRPr="002C4CC5">
        <w:rPr>
          <w:rStyle w:val="FootnoteReference"/>
          <w:color w:val="000000" w:themeColor="text1"/>
        </w:rPr>
        <w:footnoteReference w:id="91"/>
      </w:r>
      <w:r w:rsidR="00001358" w:rsidRPr="002C4CC5">
        <w:rPr>
          <w:color w:val="000000" w:themeColor="text1"/>
        </w:rPr>
        <w:t xml:space="preserve"> </w:t>
      </w:r>
      <w:r w:rsidR="00C57424" w:rsidRPr="002C4CC5">
        <w:rPr>
          <w:color w:val="000000" w:themeColor="text1"/>
        </w:rPr>
        <w:t>Imitation and</w:t>
      </w:r>
      <w:r w:rsidR="00AF1900" w:rsidRPr="002C4CC5">
        <w:rPr>
          <w:color w:val="000000" w:themeColor="text1"/>
        </w:rPr>
        <w:t xml:space="preserve"> </w:t>
      </w:r>
      <w:r w:rsidR="00484440" w:rsidRPr="002C4CC5">
        <w:rPr>
          <w:color w:val="000000" w:themeColor="text1"/>
        </w:rPr>
        <w:t>I</w:t>
      </w:r>
      <w:r w:rsidR="00AF1900" w:rsidRPr="002C4CC5">
        <w:rPr>
          <w:color w:val="000000" w:themeColor="text1"/>
        </w:rPr>
        <w:t xml:space="preserve">dentification work best when there is clarity about the new concept and way of working. Scanning the environment </w:t>
      </w:r>
      <w:r w:rsidR="005D5DDD" w:rsidRPr="002C4CC5">
        <w:rPr>
          <w:color w:val="000000" w:themeColor="text1"/>
        </w:rPr>
        <w:t>works through trial and error and developing own solutions until something works</w:t>
      </w:r>
      <w:r w:rsidR="00001358" w:rsidRPr="002C4CC5">
        <w:rPr>
          <w:color w:val="000000" w:themeColor="text1"/>
        </w:rPr>
        <w:t>.</w:t>
      </w:r>
      <w:r w:rsidR="00001358" w:rsidRPr="002C4CC5">
        <w:rPr>
          <w:rStyle w:val="FootnoteReference"/>
          <w:color w:val="000000" w:themeColor="text1"/>
        </w:rPr>
        <w:footnoteReference w:id="92"/>
      </w:r>
      <w:r w:rsidR="00001358" w:rsidRPr="002C4CC5">
        <w:rPr>
          <w:color w:val="000000" w:themeColor="text1"/>
        </w:rPr>
        <w:t xml:space="preserve"> </w:t>
      </w:r>
    </w:p>
    <w:p w14:paraId="5B88361F" w14:textId="0659FCCA" w:rsidR="004217BD" w:rsidRDefault="004217BD" w:rsidP="00D77E98">
      <w:pPr>
        <w:pStyle w:val="Heading3"/>
        <w:spacing w:line="360" w:lineRule="auto"/>
      </w:pPr>
      <w:r w:rsidRPr="002C4CC5">
        <w:t>1</w:t>
      </w:r>
      <w:r w:rsidR="000D7001">
        <w:t>.</w:t>
      </w:r>
      <w:r w:rsidRPr="002C4CC5">
        <w:t xml:space="preserve"> Learning new concept</w:t>
      </w:r>
      <w:r w:rsidR="00A939C8" w:rsidRPr="002C4CC5">
        <w:t>s</w:t>
      </w:r>
    </w:p>
    <w:p w14:paraId="205836DA" w14:textId="77777777" w:rsidR="000D7001" w:rsidRPr="000D7001" w:rsidRDefault="000D7001" w:rsidP="00D77E98">
      <w:pPr>
        <w:spacing w:line="360" w:lineRule="auto"/>
      </w:pPr>
    </w:p>
    <w:p w14:paraId="7940BC33" w14:textId="00EDA1B5" w:rsidR="00F81CF6" w:rsidRPr="002C4CC5" w:rsidRDefault="005E7566" w:rsidP="00D77E98">
      <w:pPr>
        <w:widowControl w:val="0"/>
        <w:autoSpaceDE w:val="0"/>
        <w:autoSpaceDN w:val="0"/>
        <w:adjustRightInd w:val="0"/>
        <w:spacing w:after="240" w:line="360" w:lineRule="auto"/>
        <w:rPr>
          <w:color w:val="000000" w:themeColor="text1"/>
        </w:rPr>
      </w:pPr>
      <w:r w:rsidRPr="002C4CC5">
        <w:rPr>
          <w:color w:val="000000" w:themeColor="text1"/>
        </w:rPr>
        <w:t xml:space="preserve">In India, </w:t>
      </w:r>
      <w:r w:rsidR="008B5567" w:rsidRPr="002C4CC5">
        <w:rPr>
          <w:color w:val="000000" w:themeColor="text1"/>
        </w:rPr>
        <w:t>the</w:t>
      </w:r>
      <w:r w:rsidRPr="002C4CC5">
        <w:rPr>
          <w:color w:val="000000" w:themeColor="text1"/>
        </w:rPr>
        <w:t xml:space="preserve"> </w:t>
      </w:r>
      <w:r w:rsidR="00941FC4" w:rsidRPr="002C4CC5">
        <w:rPr>
          <w:color w:val="000000" w:themeColor="text1"/>
        </w:rPr>
        <w:t>“new learning”</w:t>
      </w:r>
      <w:r w:rsidRPr="002C4CC5">
        <w:rPr>
          <w:color w:val="000000" w:themeColor="text1"/>
        </w:rPr>
        <w:t xml:space="preserve"> stage</w:t>
      </w:r>
      <w:r w:rsidR="00676700" w:rsidRPr="002C4CC5">
        <w:rPr>
          <w:color w:val="000000" w:themeColor="text1"/>
        </w:rPr>
        <w:t xml:space="preserve"> </w:t>
      </w:r>
      <w:r w:rsidR="008B5567" w:rsidRPr="002C4CC5">
        <w:rPr>
          <w:color w:val="000000" w:themeColor="text1"/>
        </w:rPr>
        <w:t xml:space="preserve">witnessed the involvement of both the external and internal </w:t>
      </w:r>
      <w:r w:rsidR="00243313" w:rsidRPr="002C4CC5">
        <w:rPr>
          <w:color w:val="000000" w:themeColor="text1"/>
        </w:rPr>
        <w:t>“driving forces”</w:t>
      </w:r>
      <w:r w:rsidR="008B5567" w:rsidRPr="002C4CC5">
        <w:rPr>
          <w:color w:val="000000" w:themeColor="text1"/>
        </w:rPr>
        <w:t xml:space="preserve"> influenced by the societal needs, values and hopes and </w:t>
      </w:r>
      <w:r w:rsidR="00766487" w:rsidRPr="002C4CC5">
        <w:rPr>
          <w:color w:val="000000" w:themeColor="text1"/>
        </w:rPr>
        <w:t xml:space="preserve">the </w:t>
      </w:r>
      <w:r w:rsidR="008B5567" w:rsidRPr="002C4CC5">
        <w:rPr>
          <w:color w:val="000000" w:themeColor="text1"/>
        </w:rPr>
        <w:t>long-term development of Indian environmental justice discourse.</w:t>
      </w:r>
      <w:r w:rsidR="006462A0" w:rsidRPr="002C4CC5">
        <w:rPr>
          <w:color w:val="000000" w:themeColor="text1"/>
        </w:rPr>
        <w:t xml:space="preserve"> </w:t>
      </w:r>
      <w:r w:rsidR="00750FB3" w:rsidRPr="002C4CC5">
        <w:rPr>
          <w:color w:val="000000" w:themeColor="text1"/>
        </w:rPr>
        <w:t>T</w:t>
      </w:r>
      <w:r w:rsidR="008E5370" w:rsidRPr="002C4CC5">
        <w:rPr>
          <w:color w:val="000000" w:themeColor="text1"/>
        </w:rPr>
        <w:t>he specialised</w:t>
      </w:r>
      <w:r w:rsidR="00E951B3" w:rsidRPr="002C4CC5">
        <w:rPr>
          <w:color w:val="000000" w:themeColor="text1"/>
        </w:rPr>
        <w:t xml:space="preserve"> NGT as </w:t>
      </w:r>
      <w:r w:rsidR="00381804" w:rsidRPr="002C4CC5">
        <w:rPr>
          <w:color w:val="000000" w:themeColor="text1"/>
        </w:rPr>
        <w:t xml:space="preserve">a </w:t>
      </w:r>
      <w:r w:rsidR="0055072E" w:rsidRPr="002C4CC5">
        <w:rPr>
          <w:i/>
          <w:color w:val="000000" w:themeColor="text1"/>
        </w:rPr>
        <w:t>learning new concept</w:t>
      </w:r>
      <w:r w:rsidR="00172B6D" w:rsidRPr="002C4CC5">
        <w:rPr>
          <w:i/>
          <w:color w:val="000000" w:themeColor="text1"/>
        </w:rPr>
        <w:t xml:space="preserve"> </w:t>
      </w:r>
      <w:r w:rsidR="00172B6D" w:rsidRPr="002C4CC5">
        <w:rPr>
          <w:color w:val="000000" w:themeColor="text1"/>
        </w:rPr>
        <w:t>following the strong judicial pronouncements and recommendations of the powerful Law Commission of India</w:t>
      </w:r>
      <w:r w:rsidR="0055072E" w:rsidRPr="002C4CC5">
        <w:rPr>
          <w:color w:val="000000" w:themeColor="text1"/>
        </w:rPr>
        <w:t xml:space="preserve"> was the first st</w:t>
      </w:r>
      <w:r w:rsidR="00941FC4" w:rsidRPr="002C4CC5">
        <w:rPr>
          <w:color w:val="000000" w:themeColor="text1"/>
        </w:rPr>
        <w:t>ep towards “</w:t>
      </w:r>
      <w:r w:rsidR="0055072E" w:rsidRPr="002C4CC5">
        <w:rPr>
          <w:color w:val="000000" w:themeColor="text1"/>
        </w:rPr>
        <w:t>new learning</w:t>
      </w:r>
      <w:r w:rsidR="006462A0" w:rsidRPr="002C4CC5">
        <w:rPr>
          <w:color w:val="000000" w:themeColor="text1"/>
        </w:rPr>
        <w:t>.</w:t>
      </w:r>
      <w:r w:rsidR="00941FC4" w:rsidRPr="002C4CC5">
        <w:rPr>
          <w:color w:val="000000" w:themeColor="text1"/>
        </w:rPr>
        <w:t>”</w:t>
      </w:r>
      <w:r w:rsidR="006462A0" w:rsidRPr="002C4CC5">
        <w:rPr>
          <w:rStyle w:val="FootnoteReference"/>
          <w:color w:val="000000" w:themeColor="text1"/>
        </w:rPr>
        <w:footnoteReference w:id="93"/>
      </w:r>
    </w:p>
    <w:p w14:paraId="0D2E8080" w14:textId="31031BCB" w:rsidR="00873748" w:rsidRPr="002C4CC5" w:rsidRDefault="00F81CF6" w:rsidP="002C4CC5">
      <w:pPr>
        <w:widowControl w:val="0"/>
        <w:autoSpaceDE w:val="0"/>
        <w:autoSpaceDN w:val="0"/>
        <w:adjustRightInd w:val="0"/>
        <w:spacing w:after="240" w:line="360" w:lineRule="auto"/>
        <w:rPr>
          <w:color w:val="000000" w:themeColor="text1"/>
        </w:rPr>
      </w:pPr>
      <w:r w:rsidRPr="002C4CC5">
        <w:rPr>
          <w:color w:val="000000" w:themeColor="text1"/>
        </w:rPr>
        <w:t xml:space="preserve">The NGT </w:t>
      </w:r>
      <w:r w:rsidR="00285A0E" w:rsidRPr="002C4CC5">
        <w:rPr>
          <w:color w:val="000000" w:themeColor="text1"/>
        </w:rPr>
        <w:t>as</w:t>
      </w:r>
      <w:r w:rsidR="006462A0" w:rsidRPr="002C4CC5">
        <w:rPr>
          <w:color w:val="000000" w:themeColor="text1"/>
        </w:rPr>
        <w:t xml:space="preserve"> a </w:t>
      </w:r>
      <w:r w:rsidRPr="002C4CC5">
        <w:rPr>
          <w:color w:val="000000" w:themeColor="text1"/>
        </w:rPr>
        <w:t>specialised body equipped with necessary expertise to handle environmental disputes invo</w:t>
      </w:r>
      <w:r w:rsidR="006462A0" w:rsidRPr="002C4CC5">
        <w:rPr>
          <w:color w:val="000000" w:themeColor="text1"/>
        </w:rPr>
        <w:t>lving multi-disciplinary issues</w:t>
      </w:r>
      <w:r w:rsidR="00B5083E" w:rsidRPr="002C4CC5">
        <w:rPr>
          <w:color w:val="000000" w:themeColor="text1"/>
        </w:rPr>
        <w:t xml:space="preserve"> became a forum offering</w:t>
      </w:r>
      <w:r w:rsidRPr="002C4CC5">
        <w:rPr>
          <w:color w:val="000000" w:themeColor="text1"/>
        </w:rPr>
        <w:t xml:space="preserve"> greater plurality for environmental justice. </w:t>
      </w:r>
      <w:r w:rsidR="00285A0E" w:rsidRPr="002C4CC5">
        <w:rPr>
          <w:color w:val="000000" w:themeColor="text1"/>
        </w:rPr>
        <w:t xml:space="preserve">As a </w:t>
      </w:r>
      <w:r w:rsidR="0055072E" w:rsidRPr="002C4CC5">
        <w:rPr>
          <w:i/>
          <w:color w:val="000000" w:themeColor="text1"/>
        </w:rPr>
        <w:t>l</w:t>
      </w:r>
      <w:r w:rsidR="00285A0E" w:rsidRPr="002C4CC5">
        <w:rPr>
          <w:i/>
          <w:color w:val="000000" w:themeColor="text1"/>
        </w:rPr>
        <w:t>earning new concept</w:t>
      </w:r>
      <w:r w:rsidR="0055072E" w:rsidRPr="002C4CC5">
        <w:rPr>
          <w:i/>
          <w:color w:val="000000" w:themeColor="text1"/>
        </w:rPr>
        <w:t>,</w:t>
      </w:r>
      <w:r w:rsidR="00285A0E" w:rsidRPr="002C4CC5">
        <w:rPr>
          <w:color w:val="000000" w:themeColor="text1"/>
        </w:rPr>
        <w:t xml:space="preserve"> it</w:t>
      </w:r>
      <w:r w:rsidR="00477660" w:rsidRPr="002C4CC5">
        <w:rPr>
          <w:color w:val="000000" w:themeColor="text1"/>
        </w:rPr>
        <w:t xml:space="preserve"> </w:t>
      </w:r>
      <w:r w:rsidR="00B5083E" w:rsidRPr="002C4CC5">
        <w:rPr>
          <w:color w:val="000000" w:themeColor="text1"/>
        </w:rPr>
        <w:t>was</w:t>
      </w:r>
      <w:r w:rsidR="00285A0E" w:rsidRPr="002C4CC5">
        <w:rPr>
          <w:color w:val="000000" w:themeColor="text1"/>
        </w:rPr>
        <w:t xml:space="preserve"> </w:t>
      </w:r>
      <w:r w:rsidR="00E951B3" w:rsidRPr="002C4CC5">
        <w:rPr>
          <w:color w:val="000000" w:themeColor="text1"/>
        </w:rPr>
        <w:t xml:space="preserve">guided by </w:t>
      </w:r>
      <w:r w:rsidR="006C3C05" w:rsidRPr="002C4CC5">
        <w:rPr>
          <w:color w:val="000000" w:themeColor="text1"/>
        </w:rPr>
        <w:t xml:space="preserve">imitation and </w:t>
      </w:r>
      <w:r w:rsidR="0055072E" w:rsidRPr="002C4CC5">
        <w:rPr>
          <w:color w:val="000000" w:themeColor="text1"/>
        </w:rPr>
        <w:t>identification with a role model mechanism</w:t>
      </w:r>
      <w:r w:rsidR="00457B9D" w:rsidRPr="002C4CC5">
        <w:rPr>
          <w:color w:val="000000" w:themeColor="text1"/>
        </w:rPr>
        <w:t xml:space="preserve"> that embraced the need for specialised </w:t>
      </w:r>
      <w:r w:rsidR="00021CDC" w:rsidRPr="002C4CC5">
        <w:rPr>
          <w:color w:val="000000" w:themeColor="text1"/>
        </w:rPr>
        <w:t>Tribunal</w:t>
      </w:r>
      <w:r w:rsidR="00457B9D" w:rsidRPr="002C4CC5">
        <w:rPr>
          <w:color w:val="000000" w:themeColor="text1"/>
        </w:rPr>
        <w:t>s with technical expertise</w:t>
      </w:r>
      <w:r w:rsidR="003A4E3F" w:rsidRPr="002C4CC5">
        <w:rPr>
          <w:color w:val="000000" w:themeColor="text1"/>
        </w:rPr>
        <w:t xml:space="preserve"> to provide environmental justice</w:t>
      </w:r>
      <w:r w:rsidR="00457B9D" w:rsidRPr="002C4CC5">
        <w:rPr>
          <w:color w:val="000000" w:themeColor="text1"/>
        </w:rPr>
        <w:t xml:space="preserve">. </w:t>
      </w:r>
    </w:p>
    <w:p w14:paraId="7D6ACB70" w14:textId="42578385" w:rsidR="00E665C7" w:rsidRPr="002C4CC5" w:rsidRDefault="00457B9D" w:rsidP="002C4CC5">
      <w:pPr>
        <w:widowControl w:val="0"/>
        <w:autoSpaceDE w:val="0"/>
        <w:autoSpaceDN w:val="0"/>
        <w:adjustRightInd w:val="0"/>
        <w:spacing w:after="240" w:line="360" w:lineRule="auto"/>
        <w:rPr>
          <w:color w:val="000000" w:themeColor="text1"/>
        </w:rPr>
      </w:pPr>
      <w:r w:rsidRPr="002C4CC5">
        <w:rPr>
          <w:color w:val="000000" w:themeColor="text1"/>
        </w:rPr>
        <w:t xml:space="preserve">The external </w:t>
      </w:r>
      <w:r w:rsidR="00243313" w:rsidRPr="002C4CC5">
        <w:rPr>
          <w:color w:val="000000" w:themeColor="text1"/>
        </w:rPr>
        <w:t>“driving forces”</w:t>
      </w:r>
      <w:r w:rsidRPr="002C4CC5">
        <w:rPr>
          <w:color w:val="000000" w:themeColor="text1"/>
        </w:rPr>
        <w:t xml:space="preserve"> to introduce </w:t>
      </w:r>
      <w:r w:rsidR="00941FC4" w:rsidRPr="002C4CC5">
        <w:rPr>
          <w:color w:val="000000" w:themeColor="text1"/>
        </w:rPr>
        <w:t>“</w:t>
      </w:r>
      <w:r w:rsidRPr="002C4CC5">
        <w:rPr>
          <w:color w:val="000000" w:themeColor="text1"/>
        </w:rPr>
        <w:t>change</w:t>
      </w:r>
      <w:r w:rsidR="00941FC4" w:rsidRPr="002C4CC5">
        <w:rPr>
          <w:color w:val="000000" w:themeColor="text1"/>
        </w:rPr>
        <w:t>”</w:t>
      </w:r>
      <w:r w:rsidR="00B51E23" w:rsidRPr="002C4CC5">
        <w:rPr>
          <w:color w:val="000000" w:themeColor="text1"/>
        </w:rPr>
        <w:t xml:space="preserve"> was first triggered</w:t>
      </w:r>
      <w:r w:rsidR="00873748" w:rsidRPr="002C4CC5">
        <w:rPr>
          <w:color w:val="000000" w:themeColor="text1"/>
        </w:rPr>
        <w:t xml:space="preserve"> </w:t>
      </w:r>
      <w:r w:rsidR="00766487" w:rsidRPr="002C4CC5">
        <w:rPr>
          <w:color w:val="000000" w:themeColor="text1"/>
        </w:rPr>
        <w:t>by the</w:t>
      </w:r>
      <w:r w:rsidR="001A6C74" w:rsidRPr="002C4CC5">
        <w:rPr>
          <w:color w:val="000000" w:themeColor="text1"/>
        </w:rPr>
        <w:t xml:space="preserve"> </w:t>
      </w:r>
      <w:r w:rsidRPr="002C4CC5">
        <w:rPr>
          <w:color w:val="000000" w:themeColor="text1"/>
        </w:rPr>
        <w:t>Ministry of Environment and Forests (MoEF)</w:t>
      </w:r>
      <w:r w:rsidR="00FB797C" w:rsidRPr="002C4CC5">
        <w:rPr>
          <w:color w:val="000000" w:themeColor="text1"/>
        </w:rPr>
        <w:t>.</w:t>
      </w:r>
      <w:r w:rsidR="0020492F" w:rsidRPr="002C4CC5">
        <w:rPr>
          <w:rStyle w:val="FootnoteReference"/>
          <w:color w:val="000000" w:themeColor="text1"/>
        </w:rPr>
        <w:footnoteReference w:id="94"/>
      </w:r>
      <w:r w:rsidR="00FB797C" w:rsidRPr="002C4CC5">
        <w:rPr>
          <w:color w:val="000000" w:themeColor="text1"/>
        </w:rPr>
        <w:t xml:space="preserve"> </w:t>
      </w:r>
      <w:r w:rsidR="00E665C7" w:rsidRPr="002C4CC5">
        <w:rPr>
          <w:color w:val="000000" w:themeColor="text1"/>
        </w:rPr>
        <w:t>It is important to note that the MoEF acted as a driving force between 2009-2011. After 2011, it became a strong restraining fo</w:t>
      </w:r>
      <w:r w:rsidR="00142E33" w:rsidRPr="002C4CC5">
        <w:rPr>
          <w:color w:val="000000" w:themeColor="text1"/>
        </w:rPr>
        <w:t>rce. The reason for this reversal</w:t>
      </w:r>
      <w:r w:rsidR="00E665C7" w:rsidRPr="002C4CC5">
        <w:rPr>
          <w:color w:val="000000" w:themeColor="text1"/>
        </w:rPr>
        <w:t xml:space="preserve"> was</w:t>
      </w:r>
      <w:r w:rsidR="000138CA" w:rsidRPr="002C4CC5">
        <w:rPr>
          <w:color w:val="000000" w:themeColor="text1"/>
        </w:rPr>
        <w:t xml:space="preserve"> the</w:t>
      </w:r>
      <w:r w:rsidR="00766487" w:rsidRPr="002C4CC5">
        <w:rPr>
          <w:color w:val="000000" w:themeColor="text1"/>
        </w:rPr>
        <w:t xml:space="preserve"> replacement of the progressive Minister for MoEF.</w:t>
      </w:r>
    </w:p>
    <w:p w14:paraId="47F6F677" w14:textId="7AAAF0A2" w:rsidR="00CB1A08" w:rsidRPr="002C4CC5" w:rsidRDefault="00FA161C" w:rsidP="002C4CC5">
      <w:pPr>
        <w:widowControl w:val="0"/>
        <w:autoSpaceDE w:val="0"/>
        <w:autoSpaceDN w:val="0"/>
        <w:adjustRightInd w:val="0"/>
        <w:spacing w:after="240" w:line="360" w:lineRule="auto"/>
        <w:rPr>
          <w:color w:val="000000" w:themeColor="text1"/>
        </w:rPr>
      </w:pPr>
      <w:r w:rsidRPr="002C4CC5">
        <w:rPr>
          <w:color w:val="000000" w:themeColor="text1"/>
        </w:rPr>
        <w:t>This is illustrated in Figure 4</w:t>
      </w:r>
      <w:r w:rsidR="00CB1A08" w:rsidRPr="002C4CC5">
        <w:rPr>
          <w:color w:val="000000" w:themeColor="text1"/>
        </w:rPr>
        <w:t xml:space="preserve"> below:</w:t>
      </w:r>
    </w:p>
    <w:p w14:paraId="331FB6E5" w14:textId="518171EC" w:rsidR="0005481B" w:rsidRDefault="00C4737D" w:rsidP="002C4CC5">
      <w:pPr>
        <w:spacing w:line="360" w:lineRule="auto"/>
        <w:jc w:val="center"/>
        <w:rPr>
          <w:rFonts w:eastAsia="Times New Roman"/>
          <w:b/>
          <w:color w:val="000000" w:themeColor="text1"/>
        </w:rPr>
      </w:pPr>
      <w:r w:rsidRPr="001D24A8">
        <w:rPr>
          <w:noProof/>
          <w:color w:val="000000" w:themeColor="text1"/>
        </w:rPr>
        <w:drawing>
          <wp:inline distT="0" distB="0" distL="0" distR="0" wp14:anchorId="6DFC4253" wp14:editId="018950F5">
            <wp:extent cx="4077317" cy="2122736"/>
            <wp:effectExtent l="0" t="0" r="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1761" cy="2151081"/>
                    </a:xfrm>
                    <a:prstGeom prst="rect">
                      <a:avLst/>
                    </a:prstGeom>
                  </pic:spPr>
                </pic:pic>
              </a:graphicData>
            </a:graphic>
          </wp:inline>
        </w:drawing>
      </w:r>
    </w:p>
    <w:p w14:paraId="0BF38293" w14:textId="77777777" w:rsidR="00C4737D" w:rsidRPr="002C4CC5" w:rsidRDefault="00C4737D" w:rsidP="00C4737D">
      <w:pPr>
        <w:spacing w:line="360" w:lineRule="auto"/>
        <w:rPr>
          <w:rFonts w:eastAsia="Times New Roman"/>
          <w:b/>
          <w:color w:val="000000" w:themeColor="text1"/>
        </w:rPr>
      </w:pPr>
    </w:p>
    <w:p w14:paraId="419286B9" w14:textId="30451F67" w:rsidR="0005481B" w:rsidRPr="002C4CC5" w:rsidRDefault="0005481B" w:rsidP="002C4CC5">
      <w:pPr>
        <w:spacing w:line="360" w:lineRule="auto"/>
        <w:outlineLvl w:val="0"/>
        <w:rPr>
          <w:rFonts w:eastAsia="Times New Roman"/>
          <w:b/>
          <w:color w:val="000000" w:themeColor="text1"/>
        </w:rPr>
      </w:pPr>
      <w:r w:rsidRPr="002C4CC5">
        <w:rPr>
          <w:rFonts w:eastAsia="Times New Roman"/>
          <w:b/>
          <w:color w:val="000000" w:themeColor="text1"/>
        </w:rPr>
        <w:t>Figure 4: 2009-2011</w:t>
      </w:r>
    </w:p>
    <w:p w14:paraId="66D276AD" w14:textId="6F4BE7FE" w:rsidR="0005481B" w:rsidRPr="00D77E98" w:rsidRDefault="0005481B" w:rsidP="00D77E98">
      <w:pPr>
        <w:spacing w:line="360" w:lineRule="auto"/>
        <w:outlineLvl w:val="0"/>
        <w:rPr>
          <w:rFonts w:eastAsia="Times New Roman"/>
          <w:b/>
          <w:color w:val="000000" w:themeColor="text1"/>
        </w:rPr>
      </w:pPr>
      <w:r w:rsidRPr="002C4CC5">
        <w:rPr>
          <w:rFonts w:eastAsia="Times New Roman"/>
          <w:b/>
          <w:color w:val="000000" w:themeColor="text1"/>
        </w:rPr>
        <w:t xml:space="preserve">Source: </w:t>
      </w:r>
      <w:r w:rsidRPr="002C4CC5">
        <w:rPr>
          <w:rFonts w:eastAsia="Times New Roman"/>
          <w:color w:val="000000" w:themeColor="text1"/>
        </w:rPr>
        <w:t xml:space="preserve">Author </w:t>
      </w:r>
    </w:p>
    <w:p w14:paraId="1C791A65" w14:textId="463DE27D" w:rsidR="00457B9D" w:rsidRPr="002C4CC5" w:rsidRDefault="000A51B4" w:rsidP="002C4CC5">
      <w:pPr>
        <w:widowControl w:val="0"/>
        <w:autoSpaceDE w:val="0"/>
        <w:autoSpaceDN w:val="0"/>
        <w:adjustRightInd w:val="0"/>
        <w:spacing w:after="240" w:line="360" w:lineRule="auto"/>
        <w:rPr>
          <w:color w:val="000000" w:themeColor="text1"/>
        </w:rPr>
      </w:pPr>
      <w:r w:rsidRPr="002C4CC5">
        <w:rPr>
          <w:color w:val="000000" w:themeColor="text1"/>
        </w:rPr>
        <w:t>The</w:t>
      </w:r>
      <w:r w:rsidR="00941FC4" w:rsidRPr="002C4CC5">
        <w:rPr>
          <w:color w:val="000000" w:themeColor="text1"/>
        </w:rPr>
        <w:t xml:space="preserve"> Government of India through MoEF</w:t>
      </w:r>
      <w:r w:rsidR="006B1AC8" w:rsidRPr="002C4CC5">
        <w:rPr>
          <w:color w:val="000000" w:themeColor="text1"/>
        </w:rPr>
        <w:t xml:space="preserve"> </w:t>
      </w:r>
      <w:r w:rsidR="00457B9D" w:rsidRPr="002C4CC5">
        <w:rPr>
          <w:color w:val="000000" w:themeColor="text1"/>
        </w:rPr>
        <w:t>introduc</w:t>
      </w:r>
      <w:r w:rsidR="00766487" w:rsidRPr="002C4CC5">
        <w:rPr>
          <w:color w:val="000000" w:themeColor="text1"/>
        </w:rPr>
        <w:t>ed</w:t>
      </w:r>
      <w:r w:rsidR="00457B9D" w:rsidRPr="002C4CC5">
        <w:rPr>
          <w:color w:val="000000" w:themeColor="text1"/>
        </w:rPr>
        <w:t xml:space="preserve"> the NGT Bill 2009 in the Lower House (Lok Sabha) of the Indian Parliament on 31 July 2009.</w:t>
      </w:r>
      <w:r w:rsidR="00CB1A08" w:rsidRPr="002C4CC5">
        <w:rPr>
          <w:rStyle w:val="FootnoteReference"/>
          <w:color w:val="000000" w:themeColor="text1"/>
        </w:rPr>
        <w:footnoteReference w:id="95"/>
      </w:r>
      <w:r w:rsidR="00457B9D" w:rsidRPr="002C4CC5">
        <w:rPr>
          <w:color w:val="000000" w:themeColor="text1"/>
        </w:rPr>
        <w:t xml:space="preserve"> According to the then</w:t>
      </w:r>
      <w:r w:rsidR="00766487" w:rsidRPr="002C4CC5">
        <w:rPr>
          <w:color w:val="000000" w:themeColor="text1"/>
        </w:rPr>
        <w:t xml:space="preserve"> </w:t>
      </w:r>
      <w:r w:rsidR="00457B9D" w:rsidRPr="002C4CC5">
        <w:rPr>
          <w:color w:val="000000" w:themeColor="text1"/>
        </w:rPr>
        <w:t xml:space="preserve">Environment Minister, Jairam Ramesh, the </w:t>
      </w:r>
      <w:r w:rsidR="00021CDC" w:rsidRPr="002C4CC5">
        <w:rPr>
          <w:color w:val="000000" w:themeColor="text1"/>
        </w:rPr>
        <w:t>Tribunal</w:t>
      </w:r>
      <w:r w:rsidR="00941FC4" w:rsidRPr="002C4CC5">
        <w:rPr>
          <w:color w:val="000000" w:themeColor="text1"/>
        </w:rPr>
        <w:t xml:space="preserve"> was “one element”</w:t>
      </w:r>
      <w:r w:rsidR="00457B9D" w:rsidRPr="002C4CC5">
        <w:rPr>
          <w:color w:val="000000" w:themeColor="text1"/>
        </w:rPr>
        <w:t xml:space="preserve"> of a reformist approach to environmental governance. To quote</w:t>
      </w:r>
      <w:r w:rsidR="00766487" w:rsidRPr="002C4CC5">
        <w:rPr>
          <w:color w:val="000000" w:themeColor="text1"/>
        </w:rPr>
        <w:t xml:space="preserve"> </w:t>
      </w:r>
      <w:r w:rsidR="00F87B66" w:rsidRPr="002C4CC5">
        <w:rPr>
          <w:color w:val="000000" w:themeColor="text1"/>
        </w:rPr>
        <w:t>the Minister</w:t>
      </w:r>
      <w:r w:rsidR="00457B9D" w:rsidRPr="002C4CC5">
        <w:rPr>
          <w:color w:val="000000" w:themeColor="text1"/>
        </w:rPr>
        <w:t xml:space="preserve"> from the Parliamentary debate:</w:t>
      </w:r>
    </w:p>
    <w:p w14:paraId="636AD75B" w14:textId="3BD7F525" w:rsidR="00457B9D" w:rsidRPr="003F71D9" w:rsidRDefault="00457B9D"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Environment is becoming increasingly an interdisciplinary scientific issue…the fact of the matter is that we need judicial members because there are matters of law involved; and we need technical members who can provide scientific a</w:t>
      </w:r>
      <w:r w:rsidR="00602C36" w:rsidRPr="003F71D9">
        <w:rPr>
          <w:color w:val="000000" w:themeColor="text1"/>
          <w:sz w:val="20"/>
          <w:szCs w:val="20"/>
        </w:rPr>
        <w:t>nd technical inputs...</w:t>
      </w:r>
      <w:r w:rsidRPr="003F71D9">
        <w:rPr>
          <w:color w:val="000000" w:themeColor="text1"/>
          <w:sz w:val="20"/>
          <w:szCs w:val="20"/>
        </w:rPr>
        <w:t xml:space="preserve">There are 5,600 cases before our judiciary today relating to environment. I am sure the number of cases will increase. We need specialised environmental courts. The Supreme Court has said this. The Law Commission has said this. India will be one of the few countries which will have such a specialised environmental court. I believe Australia and New Zealand are the two countries that have specialised </w:t>
      </w:r>
      <w:r w:rsidR="00021CDC" w:rsidRPr="003F71D9">
        <w:rPr>
          <w:color w:val="000000" w:themeColor="text1"/>
          <w:sz w:val="20"/>
          <w:szCs w:val="20"/>
        </w:rPr>
        <w:t>Tribunal</w:t>
      </w:r>
      <w:r w:rsidRPr="003F71D9">
        <w:rPr>
          <w:color w:val="000000" w:themeColor="text1"/>
          <w:sz w:val="20"/>
          <w:szCs w:val="20"/>
        </w:rPr>
        <w:t>s.</w:t>
      </w:r>
      <w:r w:rsidR="00602C36" w:rsidRPr="003F71D9">
        <w:rPr>
          <w:sz w:val="20"/>
          <w:szCs w:val="20"/>
          <w:vertAlign w:val="superscript"/>
        </w:rPr>
        <w:footnoteReference w:id="96"/>
      </w:r>
    </w:p>
    <w:p w14:paraId="460678F9" w14:textId="6A466799" w:rsidR="00BA443B" w:rsidRPr="002C4CC5" w:rsidRDefault="004A26EE" w:rsidP="002C4CC5">
      <w:pPr>
        <w:widowControl w:val="0"/>
        <w:autoSpaceDE w:val="0"/>
        <w:autoSpaceDN w:val="0"/>
        <w:adjustRightInd w:val="0"/>
        <w:spacing w:after="240" w:line="360" w:lineRule="auto"/>
        <w:rPr>
          <w:color w:val="000000" w:themeColor="text1"/>
        </w:rPr>
      </w:pPr>
      <w:r w:rsidRPr="002C4CC5">
        <w:rPr>
          <w:color w:val="000000" w:themeColor="text1"/>
        </w:rPr>
        <w:t>Thus, the</w:t>
      </w:r>
      <w:r w:rsidR="00E951B3" w:rsidRPr="002C4CC5">
        <w:rPr>
          <w:color w:val="000000" w:themeColor="text1"/>
        </w:rPr>
        <w:t xml:space="preserve"> MoEF acquired illustrative support and direction from Australia</w:t>
      </w:r>
      <w:r w:rsidR="00F87B66" w:rsidRPr="002C4CC5">
        <w:rPr>
          <w:color w:val="000000" w:themeColor="text1"/>
        </w:rPr>
        <w:t>n</w:t>
      </w:r>
      <w:r w:rsidR="00E951B3" w:rsidRPr="002C4CC5">
        <w:rPr>
          <w:color w:val="000000" w:themeColor="text1"/>
        </w:rPr>
        <w:t xml:space="preserve"> and New Zealand </w:t>
      </w:r>
      <w:r w:rsidRPr="002C4CC5">
        <w:rPr>
          <w:color w:val="000000" w:themeColor="text1"/>
        </w:rPr>
        <w:t xml:space="preserve">specialised environmental </w:t>
      </w:r>
      <w:r w:rsidR="00021CDC" w:rsidRPr="002C4CC5">
        <w:rPr>
          <w:color w:val="000000" w:themeColor="text1"/>
        </w:rPr>
        <w:t>Tribunal</w:t>
      </w:r>
      <w:r w:rsidRPr="002C4CC5">
        <w:rPr>
          <w:color w:val="000000" w:themeColor="text1"/>
        </w:rPr>
        <w:t xml:space="preserve">s </w:t>
      </w:r>
      <w:r w:rsidR="00E951B3" w:rsidRPr="002C4CC5">
        <w:rPr>
          <w:color w:val="000000" w:themeColor="text1"/>
        </w:rPr>
        <w:t xml:space="preserve">staffed by judges and expert commissioners, generally, </w:t>
      </w:r>
      <w:r w:rsidR="00F87B66" w:rsidRPr="002C4CC5">
        <w:rPr>
          <w:color w:val="000000" w:themeColor="text1"/>
        </w:rPr>
        <w:t xml:space="preserve">being </w:t>
      </w:r>
      <w:r w:rsidR="00E951B3" w:rsidRPr="002C4CC5">
        <w:rPr>
          <w:color w:val="000000" w:themeColor="text1"/>
        </w:rPr>
        <w:t xml:space="preserve">persons with expert knowledge in environmental matters. </w:t>
      </w:r>
      <w:r w:rsidR="00D70315" w:rsidRPr="002C4CC5">
        <w:rPr>
          <w:color w:val="000000" w:themeColor="text1"/>
        </w:rPr>
        <w:t>The</w:t>
      </w:r>
      <w:r w:rsidR="007E5B7C" w:rsidRPr="002C4CC5">
        <w:rPr>
          <w:color w:val="000000" w:themeColor="text1"/>
        </w:rPr>
        <w:t xml:space="preserve"> government proposed the creation of a circuit system for the new </w:t>
      </w:r>
      <w:r w:rsidR="00021CDC" w:rsidRPr="002C4CC5">
        <w:rPr>
          <w:color w:val="000000" w:themeColor="text1"/>
        </w:rPr>
        <w:t>Tribunal</w:t>
      </w:r>
      <w:r w:rsidR="007E5B7C" w:rsidRPr="002C4CC5">
        <w:rPr>
          <w:color w:val="000000" w:themeColor="text1"/>
        </w:rPr>
        <w:t>. The government proposed four regional benches across the coun</w:t>
      </w:r>
      <w:r w:rsidR="0071585A" w:rsidRPr="002C4CC5">
        <w:rPr>
          <w:color w:val="000000" w:themeColor="text1"/>
        </w:rPr>
        <w:t>try. According to the Minister “</w:t>
      </w:r>
      <w:r w:rsidR="007E5B7C" w:rsidRPr="002C4CC5">
        <w:rPr>
          <w:color w:val="000000" w:themeColor="text1"/>
        </w:rPr>
        <w:t>…</w:t>
      </w:r>
      <w:r w:rsidR="00A430D6" w:rsidRPr="002C4CC5">
        <w:rPr>
          <w:color w:val="000000" w:themeColor="text1"/>
        </w:rPr>
        <w:t>a</w:t>
      </w:r>
      <w:r w:rsidR="007E5B7C" w:rsidRPr="002C4CC5">
        <w:rPr>
          <w:color w:val="000000" w:themeColor="text1"/>
        </w:rPr>
        <w:t xml:space="preserve"> circuit approach would be followed to enable access for people. The court will go to the people. People would not come to the court. I assure you this</w:t>
      </w:r>
      <w:r w:rsidR="006F2EE4" w:rsidRPr="002C4CC5">
        <w:rPr>
          <w:color w:val="000000" w:themeColor="text1"/>
        </w:rPr>
        <w:t>.</w:t>
      </w:r>
      <w:r w:rsidR="0071585A" w:rsidRPr="002C4CC5">
        <w:rPr>
          <w:color w:val="000000" w:themeColor="text1"/>
        </w:rPr>
        <w:t>”</w:t>
      </w:r>
      <w:r w:rsidR="006F2EE4" w:rsidRPr="002C4CC5">
        <w:rPr>
          <w:rStyle w:val="FootnoteReference"/>
          <w:color w:val="000000" w:themeColor="text1"/>
        </w:rPr>
        <w:footnoteReference w:id="97"/>
      </w:r>
      <w:r w:rsidR="00A56E01" w:rsidRPr="002C4CC5">
        <w:rPr>
          <w:color w:val="000000" w:themeColor="text1"/>
        </w:rPr>
        <w:t xml:space="preserve"> </w:t>
      </w:r>
    </w:p>
    <w:p w14:paraId="59F24FFD" w14:textId="64508795" w:rsidR="00FD26EF" w:rsidRPr="002C4CC5" w:rsidRDefault="00FD26EF" w:rsidP="002C4CC5">
      <w:pPr>
        <w:widowControl w:val="0"/>
        <w:autoSpaceDE w:val="0"/>
        <w:autoSpaceDN w:val="0"/>
        <w:adjustRightInd w:val="0"/>
        <w:spacing w:after="240" w:line="360" w:lineRule="auto"/>
        <w:rPr>
          <w:color w:val="000000" w:themeColor="text1"/>
        </w:rPr>
      </w:pPr>
      <w:r w:rsidRPr="002C4CC5">
        <w:rPr>
          <w:color w:val="000000" w:themeColor="text1"/>
        </w:rPr>
        <w:t>The Bill was passed by the Lok Sabha on 23 April 2010 and Rajya Sabha on 5 May 2010. The NGT Act 2010 received presidential assent on 2 June 2010</w:t>
      </w:r>
      <w:r w:rsidR="00856C1F" w:rsidRPr="002C4CC5">
        <w:rPr>
          <w:color w:val="000000" w:themeColor="text1"/>
        </w:rPr>
        <w:t>.</w:t>
      </w:r>
      <w:r w:rsidR="00A56E01" w:rsidRPr="002C4CC5">
        <w:rPr>
          <w:rStyle w:val="FootnoteReference"/>
          <w:color w:val="000000" w:themeColor="text1"/>
        </w:rPr>
        <w:footnoteReference w:id="98"/>
      </w:r>
      <w:r w:rsidR="00856C1F" w:rsidRPr="002C4CC5">
        <w:rPr>
          <w:color w:val="000000" w:themeColor="text1"/>
        </w:rPr>
        <w:t xml:space="preserve"> </w:t>
      </w:r>
      <w:r w:rsidRPr="002C4CC5">
        <w:rPr>
          <w:color w:val="000000" w:themeColor="text1"/>
          <w:position w:val="10"/>
        </w:rPr>
        <w:t xml:space="preserve"> </w:t>
      </w:r>
      <w:r w:rsidRPr="002C4CC5">
        <w:rPr>
          <w:color w:val="000000" w:themeColor="text1"/>
        </w:rPr>
        <w:t>The NGT</w:t>
      </w:r>
      <w:r w:rsidR="00856C1F" w:rsidRPr="002C4CC5">
        <w:rPr>
          <w:color w:val="000000" w:themeColor="text1"/>
        </w:rPr>
        <w:t xml:space="preserve"> Act implements India’s commit</w:t>
      </w:r>
      <w:r w:rsidR="00EA5314" w:rsidRPr="002C4CC5">
        <w:rPr>
          <w:color w:val="000000" w:themeColor="text1"/>
        </w:rPr>
        <w:t>ments</w:t>
      </w:r>
      <w:r w:rsidR="008F3481" w:rsidRPr="002C4CC5">
        <w:rPr>
          <w:color w:val="000000" w:themeColor="text1"/>
        </w:rPr>
        <w:t xml:space="preserve"> made at</w:t>
      </w:r>
      <w:r w:rsidRPr="002C4CC5">
        <w:rPr>
          <w:color w:val="000000" w:themeColor="text1"/>
        </w:rPr>
        <w:t xml:space="preserve"> the Stoc</w:t>
      </w:r>
      <w:r w:rsidR="008F3481" w:rsidRPr="002C4CC5">
        <w:rPr>
          <w:color w:val="000000" w:themeColor="text1"/>
        </w:rPr>
        <w:t>kholm Declaration of 1972 and</w:t>
      </w:r>
      <w:r w:rsidRPr="002C4CC5">
        <w:rPr>
          <w:color w:val="000000" w:themeColor="text1"/>
        </w:rPr>
        <w:t xml:space="preserve"> the Rio Conference of 1992, to take appropriate steps for the protection and improvement of the human environment and provide effective access to judicial and administrative proceedings, including redress and remedies</w:t>
      </w:r>
      <w:r w:rsidR="00A56E01" w:rsidRPr="002C4CC5">
        <w:rPr>
          <w:color w:val="000000" w:themeColor="text1"/>
        </w:rPr>
        <w:t>.</w:t>
      </w:r>
      <w:r w:rsidRPr="002C4CC5">
        <w:rPr>
          <w:color w:val="000000" w:themeColor="text1"/>
        </w:rPr>
        <w:t xml:space="preserve"> </w:t>
      </w:r>
    </w:p>
    <w:p w14:paraId="36735F9C" w14:textId="4BA82EB3" w:rsidR="00A5181C" w:rsidRPr="002C4CC5" w:rsidRDefault="002E14D2" w:rsidP="002C4CC5">
      <w:pPr>
        <w:widowControl w:val="0"/>
        <w:autoSpaceDE w:val="0"/>
        <w:autoSpaceDN w:val="0"/>
        <w:adjustRightInd w:val="0"/>
        <w:spacing w:after="240" w:line="360" w:lineRule="auto"/>
        <w:rPr>
          <w:color w:val="000000" w:themeColor="text1"/>
        </w:rPr>
      </w:pPr>
      <w:r w:rsidRPr="002C4CC5">
        <w:rPr>
          <w:color w:val="000000" w:themeColor="text1"/>
        </w:rPr>
        <w:t>The NGT was established on 18 October 2010 and became operational on 5 May 2011 with New Delhi selected as th</w:t>
      </w:r>
      <w:r w:rsidR="001B02C4" w:rsidRPr="002C4CC5">
        <w:rPr>
          <w:color w:val="000000" w:themeColor="text1"/>
        </w:rPr>
        <w:t>e site for the Principal Bench</w:t>
      </w:r>
      <w:r w:rsidR="001650C1">
        <w:rPr>
          <w:color w:val="000000" w:themeColor="text1"/>
        </w:rPr>
        <w:t>.</w:t>
      </w:r>
      <w:r w:rsidR="00293B36" w:rsidRPr="002C4CC5">
        <w:rPr>
          <w:rStyle w:val="FootnoteReference"/>
          <w:color w:val="000000" w:themeColor="text1"/>
        </w:rPr>
        <w:footnoteReference w:id="99"/>
      </w:r>
      <w:r w:rsidR="00293B36" w:rsidRPr="002C4CC5">
        <w:rPr>
          <w:color w:val="000000" w:themeColor="text1"/>
        </w:rPr>
        <w:t xml:space="preserve"> </w:t>
      </w:r>
      <w:r w:rsidR="001B02C4" w:rsidRPr="002C4CC5">
        <w:rPr>
          <w:color w:val="000000" w:themeColor="text1"/>
        </w:rPr>
        <w:t>The regional benches found their home in Bhopal for the central zone; Chennai for south India; Pune for the western territory and Kolkata is responsible for the eastern region.</w:t>
      </w:r>
      <w:r w:rsidR="00293B36" w:rsidRPr="002C4CC5">
        <w:rPr>
          <w:rStyle w:val="FootnoteReference"/>
          <w:color w:val="000000" w:themeColor="text1"/>
        </w:rPr>
        <w:footnoteReference w:id="100"/>
      </w:r>
      <w:r w:rsidR="00293B36" w:rsidRPr="002C4CC5">
        <w:rPr>
          <w:color w:val="000000" w:themeColor="text1"/>
        </w:rPr>
        <w:t xml:space="preserve"> </w:t>
      </w:r>
      <w:r w:rsidR="00A5181C" w:rsidRPr="002C4CC5">
        <w:rPr>
          <w:color w:val="000000" w:themeColor="text1"/>
        </w:rPr>
        <w:t xml:space="preserve">Additionally, </w:t>
      </w:r>
      <w:r w:rsidR="00B32E26" w:rsidRPr="002C4CC5">
        <w:rPr>
          <w:color w:val="000000" w:themeColor="text1"/>
        </w:rPr>
        <w:t>to</w:t>
      </w:r>
      <w:r w:rsidR="00A5181C" w:rsidRPr="002C4CC5">
        <w:rPr>
          <w:color w:val="000000" w:themeColor="text1"/>
        </w:rPr>
        <w:t xml:space="preserve"> become more accessible, especially in remote areas, the NGT fo</w:t>
      </w:r>
      <w:r w:rsidR="0071585A" w:rsidRPr="002C4CC5">
        <w:rPr>
          <w:color w:val="000000" w:themeColor="text1"/>
        </w:rPr>
        <w:t xml:space="preserve">llows the circuit procedure of </w:t>
      </w:r>
      <w:r w:rsidR="00A5181C" w:rsidRPr="002C4CC5">
        <w:rPr>
          <w:color w:val="000000" w:themeColor="text1"/>
        </w:rPr>
        <w:t xml:space="preserve">courts going to people </w:t>
      </w:r>
      <w:r w:rsidR="008573A3" w:rsidRPr="002C4CC5">
        <w:rPr>
          <w:color w:val="000000" w:themeColor="text1"/>
        </w:rPr>
        <w:t xml:space="preserve">and not </w:t>
      </w:r>
      <w:r w:rsidR="0071585A" w:rsidRPr="002C4CC5">
        <w:rPr>
          <w:color w:val="000000" w:themeColor="text1"/>
        </w:rPr>
        <w:t>people coming to the courts</w:t>
      </w:r>
      <w:r w:rsidR="00A5181C" w:rsidRPr="002C4CC5">
        <w:rPr>
          <w:color w:val="000000" w:themeColor="text1"/>
        </w:rPr>
        <w:t>. Shimla has received circuit benches from Delh</w:t>
      </w:r>
      <w:r w:rsidR="00293B36" w:rsidRPr="002C4CC5">
        <w:rPr>
          <w:color w:val="000000" w:themeColor="text1"/>
        </w:rPr>
        <w:t>i</w:t>
      </w:r>
      <w:r w:rsidR="00293B36" w:rsidRPr="002C4CC5">
        <w:rPr>
          <w:rStyle w:val="FootnoteReference"/>
          <w:color w:val="000000" w:themeColor="text1"/>
        </w:rPr>
        <w:footnoteReference w:id="101"/>
      </w:r>
      <w:r w:rsidR="00A5181C" w:rsidRPr="002C4CC5">
        <w:rPr>
          <w:color w:val="000000" w:themeColor="text1"/>
          <w:position w:val="10"/>
        </w:rPr>
        <w:t xml:space="preserve"> </w:t>
      </w:r>
      <w:r w:rsidR="00A5181C" w:rsidRPr="002C4CC5">
        <w:rPr>
          <w:color w:val="000000" w:themeColor="text1"/>
        </w:rPr>
        <w:t>as has Jodhpur from the central zone</w:t>
      </w:r>
      <w:r w:rsidR="00293B36" w:rsidRPr="002C4CC5">
        <w:rPr>
          <w:color w:val="000000" w:themeColor="text1"/>
        </w:rPr>
        <w:t>,</w:t>
      </w:r>
      <w:r w:rsidR="00293B36" w:rsidRPr="002C4CC5">
        <w:rPr>
          <w:rStyle w:val="FootnoteReference"/>
          <w:color w:val="000000" w:themeColor="text1"/>
        </w:rPr>
        <w:footnoteReference w:id="102"/>
      </w:r>
      <w:r w:rsidR="00A5181C" w:rsidRPr="002C4CC5">
        <w:rPr>
          <w:color w:val="000000" w:themeColor="text1"/>
          <w:position w:val="10"/>
        </w:rPr>
        <w:t xml:space="preserve"> </w:t>
      </w:r>
      <w:r w:rsidR="00A5181C" w:rsidRPr="002C4CC5">
        <w:rPr>
          <w:color w:val="000000" w:themeColor="text1"/>
        </w:rPr>
        <w:t>Meghalaya from the eastern zone</w:t>
      </w:r>
      <w:r w:rsidR="00293B36" w:rsidRPr="002C4CC5">
        <w:rPr>
          <w:rStyle w:val="FootnoteReference"/>
          <w:color w:val="000000" w:themeColor="text1"/>
        </w:rPr>
        <w:footnoteReference w:id="103"/>
      </w:r>
      <w:r w:rsidR="00293B36" w:rsidRPr="002C4CC5">
        <w:rPr>
          <w:color w:val="000000" w:themeColor="text1"/>
        </w:rPr>
        <w:t xml:space="preserve"> </w:t>
      </w:r>
      <w:r w:rsidR="00A5181C" w:rsidRPr="002C4CC5">
        <w:rPr>
          <w:color w:val="000000" w:themeColor="text1"/>
        </w:rPr>
        <w:t>and K</w:t>
      </w:r>
      <w:r w:rsidR="00293B36" w:rsidRPr="002C4CC5">
        <w:rPr>
          <w:color w:val="000000" w:themeColor="text1"/>
        </w:rPr>
        <w:t>ochi from the southern zone.</w:t>
      </w:r>
      <w:r w:rsidR="00293B36" w:rsidRPr="002C4CC5">
        <w:rPr>
          <w:rStyle w:val="FootnoteReference"/>
          <w:color w:val="000000" w:themeColor="text1"/>
        </w:rPr>
        <w:footnoteReference w:id="104"/>
      </w:r>
    </w:p>
    <w:p w14:paraId="068FB9D1" w14:textId="78F90917" w:rsidR="00C4670B" w:rsidRPr="002C4CC5" w:rsidRDefault="00F76731" w:rsidP="002C4CC5">
      <w:pPr>
        <w:widowControl w:val="0"/>
        <w:autoSpaceDE w:val="0"/>
        <w:autoSpaceDN w:val="0"/>
        <w:adjustRightInd w:val="0"/>
        <w:spacing w:after="240" w:line="360" w:lineRule="auto"/>
        <w:rPr>
          <w:color w:val="000000" w:themeColor="text1"/>
        </w:rPr>
      </w:pPr>
      <w:r w:rsidRPr="002C4CC5">
        <w:rPr>
          <w:color w:val="000000" w:themeColor="text1"/>
        </w:rPr>
        <w:t xml:space="preserve">Further, </w:t>
      </w:r>
      <w:r w:rsidR="001E1F3A" w:rsidRPr="002C4CC5">
        <w:rPr>
          <w:color w:val="000000" w:themeColor="text1"/>
        </w:rPr>
        <w:t xml:space="preserve">as a </w:t>
      </w:r>
      <w:r w:rsidR="001E1F3A" w:rsidRPr="002C4CC5">
        <w:rPr>
          <w:i/>
          <w:color w:val="000000" w:themeColor="text1"/>
        </w:rPr>
        <w:t>learning new concept</w:t>
      </w:r>
      <w:r w:rsidR="001E1F3A" w:rsidRPr="002C4CC5">
        <w:rPr>
          <w:color w:val="000000" w:themeColor="text1"/>
        </w:rPr>
        <w:t xml:space="preserve"> </w:t>
      </w:r>
      <w:r w:rsidRPr="002C4CC5">
        <w:rPr>
          <w:color w:val="000000" w:themeColor="text1"/>
        </w:rPr>
        <w:t>t</w:t>
      </w:r>
      <w:r w:rsidR="008E47FD" w:rsidRPr="002C4CC5">
        <w:rPr>
          <w:color w:val="000000" w:themeColor="text1"/>
        </w:rPr>
        <w:t xml:space="preserve">he NGT </w:t>
      </w:r>
      <w:r w:rsidR="001E1F3A" w:rsidRPr="002C4CC5">
        <w:rPr>
          <w:color w:val="000000" w:themeColor="text1"/>
        </w:rPr>
        <w:t xml:space="preserve">was envisioned as </w:t>
      </w:r>
      <w:r w:rsidR="008E47FD" w:rsidRPr="002C4CC5">
        <w:rPr>
          <w:color w:val="000000" w:themeColor="text1"/>
        </w:rPr>
        <w:t>a multi-faceted and multi-skilled body in wh</w:t>
      </w:r>
      <w:r w:rsidR="001E1F3A" w:rsidRPr="002C4CC5">
        <w:rPr>
          <w:color w:val="000000" w:themeColor="text1"/>
        </w:rPr>
        <w:t>ich the joint decision makers he</w:t>
      </w:r>
      <w:r w:rsidR="008E47FD" w:rsidRPr="002C4CC5">
        <w:rPr>
          <w:color w:val="000000" w:themeColor="text1"/>
        </w:rPr>
        <w:t xml:space="preserve">ld relevant qualifications and appropriate work experience either in law or in technical fields. </w:t>
      </w:r>
      <w:r w:rsidR="001E1F3A" w:rsidRPr="002C4CC5">
        <w:rPr>
          <w:color w:val="000000" w:themeColor="text1"/>
        </w:rPr>
        <w:t>Accordingly, t</w:t>
      </w:r>
      <w:r w:rsidR="003775B0" w:rsidRPr="002C4CC5">
        <w:rPr>
          <w:color w:val="000000" w:themeColor="text1"/>
        </w:rPr>
        <w:t xml:space="preserve">he </w:t>
      </w:r>
      <w:r w:rsidR="00AA2DAA" w:rsidRPr="002C4CC5">
        <w:rPr>
          <w:color w:val="000000" w:themeColor="text1"/>
        </w:rPr>
        <w:t xml:space="preserve">technical </w:t>
      </w:r>
      <w:r w:rsidR="00776512" w:rsidRPr="002C4CC5">
        <w:rPr>
          <w:color w:val="000000" w:themeColor="text1"/>
        </w:rPr>
        <w:t>experts</w:t>
      </w:r>
      <w:r w:rsidR="00AA0FB1" w:rsidRPr="002C4CC5">
        <w:rPr>
          <w:color w:val="000000" w:themeColor="text1"/>
        </w:rPr>
        <w:t xml:space="preserve"> bec</w:t>
      </w:r>
      <w:r w:rsidR="00F87B66" w:rsidRPr="002C4CC5">
        <w:rPr>
          <w:color w:val="000000" w:themeColor="text1"/>
        </w:rPr>
        <w:t>a</w:t>
      </w:r>
      <w:r w:rsidR="00776512" w:rsidRPr="002C4CC5">
        <w:rPr>
          <w:color w:val="000000" w:themeColor="text1"/>
        </w:rPr>
        <w:t xml:space="preserve">me </w:t>
      </w:r>
      <w:r w:rsidR="0071585A" w:rsidRPr="002C4CC5">
        <w:rPr>
          <w:color w:val="000000" w:themeColor="text1"/>
        </w:rPr>
        <w:t>“central”, rather than “marginal”</w:t>
      </w:r>
      <w:r w:rsidR="003775B0" w:rsidRPr="002C4CC5">
        <w:rPr>
          <w:color w:val="000000" w:themeColor="text1"/>
        </w:rPr>
        <w:t>, to</w:t>
      </w:r>
      <w:r w:rsidR="006A06B8" w:rsidRPr="002C4CC5">
        <w:rPr>
          <w:color w:val="000000" w:themeColor="text1"/>
        </w:rPr>
        <w:t xml:space="preserve"> the NGT’s normative structure. </w:t>
      </w:r>
      <w:r w:rsidR="00F236DE" w:rsidRPr="002C4CC5">
        <w:rPr>
          <w:bCs/>
          <w:color w:val="000000" w:themeColor="text1"/>
        </w:rPr>
        <w:t>The combination of legal, scientif</w:t>
      </w:r>
      <w:r w:rsidR="0072074D" w:rsidRPr="002C4CC5">
        <w:rPr>
          <w:bCs/>
          <w:color w:val="000000" w:themeColor="text1"/>
        </w:rPr>
        <w:t xml:space="preserve">ic and technical expertise </w:t>
      </w:r>
      <w:r w:rsidR="00F87B66" w:rsidRPr="002C4CC5">
        <w:rPr>
          <w:bCs/>
          <w:color w:val="000000" w:themeColor="text1"/>
        </w:rPr>
        <w:t xml:space="preserve">had </w:t>
      </w:r>
      <w:r w:rsidR="0072074D" w:rsidRPr="002C4CC5">
        <w:rPr>
          <w:bCs/>
          <w:color w:val="000000" w:themeColor="text1"/>
        </w:rPr>
        <w:t xml:space="preserve">a </w:t>
      </w:r>
      <w:r w:rsidR="00F236DE" w:rsidRPr="002C4CC5">
        <w:rPr>
          <w:bCs/>
          <w:color w:val="000000" w:themeColor="text1"/>
        </w:rPr>
        <w:t>dynamic impact on the content and development of environmental policies and law</w:t>
      </w:r>
      <w:r w:rsidR="00440383" w:rsidRPr="002C4CC5">
        <w:rPr>
          <w:bCs/>
          <w:color w:val="000000" w:themeColor="text1"/>
        </w:rPr>
        <w:t>.</w:t>
      </w:r>
      <w:r w:rsidR="00AA0FB1" w:rsidRPr="002C4CC5">
        <w:rPr>
          <w:color w:val="000000" w:themeColor="text1"/>
        </w:rPr>
        <w:t xml:space="preserve"> </w:t>
      </w:r>
    </w:p>
    <w:p w14:paraId="1B42D5E4" w14:textId="15F42E07" w:rsidR="00C97910" w:rsidRPr="002C4CC5" w:rsidRDefault="00F87B66" w:rsidP="00D77E98">
      <w:pPr>
        <w:widowControl w:val="0"/>
        <w:autoSpaceDE w:val="0"/>
        <w:autoSpaceDN w:val="0"/>
        <w:adjustRightInd w:val="0"/>
        <w:spacing w:after="240" w:line="360" w:lineRule="auto"/>
        <w:rPr>
          <w:color w:val="000000" w:themeColor="text1"/>
        </w:rPr>
      </w:pPr>
      <w:r w:rsidRPr="002C4CC5">
        <w:rPr>
          <w:color w:val="000000" w:themeColor="text1"/>
        </w:rPr>
        <w:t xml:space="preserve">From </w:t>
      </w:r>
      <w:r w:rsidR="00871237" w:rsidRPr="002C4CC5">
        <w:rPr>
          <w:color w:val="000000" w:themeColor="text1"/>
        </w:rPr>
        <w:t xml:space="preserve">2011 </w:t>
      </w:r>
      <w:r w:rsidR="0072074D" w:rsidRPr="002C4CC5">
        <w:rPr>
          <w:color w:val="000000" w:themeColor="text1"/>
        </w:rPr>
        <w:t>onwards</w:t>
      </w:r>
      <w:r w:rsidR="004217BD" w:rsidRPr="002C4CC5">
        <w:rPr>
          <w:color w:val="000000" w:themeColor="text1"/>
        </w:rPr>
        <w:t>,</w:t>
      </w:r>
      <w:r w:rsidR="0072074D" w:rsidRPr="002C4CC5">
        <w:rPr>
          <w:color w:val="000000" w:themeColor="text1"/>
        </w:rPr>
        <w:t xml:space="preserve"> </w:t>
      </w:r>
      <w:r w:rsidR="002A3D9F" w:rsidRPr="002C4CC5">
        <w:rPr>
          <w:color w:val="000000" w:themeColor="text1"/>
        </w:rPr>
        <w:t xml:space="preserve">both the external and internal </w:t>
      </w:r>
      <w:r w:rsidR="00243313" w:rsidRPr="002C4CC5">
        <w:rPr>
          <w:color w:val="000000" w:themeColor="text1"/>
        </w:rPr>
        <w:t>“driving forces”</w:t>
      </w:r>
      <w:r w:rsidR="002A3D9F" w:rsidRPr="002C4CC5">
        <w:rPr>
          <w:color w:val="000000" w:themeColor="text1"/>
        </w:rPr>
        <w:t xml:space="preserve"> </w:t>
      </w:r>
      <w:r w:rsidR="00DB1FDC" w:rsidRPr="002C4CC5">
        <w:rPr>
          <w:color w:val="000000" w:themeColor="text1"/>
        </w:rPr>
        <w:t>display</w:t>
      </w:r>
      <w:r w:rsidRPr="002C4CC5">
        <w:rPr>
          <w:color w:val="000000" w:themeColor="text1"/>
        </w:rPr>
        <w:t>ed</w:t>
      </w:r>
      <w:r w:rsidR="00DB1FDC" w:rsidRPr="002C4CC5">
        <w:rPr>
          <w:color w:val="000000" w:themeColor="text1"/>
        </w:rPr>
        <w:t xml:space="preserve"> </w:t>
      </w:r>
      <w:r w:rsidR="00941FC4" w:rsidRPr="002C4CC5">
        <w:rPr>
          <w:color w:val="000000" w:themeColor="text1"/>
        </w:rPr>
        <w:t>“new learning”</w:t>
      </w:r>
      <w:r w:rsidR="00DB1FDC" w:rsidRPr="002C4CC5">
        <w:rPr>
          <w:color w:val="000000" w:themeColor="text1"/>
        </w:rPr>
        <w:t xml:space="preserve"> in the NGT. T</w:t>
      </w:r>
      <w:r w:rsidR="00C97910" w:rsidRPr="002C4CC5">
        <w:rPr>
          <w:color w:val="000000" w:themeColor="text1"/>
        </w:rPr>
        <w:t xml:space="preserve">he Supreme Court of India </w:t>
      </w:r>
      <w:r w:rsidR="00B61FD9" w:rsidRPr="002C4CC5">
        <w:rPr>
          <w:color w:val="000000" w:themeColor="text1"/>
        </w:rPr>
        <w:t xml:space="preserve">in 2012 </w:t>
      </w:r>
      <w:r w:rsidR="003E3F6A" w:rsidRPr="002C4CC5">
        <w:rPr>
          <w:color w:val="000000" w:themeColor="text1"/>
        </w:rPr>
        <w:t>re-engaged as</w:t>
      </w:r>
      <w:r w:rsidR="00070FD7" w:rsidRPr="002C4CC5">
        <w:rPr>
          <w:color w:val="000000" w:themeColor="text1"/>
        </w:rPr>
        <w:t xml:space="preserve"> an external driving force to institutionalise the NGT.</w:t>
      </w:r>
      <w:r w:rsidR="006C7988" w:rsidRPr="002C4CC5">
        <w:rPr>
          <w:color w:val="000000" w:themeColor="text1"/>
        </w:rPr>
        <w:t xml:space="preserve"> </w:t>
      </w:r>
      <w:r w:rsidR="002B7A03" w:rsidRPr="002C4CC5">
        <w:rPr>
          <w:color w:val="000000" w:themeColor="text1"/>
        </w:rPr>
        <w:t xml:space="preserve">The establishment of the NGT encouraged the Supreme Court to review its </w:t>
      </w:r>
      <w:r w:rsidRPr="002C4CC5">
        <w:rPr>
          <w:color w:val="000000" w:themeColor="text1"/>
        </w:rPr>
        <w:t xml:space="preserve">own </w:t>
      </w:r>
      <w:r w:rsidR="002B7A03" w:rsidRPr="002C4CC5">
        <w:rPr>
          <w:color w:val="000000" w:themeColor="text1"/>
        </w:rPr>
        <w:t xml:space="preserve">environmental caseload and consider its limited environmental expertise. </w:t>
      </w:r>
      <w:r w:rsidR="00E5349A" w:rsidRPr="002C4CC5">
        <w:rPr>
          <w:color w:val="000000" w:themeColor="text1"/>
        </w:rPr>
        <w:t xml:space="preserve">The Supreme Court </w:t>
      </w:r>
      <w:r w:rsidR="00FD13A3" w:rsidRPr="002C4CC5">
        <w:rPr>
          <w:color w:val="000000" w:themeColor="text1"/>
        </w:rPr>
        <w:t xml:space="preserve">in </w:t>
      </w:r>
      <w:r w:rsidR="00FD13A3" w:rsidRPr="002C4CC5">
        <w:rPr>
          <w:i/>
          <w:iCs/>
          <w:color w:val="000000" w:themeColor="text1"/>
        </w:rPr>
        <w:t>Bhopal Gas Peedith Mahila Udyog Sangathan v Union of India</w:t>
      </w:r>
      <w:r w:rsidR="00002CD4" w:rsidRPr="002C4CC5">
        <w:rPr>
          <w:rStyle w:val="FootnoteReference"/>
          <w:i/>
          <w:iCs/>
          <w:color w:val="000000" w:themeColor="text1"/>
        </w:rPr>
        <w:footnoteReference w:id="105"/>
      </w:r>
      <w:r w:rsidR="00FD13A3" w:rsidRPr="002C4CC5">
        <w:rPr>
          <w:i/>
          <w:iCs/>
          <w:color w:val="000000" w:themeColor="text1"/>
        </w:rPr>
        <w:t xml:space="preserve"> </w:t>
      </w:r>
      <w:r w:rsidR="00E5349A" w:rsidRPr="002C4CC5">
        <w:rPr>
          <w:color w:val="000000" w:themeColor="text1"/>
        </w:rPr>
        <w:t xml:space="preserve">transferred all environmental cases, both active and prospective, to the NGT to render expeditious and specialised judgments and to avoid the likelihood of conflicts of orders between High Courts and the NGT. </w:t>
      </w:r>
      <w:r w:rsidR="00FD13A3" w:rsidRPr="002C4CC5">
        <w:rPr>
          <w:color w:val="000000" w:themeColor="text1"/>
        </w:rPr>
        <w:t xml:space="preserve">The court ordered </w:t>
      </w:r>
      <w:r w:rsidR="0071585A" w:rsidRPr="002C4CC5">
        <w:rPr>
          <w:color w:val="000000" w:themeColor="text1"/>
        </w:rPr>
        <w:t>“</w:t>
      </w:r>
      <w:r w:rsidR="00426BFF" w:rsidRPr="002C4CC5">
        <w:rPr>
          <w:rFonts w:eastAsia="Times New Roman"/>
          <w:color w:val="000000" w:themeColor="text1"/>
          <w:shd w:val="clear" w:color="auto" w:fill="FFFFFF"/>
        </w:rPr>
        <w:t>in unambiguous terms, we direct that all the matters instituted after coming into force of the</w:t>
      </w:r>
      <w:r w:rsidR="00FD13A3" w:rsidRPr="002C4CC5">
        <w:rPr>
          <w:rFonts w:eastAsia="Times New Roman"/>
          <w:color w:val="000000" w:themeColor="text1"/>
          <w:shd w:val="clear" w:color="auto" w:fill="FFFFFF"/>
        </w:rPr>
        <w:t xml:space="preserve"> NGT</w:t>
      </w:r>
      <w:r w:rsidR="009F4466" w:rsidRPr="002C4CC5">
        <w:rPr>
          <w:rFonts w:eastAsia="Times New Roman"/>
          <w:color w:val="000000" w:themeColor="text1"/>
          <w:shd w:val="clear" w:color="auto" w:fill="FFFFFF"/>
        </w:rPr>
        <w:t xml:space="preserve"> </w:t>
      </w:r>
      <w:r w:rsidR="00426BFF" w:rsidRPr="002C4CC5">
        <w:rPr>
          <w:rFonts w:eastAsia="Times New Roman"/>
          <w:color w:val="000000" w:themeColor="text1"/>
          <w:shd w:val="clear" w:color="auto" w:fill="FFFFFF"/>
        </w:rPr>
        <w:t>Act and which are covered under the provisions of the</w:t>
      </w:r>
      <w:r w:rsidR="00FD13A3" w:rsidRPr="002C4CC5">
        <w:rPr>
          <w:rFonts w:eastAsia="Times New Roman"/>
          <w:color w:val="000000" w:themeColor="text1"/>
          <w:shd w:val="clear" w:color="auto" w:fill="FFFFFF"/>
        </w:rPr>
        <w:t xml:space="preserve"> NGT </w:t>
      </w:r>
      <w:r w:rsidR="00426BFF" w:rsidRPr="002C4CC5">
        <w:rPr>
          <w:rFonts w:eastAsia="Times New Roman"/>
          <w:color w:val="000000" w:themeColor="text1"/>
          <w:shd w:val="clear" w:color="auto" w:fill="FFFFFF"/>
        </w:rPr>
        <w:t>Ac</w:t>
      </w:r>
      <w:r w:rsidR="00FD13A3" w:rsidRPr="002C4CC5">
        <w:rPr>
          <w:rFonts w:eastAsia="Times New Roman"/>
          <w:color w:val="000000" w:themeColor="text1"/>
          <w:shd w:val="clear" w:color="auto" w:fill="FFFFFF"/>
        </w:rPr>
        <w:t xml:space="preserve">t </w:t>
      </w:r>
      <w:r w:rsidR="00426BFF" w:rsidRPr="002C4CC5">
        <w:rPr>
          <w:rFonts w:eastAsia="Times New Roman"/>
          <w:color w:val="000000" w:themeColor="text1"/>
          <w:shd w:val="clear" w:color="auto" w:fill="FFFFFF"/>
        </w:rPr>
        <w:t>shall stand transferred and can be instituted only before the </w:t>
      </w:r>
      <w:r w:rsidR="00FD13A3" w:rsidRPr="002C4CC5">
        <w:rPr>
          <w:rFonts w:eastAsia="Times New Roman"/>
          <w:color w:val="000000" w:themeColor="text1"/>
          <w:shd w:val="clear" w:color="auto" w:fill="FFFFFF"/>
        </w:rPr>
        <w:t>NGT</w:t>
      </w:r>
      <w:r w:rsidR="00426BFF" w:rsidRPr="002C4CC5">
        <w:rPr>
          <w:rFonts w:eastAsia="Times New Roman"/>
          <w:color w:val="000000" w:themeColor="text1"/>
          <w:shd w:val="clear" w:color="auto" w:fill="FFFFFF"/>
        </w:rPr>
        <w:t>. This will help in rendering expeditious and specialized justice in the field of environment to all concerned.</w:t>
      </w:r>
      <w:r w:rsidR="0071585A" w:rsidRPr="002C4CC5">
        <w:rPr>
          <w:rFonts w:eastAsia="Times New Roman"/>
          <w:color w:val="000000" w:themeColor="text1"/>
          <w:shd w:val="clear" w:color="auto" w:fill="FFFFFF"/>
        </w:rPr>
        <w:t>”</w:t>
      </w:r>
      <w:r w:rsidR="005B2A16" w:rsidRPr="002C4CC5">
        <w:rPr>
          <w:rStyle w:val="FootnoteReference"/>
          <w:rFonts w:eastAsia="Times New Roman"/>
          <w:color w:val="000000" w:themeColor="text1"/>
          <w:shd w:val="clear" w:color="auto" w:fill="FFFFFF"/>
        </w:rPr>
        <w:footnoteReference w:id="106"/>
      </w:r>
      <w:r w:rsidR="00897D21" w:rsidRPr="002C4CC5">
        <w:rPr>
          <w:color w:val="000000" w:themeColor="text1"/>
        </w:rPr>
        <w:t xml:space="preserve"> </w:t>
      </w:r>
      <w:r w:rsidRPr="002C4CC5">
        <w:rPr>
          <w:color w:val="000000" w:themeColor="text1"/>
        </w:rPr>
        <w:t>T</w:t>
      </w:r>
      <w:r w:rsidR="00C97910" w:rsidRPr="002C4CC5">
        <w:rPr>
          <w:color w:val="000000" w:themeColor="text1"/>
        </w:rPr>
        <w:t>he Supreme Court of India</w:t>
      </w:r>
      <w:r w:rsidRPr="002C4CC5">
        <w:rPr>
          <w:color w:val="000000" w:themeColor="text1"/>
        </w:rPr>
        <w:t xml:space="preserve"> again</w:t>
      </w:r>
      <w:r w:rsidR="00C97910" w:rsidRPr="002C4CC5">
        <w:rPr>
          <w:color w:val="000000" w:themeColor="text1"/>
        </w:rPr>
        <w:t xml:space="preserve"> transferred more than 300 cases to the NGT in 2015. The Green Bench</w:t>
      </w:r>
      <w:r w:rsidR="00BC6A70" w:rsidRPr="002C4CC5">
        <w:rPr>
          <w:color w:val="000000" w:themeColor="text1"/>
        </w:rPr>
        <w:t xml:space="preserve"> of the Supreme Court</w:t>
      </w:r>
      <w:r w:rsidR="00C97910" w:rsidRPr="002C4CC5">
        <w:rPr>
          <w:color w:val="000000" w:themeColor="text1"/>
        </w:rPr>
        <w:t xml:space="preserve">, headed by the then Chief Justice H L Dattu decided to </w:t>
      </w:r>
      <w:r w:rsidRPr="002C4CC5">
        <w:rPr>
          <w:color w:val="000000" w:themeColor="text1"/>
        </w:rPr>
        <w:t>release</w:t>
      </w:r>
      <w:r w:rsidR="00C97910" w:rsidRPr="002C4CC5">
        <w:rPr>
          <w:color w:val="000000" w:themeColor="text1"/>
        </w:rPr>
        <w:t xml:space="preserve"> several cases for swift decisions, thereby also shedding its pendency.</w:t>
      </w:r>
      <w:r w:rsidR="005668DF" w:rsidRPr="002C4CC5">
        <w:rPr>
          <w:rStyle w:val="FootnoteReference"/>
          <w:color w:val="000000" w:themeColor="text1"/>
        </w:rPr>
        <w:footnoteReference w:id="107"/>
      </w:r>
      <w:r w:rsidR="00C97910" w:rsidRPr="002C4CC5">
        <w:rPr>
          <w:color w:val="000000" w:themeColor="text1"/>
        </w:rPr>
        <w:t xml:space="preserve"> </w:t>
      </w:r>
      <w:r w:rsidR="00C97910" w:rsidRPr="002C4CC5">
        <w:rPr>
          <w:i/>
          <w:iCs/>
          <w:color w:val="000000" w:themeColor="text1"/>
        </w:rPr>
        <w:t xml:space="preserve"> </w:t>
      </w:r>
    </w:p>
    <w:p w14:paraId="55D22BFD" w14:textId="49894663" w:rsidR="0096469F" w:rsidRPr="002C4CC5" w:rsidRDefault="0096469F" w:rsidP="00D77E98">
      <w:pPr>
        <w:pStyle w:val="Heading3"/>
        <w:spacing w:line="360" w:lineRule="auto"/>
      </w:pPr>
      <w:r w:rsidRPr="002C4CC5">
        <w:t>2</w:t>
      </w:r>
      <w:r w:rsidR="000D7001">
        <w:t>.</w:t>
      </w:r>
      <w:r w:rsidRPr="002C4CC5">
        <w:t xml:space="preserve"> Learning new meaning for old concepts</w:t>
      </w:r>
    </w:p>
    <w:p w14:paraId="260754A8" w14:textId="77777777" w:rsidR="0096469F" w:rsidRPr="002C4CC5" w:rsidRDefault="0096469F" w:rsidP="00D77E98">
      <w:pPr>
        <w:spacing w:line="360" w:lineRule="auto"/>
        <w:rPr>
          <w:i/>
          <w:color w:val="000000" w:themeColor="text1"/>
        </w:rPr>
      </w:pPr>
    </w:p>
    <w:p w14:paraId="11CA4E52" w14:textId="01EF9572" w:rsidR="00B468B5" w:rsidRPr="002C4CC5" w:rsidRDefault="00C75D5A" w:rsidP="00D77E98">
      <w:pPr>
        <w:spacing w:line="360" w:lineRule="auto"/>
        <w:rPr>
          <w:rFonts w:eastAsia="Times New Roman"/>
          <w:color w:val="000000" w:themeColor="text1"/>
        </w:rPr>
      </w:pPr>
      <w:r w:rsidRPr="002C4CC5">
        <w:rPr>
          <w:color w:val="000000" w:themeColor="text1"/>
        </w:rPr>
        <w:t xml:space="preserve">Internally, the NGT demarcated the operational changes by redefining the intellectual activity that embraced environmental disputes. </w:t>
      </w:r>
      <w:r w:rsidR="00E263C1" w:rsidRPr="002C4CC5">
        <w:rPr>
          <w:i/>
          <w:color w:val="000000" w:themeColor="text1"/>
        </w:rPr>
        <w:t>Learning new meaning for old concepts</w:t>
      </w:r>
      <w:r w:rsidR="007E7553" w:rsidRPr="002C4CC5">
        <w:rPr>
          <w:color w:val="000000" w:themeColor="text1"/>
        </w:rPr>
        <w:t xml:space="preserve"> </w:t>
      </w:r>
      <w:r w:rsidR="00E263C1" w:rsidRPr="002C4CC5">
        <w:rPr>
          <w:color w:val="000000" w:themeColor="text1"/>
        </w:rPr>
        <w:t>was t</w:t>
      </w:r>
      <w:r w:rsidR="005A4D2B" w:rsidRPr="002C4CC5">
        <w:rPr>
          <w:color w:val="000000" w:themeColor="text1"/>
        </w:rPr>
        <w:t>he second step reflecting</w:t>
      </w:r>
      <w:r w:rsidR="00E263C1" w:rsidRPr="002C4CC5">
        <w:rPr>
          <w:color w:val="000000" w:themeColor="text1"/>
        </w:rPr>
        <w:t xml:space="preserve"> </w:t>
      </w:r>
      <w:r w:rsidR="00941FC4" w:rsidRPr="002C4CC5">
        <w:rPr>
          <w:color w:val="000000" w:themeColor="text1"/>
        </w:rPr>
        <w:t>“new learning”</w:t>
      </w:r>
      <w:r w:rsidRPr="002C4CC5">
        <w:rPr>
          <w:color w:val="000000" w:themeColor="text1"/>
        </w:rPr>
        <w:t xml:space="preserve"> in the NGT</w:t>
      </w:r>
      <w:r w:rsidR="0019454F" w:rsidRPr="002C4CC5">
        <w:rPr>
          <w:color w:val="000000" w:themeColor="text1"/>
        </w:rPr>
        <w:t xml:space="preserve">. These internal forces </w:t>
      </w:r>
      <w:r w:rsidRPr="002C4CC5">
        <w:rPr>
          <w:color w:val="000000" w:themeColor="text1"/>
        </w:rPr>
        <w:t xml:space="preserve">within the </w:t>
      </w:r>
      <w:r w:rsidR="00021CDC" w:rsidRPr="002C4CC5">
        <w:rPr>
          <w:color w:val="000000" w:themeColor="text1"/>
        </w:rPr>
        <w:t>Tribunal</w:t>
      </w:r>
      <w:r w:rsidRPr="002C4CC5">
        <w:rPr>
          <w:color w:val="000000" w:themeColor="text1"/>
        </w:rPr>
        <w:t xml:space="preserve"> </w:t>
      </w:r>
      <w:r w:rsidR="0019454F" w:rsidRPr="002C4CC5">
        <w:rPr>
          <w:color w:val="000000" w:themeColor="text1"/>
        </w:rPr>
        <w:t>c</w:t>
      </w:r>
      <w:r w:rsidR="005F7A99" w:rsidRPr="002C4CC5">
        <w:rPr>
          <w:color w:val="000000" w:themeColor="text1"/>
        </w:rPr>
        <w:t>orrespond</w:t>
      </w:r>
      <w:r w:rsidR="0019454F" w:rsidRPr="002C4CC5">
        <w:rPr>
          <w:color w:val="000000" w:themeColor="text1"/>
        </w:rPr>
        <w:t xml:space="preserve">ed </w:t>
      </w:r>
      <w:r w:rsidR="00890437" w:rsidRPr="002C4CC5">
        <w:rPr>
          <w:color w:val="000000" w:themeColor="text1"/>
        </w:rPr>
        <w:t xml:space="preserve">and helped the NGT realise the vision </w:t>
      </w:r>
      <w:r w:rsidR="006A6C05" w:rsidRPr="002C4CC5">
        <w:rPr>
          <w:color w:val="000000" w:themeColor="text1"/>
        </w:rPr>
        <w:t>of institutionalising the l</w:t>
      </w:r>
      <w:r w:rsidR="005F7A99" w:rsidRPr="002C4CC5">
        <w:rPr>
          <w:color w:val="000000" w:themeColor="text1"/>
        </w:rPr>
        <w:t>arger welfare and interest of the society and environmental protection</w:t>
      </w:r>
      <w:r w:rsidR="009A6F8B" w:rsidRPr="002C4CC5">
        <w:rPr>
          <w:color w:val="000000" w:themeColor="text1"/>
        </w:rPr>
        <w:t>. They supported the</w:t>
      </w:r>
      <w:r w:rsidR="00A53C17" w:rsidRPr="002C4CC5">
        <w:rPr>
          <w:color w:val="000000" w:themeColor="text1"/>
        </w:rPr>
        <w:t xml:space="preserve"> </w:t>
      </w:r>
      <w:r w:rsidR="00A53C17" w:rsidRPr="002C4CC5">
        <w:rPr>
          <w:rFonts w:eastAsia="Times New Roman"/>
          <w:color w:val="000000" w:themeColor="text1"/>
        </w:rPr>
        <w:t>attain</w:t>
      </w:r>
      <w:r w:rsidR="009A6F8B" w:rsidRPr="002C4CC5">
        <w:rPr>
          <w:rFonts w:eastAsia="Times New Roman"/>
          <w:color w:val="000000" w:themeColor="text1"/>
        </w:rPr>
        <w:t>ment of</w:t>
      </w:r>
      <w:r w:rsidR="00A53C17" w:rsidRPr="002C4CC5">
        <w:rPr>
          <w:rFonts w:eastAsia="Times New Roman"/>
          <w:color w:val="000000" w:themeColor="text1"/>
        </w:rPr>
        <w:t xml:space="preserve"> the objectives of prevention and protection of environmental pollution</w:t>
      </w:r>
      <w:r w:rsidR="009A6F8B" w:rsidRPr="002C4CC5">
        <w:rPr>
          <w:rFonts w:eastAsia="Times New Roman"/>
          <w:color w:val="000000" w:themeColor="text1"/>
        </w:rPr>
        <w:t xml:space="preserve">, </w:t>
      </w:r>
      <w:r w:rsidR="00A53C17" w:rsidRPr="002C4CC5">
        <w:rPr>
          <w:rFonts w:eastAsia="Times New Roman"/>
          <w:color w:val="000000" w:themeColor="text1"/>
        </w:rPr>
        <w:t>provide administration of environmental justice and ma</w:t>
      </w:r>
      <w:r w:rsidR="009A6F8B" w:rsidRPr="002C4CC5">
        <w:rPr>
          <w:rFonts w:eastAsia="Times New Roman"/>
          <w:color w:val="000000" w:themeColor="text1"/>
        </w:rPr>
        <w:t>d</w:t>
      </w:r>
      <w:r w:rsidR="00A53C17" w:rsidRPr="002C4CC5">
        <w:rPr>
          <w:rFonts w:eastAsia="Times New Roman"/>
          <w:color w:val="000000" w:themeColor="text1"/>
        </w:rPr>
        <w:t xml:space="preserve">e </w:t>
      </w:r>
      <w:r w:rsidR="00F87B66" w:rsidRPr="002C4CC5">
        <w:rPr>
          <w:rFonts w:eastAsia="Times New Roman"/>
          <w:color w:val="000000" w:themeColor="text1"/>
        </w:rPr>
        <w:t>them</w:t>
      </w:r>
      <w:r w:rsidR="00A53C17" w:rsidRPr="002C4CC5">
        <w:rPr>
          <w:rFonts w:eastAsia="Times New Roman"/>
          <w:color w:val="000000" w:themeColor="text1"/>
        </w:rPr>
        <w:t xml:space="preserve"> </w:t>
      </w:r>
      <w:r w:rsidR="007D1FF2" w:rsidRPr="002C4CC5">
        <w:rPr>
          <w:rFonts w:eastAsia="Times New Roman"/>
          <w:color w:val="000000" w:themeColor="text1"/>
        </w:rPr>
        <w:t>more</w:t>
      </w:r>
      <w:r w:rsidR="00A53C17" w:rsidRPr="002C4CC5">
        <w:rPr>
          <w:rFonts w:eastAsia="Times New Roman"/>
          <w:color w:val="000000" w:themeColor="text1"/>
        </w:rPr>
        <w:t xml:space="preserve"> accessible within the framework of the statute</w:t>
      </w:r>
      <w:r w:rsidR="009A6F8B" w:rsidRPr="002C4CC5">
        <w:rPr>
          <w:rFonts w:eastAsia="Times New Roman"/>
          <w:color w:val="000000" w:themeColor="text1"/>
        </w:rPr>
        <w:t xml:space="preserve">. </w:t>
      </w:r>
      <w:r w:rsidR="009F7304" w:rsidRPr="002C4CC5">
        <w:rPr>
          <w:rFonts w:eastAsia="Times New Roman"/>
          <w:color w:val="000000" w:themeColor="text1"/>
        </w:rPr>
        <w:t>There was a</w:t>
      </w:r>
      <w:r w:rsidR="00A53C17" w:rsidRPr="002C4CC5">
        <w:rPr>
          <w:color w:val="000000" w:themeColor="text1"/>
        </w:rPr>
        <w:t xml:space="preserve"> </w:t>
      </w:r>
      <w:r w:rsidR="0013412A" w:rsidRPr="002C4CC5">
        <w:rPr>
          <w:color w:val="000000" w:themeColor="text1"/>
        </w:rPr>
        <w:t xml:space="preserve">need to enhance the principles of environmental democracy </w:t>
      </w:r>
      <w:r w:rsidR="005E3067" w:rsidRPr="002C4CC5">
        <w:rPr>
          <w:color w:val="000000" w:themeColor="text1"/>
        </w:rPr>
        <w:t xml:space="preserve">and rule of law </w:t>
      </w:r>
      <w:r w:rsidR="0013412A" w:rsidRPr="002C4CC5">
        <w:rPr>
          <w:color w:val="000000" w:themeColor="text1"/>
        </w:rPr>
        <w:t>that include fairness, public participation, transparency and accountability</w:t>
      </w:r>
      <w:r w:rsidR="009F7304" w:rsidRPr="002C4CC5">
        <w:rPr>
          <w:color w:val="000000" w:themeColor="text1"/>
        </w:rPr>
        <w:t>.</w:t>
      </w:r>
      <w:r w:rsidR="0013412A" w:rsidRPr="002C4CC5">
        <w:rPr>
          <w:color w:val="000000" w:themeColor="text1"/>
        </w:rPr>
        <w:t xml:space="preserve"> </w:t>
      </w:r>
      <w:r w:rsidR="009F7304" w:rsidRPr="002C4CC5">
        <w:rPr>
          <w:color w:val="000000" w:themeColor="text1"/>
        </w:rPr>
        <w:t>I</w:t>
      </w:r>
      <w:r w:rsidR="0013412A" w:rsidRPr="002C4CC5">
        <w:rPr>
          <w:color w:val="000000" w:themeColor="text1"/>
        </w:rPr>
        <w:t xml:space="preserve">n-house expertise with knowledge and skills </w:t>
      </w:r>
      <w:r w:rsidR="009F7304" w:rsidRPr="002C4CC5">
        <w:rPr>
          <w:color w:val="000000" w:themeColor="text1"/>
        </w:rPr>
        <w:t>via</w:t>
      </w:r>
      <w:r w:rsidR="0013412A" w:rsidRPr="002C4CC5">
        <w:rPr>
          <w:color w:val="000000" w:themeColor="text1"/>
        </w:rPr>
        <w:t xml:space="preserve"> </w:t>
      </w:r>
      <w:r w:rsidR="005F7A99" w:rsidRPr="002C4CC5">
        <w:rPr>
          <w:color w:val="000000" w:themeColor="text1"/>
        </w:rPr>
        <w:t xml:space="preserve">a </w:t>
      </w:r>
      <w:r w:rsidR="00425D61" w:rsidRPr="002C4CC5">
        <w:rPr>
          <w:color w:val="000000" w:themeColor="text1"/>
        </w:rPr>
        <w:t xml:space="preserve">new </w:t>
      </w:r>
      <w:r w:rsidR="005F7A99" w:rsidRPr="002C4CC5">
        <w:rPr>
          <w:color w:val="000000" w:themeColor="text1"/>
        </w:rPr>
        <w:t xml:space="preserve">visionary </w:t>
      </w:r>
      <w:r w:rsidR="005E3067" w:rsidRPr="002C4CC5">
        <w:rPr>
          <w:color w:val="000000" w:themeColor="text1"/>
        </w:rPr>
        <w:t>CEO (Chairperson</w:t>
      </w:r>
      <w:r w:rsidR="007D1FF2" w:rsidRPr="002C4CC5">
        <w:rPr>
          <w:color w:val="000000" w:themeColor="text1"/>
        </w:rPr>
        <w:t xml:space="preserve"> Kumar</w:t>
      </w:r>
      <w:r w:rsidR="005E3067" w:rsidRPr="002C4CC5">
        <w:rPr>
          <w:color w:val="000000" w:themeColor="text1"/>
        </w:rPr>
        <w:t xml:space="preserve"> in the case of NGT</w:t>
      </w:r>
      <w:r w:rsidR="009F7304" w:rsidRPr="002C4CC5">
        <w:rPr>
          <w:color w:val="000000" w:themeColor="text1"/>
        </w:rPr>
        <w:t>.</w:t>
      </w:r>
      <w:r w:rsidR="00425D61" w:rsidRPr="002C4CC5">
        <w:rPr>
          <w:color w:val="000000" w:themeColor="text1"/>
        </w:rPr>
        <w:t xml:space="preserve">) </w:t>
      </w:r>
      <w:r w:rsidR="009F7304" w:rsidRPr="002C4CC5">
        <w:rPr>
          <w:color w:val="000000" w:themeColor="text1"/>
        </w:rPr>
        <w:t>C</w:t>
      </w:r>
      <w:r w:rsidR="00964CA6" w:rsidRPr="002C4CC5">
        <w:rPr>
          <w:color w:val="000000" w:themeColor="text1"/>
        </w:rPr>
        <w:t>hange</w:t>
      </w:r>
      <w:r w:rsidR="009F7304" w:rsidRPr="002C4CC5">
        <w:rPr>
          <w:color w:val="000000" w:themeColor="text1"/>
        </w:rPr>
        <w:t xml:space="preserve"> occurred </w:t>
      </w:r>
      <w:r w:rsidR="00FE5DA6" w:rsidRPr="002C4CC5">
        <w:rPr>
          <w:color w:val="000000" w:themeColor="text1"/>
        </w:rPr>
        <w:t>through task and social leadership</w:t>
      </w:r>
      <w:r w:rsidR="005E3067" w:rsidRPr="002C4CC5">
        <w:rPr>
          <w:color w:val="000000" w:themeColor="text1"/>
        </w:rPr>
        <w:t xml:space="preserve"> and customer-oriented demand (the litigants and lawyers)</w:t>
      </w:r>
      <w:r w:rsidR="00FE5DA6" w:rsidRPr="002C4CC5">
        <w:rPr>
          <w:color w:val="000000" w:themeColor="text1"/>
        </w:rPr>
        <w:t xml:space="preserve"> to access environmental justice</w:t>
      </w:r>
      <w:r w:rsidR="00943BC6" w:rsidRPr="002C4CC5">
        <w:rPr>
          <w:color w:val="000000" w:themeColor="text1"/>
        </w:rPr>
        <w:t xml:space="preserve">. </w:t>
      </w:r>
    </w:p>
    <w:p w14:paraId="7684FF84" w14:textId="77777777" w:rsidR="00BA75D3" w:rsidRPr="002C4CC5" w:rsidRDefault="00BA75D3" w:rsidP="002C4CC5">
      <w:pPr>
        <w:spacing w:line="360" w:lineRule="auto"/>
        <w:rPr>
          <w:color w:val="000000" w:themeColor="text1"/>
        </w:rPr>
      </w:pPr>
    </w:p>
    <w:p w14:paraId="223C6604" w14:textId="19C54182" w:rsidR="00EC7ED2" w:rsidRPr="002C4CC5" w:rsidRDefault="00B42133" w:rsidP="002C4CC5">
      <w:pPr>
        <w:widowControl w:val="0"/>
        <w:autoSpaceDE w:val="0"/>
        <w:autoSpaceDN w:val="0"/>
        <w:adjustRightInd w:val="0"/>
        <w:spacing w:after="240" w:line="360" w:lineRule="auto"/>
        <w:rPr>
          <w:color w:val="000000" w:themeColor="text1"/>
        </w:rPr>
      </w:pPr>
      <w:r w:rsidRPr="002C4CC5">
        <w:rPr>
          <w:color w:val="000000" w:themeColor="text1"/>
        </w:rPr>
        <w:t xml:space="preserve">In terms of </w:t>
      </w:r>
      <w:r w:rsidRPr="002C4CC5">
        <w:rPr>
          <w:i/>
          <w:color w:val="000000" w:themeColor="text1"/>
        </w:rPr>
        <w:t>learning new meaning for old concepts</w:t>
      </w:r>
      <w:r w:rsidR="009C7F1E" w:rsidRPr="002C4CC5">
        <w:rPr>
          <w:color w:val="000000" w:themeColor="text1"/>
        </w:rPr>
        <w:t xml:space="preserve">, </w:t>
      </w:r>
      <w:r w:rsidR="00A977BB" w:rsidRPr="002C4CC5">
        <w:rPr>
          <w:color w:val="000000" w:themeColor="text1"/>
        </w:rPr>
        <w:t>“standing”</w:t>
      </w:r>
      <w:r w:rsidR="009C7F1E" w:rsidRPr="002C4CC5">
        <w:rPr>
          <w:color w:val="000000" w:themeColor="text1"/>
        </w:rPr>
        <w:t xml:space="preserve"> </w:t>
      </w:r>
      <w:r w:rsidR="009F7304" w:rsidRPr="002C4CC5">
        <w:rPr>
          <w:color w:val="000000" w:themeColor="text1"/>
        </w:rPr>
        <w:t>was</w:t>
      </w:r>
      <w:r w:rsidR="009C7F1E" w:rsidRPr="002C4CC5">
        <w:rPr>
          <w:color w:val="000000" w:themeColor="text1"/>
        </w:rPr>
        <w:t xml:space="preserve"> reformulated in terms of 'an aggrieved person'</w:t>
      </w:r>
      <w:r w:rsidR="006C0795" w:rsidRPr="002C4CC5">
        <w:rPr>
          <w:rStyle w:val="FootnoteReference"/>
          <w:color w:val="000000" w:themeColor="text1"/>
        </w:rPr>
        <w:footnoteReference w:id="108"/>
      </w:r>
      <w:r w:rsidR="009C7F1E" w:rsidRPr="002C4CC5">
        <w:rPr>
          <w:color w:val="000000" w:themeColor="text1"/>
        </w:rPr>
        <w:t xml:space="preserve"> who has the right to approach the </w:t>
      </w:r>
      <w:r w:rsidR="00021CDC" w:rsidRPr="002C4CC5">
        <w:rPr>
          <w:color w:val="000000" w:themeColor="text1"/>
        </w:rPr>
        <w:t>Tribunal</w:t>
      </w:r>
      <w:r w:rsidR="009C7F1E" w:rsidRPr="002C4CC5">
        <w:rPr>
          <w:color w:val="000000" w:themeColor="text1"/>
        </w:rPr>
        <w:t xml:space="preserve"> under its original</w:t>
      </w:r>
      <w:r w:rsidR="00B165BA" w:rsidRPr="002C4CC5">
        <w:rPr>
          <w:rStyle w:val="FootnoteReference"/>
          <w:color w:val="000000" w:themeColor="text1"/>
        </w:rPr>
        <w:footnoteReference w:id="109"/>
      </w:r>
      <w:r w:rsidR="009C7F1E" w:rsidRPr="002C4CC5">
        <w:rPr>
          <w:color w:val="000000" w:themeColor="text1"/>
        </w:rPr>
        <w:t xml:space="preserve"> or appellate jurisdiction</w:t>
      </w:r>
      <w:r w:rsidR="0055735D" w:rsidRPr="002C4CC5">
        <w:rPr>
          <w:rStyle w:val="FootnoteReference"/>
          <w:color w:val="000000" w:themeColor="text1"/>
        </w:rPr>
        <w:footnoteReference w:id="110"/>
      </w:r>
      <w:r w:rsidR="008E781E" w:rsidRPr="002C4CC5">
        <w:rPr>
          <w:color w:val="000000" w:themeColor="text1"/>
        </w:rPr>
        <w:t xml:space="preserve"> under the NGT Act</w:t>
      </w:r>
      <w:r w:rsidR="009C7F1E" w:rsidRPr="002C4CC5">
        <w:rPr>
          <w:color w:val="000000" w:themeColor="text1"/>
        </w:rPr>
        <w:t>. Traditionally</w:t>
      </w:r>
      <w:r w:rsidR="009F7304" w:rsidRPr="002C4CC5">
        <w:rPr>
          <w:color w:val="000000" w:themeColor="text1"/>
        </w:rPr>
        <w:t xml:space="preserve"> in India</w:t>
      </w:r>
      <w:r w:rsidR="0024462E" w:rsidRPr="002C4CC5">
        <w:rPr>
          <w:color w:val="000000" w:themeColor="text1"/>
        </w:rPr>
        <w:t xml:space="preserve"> </w:t>
      </w:r>
      <w:r w:rsidR="00F92D91" w:rsidRPr="002C4CC5">
        <w:rPr>
          <w:color w:val="000000" w:themeColor="text1"/>
        </w:rPr>
        <w:t>t</w:t>
      </w:r>
      <w:r w:rsidR="00530E04" w:rsidRPr="002C4CC5">
        <w:rPr>
          <w:color w:val="000000" w:themeColor="text1"/>
        </w:rPr>
        <w:t xml:space="preserve">he concept of litigant </w:t>
      </w:r>
      <w:r w:rsidR="00A977BB" w:rsidRPr="002C4CC5">
        <w:rPr>
          <w:color w:val="000000" w:themeColor="text1"/>
        </w:rPr>
        <w:t>“standing”</w:t>
      </w:r>
      <w:r w:rsidR="00530E04" w:rsidRPr="002C4CC5">
        <w:rPr>
          <w:color w:val="000000" w:themeColor="text1"/>
        </w:rPr>
        <w:t xml:space="preserve"> in environmental matters has been broad and liberal, facilitated </w:t>
      </w:r>
      <w:r w:rsidR="00530E04" w:rsidRPr="002C4CC5">
        <w:rPr>
          <w:bCs/>
          <w:color w:val="000000" w:themeColor="text1"/>
        </w:rPr>
        <w:t>by public interest litigation (</w:t>
      </w:r>
      <w:r w:rsidR="00530E04" w:rsidRPr="002C4CC5">
        <w:rPr>
          <w:color w:val="000000" w:themeColor="text1"/>
        </w:rPr>
        <w:t>PIL)</w:t>
      </w:r>
      <w:r w:rsidR="009C7F1E" w:rsidRPr="002C4CC5">
        <w:rPr>
          <w:color w:val="000000" w:themeColor="text1"/>
        </w:rPr>
        <w:t xml:space="preserve"> through two ways, namely, representative and citizen standing. </w:t>
      </w:r>
      <w:r w:rsidR="00530E04" w:rsidRPr="002C4CC5">
        <w:rPr>
          <w:color w:val="000000" w:themeColor="text1"/>
        </w:rPr>
        <w:t xml:space="preserve">The Supreme </w:t>
      </w:r>
      <w:r w:rsidR="00244EB2" w:rsidRPr="002C4CC5">
        <w:rPr>
          <w:color w:val="000000" w:themeColor="text1"/>
        </w:rPr>
        <w:t>Court</w:t>
      </w:r>
      <w:r w:rsidR="009C7F1E" w:rsidRPr="002C4CC5">
        <w:rPr>
          <w:color w:val="000000" w:themeColor="text1"/>
        </w:rPr>
        <w:t xml:space="preserve"> </w:t>
      </w:r>
      <w:r w:rsidR="0004169F" w:rsidRPr="002C4CC5">
        <w:rPr>
          <w:color w:val="000000" w:themeColor="text1"/>
        </w:rPr>
        <w:t>acting as “amicus environment”</w:t>
      </w:r>
      <w:r w:rsidR="00530E04" w:rsidRPr="002C4CC5">
        <w:rPr>
          <w:color w:val="000000" w:themeColor="text1"/>
        </w:rPr>
        <w:t xml:space="preserve"> locked together the issues of human rights and the environment to develop </w:t>
      </w:r>
      <w:r w:rsidR="00530E04" w:rsidRPr="002C4CC5">
        <w:rPr>
          <w:i/>
          <w:iCs/>
          <w:color w:val="000000" w:themeColor="text1"/>
        </w:rPr>
        <w:t xml:space="preserve">sui generis </w:t>
      </w:r>
      <w:r w:rsidR="00530E04" w:rsidRPr="002C4CC5">
        <w:rPr>
          <w:color w:val="000000" w:themeColor="text1"/>
        </w:rPr>
        <w:t>environmental discourse entertaining PIL petitions, seeking remedies, including guidelines and directions in the absence of legislation.</w:t>
      </w:r>
      <w:r w:rsidR="00EC7ED2" w:rsidRPr="002C4CC5">
        <w:rPr>
          <w:rStyle w:val="FootnoteReference"/>
          <w:color w:val="000000" w:themeColor="text1"/>
        </w:rPr>
        <w:footnoteReference w:id="111"/>
      </w:r>
      <w:r w:rsidR="00530E04" w:rsidRPr="002C4CC5">
        <w:rPr>
          <w:color w:val="000000" w:themeColor="text1"/>
        </w:rPr>
        <w:t xml:space="preserve"> </w:t>
      </w:r>
    </w:p>
    <w:p w14:paraId="3BB3E661" w14:textId="2F25D89B" w:rsidR="00331E2B" w:rsidRPr="002C4CC5" w:rsidRDefault="009C7F1E" w:rsidP="002C4CC5">
      <w:pPr>
        <w:widowControl w:val="0"/>
        <w:autoSpaceDE w:val="0"/>
        <w:autoSpaceDN w:val="0"/>
        <w:adjustRightInd w:val="0"/>
        <w:spacing w:after="240" w:line="360" w:lineRule="auto"/>
        <w:rPr>
          <w:color w:val="000000" w:themeColor="text1"/>
        </w:rPr>
      </w:pPr>
      <w:r w:rsidRPr="002C4CC5">
        <w:rPr>
          <w:color w:val="000000" w:themeColor="text1"/>
        </w:rPr>
        <w:t xml:space="preserve">The NGT </w:t>
      </w:r>
      <w:r w:rsidR="00EC7ED2" w:rsidRPr="002C4CC5">
        <w:rPr>
          <w:color w:val="000000" w:themeColor="text1"/>
        </w:rPr>
        <w:t xml:space="preserve">in a similar manner </w:t>
      </w:r>
      <w:r w:rsidRPr="002C4CC5">
        <w:rPr>
          <w:color w:val="000000" w:themeColor="text1"/>
        </w:rPr>
        <w:t xml:space="preserve">created </w:t>
      </w:r>
      <w:r w:rsidR="009F7304" w:rsidRPr="002C4CC5">
        <w:rPr>
          <w:color w:val="000000" w:themeColor="text1"/>
        </w:rPr>
        <w:t>receptive</w:t>
      </w:r>
      <w:r w:rsidRPr="002C4CC5">
        <w:rPr>
          <w:color w:val="000000" w:themeColor="text1"/>
        </w:rPr>
        <w:t xml:space="preserve">, accessible opportunities for the dispossessed and representative NGOs, through the </w:t>
      </w:r>
      <w:r w:rsidR="009F7304" w:rsidRPr="002C4CC5">
        <w:rPr>
          <w:color w:val="000000" w:themeColor="text1"/>
        </w:rPr>
        <w:t xml:space="preserve">encompassing </w:t>
      </w:r>
      <w:r w:rsidRPr="002C4CC5">
        <w:rPr>
          <w:color w:val="000000" w:themeColor="text1"/>
        </w:rPr>
        <w:t xml:space="preserve">term </w:t>
      </w:r>
      <w:r w:rsidR="0004169F" w:rsidRPr="002C4CC5">
        <w:rPr>
          <w:color w:val="000000" w:themeColor="text1"/>
        </w:rPr>
        <w:t>“aggrieved person”</w:t>
      </w:r>
      <w:r w:rsidR="00E73F60" w:rsidRPr="002C4CC5">
        <w:rPr>
          <w:color w:val="000000" w:themeColor="text1"/>
        </w:rPr>
        <w:t xml:space="preserve"> the genesis of </w:t>
      </w:r>
      <w:r w:rsidR="003B7305" w:rsidRPr="002C4CC5">
        <w:rPr>
          <w:color w:val="000000" w:themeColor="text1"/>
        </w:rPr>
        <w:t>which is derived from PIL</w:t>
      </w:r>
      <w:r w:rsidR="009F7304" w:rsidRPr="002C4CC5">
        <w:rPr>
          <w:color w:val="000000" w:themeColor="text1"/>
        </w:rPr>
        <w:t>.</w:t>
      </w:r>
      <w:r w:rsidRPr="002C4CC5">
        <w:rPr>
          <w:color w:val="000000" w:themeColor="text1"/>
        </w:rPr>
        <w:t xml:space="preserve"> It championed parity of participation thereby alleviating inequality and promoting recognition, capabilities and functioning of individuals and communities in India’s environmental justice discourse.</w:t>
      </w:r>
      <w:r w:rsidR="00395B2E" w:rsidRPr="002C4CC5">
        <w:rPr>
          <w:color w:val="000000" w:themeColor="text1"/>
        </w:rPr>
        <w:t xml:space="preserve"> </w:t>
      </w:r>
      <w:r w:rsidR="00CE0400" w:rsidRPr="002C4CC5">
        <w:rPr>
          <w:color w:val="000000" w:themeColor="text1"/>
        </w:rPr>
        <w:t xml:space="preserve">The NGT, in </w:t>
      </w:r>
      <w:r w:rsidR="002E36B4" w:rsidRPr="002C4CC5">
        <w:rPr>
          <w:i/>
          <w:color w:val="000000" w:themeColor="text1"/>
        </w:rPr>
        <w:t xml:space="preserve">Samir </w:t>
      </w:r>
      <w:r w:rsidR="00331E2B" w:rsidRPr="002C4CC5">
        <w:rPr>
          <w:i/>
          <w:color w:val="000000" w:themeColor="text1"/>
        </w:rPr>
        <w:t>Mehta v Union of India</w:t>
      </w:r>
      <w:r w:rsidR="00331E2B" w:rsidRPr="002C4CC5">
        <w:rPr>
          <w:rStyle w:val="FootnoteReference"/>
          <w:color w:val="000000" w:themeColor="text1"/>
        </w:rPr>
        <w:footnoteReference w:id="112"/>
      </w:r>
      <w:r w:rsidR="00331E2B" w:rsidRPr="002C4CC5">
        <w:rPr>
          <w:color w:val="000000" w:themeColor="text1"/>
        </w:rPr>
        <w:t xml:space="preserve"> </w:t>
      </w:r>
      <w:r w:rsidR="00CE0400" w:rsidRPr="002C4CC5">
        <w:rPr>
          <w:color w:val="000000" w:themeColor="text1"/>
        </w:rPr>
        <w:t xml:space="preserve">explained the scope and ambit of </w:t>
      </w:r>
      <w:r w:rsidR="00395B2E" w:rsidRPr="002C4CC5">
        <w:rPr>
          <w:color w:val="000000" w:themeColor="text1"/>
        </w:rPr>
        <w:t xml:space="preserve">the term. The </w:t>
      </w:r>
      <w:r w:rsidR="00021CDC" w:rsidRPr="002C4CC5">
        <w:rPr>
          <w:color w:val="000000" w:themeColor="text1"/>
        </w:rPr>
        <w:t>Tribunal</w:t>
      </w:r>
      <w:r w:rsidR="00802F5E" w:rsidRPr="002C4CC5">
        <w:rPr>
          <w:color w:val="000000" w:themeColor="text1"/>
        </w:rPr>
        <w:t xml:space="preserve"> stated</w:t>
      </w:r>
      <w:r w:rsidR="00AC2F3D" w:rsidRPr="002C4CC5">
        <w:rPr>
          <w:color w:val="000000" w:themeColor="text1"/>
        </w:rPr>
        <w:t>:</w:t>
      </w:r>
      <w:r w:rsidR="00CE0400" w:rsidRPr="002C4CC5">
        <w:rPr>
          <w:color w:val="000000" w:themeColor="text1"/>
        </w:rPr>
        <w:t xml:space="preserve"> </w:t>
      </w:r>
    </w:p>
    <w:p w14:paraId="4EBFA994" w14:textId="18756AF8" w:rsidR="00331E2B" w:rsidRPr="002C4CC5" w:rsidRDefault="00331E2B" w:rsidP="002C4CC5">
      <w:pPr>
        <w:widowControl w:val="0"/>
        <w:autoSpaceDE w:val="0"/>
        <w:autoSpaceDN w:val="0"/>
        <w:adjustRightInd w:val="0"/>
        <w:spacing w:after="240" w:line="360" w:lineRule="auto"/>
        <w:rPr>
          <w:color w:val="000000" w:themeColor="text1"/>
        </w:rPr>
      </w:pPr>
      <w:r w:rsidRPr="003F71D9">
        <w:rPr>
          <w:color w:val="000000" w:themeColor="text1"/>
          <w:sz w:val="20"/>
          <w:szCs w:val="20"/>
        </w:rPr>
        <w:t>An ‘’aggrieved person” is to be given a liberal interpretation… it is an inclusive but not exhaustive definition and includes an individual, even a juridical person in any form. Environment is not a subject which is person oriented but is society centric. The impact of environment is normally felt by a larger section of the society. Whenever environment is diluted or eroded the results are not person specific. There could be cases where a person had not suffered personal injury or may not be even aggrieved personally because he may be staying at some distance from the place of occurrence or where the environmental disaster has occurred and/or the places of accident. To say that he could not bring an action, in the larger public interest and for the protection of the environment, ecology and for restitution or for remedial measures that should be taken, would be an argument without substance. At best, the person has to show that he is directly or indirectly concerned with adverse environmental impacts. The construction that will help in achieving the cause of the Act should be accepted and not the one which would result in deprivation of rights created under the statute.</w:t>
      </w:r>
      <w:r w:rsidRPr="003F71D9">
        <w:rPr>
          <w:sz w:val="20"/>
          <w:szCs w:val="20"/>
          <w:vertAlign w:val="superscript"/>
        </w:rPr>
        <w:footnoteReference w:id="113"/>
      </w:r>
      <w:r w:rsidRPr="002C4CC5">
        <w:rPr>
          <w:color w:val="000000" w:themeColor="text1"/>
        </w:rPr>
        <w:t xml:space="preserve"> </w:t>
      </w:r>
    </w:p>
    <w:p w14:paraId="5C2A81D9" w14:textId="434F1FEE" w:rsidR="00802F5E" w:rsidRPr="002C4CC5" w:rsidRDefault="00802F5E" w:rsidP="002C4CC5">
      <w:pPr>
        <w:widowControl w:val="0"/>
        <w:autoSpaceDE w:val="0"/>
        <w:autoSpaceDN w:val="0"/>
        <w:adjustRightInd w:val="0"/>
        <w:spacing w:after="240" w:line="360" w:lineRule="auto"/>
        <w:rPr>
          <w:color w:val="000000" w:themeColor="text1"/>
        </w:rPr>
      </w:pPr>
      <w:r w:rsidRPr="002C4CC5">
        <w:rPr>
          <w:color w:val="000000" w:themeColor="text1"/>
        </w:rPr>
        <w:t xml:space="preserve">The liberal approach of </w:t>
      </w:r>
      <w:r w:rsidR="005403A9" w:rsidRPr="002C4CC5">
        <w:rPr>
          <w:color w:val="000000" w:themeColor="text1"/>
        </w:rPr>
        <w:t xml:space="preserve">the </w:t>
      </w:r>
      <w:r w:rsidR="00021CDC" w:rsidRPr="002C4CC5">
        <w:rPr>
          <w:color w:val="000000" w:themeColor="text1"/>
        </w:rPr>
        <w:t>Tribunal</w:t>
      </w:r>
      <w:r w:rsidR="005403A9" w:rsidRPr="002C4CC5">
        <w:rPr>
          <w:color w:val="000000" w:themeColor="text1"/>
        </w:rPr>
        <w:t xml:space="preserve"> </w:t>
      </w:r>
      <w:r w:rsidR="00A40DF6" w:rsidRPr="002C4CC5">
        <w:rPr>
          <w:color w:val="000000" w:themeColor="text1"/>
        </w:rPr>
        <w:t xml:space="preserve">based upon the benefits of PIL </w:t>
      </w:r>
      <w:r w:rsidR="005403A9" w:rsidRPr="002C4CC5">
        <w:rPr>
          <w:color w:val="000000" w:themeColor="text1"/>
        </w:rPr>
        <w:t>is evidenced in a series of cases.</w:t>
      </w:r>
      <w:r w:rsidR="005403A9" w:rsidRPr="002C4CC5">
        <w:rPr>
          <w:rStyle w:val="FootnoteReference"/>
          <w:color w:val="000000" w:themeColor="text1"/>
        </w:rPr>
        <w:footnoteReference w:id="114"/>
      </w:r>
      <w:r w:rsidRPr="002C4CC5">
        <w:rPr>
          <w:i/>
          <w:iCs/>
          <w:color w:val="000000" w:themeColor="text1"/>
        </w:rPr>
        <w:t xml:space="preserve"> </w:t>
      </w:r>
      <w:r w:rsidRPr="002C4CC5">
        <w:rPr>
          <w:color w:val="000000" w:themeColor="text1"/>
        </w:rPr>
        <w:t>Two reasons explain this approach. The first is the inability of persons</w:t>
      </w:r>
      <w:r w:rsidR="009F4466" w:rsidRPr="002C4CC5">
        <w:rPr>
          <w:color w:val="000000" w:themeColor="text1"/>
        </w:rPr>
        <w:t xml:space="preserve"> due to poverty, ignorance or illiteracy,</w:t>
      </w:r>
      <w:r w:rsidRPr="002C4CC5">
        <w:rPr>
          <w:color w:val="000000" w:themeColor="text1"/>
        </w:rPr>
        <w:t xml:space="preserve"> living in the area or vicinity of the proposed project to understand the intrinsic scientific details coupled with the effects of the ultimate project and any disaster it may cause. Thus, </w:t>
      </w:r>
      <w:r w:rsidR="00912AC7" w:rsidRPr="002C4CC5">
        <w:rPr>
          <w:color w:val="000000" w:themeColor="text1"/>
        </w:rPr>
        <w:t>it</w:t>
      </w:r>
      <w:r w:rsidRPr="002C4CC5">
        <w:rPr>
          <w:color w:val="000000" w:themeColor="text1"/>
        </w:rPr>
        <w:t xml:space="preserve"> is </w:t>
      </w:r>
      <w:r w:rsidR="007F7C1E" w:rsidRPr="002C4CC5">
        <w:rPr>
          <w:color w:val="000000" w:themeColor="text1"/>
        </w:rPr>
        <w:t>the</w:t>
      </w:r>
      <w:r w:rsidRPr="002C4CC5">
        <w:rPr>
          <w:color w:val="000000" w:themeColor="text1"/>
        </w:rPr>
        <w:t xml:space="preserve"> right of any citizen</w:t>
      </w:r>
      <w:r w:rsidR="007F7C1E" w:rsidRPr="002C4CC5">
        <w:rPr>
          <w:color w:val="000000" w:themeColor="text1"/>
        </w:rPr>
        <w:t xml:space="preserve"> or NGO</w:t>
      </w:r>
      <w:r w:rsidRPr="002C4CC5">
        <w:rPr>
          <w:color w:val="000000" w:themeColor="text1"/>
        </w:rPr>
        <w:t xml:space="preserve"> to approach the </w:t>
      </w:r>
      <w:r w:rsidR="00021CDC" w:rsidRPr="002C4CC5">
        <w:rPr>
          <w:color w:val="000000" w:themeColor="text1"/>
        </w:rPr>
        <w:t>Tribunal</w:t>
      </w:r>
      <w:r w:rsidRPr="002C4CC5">
        <w:rPr>
          <w:color w:val="000000" w:themeColor="text1"/>
        </w:rPr>
        <w:t xml:space="preserve"> regardless of whether </w:t>
      </w:r>
      <w:r w:rsidR="007F7C1E" w:rsidRPr="002C4CC5">
        <w:rPr>
          <w:color w:val="000000" w:themeColor="text1"/>
        </w:rPr>
        <w:t xml:space="preserve">being </w:t>
      </w:r>
      <w:r w:rsidRPr="002C4CC5">
        <w:rPr>
          <w:color w:val="000000" w:themeColor="text1"/>
        </w:rPr>
        <w:t xml:space="preserve">directly affected </w:t>
      </w:r>
      <w:r w:rsidRPr="002C4CC5">
        <w:rPr>
          <w:bCs/>
          <w:color w:val="000000" w:themeColor="text1"/>
        </w:rPr>
        <w:t xml:space="preserve">by </w:t>
      </w:r>
      <w:r w:rsidRPr="002C4CC5">
        <w:rPr>
          <w:color w:val="000000" w:themeColor="text1"/>
        </w:rPr>
        <w:t xml:space="preserve">a developmental project or whether a resident of affected area or not. Second, the subservience of statutory provisions of </w:t>
      </w:r>
      <w:r w:rsidRPr="002C4CC5">
        <w:rPr>
          <w:bCs/>
          <w:color w:val="000000" w:themeColor="text1"/>
        </w:rPr>
        <w:t xml:space="preserve">NGT </w:t>
      </w:r>
      <w:r w:rsidRPr="002C4CC5">
        <w:rPr>
          <w:color w:val="000000" w:themeColor="text1"/>
        </w:rPr>
        <w:t>Act</w:t>
      </w:r>
      <w:r w:rsidR="00FC6E79" w:rsidRPr="002C4CC5">
        <w:rPr>
          <w:color w:val="000000" w:themeColor="text1"/>
        </w:rPr>
        <w:t xml:space="preserve"> 2010</w:t>
      </w:r>
      <w:r w:rsidRPr="002C4CC5">
        <w:rPr>
          <w:color w:val="000000" w:themeColor="text1"/>
        </w:rPr>
        <w:t xml:space="preserve"> to the constitutional mandate of Article </w:t>
      </w:r>
      <w:r w:rsidR="006F3274" w:rsidRPr="002C4CC5">
        <w:rPr>
          <w:bCs/>
          <w:color w:val="000000" w:themeColor="text1"/>
        </w:rPr>
        <w:t>5</w:t>
      </w:r>
      <w:r w:rsidRPr="002C4CC5">
        <w:rPr>
          <w:bCs/>
          <w:color w:val="000000" w:themeColor="text1"/>
        </w:rPr>
        <w:t xml:space="preserve">1A(g) </w:t>
      </w:r>
      <w:r w:rsidRPr="002C4CC5">
        <w:rPr>
          <w:color w:val="000000" w:themeColor="text1"/>
        </w:rPr>
        <w:t xml:space="preserve">establishes a fundamental duty of every citizen to protect and improve the natural environment. </w:t>
      </w:r>
    </w:p>
    <w:p w14:paraId="14BE6F16" w14:textId="33F3FC4D" w:rsidR="00B72CC7" w:rsidRPr="002C4CC5" w:rsidRDefault="00B72CC7" w:rsidP="002C4CC5">
      <w:pPr>
        <w:spacing w:line="360" w:lineRule="auto"/>
        <w:rPr>
          <w:color w:val="000000" w:themeColor="text1"/>
          <w:shd w:val="clear" w:color="auto" w:fill="FFFFFF"/>
        </w:rPr>
      </w:pPr>
      <w:r w:rsidRPr="002C4CC5">
        <w:rPr>
          <w:color w:val="000000" w:themeColor="text1"/>
          <w:shd w:val="clear" w:color="auto" w:fill="FFFFFF"/>
        </w:rPr>
        <w:t>Recent work</w:t>
      </w:r>
      <w:r w:rsidR="002B16FA" w:rsidRPr="002C4CC5">
        <w:rPr>
          <w:rStyle w:val="FootnoteReference"/>
          <w:color w:val="000000" w:themeColor="text1"/>
          <w:shd w:val="clear" w:color="auto" w:fill="FFFFFF"/>
        </w:rPr>
        <w:footnoteReference w:id="115"/>
      </w:r>
      <w:r w:rsidR="00270543" w:rsidRPr="002C4CC5">
        <w:rPr>
          <w:color w:val="000000" w:themeColor="text1"/>
          <w:shd w:val="clear" w:color="auto" w:fill="FFFFFF"/>
        </w:rPr>
        <w:t xml:space="preserve"> </w:t>
      </w:r>
      <w:r w:rsidRPr="002C4CC5">
        <w:rPr>
          <w:color w:val="000000" w:themeColor="text1"/>
          <w:shd w:val="clear" w:color="auto" w:fill="FFFFFF"/>
        </w:rPr>
        <w:t xml:space="preserve">provides evidence that identifies the parties to environmental disputes by analysing some </w:t>
      </w:r>
      <w:r w:rsidR="00E66972" w:rsidRPr="002C4CC5">
        <w:rPr>
          <w:color w:val="000000" w:themeColor="text1"/>
          <w:shd w:val="clear" w:color="auto" w:fill="FFFFFF"/>
        </w:rPr>
        <w:t>1,</w:t>
      </w:r>
      <w:r w:rsidRPr="002C4CC5">
        <w:rPr>
          <w:color w:val="000000" w:themeColor="text1"/>
          <w:shd w:val="clear" w:color="auto" w:fill="FFFFFF"/>
        </w:rPr>
        <w:t xml:space="preserve">130 cases decided by the National Green </w:t>
      </w:r>
      <w:r w:rsidR="00021CDC" w:rsidRPr="002C4CC5">
        <w:rPr>
          <w:color w:val="000000" w:themeColor="text1"/>
          <w:shd w:val="clear" w:color="auto" w:fill="FFFFFF"/>
        </w:rPr>
        <w:t>Tribunal</w:t>
      </w:r>
      <w:r w:rsidRPr="002C4CC5">
        <w:rPr>
          <w:color w:val="000000" w:themeColor="text1"/>
          <w:shd w:val="clear" w:color="auto" w:fill="FFFFFF"/>
        </w:rPr>
        <w:t xml:space="preserve"> between July 2011 and September 2015. The most frequent plaintiffs </w:t>
      </w:r>
      <w:r w:rsidR="00E66972" w:rsidRPr="002C4CC5">
        <w:rPr>
          <w:color w:val="000000" w:themeColor="text1"/>
          <w:shd w:val="clear" w:color="auto" w:fill="FFFFFF"/>
        </w:rPr>
        <w:t>were</w:t>
      </w:r>
      <w:r w:rsidRPr="002C4CC5">
        <w:rPr>
          <w:color w:val="000000" w:themeColor="text1"/>
          <w:shd w:val="clear" w:color="auto" w:fill="FFFFFF"/>
        </w:rPr>
        <w:t xml:space="preserve"> NGOs/social activists/ public- spirited citizens. They account for 533 plaintiffs (47.2 per cent) of 1130 cases. For example, in </w:t>
      </w:r>
      <w:r w:rsidRPr="002C4CC5">
        <w:rPr>
          <w:i/>
          <w:color w:val="000000" w:themeColor="text1"/>
          <w:shd w:val="clear" w:color="auto" w:fill="FFFFFF"/>
        </w:rPr>
        <w:t>Vimal Bhai v. Ministry of Environment and Forests</w:t>
      </w:r>
      <w:r w:rsidR="00FF5F50" w:rsidRPr="002C4CC5">
        <w:rPr>
          <w:rStyle w:val="FootnoteReference"/>
          <w:i/>
          <w:color w:val="000000" w:themeColor="text1"/>
          <w:shd w:val="clear" w:color="auto" w:fill="FFFFFF"/>
        </w:rPr>
        <w:footnoteReference w:id="116"/>
      </w:r>
      <w:r w:rsidR="007F7C1E" w:rsidRPr="002C4CC5">
        <w:rPr>
          <w:i/>
          <w:color w:val="000000" w:themeColor="text1"/>
          <w:shd w:val="clear" w:color="auto" w:fill="FFFFFF"/>
        </w:rPr>
        <w:t xml:space="preserve"> </w:t>
      </w:r>
      <w:r w:rsidR="007F7C1E" w:rsidRPr="002C4CC5">
        <w:rPr>
          <w:color w:val="000000" w:themeColor="text1"/>
          <w:shd w:val="clear" w:color="auto" w:fill="FFFFFF"/>
        </w:rPr>
        <w:t xml:space="preserve">the </w:t>
      </w:r>
      <w:r w:rsidR="00021CDC" w:rsidRPr="002C4CC5">
        <w:rPr>
          <w:color w:val="000000" w:themeColor="text1"/>
          <w:shd w:val="clear" w:color="auto" w:fill="FFFFFF"/>
        </w:rPr>
        <w:t>Tribunal</w:t>
      </w:r>
      <w:r w:rsidR="00270543" w:rsidRPr="002C4CC5">
        <w:rPr>
          <w:color w:val="000000" w:themeColor="text1"/>
          <w:shd w:val="clear" w:color="auto" w:fill="FFFFFF"/>
        </w:rPr>
        <w:t xml:space="preserve"> </w:t>
      </w:r>
      <w:r w:rsidRPr="002C4CC5">
        <w:rPr>
          <w:color w:val="000000" w:themeColor="text1"/>
          <w:shd w:val="clear" w:color="auto" w:fill="FFFFFF"/>
        </w:rPr>
        <w:t>allowed an application by three environmentalists concerning the grant of an environmental clearance for the construction of a dam for hydroelectric power</w:t>
      </w:r>
      <w:r w:rsidR="007F7C1E" w:rsidRPr="002C4CC5">
        <w:rPr>
          <w:color w:val="000000" w:themeColor="text1"/>
          <w:shd w:val="clear" w:color="auto" w:fill="FFFFFF"/>
        </w:rPr>
        <w:t>.</w:t>
      </w:r>
      <w:r w:rsidRPr="002C4CC5">
        <w:rPr>
          <w:color w:val="000000" w:themeColor="text1"/>
          <w:shd w:val="clear" w:color="auto" w:fill="FFFFFF"/>
        </w:rPr>
        <w:t xml:space="preserve">  The NGT ruled that the environmentalists </w:t>
      </w:r>
      <w:r w:rsidR="007F7C1E" w:rsidRPr="002C4CC5">
        <w:rPr>
          <w:color w:val="000000" w:themeColor="text1"/>
          <w:shd w:val="clear" w:color="auto" w:fill="FFFFFF"/>
        </w:rPr>
        <w:t>constituted</w:t>
      </w:r>
      <w:r w:rsidRPr="002C4CC5">
        <w:rPr>
          <w:color w:val="000000" w:themeColor="text1"/>
          <w:shd w:val="clear" w:color="auto" w:fill="FFFFFF"/>
        </w:rPr>
        <w:t xml:space="preserve"> an aggrieved party and their claim for a public hearing concerning the grant of an environmental clearance was sustainable. </w:t>
      </w:r>
      <w:r w:rsidR="007F7C1E" w:rsidRPr="002C4CC5">
        <w:rPr>
          <w:color w:val="000000" w:themeColor="text1"/>
          <w:shd w:val="clear" w:color="auto" w:fill="FFFFFF"/>
        </w:rPr>
        <w:t>Overall, t</w:t>
      </w:r>
      <w:r w:rsidRPr="002C4CC5">
        <w:rPr>
          <w:color w:val="000000" w:themeColor="text1"/>
          <w:shd w:val="clear" w:color="auto" w:fill="FFFFFF"/>
        </w:rPr>
        <w:t>he</w:t>
      </w:r>
      <w:r w:rsidR="007F7C1E" w:rsidRPr="002C4CC5">
        <w:rPr>
          <w:color w:val="000000" w:themeColor="text1"/>
          <w:shd w:val="clear" w:color="auto" w:fill="FFFFFF"/>
        </w:rPr>
        <w:t xml:space="preserve"> plaintiff</w:t>
      </w:r>
      <w:r w:rsidRPr="002C4CC5">
        <w:rPr>
          <w:color w:val="000000" w:themeColor="text1"/>
          <w:shd w:val="clear" w:color="auto" w:fill="FFFFFF"/>
        </w:rPr>
        <w:t xml:space="preserve"> group success rate st</w:t>
      </w:r>
      <w:r w:rsidR="00090696" w:rsidRPr="002C4CC5">
        <w:rPr>
          <w:color w:val="000000" w:themeColor="text1"/>
          <w:shd w:val="clear" w:color="auto" w:fill="FFFFFF"/>
        </w:rPr>
        <w:t>ood</w:t>
      </w:r>
      <w:r w:rsidRPr="002C4CC5">
        <w:rPr>
          <w:color w:val="000000" w:themeColor="text1"/>
          <w:shd w:val="clear" w:color="auto" w:fill="FFFFFF"/>
        </w:rPr>
        <w:t xml:space="preserve"> at 38.3 per cent. This significant number demon</w:t>
      </w:r>
      <w:r w:rsidR="00B47699" w:rsidRPr="002C4CC5">
        <w:rPr>
          <w:color w:val="000000" w:themeColor="text1"/>
          <w:shd w:val="clear" w:color="auto" w:fill="FFFFFF"/>
        </w:rPr>
        <w:t>strates both the opportunity of</w:t>
      </w:r>
      <w:r w:rsidR="00121C89" w:rsidRPr="002C4CC5">
        <w:rPr>
          <w:color w:val="000000" w:themeColor="text1"/>
          <w:shd w:val="clear" w:color="auto" w:fill="FFFFFF"/>
        </w:rPr>
        <w:t xml:space="preserve"> and the ability of</w:t>
      </w:r>
      <w:r w:rsidRPr="002C4CC5">
        <w:rPr>
          <w:color w:val="000000" w:themeColor="text1"/>
          <w:shd w:val="clear" w:color="auto" w:fill="FFFFFF"/>
        </w:rPr>
        <w:t xml:space="preserve"> public- spirited citizens and organisations to use the NGT as a route to seek remedies through collective proceedings instead of being driven into an expensive plurality of litigation</w:t>
      </w:r>
      <w:r w:rsidR="007F7C1E" w:rsidRPr="002C4CC5">
        <w:rPr>
          <w:color w:val="000000" w:themeColor="text1"/>
          <w:shd w:val="clear" w:color="auto" w:fill="FFFFFF"/>
        </w:rPr>
        <w:t>.</w:t>
      </w:r>
      <w:r w:rsidRPr="002C4CC5">
        <w:rPr>
          <w:color w:val="000000" w:themeColor="text1"/>
          <w:shd w:val="clear" w:color="auto" w:fill="FFFFFF"/>
        </w:rPr>
        <w:t xml:space="preserve"> </w:t>
      </w:r>
    </w:p>
    <w:p w14:paraId="66806914" w14:textId="77777777" w:rsidR="00826DFA" w:rsidRPr="002C4CC5" w:rsidRDefault="00826DFA" w:rsidP="002C4CC5">
      <w:pPr>
        <w:spacing w:line="360" w:lineRule="auto"/>
        <w:rPr>
          <w:color w:val="000000" w:themeColor="text1"/>
          <w:shd w:val="clear" w:color="auto" w:fill="FFFFFF"/>
        </w:rPr>
      </w:pPr>
    </w:p>
    <w:p w14:paraId="69E47E18" w14:textId="6A91A1CF" w:rsidR="00CE0400" w:rsidRPr="002C4CC5" w:rsidRDefault="00B72CC7" w:rsidP="002C4CC5">
      <w:pPr>
        <w:spacing w:line="360" w:lineRule="auto"/>
        <w:rPr>
          <w:bCs/>
          <w:color w:val="000000" w:themeColor="text1"/>
        </w:rPr>
      </w:pPr>
      <w:r w:rsidRPr="002C4CC5">
        <w:rPr>
          <w:color w:val="000000" w:themeColor="text1"/>
          <w:shd w:val="clear" w:color="auto" w:fill="FFFFFF"/>
        </w:rPr>
        <w:t xml:space="preserve">Affected individuals/communities/residents brought 17.7 per cent of all cases with a success rate of 56 per cent. For example, in </w:t>
      </w:r>
      <w:r w:rsidRPr="002C4CC5">
        <w:rPr>
          <w:i/>
          <w:color w:val="000000" w:themeColor="text1"/>
          <w:shd w:val="clear" w:color="auto" w:fill="FFFFFF"/>
        </w:rPr>
        <w:t>R J Koli v State of Maharashtra</w:t>
      </w:r>
      <w:r w:rsidR="00980B0D" w:rsidRPr="002C4CC5">
        <w:rPr>
          <w:rStyle w:val="FootnoteReference"/>
          <w:color w:val="000000" w:themeColor="text1"/>
          <w:shd w:val="clear" w:color="auto" w:fill="FFFFFF"/>
        </w:rPr>
        <w:footnoteReference w:id="117"/>
      </w:r>
      <w:r w:rsidR="00270543" w:rsidRPr="002C4CC5">
        <w:rPr>
          <w:color w:val="000000" w:themeColor="text1"/>
          <w:shd w:val="clear" w:color="auto" w:fill="FFFFFF"/>
        </w:rPr>
        <w:t xml:space="preserve"> </w:t>
      </w:r>
      <w:r w:rsidRPr="002C4CC5">
        <w:rPr>
          <w:color w:val="000000" w:themeColor="text1"/>
          <w:shd w:val="clear" w:color="auto" w:fill="FFFFFF"/>
        </w:rPr>
        <w:t xml:space="preserve">the </w:t>
      </w:r>
      <w:r w:rsidR="00021CDC" w:rsidRPr="002C4CC5">
        <w:rPr>
          <w:color w:val="000000" w:themeColor="text1"/>
          <w:shd w:val="clear" w:color="auto" w:fill="FFFFFF"/>
        </w:rPr>
        <w:t>Tribunal</w:t>
      </w:r>
      <w:r w:rsidRPr="002C4CC5">
        <w:rPr>
          <w:color w:val="000000" w:themeColor="text1"/>
          <w:shd w:val="clear" w:color="auto" w:fill="FFFFFF"/>
        </w:rPr>
        <w:t xml:space="preserve"> allowed an application filed and argued in person by traditional fishermen seeking compensation for loss of livelihood due to infrastructural project activities. </w:t>
      </w:r>
      <w:r w:rsidR="00C70B66" w:rsidRPr="002C4CC5">
        <w:rPr>
          <w:color w:val="000000" w:themeColor="text1"/>
          <w:shd w:val="clear" w:color="auto" w:fill="FFFFFF"/>
        </w:rPr>
        <w:t xml:space="preserve">The </w:t>
      </w:r>
      <w:r w:rsidRPr="002C4CC5">
        <w:rPr>
          <w:color w:val="000000" w:themeColor="text1"/>
          <w:shd w:val="clear" w:color="auto" w:fill="FFFFFF"/>
        </w:rPr>
        <w:t>positive encouragement by the NGT to litigants in person reflect</w:t>
      </w:r>
      <w:r w:rsidR="00487F01" w:rsidRPr="002C4CC5">
        <w:rPr>
          <w:color w:val="000000" w:themeColor="text1"/>
          <w:shd w:val="clear" w:color="auto" w:fill="FFFFFF"/>
        </w:rPr>
        <w:t>s</w:t>
      </w:r>
      <w:r w:rsidRPr="002C4CC5">
        <w:rPr>
          <w:color w:val="000000" w:themeColor="text1"/>
          <w:shd w:val="clear" w:color="auto" w:fill="FFFFFF"/>
        </w:rPr>
        <w:t xml:space="preserve"> a conscious effort on the part of the </w:t>
      </w:r>
      <w:r w:rsidR="00021CDC" w:rsidRPr="002C4CC5">
        <w:rPr>
          <w:color w:val="000000" w:themeColor="text1"/>
          <w:shd w:val="clear" w:color="auto" w:fill="FFFFFF"/>
        </w:rPr>
        <w:t>Tribunal</w:t>
      </w:r>
      <w:r w:rsidRPr="002C4CC5">
        <w:rPr>
          <w:color w:val="000000" w:themeColor="text1"/>
          <w:shd w:val="clear" w:color="auto" w:fill="FFFFFF"/>
        </w:rPr>
        <w:t xml:space="preserve"> to promote access to environmental justice. Indigent and illiterate litigants have been encouraged to speak in their vernacular language (especially at regional benches) to ventilate their grievances and personal and community experiences. Confidence- </w:t>
      </w:r>
      <w:r w:rsidR="00270543" w:rsidRPr="002C4CC5">
        <w:rPr>
          <w:color w:val="000000" w:themeColor="text1"/>
          <w:shd w:val="clear" w:color="auto" w:fill="FFFFFF"/>
        </w:rPr>
        <w:t>building in the NGT has</w:t>
      </w:r>
      <w:r w:rsidRPr="002C4CC5">
        <w:rPr>
          <w:color w:val="000000" w:themeColor="text1"/>
          <w:shd w:val="clear" w:color="auto" w:fill="FFFFFF"/>
        </w:rPr>
        <w:t xml:space="preserve"> result</w:t>
      </w:r>
      <w:r w:rsidR="00270543" w:rsidRPr="002C4CC5">
        <w:rPr>
          <w:color w:val="000000" w:themeColor="text1"/>
          <w:shd w:val="clear" w:color="auto" w:fill="FFFFFF"/>
        </w:rPr>
        <w:t>ed</w:t>
      </w:r>
      <w:r w:rsidRPr="002C4CC5">
        <w:rPr>
          <w:color w:val="000000" w:themeColor="text1"/>
          <w:shd w:val="clear" w:color="auto" w:fill="FFFFFF"/>
        </w:rPr>
        <w:t xml:space="preserve"> in motivating litigation from within groups</w:t>
      </w:r>
      <w:r w:rsidR="00090696" w:rsidRPr="002C4CC5">
        <w:rPr>
          <w:color w:val="000000" w:themeColor="text1"/>
          <w:shd w:val="clear" w:color="auto" w:fill="FFFFFF"/>
        </w:rPr>
        <w:t xml:space="preserve"> that</w:t>
      </w:r>
      <w:r w:rsidRPr="002C4CC5">
        <w:rPr>
          <w:color w:val="000000" w:themeColor="text1"/>
          <w:shd w:val="clear" w:color="auto" w:fill="FFFFFF"/>
        </w:rPr>
        <w:t xml:space="preserve"> traditionally had little or no access to justice. This reflects </w:t>
      </w:r>
      <w:r w:rsidR="007D1FF2" w:rsidRPr="002C4CC5">
        <w:rPr>
          <w:color w:val="000000" w:themeColor="text1"/>
          <w:shd w:val="clear" w:color="auto" w:fill="FFFFFF"/>
        </w:rPr>
        <w:t>the NGT’s</w:t>
      </w:r>
      <w:r w:rsidRPr="002C4CC5">
        <w:rPr>
          <w:color w:val="000000" w:themeColor="text1"/>
          <w:shd w:val="clear" w:color="auto" w:fill="FFFFFF"/>
        </w:rPr>
        <w:t xml:space="preserve"> broad- based, people- oriented approach</w:t>
      </w:r>
      <w:r w:rsidR="007D1FF2" w:rsidRPr="002C4CC5">
        <w:rPr>
          <w:color w:val="000000" w:themeColor="text1"/>
          <w:shd w:val="clear" w:color="auto" w:fill="FFFFFF"/>
        </w:rPr>
        <w:t>.</w:t>
      </w:r>
      <w:r w:rsidR="00270543" w:rsidRPr="002C4CC5">
        <w:rPr>
          <w:color w:val="000000" w:themeColor="text1"/>
          <w:shd w:val="clear" w:color="auto" w:fill="FFFFFF"/>
        </w:rPr>
        <w:t xml:space="preserve"> </w:t>
      </w:r>
      <w:r w:rsidR="0085268D" w:rsidRPr="002C4CC5">
        <w:rPr>
          <w:bCs/>
          <w:color w:val="000000" w:themeColor="text1"/>
        </w:rPr>
        <w:t>The</w:t>
      </w:r>
      <w:r w:rsidRPr="002C4CC5">
        <w:rPr>
          <w:bCs/>
          <w:color w:val="000000" w:themeColor="text1"/>
        </w:rPr>
        <w:t xml:space="preserve"> liberal interpretation of </w:t>
      </w:r>
      <w:r w:rsidR="0004169F" w:rsidRPr="002C4CC5">
        <w:rPr>
          <w:bCs/>
          <w:color w:val="000000" w:themeColor="text1"/>
        </w:rPr>
        <w:t>“aggrieved person”</w:t>
      </w:r>
      <w:r w:rsidR="00270543" w:rsidRPr="002C4CC5">
        <w:rPr>
          <w:bCs/>
          <w:color w:val="000000" w:themeColor="text1"/>
        </w:rPr>
        <w:t xml:space="preserve"> </w:t>
      </w:r>
      <w:r w:rsidR="00795AA9" w:rsidRPr="002C4CC5">
        <w:rPr>
          <w:bCs/>
          <w:color w:val="000000" w:themeColor="text1"/>
        </w:rPr>
        <w:t>opened</w:t>
      </w:r>
      <w:r w:rsidRPr="002C4CC5">
        <w:rPr>
          <w:bCs/>
          <w:color w:val="000000" w:themeColor="text1"/>
        </w:rPr>
        <w:t xml:space="preserve"> access to the </w:t>
      </w:r>
      <w:r w:rsidR="00021CDC" w:rsidRPr="002C4CC5">
        <w:rPr>
          <w:bCs/>
          <w:color w:val="000000" w:themeColor="text1"/>
        </w:rPr>
        <w:t>Tribunal</w:t>
      </w:r>
      <w:r w:rsidRPr="002C4CC5">
        <w:rPr>
          <w:bCs/>
          <w:color w:val="000000" w:themeColor="text1"/>
        </w:rPr>
        <w:t xml:space="preserve"> to promote diffused and meta- individual rights</w:t>
      </w:r>
      <w:r w:rsidR="00270543" w:rsidRPr="002C4CC5">
        <w:rPr>
          <w:bCs/>
          <w:color w:val="000000" w:themeColor="text1"/>
        </w:rPr>
        <w:t>.</w:t>
      </w:r>
      <w:r w:rsidR="0085268D" w:rsidRPr="002C4CC5">
        <w:rPr>
          <w:bCs/>
          <w:color w:val="000000" w:themeColor="text1"/>
        </w:rPr>
        <w:t xml:space="preserve"> The NGT’s legitimacy is grounded in its inclusive participatory mechanisms. </w:t>
      </w:r>
    </w:p>
    <w:p w14:paraId="516EC42B" w14:textId="77777777" w:rsidR="00EF1926" w:rsidRPr="002C4CC5" w:rsidRDefault="00EF1926" w:rsidP="002C4CC5">
      <w:pPr>
        <w:spacing w:line="360" w:lineRule="auto"/>
        <w:rPr>
          <w:bCs/>
          <w:color w:val="000000" w:themeColor="text1"/>
        </w:rPr>
      </w:pPr>
    </w:p>
    <w:p w14:paraId="3A54A0E2" w14:textId="5E94A356" w:rsidR="00AD42CA" w:rsidRPr="002C4CC5" w:rsidRDefault="00B06195" w:rsidP="002C4CC5">
      <w:pPr>
        <w:spacing w:line="360" w:lineRule="auto"/>
        <w:rPr>
          <w:color w:val="000000" w:themeColor="text1"/>
        </w:rPr>
      </w:pPr>
      <w:r w:rsidRPr="002C4CC5">
        <w:rPr>
          <w:bCs/>
          <w:color w:val="000000" w:themeColor="text1"/>
        </w:rPr>
        <w:t xml:space="preserve">Additionally, </w:t>
      </w:r>
      <w:r w:rsidR="00D52BE9" w:rsidRPr="002C4CC5">
        <w:rPr>
          <w:bCs/>
          <w:color w:val="000000" w:themeColor="text1"/>
        </w:rPr>
        <w:t xml:space="preserve">the NGT </w:t>
      </w:r>
      <w:r w:rsidR="0011530A" w:rsidRPr="002C4CC5">
        <w:rPr>
          <w:bCs/>
          <w:color w:val="000000" w:themeColor="text1"/>
        </w:rPr>
        <w:t xml:space="preserve">accepted </w:t>
      </w:r>
      <w:r w:rsidR="0004169F" w:rsidRPr="002C4CC5">
        <w:rPr>
          <w:bCs/>
          <w:color w:val="000000" w:themeColor="text1"/>
        </w:rPr>
        <w:t>“</w:t>
      </w:r>
      <w:r w:rsidR="00762565" w:rsidRPr="002C4CC5">
        <w:rPr>
          <w:color w:val="000000" w:themeColor="text1"/>
        </w:rPr>
        <w:t>eco-centrism</w:t>
      </w:r>
      <w:r w:rsidR="0004169F" w:rsidRPr="002C4CC5">
        <w:rPr>
          <w:color w:val="000000" w:themeColor="text1"/>
        </w:rPr>
        <w:t>”</w:t>
      </w:r>
      <w:r w:rsidR="00762565" w:rsidRPr="002C4CC5">
        <w:rPr>
          <w:color w:val="000000" w:themeColor="text1"/>
        </w:rPr>
        <w:t xml:space="preserve">, </w:t>
      </w:r>
      <w:r w:rsidR="00D52BE9" w:rsidRPr="002C4CC5">
        <w:rPr>
          <w:color w:val="000000" w:themeColor="text1"/>
        </w:rPr>
        <w:t xml:space="preserve">a nature-centred approach within its </w:t>
      </w:r>
      <w:r w:rsidR="00762565" w:rsidRPr="002C4CC5">
        <w:rPr>
          <w:color w:val="000000" w:themeColor="text1"/>
        </w:rPr>
        <w:t>mandate</w:t>
      </w:r>
      <w:r w:rsidR="00594D4A" w:rsidRPr="002C4CC5">
        <w:rPr>
          <w:color w:val="000000" w:themeColor="text1"/>
        </w:rPr>
        <w:t xml:space="preserve"> of </w:t>
      </w:r>
      <w:r w:rsidR="00594D4A" w:rsidRPr="002C4CC5">
        <w:rPr>
          <w:i/>
          <w:color w:val="000000" w:themeColor="text1"/>
        </w:rPr>
        <w:t>learning new meaning for old concepts</w:t>
      </w:r>
      <w:r w:rsidR="00762565" w:rsidRPr="002C4CC5">
        <w:rPr>
          <w:color w:val="000000" w:themeColor="text1"/>
        </w:rPr>
        <w:t xml:space="preserve">. This is an emerging area </w:t>
      </w:r>
      <w:r w:rsidR="0011530A" w:rsidRPr="002C4CC5">
        <w:rPr>
          <w:color w:val="000000" w:themeColor="text1"/>
        </w:rPr>
        <w:t xml:space="preserve">wherein the </w:t>
      </w:r>
      <w:r w:rsidR="00021CDC" w:rsidRPr="002C4CC5">
        <w:rPr>
          <w:color w:val="000000" w:themeColor="text1"/>
        </w:rPr>
        <w:t>Tribunal</w:t>
      </w:r>
      <w:r w:rsidR="0011530A" w:rsidRPr="002C4CC5">
        <w:rPr>
          <w:color w:val="000000" w:themeColor="text1"/>
        </w:rPr>
        <w:t xml:space="preserve"> recognises and considers that conservation and protection of nature and inanimate objects is an inextricable part of life.</w:t>
      </w:r>
      <w:r w:rsidR="00022BA7" w:rsidRPr="002C4CC5">
        <w:rPr>
          <w:rStyle w:val="FootnoteReference"/>
          <w:color w:val="000000" w:themeColor="text1"/>
        </w:rPr>
        <w:footnoteReference w:id="118"/>
      </w:r>
      <w:r w:rsidR="0011530A" w:rsidRPr="002C4CC5">
        <w:rPr>
          <w:color w:val="000000" w:themeColor="text1"/>
        </w:rPr>
        <w:t xml:space="preserve"> It has an impact on human well- being as it is the life support system of planet earth. The NGT, in</w:t>
      </w:r>
      <w:r w:rsidR="00EF2545" w:rsidRPr="002C4CC5">
        <w:rPr>
          <w:color w:val="000000" w:themeColor="text1"/>
        </w:rPr>
        <w:t xml:space="preserve"> its judgment, </w:t>
      </w:r>
      <w:r w:rsidR="00021CDC" w:rsidRPr="002C4CC5">
        <w:rPr>
          <w:i/>
          <w:color w:val="000000" w:themeColor="text1"/>
        </w:rPr>
        <w:t>Tribunal</w:t>
      </w:r>
      <w:r w:rsidR="00EF2545" w:rsidRPr="002C4CC5">
        <w:rPr>
          <w:i/>
          <w:color w:val="000000" w:themeColor="text1"/>
        </w:rPr>
        <w:t xml:space="preserve"> on its Own Motion v Secretary of State</w:t>
      </w:r>
      <w:r w:rsidR="00022BA7" w:rsidRPr="002C4CC5">
        <w:rPr>
          <w:rStyle w:val="FootnoteReference"/>
          <w:i/>
          <w:color w:val="000000" w:themeColor="text1"/>
        </w:rPr>
        <w:footnoteReference w:id="119"/>
      </w:r>
      <w:r w:rsidR="00022BA7" w:rsidRPr="002C4CC5">
        <w:rPr>
          <w:color w:val="000000" w:themeColor="text1"/>
        </w:rPr>
        <w:t xml:space="preserve"> </w:t>
      </w:r>
      <w:r w:rsidR="00EF2545" w:rsidRPr="002C4CC5">
        <w:rPr>
          <w:color w:val="000000" w:themeColor="text1"/>
        </w:rPr>
        <w:t xml:space="preserve">recognised this approach by following the Supreme Court judgment in </w:t>
      </w:r>
      <w:r w:rsidR="00EF2545" w:rsidRPr="002C4CC5">
        <w:rPr>
          <w:i/>
          <w:color w:val="000000" w:themeColor="text1"/>
        </w:rPr>
        <w:t>Centre for Environment Law, WWF- I v Union of India</w:t>
      </w:r>
      <w:r w:rsidR="00022BA7" w:rsidRPr="002C4CC5">
        <w:rPr>
          <w:rStyle w:val="FootnoteReference"/>
          <w:i/>
          <w:color w:val="000000" w:themeColor="text1"/>
        </w:rPr>
        <w:footnoteReference w:id="120"/>
      </w:r>
      <w:r w:rsidR="0004169F" w:rsidRPr="002C4CC5">
        <w:rPr>
          <w:color w:val="000000" w:themeColor="text1"/>
        </w:rPr>
        <w:t xml:space="preserve"> and stated “e</w:t>
      </w:r>
      <w:r w:rsidR="00AD42CA" w:rsidRPr="002C4CC5">
        <w:rPr>
          <w:color w:val="000000" w:themeColor="text1"/>
        </w:rPr>
        <w:t xml:space="preserve">co-centrism is, therefore, life-centred, nature-centred where nature includes both humans and non-humans. </w:t>
      </w:r>
      <w:r w:rsidR="00AD42CA" w:rsidRPr="002C4CC5">
        <w:rPr>
          <w:i/>
          <w:iCs/>
          <w:color w:val="000000" w:themeColor="text1"/>
        </w:rPr>
        <w:t>Article 21 of the Constitution of India protects not only the human rights but also casts an obligation on human beings to protect and preserve a species becoming extinct, conservation and protection of environment is an inseparable part of right to life.</w:t>
      </w:r>
      <w:r w:rsidR="0004169F" w:rsidRPr="002C4CC5">
        <w:rPr>
          <w:color w:val="000000" w:themeColor="text1"/>
        </w:rPr>
        <w:t>”</w:t>
      </w:r>
      <w:r w:rsidR="00A025F5" w:rsidRPr="002C4CC5">
        <w:rPr>
          <w:color w:val="000000" w:themeColor="text1"/>
        </w:rPr>
        <w:t xml:space="preserve"> </w:t>
      </w:r>
      <w:r w:rsidR="00AD42CA" w:rsidRPr="002C4CC5">
        <w:rPr>
          <w:color w:val="000000" w:themeColor="text1"/>
        </w:rPr>
        <w:t>(original emphasis)</w:t>
      </w:r>
      <w:r w:rsidR="00022BA7" w:rsidRPr="002C4CC5">
        <w:rPr>
          <w:rStyle w:val="FootnoteReference"/>
          <w:color w:val="000000" w:themeColor="text1"/>
        </w:rPr>
        <w:footnoteReference w:id="121"/>
      </w:r>
      <w:r w:rsidR="00022BA7" w:rsidRPr="002C4CC5">
        <w:rPr>
          <w:color w:val="000000" w:themeColor="text1"/>
        </w:rPr>
        <w:t xml:space="preserve"> </w:t>
      </w:r>
    </w:p>
    <w:p w14:paraId="7B5B9DB9" w14:textId="04BEA963" w:rsidR="00B06195" w:rsidRPr="002C4CC5" w:rsidRDefault="00B06195" w:rsidP="002C4CC5">
      <w:pPr>
        <w:spacing w:line="360" w:lineRule="auto"/>
        <w:rPr>
          <w:bCs/>
          <w:color w:val="000000" w:themeColor="text1"/>
        </w:rPr>
      </w:pPr>
    </w:p>
    <w:p w14:paraId="5BEE6E83" w14:textId="2D8F88DB" w:rsidR="0093296B" w:rsidRPr="002C4CC5" w:rsidRDefault="00203AA9" w:rsidP="002C4CC5">
      <w:pPr>
        <w:spacing w:line="360" w:lineRule="auto"/>
        <w:rPr>
          <w:bCs/>
          <w:color w:val="000000" w:themeColor="text1"/>
        </w:rPr>
      </w:pPr>
      <w:r w:rsidRPr="002C4CC5">
        <w:rPr>
          <w:bCs/>
          <w:color w:val="000000" w:themeColor="text1"/>
        </w:rPr>
        <w:t>T</w:t>
      </w:r>
      <w:r w:rsidR="00B75BFF" w:rsidRPr="002C4CC5">
        <w:rPr>
          <w:bCs/>
          <w:color w:val="000000" w:themeColor="text1"/>
        </w:rPr>
        <w:t xml:space="preserve">he </w:t>
      </w:r>
      <w:r w:rsidR="00B75BFF" w:rsidRPr="002C4CC5">
        <w:rPr>
          <w:i/>
          <w:color w:val="000000" w:themeColor="text1"/>
        </w:rPr>
        <w:t>learning new meaning for old concepts</w:t>
      </w:r>
      <w:r w:rsidR="00B75BFF" w:rsidRPr="002C4CC5">
        <w:rPr>
          <w:color w:val="000000" w:themeColor="text1"/>
        </w:rPr>
        <w:t xml:space="preserve"> was </w:t>
      </w:r>
      <w:r w:rsidRPr="002C4CC5">
        <w:rPr>
          <w:color w:val="000000" w:themeColor="text1"/>
        </w:rPr>
        <w:t xml:space="preserve">further </w:t>
      </w:r>
      <w:r w:rsidR="00B75BFF" w:rsidRPr="002C4CC5">
        <w:rPr>
          <w:color w:val="000000" w:themeColor="text1"/>
        </w:rPr>
        <w:t xml:space="preserve">affirmed by </w:t>
      </w:r>
      <w:r w:rsidR="00B75BFF" w:rsidRPr="002C4CC5">
        <w:rPr>
          <w:bCs/>
          <w:color w:val="000000" w:themeColor="text1"/>
        </w:rPr>
        <w:t>the in-house judicial and technical experts</w:t>
      </w:r>
      <w:r w:rsidR="0034099C" w:rsidRPr="002C4CC5">
        <w:rPr>
          <w:bCs/>
          <w:color w:val="000000" w:themeColor="text1"/>
        </w:rPr>
        <w:t xml:space="preserve"> </w:t>
      </w:r>
      <w:r w:rsidR="00A025F5" w:rsidRPr="002C4CC5">
        <w:rPr>
          <w:bCs/>
          <w:color w:val="000000" w:themeColor="text1"/>
        </w:rPr>
        <w:t>through “</w:t>
      </w:r>
      <w:r w:rsidR="00573666" w:rsidRPr="002C4CC5">
        <w:rPr>
          <w:bCs/>
          <w:color w:val="000000" w:themeColor="text1"/>
        </w:rPr>
        <w:t>trial and error learning based on scanning the environment</w:t>
      </w:r>
      <w:r w:rsidR="00A025F5" w:rsidRPr="002C4CC5">
        <w:rPr>
          <w:bCs/>
          <w:color w:val="000000" w:themeColor="text1"/>
        </w:rPr>
        <w:t>” or putting it simply “</w:t>
      </w:r>
      <w:r w:rsidR="008631F2" w:rsidRPr="002C4CC5">
        <w:rPr>
          <w:bCs/>
          <w:color w:val="000000" w:themeColor="text1"/>
        </w:rPr>
        <w:t>inventing our own s</w:t>
      </w:r>
      <w:r w:rsidR="0093296B" w:rsidRPr="002C4CC5">
        <w:rPr>
          <w:bCs/>
          <w:color w:val="000000" w:themeColor="text1"/>
        </w:rPr>
        <w:t>olutions until something works.</w:t>
      </w:r>
      <w:r w:rsidR="00A025F5" w:rsidRPr="002C4CC5">
        <w:rPr>
          <w:bCs/>
          <w:color w:val="000000" w:themeColor="text1"/>
        </w:rPr>
        <w:t>”</w:t>
      </w:r>
      <w:r w:rsidR="0093296B" w:rsidRPr="002C4CC5">
        <w:rPr>
          <w:rStyle w:val="FootnoteReference"/>
          <w:bCs/>
          <w:color w:val="000000" w:themeColor="text1"/>
        </w:rPr>
        <w:footnoteReference w:id="122"/>
      </w:r>
      <w:r w:rsidR="00D52596" w:rsidRPr="002C4CC5">
        <w:rPr>
          <w:bCs/>
          <w:color w:val="000000" w:themeColor="text1"/>
        </w:rPr>
        <w:t xml:space="preserve"> </w:t>
      </w:r>
      <w:r w:rsidR="00C01BCF" w:rsidRPr="002C4CC5">
        <w:rPr>
          <w:bCs/>
          <w:color w:val="000000" w:themeColor="text1"/>
        </w:rPr>
        <w:t xml:space="preserve">The traditional adversarial judicial procedures associated with case management and disposal of the individual case </w:t>
      </w:r>
      <w:r w:rsidRPr="002C4CC5">
        <w:rPr>
          <w:bCs/>
          <w:color w:val="000000" w:themeColor="text1"/>
        </w:rPr>
        <w:t>have been</w:t>
      </w:r>
      <w:r w:rsidR="00C01BCF" w:rsidRPr="002C4CC5">
        <w:rPr>
          <w:bCs/>
          <w:color w:val="000000" w:themeColor="text1"/>
        </w:rPr>
        <w:t xml:space="preserve"> a</w:t>
      </w:r>
      <w:r w:rsidR="00F227C4" w:rsidRPr="002C4CC5">
        <w:rPr>
          <w:bCs/>
          <w:color w:val="000000" w:themeColor="text1"/>
        </w:rPr>
        <w:t xml:space="preserve">ltered </w:t>
      </w:r>
      <w:r w:rsidR="00D52596" w:rsidRPr="002C4CC5">
        <w:rPr>
          <w:bCs/>
          <w:color w:val="000000" w:themeColor="text1"/>
        </w:rPr>
        <w:t>because of</w:t>
      </w:r>
      <w:r w:rsidR="00C01BCF" w:rsidRPr="002C4CC5">
        <w:rPr>
          <w:bCs/>
          <w:color w:val="000000" w:themeColor="text1"/>
        </w:rPr>
        <w:t xml:space="preserve"> the jurisdictional power and promotional activity of the NGT. </w:t>
      </w:r>
      <w:r w:rsidR="0093296B" w:rsidRPr="002C4CC5">
        <w:rPr>
          <w:bCs/>
          <w:color w:val="000000" w:themeColor="text1"/>
        </w:rPr>
        <w:t xml:space="preserve">Thus, </w:t>
      </w:r>
      <w:r w:rsidR="0093296B" w:rsidRPr="002C4CC5">
        <w:rPr>
          <w:color w:val="000000" w:themeColor="text1"/>
        </w:rPr>
        <w:t>centralizing scientific experts, as full court members, within the decision-making process promoted a collective, decision-making, symbiotic, interdisciplinary bench seeking to harmonize legal norms with scientific knowledge.</w:t>
      </w:r>
      <w:r w:rsidR="0093296B" w:rsidRPr="002C4CC5">
        <w:rPr>
          <w:bCs/>
          <w:color w:val="000000" w:themeColor="text1"/>
        </w:rPr>
        <w:t xml:space="preserve"> </w:t>
      </w:r>
    </w:p>
    <w:p w14:paraId="0EE142C9" w14:textId="77777777" w:rsidR="0093296B" w:rsidRPr="002C4CC5" w:rsidRDefault="0093296B" w:rsidP="002C4CC5">
      <w:pPr>
        <w:spacing w:line="360" w:lineRule="auto"/>
        <w:rPr>
          <w:bCs/>
          <w:color w:val="000000" w:themeColor="text1"/>
        </w:rPr>
      </w:pPr>
    </w:p>
    <w:p w14:paraId="012D9B6B" w14:textId="77777777" w:rsidR="00866CBF" w:rsidRDefault="00D52596" w:rsidP="00866CBF">
      <w:pPr>
        <w:spacing w:line="360" w:lineRule="auto"/>
        <w:rPr>
          <w:bCs/>
          <w:color w:val="000000" w:themeColor="text1"/>
        </w:rPr>
      </w:pPr>
      <w:r w:rsidRPr="002C4CC5">
        <w:rPr>
          <w:bCs/>
          <w:color w:val="000000" w:themeColor="text1"/>
        </w:rPr>
        <w:t>In its commitment to resolve environmental issues, t</w:t>
      </w:r>
      <w:r w:rsidR="00B75BFF" w:rsidRPr="002C4CC5">
        <w:rPr>
          <w:bCs/>
          <w:color w:val="000000" w:themeColor="text1"/>
        </w:rPr>
        <w:t xml:space="preserve">he </w:t>
      </w:r>
      <w:r w:rsidR="0093296B" w:rsidRPr="002C4CC5">
        <w:rPr>
          <w:bCs/>
          <w:color w:val="000000" w:themeColor="text1"/>
        </w:rPr>
        <w:t xml:space="preserve">NGT </w:t>
      </w:r>
      <w:r w:rsidR="00B75BFF" w:rsidRPr="002C4CC5">
        <w:rPr>
          <w:bCs/>
          <w:color w:val="000000" w:themeColor="text1"/>
        </w:rPr>
        <w:t>members</w:t>
      </w:r>
      <w:r w:rsidR="00C01BCF" w:rsidRPr="002C4CC5">
        <w:rPr>
          <w:bCs/>
          <w:color w:val="000000" w:themeColor="text1"/>
        </w:rPr>
        <w:t xml:space="preserve"> </w:t>
      </w:r>
      <w:r w:rsidR="00B75BFF" w:rsidRPr="002C4CC5">
        <w:rPr>
          <w:bCs/>
          <w:color w:val="000000" w:themeColor="text1"/>
        </w:rPr>
        <w:t>e</w:t>
      </w:r>
      <w:r w:rsidR="00837ED0" w:rsidRPr="002C4CC5">
        <w:rPr>
          <w:bCs/>
          <w:color w:val="000000" w:themeColor="text1"/>
        </w:rPr>
        <w:t>xpanded</w:t>
      </w:r>
      <w:r w:rsidR="00B75BFF" w:rsidRPr="002C4CC5">
        <w:rPr>
          <w:bCs/>
          <w:color w:val="000000" w:themeColor="text1"/>
        </w:rPr>
        <w:t xml:space="preserve"> and developed new procedures </w:t>
      </w:r>
      <w:r w:rsidR="00C01BCF" w:rsidRPr="002C4CC5">
        <w:rPr>
          <w:bCs/>
          <w:color w:val="000000" w:themeColor="text1"/>
        </w:rPr>
        <w:t xml:space="preserve">and powers </w:t>
      </w:r>
      <w:r w:rsidR="00B75BFF" w:rsidRPr="002C4CC5">
        <w:rPr>
          <w:bCs/>
          <w:color w:val="000000" w:themeColor="text1"/>
        </w:rPr>
        <w:t xml:space="preserve">that provided steadfast foundations to guide decision-making in environmental matters based upon a right based approach. </w:t>
      </w:r>
      <w:r w:rsidR="00EF1926" w:rsidRPr="002C4CC5">
        <w:rPr>
          <w:color w:val="000000" w:themeColor="text1"/>
        </w:rPr>
        <w:t>Environmental dispute litigation</w:t>
      </w:r>
      <w:r w:rsidR="0093296B" w:rsidRPr="002C4CC5">
        <w:rPr>
          <w:color w:val="000000" w:themeColor="text1"/>
        </w:rPr>
        <w:t xml:space="preserve"> in the NGT</w:t>
      </w:r>
      <w:r w:rsidR="00EF1926" w:rsidRPr="002C4CC5">
        <w:rPr>
          <w:color w:val="000000" w:themeColor="text1"/>
        </w:rPr>
        <w:t xml:space="preserve"> is not simply adversarial in nature. </w:t>
      </w:r>
      <w:r w:rsidR="00730432" w:rsidRPr="002C4CC5">
        <w:rPr>
          <w:color w:val="000000" w:themeColor="text1"/>
        </w:rPr>
        <w:t xml:space="preserve">It is quasi- adversarial, quasi-investigative and quasi-inquisitorial in nature </w:t>
      </w:r>
      <w:r w:rsidR="00FE6D8D" w:rsidRPr="002C4CC5">
        <w:rPr>
          <w:color w:val="000000" w:themeColor="text1"/>
        </w:rPr>
        <w:t>to</w:t>
      </w:r>
      <w:r w:rsidR="00FA487E" w:rsidRPr="002C4CC5">
        <w:rPr>
          <w:color w:val="000000" w:themeColor="text1"/>
        </w:rPr>
        <w:t xml:space="preserve"> promote</w:t>
      </w:r>
      <w:r w:rsidR="00730432" w:rsidRPr="002C4CC5">
        <w:rPr>
          <w:color w:val="000000" w:themeColor="text1"/>
        </w:rPr>
        <w:t xml:space="preserve"> effectiv</w:t>
      </w:r>
      <w:r w:rsidR="00EF1926" w:rsidRPr="002C4CC5">
        <w:rPr>
          <w:color w:val="000000" w:themeColor="text1"/>
        </w:rPr>
        <w:t>e</w:t>
      </w:r>
      <w:r w:rsidR="00730432" w:rsidRPr="002C4CC5">
        <w:rPr>
          <w:color w:val="000000" w:themeColor="text1"/>
        </w:rPr>
        <w:t xml:space="preserve"> participatory parity and involvement of the person aggrieved. </w:t>
      </w:r>
      <w:r w:rsidR="00837ED0" w:rsidRPr="002C4CC5">
        <w:rPr>
          <w:bCs/>
          <w:color w:val="000000" w:themeColor="text1"/>
        </w:rPr>
        <w:t>For instance, the adoption of an investigative procedure</w:t>
      </w:r>
      <w:r w:rsidR="00837ED0" w:rsidRPr="002C4CC5">
        <w:rPr>
          <w:color w:val="000000" w:themeColor="text1"/>
        </w:rPr>
        <w:t xml:space="preserve"> </w:t>
      </w:r>
      <w:r w:rsidR="00837ED0" w:rsidRPr="002C4CC5">
        <w:rPr>
          <w:bCs/>
          <w:color w:val="000000" w:themeColor="text1"/>
        </w:rPr>
        <w:t>involving the inspection of affected sites by expert members</w:t>
      </w:r>
      <w:r w:rsidR="00A75D1F" w:rsidRPr="002C4CC5">
        <w:rPr>
          <w:bCs/>
          <w:color w:val="000000" w:themeColor="text1"/>
        </w:rPr>
        <w:t>.</w:t>
      </w:r>
      <w:r w:rsidR="007F0D06" w:rsidRPr="002C4CC5">
        <w:rPr>
          <w:rStyle w:val="FootnoteReference"/>
          <w:bCs/>
          <w:color w:val="000000" w:themeColor="text1"/>
        </w:rPr>
        <w:footnoteReference w:id="123"/>
      </w:r>
      <w:r w:rsidR="00161025" w:rsidRPr="002C4CC5">
        <w:rPr>
          <w:bCs/>
          <w:color w:val="000000" w:themeColor="text1"/>
        </w:rPr>
        <w:t xml:space="preserve"> </w:t>
      </w:r>
      <w:r w:rsidR="00837ED0" w:rsidRPr="002C4CC5">
        <w:rPr>
          <w:bCs/>
          <w:color w:val="000000" w:themeColor="text1"/>
        </w:rPr>
        <w:t>The purpose of site inspec</w:t>
      </w:r>
      <w:r w:rsidR="00174DE6" w:rsidRPr="002C4CC5">
        <w:rPr>
          <w:bCs/>
          <w:color w:val="000000" w:themeColor="text1"/>
        </w:rPr>
        <w:t>tion</w:t>
      </w:r>
      <w:r w:rsidR="00DF43C6" w:rsidRPr="002C4CC5">
        <w:rPr>
          <w:bCs/>
          <w:color w:val="000000" w:themeColor="text1"/>
        </w:rPr>
        <w:t>s</w:t>
      </w:r>
      <w:r w:rsidR="00174DE6" w:rsidRPr="002C4CC5">
        <w:rPr>
          <w:bCs/>
          <w:color w:val="000000" w:themeColor="text1"/>
        </w:rPr>
        <w:t xml:space="preserve"> is </w:t>
      </w:r>
      <w:r w:rsidR="00DF43C6" w:rsidRPr="002C4CC5">
        <w:rPr>
          <w:bCs/>
          <w:color w:val="000000" w:themeColor="text1"/>
        </w:rPr>
        <w:t xml:space="preserve">to </w:t>
      </w:r>
      <w:r w:rsidR="00AF2F5F" w:rsidRPr="002C4CC5">
        <w:rPr>
          <w:bCs/>
          <w:color w:val="000000" w:themeColor="text1"/>
        </w:rPr>
        <w:t xml:space="preserve">evaluate </w:t>
      </w:r>
      <w:r w:rsidR="00837ED0" w:rsidRPr="002C4CC5">
        <w:rPr>
          <w:bCs/>
          <w:color w:val="000000" w:themeColor="text1"/>
        </w:rPr>
        <w:t>contradictory claims, positions and reports ﬁ</w:t>
      </w:r>
      <w:r w:rsidR="002C4CC5">
        <w:rPr>
          <w:bCs/>
          <w:color w:val="000000" w:themeColor="text1"/>
        </w:rPr>
        <w:t>led by the respective parties.</w:t>
      </w:r>
    </w:p>
    <w:p w14:paraId="73126523" w14:textId="77777777" w:rsidR="00866CBF" w:rsidRDefault="00866CBF" w:rsidP="00866CBF">
      <w:pPr>
        <w:spacing w:line="360" w:lineRule="auto"/>
        <w:rPr>
          <w:bCs/>
          <w:color w:val="000000" w:themeColor="text1"/>
        </w:rPr>
      </w:pPr>
    </w:p>
    <w:p w14:paraId="00F6971F" w14:textId="4DAFF9E3" w:rsidR="00A01A42" w:rsidRPr="00866CBF" w:rsidRDefault="00837ED0" w:rsidP="00866CBF">
      <w:pPr>
        <w:spacing w:line="360" w:lineRule="auto"/>
        <w:rPr>
          <w:bCs/>
          <w:color w:val="000000" w:themeColor="text1"/>
        </w:rPr>
      </w:pPr>
      <w:r w:rsidRPr="002C4CC5">
        <w:rPr>
          <w:bCs/>
          <w:color w:val="000000" w:themeColor="text1"/>
        </w:rPr>
        <w:t>The stakeholder consultative adjudicatory process is the most recent of the NGT’s problem-solving procedures</w:t>
      </w:r>
      <w:r w:rsidR="003554D1" w:rsidRPr="002C4CC5">
        <w:rPr>
          <w:bCs/>
          <w:color w:val="000000" w:themeColor="text1"/>
        </w:rPr>
        <w:t xml:space="preserve">. </w:t>
      </w:r>
      <w:r w:rsidRPr="002C4CC5">
        <w:rPr>
          <w:bCs/>
          <w:color w:val="000000" w:themeColor="text1"/>
        </w:rPr>
        <w:t xml:space="preserve">Major issues having a public impact either on public health, environment or ecology can be better handled and resolved when stakeholders are brought together alongside the </w:t>
      </w:r>
      <w:r w:rsidR="00021CDC" w:rsidRPr="002C4CC5">
        <w:rPr>
          <w:bCs/>
          <w:color w:val="000000" w:themeColor="text1"/>
        </w:rPr>
        <w:t>Tribunal</w:t>
      </w:r>
      <w:r w:rsidRPr="002C4CC5">
        <w:rPr>
          <w:bCs/>
          <w:color w:val="000000" w:themeColor="text1"/>
        </w:rPr>
        <w:t xml:space="preserve">’s scientiﬁc judges </w:t>
      </w:r>
      <w:r w:rsidR="00AF2F5F" w:rsidRPr="002C4CC5">
        <w:rPr>
          <w:bCs/>
          <w:color w:val="000000" w:themeColor="text1"/>
        </w:rPr>
        <w:t>to</w:t>
      </w:r>
      <w:r w:rsidRPr="002C4CC5">
        <w:rPr>
          <w:bCs/>
          <w:color w:val="000000" w:themeColor="text1"/>
        </w:rPr>
        <w:t xml:space="preserve"> elicit the views of </w:t>
      </w:r>
      <w:r w:rsidR="00AF2F5F" w:rsidRPr="002C4CC5">
        <w:rPr>
          <w:bCs/>
          <w:color w:val="000000" w:themeColor="text1"/>
        </w:rPr>
        <w:t>those</w:t>
      </w:r>
      <w:r w:rsidRPr="002C4CC5">
        <w:rPr>
          <w:bCs/>
          <w:color w:val="000000" w:themeColor="text1"/>
        </w:rPr>
        <w:t xml:space="preserve"> concerned – government, scientists, NGOs, public and the NGT. Stakeholder process evokes a greater element of consent rather than </w:t>
      </w:r>
      <w:r w:rsidR="00AF2F5F" w:rsidRPr="002C4CC5">
        <w:rPr>
          <w:bCs/>
          <w:color w:val="000000" w:themeColor="text1"/>
        </w:rPr>
        <w:t xml:space="preserve">subsequent </w:t>
      </w:r>
      <w:r w:rsidRPr="002C4CC5">
        <w:rPr>
          <w:bCs/>
          <w:color w:val="000000" w:themeColor="text1"/>
        </w:rPr>
        <w:t>opposition to a judgment.</w:t>
      </w:r>
      <w:r w:rsidR="00647AC5" w:rsidRPr="002C4CC5">
        <w:rPr>
          <w:bCs/>
          <w:color w:val="000000" w:themeColor="text1"/>
        </w:rPr>
        <w:t xml:space="preserve"> </w:t>
      </w:r>
      <w:r w:rsidR="003554D1" w:rsidRPr="002C4CC5">
        <w:rPr>
          <w:color w:val="000000" w:themeColor="text1"/>
        </w:rPr>
        <w:t>The ongoing Ganga river</w:t>
      </w:r>
      <w:r w:rsidR="007D1FF2" w:rsidRPr="002C4CC5">
        <w:rPr>
          <w:color w:val="000000" w:themeColor="text1"/>
        </w:rPr>
        <w:t>,</w:t>
      </w:r>
      <w:r w:rsidR="003554D1" w:rsidRPr="002C4CC5">
        <w:rPr>
          <w:rStyle w:val="FootnoteReference"/>
          <w:color w:val="000000" w:themeColor="text1"/>
        </w:rPr>
        <w:footnoteReference w:id="124"/>
      </w:r>
      <w:r w:rsidR="003554D1" w:rsidRPr="002C4CC5">
        <w:rPr>
          <w:color w:val="000000" w:themeColor="text1"/>
        </w:rPr>
        <w:t xml:space="preserve"> Yamuna river</w:t>
      </w:r>
      <w:r w:rsidR="007D1FF2" w:rsidRPr="002C4CC5">
        <w:rPr>
          <w:color w:val="000000" w:themeColor="text1"/>
        </w:rPr>
        <w:t>,</w:t>
      </w:r>
      <w:r w:rsidR="003554D1" w:rsidRPr="002C4CC5">
        <w:rPr>
          <w:rStyle w:val="FootnoteReference"/>
          <w:color w:val="000000" w:themeColor="text1"/>
        </w:rPr>
        <w:footnoteReference w:id="125"/>
      </w:r>
      <w:r w:rsidR="003554D1" w:rsidRPr="002C4CC5">
        <w:rPr>
          <w:color w:val="000000" w:themeColor="text1"/>
        </w:rPr>
        <w:t xml:space="preserve"> and air pollution</w:t>
      </w:r>
      <w:r w:rsidR="003554D1" w:rsidRPr="002C4CC5">
        <w:rPr>
          <w:rStyle w:val="FootnoteReference"/>
          <w:color w:val="000000" w:themeColor="text1"/>
        </w:rPr>
        <w:footnoteReference w:id="126"/>
      </w:r>
      <w:r w:rsidR="003554D1" w:rsidRPr="002C4CC5">
        <w:rPr>
          <w:color w:val="000000" w:themeColor="text1"/>
          <w:position w:val="10"/>
        </w:rPr>
        <w:t xml:space="preserve"> </w:t>
      </w:r>
      <w:r w:rsidR="003554D1" w:rsidRPr="002C4CC5">
        <w:rPr>
          <w:color w:val="000000" w:themeColor="text1"/>
        </w:rPr>
        <w:t>cases a</w:t>
      </w:r>
      <w:r w:rsidR="007D1FF2" w:rsidRPr="002C4CC5">
        <w:rPr>
          <w:color w:val="000000" w:themeColor="text1"/>
        </w:rPr>
        <w:t>re</w:t>
      </w:r>
      <w:r w:rsidR="003554D1" w:rsidRPr="002C4CC5">
        <w:rPr>
          <w:color w:val="000000" w:themeColor="text1"/>
        </w:rPr>
        <w:t xml:space="preserve"> illustrations of the new stakeholder consultative adjudicatory process involving open dialogue with interested parties.</w:t>
      </w:r>
      <w:r w:rsidR="00A01A42" w:rsidRPr="002C4CC5">
        <w:rPr>
          <w:color w:val="000000" w:themeColor="text1"/>
        </w:rPr>
        <w:t xml:space="preserve"> In</w:t>
      </w:r>
      <w:r w:rsidR="006E7A61" w:rsidRPr="002C4CC5">
        <w:rPr>
          <w:color w:val="000000" w:themeColor="text1"/>
        </w:rPr>
        <w:t xml:space="preserve"> </w:t>
      </w:r>
      <w:r w:rsidR="006E7A61" w:rsidRPr="002C4CC5">
        <w:rPr>
          <w:i/>
          <w:color w:val="000000" w:themeColor="text1"/>
        </w:rPr>
        <w:t>K. K. Singh</w:t>
      </w:r>
      <w:r w:rsidR="00A01A42" w:rsidRPr="002C4CC5">
        <w:rPr>
          <w:i/>
          <w:iCs/>
          <w:color w:val="000000" w:themeColor="text1"/>
        </w:rPr>
        <w:t xml:space="preserve"> v National Ganga River Basin</w:t>
      </w:r>
      <w:r w:rsidR="005069D6" w:rsidRPr="002C4CC5">
        <w:rPr>
          <w:rStyle w:val="FootnoteReference"/>
          <w:i/>
          <w:iCs/>
          <w:color w:val="000000" w:themeColor="text1"/>
        </w:rPr>
        <w:footnoteReference w:id="127"/>
      </w:r>
      <w:r w:rsidR="00A01A42" w:rsidRPr="002C4CC5">
        <w:rPr>
          <w:i/>
          <w:iCs/>
          <w:color w:val="000000" w:themeColor="text1"/>
        </w:rPr>
        <w:t xml:space="preserve"> </w:t>
      </w:r>
      <w:r w:rsidR="00A01A42" w:rsidRPr="002C4CC5">
        <w:rPr>
          <w:color w:val="000000" w:themeColor="text1"/>
        </w:rPr>
        <w:t>the NGT observed:</w:t>
      </w:r>
    </w:p>
    <w:p w14:paraId="04C77688" w14:textId="4B71252E" w:rsidR="00A01A42" w:rsidRPr="003F71D9" w:rsidRDefault="00A01A42"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...the </w:t>
      </w:r>
      <w:r w:rsidR="00021CDC" w:rsidRPr="003F71D9">
        <w:rPr>
          <w:color w:val="000000" w:themeColor="text1"/>
          <w:sz w:val="20"/>
          <w:szCs w:val="20"/>
        </w:rPr>
        <w:t>Tribunal</w:t>
      </w:r>
      <w:r w:rsidRPr="003F71D9">
        <w:rPr>
          <w:color w:val="000000" w:themeColor="text1"/>
          <w:sz w:val="20"/>
          <w:szCs w:val="20"/>
        </w:rPr>
        <w:t xml:space="preserve"> adopted the mechanism of ‘Stakeholder Consultative Process in Adjudication’ to achieve</w:t>
      </w:r>
      <w:r w:rsidR="00AF17FA" w:rsidRPr="003F71D9">
        <w:rPr>
          <w:color w:val="000000" w:themeColor="text1"/>
          <w:sz w:val="20"/>
          <w:szCs w:val="20"/>
        </w:rPr>
        <w:t xml:space="preserve"> a</w:t>
      </w:r>
      <w:r w:rsidRPr="003F71D9">
        <w:rPr>
          <w:color w:val="000000" w:themeColor="text1"/>
          <w:sz w:val="20"/>
          <w:szCs w:val="20"/>
        </w:rPr>
        <w:t xml:space="preserve"> fast and implementable resolution to this serious and challenging environmental issue facing the country. Secretaries from Government of India, Chief Secretaries of the respective States, concerned Member Secretaries of Pollution Control Boards, Uttarakhand Jal Nigam, Uttar Pradesh Jal Nigam, Urban Development Secretaries from the States, representatives from various Associations of Industries (Big or Small) and even the persons having least stakes were required to participate in the consultative meetings. Various mechanism and remedial steps for preventing and controlling pollution of river Ganga were discussed at length. The purpose of these meetings was primarily to know the intent of the executives and political will of the representative States who were required to take steps in that direction.</w:t>
      </w:r>
      <w:r w:rsidR="005069D6" w:rsidRPr="003F71D9">
        <w:rPr>
          <w:sz w:val="20"/>
          <w:szCs w:val="20"/>
          <w:vertAlign w:val="superscript"/>
        </w:rPr>
        <w:footnoteReference w:id="128"/>
      </w:r>
    </w:p>
    <w:p w14:paraId="464E7F25" w14:textId="394B9051" w:rsidR="003554D1" w:rsidRPr="002C4CC5" w:rsidRDefault="003554D1" w:rsidP="002C4CC5">
      <w:pPr>
        <w:widowControl w:val="0"/>
        <w:autoSpaceDE w:val="0"/>
        <w:autoSpaceDN w:val="0"/>
        <w:adjustRightInd w:val="0"/>
        <w:spacing w:after="240" w:line="360" w:lineRule="auto"/>
        <w:rPr>
          <w:color w:val="000000" w:themeColor="text1"/>
        </w:rPr>
      </w:pPr>
      <w:r w:rsidRPr="002C4CC5">
        <w:rPr>
          <w:color w:val="000000" w:themeColor="text1"/>
        </w:rPr>
        <w:t xml:space="preserve">In this way, efforts are being made to ensure scientifically-driven judgments reflect the interests, expectations and plans of stakeholders to produce decisions which support sustainable development and recognise the wider public interest. </w:t>
      </w:r>
    </w:p>
    <w:p w14:paraId="4B2AF56A" w14:textId="6E2ACB27" w:rsidR="001561BF" w:rsidRPr="002C4CC5" w:rsidRDefault="008B3318" w:rsidP="002C4CC5">
      <w:pPr>
        <w:widowControl w:val="0"/>
        <w:autoSpaceDE w:val="0"/>
        <w:autoSpaceDN w:val="0"/>
        <w:adjustRightInd w:val="0"/>
        <w:spacing w:after="240" w:line="360" w:lineRule="auto"/>
        <w:rPr>
          <w:color w:val="000000" w:themeColor="text1"/>
        </w:rPr>
      </w:pPr>
      <w:r w:rsidRPr="002C4CC5">
        <w:rPr>
          <w:bCs/>
          <w:color w:val="000000" w:themeColor="text1"/>
        </w:rPr>
        <w:t xml:space="preserve">The exercise of </w:t>
      </w:r>
      <w:r w:rsidRPr="002C4CC5">
        <w:rPr>
          <w:bCs/>
          <w:i/>
          <w:color w:val="000000" w:themeColor="text1"/>
        </w:rPr>
        <w:t>suo</w:t>
      </w:r>
      <w:r w:rsidR="005864C4" w:rsidRPr="002C4CC5">
        <w:rPr>
          <w:bCs/>
          <w:i/>
          <w:color w:val="000000" w:themeColor="text1"/>
        </w:rPr>
        <w:t xml:space="preserve"> motu</w:t>
      </w:r>
      <w:r w:rsidR="005864C4" w:rsidRPr="002C4CC5">
        <w:rPr>
          <w:bCs/>
          <w:color w:val="000000" w:themeColor="text1"/>
        </w:rPr>
        <w:t xml:space="preserve"> power </w:t>
      </w:r>
      <w:r w:rsidR="00647AC5" w:rsidRPr="002C4CC5">
        <w:rPr>
          <w:bCs/>
          <w:color w:val="000000" w:themeColor="text1"/>
        </w:rPr>
        <w:t>(</w:t>
      </w:r>
      <w:r w:rsidR="00647AC5" w:rsidRPr="002C4CC5">
        <w:rPr>
          <w:color w:val="000000" w:themeColor="text1"/>
        </w:rPr>
        <w:t>on its own motion) proceedings in environmental cases</w:t>
      </w:r>
      <w:r w:rsidR="0053234D" w:rsidRPr="002C4CC5">
        <w:rPr>
          <w:color w:val="000000" w:themeColor="text1"/>
        </w:rPr>
        <w:t xml:space="preserve"> is another situation indicating</w:t>
      </w:r>
      <w:r w:rsidR="00741643" w:rsidRPr="002C4CC5">
        <w:rPr>
          <w:color w:val="000000" w:themeColor="text1"/>
        </w:rPr>
        <w:t xml:space="preserve"> </w:t>
      </w:r>
      <w:r w:rsidR="00741643" w:rsidRPr="002C4CC5">
        <w:rPr>
          <w:i/>
          <w:color w:val="000000" w:themeColor="text1"/>
        </w:rPr>
        <w:t>learning new meaning for old concepts</w:t>
      </w:r>
      <w:r w:rsidR="0053234D" w:rsidRPr="002C4CC5">
        <w:rPr>
          <w:i/>
          <w:color w:val="000000" w:themeColor="text1"/>
        </w:rPr>
        <w:t>.</w:t>
      </w:r>
      <w:r w:rsidR="0053234D" w:rsidRPr="002C4CC5">
        <w:rPr>
          <w:color w:val="000000" w:themeColor="text1"/>
        </w:rPr>
        <w:t xml:space="preserve"> In </w:t>
      </w:r>
      <w:r w:rsidR="0053234D" w:rsidRPr="002C4CC5">
        <w:rPr>
          <w:i/>
          <w:color w:val="000000" w:themeColor="text1"/>
        </w:rPr>
        <w:t>suo motu</w:t>
      </w:r>
      <w:r w:rsidR="0053234D" w:rsidRPr="002C4CC5">
        <w:rPr>
          <w:color w:val="000000" w:themeColor="text1"/>
        </w:rPr>
        <w:t xml:space="preserve"> proceedings a </w:t>
      </w:r>
      <w:r w:rsidR="00224E9F" w:rsidRPr="002C4CC5">
        <w:rPr>
          <w:color w:val="000000" w:themeColor="text1"/>
        </w:rPr>
        <w:t xml:space="preserve">superior </w:t>
      </w:r>
      <w:r w:rsidR="007302C6" w:rsidRPr="002C4CC5">
        <w:rPr>
          <w:color w:val="000000" w:themeColor="text1"/>
        </w:rPr>
        <w:t xml:space="preserve">court initiates </w:t>
      </w:r>
      <w:r w:rsidR="00CB1BC9" w:rsidRPr="002C4CC5">
        <w:rPr>
          <w:color w:val="000000" w:themeColor="text1"/>
        </w:rPr>
        <w:t xml:space="preserve">proceedings as PIL </w:t>
      </w:r>
      <w:r w:rsidR="00CC25AA" w:rsidRPr="002C4CC5">
        <w:rPr>
          <w:color w:val="000000" w:themeColor="text1"/>
        </w:rPr>
        <w:t xml:space="preserve">in the public interest </w:t>
      </w:r>
      <w:r w:rsidR="00392D09" w:rsidRPr="002C4CC5">
        <w:rPr>
          <w:color w:val="000000" w:themeColor="text1"/>
        </w:rPr>
        <w:t xml:space="preserve">and </w:t>
      </w:r>
      <w:r w:rsidR="0053234D" w:rsidRPr="002C4CC5">
        <w:rPr>
          <w:color w:val="000000" w:themeColor="text1"/>
        </w:rPr>
        <w:t>acts on its own volition in the absence of parties.</w:t>
      </w:r>
      <w:r w:rsidR="00A23E9B" w:rsidRPr="002C4CC5">
        <w:rPr>
          <w:rStyle w:val="FootnoteReference"/>
          <w:color w:val="000000" w:themeColor="text1"/>
        </w:rPr>
        <w:footnoteReference w:id="129"/>
      </w:r>
      <w:r w:rsidR="0053234D" w:rsidRPr="002C4CC5">
        <w:rPr>
          <w:color w:val="000000" w:themeColor="text1"/>
        </w:rPr>
        <w:t xml:space="preserve"> </w:t>
      </w:r>
      <w:r w:rsidR="00BE2254" w:rsidRPr="002C4CC5">
        <w:rPr>
          <w:color w:val="000000" w:themeColor="text1"/>
        </w:rPr>
        <w:t xml:space="preserve">The NGT’s jurisdiction is typically triggered by an aggrieved person filing a motion. </w:t>
      </w:r>
      <w:r w:rsidR="0053234D" w:rsidRPr="002C4CC5">
        <w:rPr>
          <w:color w:val="000000" w:themeColor="text1"/>
        </w:rPr>
        <w:t xml:space="preserve">Interestingly, the NGT Act 2010 does not expressly provide the authority to initiate </w:t>
      </w:r>
      <w:r w:rsidR="0053234D" w:rsidRPr="002C4CC5">
        <w:rPr>
          <w:i/>
          <w:color w:val="000000" w:themeColor="text1"/>
        </w:rPr>
        <w:t>suo motu</w:t>
      </w:r>
      <w:r w:rsidR="0053234D" w:rsidRPr="002C4CC5">
        <w:rPr>
          <w:color w:val="000000" w:themeColor="text1"/>
        </w:rPr>
        <w:t xml:space="preserve"> proceedings. </w:t>
      </w:r>
      <w:r w:rsidR="00754210" w:rsidRPr="002C4CC5">
        <w:rPr>
          <w:color w:val="000000" w:themeColor="text1"/>
        </w:rPr>
        <w:t>Cases such as increased vehicular traffic in Himachal Pradesh</w:t>
      </w:r>
      <w:r w:rsidR="00A23E9B" w:rsidRPr="002C4CC5">
        <w:rPr>
          <w:color w:val="000000" w:themeColor="text1"/>
        </w:rPr>
        <w:t>,</w:t>
      </w:r>
      <w:r w:rsidR="00A23E9B" w:rsidRPr="002C4CC5">
        <w:rPr>
          <w:rStyle w:val="FootnoteReference"/>
          <w:color w:val="000000" w:themeColor="text1"/>
        </w:rPr>
        <w:footnoteReference w:id="130"/>
      </w:r>
      <w:r w:rsidR="00A23E9B" w:rsidRPr="002C4CC5">
        <w:rPr>
          <w:color w:val="000000" w:themeColor="text1"/>
        </w:rPr>
        <w:t xml:space="preserve"> </w:t>
      </w:r>
      <w:r w:rsidR="00754210" w:rsidRPr="002C4CC5">
        <w:rPr>
          <w:color w:val="000000" w:themeColor="text1"/>
        </w:rPr>
        <w:t>dolomite mining in the tiger reserve forest in Kanha National Park</w:t>
      </w:r>
      <w:r w:rsidR="00A23E9B" w:rsidRPr="002C4CC5">
        <w:rPr>
          <w:color w:val="000000" w:themeColor="text1"/>
        </w:rPr>
        <w:t>,</w:t>
      </w:r>
      <w:r w:rsidR="00A23E9B" w:rsidRPr="002C4CC5">
        <w:rPr>
          <w:rStyle w:val="FootnoteReference"/>
          <w:color w:val="000000" w:themeColor="text1"/>
        </w:rPr>
        <w:footnoteReference w:id="131"/>
      </w:r>
      <w:r w:rsidR="00A23E9B" w:rsidRPr="002C4CC5">
        <w:rPr>
          <w:color w:val="000000" w:themeColor="text1"/>
        </w:rPr>
        <w:t xml:space="preserve"> </w:t>
      </w:r>
      <w:r w:rsidR="00754210" w:rsidRPr="002C4CC5">
        <w:rPr>
          <w:color w:val="000000" w:themeColor="text1"/>
        </w:rPr>
        <w:t>groundwater contamination in the water supply lines and borewells in Delhi</w:t>
      </w:r>
      <w:r w:rsidR="00A23E9B" w:rsidRPr="002C4CC5">
        <w:rPr>
          <w:color w:val="000000" w:themeColor="text1"/>
        </w:rPr>
        <w:t>,</w:t>
      </w:r>
      <w:r w:rsidR="00A23E9B" w:rsidRPr="002C4CC5">
        <w:rPr>
          <w:rStyle w:val="FootnoteReference"/>
          <w:color w:val="000000" w:themeColor="text1"/>
        </w:rPr>
        <w:footnoteReference w:id="132"/>
      </w:r>
      <w:r w:rsidR="00926E3D" w:rsidRPr="002C4CC5">
        <w:rPr>
          <w:color w:val="000000" w:themeColor="text1"/>
        </w:rPr>
        <w:t xml:space="preserve"> </w:t>
      </w:r>
      <w:r w:rsidR="00754210" w:rsidRPr="002C4CC5">
        <w:rPr>
          <w:color w:val="000000" w:themeColor="text1"/>
        </w:rPr>
        <w:t>and the clearing and felling of trees in the Sathyamanglam Tiger Reserve</w:t>
      </w:r>
      <w:r w:rsidR="00A23E9B" w:rsidRPr="002C4CC5">
        <w:rPr>
          <w:rStyle w:val="FootnoteReference"/>
          <w:color w:val="000000" w:themeColor="text1"/>
        </w:rPr>
        <w:footnoteReference w:id="133"/>
      </w:r>
      <w:r w:rsidR="00A23E9B" w:rsidRPr="002C4CC5">
        <w:rPr>
          <w:color w:val="000000" w:themeColor="text1"/>
        </w:rPr>
        <w:t xml:space="preserve"> </w:t>
      </w:r>
      <w:r w:rsidR="00754210" w:rsidRPr="002C4CC5">
        <w:rPr>
          <w:color w:val="000000" w:themeColor="text1"/>
        </w:rPr>
        <w:t xml:space="preserve">are illustrative of the NGT initiating </w:t>
      </w:r>
      <w:r w:rsidR="00E27870" w:rsidRPr="002C4CC5">
        <w:rPr>
          <w:color w:val="000000" w:themeColor="text1"/>
        </w:rPr>
        <w:t xml:space="preserve">controversial </w:t>
      </w:r>
      <w:r w:rsidR="00754210" w:rsidRPr="002C4CC5">
        <w:rPr>
          <w:i/>
          <w:color w:val="000000" w:themeColor="text1"/>
        </w:rPr>
        <w:t>suo motu</w:t>
      </w:r>
      <w:r w:rsidR="00754210" w:rsidRPr="002C4CC5">
        <w:rPr>
          <w:color w:val="000000" w:themeColor="text1"/>
        </w:rPr>
        <w:t xml:space="preserve"> proceedings. These cases reflect the </w:t>
      </w:r>
      <w:r w:rsidR="00021CDC" w:rsidRPr="002C4CC5">
        <w:rPr>
          <w:color w:val="000000" w:themeColor="text1"/>
        </w:rPr>
        <w:t>Tribunal</w:t>
      </w:r>
      <w:r w:rsidR="00754210" w:rsidRPr="002C4CC5">
        <w:rPr>
          <w:color w:val="000000" w:themeColor="text1"/>
        </w:rPr>
        <w:t xml:space="preserve">’s self-proclaimed, expansionist power to review environmental issues, </w:t>
      </w:r>
      <w:r w:rsidR="00754210" w:rsidRPr="002C4CC5">
        <w:rPr>
          <w:i/>
          <w:color w:val="000000" w:themeColor="text1"/>
        </w:rPr>
        <w:t>ab initio</w:t>
      </w:r>
      <w:r w:rsidR="00754210" w:rsidRPr="002C4CC5">
        <w:rPr>
          <w:color w:val="000000" w:themeColor="text1"/>
        </w:rPr>
        <w:t xml:space="preserve">, simply on the grounds of environmental protection and human welfare. </w:t>
      </w:r>
      <w:r w:rsidR="001561BF" w:rsidRPr="002C4CC5">
        <w:rPr>
          <w:color w:val="000000" w:themeColor="text1"/>
        </w:rPr>
        <w:t xml:space="preserve">For the </w:t>
      </w:r>
      <w:r w:rsidR="00021CDC" w:rsidRPr="002C4CC5">
        <w:rPr>
          <w:color w:val="000000" w:themeColor="text1"/>
        </w:rPr>
        <w:t>Tribunal</w:t>
      </w:r>
      <w:r w:rsidR="001561BF" w:rsidRPr="002C4CC5">
        <w:rPr>
          <w:color w:val="000000" w:themeColor="text1"/>
        </w:rPr>
        <w:t xml:space="preserve">, </w:t>
      </w:r>
      <w:r w:rsidR="00637265" w:rsidRPr="002C4CC5">
        <w:rPr>
          <w:color w:val="000000" w:themeColor="text1"/>
        </w:rPr>
        <w:t>“</w:t>
      </w:r>
      <w:r w:rsidR="001561BF" w:rsidRPr="002C4CC5">
        <w:rPr>
          <w:i/>
          <w:color w:val="000000" w:themeColor="text1"/>
        </w:rPr>
        <w:t>suo motu</w:t>
      </w:r>
      <w:r w:rsidR="001561BF" w:rsidRPr="002C4CC5">
        <w:rPr>
          <w:color w:val="000000" w:themeColor="text1"/>
        </w:rPr>
        <w:t xml:space="preserve"> jurisdiction has to be an integral part of the NGT for better and effective functioning of the institution. There are some inherent powers which are vital for effective functioning and </w:t>
      </w:r>
      <w:r w:rsidR="001561BF" w:rsidRPr="002C4CC5">
        <w:rPr>
          <w:i/>
          <w:color w:val="000000" w:themeColor="text1"/>
        </w:rPr>
        <w:t>suo motu</w:t>
      </w:r>
      <w:r w:rsidR="00802185" w:rsidRPr="002C4CC5">
        <w:rPr>
          <w:color w:val="000000" w:themeColor="text1"/>
        </w:rPr>
        <w:t xml:space="preserve"> jurisdiction is one such power.</w:t>
      </w:r>
      <w:r w:rsidR="00637265" w:rsidRPr="002C4CC5">
        <w:rPr>
          <w:color w:val="000000" w:themeColor="text1"/>
        </w:rPr>
        <w:t>”</w:t>
      </w:r>
      <w:r w:rsidR="00802185" w:rsidRPr="002C4CC5">
        <w:rPr>
          <w:rStyle w:val="FootnoteReference"/>
          <w:color w:val="000000" w:themeColor="text1"/>
        </w:rPr>
        <w:footnoteReference w:id="134"/>
      </w:r>
      <w:r w:rsidR="007726B2" w:rsidRPr="002C4CC5">
        <w:rPr>
          <w:color w:val="000000" w:themeColor="text1"/>
          <w:position w:val="10"/>
        </w:rPr>
        <w:t xml:space="preserve"> </w:t>
      </w:r>
    </w:p>
    <w:p w14:paraId="72355B3D" w14:textId="77777777" w:rsidR="00955508" w:rsidRPr="002C4CC5" w:rsidRDefault="00E27870" w:rsidP="002C4CC5">
      <w:pPr>
        <w:pStyle w:val="Body"/>
        <w:spacing w:before="100" w:beforeAutospacing="1" w:after="100" w:afterAutospacing="1" w:line="360" w:lineRule="auto"/>
        <w:jc w:val="both"/>
        <w:rPr>
          <w:rFonts w:ascii="Times New Roman" w:hAnsi="Times New Roman" w:cs="Times New Roman"/>
          <w:color w:val="000000" w:themeColor="text1"/>
        </w:rPr>
      </w:pPr>
      <w:r w:rsidRPr="002C4CC5">
        <w:rPr>
          <w:rFonts w:ascii="Times New Roman" w:hAnsi="Times New Roman" w:cs="Times New Roman"/>
          <w:color w:val="000000" w:themeColor="text1"/>
        </w:rPr>
        <w:t xml:space="preserve">The NGT </w:t>
      </w:r>
      <w:r w:rsidR="002D7E69" w:rsidRPr="002C4CC5">
        <w:rPr>
          <w:rFonts w:ascii="Times New Roman" w:hAnsi="Times New Roman" w:cs="Times New Roman"/>
          <w:color w:val="000000" w:themeColor="text1"/>
        </w:rPr>
        <w:t xml:space="preserve">also </w:t>
      </w:r>
      <w:r w:rsidRPr="002C4CC5">
        <w:rPr>
          <w:rFonts w:ascii="Times New Roman" w:hAnsi="Times New Roman" w:cs="Times New Roman"/>
          <w:color w:val="000000" w:themeColor="text1"/>
        </w:rPr>
        <w:t xml:space="preserve">conferred upon itself the power of judicial review, yet another important and controversial instance of </w:t>
      </w:r>
      <w:r w:rsidRPr="002C4CC5">
        <w:rPr>
          <w:rFonts w:ascii="Times New Roman" w:hAnsi="Times New Roman" w:cs="Times New Roman"/>
          <w:i/>
          <w:color w:val="000000" w:themeColor="text1"/>
        </w:rPr>
        <w:t>learning new meaning for old concepts.</w:t>
      </w:r>
      <w:r w:rsidR="00B6497E" w:rsidRPr="002C4CC5">
        <w:rPr>
          <w:rFonts w:ascii="Times New Roman" w:hAnsi="Times New Roman" w:cs="Times New Roman"/>
          <w:color w:val="000000" w:themeColor="text1"/>
        </w:rPr>
        <w:t xml:space="preserve"> </w:t>
      </w:r>
      <w:r w:rsidR="00E80FC4" w:rsidRPr="002C4CC5">
        <w:rPr>
          <w:rFonts w:ascii="Times New Roman" w:hAnsi="Times New Roman" w:cs="Times New Roman"/>
          <w:color w:val="000000" w:themeColor="text1"/>
          <w:lang w:val="en-US"/>
        </w:rPr>
        <w:t xml:space="preserve">The Constitution of India vests the </w:t>
      </w:r>
      <w:r w:rsidR="00F06654" w:rsidRPr="002C4CC5">
        <w:rPr>
          <w:rFonts w:ascii="Times New Roman" w:hAnsi="Times New Roman" w:cs="Times New Roman"/>
          <w:color w:val="000000" w:themeColor="text1"/>
          <w:lang w:val="en-US"/>
        </w:rPr>
        <w:t xml:space="preserve">Supreme Court under Article 32 and High Courts under Article 226 </w:t>
      </w:r>
      <w:r w:rsidR="00E80FC4" w:rsidRPr="002C4CC5">
        <w:rPr>
          <w:rFonts w:ascii="Times New Roman" w:hAnsi="Times New Roman" w:cs="Times New Roman"/>
          <w:color w:val="000000" w:themeColor="text1"/>
          <w:lang w:val="en-US"/>
        </w:rPr>
        <w:t>with the power of judicial review to ascertain the legality of legislation or an executive action.</w:t>
      </w:r>
      <w:r w:rsidR="00B241DE" w:rsidRPr="002C4CC5">
        <w:rPr>
          <w:rStyle w:val="FootnoteReference"/>
          <w:rFonts w:ascii="Times New Roman" w:hAnsi="Times New Roman" w:cs="Times New Roman"/>
          <w:color w:val="000000" w:themeColor="text1"/>
          <w:lang w:val="en-US"/>
        </w:rPr>
        <w:footnoteReference w:id="135"/>
      </w:r>
      <w:r w:rsidR="00F06654" w:rsidRPr="002C4CC5">
        <w:rPr>
          <w:rFonts w:ascii="Times New Roman" w:hAnsi="Times New Roman" w:cs="Times New Roman"/>
          <w:color w:val="000000" w:themeColor="text1"/>
          <w:vertAlign w:val="superscript"/>
          <w:lang w:val="en-US"/>
        </w:rPr>
        <w:t xml:space="preserve"> </w:t>
      </w:r>
      <w:r w:rsidR="007774DF" w:rsidRPr="002C4CC5">
        <w:rPr>
          <w:rFonts w:ascii="Times New Roman" w:hAnsi="Times New Roman" w:cs="Times New Roman"/>
          <w:color w:val="000000" w:themeColor="text1"/>
        </w:rPr>
        <w:t xml:space="preserve"> </w:t>
      </w:r>
      <w:r w:rsidR="00FA0E12" w:rsidRPr="002C4CC5">
        <w:rPr>
          <w:rFonts w:ascii="Times New Roman" w:hAnsi="Times New Roman" w:cs="Times New Roman"/>
          <w:color w:val="000000" w:themeColor="text1"/>
        </w:rPr>
        <w:t xml:space="preserve">However, </w:t>
      </w:r>
      <w:r w:rsidR="00FA0E12" w:rsidRPr="002C4CC5">
        <w:rPr>
          <w:rFonts w:ascii="Times New Roman" w:hAnsi="Times New Roman" w:cs="Times New Roman"/>
          <w:color w:val="000000" w:themeColor="text1"/>
          <w:lang w:val="en-US"/>
        </w:rPr>
        <w:t>t</w:t>
      </w:r>
      <w:r w:rsidR="00744E4C" w:rsidRPr="002C4CC5">
        <w:rPr>
          <w:rFonts w:ascii="Times New Roman" w:hAnsi="Times New Roman" w:cs="Times New Roman"/>
          <w:color w:val="000000" w:themeColor="text1"/>
          <w:lang w:val="en-US"/>
        </w:rPr>
        <w:t>he</w:t>
      </w:r>
      <w:r w:rsidR="00741D8F" w:rsidRPr="002C4CC5">
        <w:rPr>
          <w:rFonts w:ascii="Times New Roman" w:hAnsi="Times New Roman" w:cs="Times New Roman"/>
          <w:color w:val="000000" w:themeColor="text1"/>
          <w:lang w:val="en-US"/>
        </w:rPr>
        <w:t xml:space="preserve"> power of a</w:t>
      </w:r>
      <w:r w:rsidR="00FA0E12" w:rsidRPr="002C4CC5">
        <w:rPr>
          <w:rFonts w:ascii="Times New Roman" w:hAnsi="Times New Roman" w:cs="Times New Roman"/>
          <w:color w:val="000000" w:themeColor="text1"/>
          <w:lang w:val="en-US"/>
        </w:rPr>
        <w:t xml:space="preserve"> </w:t>
      </w:r>
      <w:r w:rsidR="00021CDC" w:rsidRPr="002C4CC5">
        <w:rPr>
          <w:rFonts w:ascii="Times New Roman" w:hAnsi="Times New Roman" w:cs="Times New Roman"/>
          <w:color w:val="000000" w:themeColor="text1"/>
          <w:lang w:val="en-US"/>
        </w:rPr>
        <w:t>Tribunal</w:t>
      </w:r>
      <w:r w:rsidR="00F06654" w:rsidRPr="002C4CC5">
        <w:rPr>
          <w:rFonts w:ascii="Times New Roman" w:hAnsi="Times New Roman" w:cs="Times New Roman"/>
          <w:color w:val="000000" w:themeColor="text1"/>
          <w:lang w:val="en-US"/>
        </w:rPr>
        <w:t xml:space="preserve"> </w:t>
      </w:r>
      <w:r w:rsidR="00534A91" w:rsidRPr="002C4CC5">
        <w:rPr>
          <w:rFonts w:ascii="Times New Roman" w:hAnsi="Times New Roman" w:cs="Times New Roman"/>
          <w:color w:val="000000" w:themeColor="text1"/>
          <w:lang w:val="en-US"/>
        </w:rPr>
        <w:t xml:space="preserve">as </w:t>
      </w:r>
      <w:r w:rsidR="00955508" w:rsidRPr="002C4CC5">
        <w:rPr>
          <w:rFonts w:ascii="Times New Roman" w:hAnsi="Times New Roman" w:cs="Times New Roman"/>
          <w:color w:val="000000" w:themeColor="text1"/>
          <w:lang w:val="en-US"/>
        </w:rPr>
        <w:t>“</w:t>
      </w:r>
      <w:r w:rsidR="00534A91" w:rsidRPr="002C4CC5">
        <w:rPr>
          <w:rFonts w:ascii="Times New Roman" w:hAnsi="Times New Roman" w:cs="Times New Roman"/>
          <w:color w:val="000000" w:themeColor="text1"/>
          <w:lang w:val="en-US"/>
        </w:rPr>
        <w:t>quasi-judicial</w:t>
      </w:r>
      <w:r w:rsidR="00955508" w:rsidRPr="002C4CC5">
        <w:rPr>
          <w:rFonts w:ascii="Times New Roman" w:hAnsi="Times New Roman" w:cs="Times New Roman"/>
          <w:color w:val="000000" w:themeColor="text1"/>
          <w:lang w:val="en-US"/>
        </w:rPr>
        <w:t xml:space="preserve"> body”</w:t>
      </w:r>
      <w:r w:rsidR="00F06654" w:rsidRPr="002C4CC5">
        <w:rPr>
          <w:rFonts w:ascii="Times New Roman" w:hAnsi="Times New Roman" w:cs="Times New Roman"/>
          <w:color w:val="000000" w:themeColor="text1"/>
          <w:lang w:val="en-US"/>
        </w:rPr>
        <w:t xml:space="preserve"> </w:t>
      </w:r>
      <w:r w:rsidR="00741D8F" w:rsidRPr="002C4CC5">
        <w:rPr>
          <w:rFonts w:ascii="Times New Roman" w:hAnsi="Times New Roman" w:cs="Times New Roman"/>
          <w:color w:val="000000" w:themeColor="text1"/>
          <w:lang w:val="en-US"/>
        </w:rPr>
        <w:t xml:space="preserve">to </w:t>
      </w:r>
      <w:r w:rsidR="00F06654" w:rsidRPr="002C4CC5">
        <w:rPr>
          <w:rFonts w:ascii="Times New Roman" w:hAnsi="Times New Roman" w:cs="Times New Roman"/>
          <w:color w:val="000000" w:themeColor="text1"/>
          <w:lang w:val="en-US"/>
        </w:rPr>
        <w:t xml:space="preserve">undertake </w:t>
      </w:r>
      <w:r w:rsidR="00741D8F" w:rsidRPr="002C4CC5">
        <w:rPr>
          <w:rFonts w:ascii="Times New Roman" w:hAnsi="Times New Roman" w:cs="Times New Roman"/>
          <w:color w:val="000000" w:themeColor="text1"/>
          <w:lang w:val="en-US"/>
        </w:rPr>
        <w:t xml:space="preserve">the </w:t>
      </w:r>
      <w:r w:rsidR="00F06654" w:rsidRPr="002C4CC5">
        <w:rPr>
          <w:rFonts w:ascii="Times New Roman" w:hAnsi="Times New Roman" w:cs="Times New Roman"/>
          <w:color w:val="000000" w:themeColor="text1"/>
          <w:lang w:val="en-US"/>
        </w:rPr>
        <w:t>judicial review has often been disputed.</w:t>
      </w:r>
      <w:r w:rsidR="00795651" w:rsidRPr="002C4CC5">
        <w:rPr>
          <w:rStyle w:val="FootnoteReference"/>
          <w:rFonts w:ascii="Times New Roman" w:hAnsi="Times New Roman" w:cs="Times New Roman"/>
          <w:color w:val="000000" w:themeColor="text1"/>
          <w:lang w:val="en-US"/>
        </w:rPr>
        <w:footnoteReference w:id="136"/>
      </w:r>
      <w:r w:rsidR="00F06654" w:rsidRPr="002C4CC5">
        <w:rPr>
          <w:rFonts w:ascii="Times New Roman" w:hAnsi="Times New Roman" w:cs="Times New Roman"/>
          <w:color w:val="000000" w:themeColor="text1"/>
          <w:lang w:val="en-US"/>
        </w:rPr>
        <w:t xml:space="preserve"> </w:t>
      </w:r>
      <w:r w:rsidR="00B6497E" w:rsidRPr="002C4CC5">
        <w:rPr>
          <w:rFonts w:ascii="Times New Roman" w:hAnsi="Times New Roman" w:cs="Times New Roman"/>
          <w:color w:val="000000" w:themeColor="text1"/>
        </w:rPr>
        <w:t xml:space="preserve">In </w:t>
      </w:r>
      <w:r w:rsidR="00B6497E" w:rsidRPr="002C4CC5">
        <w:rPr>
          <w:rFonts w:ascii="Times New Roman" w:hAnsi="Times New Roman" w:cs="Times New Roman"/>
          <w:i/>
          <w:iCs/>
          <w:color w:val="000000" w:themeColor="text1"/>
        </w:rPr>
        <w:t>L Chandra Kumar v Union of India</w:t>
      </w:r>
      <w:r w:rsidR="002D2A9D" w:rsidRPr="002C4CC5">
        <w:rPr>
          <w:rStyle w:val="FootnoteReference"/>
          <w:rFonts w:ascii="Times New Roman" w:hAnsi="Times New Roman" w:cs="Times New Roman"/>
          <w:i/>
          <w:iCs/>
          <w:color w:val="000000" w:themeColor="text1"/>
        </w:rPr>
        <w:footnoteReference w:id="137"/>
      </w:r>
      <w:r w:rsidR="00B6497E" w:rsidRPr="002C4CC5">
        <w:rPr>
          <w:rFonts w:ascii="Times New Roman" w:hAnsi="Times New Roman" w:cs="Times New Roman"/>
          <w:color w:val="000000" w:themeColor="text1"/>
        </w:rPr>
        <w:t xml:space="preserve"> the Supreme Court observed: </w:t>
      </w:r>
    </w:p>
    <w:p w14:paraId="0CBF730F" w14:textId="03FA29C7" w:rsidR="00B6497E" w:rsidRPr="003F71D9" w:rsidRDefault="006058CD"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 . . the </w:t>
      </w:r>
      <w:r w:rsidR="00021CDC" w:rsidRPr="003F71D9">
        <w:rPr>
          <w:color w:val="000000" w:themeColor="text1"/>
          <w:sz w:val="20"/>
          <w:szCs w:val="20"/>
        </w:rPr>
        <w:t>Tribunal</w:t>
      </w:r>
      <w:r w:rsidRPr="003F71D9">
        <w:rPr>
          <w:color w:val="000000" w:themeColor="text1"/>
          <w:sz w:val="20"/>
          <w:szCs w:val="20"/>
        </w:rPr>
        <w:t xml:space="preserve">s are not </w:t>
      </w:r>
      <w:r w:rsidR="00B6497E" w:rsidRPr="003F71D9">
        <w:rPr>
          <w:color w:val="000000" w:themeColor="text1"/>
          <w:sz w:val="20"/>
          <w:szCs w:val="20"/>
        </w:rPr>
        <w:t>substitutes for the High Courts, and they can carry out only a supplemental, as opposed to substitutional role, since the power</w:t>
      </w:r>
      <w:r w:rsidRPr="003F71D9">
        <w:rPr>
          <w:color w:val="000000" w:themeColor="text1"/>
          <w:sz w:val="20"/>
          <w:szCs w:val="20"/>
        </w:rPr>
        <w:t xml:space="preserve"> </w:t>
      </w:r>
      <w:r w:rsidR="00B6497E" w:rsidRPr="003F71D9">
        <w:rPr>
          <w:color w:val="000000" w:themeColor="text1"/>
          <w:sz w:val="20"/>
          <w:szCs w:val="20"/>
        </w:rPr>
        <w:t xml:space="preserve">of the High Courts and Supreme Court to test the constitutional validity of legislations can never be ousted or excluded. The </w:t>
      </w:r>
      <w:r w:rsidR="00021CDC" w:rsidRPr="003F71D9">
        <w:rPr>
          <w:color w:val="000000" w:themeColor="text1"/>
          <w:sz w:val="20"/>
          <w:szCs w:val="20"/>
        </w:rPr>
        <w:t>Tribunal</w:t>
      </w:r>
      <w:r w:rsidR="00B6497E" w:rsidRPr="003F71D9">
        <w:rPr>
          <w:color w:val="000000" w:themeColor="text1"/>
          <w:sz w:val="20"/>
          <w:szCs w:val="20"/>
        </w:rPr>
        <w:t>s are therefore not vested with the power of judicial review to the exclusion of the High Courts and the Supreme Court.</w:t>
      </w:r>
      <w:r w:rsidR="002D2A9D" w:rsidRPr="003F71D9">
        <w:rPr>
          <w:sz w:val="20"/>
          <w:szCs w:val="20"/>
          <w:vertAlign w:val="superscript"/>
        </w:rPr>
        <w:footnoteReference w:id="138"/>
      </w:r>
      <w:r w:rsidR="00B6497E" w:rsidRPr="003F71D9">
        <w:rPr>
          <w:color w:val="000000" w:themeColor="text1"/>
          <w:sz w:val="20"/>
          <w:szCs w:val="20"/>
          <w:vertAlign w:val="superscript"/>
        </w:rPr>
        <w:t xml:space="preserve"> </w:t>
      </w:r>
    </w:p>
    <w:p w14:paraId="7E61FE1D" w14:textId="191D6F41" w:rsidR="00283BC9" w:rsidRPr="002C4CC5" w:rsidRDefault="00AC44CE" w:rsidP="002C4CC5">
      <w:pPr>
        <w:widowControl w:val="0"/>
        <w:autoSpaceDE w:val="0"/>
        <w:autoSpaceDN w:val="0"/>
        <w:adjustRightInd w:val="0"/>
        <w:spacing w:after="240" w:line="360" w:lineRule="auto"/>
        <w:rPr>
          <w:color w:val="000000" w:themeColor="text1"/>
        </w:rPr>
      </w:pPr>
      <w:r w:rsidRPr="002C4CC5">
        <w:rPr>
          <w:color w:val="000000" w:themeColor="text1"/>
          <w:lang w:val="en-US"/>
        </w:rPr>
        <w:t>However, i</w:t>
      </w:r>
      <w:r w:rsidR="00B34242" w:rsidRPr="002C4CC5">
        <w:rPr>
          <w:color w:val="000000" w:themeColor="text1"/>
          <w:lang w:val="en-US"/>
        </w:rPr>
        <w:t>n a series of cases</w:t>
      </w:r>
      <w:r w:rsidR="00142212" w:rsidRPr="002C4CC5">
        <w:rPr>
          <w:rStyle w:val="FootnoteReference"/>
          <w:color w:val="000000" w:themeColor="text1"/>
          <w:lang w:val="en-US"/>
        </w:rPr>
        <w:footnoteReference w:id="139"/>
      </w:r>
      <w:r w:rsidR="00B34242" w:rsidRPr="002C4CC5">
        <w:rPr>
          <w:color w:val="000000" w:themeColor="text1"/>
        </w:rPr>
        <w:t xml:space="preserve"> </w:t>
      </w:r>
      <w:r w:rsidR="00436463" w:rsidRPr="002C4CC5">
        <w:rPr>
          <w:color w:val="000000" w:themeColor="text1"/>
        </w:rPr>
        <w:t>the NGT</w:t>
      </w:r>
      <w:r w:rsidR="00B34242" w:rsidRPr="002C4CC5">
        <w:rPr>
          <w:color w:val="000000" w:themeColor="text1"/>
        </w:rPr>
        <w:t xml:space="preserve"> </w:t>
      </w:r>
      <w:r w:rsidR="00067996" w:rsidRPr="002C4CC5">
        <w:rPr>
          <w:color w:val="000000" w:themeColor="text1"/>
          <w:lang w:val="en-US"/>
        </w:rPr>
        <w:t xml:space="preserve">declared the </w:t>
      </w:r>
      <w:r w:rsidR="00021CDC" w:rsidRPr="002C4CC5">
        <w:rPr>
          <w:color w:val="000000" w:themeColor="text1"/>
        </w:rPr>
        <w:t>Tribunal</w:t>
      </w:r>
      <w:r w:rsidR="00436463" w:rsidRPr="002C4CC5">
        <w:rPr>
          <w:color w:val="000000" w:themeColor="text1"/>
        </w:rPr>
        <w:t xml:space="preserve"> is competent and is vested with the jurisdiction and power of judicial review. </w:t>
      </w:r>
      <w:r w:rsidR="00610CB7" w:rsidRPr="002C4CC5">
        <w:rPr>
          <w:color w:val="000000" w:themeColor="text1"/>
        </w:rPr>
        <w:t xml:space="preserve">The </w:t>
      </w:r>
      <w:r w:rsidR="00021CDC" w:rsidRPr="002C4CC5">
        <w:rPr>
          <w:color w:val="000000" w:themeColor="text1"/>
        </w:rPr>
        <w:t>Tribunal</w:t>
      </w:r>
      <w:r w:rsidR="008C501A" w:rsidRPr="002C4CC5">
        <w:rPr>
          <w:color w:val="000000" w:themeColor="text1"/>
        </w:rPr>
        <w:t xml:space="preserve"> has all the characteristics</w:t>
      </w:r>
      <w:r w:rsidR="00610CB7" w:rsidRPr="002C4CC5">
        <w:rPr>
          <w:color w:val="000000" w:themeColor="text1"/>
        </w:rPr>
        <w:t xml:space="preserve"> of a </w:t>
      </w:r>
      <w:r w:rsidR="007406AE" w:rsidRPr="002C4CC5">
        <w:rPr>
          <w:color w:val="000000" w:themeColor="text1"/>
        </w:rPr>
        <w:t>c</w:t>
      </w:r>
      <w:r w:rsidR="00610CB7" w:rsidRPr="002C4CC5">
        <w:rPr>
          <w:color w:val="000000" w:themeColor="text1"/>
        </w:rPr>
        <w:t xml:space="preserve">ourt and </w:t>
      </w:r>
      <w:r w:rsidR="00063686" w:rsidRPr="002C4CC5">
        <w:rPr>
          <w:color w:val="000000" w:themeColor="text1"/>
        </w:rPr>
        <w:t>exercise</w:t>
      </w:r>
      <w:r w:rsidR="00517BEF" w:rsidRPr="002C4CC5">
        <w:rPr>
          <w:color w:val="000000" w:themeColor="text1"/>
        </w:rPr>
        <w:t>s</w:t>
      </w:r>
      <w:r w:rsidR="00063686" w:rsidRPr="002C4CC5">
        <w:rPr>
          <w:color w:val="000000" w:themeColor="text1"/>
        </w:rPr>
        <w:t xml:space="preserve"> </w:t>
      </w:r>
      <w:r w:rsidR="00610CB7" w:rsidRPr="002C4CC5">
        <w:rPr>
          <w:color w:val="000000" w:themeColor="text1"/>
        </w:rPr>
        <w:t>the twin powers of judicial as well as merit review. There is no provision in the</w:t>
      </w:r>
      <w:r w:rsidR="00063686" w:rsidRPr="002C4CC5">
        <w:rPr>
          <w:color w:val="000000" w:themeColor="text1"/>
        </w:rPr>
        <w:t xml:space="preserve"> NGT</w:t>
      </w:r>
      <w:r w:rsidR="002B40CC" w:rsidRPr="002C4CC5">
        <w:rPr>
          <w:color w:val="000000" w:themeColor="text1"/>
        </w:rPr>
        <w:t xml:space="preserve"> Act 2010 which curtails its jurisdiction</w:t>
      </w:r>
      <w:r w:rsidR="00610CB7" w:rsidRPr="002C4CC5">
        <w:rPr>
          <w:color w:val="000000" w:themeColor="text1"/>
        </w:rPr>
        <w:t xml:space="preserve"> to </w:t>
      </w:r>
      <w:r w:rsidR="00241B76" w:rsidRPr="002C4CC5">
        <w:rPr>
          <w:color w:val="000000" w:themeColor="text1"/>
        </w:rPr>
        <w:t>examine the legality,</w:t>
      </w:r>
      <w:r w:rsidR="007406AE" w:rsidRPr="002C4CC5">
        <w:rPr>
          <w:color w:val="000000" w:themeColor="text1"/>
        </w:rPr>
        <w:t xml:space="preserve"> validity and correctness of</w:t>
      </w:r>
      <w:r w:rsidR="000875C5" w:rsidRPr="002C4CC5">
        <w:rPr>
          <w:color w:val="000000" w:themeColor="text1"/>
        </w:rPr>
        <w:t xml:space="preserve"> </w:t>
      </w:r>
      <w:r w:rsidR="00F551CA" w:rsidRPr="002C4CC5">
        <w:rPr>
          <w:color w:val="000000" w:themeColor="text1"/>
        </w:rPr>
        <w:t xml:space="preserve">delegated </w:t>
      </w:r>
      <w:r w:rsidR="00241B76" w:rsidRPr="002C4CC5">
        <w:rPr>
          <w:color w:val="000000" w:themeColor="text1"/>
        </w:rPr>
        <w:t>le</w:t>
      </w:r>
      <w:r w:rsidR="00C10ABB" w:rsidRPr="002C4CC5">
        <w:rPr>
          <w:color w:val="000000" w:themeColor="text1"/>
        </w:rPr>
        <w:t>gislation regarding the A</w:t>
      </w:r>
      <w:r w:rsidR="00241B76" w:rsidRPr="002C4CC5">
        <w:rPr>
          <w:color w:val="000000" w:themeColor="text1"/>
        </w:rPr>
        <w:t>cts stated in Sc</w:t>
      </w:r>
      <w:r w:rsidR="00C10ABB" w:rsidRPr="002C4CC5">
        <w:rPr>
          <w:color w:val="000000" w:themeColor="text1"/>
        </w:rPr>
        <w:t xml:space="preserve">hedule </w:t>
      </w:r>
      <w:r w:rsidR="00241B76" w:rsidRPr="002C4CC5">
        <w:rPr>
          <w:color w:val="000000" w:themeColor="text1"/>
        </w:rPr>
        <w:t>I to the</w:t>
      </w:r>
      <w:r w:rsidR="008D2E18" w:rsidRPr="002C4CC5">
        <w:rPr>
          <w:color w:val="000000" w:themeColor="text1"/>
        </w:rPr>
        <w:t xml:space="preserve"> NGT Act 2010.</w:t>
      </w:r>
      <w:r w:rsidR="006D47DE" w:rsidRPr="002C4CC5">
        <w:rPr>
          <w:rStyle w:val="FootnoteReference"/>
          <w:color w:val="000000" w:themeColor="text1"/>
        </w:rPr>
        <w:footnoteReference w:id="140"/>
      </w:r>
      <w:r w:rsidR="007E73B3" w:rsidRPr="002C4CC5">
        <w:rPr>
          <w:color w:val="000000" w:themeColor="text1"/>
        </w:rPr>
        <w:t xml:space="preserve"> </w:t>
      </w:r>
      <w:r w:rsidR="00283BC9" w:rsidRPr="002C4CC5">
        <w:rPr>
          <w:color w:val="000000" w:themeColor="text1"/>
        </w:rPr>
        <w:t xml:space="preserve">The exercise of judicial review has evoked mixed responses. </w:t>
      </w:r>
      <w:r w:rsidR="00566E06" w:rsidRPr="002C4CC5">
        <w:rPr>
          <w:color w:val="000000" w:themeColor="text1"/>
        </w:rPr>
        <w:t>Environmentalists felt</w:t>
      </w:r>
      <w:r w:rsidR="00283BC9" w:rsidRPr="002C4CC5">
        <w:rPr>
          <w:color w:val="000000" w:themeColor="text1"/>
        </w:rPr>
        <w:t xml:space="preserve"> a strong message is delivered that the NGT is not only concerned </w:t>
      </w:r>
      <w:r w:rsidR="00FA29D4" w:rsidRPr="002C4CC5">
        <w:rPr>
          <w:color w:val="000000" w:themeColor="text1"/>
        </w:rPr>
        <w:t>with the merits of the decision</w:t>
      </w:r>
      <w:r w:rsidR="00283BC9" w:rsidRPr="002C4CC5">
        <w:rPr>
          <w:color w:val="000000" w:themeColor="text1"/>
        </w:rPr>
        <w:t xml:space="preserve"> but also the decision-making process. As an independent body, the NGT aims to protect individuals against abuse or misuse of power by the authorities.</w:t>
      </w:r>
      <w:r w:rsidR="00283BC9" w:rsidRPr="002C4CC5">
        <w:rPr>
          <w:rStyle w:val="FootnoteReference"/>
          <w:color w:val="000000" w:themeColor="text1"/>
        </w:rPr>
        <w:footnoteReference w:id="141"/>
      </w:r>
      <w:r w:rsidR="00283BC9" w:rsidRPr="002C4CC5">
        <w:rPr>
          <w:color w:val="000000" w:themeColor="text1"/>
        </w:rPr>
        <w:t xml:space="preserve"> However, the MoEF on the other hand </w:t>
      </w:r>
      <w:r w:rsidR="00E906AE" w:rsidRPr="002C4CC5">
        <w:rPr>
          <w:color w:val="000000" w:themeColor="text1"/>
        </w:rPr>
        <w:t>felt</w:t>
      </w:r>
      <w:r w:rsidR="00283BC9" w:rsidRPr="002C4CC5">
        <w:rPr>
          <w:color w:val="000000" w:themeColor="text1"/>
        </w:rPr>
        <w:t xml:space="preserve"> that i</w:t>
      </w:r>
      <w:r w:rsidR="00566E06" w:rsidRPr="002C4CC5">
        <w:rPr>
          <w:color w:val="000000" w:themeColor="text1"/>
        </w:rPr>
        <w:t>t amounted</w:t>
      </w:r>
      <w:r w:rsidR="00283BC9" w:rsidRPr="002C4CC5">
        <w:rPr>
          <w:color w:val="000000" w:themeColor="text1"/>
        </w:rPr>
        <w:t xml:space="preserve"> to usurping its juris</w:t>
      </w:r>
      <w:r w:rsidR="00566E06" w:rsidRPr="002C4CC5">
        <w:rPr>
          <w:color w:val="000000" w:themeColor="text1"/>
        </w:rPr>
        <w:t>diction. It claimed</w:t>
      </w:r>
      <w:r w:rsidR="00283BC9" w:rsidRPr="002C4CC5">
        <w:rPr>
          <w:color w:val="000000" w:themeColor="text1"/>
        </w:rPr>
        <w:t xml:space="preserve"> that the NGT can only examine decisions</w:t>
      </w:r>
      <w:r w:rsidR="00AF17FA" w:rsidRPr="002C4CC5">
        <w:rPr>
          <w:color w:val="000000" w:themeColor="text1"/>
        </w:rPr>
        <w:t xml:space="preserve"> and</w:t>
      </w:r>
      <w:r w:rsidR="00283BC9" w:rsidRPr="002C4CC5">
        <w:rPr>
          <w:color w:val="000000" w:themeColor="text1"/>
        </w:rPr>
        <w:t xml:space="preserve"> cannot strike down a statute.</w:t>
      </w:r>
      <w:r w:rsidR="00283BC9" w:rsidRPr="002C4CC5">
        <w:rPr>
          <w:rStyle w:val="FootnoteReference"/>
          <w:color w:val="000000" w:themeColor="text1"/>
        </w:rPr>
        <w:footnoteReference w:id="142"/>
      </w:r>
      <w:r w:rsidR="00283BC9" w:rsidRPr="002C4CC5">
        <w:rPr>
          <w:color w:val="000000" w:themeColor="text1"/>
        </w:rPr>
        <w:t xml:space="preserve"> </w:t>
      </w:r>
    </w:p>
    <w:p w14:paraId="7B8A687C" w14:textId="02555EA8" w:rsidR="00232854" w:rsidRPr="002C4CC5" w:rsidRDefault="00232854" w:rsidP="00D77E98">
      <w:pPr>
        <w:widowControl w:val="0"/>
        <w:autoSpaceDE w:val="0"/>
        <w:autoSpaceDN w:val="0"/>
        <w:adjustRightInd w:val="0"/>
        <w:spacing w:after="240" w:line="360" w:lineRule="auto"/>
        <w:rPr>
          <w:b/>
          <w:color w:val="000000" w:themeColor="text1"/>
        </w:rPr>
      </w:pPr>
      <w:r w:rsidRPr="002C4CC5">
        <w:rPr>
          <w:color w:val="000000" w:themeColor="text1"/>
        </w:rPr>
        <w:t>The NGT’s willingness</w:t>
      </w:r>
      <w:r w:rsidR="00BA45BA" w:rsidRPr="002C4CC5">
        <w:rPr>
          <w:color w:val="000000" w:themeColor="text1"/>
        </w:rPr>
        <w:t xml:space="preserve"> regarding</w:t>
      </w:r>
      <w:r w:rsidRPr="002C4CC5">
        <w:rPr>
          <w:color w:val="000000" w:themeColor="text1"/>
        </w:rPr>
        <w:t xml:space="preserve"> </w:t>
      </w:r>
      <w:r w:rsidR="004D1F94" w:rsidRPr="002C4CC5">
        <w:rPr>
          <w:bCs/>
          <w:color w:val="000000" w:themeColor="text1"/>
        </w:rPr>
        <w:t>“</w:t>
      </w:r>
      <w:r w:rsidRPr="002C4CC5">
        <w:rPr>
          <w:bCs/>
          <w:color w:val="000000" w:themeColor="text1"/>
        </w:rPr>
        <w:t xml:space="preserve">inventing our own </w:t>
      </w:r>
      <w:r w:rsidR="004D1F94" w:rsidRPr="002C4CC5">
        <w:rPr>
          <w:bCs/>
          <w:color w:val="000000" w:themeColor="text1"/>
        </w:rPr>
        <w:t>solutions until something works”</w:t>
      </w:r>
      <w:r w:rsidRPr="002C4CC5">
        <w:rPr>
          <w:color w:val="000000" w:themeColor="text1"/>
        </w:rPr>
        <w:t xml:space="preserve"> t</w:t>
      </w:r>
      <w:r w:rsidR="00875CCB" w:rsidRPr="002C4CC5">
        <w:rPr>
          <w:color w:val="000000" w:themeColor="text1"/>
        </w:rPr>
        <w:t>hat</w:t>
      </w:r>
      <w:r w:rsidRPr="002C4CC5">
        <w:rPr>
          <w:color w:val="000000" w:themeColor="text1"/>
        </w:rPr>
        <w:t xml:space="preserve"> resolve the environmental issues reflects its expansive self-created procedur</w:t>
      </w:r>
      <w:r w:rsidR="00FD35C8" w:rsidRPr="002C4CC5">
        <w:rPr>
          <w:color w:val="000000" w:themeColor="text1"/>
        </w:rPr>
        <w:t xml:space="preserve">e for </w:t>
      </w:r>
      <w:r w:rsidR="00FD35C8" w:rsidRPr="002C4CC5">
        <w:rPr>
          <w:i/>
          <w:color w:val="000000" w:themeColor="text1"/>
        </w:rPr>
        <w:t>learning new meaning for old concepts</w:t>
      </w:r>
      <w:r w:rsidR="00BA45BA" w:rsidRPr="002C4CC5">
        <w:rPr>
          <w:i/>
          <w:color w:val="000000" w:themeColor="text1"/>
        </w:rPr>
        <w:t xml:space="preserve">. </w:t>
      </w:r>
      <w:r w:rsidR="00BA45BA" w:rsidRPr="002C4CC5">
        <w:rPr>
          <w:color w:val="000000" w:themeColor="text1"/>
        </w:rPr>
        <w:t>C</w:t>
      </w:r>
      <w:r w:rsidR="00FD35C8" w:rsidRPr="002C4CC5">
        <w:rPr>
          <w:color w:val="000000" w:themeColor="text1"/>
        </w:rPr>
        <w:t>onsequently</w:t>
      </w:r>
      <w:r w:rsidR="00331B35" w:rsidRPr="002C4CC5">
        <w:rPr>
          <w:color w:val="000000" w:themeColor="text1"/>
        </w:rPr>
        <w:t>,</w:t>
      </w:r>
      <w:r w:rsidR="00BA45BA" w:rsidRPr="002C4CC5">
        <w:rPr>
          <w:color w:val="000000" w:themeColor="text1"/>
        </w:rPr>
        <w:t xml:space="preserve"> it</w:t>
      </w:r>
      <w:r w:rsidR="00FD35C8" w:rsidRPr="002C4CC5">
        <w:rPr>
          <w:color w:val="000000" w:themeColor="text1"/>
        </w:rPr>
        <w:t xml:space="preserve"> produced</w:t>
      </w:r>
      <w:r w:rsidRPr="002C4CC5">
        <w:rPr>
          <w:color w:val="000000" w:themeColor="text1"/>
        </w:rPr>
        <w:t xml:space="preserve"> changes both in</w:t>
      </w:r>
      <w:r w:rsidR="00BA45BA" w:rsidRPr="002C4CC5">
        <w:rPr>
          <w:color w:val="000000" w:themeColor="text1"/>
        </w:rPr>
        <w:t xml:space="preserve"> the</w:t>
      </w:r>
      <w:r w:rsidRPr="002C4CC5">
        <w:rPr>
          <w:color w:val="000000" w:themeColor="text1"/>
        </w:rPr>
        <w:t xml:space="preserve"> institutional and external landscapes</w:t>
      </w:r>
      <w:r w:rsidR="00AF17FA" w:rsidRPr="002C4CC5">
        <w:rPr>
          <w:color w:val="000000" w:themeColor="text1"/>
        </w:rPr>
        <w:t xml:space="preserve"> by antagonising certain state High Courts and furthering the distance from the MoEF.</w:t>
      </w:r>
    </w:p>
    <w:p w14:paraId="7691A713" w14:textId="325E290B" w:rsidR="007B64B3" w:rsidRPr="002C4CC5" w:rsidRDefault="007B64B3" w:rsidP="00D77E98">
      <w:pPr>
        <w:pStyle w:val="Heading3"/>
        <w:spacing w:line="360" w:lineRule="auto"/>
      </w:pPr>
      <w:r w:rsidRPr="002C4CC5">
        <w:t>3. Adopting new standards of evaluation</w:t>
      </w:r>
    </w:p>
    <w:p w14:paraId="57F90004" w14:textId="77777777" w:rsidR="007B64B3" w:rsidRPr="002C4CC5" w:rsidRDefault="007B64B3" w:rsidP="00D77E98">
      <w:pPr>
        <w:spacing w:line="360" w:lineRule="auto"/>
        <w:rPr>
          <w:color w:val="000000" w:themeColor="text1"/>
        </w:rPr>
      </w:pPr>
    </w:p>
    <w:p w14:paraId="0B11405C" w14:textId="39F64C81" w:rsidR="00AF17FA" w:rsidRPr="002C4CC5" w:rsidRDefault="006A051F" w:rsidP="00D77E98">
      <w:pPr>
        <w:shd w:val="clear" w:color="auto" w:fill="FFFFFF"/>
        <w:spacing w:line="360" w:lineRule="auto"/>
        <w:rPr>
          <w:rFonts w:eastAsia="Times New Roman"/>
          <w:color w:val="000000"/>
        </w:rPr>
      </w:pPr>
      <w:r w:rsidRPr="002C4CC5">
        <w:rPr>
          <w:color w:val="000000" w:themeColor="text1"/>
        </w:rPr>
        <w:t xml:space="preserve">Along with the new concepts </w:t>
      </w:r>
      <w:r w:rsidR="00A32BB3" w:rsidRPr="002C4CC5">
        <w:rPr>
          <w:color w:val="000000" w:themeColor="text1"/>
        </w:rPr>
        <w:t>come</w:t>
      </w:r>
      <w:r w:rsidRPr="002C4CC5">
        <w:rPr>
          <w:color w:val="000000" w:themeColor="text1"/>
        </w:rPr>
        <w:t>s</w:t>
      </w:r>
      <w:r w:rsidR="00A32BB3" w:rsidRPr="002C4CC5">
        <w:rPr>
          <w:color w:val="000000" w:themeColor="text1"/>
        </w:rPr>
        <w:t xml:space="preserve"> </w:t>
      </w:r>
      <w:r w:rsidR="001375E3" w:rsidRPr="002C4CC5">
        <w:rPr>
          <w:i/>
          <w:color w:val="000000" w:themeColor="text1"/>
        </w:rPr>
        <w:t>adopting new standards of evaluation</w:t>
      </w:r>
      <w:r w:rsidR="00E861FC" w:rsidRPr="002C4CC5">
        <w:rPr>
          <w:color w:val="000000" w:themeColor="text1"/>
        </w:rPr>
        <w:t xml:space="preserve"> for a transformation change</w:t>
      </w:r>
      <w:r w:rsidR="005B625E" w:rsidRPr="002C4CC5">
        <w:rPr>
          <w:color w:val="000000" w:themeColor="text1"/>
        </w:rPr>
        <w:t xml:space="preserve"> encouraged by </w:t>
      </w:r>
      <w:r w:rsidR="00810BC7" w:rsidRPr="002C4CC5">
        <w:rPr>
          <w:rFonts w:eastAsia="Times New Roman"/>
          <w:color w:val="000000"/>
        </w:rPr>
        <w:t xml:space="preserve">drastically increased environmental problems including </w:t>
      </w:r>
      <w:r w:rsidR="000E6255" w:rsidRPr="002C4CC5">
        <w:rPr>
          <w:rFonts w:eastAsia="Times New Roman"/>
          <w:color w:val="000000"/>
        </w:rPr>
        <w:t xml:space="preserve">a rise in pollution levels </w:t>
      </w:r>
      <w:r w:rsidR="00810BC7" w:rsidRPr="002C4CC5">
        <w:rPr>
          <w:rFonts w:eastAsia="Times New Roman"/>
          <w:color w:val="000000"/>
        </w:rPr>
        <w:t>and</w:t>
      </w:r>
      <w:r w:rsidR="005B625E" w:rsidRPr="002C4CC5">
        <w:rPr>
          <w:rFonts w:eastAsia="Times New Roman"/>
          <w:color w:val="000000"/>
        </w:rPr>
        <w:t xml:space="preserve"> demographic pressures.</w:t>
      </w:r>
      <w:r w:rsidR="00810BC7" w:rsidRPr="002C4CC5">
        <w:rPr>
          <w:rFonts w:eastAsia="Times New Roman"/>
          <w:color w:val="000000"/>
        </w:rPr>
        <w:t xml:space="preserve"> </w:t>
      </w:r>
      <w:r w:rsidR="004D1F94" w:rsidRPr="002C4CC5">
        <w:rPr>
          <w:color w:val="000000" w:themeColor="text1"/>
        </w:rPr>
        <w:t>“</w:t>
      </w:r>
      <w:r w:rsidR="00935E19" w:rsidRPr="002C4CC5">
        <w:rPr>
          <w:color w:val="000000" w:themeColor="text1"/>
        </w:rPr>
        <w:t>Cost and time</w:t>
      </w:r>
      <w:r w:rsidR="004D1F94" w:rsidRPr="002C4CC5">
        <w:rPr>
          <w:color w:val="000000" w:themeColor="text1"/>
        </w:rPr>
        <w:t>”</w:t>
      </w:r>
      <w:r w:rsidR="00E861FC" w:rsidRPr="002C4CC5">
        <w:rPr>
          <w:color w:val="000000" w:themeColor="text1"/>
        </w:rPr>
        <w:t xml:space="preserve"> help in evaluating </w:t>
      </w:r>
      <w:r w:rsidR="00914D83" w:rsidRPr="002C4CC5">
        <w:rPr>
          <w:color w:val="000000" w:themeColor="text1"/>
        </w:rPr>
        <w:t xml:space="preserve">the </w:t>
      </w:r>
      <w:r w:rsidR="00E861FC" w:rsidRPr="002C4CC5">
        <w:rPr>
          <w:color w:val="000000" w:themeColor="text1"/>
        </w:rPr>
        <w:t xml:space="preserve">standards </w:t>
      </w:r>
      <w:r w:rsidR="003C2B76" w:rsidRPr="002C4CC5">
        <w:rPr>
          <w:color w:val="000000" w:themeColor="text1"/>
        </w:rPr>
        <w:t>in an organisation</w:t>
      </w:r>
      <w:r w:rsidR="007A4862" w:rsidRPr="002C4CC5">
        <w:rPr>
          <w:color w:val="000000" w:themeColor="text1"/>
        </w:rPr>
        <w:t xml:space="preserve"> </w:t>
      </w:r>
      <w:r w:rsidR="00914D83" w:rsidRPr="002C4CC5">
        <w:rPr>
          <w:color w:val="000000" w:themeColor="text1"/>
        </w:rPr>
        <w:t>for customer expectation</w:t>
      </w:r>
      <w:r w:rsidR="001C033D" w:rsidRPr="002C4CC5">
        <w:rPr>
          <w:color w:val="000000" w:themeColor="text1"/>
        </w:rPr>
        <w:t>.</w:t>
      </w:r>
      <w:r w:rsidR="001C033D" w:rsidRPr="002C4CC5">
        <w:rPr>
          <w:rStyle w:val="FootnoteReference"/>
          <w:color w:val="000000" w:themeColor="text1"/>
        </w:rPr>
        <w:footnoteReference w:id="143"/>
      </w:r>
      <w:r w:rsidR="00914D83" w:rsidRPr="002C4CC5">
        <w:rPr>
          <w:color w:val="000000" w:themeColor="text1"/>
        </w:rPr>
        <w:t xml:space="preserve"> </w:t>
      </w:r>
      <w:r w:rsidR="00F24727" w:rsidRPr="002C4CC5">
        <w:rPr>
          <w:color w:val="000000" w:themeColor="text1"/>
        </w:rPr>
        <w:t xml:space="preserve">Contextualising within the NGT, </w:t>
      </w:r>
      <w:r w:rsidR="003C2B76" w:rsidRPr="002C4CC5">
        <w:rPr>
          <w:i/>
          <w:color w:val="000000" w:themeColor="text1"/>
        </w:rPr>
        <w:t>adopting new standards of evaluation</w:t>
      </w:r>
      <w:r w:rsidR="003C2B76" w:rsidRPr="002C4CC5">
        <w:rPr>
          <w:color w:val="000000" w:themeColor="text1"/>
        </w:rPr>
        <w:t xml:space="preserve"> envisages</w:t>
      </w:r>
      <w:r w:rsidR="005E78C2" w:rsidRPr="002C4CC5">
        <w:rPr>
          <w:color w:val="000000" w:themeColor="text1"/>
        </w:rPr>
        <w:t xml:space="preserve"> </w:t>
      </w:r>
      <w:r w:rsidR="0004169F" w:rsidRPr="002C4CC5">
        <w:rPr>
          <w:color w:val="000000" w:themeColor="text1"/>
        </w:rPr>
        <w:t>“aggrieved person”</w:t>
      </w:r>
      <w:r w:rsidR="005E78C2" w:rsidRPr="002C4CC5">
        <w:rPr>
          <w:color w:val="000000" w:themeColor="text1"/>
        </w:rPr>
        <w:t xml:space="preserve"> expectation </w:t>
      </w:r>
      <w:r w:rsidR="00BA45BA" w:rsidRPr="002C4CC5">
        <w:rPr>
          <w:color w:val="000000" w:themeColor="text1"/>
        </w:rPr>
        <w:t>for</w:t>
      </w:r>
      <w:r w:rsidR="005E78C2" w:rsidRPr="002C4CC5">
        <w:rPr>
          <w:color w:val="000000" w:themeColor="text1"/>
        </w:rPr>
        <w:t xml:space="preserve"> </w:t>
      </w:r>
      <w:r w:rsidR="00F657A5" w:rsidRPr="002C4CC5">
        <w:rPr>
          <w:color w:val="000000" w:themeColor="text1"/>
        </w:rPr>
        <w:t>a</w:t>
      </w:r>
      <w:r w:rsidR="00523E9B" w:rsidRPr="002C4CC5">
        <w:rPr>
          <w:color w:val="000000" w:themeColor="text1"/>
        </w:rPr>
        <w:t xml:space="preserve"> faster, cheaper and</w:t>
      </w:r>
      <w:r w:rsidR="00BA45BA" w:rsidRPr="002C4CC5">
        <w:rPr>
          <w:color w:val="000000" w:themeColor="text1"/>
        </w:rPr>
        <w:t xml:space="preserve"> more</w:t>
      </w:r>
      <w:r w:rsidR="00523E9B" w:rsidRPr="002C4CC5">
        <w:rPr>
          <w:color w:val="000000" w:themeColor="text1"/>
        </w:rPr>
        <w:t xml:space="preserve"> </w:t>
      </w:r>
      <w:r w:rsidR="003C2B76" w:rsidRPr="002C4CC5">
        <w:rPr>
          <w:color w:val="000000" w:themeColor="text1"/>
        </w:rPr>
        <w:t xml:space="preserve">effective </w:t>
      </w:r>
      <w:r w:rsidR="00914D83" w:rsidRPr="002C4CC5">
        <w:rPr>
          <w:color w:val="000000" w:themeColor="text1"/>
        </w:rPr>
        <w:t xml:space="preserve">way to access </w:t>
      </w:r>
      <w:r w:rsidR="00523E9B" w:rsidRPr="002C4CC5">
        <w:rPr>
          <w:color w:val="000000" w:themeColor="text1"/>
        </w:rPr>
        <w:t xml:space="preserve">to </w:t>
      </w:r>
      <w:r w:rsidR="00914D83" w:rsidRPr="002C4CC5">
        <w:rPr>
          <w:color w:val="000000" w:themeColor="text1"/>
        </w:rPr>
        <w:t>environmental justice</w:t>
      </w:r>
      <w:r w:rsidR="005E78C2" w:rsidRPr="002C4CC5">
        <w:rPr>
          <w:color w:val="000000" w:themeColor="text1"/>
        </w:rPr>
        <w:t xml:space="preserve"> thereby promoting participatory parity.</w:t>
      </w:r>
      <w:r w:rsidR="007A3305" w:rsidRPr="002C4CC5">
        <w:rPr>
          <w:color w:val="000000" w:themeColor="text1"/>
        </w:rPr>
        <w:t xml:space="preserve"> The internal driving force of the NGT through its leadership and regulatory requirements help in evaluating the measurable standards</w:t>
      </w:r>
      <w:r w:rsidR="00BA45BA" w:rsidRPr="002C4CC5">
        <w:rPr>
          <w:color w:val="000000" w:themeColor="text1"/>
        </w:rPr>
        <w:t>. It</w:t>
      </w:r>
      <w:r w:rsidR="007A3305" w:rsidRPr="002C4CC5">
        <w:rPr>
          <w:color w:val="000000" w:themeColor="text1"/>
        </w:rPr>
        <w:t xml:space="preserve"> allow</w:t>
      </w:r>
      <w:r w:rsidR="00BA45BA" w:rsidRPr="002C4CC5">
        <w:rPr>
          <w:color w:val="000000" w:themeColor="text1"/>
        </w:rPr>
        <w:t>s</w:t>
      </w:r>
      <w:r w:rsidR="007A3305" w:rsidRPr="002C4CC5">
        <w:rPr>
          <w:color w:val="000000" w:themeColor="text1"/>
        </w:rPr>
        <w:t xml:space="preserve"> aggrieved persons to initiate proceedings before the NGT </w:t>
      </w:r>
      <w:r w:rsidR="00BA45BA" w:rsidRPr="002C4CC5">
        <w:rPr>
          <w:color w:val="000000" w:themeColor="text1"/>
        </w:rPr>
        <w:t>and</w:t>
      </w:r>
      <w:r w:rsidR="004D1F94" w:rsidRPr="002C4CC5">
        <w:rPr>
          <w:color w:val="000000" w:themeColor="text1"/>
        </w:rPr>
        <w:t xml:space="preserve"> “</w:t>
      </w:r>
      <w:r w:rsidR="007A3305" w:rsidRPr="002C4CC5">
        <w:rPr>
          <w:color w:val="000000" w:themeColor="text1"/>
        </w:rPr>
        <w:t>assert diffused and meta-individual rights</w:t>
      </w:r>
      <w:r w:rsidR="004A12A8" w:rsidRPr="002C4CC5">
        <w:rPr>
          <w:color w:val="000000" w:themeColor="text1"/>
        </w:rPr>
        <w:t>.</w:t>
      </w:r>
      <w:r w:rsidR="004D1F94" w:rsidRPr="002C4CC5">
        <w:rPr>
          <w:color w:val="000000" w:themeColor="text1"/>
        </w:rPr>
        <w:t>”</w:t>
      </w:r>
      <w:r w:rsidR="004A12A8" w:rsidRPr="002C4CC5">
        <w:rPr>
          <w:rStyle w:val="FootnoteReference"/>
          <w:color w:val="000000" w:themeColor="text1"/>
        </w:rPr>
        <w:footnoteReference w:id="144"/>
      </w:r>
      <w:r w:rsidR="007A3305" w:rsidRPr="002C4CC5">
        <w:rPr>
          <w:color w:val="000000" w:themeColor="text1"/>
        </w:rPr>
        <w:t xml:space="preserve"> </w:t>
      </w:r>
      <w:r w:rsidR="00724DDC" w:rsidRPr="002C4CC5">
        <w:rPr>
          <w:color w:val="000000" w:themeColor="text1"/>
        </w:rPr>
        <w:t xml:space="preserve">The NGT rules provide for an application or appeal where no </w:t>
      </w:r>
      <w:r w:rsidR="00BA45BA" w:rsidRPr="002C4CC5">
        <w:rPr>
          <w:color w:val="000000" w:themeColor="text1"/>
        </w:rPr>
        <w:t>c</w:t>
      </w:r>
      <w:r w:rsidR="00724DDC" w:rsidRPr="002C4CC5">
        <w:rPr>
          <w:color w:val="000000" w:themeColor="text1"/>
        </w:rPr>
        <w:t>ompensation has been claimed to be accompanied by a fee of Rupees 1000 (£10)</w:t>
      </w:r>
      <w:r w:rsidR="00935E19" w:rsidRPr="002C4CC5">
        <w:rPr>
          <w:color w:val="000000" w:themeColor="text1"/>
        </w:rPr>
        <w:t>.</w:t>
      </w:r>
      <w:r w:rsidR="00935E19" w:rsidRPr="002C4CC5">
        <w:rPr>
          <w:rStyle w:val="FootnoteReference"/>
          <w:color w:val="000000" w:themeColor="text1"/>
        </w:rPr>
        <w:footnoteReference w:id="145"/>
      </w:r>
      <w:r w:rsidR="00724DDC" w:rsidRPr="002C4CC5">
        <w:rPr>
          <w:color w:val="000000" w:themeColor="text1"/>
          <w:position w:val="10"/>
        </w:rPr>
        <w:t xml:space="preserve"> </w:t>
      </w:r>
      <w:r w:rsidR="00724DDC" w:rsidRPr="002C4CC5">
        <w:rPr>
          <w:color w:val="000000" w:themeColor="text1"/>
        </w:rPr>
        <w:t>Where compensation is claimed the fee is equivalent to 1 per cent of that compensation, subject to a minimum of Rupees 1000 (£10)</w:t>
      </w:r>
      <w:r w:rsidR="00935E19" w:rsidRPr="002C4CC5">
        <w:rPr>
          <w:color w:val="000000" w:themeColor="text1"/>
        </w:rPr>
        <w:t>.</w:t>
      </w:r>
      <w:r w:rsidR="008A2942" w:rsidRPr="002C4CC5">
        <w:rPr>
          <w:rStyle w:val="FootnoteReference"/>
          <w:color w:val="000000" w:themeColor="text1"/>
        </w:rPr>
        <w:footnoteReference w:id="146"/>
      </w:r>
      <w:r w:rsidR="008A2942" w:rsidRPr="002C4CC5">
        <w:rPr>
          <w:color w:val="000000" w:themeColor="text1"/>
        </w:rPr>
        <w:t xml:space="preserve"> </w:t>
      </w:r>
      <w:r w:rsidR="00724DDC" w:rsidRPr="002C4CC5">
        <w:rPr>
          <w:color w:val="000000" w:themeColor="text1"/>
        </w:rPr>
        <w:t xml:space="preserve">Thus, the low fees reflect the NGT’s open-door commitment to the poor. </w:t>
      </w:r>
      <w:r w:rsidR="00571034" w:rsidRPr="002C4CC5">
        <w:rPr>
          <w:color w:val="000000" w:themeColor="text1"/>
        </w:rPr>
        <w:t>Another feature of the NGT is its ability to fast-track and decide cases within six months of application or appeal.</w:t>
      </w:r>
      <w:r w:rsidR="00725F91" w:rsidRPr="002C4CC5">
        <w:rPr>
          <w:rStyle w:val="FootnoteReference"/>
          <w:color w:val="000000" w:themeColor="text1"/>
        </w:rPr>
        <w:footnoteReference w:id="147"/>
      </w:r>
      <w:r w:rsidR="008A2942" w:rsidRPr="002C4CC5">
        <w:rPr>
          <w:color w:val="000000" w:themeColor="text1"/>
        </w:rPr>
        <w:t xml:space="preserve"> </w:t>
      </w:r>
      <w:r w:rsidR="00C84C69" w:rsidRPr="002C4CC5">
        <w:rPr>
          <w:color w:val="000000" w:themeColor="text1"/>
        </w:rPr>
        <w:t xml:space="preserve"> </w:t>
      </w:r>
    </w:p>
    <w:p w14:paraId="2CF2BD33" w14:textId="77777777" w:rsidR="00DA09FC" w:rsidRPr="002C4CC5" w:rsidRDefault="00DA09FC" w:rsidP="002C4CC5">
      <w:pPr>
        <w:spacing w:line="360" w:lineRule="auto"/>
        <w:rPr>
          <w:color w:val="000000" w:themeColor="text1"/>
        </w:rPr>
      </w:pPr>
    </w:p>
    <w:p w14:paraId="08B821D2" w14:textId="6B3B033E" w:rsidR="00222892" w:rsidRPr="002C4CC5" w:rsidRDefault="00B97F7B" w:rsidP="002C4CC5">
      <w:pPr>
        <w:spacing w:line="360" w:lineRule="auto"/>
        <w:rPr>
          <w:color w:val="000000" w:themeColor="text1"/>
        </w:rPr>
      </w:pPr>
      <w:r w:rsidRPr="002C4CC5">
        <w:rPr>
          <w:color w:val="000000" w:themeColor="text1"/>
        </w:rPr>
        <w:t xml:space="preserve">To illustrate, </w:t>
      </w:r>
      <w:r w:rsidR="00C84C69" w:rsidRPr="002C4CC5">
        <w:rPr>
          <w:color w:val="000000" w:themeColor="text1"/>
        </w:rPr>
        <w:t>Figure 5</w:t>
      </w:r>
      <w:r w:rsidRPr="002C4CC5">
        <w:rPr>
          <w:color w:val="000000" w:themeColor="text1"/>
        </w:rPr>
        <w:t xml:space="preserve"> demonstrates</w:t>
      </w:r>
      <w:r w:rsidR="00725F91" w:rsidRPr="002C4CC5">
        <w:rPr>
          <w:color w:val="000000" w:themeColor="text1"/>
        </w:rPr>
        <w:t xml:space="preserve"> </w:t>
      </w:r>
      <w:r w:rsidR="00004DCE" w:rsidRPr="002C4CC5">
        <w:rPr>
          <w:color w:val="000000" w:themeColor="text1"/>
        </w:rPr>
        <w:t>the status of NGT litigation as on July 31, 2017</w:t>
      </w:r>
      <w:r w:rsidR="00C84C69" w:rsidRPr="002C4CC5">
        <w:rPr>
          <w:color w:val="000000" w:themeColor="text1"/>
        </w:rPr>
        <w:t xml:space="preserve">. </w:t>
      </w:r>
    </w:p>
    <w:p w14:paraId="533418EF" w14:textId="77777777" w:rsidR="00803D7F" w:rsidRPr="002C4CC5" w:rsidRDefault="00803D7F" w:rsidP="002C4CC5">
      <w:pPr>
        <w:spacing w:line="360" w:lineRule="auto"/>
        <w:rPr>
          <w:color w:val="000000" w:themeColor="text1"/>
        </w:rPr>
      </w:pPr>
    </w:p>
    <w:p w14:paraId="07E674B4" w14:textId="031CAA39" w:rsidR="00222892" w:rsidRPr="002C4CC5" w:rsidRDefault="00C4737D" w:rsidP="002C4CC5">
      <w:pPr>
        <w:spacing w:line="360" w:lineRule="auto"/>
        <w:jc w:val="center"/>
        <w:rPr>
          <w:rFonts w:eastAsia="Times New Roman"/>
          <w:b/>
          <w:color w:val="000000" w:themeColor="text1"/>
        </w:rPr>
      </w:pPr>
      <w:r>
        <w:rPr>
          <w:noProof/>
        </w:rPr>
        <w:drawing>
          <wp:inline distT="0" distB="0" distL="0" distR="0" wp14:anchorId="7DBAF7B6" wp14:editId="54AB1A68">
            <wp:extent cx="4966335" cy="4248914"/>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9843" cy="4251915"/>
                    </a:xfrm>
                    <a:prstGeom prst="rect">
                      <a:avLst/>
                    </a:prstGeom>
                  </pic:spPr>
                </pic:pic>
              </a:graphicData>
            </a:graphic>
          </wp:inline>
        </w:drawing>
      </w:r>
    </w:p>
    <w:p w14:paraId="10AD788C" w14:textId="77777777" w:rsidR="00803D7F" w:rsidRPr="002C4CC5" w:rsidRDefault="00803D7F" w:rsidP="002C4CC5">
      <w:pPr>
        <w:spacing w:line="360" w:lineRule="auto"/>
        <w:jc w:val="center"/>
        <w:rPr>
          <w:rFonts w:eastAsia="Times New Roman"/>
          <w:b/>
          <w:color w:val="000000" w:themeColor="text1"/>
        </w:rPr>
      </w:pPr>
    </w:p>
    <w:p w14:paraId="0DFAB4FC" w14:textId="24E4FB2B" w:rsidR="00725F91" w:rsidRPr="002C4CC5" w:rsidRDefault="00D53569" w:rsidP="002C4CC5">
      <w:pPr>
        <w:spacing w:line="360" w:lineRule="auto"/>
        <w:rPr>
          <w:color w:val="000000" w:themeColor="text1"/>
        </w:rPr>
      </w:pPr>
      <w:r w:rsidRPr="002C4CC5">
        <w:rPr>
          <w:b/>
          <w:color w:val="000000" w:themeColor="text1"/>
        </w:rPr>
        <w:t>Figure</w:t>
      </w:r>
      <w:r w:rsidR="00C84C69" w:rsidRPr="002C4CC5">
        <w:rPr>
          <w:b/>
          <w:color w:val="000000" w:themeColor="text1"/>
        </w:rPr>
        <w:t xml:space="preserve"> 5</w:t>
      </w:r>
      <w:r w:rsidR="00C84C69" w:rsidRPr="002C4CC5">
        <w:rPr>
          <w:color w:val="000000" w:themeColor="text1"/>
        </w:rPr>
        <w:t xml:space="preserve">: Status of Litigation in </w:t>
      </w:r>
      <w:r w:rsidR="00BA53BC" w:rsidRPr="002C4CC5">
        <w:rPr>
          <w:color w:val="000000" w:themeColor="text1"/>
        </w:rPr>
        <w:t xml:space="preserve">the </w:t>
      </w:r>
      <w:r w:rsidR="00C84C69" w:rsidRPr="002C4CC5">
        <w:rPr>
          <w:color w:val="000000" w:themeColor="text1"/>
        </w:rPr>
        <w:t>five NGT Benches</w:t>
      </w:r>
    </w:p>
    <w:p w14:paraId="65FDD6C0" w14:textId="49B927D8" w:rsidR="00725F91" w:rsidRPr="002C4CC5" w:rsidRDefault="00C84C69" w:rsidP="002C4CC5">
      <w:pPr>
        <w:spacing w:line="360" w:lineRule="auto"/>
        <w:rPr>
          <w:color w:val="000000" w:themeColor="text1"/>
        </w:rPr>
      </w:pPr>
      <w:r w:rsidRPr="002C4CC5">
        <w:rPr>
          <w:b/>
          <w:color w:val="000000" w:themeColor="text1"/>
        </w:rPr>
        <w:t>Source</w:t>
      </w:r>
      <w:r w:rsidRPr="002C4CC5">
        <w:rPr>
          <w:color w:val="000000" w:themeColor="text1"/>
        </w:rPr>
        <w:t>: NGT Annual Report 2017</w:t>
      </w:r>
    </w:p>
    <w:p w14:paraId="4521088B" w14:textId="77777777" w:rsidR="00D51684" w:rsidRPr="002C4CC5" w:rsidRDefault="00D51684" w:rsidP="002C4CC5">
      <w:pPr>
        <w:spacing w:line="360" w:lineRule="auto"/>
        <w:rPr>
          <w:b/>
          <w:color w:val="000000" w:themeColor="text1"/>
        </w:rPr>
      </w:pPr>
    </w:p>
    <w:p w14:paraId="5C27C8F2" w14:textId="36C79533" w:rsidR="007A3305" w:rsidRPr="002C4CC5" w:rsidRDefault="00AF17FA" w:rsidP="002C4CC5">
      <w:pPr>
        <w:spacing w:line="360" w:lineRule="auto"/>
        <w:rPr>
          <w:color w:val="000000" w:themeColor="text1"/>
        </w:rPr>
      </w:pPr>
      <w:r w:rsidRPr="002C4CC5">
        <w:rPr>
          <w:color w:val="000000" w:themeColor="text1"/>
        </w:rPr>
        <w:t>T</w:t>
      </w:r>
      <w:r w:rsidR="00D51684" w:rsidRPr="002C4CC5">
        <w:rPr>
          <w:color w:val="000000" w:themeColor="text1"/>
        </w:rPr>
        <w:t>he</w:t>
      </w:r>
      <w:r w:rsidR="00582815" w:rsidRPr="002C4CC5">
        <w:rPr>
          <w:color w:val="000000" w:themeColor="text1"/>
        </w:rPr>
        <w:t xml:space="preserve"> official</w:t>
      </w:r>
      <w:r w:rsidRPr="002C4CC5">
        <w:rPr>
          <w:color w:val="000000" w:themeColor="text1"/>
        </w:rPr>
        <w:t xml:space="preserve"> figures show</w:t>
      </w:r>
      <w:r w:rsidR="00D51684" w:rsidRPr="002C4CC5">
        <w:rPr>
          <w:color w:val="000000" w:themeColor="text1"/>
        </w:rPr>
        <w:t xml:space="preserve"> 23</w:t>
      </w:r>
      <w:r w:rsidR="00875CCB" w:rsidRPr="002C4CC5">
        <w:rPr>
          <w:color w:val="000000" w:themeColor="text1"/>
        </w:rPr>
        <w:t>,</w:t>
      </w:r>
      <w:r w:rsidR="00D51684" w:rsidRPr="002C4CC5">
        <w:rPr>
          <w:color w:val="000000" w:themeColor="text1"/>
        </w:rPr>
        <w:t>095 cases</w:t>
      </w:r>
      <w:r w:rsidR="00582815" w:rsidRPr="002C4CC5">
        <w:rPr>
          <w:color w:val="000000" w:themeColor="text1"/>
        </w:rPr>
        <w:t xml:space="preserve"> were</w:t>
      </w:r>
      <w:r w:rsidR="00D51684" w:rsidRPr="002C4CC5">
        <w:rPr>
          <w:color w:val="000000" w:themeColor="text1"/>
        </w:rPr>
        <w:t xml:space="preserve"> filed</w:t>
      </w:r>
      <w:r w:rsidR="00532FE9" w:rsidRPr="002C4CC5">
        <w:rPr>
          <w:color w:val="000000" w:themeColor="text1"/>
        </w:rPr>
        <w:t>,</w:t>
      </w:r>
      <w:r w:rsidR="00D51684" w:rsidRPr="002C4CC5">
        <w:rPr>
          <w:color w:val="000000" w:themeColor="text1"/>
        </w:rPr>
        <w:t xml:space="preserve"> out of which 19</w:t>
      </w:r>
      <w:r w:rsidR="00875CCB" w:rsidRPr="002C4CC5">
        <w:rPr>
          <w:color w:val="000000" w:themeColor="text1"/>
        </w:rPr>
        <w:t>,</w:t>
      </w:r>
      <w:r w:rsidR="00D51684" w:rsidRPr="002C4CC5">
        <w:rPr>
          <w:color w:val="000000" w:themeColor="text1"/>
        </w:rPr>
        <w:t>740 cases were</w:t>
      </w:r>
      <w:r w:rsidR="00A11560" w:rsidRPr="002C4CC5">
        <w:rPr>
          <w:color w:val="000000" w:themeColor="text1"/>
        </w:rPr>
        <w:t xml:space="preserve"> decided and 3</w:t>
      </w:r>
      <w:r w:rsidR="00875CCB" w:rsidRPr="002C4CC5">
        <w:rPr>
          <w:color w:val="000000" w:themeColor="text1"/>
        </w:rPr>
        <w:t>,</w:t>
      </w:r>
      <w:r w:rsidR="00A11560" w:rsidRPr="002C4CC5">
        <w:rPr>
          <w:color w:val="000000" w:themeColor="text1"/>
        </w:rPr>
        <w:t>355 cases were</w:t>
      </w:r>
      <w:r w:rsidR="00D51684" w:rsidRPr="002C4CC5">
        <w:rPr>
          <w:color w:val="000000" w:themeColor="text1"/>
        </w:rPr>
        <w:t xml:space="preserve"> pending</w:t>
      </w:r>
      <w:r w:rsidR="00201C61" w:rsidRPr="002C4CC5">
        <w:rPr>
          <w:color w:val="000000" w:themeColor="text1"/>
        </w:rPr>
        <w:t xml:space="preserve"> before the NGT</w:t>
      </w:r>
      <w:r w:rsidR="00D51684" w:rsidRPr="002C4CC5">
        <w:rPr>
          <w:color w:val="000000" w:themeColor="text1"/>
        </w:rPr>
        <w:t>.</w:t>
      </w:r>
      <w:r w:rsidR="00EA443D" w:rsidRPr="002C4CC5">
        <w:rPr>
          <w:color w:val="000000" w:themeColor="text1"/>
        </w:rPr>
        <w:t xml:space="preserve"> </w:t>
      </w:r>
      <w:r w:rsidR="00F27BCA" w:rsidRPr="002C4CC5">
        <w:rPr>
          <w:color w:val="000000" w:themeColor="text1"/>
        </w:rPr>
        <w:t xml:space="preserve">This </w:t>
      </w:r>
      <w:r w:rsidR="00F14BF9" w:rsidRPr="002C4CC5">
        <w:rPr>
          <w:color w:val="000000" w:themeColor="text1"/>
        </w:rPr>
        <w:t>demonstrates</w:t>
      </w:r>
      <w:r w:rsidR="004E69A1" w:rsidRPr="002C4CC5">
        <w:rPr>
          <w:color w:val="000000" w:themeColor="text1"/>
        </w:rPr>
        <w:t xml:space="preserve"> 85.4 percent of the cases were decided wh</w:t>
      </w:r>
      <w:r w:rsidR="00201C61" w:rsidRPr="002C4CC5">
        <w:rPr>
          <w:color w:val="000000" w:themeColor="text1"/>
        </w:rPr>
        <w:t>erea</w:t>
      </w:r>
      <w:r w:rsidR="00A11560" w:rsidRPr="002C4CC5">
        <w:rPr>
          <w:color w:val="000000" w:themeColor="text1"/>
        </w:rPr>
        <w:t>s 14.6 percent of cases remained</w:t>
      </w:r>
      <w:r w:rsidR="004E69A1" w:rsidRPr="002C4CC5">
        <w:rPr>
          <w:color w:val="000000" w:themeColor="text1"/>
        </w:rPr>
        <w:t xml:space="preserve"> pending.</w:t>
      </w:r>
      <w:r w:rsidR="004E69A1" w:rsidRPr="002C4CC5">
        <w:rPr>
          <w:b/>
          <w:color w:val="000000" w:themeColor="text1"/>
        </w:rPr>
        <w:t xml:space="preserve"> </w:t>
      </w:r>
      <w:r w:rsidR="00EF2A4B" w:rsidRPr="002C4CC5">
        <w:rPr>
          <w:color w:val="000000" w:themeColor="text1"/>
        </w:rPr>
        <w:t>Th</w:t>
      </w:r>
      <w:r w:rsidR="001D2F76" w:rsidRPr="002C4CC5">
        <w:rPr>
          <w:color w:val="000000" w:themeColor="text1"/>
        </w:rPr>
        <w:t>e NGT’s legitimacy is grounded in its inclusive participatory mechanisms</w:t>
      </w:r>
      <w:r w:rsidR="00B43169" w:rsidRPr="002C4CC5">
        <w:rPr>
          <w:color w:val="000000" w:themeColor="text1"/>
        </w:rPr>
        <w:t xml:space="preserve"> (standing, time and costs)</w:t>
      </w:r>
      <w:r w:rsidR="001D2F76" w:rsidRPr="002C4CC5">
        <w:rPr>
          <w:color w:val="000000" w:themeColor="text1"/>
        </w:rPr>
        <w:t xml:space="preserve"> </w:t>
      </w:r>
      <w:r w:rsidR="007C43D0" w:rsidRPr="002C4CC5">
        <w:rPr>
          <w:color w:val="000000" w:themeColor="text1"/>
        </w:rPr>
        <w:t>that promote dynamism and capability, thereby providing victims of environmental degradation with access</w:t>
      </w:r>
      <w:r w:rsidR="00532FE9" w:rsidRPr="002C4CC5">
        <w:rPr>
          <w:color w:val="000000" w:themeColor="text1"/>
        </w:rPr>
        <w:t xml:space="preserve"> to the </w:t>
      </w:r>
      <w:r w:rsidR="00021CDC" w:rsidRPr="002C4CC5">
        <w:rPr>
          <w:color w:val="000000" w:themeColor="text1"/>
        </w:rPr>
        <w:t>Tribunal</w:t>
      </w:r>
      <w:r w:rsidR="00532FE9" w:rsidRPr="002C4CC5">
        <w:rPr>
          <w:color w:val="000000" w:themeColor="text1"/>
        </w:rPr>
        <w:t>.</w:t>
      </w:r>
      <w:r w:rsidR="007C43D0" w:rsidRPr="002C4CC5">
        <w:rPr>
          <w:color w:val="000000" w:themeColor="text1"/>
        </w:rPr>
        <w:t xml:space="preserve"> </w:t>
      </w:r>
    </w:p>
    <w:p w14:paraId="092F92C6" w14:textId="77777777" w:rsidR="00BA45BA" w:rsidRPr="002C4CC5" w:rsidRDefault="00BA45BA" w:rsidP="002C4CC5">
      <w:pPr>
        <w:spacing w:line="360" w:lineRule="auto"/>
        <w:rPr>
          <w:color w:val="000000" w:themeColor="text1"/>
        </w:rPr>
      </w:pPr>
    </w:p>
    <w:p w14:paraId="2FCE0BDA" w14:textId="6F32BF81" w:rsidR="00DE1370" w:rsidRPr="002C4CC5" w:rsidRDefault="00103693" w:rsidP="000D7001">
      <w:pPr>
        <w:widowControl w:val="0"/>
        <w:autoSpaceDE w:val="0"/>
        <w:autoSpaceDN w:val="0"/>
        <w:adjustRightInd w:val="0"/>
        <w:spacing w:after="240" w:line="360" w:lineRule="auto"/>
        <w:rPr>
          <w:bCs/>
          <w:color w:val="000000" w:themeColor="text1"/>
        </w:rPr>
      </w:pPr>
      <w:r w:rsidRPr="002C4CC5">
        <w:rPr>
          <w:bCs/>
          <w:color w:val="000000" w:themeColor="text1"/>
        </w:rPr>
        <w:t>Thus, the institutionalisation and</w:t>
      </w:r>
      <w:r w:rsidR="004847E4" w:rsidRPr="002C4CC5">
        <w:rPr>
          <w:bCs/>
          <w:color w:val="000000" w:themeColor="text1"/>
        </w:rPr>
        <w:t xml:space="preserve"> transformation sought by the NGT is a metamorphosis of societal environmental interests that encapsulate the well- being not only of the individual but also the larger public interest.</w:t>
      </w:r>
      <w:r w:rsidR="00D129DC" w:rsidRPr="002C4CC5">
        <w:rPr>
          <w:bCs/>
          <w:color w:val="000000" w:themeColor="text1"/>
        </w:rPr>
        <w:t xml:space="preserve"> The relative position of the </w:t>
      </w:r>
      <w:r w:rsidR="00DF125C" w:rsidRPr="002C4CC5">
        <w:rPr>
          <w:bCs/>
          <w:color w:val="000000" w:themeColor="text1"/>
        </w:rPr>
        <w:t>inter</w:t>
      </w:r>
      <w:r w:rsidR="00E94728" w:rsidRPr="002C4CC5">
        <w:rPr>
          <w:bCs/>
          <w:color w:val="000000" w:themeColor="text1"/>
        </w:rPr>
        <w:t>-</w:t>
      </w:r>
      <w:r w:rsidR="00DF125C" w:rsidRPr="002C4CC5">
        <w:rPr>
          <w:bCs/>
          <w:color w:val="000000" w:themeColor="text1"/>
        </w:rPr>
        <w:t xml:space="preserve">dependent </w:t>
      </w:r>
      <w:r w:rsidR="00243313" w:rsidRPr="002C4CC5">
        <w:rPr>
          <w:bCs/>
          <w:color w:val="000000" w:themeColor="text1"/>
        </w:rPr>
        <w:t>“driving forces”</w:t>
      </w:r>
      <w:r w:rsidR="00E94728" w:rsidRPr="002C4CC5">
        <w:rPr>
          <w:bCs/>
          <w:color w:val="000000" w:themeColor="text1"/>
        </w:rPr>
        <w:t xml:space="preserve"> (MoEF until 2011, Supreme Court of India and NGT’s internal forces)</w:t>
      </w:r>
      <w:r w:rsidR="00D129DC" w:rsidRPr="002C4CC5">
        <w:rPr>
          <w:bCs/>
          <w:color w:val="000000" w:themeColor="text1"/>
        </w:rPr>
        <w:t xml:space="preserve"> </w:t>
      </w:r>
      <w:r w:rsidR="00A615D5" w:rsidRPr="002C4CC5">
        <w:rPr>
          <w:bCs/>
          <w:color w:val="000000" w:themeColor="text1"/>
        </w:rPr>
        <w:t xml:space="preserve">came together and </w:t>
      </w:r>
      <w:r w:rsidR="007E4580" w:rsidRPr="002C4CC5">
        <w:rPr>
          <w:bCs/>
          <w:color w:val="000000" w:themeColor="text1"/>
        </w:rPr>
        <w:t xml:space="preserve">expressed </w:t>
      </w:r>
      <w:r w:rsidR="00A615D5" w:rsidRPr="002C4CC5">
        <w:rPr>
          <w:bCs/>
          <w:color w:val="000000" w:themeColor="text1"/>
        </w:rPr>
        <w:t xml:space="preserve">themselves </w:t>
      </w:r>
      <w:r w:rsidR="00A020C9" w:rsidRPr="002C4CC5">
        <w:rPr>
          <w:bCs/>
          <w:color w:val="000000" w:themeColor="text1"/>
        </w:rPr>
        <w:t xml:space="preserve">for </w:t>
      </w:r>
      <w:r w:rsidR="00941FC4" w:rsidRPr="002C4CC5">
        <w:rPr>
          <w:bCs/>
          <w:color w:val="000000" w:themeColor="text1"/>
        </w:rPr>
        <w:t>“new learning”</w:t>
      </w:r>
      <w:r w:rsidR="00C41DA1" w:rsidRPr="002C4CC5">
        <w:rPr>
          <w:bCs/>
          <w:color w:val="000000" w:themeColor="text1"/>
        </w:rPr>
        <w:t xml:space="preserve"> by </w:t>
      </w:r>
      <w:r w:rsidR="00B24102" w:rsidRPr="002C4CC5">
        <w:rPr>
          <w:bCs/>
          <w:color w:val="000000" w:themeColor="text1"/>
        </w:rPr>
        <w:t xml:space="preserve">the establishment of an </w:t>
      </w:r>
      <w:r w:rsidR="00C41DA1" w:rsidRPr="002C4CC5">
        <w:rPr>
          <w:bCs/>
          <w:color w:val="000000" w:themeColor="text1"/>
        </w:rPr>
        <w:t xml:space="preserve">organised institution, the NGT through internal procedural expansion and change. </w:t>
      </w:r>
    </w:p>
    <w:p w14:paraId="4863A6ED" w14:textId="54C99E34" w:rsidR="000617E4" w:rsidRDefault="00063F89" w:rsidP="000D7001">
      <w:pPr>
        <w:pStyle w:val="Heading3"/>
        <w:spacing w:line="360" w:lineRule="auto"/>
      </w:pPr>
      <w:r w:rsidRPr="002C4CC5">
        <w:t>4</w:t>
      </w:r>
      <w:r w:rsidR="000D7001">
        <w:t>.</w:t>
      </w:r>
      <w:r w:rsidR="000617E4" w:rsidRPr="002C4CC5">
        <w:t xml:space="preserve"> </w:t>
      </w:r>
      <w:r w:rsidR="005E166B">
        <w:t xml:space="preserve">New Learning, </w:t>
      </w:r>
      <w:r w:rsidR="000617E4" w:rsidRPr="002C4CC5">
        <w:t xml:space="preserve">Change and the </w:t>
      </w:r>
      <w:r w:rsidR="005E166B">
        <w:t>Restraining Forces</w:t>
      </w:r>
      <w:r w:rsidR="000617E4" w:rsidRPr="002C4CC5">
        <w:t xml:space="preserve"> in action</w:t>
      </w:r>
    </w:p>
    <w:p w14:paraId="6159661B" w14:textId="77777777" w:rsidR="000D7001" w:rsidRPr="000D7001" w:rsidRDefault="000D7001" w:rsidP="000D7001">
      <w:pPr>
        <w:spacing w:line="360" w:lineRule="auto"/>
      </w:pPr>
    </w:p>
    <w:p w14:paraId="3EEA23DD" w14:textId="0675B650" w:rsidR="008960ED" w:rsidRPr="002C4CC5" w:rsidRDefault="00DE1370" w:rsidP="000D7001">
      <w:pPr>
        <w:widowControl w:val="0"/>
        <w:autoSpaceDE w:val="0"/>
        <w:autoSpaceDN w:val="0"/>
        <w:adjustRightInd w:val="0"/>
        <w:spacing w:after="240" w:line="360" w:lineRule="auto"/>
        <w:rPr>
          <w:bCs/>
          <w:color w:val="000000" w:themeColor="text1"/>
        </w:rPr>
      </w:pPr>
      <w:r w:rsidRPr="002C4CC5">
        <w:rPr>
          <w:bCs/>
          <w:color w:val="000000" w:themeColor="text1"/>
        </w:rPr>
        <w:t>However,</w:t>
      </w:r>
      <w:r w:rsidR="00C41DA1" w:rsidRPr="002C4CC5">
        <w:rPr>
          <w:bCs/>
          <w:color w:val="000000" w:themeColor="text1"/>
        </w:rPr>
        <w:t xml:space="preserve"> this </w:t>
      </w:r>
      <w:r w:rsidRPr="002C4CC5">
        <w:rPr>
          <w:bCs/>
          <w:color w:val="000000" w:themeColor="text1"/>
        </w:rPr>
        <w:t xml:space="preserve">stage of </w:t>
      </w:r>
      <w:r w:rsidR="00941FC4" w:rsidRPr="002C4CC5">
        <w:rPr>
          <w:bCs/>
          <w:color w:val="000000" w:themeColor="text1"/>
        </w:rPr>
        <w:t>“new learning”</w:t>
      </w:r>
      <w:r w:rsidRPr="002C4CC5">
        <w:rPr>
          <w:bCs/>
          <w:color w:val="000000" w:themeColor="text1"/>
        </w:rPr>
        <w:t xml:space="preserve"> has not occurred without struggle. The</w:t>
      </w:r>
      <w:r w:rsidR="00BA45BA" w:rsidRPr="002C4CC5">
        <w:rPr>
          <w:bCs/>
          <w:color w:val="000000" w:themeColor="text1"/>
        </w:rPr>
        <w:t>re</w:t>
      </w:r>
      <w:r w:rsidRPr="002C4CC5">
        <w:rPr>
          <w:bCs/>
          <w:color w:val="000000" w:themeColor="text1"/>
        </w:rPr>
        <w:t xml:space="preserve"> exist</w:t>
      </w:r>
      <w:r w:rsidR="00BA45BA" w:rsidRPr="002C4CC5">
        <w:rPr>
          <w:bCs/>
          <w:color w:val="000000" w:themeColor="text1"/>
        </w:rPr>
        <w:t xml:space="preserve">ed </w:t>
      </w:r>
      <w:r w:rsidR="00DA5D21" w:rsidRPr="002C4CC5">
        <w:rPr>
          <w:bCs/>
          <w:color w:val="000000" w:themeColor="text1"/>
        </w:rPr>
        <w:t>“restraining forces”</w:t>
      </w:r>
      <w:r w:rsidR="008960ED" w:rsidRPr="002C4CC5">
        <w:rPr>
          <w:bCs/>
          <w:color w:val="000000" w:themeColor="text1"/>
        </w:rPr>
        <w:t>. T</w:t>
      </w:r>
      <w:r w:rsidR="000578DE" w:rsidRPr="002C4CC5">
        <w:rPr>
          <w:bCs/>
          <w:color w:val="000000" w:themeColor="text1"/>
        </w:rPr>
        <w:t>he MoEF</w:t>
      </w:r>
      <w:r w:rsidR="00D72A4D" w:rsidRPr="002C4CC5">
        <w:rPr>
          <w:bCs/>
          <w:color w:val="000000" w:themeColor="text1"/>
        </w:rPr>
        <w:t xml:space="preserve"> after 2011</w:t>
      </w:r>
      <w:r w:rsidR="000578DE" w:rsidRPr="002C4CC5">
        <w:rPr>
          <w:bCs/>
          <w:color w:val="000000" w:themeColor="text1"/>
        </w:rPr>
        <w:t xml:space="preserve"> and </w:t>
      </w:r>
      <w:r w:rsidR="00D72A4D" w:rsidRPr="002C4CC5">
        <w:rPr>
          <w:bCs/>
          <w:color w:val="000000" w:themeColor="text1"/>
        </w:rPr>
        <w:t xml:space="preserve">the </w:t>
      </w:r>
      <w:r w:rsidR="000578DE" w:rsidRPr="002C4CC5">
        <w:rPr>
          <w:bCs/>
          <w:color w:val="000000" w:themeColor="text1"/>
        </w:rPr>
        <w:t>High Courts</w:t>
      </w:r>
      <w:r w:rsidR="008960ED" w:rsidRPr="002C4CC5">
        <w:rPr>
          <w:bCs/>
          <w:color w:val="000000" w:themeColor="text1"/>
        </w:rPr>
        <w:t xml:space="preserve"> gained momentum </w:t>
      </w:r>
      <w:r w:rsidR="00BA45BA" w:rsidRPr="002C4CC5">
        <w:rPr>
          <w:bCs/>
          <w:color w:val="000000" w:themeColor="text1"/>
        </w:rPr>
        <w:t>and strength</w:t>
      </w:r>
      <w:r w:rsidR="008960ED" w:rsidRPr="002C4CC5">
        <w:rPr>
          <w:bCs/>
          <w:color w:val="000000" w:themeColor="text1"/>
        </w:rPr>
        <w:t xml:space="preserve"> to restrict the proactive NGT </w:t>
      </w:r>
      <w:r w:rsidR="00C708ED" w:rsidRPr="002C4CC5">
        <w:rPr>
          <w:bCs/>
          <w:color w:val="000000" w:themeColor="text1"/>
        </w:rPr>
        <w:t>as</w:t>
      </w:r>
      <w:r w:rsidR="005C5D91" w:rsidRPr="002C4CC5">
        <w:rPr>
          <w:bCs/>
          <w:color w:val="000000" w:themeColor="text1"/>
        </w:rPr>
        <w:t xml:space="preserve"> </w:t>
      </w:r>
      <w:r w:rsidR="008960ED" w:rsidRPr="002C4CC5">
        <w:rPr>
          <w:bCs/>
          <w:color w:val="000000" w:themeColor="text1"/>
        </w:rPr>
        <w:t xml:space="preserve">it </w:t>
      </w:r>
      <w:r w:rsidR="008A1FA2" w:rsidRPr="002C4CC5">
        <w:rPr>
          <w:bCs/>
          <w:color w:val="000000" w:themeColor="text1"/>
        </w:rPr>
        <w:t>s</w:t>
      </w:r>
      <w:r w:rsidR="00C708ED" w:rsidRPr="002C4CC5">
        <w:rPr>
          <w:bCs/>
          <w:color w:val="000000" w:themeColor="text1"/>
        </w:rPr>
        <w:t>ought</w:t>
      </w:r>
      <w:r w:rsidR="008A1FA2" w:rsidRPr="002C4CC5">
        <w:rPr>
          <w:bCs/>
          <w:color w:val="000000" w:themeColor="text1"/>
        </w:rPr>
        <w:t xml:space="preserve"> to take control of the intellectual space </w:t>
      </w:r>
      <w:r w:rsidR="008C732D" w:rsidRPr="002C4CC5">
        <w:rPr>
          <w:bCs/>
          <w:color w:val="000000" w:themeColor="text1"/>
        </w:rPr>
        <w:t>for the right to regulate or respond to environmental issues.</w:t>
      </w:r>
      <w:r w:rsidR="000578DE" w:rsidRPr="002C4CC5">
        <w:rPr>
          <w:bCs/>
          <w:color w:val="000000" w:themeColor="text1"/>
        </w:rPr>
        <w:t xml:space="preserve"> </w:t>
      </w:r>
    </w:p>
    <w:p w14:paraId="1B86232D" w14:textId="5E7F63D3" w:rsidR="00A65C13" w:rsidRPr="002C4CC5" w:rsidRDefault="00963087" w:rsidP="002C4CC5">
      <w:pPr>
        <w:widowControl w:val="0"/>
        <w:autoSpaceDE w:val="0"/>
        <w:autoSpaceDN w:val="0"/>
        <w:adjustRightInd w:val="0"/>
        <w:spacing w:after="240" w:line="360" w:lineRule="auto"/>
        <w:rPr>
          <w:color w:val="000000" w:themeColor="text1"/>
        </w:rPr>
      </w:pPr>
      <w:r w:rsidRPr="002C4CC5">
        <w:rPr>
          <w:color w:val="000000" w:themeColor="text1"/>
        </w:rPr>
        <w:t>From its inception</w:t>
      </w:r>
      <w:r w:rsidR="008960ED" w:rsidRPr="002C4CC5">
        <w:rPr>
          <w:color w:val="000000" w:themeColor="text1"/>
        </w:rPr>
        <w:t>, and particularly after 2011</w:t>
      </w:r>
      <w:r w:rsidRPr="002C4CC5">
        <w:rPr>
          <w:color w:val="000000" w:themeColor="text1"/>
        </w:rPr>
        <w:t xml:space="preserve">, the NGT faced institutional challenges due to limited co-operation and hesitant operational commitment of MoEF and state governments. </w:t>
      </w:r>
      <w:r w:rsidR="00532FE9" w:rsidRPr="002C4CC5">
        <w:rPr>
          <w:color w:val="000000" w:themeColor="text1"/>
        </w:rPr>
        <w:t>Initially, th</w:t>
      </w:r>
      <w:r w:rsidR="00A65C13" w:rsidRPr="002C4CC5">
        <w:rPr>
          <w:color w:val="000000" w:themeColor="text1"/>
        </w:rPr>
        <w:t>e under-staffed bench and inadequate logistic and infrastructure facilities, coupled with inappropriate housing for bench appointees, led to the resignation of three judicial members: Justices C V Ramulu, Amit Talukdar and A S Naidu.</w:t>
      </w:r>
      <w:r w:rsidR="00AC068B" w:rsidRPr="002C4CC5">
        <w:rPr>
          <w:rStyle w:val="FootnoteReference"/>
          <w:color w:val="000000" w:themeColor="text1"/>
        </w:rPr>
        <w:footnoteReference w:id="148"/>
      </w:r>
      <w:r w:rsidR="00A65C13" w:rsidRPr="002C4CC5">
        <w:rPr>
          <w:color w:val="000000" w:themeColor="text1"/>
        </w:rPr>
        <w:t xml:space="preserve"> The state</w:t>
      </w:r>
      <w:r w:rsidR="00532FE9" w:rsidRPr="002C4CC5">
        <w:rPr>
          <w:color w:val="000000" w:themeColor="text1"/>
        </w:rPr>
        <w:t>’s</w:t>
      </w:r>
      <w:r w:rsidR="00A65C13" w:rsidRPr="002C4CC5">
        <w:rPr>
          <w:color w:val="000000" w:themeColor="text1"/>
        </w:rPr>
        <w:t xml:space="preserve"> inaction required intervention by the Supreme Court to remedy the situation.</w:t>
      </w:r>
      <w:r w:rsidR="008960ED" w:rsidRPr="002C4CC5">
        <w:rPr>
          <w:rStyle w:val="FootnoteReference"/>
          <w:color w:val="000000" w:themeColor="text1"/>
        </w:rPr>
        <w:footnoteReference w:id="149"/>
      </w:r>
      <w:r w:rsidR="00A65C13" w:rsidRPr="002C4CC5">
        <w:rPr>
          <w:color w:val="000000" w:themeColor="text1"/>
        </w:rPr>
        <w:t xml:space="preserve"> Senior counsel, Gopal Subramaniam, appeared on behalf of the NGT and in</w:t>
      </w:r>
      <w:r w:rsidR="00C56BF1" w:rsidRPr="002C4CC5">
        <w:rPr>
          <w:color w:val="000000" w:themeColor="text1"/>
        </w:rPr>
        <w:t>formed the Supreme Court about “a very sorry state of affairs”</w:t>
      </w:r>
      <w:r w:rsidR="00A65C13" w:rsidRPr="002C4CC5">
        <w:rPr>
          <w:color w:val="000000" w:themeColor="text1"/>
        </w:rPr>
        <w:t xml:space="preserve"> affecting the </w:t>
      </w:r>
      <w:r w:rsidR="00021CDC" w:rsidRPr="002C4CC5">
        <w:rPr>
          <w:color w:val="000000" w:themeColor="text1"/>
        </w:rPr>
        <w:t>Tribunal</w:t>
      </w:r>
      <w:r w:rsidR="00A65C13" w:rsidRPr="002C4CC5">
        <w:rPr>
          <w:color w:val="000000" w:themeColor="text1"/>
        </w:rPr>
        <w:t xml:space="preserve">. He said: </w:t>
      </w:r>
    </w:p>
    <w:p w14:paraId="0400327E" w14:textId="71ABFF15" w:rsidR="00A65C13" w:rsidRPr="003F71D9" w:rsidRDefault="00A65C13"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 . </w:t>
      </w:r>
      <w:r w:rsidR="00F10971" w:rsidRPr="003F71D9">
        <w:rPr>
          <w:color w:val="000000" w:themeColor="text1"/>
          <w:sz w:val="20"/>
          <w:szCs w:val="20"/>
        </w:rPr>
        <w:t>. the members have been put up i</w:t>
      </w:r>
      <w:r w:rsidRPr="003F71D9">
        <w:rPr>
          <w:color w:val="000000" w:themeColor="text1"/>
          <w:sz w:val="20"/>
          <w:szCs w:val="20"/>
        </w:rPr>
        <w:t>n the middle of quarters of Class III and IV employees. The initial budget of Rupees 32 crores</w:t>
      </w:r>
      <w:r w:rsidR="006059C8" w:rsidRPr="003F71D9">
        <w:rPr>
          <w:color w:val="000000" w:themeColor="text1"/>
          <w:sz w:val="20"/>
          <w:szCs w:val="20"/>
        </w:rPr>
        <w:t xml:space="preserve"> [ £ 3</w:t>
      </w:r>
      <w:r w:rsidR="00C36243" w:rsidRPr="003F71D9">
        <w:rPr>
          <w:color w:val="000000" w:themeColor="text1"/>
          <w:sz w:val="20"/>
          <w:szCs w:val="20"/>
        </w:rPr>
        <w:t>,</w:t>
      </w:r>
      <w:r w:rsidR="006059C8" w:rsidRPr="003F71D9">
        <w:rPr>
          <w:color w:val="000000" w:themeColor="text1"/>
          <w:sz w:val="20"/>
          <w:szCs w:val="20"/>
        </w:rPr>
        <w:t>505</w:t>
      </w:r>
      <w:r w:rsidR="00C36243" w:rsidRPr="003F71D9">
        <w:rPr>
          <w:color w:val="000000" w:themeColor="text1"/>
          <w:sz w:val="20"/>
          <w:szCs w:val="20"/>
        </w:rPr>
        <w:t>,</w:t>
      </w:r>
      <w:r w:rsidR="006059C8" w:rsidRPr="003F71D9">
        <w:rPr>
          <w:color w:val="000000" w:themeColor="text1"/>
          <w:sz w:val="20"/>
          <w:szCs w:val="20"/>
        </w:rPr>
        <w:t>4</w:t>
      </w:r>
      <w:r w:rsidR="00C36243" w:rsidRPr="003F71D9">
        <w:rPr>
          <w:color w:val="000000" w:themeColor="text1"/>
          <w:sz w:val="20"/>
          <w:szCs w:val="20"/>
        </w:rPr>
        <w:t>62</w:t>
      </w:r>
      <w:r w:rsidR="006059C8" w:rsidRPr="003F71D9">
        <w:rPr>
          <w:color w:val="000000" w:themeColor="text1"/>
          <w:sz w:val="20"/>
          <w:szCs w:val="20"/>
        </w:rPr>
        <w:t>]</w:t>
      </w:r>
      <w:r w:rsidR="00760621" w:rsidRPr="003F71D9">
        <w:rPr>
          <w:color w:val="000000" w:themeColor="text1"/>
          <w:sz w:val="20"/>
          <w:szCs w:val="20"/>
        </w:rPr>
        <w:t xml:space="preserve"> was slashed to Rupees 10 crores </w:t>
      </w:r>
      <w:r w:rsidR="006059C8" w:rsidRPr="003F71D9">
        <w:rPr>
          <w:color w:val="000000" w:themeColor="text1"/>
          <w:sz w:val="20"/>
          <w:szCs w:val="20"/>
        </w:rPr>
        <w:t>[£ 1</w:t>
      </w:r>
      <w:r w:rsidR="00534659" w:rsidRPr="003F71D9">
        <w:rPr>
          <w:color w:val="000000" w:themeColor="text1"/>
          <w:sz w:val="20"/>
          <w:szCs w:val="20"/>
        </w:rPr>
        <w:t>,</w:t>
      </w:r>
      <w:r w:rsidR="006059C8" w:rsidRPr="003F71D9">
        <w:rPr>
          <w:color w:val="000000" w:themeColor="text1"/>
          <w:sz w:val="20"/>
          <w:szCs w:val="20"/>
        </w:rPr>
        <w:t>095</w:t>
      </w:r>
      <w:r w:rsidR="00534659" w:rsidRPr="003F71D9">
        <w:rPr>
          <w:color w:val="000000" w:themeColor="text1"/>
          <w:sz w:val="20"/>
          <w:szCs w:val="20"/>
        </w:rPr>
        <w:t>,513</w:t>
      </w:r>
      <w:r w:rsidR="006059C8" w:rsidRPr="003F71D9">
        <w:rPr>
          <w:color w:val="000000" w:themeColor="text1"/>
          <w:sz w:val="20"/>
          <w:szCs w:val="20"/>
        </w:rPr>
        <w:t>]</w:t>
      </w:r>
      <w:r w:rsidRPr="003F71D9">
        <w:rPr>
          <w:color w:val="000000" w:themeColor="text1"/>
          <w:sz w:val="20"/>
          <w:szCs w:val="20"/>
        </w:rPr>
        <w:t xml:space="preserve"> to be further reduced to Rupees 6 crores</w:t>
      </w:r>
      <w:r w:rsidR="006059C8" w:rsidRPr="003F71D9">
        <w:rPr>
          <w:color w:val="000000" w:themeColor="text1"/>
          <w:sz w:val="20"/>
          <w:szCs w:val="20"/>
        </w:rPr>
        <w:t xml:space="preserve"> [£ 6</w:t>
      </w:r>
      <w:r w:rsidR="00534659" w:rsidRPr="003F71D9">
        <w:rPr>
          <w:color w:val="000000" w:themeColor="text1"/>
          <w:sz w:val="20"/>
          <w:szCs w:val="20"/>
        </w:rPr>
        <w:t>57,308</w:t>
      </w:r>
      <w:r w:rsidR="006059C8" w:rsidRPr="003F71D9">
        <w:rPr>
          <w:color w:val="000000" w:themeColor="text1"/>
          <w:sz w:val="20"/>
          <w:szCs w:val="20"/>
        </w:rPr>
        <w:t>]</w:t>
      </w:r>
      <w:r w:rsidRPr="003F71D9">
        <w:rPr>
          <w:color w:val="000000" w:themeColor="text1"/>
          <w:sz w:val="20"/>
          <w:szCs w:val="20"/>
        </w:rPr>
        <w:t xml:space="preserve">. Each of the members is paying from his own pocket for travel. They don’t even have a supply of food at work and they are compelled to get food from the canteen. Is this how the government proposes to </w:t>
      </w:r>
      <w:r w:rsidR="00C708ED" w:rsidRPr="003F71D9">
        <w:rPr>
          <w:color w:val="000000" w:themeColor="text1"/>
          <w:sz w:val="20"/>
          <w:szCs w:val="20"/>
        </w:rPr>
        <w:t>t</w:t>
      </w:r>
      <w:r w:rsidRPr="003F71D9">
        <w:rPr>
          <w:color w:val="000000" w:themeColor="text1"/>
          <w:sz w:val="20"/>
          <w:szCs w:val="20"/>
        </w:rPr>
        <w:t>reat the sitting and former judges of the High Courts and Supreme Court of India</w:t>
      </w:r>
      <w:r w:rsidR="006F3782" w:rsidRPr="003F71D9">
        <w:rPr>
          <w:color w:val="000000" w:themeColor="text1"/>
          <w:sz w:val="20"/>
          <w:szCs w:val="20"/>
        </w:rPr>
        <w:t>?</w:t>
      </w:r>
      <w:r w:rsidR="006F3782" w:rsidRPr="003F71D9">
        <w:rPr>
          <w:sz w:val="20"/>
          <w:szCs w:val="20"/>
          <w:vertAlign w:val="superscript"/>
        </w:rPr>
        <w:footnoteReference w:id="150"/>
      </w:r>
    </w:p>
    <w:p w14:paraId="2C135C24" w14:textId="06A6E2D9" w:rsidR="001F3830" w:rsidRPr="002C4CC5" w:rsidRDefault="00A65C13" w:rsidP="002C4CC5">
      <w:pPr>
        <w:widowControl w:val="0"/>
        <w:autoSpaceDE w:val="0"/>
        <w:autoSpaceDN w:val="0"/>
        <w:adjustRightInd w:val="0"/>
        <w:spacing w:after="240" w:line="360" w:lineRule="auto"/>
        <w:rPr>
          <w:color w:val="000000" w:themeColor="text1"/>
        </w:rPr>
      </w:pPr>
      <w:r w:rsidRPr="002C4CC5">
        <w:rPr>
          <w:color w:val="000000" w:themeColor="text1"/>
        </w:rPr>
        <w:t>The Supreme Court described the treatment experien</w:t>
      </w:r>
      <w:r w:rsidR="00C56BF1" w:rsidRPr="002C4CC5">
        <w:rPr>
          <w:color w:val="000000" w:themeColor="text1"/>
        </w:rPr>
        <w:t>ced by the members of NGT as “</w:t>
      </w:r>
      <w:r w:rsidRPr="002C4CC5">
        <w:rPr>
          <w:color w:val="000000" w:themeColor="text1"/>
        </w:rPr>
        <w:t>utterly disgusting</w:t>
      </w:r>
      <w:r w:rsidR="00B72085" w:rsidRPr="002C4CC5">
        <w:rPr>
          <w:color w:val="000000" w:themeColor="text1"/>
        </w:rPr>
        <w:t>.</w:t>
      </w:r>
      <w:r w:rsidR="00C56BF1" w:rsidRPr="002C4CC5">
        <w:rPr>
          <w:color w:val="000000" w:themeColor="text1"/>
        </w:rPr>
        <w:t>”</w:t>
      </w:r>
      <w:r w:rsidR="00B72085" w:rsidRPr="002C4CC5">
        <w:rPr>
          <w:rStyle w:val="FootnoteReference"/>
          <w:color w:val="000000" w:themeColor="text1"/>
        </w:rPr>
        <w:footnoteReference w:id="151"/>
      </w:r>
      <w:r w:rsidR="00B72085" w:rsidRPr="002C4CC5">
        <w:rPr>
          <w:color w:val="000000" w:themeColor="text1"/>
        </w:rPr>
        <w:t xml:space="preserve"> </w:t>
      </w:r>
      <w:r w:rsidRPr="002C4CC5">
        <w:rPr>
          <w:color w:val="000000" w:themeColor="text1"/>
        </w:rPr>
        <w:t xml:space="preserve"> </w:t>
      </w:r>
      <w:r w:rsidR="001F3830" w:rsidRPr="002C4CC5">
        <w:rPr>
          <w:color w:val="000000" w:themeColor="text1"/>
        </w:rPr>
        <w:t xml:space="preserve">Accordingly, the Supreme Court stated that the NGT benches must become fully functional by 30 April 2013. </w:t>
      </w:r>
    </w:p>
    <w:p w14:paraId="7B978AD0" w14:textId="791096FF" w:rsidR="00457428" w:rsidRPr="002C4CC5" w:rsidRDefault="001F3830" w:rsidP="002C4CC5">
      <w:pPr>
        <w:widowControl w:val="0"/>
        <w:autoSpaceDE w:val="0"/>
        <w:autoSpaceDN w:val="0"/>
        <w:adjustRightInd w:val="0"/>
        <w:spacing w:after="240" w:line="360" w:lineRule="auto"/>
        <w:rPr>
          <w:color w:val="000000" w:themeColor="text1"/>
        </w:rPr>
      </w:pPr>
      <w:r w:rsidRPr="002C4CC5">
        <w:rPr>
          <w:color w:val="000000" w:themeColor="text1"/>
        </w:rPr>
        <w:t>The Bhopal Bench started functioning in the bas</w:t>
      </w:r>
      <w:r w:rsidR="00FE64C4" w:rsidRPr="002C4CC5">
        <w:rPr>
          <w:color w:val="000000" w:themeColor="text1"/>
        </w:rPr>
        <w:t>ement of a building, despite affida</w:t>
      </w:r>
      <w:r w:rsidRPr="002C4CC5">
        <w:rPr>
          <w:color w:val="000000" w:themeColor="text1"/>
        </w:rPr>
        <w:t>vits being led by the state government claiming suitable accommodation had been provided to the NGT. Justice Singhv</w:t>
      </w:r>
      <w:r w:rsidR="00C56BF1" w:rsidRPr="002C4CC5">
        <w:rPr>
          <w:color w:val="000000" w:themeColor="text1"/>
        </w:rPr>
        <w:t>i reacted sharply by observing “</w:t>
      </w:r>
      <w:r w:rsidRPr="002C4CC5">
        <w:rPr>
          <w:color w:val="000000" w:themeColor="text1"/>
        </w:rPr>
        <w:t>we cannot appreciate that a misleading statement was made befor</w:t>
      </w:r>
      <w:r w:rsidR="0036238C" w:rsidRPr="002C4CC5">
        <w:rPr>
          <w:color w:val="000000" w:themeColor="text1"/>
        </w:rPr>
        <w:t>e the highest court. A false affi</w:t>
      </w:r>
      <w:r w:rsidRPr="002C4CC5">
        <w:rPr>
          <w:color w:val="000000" w:themeColor="text1"/>
        </w:rPr>
        <w:t>davit was led before the apex court. Accommodation does not mean basement</w:t>
      </w:r>
      <w:r w:rsidR="00B72085" w:rsidRPr="002C4CC5">
        <w:rPr>
          <w:color w:val="000000" w:themeColor="text1"/>
        </w:rPr>
        <w:t>.</w:t>
      </w:r>
      <w:r w:rsidR="00C56BF1" w:rsidRPr="002C4CC5">
        <w:rPr>
          <w:color w:val="000000" w:themeColor="text1"/>
        </w:rPr>
        <w:t>”</w:t>
      </w:r>
      <w:r w:rsidR="00B72085" w:rsidRPr="002C4CC5">
        <w:rPr>
          <w:rStyle w:val="FootnoteReference"/>
          <w:color w:val="000000" w:themeColor="text1"/>
        </w:rPr>
        <w:footnoteReference w:id="152"/>
      </w:r>
      <w:r w:rsidR="0029244F" w:rsidRPr="002C4CC5">
        <w:rPr>
          <w:color w:val="000000" w:themeColor="text1"/>
        </w:rPr>
        <w:t xml:space="preserve"> </w:t>
      </w:r>
      <w:r w:rsidR="00457428" w:rsidRPr="002C4CC5">
        <w:rPr>
          <w:color w:val="000000" w:themeColor="text1"/>
        </w:rPr>
        <w:t>The Pune Bench was treated in a similar derisory manner. It was inaugurated on 17 February 2012, but the lack of state support resulted in delays into March 2013. Kolkata fared even worse. The state of West Bengal failed to respond to the orders of the Supreme Court. The NGT chairperson inspected the K</w:t>
      </w:r>
      <w:r w:rsidR="0036238C" w:rsidRPr="002C4CC5">
        <w:rPr>
          <w:color w:val="000000" w:themeColor="text1"/>
        </w:rPr>
        <w:t>olkata Bench and found the pre</w:t>
      </w:r>
      <w:r w:rsidR="00457428" w:rsidRPr="002C4CC5">
        <w:rPr>
          <w:color w:val="000000" w:themeColor="text1"/>
        </w:rPr>
        <w:t>mises, particularly the accommodation offered</w:t>
      </w:r>
      <w:r w:rsidR="0036238C" w:rsidRPr="002C4CC5">
        <w:rPr>
          <w:color w:val="000000" w:themeColor="text1"/>
        </w:rPr>
        <w:t xml:space="preserve"> to judge</w:t>
      </w:r>
      <w:r w:rsidR="00532FE9" w:rsidRPr="002C4CC5">
        <w:rPr>
          <w:color w:val="000000" w:themeColor="text1"/>
        </w:rPr>
        <w:t>s</w:t>
      </w:r>
      <w:r w:rsidR="00C56BF1" w:rsidRPr="002C4CC5">
        <w:rPr>
          <w:color w:val="000000" w:themeColor="text1"/>
        </w:rPr>
        <w:t xml:space="preserve"> to be “</w:t>
      </w:r>
      <w:r w:rsidR="0036238C" w:rsidRPr="002C4CC5">
        <w:rPr>
          <w:color w:val="000000" w:themeColor="text1"/>
        </w:rPr>
        <w:t>shabby, unin</w:t>
      </w:r>
      <w:r w:rsidR="00457428" w:rsidRPr="002C4CC5">
        <w:rPr>
          <w:color w:val="000000" w:themeColor="text1"/>
        </w:rPr>
        <w:t>h</w:t>
      </w:r>
      <w:r w:rsidR="00360140" w:rsidRPr="002C4CC5">
        <w:rPr>
          <w:color w:val="000000" w:themeColor="text1"/>
        </w:rPr>
        <w:t>abitable and without a toilet.</w:t>
      </w:r>
      <w:r w:rsidR="00C56BF1" w:rsidRPr="002C4CC5">
        <w:rPr>
          <w:color w:val="000000" w:themeColor="text1"/>
        </w:rPr>
        <w:t>”</w:t>
      </w:r>
      <w:r w:rsidR="00360140" w:rsidRPr="002C4CC5">
        <w:rPr>
          <w:rStyle w:val="FootnoteReference"/>
          <w:color w:val="000000" w:themeColor="text1"/>
        </w:rPr>
        <w:footnoteReference w:id="153"/>
      </w:r>
    </w:p>
    <w:p w14:paraId="4EF8F132" w14:textId="77777777" w:rsidR="002C4CC5" w:rsidRDefault="00FE64C4" w:rsidP="002C4CC5">
      <w:pPr>
        <w:spacing w:line="360" w:lineRule="auto"/>
        <w:rPr>
          <w:rFonts w:eastAsia="Times New Roman"/>
          <w:color w:val="000000" w:themeColor="text1"/>
        </w:rPr>
      </w:pPr>
      <w:r w:rsidRPr="002C4CC5">
        <w:rPr>
          <w:color w:val="000000" w:themeColor="text1"/>
        </w:rPr>
        <w:t>The</w:t>
      </w:r>
      <w:r w:rsidR="006059C8" w:rsidRPr="002C4CC5">
        <w:rPr>
          <w:color w:val="000000" w:themeColor="text1"/>
        </w:rPr>
        <w:t>re is an</w:t>
      </w:r>
      <w:r w:rsidRPr="002C4CC5">
        <w:rPr>
          <w:color w:val="000000" w:themeColor="text1"/>
        </w:rPr>
        <w:t xml:space="preserve"> explanation for this d</w:t>
      </w:r>
      <w:r w:rsidR="00F14BF9" w:rsidRPr="002C4CC5">
        <w:rPr>
          <w:color w:val="000000" w:themeColor="text1"/>
        </w:rPr>
        <w:t>egrading</w:t>
      </w:r>
      <w:r w:rsidRPr="002C4CC5">
        <w:rPr>
          <w:color w:val="000000" w:themeColor="text1"/>
        </w:rPr>
        <w:t xml:space="preserve"> treatment</w:t>
      </w:r>
      <w:r w:rsidR="00F14BF9" w:rsidRPr="002C4CC5">
        <w:rPr>
          <w:color w:val="000000" w:themeColor="text1"/>
        </w:rPr>
        <w:t xml:space="preserve"> that</w:t>
      </w:r>
      <w:r w:rsidRPr="002C4CC5">
        <w:rPr>
          <w:color w:val="000000" w:themeColor="text1"/>
        </w:rPr>
        <w:t xml:space="preserve"> affected the establishment and the early operational e</w:t>
      </w:r>
      <w:r w:rsidR="006059C8" w:rsidRPr="002C4CC5">
        <w:rPr>
          <w:color w:val="000000" w:themeColor="text1"/>
        </w:rPr>
        <w:t>ffectiveness of the NGT</w:t>
      </w:r>
      <w:r w:rsidR="00532FE9" w:rsidRPr="002C4CC5">
        <w:rPr>
          <w:color w:val="000000" w:themeColor="text1"/>
        </w:rPr>
        <w:t xml:space="preserve"> benches</w:t>
      </w:r>
      <w:r w:rsidR="006059C8" w:rsidRPr="002C4CC5">
        <w:rPr>
          <w:color w:val="000000" w:themeColor="text1"/>
        </w:rPr>
        <w:t>. T</w:t>
      </w:r>
      <w:r w:rsidR="00164D83" w:rsidRPr="002C4CC5">
        <w:rPr>
          <w:color w:val="000000" w:themeColor="text1"/>
        </w:rPr>
        <w:t>here existed</w:t>
      </w:r>
      <w:r w:rsidRPr="002C4CC5">
        <w:rPr>
          <w:color w:val="000000" w:themeColor="text1"/>
        </w:rPr>
        <w:t xml:space="preserve"> an unresponsive and dysfunctional state administration that failed to appreciate the importance of green issues</w:t>
      </w:r>
      <w:r w:rsidR="00F96C29" w:rsidRPr="002C4CC5">
        <w:rPr>
          <w:color w:val="000000" w:themeColor="text1"/>
        </w:rPr>
        <w:t>. T</w:t>
      </w:r>
      <w:r w:rsidR="00AC7C14" w:rsidRPr="002C4CC5">
        <w:rPr>
          <w:color w:val="000000" w:themeColor="text1"/>
        </w:rPr>
        <w:t>he</w:t>
      </w:r>
      <w:r w:rsidR="00651E85" w:rsidRPr="002C4CC5">
        <w:rPr>
          <w:color w:val="000000" w:themeColor="text1"/>
        </w:rPr>
        <w:t xml:space="preserve"> </w:t>
      </w:r>
      <w:r w:rsidR="009C7323" w:rsidRPr="002C4CC5">
        <w:rPr>
          <w:color w:val="000000" w:themeColor="text1"/>
        </w:rPr>
        <w:t xml:space="preserve">then </w:t>
      </w:r>
      <w:r w:rsidR="00651E85" w:rsidRPr="002C4CC5">
        <w:rPr>
          <w:color w:val="000000" w:themeColor="text1"/>
        </w:rPr>
        <w:t xml:space="preserve">MoEF </w:t>
      </w:r>
      <w:r w:rsidR="00AC7C14" w:rsidRPr="002C4CC5">
        <w:rPr>
          <w:color w:val="000000" w:themeColor="text1"/>
        </w:rPr>
        <w:t>Minister Jairam Ramesh</w:t>
      </w:r>
      <w:r w:rsidR="00F96C29" w:rsidRPr="002C4CC5">
        <w:rPr>
          <w:color w:val="000000" w:themeColor="text1"/>
        </w:rPr>
        <w:t xml:space="preserve"> </w:t>
      </w:r>
      <w:r w:rsidR="0079647A" w:rsidRPr="002C4CC5">
        <w:rPr>
          <w:color w:val="000000" w:themeColor="text1"/>
        </w:rPr>
        <w:t xml:space="preserve">was known </w:t>
      </w:r>
      <w:r w:rsidR="005E4256" w:rsidRPr="002C4CC5">
        <w:rPr>
          <w:color w:val="000000" w:themeColor="text1"/>
        </w:rPr>
        <w:t xml:space="preserve">for raising the green </w:t>
      </w:r>
      <w:r w:rsidR="00C708ED" w:rsidRPr="002C4CC5">
        <w:rPr>
          <w:color w:val="000000" w:themeColor="text1"/>
        </w:rPr>
        <w:t>profile</w:t>
      </w:r>
      <w:r w:rsidR="005E4256" w:rsidRPr="002C4CC5">
        <w:rPr>
          <w:color w:val="000000" w:themeColor="text1"/>
        </w:rPr>
        <w:t xml:space="preserve"> and hailed</w:t>
      </w:r>
      <w:r w:rsidR="005E4256" w:rsidRPr="002C4CC5">
        <w:rPr>
          <w:rFonts w:eastAsia="Times New Roman"/>
          <w:iCs/>
          <w:color w:val="000000" w:themeColor="text1"/>
          <w:shd w:val="clear" w:color="auto" w:fill="FFFFFF"/>
        </w:rPr>
        <w:t xml:space="preserve"> by many as </w:t>
      </w:r>
      <w:r w:rsidR="00C708ED" w:rsidRPr="002C4CC5">
        <w:rPr>
          <w:rFonts w:eastAsia="Times New Roman"/>
          <w:iCs/>
          <w:color w:val="000000" w:themeColor="text1"/>
          <w:shd w:val="clear" w:color="auto" w:fill="FFFFFF"/>
        </w:rPr>
        <w:t xml:space="preserve">an outstanding </w:t>
      </w:r>
      <w:r w:rsidR="005E4256" w:rsidRPr="002C4CC5">
        <w:rPr>
          <w:rFonts w:eastAsia="Times New Roman"/>
          <w:iCs/>
          <w:color w:val="000000" w:themeColor="text1"/>
          <w:shd w:val="clear" w:color="auto" w:fill="FFFFFF"/>
        </w:rPr>
        <w:t>environment minister</w:t>
      </w:r>
      <w:r w:rsidR="00C708ED" w:rsidRPr="002C4CC5">
        <w:rPr>
          <w:rFonts w:eastAsia="Times New Roman"/>
          <w:iCs/>
          <w:color w:val="000000" w:themeColor="text1"/>
          <w:shd w:val="clear" w:color="auto" w:fill="FFFFFF"/>
        </w:rPr>
        <w:t xml:space="preserve">. Nevertheless, he </w:t>
      </w:r>
      <w:r w:rsidR="00981A83" w:rsidRPr="002C4CC5">
        <w:rPr>
          <w:rFonts w:eastAsia="Times New Roman"/>
          <w:color w:val="000000" w:themeColor="text1"/>
        </w:rPr>
        <w:t xml:space="preserve">was </w:t>
      </w:r>
      <w:r w:rsidR="00164D83" w:rsidRPr="002C4CC5">
        <w:rPr>
          <w:rFonts w:eastAsia="Times New Roman"/>
          <w:color w:val="000000" w:themeColor="text1"/>
        </w:rPr>
        <w:t xml:space="preserve">fighting battles within his own ministry, the </w:t>
      </w:r>
      <w:r w:rsidR="00981A83" w:rsidRPr="002C4CC5">
        <w:rPr>
          <w:rFonts w:eastAsia="Times New Roman"/>
          <w:color w:val="000000" w:themeColor="text1"/>
        </w:rPr>
        <w:t>MoEF.</w:t>
      </w:r>
      <w:r w:rsidR="00C708ED" w:rsidRPr="002C4CC5">
        <w:rPr>
          <w:rFonts w:eastAsia="Times New Roman"/>
          <w:color w:val="000000" w:themeColor="text1"/>
        </w:rPr>
        <w:t xml:space="preserve"> Personally</w:t>
      </w:r>
      <w:r w:rsidR="00C56BF1" w:rsidRPr="002C4CC5">
        <w:rPr>
          <w:rFonts w:eastAsia="Times New Roman"/>
          <w:color w:val="000000" w:themeColor="text1"/>
        </w:rPr>
        <w:t xml:space="preserve"> “h</w:t>
      </w:r>
      <w:r w:rsidR="00981A83" w:rsidRPr="002C4CC5">
        <w:rPr>
          <w:rFonts w:eastAsia="Times New Roman"/>
          <w:color w:val="000000" w:themeColor="text1"/>
        </w:rPr>
        <w:t>e remained accessible and responsive</w:t>
      </w:r>
      <w:r w:rsidR="00C708ED" w:rsidRPr="002C4CC5">
        <w:rPr>
          <w:rFonts w:eastAsia="Times New Roman"/>
          <w:color w:val="000000" w:themeColor="text1"/>
        </w:rPr>
        <w:t xml:space="preserve"> but</w:t>
      </w:r>
      <w:r w:rsidR="00981A83" w:rsidRPr="002C4CC5">
        <w:rPr>
          <w:rFonts w:eastAsia="Times New Roman"/>
          <w:color w:val="000000" w:themeColor="text1"/>
        </w:rPr>
        <w:t xml:space="preserve"> </w:t>
      </w:r>
      <w:r w:rsidR="00C708ED" w:rsidRPr="002C4CC5">
        <w:rPr>
          <w:rFonts w:eastAsia="Times New Roman"/>
          <w:color w:val="000000" w:themeColor="text1"/>
        </w:rPr>
        <w:t xml:space="preserve">he </w:t>
      </w:r>
      <w:r w:rsidR="00981A83" w:rsidRPr="002C4CC5">
        <w:rPr>
          <w:rFonts w:eastAsia="Times New Roman"/>
          <w:color w:val="000000" w:themeColor="text1"/>
        </w:rPr>
        <w:t>could not ensure that his ministry officials were also accessible and responsive</w:t>
      </w:r>
      <w:r w:rsidR="00274D10" w:rsidRPr="002C4CC5">
        <w:rPr>
          <w:rFonts w:eastAsia="Times New Roman"/>
          <w:color w:val="000000" w:themeColor="text1"/>
        </w:rPr>
        <w:t>.</w:t>
      </w:r>
      <w:r w:rsidR="00C56BF1" w:rsidRPr="002C4CC5">
        <w:rPr>
          <w:rFonts w:eastAsia="Times New Roman"/>
          <w:color w:val="000000" w:themeColor="text1"/>
        </w:rPr>
        <w:t>”</w:t>
      </w:r>
      <w:r w:rsidR="00274D10" w:rsidRPr="002C4CC5">
        <w:rPr>
          <w:rStyle w:val="FootnoteReference"/>
          <w:rFonts w:eastAsia="Times New Roman"/>
          <w:color w:val="000000" w:themeColor="text1"/>
        </w:rPr>
        <w:footnoteReference w:id="154"/>
      </w:r>
      <w:r w:rsidR="00981A83" w:rsidRPr="002C4CC5">
        <w:rPr>
          <w:color w:val="000000" w:themeColor="text1"/>
        </w:rPr>
        <w:t xml:space="preserve"> </w:t>
      </w:r>
      <w:r w:rsidR="00981A83" w:rsidRPr="002C4CC5">
        <w:rPr>
          <w:rFonts w:eastAsia="Times New Roman"/>
          <w:color w:val="000000" w:themeColor="text1"/>
        </w:rPr>
        <w:t xml:space="preserve">Ramesh </w:t>
      </w:r>
      <w:r w:rsidR="00C708ED" w:rsidRPr="002C4CC5">
        <w:rPr>
          <w:rFonts w:eastAsia="Times New Roman"/>
          <w:color w:val="000000" w:themeColor="text1"/>
        </w:rPr>
        <w:t>described the ministry’</w:t>
      </w:r>
      <w:r w:rsidR="00667936" w:rsidRPr="002C4CC5">
        <w:rPr>
          <w:rFonts w:eastAsia="Times New Roman"/>
          <w:color w:val="000000" w:themeColor="text1"/>
        </w:rPr>
        <w:t>s env</w:t>
      </w:r>
      <w:r w:rsidR="00C9544A" w:rsidRPr="002C4CC5">
        <w:rPr>
          <w:rFonts w:eastAsia="Times New Roman"/>
          <w:color w:val="000000" w:themeColor="text1"/>
        </w:rPr>
        <w:t>ironmental working position as:</w:t>
      </w:r>
    </w:p>
    <w:p w14:paraId="60333DF1" w14:textId="3F49E335" w:rsidR="00C9544A" w:rsidRPr="002C4CC5" w:rsidRDefault="00C9544A" w:rsidP="002C4CC5">
      <w:pPr>
        <w:spacing w:line="360" w:lineRule="auto"/>
        <w:rPr>
          <w:rFonts w:eastAsia="Times New Roman"/>
          <w:color w:val="000000" w:themeColor="text1"/>
        </w:rPr>
      </w:pPr>
      <w:r w:rsidRPr="002C4CC5">
        <w:rPr>
          <w:rFonts w:eastAsia="Times New Roman"/>
          <w:color w:val="000000" w:themeColor="text1"/>
        </w:rPr>
        <w:t xml:space="preserve"> </w:t>
      </w:r>
    </w:p>
    <w:p w14:paraId="0D201069" w14:textId="4C9011D9" w:rsidR="00493E7C" w:rsidRPr="003F71D9" w:rsidRDefault="00667936"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It’s a huge bu</w:t>
      </w:r>
      <w:r w:rsidR="00981A83" w:rsidRPr="003F71D9">
        <w:rPr>
          <w:color w:val="000000" w:themeColor="text1"/>
          <w:sz w:val="20"/>
          <w:szCs w:val="20"/>
        </w:rPr>
        <w:t>reaucracy. There is a structural problem… It’s easier to reform laws and procedures and hope that would create a new mind-set in these people rather than try for a structural change</w:t>
      </w:r>
      <w:r w:rsidR="00493E7C" w:rsidRPr="003F71D9">
        <w:rPr>
          <w:color w:val="000000" w:themeColor="text1"/>
          <w:sz w:val="20"/>
          <w:szCs w:val="20"/>
        </w:rPr>
        <w:t>… This is not a ministry where at the end of the day I can say that I put 10,000 mw of generating capacity, I have started 300 trains, or I opened 60 new mines. It’s basically a regulatory institution. To that extent unidirectional goals are very difficult</w:t>
      </w:r>
      <w:r w:rsidR="00C81C8F" w:rsidRPr="003F71D9">
        <w:rPr>
          <w:color w:val="000000" w:themeColor="text1"/>
          <w:sz w:val="20"/>
          <w:szCs w:val="20"/>
        </w:rPr>
        <w:t xml:space="preserve"> to achieve</w:t>
      </w:r>
      <w:r w:rsidR="00493E7C" w:rsidRPr="003F71D9">
        <w:rPr>
          <w:color w:val="000000" w:themeColor="text1"/>
          <w:sz w:val="20"/>
          <w:szCs w:val="20"/>
        </w:rPr>
        <w:t>.</w:t>
      </w:r>
      <w:r w:rsidR="00274D10" w:rsidRPr="003F71D9">
        <w:rPr>
          <w:sz w:val="20"/>
          <w:szCs w:val="20"/>
          <w:vertAlign w:val="superscript"/>
        </w:rPr>
        <w:footnoteReference w:id="155"/>
      </w:r>
    </w:p>
    <w:p w14:paraId="3CAE2266" w14:textId="77777777" w:rsidR="002D4E36" w:rsidRPr="002C4CC5" w:rsidRDefault="002D4E36" w:rsidP="002C4CC5">
      <w:pPr>
        <w:spacing w:line="360" w:lineRule="auto"/>
        <w:rPr>
          <w:rFonts w:eastAsia="Times New Roman"/>
          <w:color w:val="000000" w:themeColor="text1"/>
          <w:shd w:val="clear" w:color="auto" w:fill="FFFFFF"/>
        </w:rPr>
      </w:pPr>
    </w:p>
    <w:p w14:paraId="4334AF4D" w14:textId="516AC7C2" w:rsidR="00743113" w:rsidRPr="002C4CC5" w:rsidRDefault="002D4E36" w:rsidP="002C4CC5">
      <w:pPr>
        <w:spacing w:line="360" w:lineRule="auto"/>
        <w:rPr>
          <w:rFonts w:eastAsia="Times New Roman"/>
          <w:color w:val="000000" w:themeColor="text1"/>
          <w:shd w:val="clear" w:color="auto" w:fill="FFFFFF"/>
        </w:rPr>
      </w:pPr>
      <w:r w:rsidRPr="002C4CC5">
        <w:rPr>
          <w:rFonts w:eastAsia="Times New Roman"/>
          <w:color w:val="000000" w:themeColor="text1"/>
          <w:shd w:val="clear" w:color="auto" w:fill="FFFFFF"/>
        </w:rPr>
        <w:t xml:space="preserve">Former </w:t>
      </w:r>
      <w:r w:rsidR="008321AC" w:rsidRPr="002C4CC5">
        <w:rPr>
          <w:rFonts w:eastAsia="Times New Roman"/>
          <w:color w:val="000000" w:themeColor="text1"/>
          <w:shd w:val="clear" w:color="auto" w:fill="FFFFFF"/>
        </w:rPr>
        <w:t xml:space="preserve">Minister </w:t>
      </w:r>
      <w:r w:rsidR="00255DD4" w:rsidRPr="002C4CC5">
        <w:rPr>
          <w:rFonts w:eastAsia="Times New Roman"/>
          <w:color w:val="000000" w:themeColor="text1"/>
          <w:shd w:val="clear" w:color="auto" w:fill="FFFFFF"/>
        </w:rPr>
        <w:t xml:space="preserve">Ramesh </w:t>
      </w:r>
      <w:r w:rsidR="00667936" w:rsidRPr="002C4CC5">
        <w:rPr>
          <w:rFonts w:eastAsia="Times New Roman"/>
          <w:color w:val="000000" w:themeColor="text1"/>
          <w:shd w:val="clear" w:color="auto" w:fill="FFFFFF"/>
        </w:rPr>
        <w:t>supported and guided the enacting</w:t>
      </w:r>
      <w:r w:rsidR="008321AC" w:rsidRPr="002C4CC5">
        <w:rPr>
          <w:rFonts w:eastAsia="Times New Roman"/>
          <w:color w:val="000000" w:themeColor="text1"/>
          <w:shd w:val="clear" w:color="auto" w:fill="FFFFFF"/>
        </w:rPr>
        <w:t xml:space="preserve"> NGT</w:t>
      </w:r>
      <w:r w:rsidR="00667936" w:rsidRPr="002C4CC5">
        <w:rPr>
          <w:rFonts w:eastAsia="Times New Roman"/>
          <w:color w:val="000000" w:themeColor="text1"/>
          <w:shd w:val="clear" w:color="auto" w:fill="FFFFFF"/>
        </w:rPr>
        <w:t xml:space="preserve"> Bill through Parliament</w:t>
      </w:r>
      <w:r w:rsidR="00255DD4" w:rsidRPr="002C4CC5">
        <w:rPr>
          <w:rFonts w:eastAsia="Times New Roman"/>
          <w:color w:val="000000" w:themeColor="text1"/>
          <w:shd w:val="clear" w:color="auto" w:fill="FFFFFF"/>
        </w:rPr>
        <w:t xml:space="preserve"> but</w:t>
      </w:r>
      <w:r w:rsidR="002502D2" w:rsidRPr="002C4CC5">
        <w:rPr>
          <w:rFonts w:eastAsia="Times New Roman"/>
          <w:color w:val="000000" w:themeColor="text1"/>
          <w:shd w:val="clear" w:color="auto" w:fill="FFFFFF"/>
        </w:rPr>
        <w:t xml:space="preserve"> </w:t>
      </w:r>
      <w:r w:rsidR="00255DD4" w:rsidRPr="002C4CC5">
        <w:rPr>
          <w:rFonts w:eastAsia="Times New Roman"/>
          <w:color w:val="000000" w:themeColor="text1"/>
          <w:shd w:val="clear" w:color="auto" w:fill="FFFFFF"/>
        </w:rPr>
        <w:t xml:space="preserve">was </w:t>
      </w:r>
      <w:r w:rsidR="008321AC" w:rsidRPr="002C4CC5">
        <w:rPr>
          <w:rFonts w:eastAsia="Times New Roman"/>
          <w:color w:val="000000" w:themeColor="text1"/>
          <w:shd w:val="clear" w:color="auto" w:fill="FFFFFF"/>
        </w:rPr>
        <w:t>un</w:t>
      </w:r>
      <w:r w:rsidR="00255DD4" w:rsidRPr="002C4CC5">
        <w:rPr>
          <w:rFonts w:eastAsia="Times New Roman"/>
          <w:color w:val="000000" w:themeColor="text1"/>
          <w:shd w:val="clear" w:color="auto" w:fill="FFFFFF"/>
        </w:rPr>
        <w:t xml:space="preserve">able to </w:t>
      </w:r>
      <w:r w:rsidR="008321AC" w:rsidRPr="002C4CC5">
        <w:rPr>
          <w:rFonts w:eastAsia="Times New Roman"/>
          <w:color w:val="000000" w:themeColor="text1"/>
          <w:shd w:val="clear" w:color="auto" w:fill="FFFFFF"/>
        </w:rPr>
        <w:t xml:space="preserve">establish and promote the benches </w:t>
      </w:r>
      <w:r w:rsidR="009C7323" w:rsidRPr="002C4CC5">
        <w:rPr>
          <w:rFonts w:eastAsia="Times New Roman"/>
          <w:color w:val="000000" w:themeColor="text1"/>
          <w:shd w:val="clear" w:color="auto" w:fill="FFFFFF"/>
        </w:rPr>
        <w:t>due to his removal from the MoEF</w:t>
      </w:r>
      <w:r w:rsidRPr="002C4CC5">
        <w:rPr>
          <w:rFonts w:eastAsia="Times New Roman"/>
          <w:color w:val="000000" w:themeColor="text1"/>
          <w:shd w:val="clear" w:color="auto" w:fill="FFFFFF"/>
        </w:rPr>
        <w:t xml:space="preserve"> in 2011</w:t>
      </w:r>
      <w:r w:rsidR="008321AC" w:rsidRPr="002C4CC5">
        <w:rPr>
          <w:rFonts w:eastAsia="Times New Roman"/>
          <w:color w:val="000000" w:themeColor="text1"/>
          <w:shd w:val="clear" w:color="auto" w:fill="FFFFFF"/>
        </w:rPr>
        <w:t>.</w:t>
      </w:r>
      <w:r w:rsidRPr="002C4CC5">
        <w:rPr>
          <w:rStyle w:val="FootnoteReference"/>
          <w:rFonts w:eastAsia="Times New Roman"/>
          <w:color w:val="000000" w:themeColor="text1"/>
          <w:shd w:val="clear" w:color="auto" w:fill="FFFFFF"/>
        </w:rPr>
        <w:footnoteReference w:id="156"/>
      </w:r>
      <w:r w:rsidR="00336996" w:rsidRPr="002C4CC5">
        <w:rPr>
          <w:rFonts w:eastAsia="Times New Roman"/>
          <w:color w:val="000000" w:themeColor="text1"/>
          <w:shd w:val="clear" w:color="auto" w:fill="FFFFFF"/>
        </w:rPr>
        <w:t xml:space="preserve"> From 2011 onwards, </w:t>
      </w:r>
      <w:r w:rsidR="008321AC" w:rsidRPr="002C4CC5">
        <w:rPr>
          <w:rFonts w:eastAsia="Times New Roman"/>
          <w:color w:val="000000" w:themeColor="text1"/>
          <w:shd w:val="clear" w:color="auto" w:fill="FFFFFF"/>
        </w:rPr>
        <w:t>the</w:t>
      </w:r>
      <w:r w:rsidR="00C81C8F" w:rsidRPr="002C4CC5">
        <w:rPr>
          <w:rFonts w:eastAsia="Times New Roman"/>
          <w:color w:val="000000" w:themeColor="text1"/>
          <w:shd w:val="clear" w:color="auto" w:fill="FFFFFF"/>
        </w:rPr>
        <w:t xml:space="preserve"> </w:t>
      </w:r>
      <w:r w:rsidR="00DA5D21" w:rsidRPr="002C4CC5">
        <w:rPr>
          <w:rFonts w:eastAsia="Times New Roman"/>
          <w:color w:val="000000" w:themeColor="text1"/>
          <w:shd w:val="clear" w:color="auto" w:fill="FFFFFF"/>
        </w:rPr>
        <w:t>“restraining forces”</w:t>
      </w:r>
      <w:r w:rsidR="000E551B" w:rsidRPr="002C4CC5">
        <w:rPr>
          <w:rFonts w:eastAsia="Times New Roman"/>
          <w:color w:val="000000" w:themeColor="text1"/>
          <w:shd w:val="clear" w:color="auto" w:fill="FFFFFF"/>
        </w:rPr>
        <w:t xml:space="preserve"> </w:t>
      </w:r>
      <w:r w:rsidR="00130F0E" w:rsidRPr="002C4CC5">
        <w:rPr>
          <w:rFonts w:eastAsia="Times New Roman"/>
          <w:color w:val="000000" w:themeColor="text1"/>
          <w:shd w:val="clear" w:color="auto" w:fill="FFFFFF"/>
        </w:rPr>
        <w:t xml:space="preserve">within the MoEF </w:t>
      </w:r>
      <w:r w:rsidR="008321AC" w:rsidRPr="002C4CC5">
        <w:rPr>
          <w:rFonts w:eastAsia="Times New Roman"/>
          <w:color w:val="000000" w:themeColor="text1"/>
          <w:shd w:val="clear" w:color="auto" w:fill="FFFFFF"/>
        </w:rPr>
        <w:t>reflected</w:t>
      </w:r>
      <w:r w:rsidR="00E94377" w:rsidRPr="002C4CC5">
        <w:rPr>
          <w:rFonts w:eastAsia="Times New Roman"/>
          <w:color w:val="000000" w:themeColor="text1"/>
          <w:shd w:val="clear" w:color="auto" w:fill="FFFFFF"/>
        </w:rPr>
        <w:t xml:space="preserve"> structural inertia, </w:t>
      </w:r>
      <w:r w:rsidR="00D50BBE" w:rsidRPr="002C4CC5">
        <w:rPr>
          <w:rFonts w:eastAsia="Times New Roman"/>
          <w:color w:val="000000" w:themeColor="text1"/>
          <w:shd w:val="clear" w:color="auto" w:fill="FFFFFF"/>
        </w:rPr>
        <w:t xml:space="preserve">resistance </w:t>
      </w:r>
      <w:r w:rsidR="00340B3A" w:rsidRPr="002C4CC5">
        <w:rPr>
          <w:rFonts w:eastAsia="Times New Roman"/>
          <w:color w:val="000000" w:themeColor="text1"/>
          <w:shd w:val="clear" w:color="auto" w:fill="FFFFFF"/>
        </w:rPr>
        <w:t xml:space="preserve">to change </w:t>
      </w:r>
      <w:r w:rsidR="000E551B" w:rsidRPr="002C4CC5">
        <w:rPr>
          <w:rFonts w:eastAsia="Times New Roman"/>
          <w:color w:val="000000" w:themeColor="text1"/>
          <w:shd w:val="clear" w:color="auto" w:fill="FFFFFF"/>
        </w:rPr>
        <w:t xml:space="preserve">and </w:t>
      </w:r>
      <w:r w:rsidR="00130F0E" w:rsidRPr="002C4CC5">
        <w:rPr>
          <w:rFonts w:eastAsia="Times New Roman"/>
          <w:color w:val="000000" w:themeColor="text1"/>
          <w:shd w:val="clear" w:color="auto" w:fill="FFFFFF"/>
        </w:rPr>
        <w:t>indifference</w:t>
      </w:r>
      <w:r w:rsidR="00A20186" w:rsidRPr="002C4CC5">
        <w:rPr>
          <w:rFonts w:eastAsia="Times New Roman"/>
          <w:color w:val="000000" w:themeColor="text1"/>
          <w:shd w:val="clear" w:color="auto" w:fill="FFFFFF"/>
        </w:rPr>
        <w:t xml:space="preserve"> to an extent that they were reluctant to provide appropriate</w:t>
      </w:r>
      <w:r w:rsidR="008321AC" w:rsidRPr="002C4CC5">
        <w:rPr>
          <w:rFonts w:eastAsia="Times New Roman"/>
          <w:color w:val="000000" w:themeColor="text1"/>
          <w:shd w:val="clear" w:color="auto" w:fill="FFFFFF"/>
        </w:rPr>
        <w:t xml:space="preserve"> financial and structural</w:t>
      </w:r>
      <w:r w:rsidR="00A20186" w:rsidRPr="002C4CC5">
        <w:rPr>
          <w:rFonts w:eastAsia="Times New Roman"/>
          <w:color w:val="000000" w:themeColor="text1"/>
          <w:shd w:val="clear" w:color="auto" w:fill="FFFFFF"/>
        </w:rPr>
        <w:t xml:space="preserve"> support.</w:t>
      </w:r>
    </w:p>
    <w:p w14:paraId="6903F69A" w14:textId="77777777" w:rsidR="00532FE9" w:rsidRPr="002C4CC5" w:rsidRDefault="00532FE9" w:rsidP="002C4CC5">
      <w:pPr>
        <w:spacing w:line="360" w:lineRule="auto"/>
        <w:rPr>
          <w:rFonts w:eastAsia="Times New Roman"/>
          <w:color w:val="000000" w:themeColor="text1"/>
          <w:shd w:val="clear" w:color="auto" w:fill="FFFFFF"/>
        </w:rPr>
      </w:pPr>
    </w:p>
    <w:p w14:paraId="21D2546D" w14:textId="60BB7909" w:rsidR="00336996" w:rsidRPr="002C4CC5" w:rsidRDefault="00743113" w:rsidP="002C4CC5">
      <w:pPr>
        <w:widowControl w:val="0"/>
        <w:autoSpaceDE w:val="0"/>
        <w:autoSpaceDN w:val="0"/>
        <w:adjustRightInd w:val="0"/>
        <w:spacing w:after="240" w:line="360" w:lineRule="auto"/>
        <w:rPr>
          <w:color w:val="000000" w:themeColor="text1"/>
        </w:rPr>
      </w:pPr>
      <w:r w:rsidRPr="002C4CC5">
        <w:rPr>
          <w:rFonts w:eastAsia="Times New Roman"/>
          <w:color w:val="000000" w:themeColor="text1"/>
          <w:shd w:val="clear" w:color="auto" w:fill="FFFFFF"/>
        </w:rPr>
        <w:t xml:space="preserve">Additionally, the </w:t>
      </w:r>
      <w:r w:rsidR="00941FC4" w:rsidRPr="002C4CC5">
        <w:rPr>
          <w:rFonts w:eastAsia="Times New Roman"/>
          <w:color w:val="000000" w:themeColor="text1"/>
          <w:shd w:val="clear" w:color="auto" w:fill="FFFFFF"/>
        </w:rPr>
        <w:t>“new learning”</w:t>
      </w:r>
      <w:r w:rsidRPr="002C4CC5">
        <w:rPr>
          <w:rFonts w:eastAsia="Times New Roman"/>
          <w:color w:val="000000" w:themeColor="text1"/>
          <w:shd w:val="clear" w:color="auto" w:fill="FFFFFF"/>
        </w:rPr>
        <w:t xml:space="preserve"> </w:t>
      </w:r>
      <w:r w:rsidR="001D53C5" w:rsidRPr="002C4CC5">
        <w:rPr>
          <w:rFonts w:eastAsia="Times New Roman"/>
          <w:color w:val="000000" w:themeColor="text1"/>
          <w:shd w:val="clear" w:color="auto" w:fill="FFFFFF"/>
        </w:rPr>
        <w:t xml:space="preserve">stage witnessed the MoEF and High Courts </w:t>
      </w:r>
      <w:r w:rsidR="00997802" w:rsidRPr="002C4CC5">
        <w:rPr>
          <w:rFonts w:eastAsia="Times New Roman"/>
          <w:color w:val="000000" w:themeColor="text1"/>
          <w:shd w:val="clear" w:color="auto" w:fill="FFFFFF"/>
        </w:rPr>
        <w:t xml:space="preserve">acting as </w:t>
      </w:r>
      <w:r w:rsidR="00DA5D21" w:rsidRPr="002C4CC5">
        <w:rPr>
          <w:rFonts w:eastAsia="Times New Roman"/>
          <w:color w:val="000000" w:themeColor="text1"/>
          <w:shd w:val="clear" w:color="auto" w:fill="FFFFFF"/>
        </w:rPr>
        <w:t>“restraining forces”</w:t>
      </w:r>
      <w:r w:rsidR="00997802" w:rsidRPr="002C4CC5">
        <w:rPr>
          <w:rFonts w:eastAsia="Times New Roman"/>
          <w:color w:val="000000" w:themeColor="text1"/>
          <w:shd w:val="clear" w:color="auto" w:fill="FFFFFF"/>
        </w:rPr>
        <w:t xml:space="preserve"> questioning the </w:t>
      </w:r>
      <w:r w:rsidR="00997802" w:rsidRPr="002C4CC5">
        <w:rPr>
          <w:color w:val="000000" w:themeColor="text1"/>
        </w:rPr>
        <w:t>alleged self-</w:t>
      </w:r>
      <w:r w:rsidR="007502D9" w:rsidRPr="002C4CC5">
        <w:rPr>
          <w:color w:val="000000" w:themeColor="text1"/>
        </w:rPr>
        <w:t>validat</w:t>
      </w:r>
      <w:r w:rsidR="00F14BF9" w:rsidRPr="002C4CC5">
        <w:rPr>
          <w:color w:val="000000" w:themeColor="text1"/>
        </w:rPr>
        <w:t>ion</w:t>
      </w:r>
      <w:r w:rsidR="00997802" w:rsidRPr="002C4CC5">
        <w:rPr>
          <w:color w:val="000000" w:themeColor="text1"/>
        </w:rPr>
        <w:t xml:space="preserve"> by the </w:t>
      </w:r>
      <w:r w:rsidR="00021CDC" w:rsidRPr="002C4CC5">
        <w:rPr>
          <w:color w:val="000000" w:themeColor="text1"/>
        </w:rPr>
        <w:t>Tribunal</w:t>
      </w:r>
      <w:r w:rsidR="00997802" w:rsidRPr="002C4CC5">
        <w:rPr>
          <w:color w:val="000000" w:themeColor="text1"/>
        </w:rPr>
        <w:t xml:space="preserve"> of further jurisdictional power</w:t>
      </w:r>
      <w:r w:rsidR="00F14BF9" w:rsidRPr="002C4CC5">
        <w:rPr>
          <w:color w:val="000000" w:themeColor="text1"/>
        </w:rPr>
        <w:t>s</w:t>
      </w:r>
      <w:r w:rsidR="00997802" w:rsidRPr="002C4CC5">
        <w:rPr>
          <w:color w:val="000000" w:themeColor="text1"/>
        </w:rPr>
        <w:t xml:space="preserve">. </w:t>
      </w:r>
      <w:r w:rsidR="000F0CE6" w:rsidRPr="002C4CC5">
        <w:rPr>
          <w:color w:val="000000" w:themeColor="text1"/>
        </w:rPr>
        <w:t xml:space="preserve">The colonisation of intellectual space partly by the public promotion of its jurisdiction and through its effectiveness in protecting both the environment and the interests of affected parties, </w:t>
      </w:r>
      <w:r w:rsidR="00A0308D" w:rsidRPr="002C4CC5">
        <w:rPr>
          <w:color w:val="000000" w:themeColor="text1"/>
        </w:rPr>
        <w:t>was not well received by the MoEF and some High Courts.</w:t>
      </w:r>
      <w:r w:rsidR="000F0CE6" w:rsidRPr="002C4CC5">
        <w:rPr>
          <w:color w:val="000000" w:themeColor="text1"/>
        </w:rPr>
        <w:t xml:space="preserve"> </w:t>
      </w:r>
    </w:p>
    <w:p w14:paraId="2D54A827" w14:textId="68CF607C" w:rsidR="00F634EF" w:rsidRPr="002C4CC5" w:rsidRDefault="00997802" w:rsidP="002C4CC5">
      <w:pPr>
        <w:spacing w:line="360" w:lineRule="auto"/>
        <w:rPr>
          <w:color w:val="000000" w:themeColor="text1"/>
        </w:rPr>
      </w:pPr>
      <w:r w:rsidRPr="002C4CC5">
        <w:rPr>
          <w:color w:val="000000" w:themeColor="text1"/>
        </w:rPr>
        <w:t xml:space="preserve">The exercise of </w:t>
      </w:r>
      <w:r w:rsidRPr="002C4CC5">
        <w:rPr>
          <w:i/>
          <w:iCs/>
          <w:color w:val="000000" w:themeColor="text1"/>
        </w:rPr>
        <w:t xml:space="preserve">suo moto </w:t>
      </w:r>
      <w:r w:rsidRPr="002C4CC5">
        <w:rPr>
          <w:color w:val="000000" w:themeColor="text1"/>
        </w:rPr>
        <w:t xml:space="preserve">powers by the NGT was raised and challenged by the MoEF. The ministry had refused to confer this power on the </w:t>
      </w:r>
      <w:r w:rsidR="00021CDC" w:rsidRPr="002C4CC5">
        <w:rPr>
          <w:color w:val="000000" w:themeColor="text1"/>
        </w:rPr>
        <w:t>Tribunal</w:t>
      </w:r>
      <w:r w:rsidRPr="002C4CC5">
        <w:rPr>
          <w:color w:val="000000" w:themeColor="text1"/>
        </w:rPr>
        <w:t xml:space="preserve"> despite repeated requests to do so. In an affidavit before the Supreme Court of I</w:t>
      </w:r>
      <w:r w:rsidR="000B31C2" w:rsidRPr="002C4CC5">
        <w:rPr>
          <w:color w:val="000000" w:themeColor="text1"/>
        </w:rPr>
        <w:t>ndia in 2013, the MoEF stated: “</w:t>
      </w:r>
      <w:r w:rsidRPr="002C4CC5">
        <w:rPr>
          <w:color w:val="000000" w:themeColor="text1"/>
        </w:rPr>
        <w:t xml:space="preserve">the government of India has not agreed to confer </w:t>
      </w:r>
      <w:r w:rsidRPr="002C4CC5">
        <w:rPr>
          <w:i/>
          <w:iCs/>
          <w:color w:val="000000" w:themeColor="text1"/>
        </w:rPr>
        <w:t xml:space="preserve">suo motu </w:t>
      </w:r>
      <w:r w:rsidRPr="002C4CC5">
        <w:rPr>
          <w:color w:val="000000" w:themeColor="text1"/>
        </w:rPr>
        <w:t xml:space="preserve">powers on the </w:t>
      </w:r>
      <w:r w:rsidR="00021CDC" w:rsidRPr="002C4CC5">
        <w:rPr>
          <w:color w:val="000000" w:themeColor="text1"/>
        </w:rPr>
        <w:t>Tribunal</w:t>
      </w:r>
      <w:r w:rsidRPr="002C4CC5">
        <w:rPr>
          <w:color w:val="000000" w:themeColor="text1"/>
        </w:rPr>
        <w:t>. It is for the NGT, an adjudicatory body, to follow the provisions of the NGT Act 2010</w:t>
      </w:r>
      <w:r w:rsidR="00AE2C32" w:rsidRPr="002C4CC5">
        <w:rPr>
          <w:color w:val="000000" w:themeColor="text1"/>
        </w:rPr>
        <w:t>…</w:t>
      </w:r>
      <w:r w:rsidR="00AE2C32" w:rsidRPr="002C4CC5">
        <w:rPr>
          <w:rFonts w:eastAsia="Times New Roman"/>
          <w:color w:val="000000" w:themeColor="text1"/>
          <w:shd w:val="clear" w:color="auto" w:fill="FFFFFF"/>
        </w:rPr>
        <w:t xml:space="preserve"> resulting in embarrassment to the government before Parliament.</w:t>
      </w:r>
      <w:r w:rsidR="000B31C2" w:rsidRPr="002C4CC5">
        <w:rPr>
          <w:color w:val="000000" w:themeColor="text1"/>
        </w:rPr>
        <w:t>”</w:t>
      </w:r>
      <w:r w:rsidR="003320A1" w:rsidRPr="002C4CC5">
        <w:rPr>
          <w:rStyle w:val="FootnoteReference"/>
          <w:color w:val="000000" w:themeColor="text1"/>
        </w:rPr>
        <w:footnoteReference w:id="157"/>
      </w:r>
      <w:r w:rsidRPr="002C4CC5">
        <w:rPr>
          <w:color w:val="000000" w:themeColor="text1"/>
        </w:rPr>
        <w:t xml:space="preserve"> </w:t>
      </w:r>
    </w:p>
    <w:p w14:paraId="246AEB6E" w14:textId="77777777" w:rsidR="00F634EF" w:rsidRPr="002C4CC5" w:rsidRDefault="00F634EF" w:rsidP="002C4CC5">
      <w:pPr>
        <w:spacing w:line="360" w:lineRule="auto"/>
        <w:rPr>
          <w:color w:val="000000" w:themeColor="text1"/>
        </w:rPr>
      </w:pPr>
    </w:p>
    <w:p w14:paraId="05E4E998" w14:textId="23C3AA59" w:rsidR="00973B41" w:rsidRPr="002C4CC5" w:rsidRDefault="00FC242B" w:rsidP="002C4CC5">
      <w:pPr>
        <w:spacing w:line="360" w:lineRule="auto"/>
        <w:rPr>
          <w:color w:val="000000" w:themeColor="text1"/>
        </w:rPr>
      </w:pPr>
      <w:r w:rsidRPr="002C4CC5">
        <w:rPr>
          <w:color w:val="000000" w:themeColor="text1"/>
        </w:rPr>
        <w:t xml:space="preserve">The claim of alleged judicial over-reach was bolstered when the High Court of Madras restrained the NGT Chennai Bench from initiating </w:t>
      </w:r>
      <w:r w:rsidRPr="002C4CC5">
        <w:rPr>
          <w:i/>
          <w:iCs/>
          <w:color w:val="000000" w:themeColor="text1"/>
        </w:rPr>
        <w:t xml:space="preserve">suo motu </w:t>
      </w:r>
      <w:r w:rsidRPr="002C4CC5">
        <w:rPr>
          <w:color w:val="000000" w:themeColor="text1"/>
        </w:rPr>
        <w:t xml:space="preserve">proceedings. The High Court stated: </w:t>
      </w:r>
    </w:p>
    <w:p w14:paraId="34CE1EC3" w14:textId="77777777" w:rsidR="003D0B1D" w:rsidRPr="002C4CC5" w:rsidRDefault="003D0B1D" w:rsidP="002C4CC5">
      <w:pPr>
        <w:spacing w:line="360" w:lineRule="auto"/>
        <w:rPr>
          <w:color w:val="000000" w:themeColor="text1"/>
        </w:rPr>
      </w:pPr>
    </w:p>
    <w:p w14:paraId="28A9F343" w14:textId="13440DB2" w:rsidR="00F634EF" w:rsidRPr="003F71D9" w:rsidRDefault="00FC242B"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NGT is not a substitute for the High Courts. The </w:t>
      </w:r>
      <w:r w:rsidR="00021CDC" w:rsidRPr="003F71D9">
        <w:rPr>
          <w:color w:val="000000" w:themeColor="text1"/>
          <w:sz w:val="20"/>
          <w:szCs w:val="20"/>
        </w:rPr>
        <w:t>Tribunal</w:t>
      </w:r>
      <w:r w:rsidRPr="003F71D9">
        <w:rPr>
          <w:color w:val="000000" w:themeColor="text1"/>
          <w:sz w:val="20"/>
          <w:szCs w:val="20"/>
        </w:rPr>
        <w:t xml:space="preserve"> has to function within the parameters laid down by the NGT Act 2010. It should act within four corners of the statute. There is no indication in the NGT Act or the rules made thereunder with regard to the power of the NGT to initiate suo motu proceedings against anyone, including statutory authorities</w:t>
      </w:r>
      <w:r w:rsidR="00C85134" w:rsidRPr="003F71D9">
        <w:rPr>
          <w:color w:val="000000" w:themeColor="text1"/>
          <w:sz w:val="20"/>
          <w:szCs w:val="20"/>
        </w:rPr>
        <w:t>.</w:t>
      </w:r>
      <w:r w:rsidR="00C85134" w:rsidRPr="003F71D9">
        <w:rPr>
          <w:sz w:val="20"/>
          <w:szCs w:val="20"/>
          <w:vertAlign w:val="superscript"/>
        </w:rPr>
        <w:footnoteReference w:id="158"/>
      </w:r>
    </w:p>
    <w:p w14:paraId="3388DE4F" w14:textId="6E83DA78" w:rsidR="005A1921" w:rsidRPr="002C4CC5" w:rsidRDefault="00FC242B" w:rsidP="002C4CC5">
      <w:pPr>
        <w:widowControl w:val="0"/>
        <w:autoSpaceDE w:val="0"/>
        <w:autoSpaceDN w:val="0"/>
        <w:adjustRightInd w:val="0"/>
        <w:spacing w:after="240" w:line="360" w:lineRule="auto"/>
        <w:rPr>
          <w:color w:val="000000" w:themeColor="text1"/>
        </w:rPr>
      </w:pPr>
      <w:r w:rsidRPr="002C4CC5">
        <w:rPr>
          <w:color w:val="000000" w:themeColor="text1"/>
        </w:rPr>
        <w:t>Further an order passed by Madras High Court dated 7 July 201</w:t>
      </w:r>
      <w:r w:rsidR="00F634EF" w:rsidRPr="002C4CC5">
        <w:rPr>
          <w:color w:val="000000" w:themeColor="text1"/>
        </w:rPr>
        <w:t xml:space="preserve">5 </w:t>
      </w:r>
      <w:r w:rsidRPr="002C4CC5">
        <w:rPr>
          <w:color w:val="000000" w:themeColor="text1"/>
        </w:rPr>
        <w:t>stated that the NGT should not initiate</w:t>
      </w:r>
      <w:r w:rsidR="007502D9" w:rsidRPr="002C4CC5">
        <w:rPr>
          <w:color w:val="000000" w:themeColor="text1"/>
        </w:rPr>
        <w:t xml:space="preserve"> more</w:t>
      </w:r>
      <w:r w:rsidRPr="002C4CC5">
        <w:rPr>
          <w:color w:val="000000" w:themeColor="text1"/>
        </w:rPr>
        <w:t xml:space="preserve"> </w:t>
      </w:r>
      <w:r w:rsidRPr="002C4CC5">
        <w:rPr>
          <w:i/>
          <w:iCs/>
          <w:color w:val="000000" w:themeColor="text1"/>
        </w:rPr>
        <w:t xml:space="preserve">suo motu </w:t>
      </w:r>
      <w:r w:rsidRPr="002C4CC5">
        <w:rPr>
          <w:color w:val="000000" w:themeColor="text1"/>
        </w:rPr>
        <w:t>proceedings.</w:t>
      </w:r>
      <w:r w:rsidR="00F634EF" w:rsidRPr="002C4CC5">
        <w:rPr>
          <w:rStyle w:val="FootnoteReference"/>
          <w:color w:val="000000" w:themeColor="text1"/>
        </w:rPr>
        <w:footnoteReference w:id="159"/>
      </w:r>
      <w:r w:rsidRPr="002C4CC5">
        <w:rPr>
          <w:color w:val="000000" w:themeColor="text1"/>
        </w:rPr>
        <w:t xml:space="preserve"> </w:t>
      </w:r>
      <w:r w:rsidR="005A1921" w:rsidRPr="002C4CC5">
        <w:rPr>
          <w:color w:val="000000" w:themeColor="text1"/>
        </w:rPr>
        <w:t>Jurisdictional expansion in this regard remains unsettled, althoug</w:t>
      </w:r>
      <w:r w:rsidR="00F442A6" w:rsidRPr="002C4CC5">
        <w:rPr>
          <w:color w:val="000000" w:themeColor="text1"/>
        </w:rPr>
        <w:t>h its procedural value is signifi</w:t>
      </w:r>
      <w:r w:rsidR="005A1921" w:rsidRPr="002C4CC5">
        <w:rPr>
          <w:color w:val="000000" w:themeColor="text1"/>
        </w:rPr>
        <w:t xml:space="preserve">cant. It allows the NGT to initiate proceedings and permits the </w:t>
      </w:r>
      <w:r w:rsidR="00021CDC" w:rsidRPr="002C4CC5">
        <w:rPr>
          <w:color w:val="000000" w:themeColor="text1"/>
        </w:rPr>
        <w:t>Tribunal</w:t>
      </w:r>
      <w:r w:rsidR="005A1921" w:rsidRPr="002C4CC5">
        <w:rPr>
          <w:color w:val="000000" w:themeColor="text1"/>
        </w:rPr>
        <w:t xml:space="preserve"> to roam far and wide searching for pressing</w:t>
      </w:r>
      <w:r w:rsidR="00BF19B4" w:rsidRPr="002C4CC5">
        <w:rPr>
          <w:color w:val="000000" w:themeColor="text1"/>
        </w:rPr>
        <w:t xml:space="preserve"> </w:t>
      </w:r>
      <w:r w:rsidR="005A1921" w:rsidRPr="002C4CC5">
        <w:rPr>
          <w:color w:val="000000" w:themeColor="text1"/>
        </w:rPr>
        <w:t>environmental issues that it considers to be in the public interest</w:t>
      </w:r>
      <w:r w:rsidR="00F504F4" w:rsidRPr="002C4CC5">
        <w:rPr>
          <w:color w:val="000000" w:themeColor="text1"/>
        </w:rPr>
        <w:t>.</w:t>
      </w:r>
    </w:p>
    <w:p w14:paraId="24CB60D8" w14:textId="0D3AB180" w:rsidR="00503241" w:rsidRPr="002C4CC5" w:rsidRDefault="0053235A" w:rsidP="002C4CC5">
      <w:pPr>
        <w:widowControl w:val="0"/>
        <w:autoSpaceDE w:val="0"/>
        <w:autoSpaceDN w:val="0"/>
        <w:adjustRightInd w:val="0"/>
        <w:spacing w:after="240" w:line="360" w:lineRule="auto"/>
        <w:rPr>
          <w:color w:val="000000" w:themeColor="text1"/>
        </w:rPr>
      </w:pPr>
      <w:r w:rsidRPr="002C4CC5">
        <w:rPr>
          <w:color w:val="000000" w:themeColor="text1"/>
        </w:rPr>
        <w:t xml:space="preserve">The </w:t>
      </w:r>
      <w:r w:rsidR="003A6B5B" w:rsidRPr="002C4CC5">
        <w:rPr>
          <w:color w:val="000000" w:themeColor="text1"/>
        </w:rPr>
        <w:t>NGT’s self-defined expansion</w:t>
      </w:r>
      <w:r w:rsidRPr="002C4CC5">
        <w:rPr>
          <w:color w:val="000000" w:themeColor="text1"/>
        </w:rPr>
        <w:t xml:space="preserve"> of powers</w:t>
      </w:r>
      <w:r w:rsidR="00BF19B4" w:rsidRPr="002C4CC5">
        <w:rPr>
          <w:color w:val="000000" w:themeColor="text1"/>
        </w:rPr>
        <w:t xml:space="preserve"> to include </w:t>
      </w:r>
      <w:r w:rsidR="003A6B5B" w:rsidRPr="002C4CC5">
        <w:rPr>
          <w:color w:val="000000" w:themeColor="text1"/>
        </w:rPr>
        <w:t xml:space="preserve">judicial review reflects further territorial extension at the potential cost of alienation and challenge by </w:t>
      </w:r>
      <w:r w:rsidR="005611F2" w:rsidRPr="002C4CC5">
        <w:rPr>
          <w:color w:val="000000" w:themeColor="text1"/>
        </w:rPr>
        <w:t>the High Courts</w:t>
      </w:r>
      <w:r w:rsidR="00BF19B4" w:rsidRPr="002C4CC5">
        <w:rPr>
          <w:color w:val="000000" w:themeColor="text1"/>
        </w:rPr>
        <w:t xml:space="preserve"> that</w:t>
      </w:r>
      <w:r w:rsidR="003A6B5B" w:rsidRPr="002C4CC5">
        <w:rPr>
          <w:color w:val="000000" w:themeColor="text1"/>
        </w:rPr>
        <w:t xml:space="preserve"> previously and exclusively enjoy</w:t>
      </w:r>
      <w:r w:rsidR="005611F2" w:rsidRPr="002C4CC5">
        <w:rPr>
          <w:color w:val="000000" w:themeColor="text1"/>
        </w:rPr>
        <w:t xml:space="preserve">ed the exercise of these powers. </w:t>
      </w:r>
      <w:r w:rsidR="00F468F0" w:rsidRPr="002C4CC5">
        <w:rPr>
          <w:color w:val="000000" w:themeColor="text1"/>
        </w:rPr>
        <w:t xml:space="preserve">For example, the Bombay High Court in </w:t>
      </w:r>
      <w:r w:rsidR="00F468F0" w:rsidRPr="002C4CC5">
        <w:rPr>
          <w:rFonts w:eastAsia="Times New Roman"/>
          <w:i/>
          <w:color w:val="000000" w:themeColor="text1"/>
          <w:shd w:val="clear" w:color="auto" w:fill="FFFFFF"/>
        </w:rPr>
        <w:t>Central Indian Ayush Drugs Manufacturers Association vs. State of Maharashtra</w:t>
      </w:r>
      <w:r w:rsidR="00F468F0" w:rsidRPr="002C4CC5">
        <w:rPr>
          <w:rStyle w:val="FootnoteReference"/>
          <w:rFonts w:eastAsia="Times New Roman"/>
          <w:color w:val="000000" w:themeColor="text1"/>
          <w:shd w:val="clear" w:color="auto" w:fill="FFFFFF"/>
        </w:rPr>
        <w:footnoteReference w:id="160"/>
      </w:r>
      <w:r w:rsidR="00F468F0" w:rsidRPr="002C4CC5">
        <w:rPr>
          <w:rFonts w:eastAsia="Times New Roman"/>
          <w:color w:val="000000" w:themeColor="text1"/>
          <w:shd w:val="clear" w:color="auto" w:fill="FFFFFF"/>
        </w:rPr>
        <w:t xml:space="preserve"> </w:t>
      </w:r>
      <w:r w:rsidR="00F468F0" w:rsidRPr="002C4CC5">
        <w:rPr>
          <w:color w:val="000000" w:themeColor="text1"/>
        </w:rPr>
        <w:t xml:space="preserve">decided that the NGT </w:t>
      </w:r>
      <w:r w:rsidR="00F468F0" w:rsidRPr="002C4CC5">
        <w:rPr>
          <w:rFonts w:eastAsia="Times New Roman"/>
          <w:color w:val="000000" w:themeColor="text1"/>
          <w:shd w:val="clear" w:color="auto" w:fill="FFFFFF"/>
        </w:rPr>
        <w:t>does not possess power to adjudicate upon the vires or validity of any enactment in Schedule-I or of subordinate legislation framed under such enactment.</w:t>
      </w:r>
      <w:r w:rsidR="00F468F0" w:rsidRPr="002C4CC5">
        <w:rPr>
          <w:rFonts w:eastAsia="Times New Roman"/>
          <w:color w:val="000000" w:themeColor="text1"/>
        </w:rPr>
        <w:t xml:space="preserve"> </w:t>
      </w:r>
      <w:r w:rsidR="00F01B6F" w:rsidRPr="002C4CC5">
        <w:rPr>
          <w:color w:val="000000" w:themeColor="text1"/>
        </w:rPr>
        <w:t xml:space="preserve">Increasing </w:t>
      </w:r>
      <w:r w:rsidR="00726991">
        <w:rPr>
          <w:color w:val="000000" w:themeColor="text1"/>
        </w:rPr>
        <w:t>t</w:t>
      </w:r>
      <w:r w:rsidR="00021CDC" w:rsidRPr="002C4CC5">
        <w:rPr>
          <w:color w:val="000000" w:themeColor="text1"/>
        </w:rPr>
        <w:t>ribunal</w:t>
      </w:r>
      <w:r w:rsidR="00F01B6F" w:rsidRPr="002C4CC5">
        <w:rPr>
          <w:color w:val="000000" w:themeColor="text1"/>
        </w:rPr>
        <w:t>isation is viewed by some High Courts</w:t>
      </w:r>
      <w:r w:rsidR="005611F2" w:rsidRPr="002C4CC5">
        <w:rPr>
          <w:color w:val="000000" w:themeColor="text1"/>
        </w:rPr>
        <w:t xml:space="preserve"> </w:t>
      </w:r>
      <w:r w:rsidR="00F01B6F" w:rsidRPr="002C4CC5">
        <w:rPr>
          <w:color w:val="000000" w:themeColor="text1"/>
        </w:rPr>
        <w:t>as serious</w:t>
      </w:r>
      <w:r w:rsidR="00BF19B4" w:rsidRPr="002C4CC5">
        <w:rPr>
          <w:color w:val="000000" w:themeColor="text1"/>
        </w:rPr>
        <w:t xml:space="preserve"> jurisdictional </w:t>
      </w:r>
      <w:r w:rsidR="00F01B6F" w:rsidRPr="002C4CC5">
        <w:rPr>
          <w:color w:val="000000" w:themeColor="text1"/>
        </w:rPr>
        <w:t xml:space="preserve">encroachment </w:t>
      </w:r>
      <w:r w:rsidR="008617FC" w:rsidRPr="002C4CC5">
        <w:rPr>
          <w:color w:val="000000" w:themeColor="text1"/>
        </w:rPr>
        <w:t>there</w:t>
      </w:r>
      <w:r w:rsidR="005611F2" w:rsidRPr="002C4CC5">
        <w:rPr>
          <w:color w:val="000000" w:themeColor="text1"/>
        </w:rPr>
        <w:t>by causing institutional confu</w:t>
      </w:r>
      <w:r w:rsidR="008617FC" w:rsidRPr="002C4CC5">
        <w:rPr>
          <w:color w:val="000000" w:themeColor="text1"/>
        </w:rPr>
        <w:t>sion, collusion and complexity.</w:t>
      </w:r>
      <w:r w:rsidR="004827CE" w:rsidRPr="002C4CC5">
        <w:rPr>
          <w:rStyle w:val="FootnoteReference"/>
          <w:color w:val="000000" w:themeColor="text1"/>
        </w:rPr>
        <w:footnoteReference w:id="161"/>
      </w:r>
      <w:r w:rsidR="00373965" w:rsidRPr="002C4CC5">
        <w:rPr>
          <w:color w:val="000000" w:themeColor="text1"/>
        </w:rPr>
        <w:t xml:space="preserve"> </w:t>
      </w:r>
    </w:p>
    <w:p w14:paraId="14B5A8EE" w14:textId="2BCE7421" w:rsidR="00913545" w:rsidRPr="002C4CC5" w:rsidRDefault="00503241" w:rsidP="002C4CC5">
      <w:pPr>
        <w:widowControl w:val="0"/>
        <w:autoSpaceDE w:val="0"/>
        <w:autoSpaceDN w:val="0"/>
        <w:adjustRightInd w:val="0"/>
        <w:spacing w:after="240" w:line="360" w:lineRule="auto"/>
        <w:rPr>
          <w:rFonts w:eastAsia="Times New Roman"/>
          <w:color w:val="000000" w:themeColor="text1"/>
        </w:rPr>
      </w:pPr>
      <w:r w:rsidRPr="002C4CC5">
        <w:rPr>
          <w:color w:val="000000" w:themeColor="text1"/>
        </w:rPr>
        <w:t>Figure 6 reflects the interplay of the</w:t>
      </w:r>
      <w:r w:rsidR="00D53569" w:rsidRPr="002C4CC5">
        <w:rPr>
          <w:color w:val="000000" w:themeColor="text1"/>
        </w:rPr>
        <w:t xml:space="preserve"> </w:t>
      </w:r>
      <w:r w:rsidR="0040100B" w:rsidRPr="002C4CC5">
        <w:rPr>
          <w:color w:val="000000" w:themeColor="text1"/>
        </w:rPr>
        <w:t xml:space="preserve">principal </w:t>
      </w:r>
      <w:r w:rsidR="00243313" w:rsidRPr="002C4CC5">
        <w:rPr>
          <w:color w:val="000000" w:themeColor="text1"/>
        </w:rPr>
        <w:t>“driving forces”</w:t>
      </w:r>
      <w:r w:rsidR="00D53569" w:rsidRPr="002C4CC5">
        <w:rPr>
          <w:color w:val="000000" w:themeColor="text1"/>
        </w:rPr>
        <w:t xml:space="preserve"> and</w:t>
      </w:r>
      <w:r w:rsidR="0040100B" w:rsidRPr="002C4CC5">
        <w:rPr>
          <w:color w:val="000000" w:themeColor="text1"/>
        </w:rPr>
        <w:t xml:space="preserve"> </w:t>
      </w:r>
      <w:r w:rsidR="00DA5D21" w:rsidRPr="002C4CC5">
        <w:rPr>
          <w:color w:val="000000" w:themeColor="text1"/>
        </w:rPr>
        <w:t>“restraining forces”</w:t>
      </w:r>
      <w:r w:rsidR="00D53569" w:rsidRPr="002C4CC5">
        <w:rPr>
          <w:color w:val="000000" w:themeColor="text1"/>
        </w:rPr>
        <w:t xml:space="preserve">. The </w:t>
      </w:r>
      <w:r w:rsidR="00243313" w:rsidRPr="002C4CC5">
        <w:rPr>
          <w:color w:val="000000" w:themeColor="text1"/>
        </w:rPr>
        <w:t>“driving forces”</w:t>
      </w:r>
      <w:r w:rsidR="00B37626" w:rsidRPr="002C4CC5">
        <w:rPr>
          <w:color w:val="000000" w:themeColor="text1"/>
        </w:rPr>
        <w:t xml:space="preserve"> aimed to </w:t>
      </w:r>
      <w:r w:rsidR="0040100B" w:rsidRPr="002C4CC5">
        <w:rPr>
          <w:color w:val="000000" w:themeColor="text1"/>
        </w:rPr>
        <w:t xml:space="preserve">bring a change whereas the </w:t>
      </w:r>
      <w:r w:rsidR="00DA5D21" w:rsidRPr="002C4CC5">
        <w:rPr>
          <w:color w:val="000000" w:themeColor="text1"/>
        </w:rPr>
        <w:t>“restraining forces”</w:t>
      </w:r>
      <w:r w:rsidR="0040100B" w:rsidRPr="002C4CC5">
        <w:rPr>
          <w:color w:val="000000" w:themeColor="text1"/>
        </w:rPr>
        <w:t xml:space="preserve"> </w:t>
      </w:r>
      <w:r w:rsidRPr="002C4CC5">
        <w:rPr>
          <w:color w:val="000000" w:themeColor="text1"/>
        </w:rPr>
        <w:t>represent resistance to the change.</w:t>
      </w:r>
    </w:p>
    <w:p w14:paraId="72EC2AAE" w14:textId="4DCB688C" w:rsidR="005E53C7" w:rsidRPr="002C4CC5" w:rsidRDefault="00C4737D" w:rsidP="002C4CC5">
      <w:pPr>
        <w:spacing w:line="360" w:lineRule="auto"/>
        <w:rPr>
          <w:color w:val="000000" w:themeColor="text1"/>
        </w:rPr>
      </w:pPr>
      <w:r>
        <w:rPr>
          <w:noProof/>
        </w:rPr>
        <w:drawing>
          <wp:inline distT="0" distB="0" distL="0" distR="0" wp14:anchorId="0F76907D" wp14:editId="78AD20AF">
            <wp:extent cx="5727700" cy="2483485"/>
            <wp:effectExtent l="0" t="0" r="1270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2483485"/>
                    </a:xfrm>
                    <a:prstGeom prst="rect">
                      <a:avLst/>
                    </a:prstGeom>
                  </pic:spPr>
                </pic:pic>
              </a:graphicData>
            </a:graphic>
          </wp:inline>
        </w:drawing>
      </w:r>
      <w:r w:rsidR="005E53C7" w:rsidRPr="002C4CC5">
        <w:rPr>
          <w:b/>
          <w:color w:val="000000" w:themeColor="text1"/>
        </w:rPr>
        <w:t>Figure 6</w:t>
      </w:r>
    </w:p>
    <w:p w14:paraId="3061C2E9" w14:textId="6355E18B" w:rsidR="005E53C7" w:rsidRPr="002C4CC5" w:rsidRDefault="005E53C7" w:rsidP="002C4CC5">
      <w:pPr>
        <w:spacing w:line="360" w:lineRule="auto"/>
        <w:rPr>
          <w:color w:val="000000" w:themeColor="text1"/>
        </w:rPr>
      </w:pPr>
      <w:r w:rsidRPr="002C4CC5">
        <w:rPr>
          <w:b/>
          <w:color w:val="000000" w:themeColor="text1"/>
        </w:rPr>
        <w:t>Source</w:t>
      </w:r>
      <w:r w:rsidRPr="002C4CC5">
        <w:rPr>
          <w:color w:val="000000" w:themeColor="text1"/>
        </w:rPr>
        <w:t>: Author</w:t>
      </w:r>
    </w:p>
    <w:p w14:paraId="06555A57" w14:textId="77777777" w:rsidR="008B2E7C" w:rsidRPr="002C4CC5" w:rsidRDefault="008B2E7C" w:rsidP="002C4CC5">
      <w:pPr>
        <w:widowControl w:val="0"/>
        <w:autoSpaceDE w:val="0"/>
        <w:autoSpaceDN w:val="0"/>
        <w:adjustRightInd w:val="0"/>
        <w:spacing w:after="240" w:line="360" w:lineRule="auto"/>
        <w:rPr>
          <w:color w:val="000000" w:themeColor="text1"/>
        </w:rPr>
      </w:pPr>
    </w:p>
    <w:p w14:paraId="2724D63D" w14:textId="730197FD" w:rsidR="00526BDE" w:rsidRPr="002C4CC5" w:rsidRDefault="00142010" w:rsidP="0063172E">
      <w:pPr>
        <w:widowControl w:val="0"/>
        <w:autoSpaceDE w:val="0"/>
        <w:autoSpaceDN w:val="0"/>
        <w:adjustRightInd w:val="0"/>
        <w:spacing w:after="240" w:line="360" w:lineRule="auto"/>
        <w:rPr>
          <w:color w:val="000000" w:themeColor="text1"/>
        </w:rPr>
      </w:pPr>
      <w:r w:rsidRPr="002C4CC5">
        <w:rPr>
          <w:color w:val="000000" w:themeColor="text1"/>
        </w:rPr>
        <w:t>However, as the</w:t>
      </w:r>
      <w:r w:rsidR="00526BDE" w:rsidRPr="002C4CC5">
        <w:rPr>
          <w:color w:val="000000" w:themeColor="text1"/>
        </w:rPr>
        <w:t xml:space="preserve"> NGT overcame suspicion bordering on hostility with the support of the Supreme Court and its own </w:t>
      </w:r>
      <w:r w:rsidR="005E1271" w:rsidRPr="002C4CC5">
        <w:rPr>
          <w:color w:val="000000" w:themeColor="text1"/>
        </w:rPr>
        <w:t xml:space="preserve">results-based </w:t>
      </w:r>
      <w:r w:rsidR="00526BDE" w:rsidRPr="002C4CC5">
        <w:rPr>
          <w:color w:val="000000" w:themeColor="text1"/>
        </w:rPr>
        <w:t xml:space="preserve">commitment, it ensured that the terms of the NGT Act 2010 </w:t>
      </w:r>
      <w:r w:rsidR="00CF2277" w:rsidRPr="002C4CC5">
        <w:rPr>
          <w:color w:val="000000" w:themeColor="text1"/>
        </w:rPr>
        <w:t>were</w:t>
      </w:r>
      <w:r w:rsidR="00526BDE" w:rsidRPr="002C4CC5">
        <w:rPr>
          <w:color w:val="000000" w:themeColor="text1"/>
        </w:rPr>
        <w:t xml:space="preserve"> given practical effect throughout India. Despite initial setbacks and continuing concerns from powerful agencies, the </w:t>
      </w:r>
      <w:r w:rsidR="00243313" w:rsidRPr="002C4CC5">
        <w:rPr>
          <w:color w:val="000000" w:themeColor="text1"/>
        </w:rPr>
        <w:t>“driving forces”</w:t>
      </w:r>
      <w:r w:rsidR="00526BDE" w:rsidRPr="002C4CC5">
        <w:rPr>
          <w:color w:val="000000" w:themeColor="text1"/>
        </w:rPr>
        <w:t xml:space="preserve"> outweighed the </w:t>
      </w:r>
      <w:r w:rsidR="00DA5D21" w:rsidRPr="002C4CC5">
        <w:rPr>
          <w:color w:val="000000" w:themeColor="text1"/>
        </w:rPr>
        <w:t>“restraining forces”</w:t>
      </w:r>
      <w:r w:rsidR="00526BDE" w:rsidRPr="002C4CC5">
        <w:rPr>
          <w:color w:val="000000" w:themeColor="text1"/>
        </w:rPr>
        <w:t xml:space="preserve"> </w:t>
      </w:r>
      <w:r w:rsidR="0034115A" w:rsidRPr="002C4CC5">
        <w:rPr>
          <w:color w:val="000000" w:themeColor="text1"/>
        </w:rPr>
        <w:t>allowing the</w:t>
      </w:r>
      <w:r w:rsidR="00526BDE" w:rsidRPr="002C4CC5">
        <w:rPr>
          <w:color w:val="000000" w:themeColor="text1"/>
        </w:rPr>
        <w:t xml:space="preserve"> move </w:t>
      </w:r>
      <w:r w:rsidR="0034115A" w:rsidRPr="002C4CC5">
        <w:rPr>
          <w:color w:val="000000" w:themeColor="text1"/>
        </w:rPr>
        <w:t xml:space="preserve">to </w:t>
      </w:r>
      <w:r w:rsidR="00526BDE" w:rsidRPr="002C4CC5">
        <w:rPr>
          <w:color w:val="000000" w:themeColor="text1"/>
        </w:rPr>
        <w:t>the next stage- refreeze.</w:t>
      </w:r>
    </w:p>
    <w:p w14:paraId="761E309E" w14:textId="68C52FDA" w:rsidR="006156C8" w:rsidRDefault="000D7001" w:rsidP="0063172E">
      <w:pPr>
        <w:pStyle w:val="Heading2"/>
        <w:spacing w:line="360" w:lineRule="auto"/>
      </w:pPr>
      <w:r>
        <w:t>C.</w:t>
      </w:r>
      <w:r w:rsidR="00C74FF5" w:rsidRPr="00827A08">
        <w:t xml:space="preserve"> R</w:t>
      </w:r>
      <w:r w:rsidR="00F50211" w:rsidRPr="00827A08">
        <w:t xml:space="preserve">efreeze </w:t>
      </w:r>
    </w:p>
    <w:p w14:paraId="185008B0" w14:textId="77777777" w:rsidR="000D7001" w:rsidRPr="000D7001" w:rsidRDefault="000D7001" w:rsidP="0063172E">
      <w:pPr>
        <w:spacing w:line="360" w:lineRule="auto"/>
        <w:rPr>
          <w:lang w:eastAsia="en-US"/>
        </w:rPr>
      </w:pPr>
    </w:p>
    <w:p w14:paraId="686EB050" w14:textId="66155419" w:rsidR="001D0EF7" w:rsidRPr="00827A08" w:rsidRDefault="00B44269" w:rsidP="0063172E">
      <w:pPr>
        <w:widowControl w:val="0"/>
        <w:autoSpaceDE w:val="0"/>
        <w:autoSpaceDN w:val="0"/>
        <w:adjustRightInd w:val="0"/>
        <w:spacing w:after="240" w:line="360" w:lineRule="auto"/>
        <w:rPr>
          <w:color w:val="000000" w:themeColor="text1"/>
        </w:rPr>
      </w:pPr>
      <w:r w:rsidRPr="00827A08">
        <w:rPr>
          <w:color w:val="000000" w:themeColor="text1"/>
        </w:rPr>
        <w:t>Lewin and Schein’s framework recognises that r</w:t>
      </w:r>
      <w:r w:rsidR="00E70645" w:rsidRPr="00827A08">
        <w:rPr>
          <w:color w:val="000000" w:themeColor="text1"/>
        </w:rPr>
        <w:t>efreezing is the fi</w:t>
      </w:r>
      <w:r w:rsidR="008B2E7C">
        <w:rPr>
          <w:color w:val="000000" w:themeColor="text1"/>
        </w:rPr>
        <w:t>nal step in any change wherein “</w:t>
      </w:r>
      <w:r w:rsidR="00E70645" w:rsidRPr="00827A08">
        <w:rPr>
          <w:color w:val="000000" w:themeColor="text1"/>
        </w:rPr>
        <w:t>the new learning will not stabilize until it is reinforced by actual results.</w:t>
      </w:r>
      <w:r w:rsidR="008B2E7C">
        <w:rPr>
          <w:color w:val="000000" w:themeColor="text1"/>
        </w:rPr>
        <w:t>”</w:t>
      </w:r>
      <w:r w:rsidR="001F0A4E" w:rsidRPr="00827A08">
        <w:rPr>
          <w:rStyle w:val="FootnoteReference"/>
          <w:color w:val="000000" w:themeColor="text1"/>
        </w:rPr>
        <w:footnoteReference w:id="162"/>
      </w:r>
      <w:r w:rsidRPr="00827A08">
        <w:rPr>
          <w:color w:val="000000" w:themeColor="text1"/>
        </w:rPr>
        <w:t xml:space="preserve"> Refreezing represents institutionalisation of change wherein the </w:t>
      </w:r>
      <w:r w:rsidR="00941FC4">
        <w:rPr>
          <w:color w:val="000000" w:themeColor="text1"/>
        </w:rPr>
        <w:t>“new learning”</w:t>
      </w:r>
      <w:r w:rsidR="00A2311A" w:rsidRPr="00827A08">
        <w:rPr>
          <w:color w:val="000000" w:themeColor="text1"/>
        </w:rPr>
        <w:t xml:space="preserve"> and behaviour</w:t>
      </w:r>
      <w:r w:rsidR="00B807FB" w:rsidRPr="00827A08">
        <w:rPr>
          <w:color w:val="000000" w:themeColor="text1"/>
        </w:rPr>
        <w:t xml:space="preserve"> becomes</w:t>
      </w:r>
      <w:r w:rsidR="008B2E7C">
        <w:rPr>
          <w:color w:val="000000" w:themeColor="text1"/>
        </w:rPr>
        <w:t xml:space="preserve"> habitual as it will “</w:t>
      </w:r>
      <w:r w:rsidR="008E6BCF" w:rsidRPr="00827A08">
        <w:rPr>
          <w:color w:val="000000" w:themeColor="text1"/>
        </w:rPr>
        <w:t>produce better results and be confirmed.</w:t>
      </w:r>
      <w:r w:rsidR="008B2E7C">
        <w:rPr>
          <w:color w:val="000000" w:themeColor="text1"/>
        </w:rPr>
        <w:t>”</w:t>
      </w:r>
      <w:r w:rsidR="002E67DB" w:rsidRPr="00827A08">
        <w:rPr>
          <w:rStyle w:val="FootnoteReference"/>
          <w:color w:val="000000" w:themeColor="text1"/>
        </w:rPr>
        <w:footnoteReference w:id="163"/>
      </w:r>
      <w:r w:rsidR="002E67DB" w:rsidRPr="00827A08">
        <w:rPr>
          <w:color w:val="000000" w:themeColor="text1"/>
        </w:rPr>
        <w:t xml:space="preserve"> </w:t>
      </w:r>
      <w:r w:rsidR="00E17E63" w:rsidRPr="00827A08">
        <w:rPr>
          <w:color w:val="000000" w:themeColor="text1"/>
        </w:rPr>
        <w:t xml:space="preserve"> </w:t>
      </w:r>
      <w:r w:rsidR="008E6BCF" w:rsidRPr="00827A08">
        <w:rPr>
          <w:color w:val="000000" w:themeColor="text1"/>
        </w:rPr>
        <w:t>However, the refreeze stage may not be permanent and</w:t>
      </w:r>
      <w:r w:rsidR="005E1271" w:rsidRPr="00827A08">
        <w:rPr>
          <w:color w:val="000000" w:themeColor="text1"/>
        </w:rPr>
        <w:t xml:space="preserve"> could</w:t>
      </w:r>
      <w:r w:rsidR="008E6BCF" w:rsidRPr="00827A08">
        <w:rPr>
          <w:color w:val="000000" w:themeColor="text1"/>
        </w:rPr>
        <w:t xml:space="preserve"> lead to the restart of the </w:t>
      </w:r>
      <w:r w:rsidR="008B2E7C">
        <w:rPr>
          <w:color w:val="000000" w:themeColor="text1"/>
        </w:rPr>
        <w:t>“</w:t>
      </w:r>
      <w:r w:rsidR="008E6BCF" w:rsidRPr="00827A08">
        <w:rPr>
          <w:color w:val="000000" w:themeColor="text1"/>
        </w:rPr>
        <w:t>three</w:t>
      </w:r>
      <w:r w:rsidR="008B6B37" w:rsidRPr="00827A08">
        <w:rPr>
          <w:color w:val="000000" w:themeColor="text1"/>
        </w:rPr>
        <w:t>-</w:t>
      </w:r>
      <w:r w:rsidR="008E6BCF" w:rsidRPr="00827A08">
        <w:rPr>
          <w:color w:val="000000" w:themeColor="text1"/>
        </w:rPr>
        <w:t xml:space="preserve"> step model</w:t>
      </w:r>
      <w:r w:rsidR="008B2E7C">
        <w:rPr>
          <w:color w:val="000000" w:themeColor="text1"/>
        </w:rPr>
        <w:t>” if “</w:t>
      </w:r>
      <w:r w:rsidR="008E6BCF" w:rsidRPr="00827A08">
        <w:rPr>
          <w:color w:val="000000" w:themeColor="text1"/>
        </w:rPr>
        <w:t>does not produce better results, this information will be perceived as a disconfirming information…</w:t>
      </w:r>
      <w:r w:rsidR="009A493E" w:rsidRPr="00827A08">
        <w:rPr>
          <w:color w:val="000000" w:themeColor="text1"/>
        </w:rPr>
        <w:t>systems are, therefore, in perpetual flux, and the more dynamic the environment becomes, the more that may require an almost perpetual change and learning process.</w:t>
      </w:r>
      <w:r w:rsidR="008B2E7C">
        <w:rPr>
          <w:color w:val="000000" w:themeColor="text1"/>
        </w:rPr>
        <w:t>”</w:t>
      </w:r>
      <w:r w:rsidR="002E67DB" w:rsidRPr="00827A08">
        <w:rPr>
          <w:rStyle w:val="FootnoteReference"/>
          <w:color w:val="000000" w:themeColor="text1"/>
        </w:rPr>
        <w:footnoteReference w:id="164"/>
      </w:r>
      <w:r w:rsidR="00BB396C" w:rsidRPr="00827A08">
        <w:rPr>
          <w:color w:val="000000" w:themeColor="text1"/>
        </w:rPr>
        <w:t xml:space="preserve"> </w:t>
      </w:r>
      <w:r w:rsidR="002F38D7" w:rsidRPr="00827A08">
        <w:rPr>
          <w:color w:val="000000" w:themeColor="text1"/>
        </w:rPr>
        <w:t>The refreeze stage</w:t>
      </w:r>
      <w:r w:rsidR="005E1271" w:rsidRPr="00827A08">
        <w:rPr>
          <w:color w:val="000000" w:themeColor="text1"/>
        </w:rPr>
        <w:t xml:space="preserve"> for </w:t>
      </w:r>
      <w:r w:rsidR="006647AB" w:rsidRPr="00827A08">
        <w:rPr>
          <w:color w:val="000000" w:themeColor="text1"/>
        </w:rPr>
        <w:t xml:space="preserve">the NGT is </w:t>
      </w:r>
      <w:r w:rsidR="001D0EF7" w:rsidRPr="00827A08">
        <w:rPr>
          <w:color w:val="000000" w:themeColor="text1"/>
        </w:rPr>
        <w:t xml:space="preserve">both </w:t>
      </w:r>
      <w:r w:rsidR="006647AB" w:rsidRPr="00827A08">
        <w:rPr>
          <w:color w:val="000000" w:themeColor="text1"/>
        </w:rPr>
        <w:t xml:space="preserve">complex and contentious. </w:t>
      </w:r>
    </w:p>
    <w:p w14:paraId="3CCE5269" w14:textId="75614C02" w:rsidR="00AF5B11" w:rsidRPr="00827A08" w:rsidRDefault="006647AB" w:rsidP="002C4CC5">
      <w:pPr>
        <w:spacing w:line="360" w:lineRule="auto"/>
        <w:rPr>
          <w:rFonts w:eastAsia="Times New Roman"/>
          <w:color w:val="000000" w:themeColor="text1"/>
        </w:rPr>
      </w:pPr>
      <w:r w:rsidRPr="00827A08">
        <w:rPr>
          <w:color w:val="000000" w:themeColor="text1"/>
        </w:rPr>
        <w:t xml:space="preserve">The institutionalisation of the NGT and its reinforcement by actual results </w:t>
      </w:r>
      <w:r w:rsidR="001D0EF7" w:rsidRPr="00827A08">
        <w:rPr>
          <w:color w:val="000000" w:themeColor="text1"/>
        </w:rPr>
        <w:t>indicates that it ha</w:t>
      </w:r>
      <w:r w:rsidR="00143694" w:rsidRPr="00827A08">
        <w:rPr>
          <w:color w:val="000000" w:themeColor="text1"/>
        </w:rPr>
        <w:t>d moved into the refreeze status.</w:t>
      </w:r>
      <w:r w:rsidR="001D0EF7" w:rsidRPr="00827A08">
        <w:rPr>
          <w:color w:val="000000" w:themeColor="text1"/>
        </w:rPr>
        <w:t xml:space="preserve"> The manifestation of the actual results or outcome </w:t>
      </w:r>
      <w:r w:rsidR="00B96EDB" w:rsidRPr="00827A08">
        <w:rPr>
          <w:color w:val="000000" w:themeColor="text1"/>
        </w:rPr>
        <w:t>are</w:t>
      </w:r>
      <w:r w:rsidR="001D0EF7" w:rsidRPr="00827A08">
        <w:rPr>
          <w:color w:val="000000" w:themeColor="text1"/>
        </w:rPr>
        <w:t xml:space="preserve"> witnessed both at the international and national level</w:t>
      </w:r>
      <w:r w:rsidR="00B96EDB" w:rsidRPr="00827A08">
        <w:rPr>
          <w:color w:val="000000" w:themeColor="text1"/>
        </w:rPr>
        <w:t>s</w:t>
      </w:r>
      <w:r w:rsidR="001D0EF7" w:rsidRPr="00827A08">
        <w:rPr>
          <w:color w:val="000000" w:themeColor="text1"/>
        </w:rPr>
        <w:t>. Internationa</w:t>
      </w:r>
      <w:r w:rsidR="00E023AC" w:rsidRPr="00827A08">
        <w:rPr>
          <w:color w:val="000000" w:themeColor="text1"/>
        </w:rPr>
        <w:t>lly, the NGT is</w:t>
      </w:r>
      <w:r w:rsidR="001D0EF7" w:rsidRPr="00827A08">
        <w:rPr>
          <w:color w:val="000000" w:themeColor="text1"/>
        </w:rPr>
        <w:t xml:space="preserve"> considered as </w:t>
      </w:r>
      <w:r w:rsidR="00291AE9">
        <w:rPr>
          <w:rFonts w:eastAsia="Times New Roman"/>
          <w:color w:val="000000" w:themeColor="text1"/>
        </w:rPr>
        <w:t>framework for “</w:t>
      </w:r>
      <w:r w:rsidR="000240CD" w:rsidRPr="00827A08">
        <w:rPr>
          <w:rFonts w:eastAsia="Times New Roman"/>
          <w:color w:val="000000" w:themeColor="text1"/>
        </w:rPr>
        <w:t xml:space="preserve">the world’s largest network of local environmental </w:t>
      </w:r>
      <w:r w:rsidR="00021CDC" w:rsidRPr="00827A08">
        <w:rPr>
          <w:rFonts w:eastAsia="Times New Roman"/>
          <w:color w:val="000000" w:themeColor="text1"/>
        </w:rPr>
        <w:t>Tribunal</w:t>
      </w:r>
      <w:r w:rsidR="000240CD" w:rsidRPr="00827A08">
        <w:rPr>
          <w:rFonts w:eastAsia="Times New Roman"/>
          <w:color w:val="000000" w:themeColor="text1"/>
        </w:rPr>
        <w:t>s, expected to increase citizen acc</w:t>
      </w:r>
      <w:r w:rsidR="00E023AC" w:rsidRPr="00827A08">
        <w:rPr>
          <w:rFonts w:eastAsia="Times New Roman"/>
          <w:color w:val="000000" w:themeColor="text1"/>
        </w:rPr>
        <w:t>ess to environmental justice.</w:t>
      </w:r>
      <w:r w:rsidR="00291AE9">
        <w:rPr>
          <w:rFonts w:eastAsia="Times New Roman"/>
          <w:color w:val="000000" w:themeColor="text1"/>
        </w:rPr>
        <w:t>”</w:t>
      </w:r>
      <w:r w:rsidR="004B2F36" w:rsidRPr="00827A08">
        <w:rPr>
          <w:rStyle w:val="FootnoteReference"/>
          <w:rFonts w:eastAsia="Times New Roman"/>
          <w:color w:val="000000" w:themeColor="text1"/>
        </w:rPr>
        <w:footnoteReference w:id="165"/>
      </w:r>
      <w:r w:rsidR="00143694" w:rsidRPr="00827A08">
        <w:rPr>
          <w:rFonts w:eastAsia="Times New Roman"/>
          <w:color w:val="000000" w:themeColor="text1"/>
        </w:rPr>
        <w:t xml:space="preserve"> </w:t>
      </w:r>
      <w:r w:rsidR="0058229A" w:rsidRPr="00827A08">
        <w:rPr>
          <w:rFonts w:eastAsia="Times New Roman"/>
          <w:color w:val="000000" w:themeColor="text1"/>
        </w:rPr>
        <w:t xml:space="preserve">Recently, </w:t>
      </w:r>
      <w:r w:rsidR="0058229A" w:rsidRPr="00827A08">
        <w:rPr>
          <w:rFonts w:eastAsia="Times New Roman"/>
          <w:color w:val="000000" w:themeColor="text1"/>
          <w:shd w:val="clear" w:color="auto" w:fill="FFFFFF"/>
        </w:rPr>
        <w:t>t</w:t>
      </w:r>
      <w:r w:rsidR="00617E9B" w:rsidRPr="00827A08">
        <w:rPr>
          <w:rFonts w:eastAsia="Times New Roman"/>
          <w:color w:val="000000" w:themeColor="text1"/>
          <w:shd w:val="clear" w:color="auto" w:fill="FFFFFF"/>
        </w:rPr>
        <w:t>he World Commission on Environmental Law and the Global Judicial Institute on the Environment</w:t>
      </w:r>
      <w:r w:rsidR="00617E9B" w:rsidRPr="00827A08">
        <w:rPr>
          <w:rFonts w:eastAsia="Times New Roman"/>
          <w:color w:val="000000" w:themeColor="text1"/>
        </w:rPr>
        <w:t xml:space="preserve"> </w:t>
      </w:r>
      <w:r w:rsidR="00AF5B11" w:rsidRPr="00827A08">
        <w:rPr>
          <w:rFonts w:eastAsia="Times New Roman"/>
          <w:color w:val="000000" w:themeColor="text1"/>
          <w:shd w:val="clear" w:color="auto" w:fill="FFFFFF"/>
        </w:rPr>
        <w:t xml:space="preserve">expressed </w:t>
      </w:r>
      <w:r w:rsidR="00143694" w:rsidRPr="00827A08">
        <w:rPr>
          <w:rFonts w:eastAsia="Times New Roman"/>
          <w:color w:val="000000" w:themeColor="text1"/>
          <w:shd w:val="clear" w:color="auto" w:fill="FFFFFF"/>
        </w:rPr>
        <w:t>its</w:t>
      </w:r>
      <w:r w:rsidR="00AF5B11" w:rsidRPr="00827A08">
        <w:rPr>
          <w:rFonts w:eastAsia="Times New Roman"/>
          <w:color w:val="000000" w:themeColor="text1"/>
          <w:shd w:val="clear" w:color="auto" w:fill="FFFFFF"/>
        </w:rPr>
        <w:t xml:space="preserve"> great appreciation </w:t>
      </w:r>
      <w:r w:rsidR="00617E9B" w:rsidRPr="00827A08">
        <w:rPr>
          <w:rFonts w:eastAsia="Times New Roman"/>
          <w:color w:val="000000" w:themeColor="text1"/>
          <w:shd w:val="clear" w:color="auto" w:fill="FFFFFF"/>
        </w:rPr>
        <w:t xml:space="preserve">for </w:t>
      </w:r>
      <w:r w:rsidR="00AF5B11" w:rsidRPr="00827A08">
        <w:rPr>
          <w:rFonts w:eastAsia="Times New Roman"/>
          <w:color w:val="000000" w:themeColor="text1"/>
          <w:shd w:val="clear" w:color="auto" w:fill="FFFFFF"/>
        </w:rPr>
        <w:t>the</w:t>
      </w:r>
      <w:r w:rsidR="00617E9B" w:rsidRPr="00827A08">
        <w:rPr>
          <w:rFonts w:eastAsia="Times New Roman"/>
          <w:color w:val="000000" w:themeColor="text1"/>
          <w:shd w:val="clear" w:color="auto" w:fill="FFFFFF"/>
        </w:rPr>
        <w:t xml:space="preserve"> NGT</w:t>
      </w:r>
      <w:r w:rsidR="00143694" w:rsidRPr="00827A08">
        <w:rPr>
          <w:rFonts w:eastAsia="Times New Roman"/>
          <w:color w:val="000000" w:themeColor="text1"/>
          <w:shd w:val="clear" w:color="auto" w:fill="FFFFFF"/>
        </w:rPr>
        <w:t>,</w:t>
      </w:r>
      <w:r w:rsidR="00AF5B11" w:rsidRPr="00827A08">
        <w:rPr>
          <w:rFonts w:eastAsia="Times New Roman"/>
          <w:color w:val="000000" w:themeColor="text1"/>
          <w:shd w:val="clear" w:color="auto" w:fill="FFFFFF"/>
        </w:rPr>
        <w:t xml:space="preserve"> for its precedent setting jurisprudence, as well as its</w:t>
      </w:r>
      <w:r w:rsidR="00143694" w:rsidRPr="00827A08">
        <w:rPr>
          <w:rFonts w:eastAsia="Times New Roman"/>
          <w:color w:val="000000" w:themeColor="text1"/>
          <w:shd w:val="clear" w:color="auto" w:fill="FFFFFF"/>
        </w:rPr>
        <w:t xml:space="preserve"> international</w:t>
      </w:r>
      <w:r w:rsidR="00AF5B11" w:rsidRPr="00827A08">
        <w:rPr>
          <w:rFonts w:eastAsia="Times New Roman"/>
          <w:color w:val="000000" w:themeColor="text1"/>
          <w:shd w:val="clear" w:color="auto" w:fill="FFFFFF"/>
        </w:rPr>
        <w:t xml:space="preserve"> conferences over the</w:t>
      </w:r>
      <w:r w:rsidR="00143694" w:rsidRPr="00827A08">
        <w:rPr>
          <w:rFonts w:eastAsia="Times New Roman"/>
          <w:color w:val="000000" w:themeColor="text1"/>
          <w:shd w:val="clear" w:color="auto" w:fill="FFFFFF"/>
        </w:rPr>
        <w:t xml:space="preserve"> several</w:t>
      </w:r>
      <w:r w:rsidR="00AF5B11" w:rsidRPr="00827A08">
        <w:rPr>
          <w:rFonts w:eastAsia="Times New Roman"/>
          <w:color w:val="000000" w:themeColor="text1"/>
          <w:shd w:val="clear" w:color="auto" w:fill="FFFFFF"/>
        </w:rPr>
        <w:t xml:space="preserve"> years</w:t>
      </w:r>
      <w:r w:rsidR="00143694" w:rsidRPr="00827A08">
        <w:rPr>
          <w:rFonts w:eastAsia="Times New Roman"/>
          <w:color w:val="000000" w:themeColor="text1"/>
          <w:shd w:val="clear" w:color="auto" w:fill="FFFFFF"/>
        </w:rPr>
        <w:t xml:space="preserve"> that</w:t>
      </w:r>
      <w:r w:rsidR="00AF5B11" w:rsidRPr="00827A08">
        <w:rPr>
          <w:rFonts w:eastAsia="Times New Roman"/>
          <w:color w:val="000000" w:themeColor="text1"/>
          <w:shd w:val="clear" w:color="auto" w:fill="FFFFFF"/>
        </w:rPr>
        <w:t xml:space="preserve"> successfully br</w:t>
      </w:r>
      <w:r w:rsidR="00143694" w:rsidRPr="00827A08">
        <w:rPr>
          <w:rFonts w:eastAsia="Times New Roman"/>
          <w:color w:val="000000" w:themeColor="text1"/>
          <w:shd w:val="clear" w:color="auto" w:fill="FFFFFF"/>
        </w:rPr>
        <w:t>ought</w:t>
      </w:r>
      <w:r w:rsidR="00AF5B11" w:rsidRPr="00827A08">
        <w:rPr>
          <w:rFonts w:eastAsia="Times New Roman"/>
          <w:color w:val="000000" w:themeColor="text1"/>
          <w:shd w:val="clear" w:color="auto" w:fill="FFFFFF"/>
        </w:rPr>
        <w:t xml:space="preserve"> together parliamentarians, judges, lawyers, </w:t>
      </w:r>
      <w:r w:rsidR="005E50C8" w:rsidRPr="00827A08">
        <w:rPr>
          <w:rFonts w:eastAsia="Times New Roman"/>
          <w:color w:val="000000" w:themeColor="text1"/>
          <w:shd w:val="clear" w:color="auto" w:fill="FFFFFF"/>
        </w:rPr>
        <w:t>scientists, academics, students</w:t>
      </w:r>
      <w:r w:rsidR="00AF5B11" w:rsidRPr="00827A08">
        <w:rPr>
          <w:rFonts w:eastAsia="Times New Roman"/>
          <w:color w:val="000000" w:themeColor="text1"/>
          <w:shd w:val="clear" w:color="auto" w:fill="FFFFFF"/>
        </w:rPr>
        <w:t xml:space="preserve"> and other international and national delegates</w:t>
      </w:r>
      <w:r w:rsidR="00143694" w:rsidRPr="00827A08">
        <w:rPr>
          <w:rFonts w:eastAsia="Times New Roman"/>
          <w:color w:val="000000" w:themeColor="text1"/>
          <w:shd w:val="clear" w:color="auto" w:fill="FFFFFF"/>
        </w:rPr>
        <w:t>.</w:t>
      </w:r>
      <w:r w:rsidR="00CB66DD" w:rsidRPr="00827A08">
        <w:rPr>
          <w:rStyle w:val="FootnoteReference"/>
          <w:rFonts w:eastAsia="Times New Roman"/>
          <w:color w:val="000000" w:themeColor="text1"/>
          <w:shd w:val="clear" w:color="auto" w:fill="FFFFFF"/>
        </w:rPr>
        <w:footnoteReference w:id="166"/>
      </w:r>
      <w:r w:rsidR="00AF5B11" w:rsidRPr="00827A08">
        <w:rPr>
          <w:rFonts w:eastAsia="Times New Roman"/>
          <w:color w:val="000000" w:themeColor="text1"/>
          <w:shd w:val="clear" w:color="auto" w:fill="FFFFFF"/>
        </w:rPr>
        <w:t> </w:t>
      </w:r>
      <w:r w:rsidR="00617E9B" w:rsidRPr="00827A08">
        <w:rPr>
          <w:rFonts w:eastAsia="Times New Roman"/>
          <w:color w:val="000000" w:themeColor="text1"/>
          <w:shd w:val="clear" w:color="auto" w:fill="FFFFFF"/>
        </w:rPr>
        <w:t xml:space="preserve"> </w:t>
      </w:r>
    </w:p>
    <w:p w14:paraId="5E1EA652" w14:textId="77777777" w:rsidR="00A96C88" w:rsidRPr="00827A08" w:rsidRDefault="00A96C88" w:rsidP="002C4CC5">
      <w:pPr>
        <w:spacing w:line="360" w:lineRule="auto"/>
        <w:rPr>
          <w:rFonts w:eastAsia="Times New Roman"/>
          <w:color w:val="000000" w:themeColor="text1"/>
          <w:shd w:val="clear" w:color="auto" w:fill="FFFFFF"/>
        </w:rPr>
      </w:pPr>
    </w:p>
    <w:p w14:paraId="4580C28A" w14:textId="63683E2C" w:rsidR="0070291A" w:rsidRPr="00827A08" w:rsidRDefault="00A96C88" w:rsidP="002C4CC5">
      <w:pPr>
        <w:widowControl w:val="0"/>
        <w:autoSpaceDE w:val="0"/>
        <w:autoSpaceDN w:val="0"/>
        <w:adjustRightInd w:val="0"/>
        <w:spacing w:after="240" w:line="360" w:lineRule="auto"/>
        <w:rPr>
          <w:color w:val="000000" w:themeColor="text1"/>
        </w:rPr>
      </w:pPr>
      <w:r w:rsidRPr="00827A08">
        <w:rPr>
          <w:rFonts w:eastAsia="Times New Roman"/>
          <w:color w:val="000000" w:themeColor="text1"/>
          <w:shd w:val="clear" w:color="auto" w:fill="FFFFFF"/>
        </w:rPr>
        <w:t>At the national level, the</w:t>
      </w:r>
      <w:r w:rsidR="00143694" w:rsidRPr="00827A08">
        <w:rPr>
          <w:rFonts w:eastAsia="Times New Roman"/>
          <w:color w:val="000000" w:themeColor="text1"/>
          <w:shd w:val="clear" w:color="auto" w:fill="FFFFFF"/>
        </w:rPr>
        <w:t xml:space="preserve"> practical</w:t>
      </w:r>
      <w:r w:rsidRPr="00827A08">
        <w:rPr>
          <w:rFonts w:eastAsia="Times New Roman"/>
          <w:color w:val="000000" w:themeColor="text1"/>
          <w:shd w:val="clear" w:color="auto" w:fill="FFFFFF"/>
        </w:rPr>
        <w:t xml:space="preserve"> </w:t>
      </w:r>
      <w:r w:rsidR="008421CA" w:rsidRPr="00827A08">
        <w:rPr>
          <w:rFonts w:eastAsia="Times New Roman"/>
          <w:color w:val="000000" w:themeColor="text1"/>
          <w:shd w:val="clear" w:color="auto" w:fill="FFFFFF"/>
        </w:rPr>
        <w:t xml:space="preserve">testimony to </w:t>
      </w:r>
      <w:r w:rsidR="00291AE9">
        <w:rPr>
          <w:rFonts w:eastAsia="Times New Roman"/>
          <w:color w:val="000000" w:themeColor="text1"/>
          <w:shd w:val="clear" w:color="auto" w:fill="FFFFFF"/>
        </w:rPr>
        <w:t>“</w:t>
      </w:r>
      <w:r w:rsidR="008421CA" w:rsidRPr="00827A08">
        <w:rPr>
          <w:rFonts w:eastAsia="Times New Roman"/>
          <w:color w:val="000000" w:themeColor="text1"/>
          <w:shd w:val="clear" w:color="auto" w:fill="FFFFFF"/>
        </w:rPr>
        <w:t>producing better re</w:t>
      </w:r>
      <w:r w:rsidR="008E43FD" w:rsidRPr="00827A08">
        <w:rPr>
          <w:rFonts w:eastAsia="Times New Roman"/>
          <w:color w:val="000000" w:themeColor="text1"/>
          <w:shd w:val="clear" w:color="auto" w:fill="FFFFFF"/>
        </w:rPr>
        <w:t>s</w:t>
      </w:r>
      <w:r w:rsidR="008421CA" w:rsidRPr="00827A08">
        <w:rPr>
          <w:rFonts w:eastAsia="Times New Roman"/>
          <w:color w:val="000000" w:themeColor="text1"/>
          <w:shd w:val="clear" w:color="auto" w:fill="FFFFFF"/>
        </w:rPr>
        <w:t>ults</w:t>
      </w:r>
      <w:r w:rsidR="00291AE9">
        <w:rPr>
          <w:rFonts w:eastAsia="Times New Roman"/>
          <w:color w:val="000000" w:themeColor="text1"/>
          <w:shd w:val="clear" w:color="auto" w:fill="FFFFFF"/>
        </w:rPr>
        <w:t>”</w:t>
      </w:r>
      <w:r w:rsidR="008421CA" w:rsidRPr="00827A08">
        <w:rPr>
          <w:rFonts w:eastAsia="Times New Roman"/>
          <w:color w:val="000000" w:themeColor="text1"/>
          <w:shd w:val="clear" w:color="auto" w:fill="FFFFFF"/>
        </w:rPr>
        <w:t xml:space="preserve"> </w:t>
      </w:r>
      <w:r w:rsidRPr="00827A08">
        <w:rPr>
          <w:rFonts w:eastAsia="Times New Roman"/>
          <w:color w:val="000000" w:themeColor="text1"/>
          <w:shd w:val="clear" w:color="auto" w:fill="FFFFFF"/>
        </w:rPr>
        <w:t xml:space="preserve">is </w:t>
      </w:r>
      <w:r w:rsidR="000C75B3" w:rsidRPr="00827A08">
        <w:rPr>
          <w:rFonts w:eastAsia="Times New Roman"/>
          <w:color w:val="000000" w:themeColor="text1"/>
          <w:shd w:val="clear" w:color="auto" w:fill="FFFFFF"/>
        </w:rPr>
        <w:t xml:space="preserve">evidenced by </w:t>
      </w:r>
      <w:r w:rsidR="008421CA" w:rsidRPr="00827A08">
        <w:rPr>
          <w:rFonts w:eastAsia="Times New Roman"/>
          <w:color w:val="000000" w:themeColor="text1"/>
          <w:shd w:val="clear" w:color="auto" w:fill="FFFFFF"/>
        </w:rPr>
        <w:t xml:space="preserve">the </w:t>
      </w:r>
      <w:r w:rsidR="008E43FD" w:rsidRPr="00827A08">
        <w:rPr>
          <w:rFonts w:eastAsia="Times New Roman"/>
          <w:color w:val="000000" w:themeColor="text1"/>
          <w:shd w:val="clear" w:color="auto" w:fill="FFFFFF"/>
        </w:rPr>
        <w:t>significant case growth</w:t>
      </w:r>
      <w:r w:rsidR="000C75B3" w:rsidRPr="00827A08">
        <w:rPr>
          <w:rFonts w:eastAsia="Times New Roman"/>
          <w:color w:val="000000" w:themeColor="text1"/>
          <w:shd w:val="clear" w:color="auto" w:fill="FFFFFF"/>
        </w:rPr>
        <w:t xml:space="preserve"> in the NGT. </w:t>
      </w:r>
      <w:r w:rsidR="007B46B3" w:rsidRPr="00827A08">
        <w:rPr>
          <w:rFonts w:eastAsia="Times New Roman"/>
          <w:color w:val="000000" w:themeColor="text1"/>
          <w:shd w:val="clear" w:color="auto" w:fill="FFFFFF"/>
        </w:rPr>
        <w:t>Figure 7</w:t>
      </w:r>
      <w:r w:rsidR="000500AE" w:rsidRPr="00827A08">
        <w:rPr>
          <w:rFonts w:eastAsia="Times New Roman"/>
          <w:color w:val="000000" w:themeColor="text1"/>
          <w:shd w:val="clear" w:color="auto" w:fill="FFFFFF"/>
        </w:rPr>
        <w:t xml:space="preserve"> </w:t>
      </w:r>
      <w:r w:rsidR="000C75B3" w:rsidRPr="00827A08">
        <w:rPr>
          <w:rFonts w:eastAsia="Times New Roman"/>
          <w:color w:val="000000" w:themeColor="text1"/>
          <w:shd w:val="clear" w:color="auto" w:fill="FFFFFF"/>
        </w:rPr>
        <w:t>illustrates this growth.</w:t>
      </w:r>
    </w:p>
    <w:p w14:paraId="2552F748" w14:textId="140F3C21" w:rsidR="003E2379" w:rsidRPr="00827A08" w:rsidRDefault="00C4737D" w:rsidP="002C4CC5">
      <w:pPr>
        <w:spacing w:line="360" w:lineRule="auto"/>
        <w:jc w:val="center"/>
        <w:rPr>
          <w:b/>
          <w:color w:val="000000" w:themeColor="text1"/>
        </w:rPr>
      </w:pPr>
      <w:r>
        <w:rPr>
          <w:noProof/>
        </w:rPr>
        <w:drawing>
          <wp:inline distT="0" distB="0" distL="0" distR="0" wp14:anchorId="27826D92" wp14:editId="172E12AA">
            <wp:extent cx="5727700" cy="2721610"/>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721610"/>
                    </a:xfrm>
                    <a:prstGeom prst="rect">
                      <a:avLst/>
                    </a:prstGeom>
                  </pic:spPr>
                </pic:pic>
              </a:graphicData>
            </a:graphic>
          </wp:inline>
        </w:drawing>
      </w:r>
    </w:p>
    <w:p w14:paraId="2800D7DB" w14:textId="4559E92B" w:rsidR="003E2379" w:rsidRPr="00827A08" w:rsidRDefault="003E2379" w:rsidP="002C4CC5">
      <w:pPr>
        <w:spacing w:line="360" w:lineRule="auto"/>
        <w:rPr>
          <w:color w:val="000000" w:themeColor="text1"/>
        </w:rPr>
      </w:pPr>
      <w:r w:rsidRPr="00827A08">
        <w:rPr>
          <w:b/>
          <w:color w:val="000000" w:themeColor="text1"/>
        </w:rPr>
        <w:t>Figure 7</w:t>
      </w:r>
      <w:r w:rsidRPr="00827A08">
        <w:rPr>
          <w:color w:val="000000" w:themeColor="text1"/>
        </w:rPr>
        <w:t>: Status of Litigation in five NGT Benches</w:t>
      </w:r>
    </w:p>
    <w:p w14:paraId="4365B311" w14:textId="6B76DA97" w:rsidR="003E2379" w:rsidRPr="00827A08" w:rsidRDefault="003E2379" w:rsidP="002C4CC5">
      <w:pPr>
        <w:spacing w:line="360" w:lineRule="auto"/>
        <w:rPr>
          <w:color w:val="000000" w:themeColor="text1"/>
        </w:rPr>
      </w:pPr>
      <w:r w:rsidRPr="00827A08">
        <w:rPr>
          <w:b/>
          <w:color w:val="000000" w:themeColor="text1"/>
        </w:rPr>
        <w:t>Source</w:t>
      </w:r>
      <w:r w:rsidRPr="00827A08">
        <w:rPr>
          <w:color w:val="000000" w:themeColor="text1"/>
        </w:rPr>
        <w:t>: NGT Website (</w:t>
      </w:r>
      <w:hyperlink r:id="rId15" w:history="1">
        <w:r w:rsidRPr="00827A08">
          <w:rPr>
            <w:rStyle w:val="Hyperlink"/>
            <w:rFonts w:eastAsia="Times New Roman"/>
            <w:color w:val="000000" w:themeColor="text1"/>
            <w:shd w:val="clear" w:color="auto" w:fill="FFFFFF"/>
          </w:rPr>
          <w:t>http://www.green</w:t>
        </w:r>
        <w:r w:rsidR="00021CDC" w:rsidRPr="00827A08">
          <w:rPr>
            <w:rStyle w:val="Hyperlink"/>
            <w:rFonts w:eastAsia="Times New Roman"/>
            <w:color w:val="000000" w:themeColor="text1"/>
            <w:shd w:val="clear" w:color="auto" w:fill="FFFFFF"/>
          </w:rPr>
          <w:t>Tribunal</w:t>
        </w:r>
        <w:r w:rsidRPr="00827A08">
          <w:rPr>
            <w:rStyle w:val="Hyperlink"/>
            <w:rFonts w:eastAsia="Times New Roman"/>
            <w:color w:val="000000" w:themeColor="text1"/>
            <w:shd w:val="clear" w:color="auto" w:fill="FFFFFF"/>
          </w:rPr>
          <w:t>.gov.in/</w:t>
        </w:r>
      </w:hyperlink>
      <w:r w:rsidRPr="00827A08">
        <w:rPr>
          <w:rStyle w:val="Hyperlink"/>
          <w:rFonts w:eastAsia="Times New Roman"/>
          <w:color w:val="000000" w:themeColor="text1"/>
          <w:shd w:val="clear" w:color="auto" w:fill="FFFFFF"/>
        </w:rPr>
        <w:t>)</w:t>
      </w:r>
    </w:p>
    <w:p w14:paraId="167EEA11" w14:textId="77777777" w:rsidR="003E2379" w:rsidRPr="00827A08" w:rsidRDefault="003E2379" w:rsidP="002C4CC5">
      <w:pPr>
        <w:widowControl w:val="0"/>
        <w:autoSpaceDE w:val="0"/>
        <w:autoSpaceDN w:val="0"/>
        <w:adjustRightInd w:val="0"/>
        <w:spacing w:after="240" w:line="360" w:lineRule="auto"/>
        <w:rPr>
          <w:b/>
          <w:color w:val="000000" w:themeColor="text1"/>
        </w:rPr>
      </w:pPr>
    </w:p>
    <w:p w14:paraId="0C319F08" w14:textId="3BE4D630" w:rsidR="006A5C23" w:rsidRPr="00827A08" w:rsidRDefault="00664557" w:rsidP="002C4CC5">
      <w:pPr>
        <w:widowControl w:val="0"/>
        <w:autoSpaceDE w:val="0"/>
        <w:autoSpaceDN w:val="0"/>
        <w:adjustRightInd w:val="0"/>
        <w:spacing w:after="240" w:line="360" w:lineRule="auto"/>
        <w:rPr>
          <w:color w:val="000000" w:themeColor="text1"/>
        </w:rPr>
      </w:pPr>
      <w:r w:rsidRPr="00827A08">
        <w:rPr>
          <w:color w:val="000000" w:themeColor="text1"/>
        </w:rPr>
        <w:t xml:space="preserve">The NGT </w:t>
      </w:r>
      <w:r w:rsidR="0014675A" w:rsidRPr="00827A08">
        <w:rPr>
          <w:color w:val="000000" w:themeColor="text1"/>
        </w:rPr>
        <w:t xml:space="preserve">has </w:t>
      </w:r>
      <w:r w:rsidRPr="00827A08">
        <w:rPr>
          <w:color w:val="000000" w:themeColor="text1"/>
        </w:rPr>
        <w:t>found favour with</w:t>
      </w:r>
      <w:r w:rsidR="0014675A" w:rsidRPr="00827A08">
        <w:rPr>
          <w:color w:val="000000" w:themeColor="text1"/>
        </w:rPr>
        <w:t xml:space="preserve"> the common man:</w:t>
      </w:r>
      <w:r w:rsidR="00291AE9">
        <w:rPr>
          <w:color w:val="000000" w:themeColor="text1"/>
        </w:rPr>
        <w:t xml:space="preserve"> “aggrieved person”</w:t>
      </w:r>
      <w:r w:rsidRPr="00827A08">
        <w:rPr>
          <w:color w:val="000000" w:themeColor="text1"/>
        </w:rPr>
        <w:t xml:space="preserve"> seeking to access e</w:t>
      </w:r>
      <w:r w:rsidR="00704359" w:rsidRPr="00827A08">
        <w:rPr>
          <w:color w:val="000000" w:themeColor="text1"/>
        </w:rPr>
        <w:t>nvironmental justice.</w:t>
      </w:r>
      <w:r w:rsidR="003127E5" w:rsidRPr="00827A08">
        <w:rPr>
          <w:color w:val="000000" w:themeColor="text1"/>
        </w:rPr>
        <w:t xml:space="preserve"> Figure 7</w:t>
      </w:r>
      <w:r w:rsidR="00CC1C3A" w:rsidRPr="00827A08">
        <w:rPr>
          <w:color w:val="000000" w:themeColor="text1"/>
        </w:rPr>
        <w:t xml:space="preserve"> represents</w:t>
      </w:r>
      <w:r w:rsidR="0034115A" w:rsidRPr="00827A08">
        <w:rPr>
          <w:color w:val="000000" w:themeColor="text1"/>
        </w:rPr>
        <w:t xml:space="preserve"> the</w:t>
      </w:r>
      <w:r w:rsidR="00CC1C3A" w:rsidRPr="00827A08">
        <w:rPr>
          <w:color w:val="000000" w:themeColor="text1"/>
        </w:rPr>
        <w:t xml:space="preserve"> </w:t>
      </w:r>
      <w:r w:rsidR="004C4C3F" w:rsidRPr="00827A08">
        <w:rPr>
          <w:color w:val="000000" w:themeColor="text1"/>
        </w:rPr>
        <w:t>statu</w:t>
      </w:r>
      <w:r w:rsidR="00E2505F" w:rsidRPr="00827A08">
        <w:rPr>
          <w:color w:val="000000" w:themeColor="text1"/>
        </w:rPr>
        <w:t xml:space="preserve">s of NGT litigation between </w:t>
      </w:r>
      <w:r w:rsidR="00F130B8" w:rsidRPr="00827A08">
        <w:rPr>
          <w:color w:val="000000" w:themeColor="text1"/>
        </w:rPr>
        <w:t xml:space="preserve">July </w:t>
      </w:r>
      <w:r w:rsidR="00E2505F" w:rsidRPr="00827A08">
        <w:rPr>
          <w:color w:val="000000" w:themeColor="text1"/>
        </w:rPr>
        <w:t>2011</w:t>
      </w:r>
      <w:r w:rsidR="00F130B8" w:rsidRPr="00827A08">
        <w:rPr>
          <w:color w:val="000000" w:themeColor="text1"/>
        </w:rPr>
        <w:t xml:space="preserve"> to January 2018</w:t>
      </w:r>
      <w:r w:rsidR="004C4C3F" w:rsidRPr="00827A08">
        <w:rPr>
          <w:color w:val="000000" w:themeColor="text1"/>
        </w:rPr>
        <w:t>.</w:t>
      </w:r>
      <w:r w:rsidR="008935CB" w:rsidRPr="00827A08">
        <w:rPr>
          <w:color w:val="000000" w:themeColor="text1"/>
        </w:rPr>
        <w:t xml:space="preserve"> </w:t>
      </w:r>
      <w:r w:rsidR="006A5C23" w:rsidRPr="00827A08">
        <w:rPr>
          <w:color w:val="000000" w:themeColor="text1"/>
        </w:rPr>
        <w:t>The growi</w:t>
      </w:r>
      <w:r w:rsidR="00DB2A92" w:rsidRPr="00827A08">
        <w:rPr>
          <w:color w:val="000000" w:themeColor="text1"/>
        </w:rPr>
        <w:t>ng</w:t>
      </w:r>
      <w:r w:rsidR="0014675A" w:rsidRPr="00827A08">
        <w:rPr>
          <w:color w:val="000000" w:themeColor="text1"/>
        </w:rPr>
        <w:t xml:space="preserve"> public </w:t>
      </w:r>
      <w:r w:rsidR="000C75B3" w:rsidRPr="00827A08">
        <w:rPr>
          <w:color w:val="000000" w:themeColor="text1"/>
        </w:rPr>
        <w:t>awareness and the confi</w:t>
      </w:r>
      <w:r w:rsidR="006A5C23" w:rsidRPr="00827A08">
        <w:rPr>
          <w:color w:val="000000" w:themeColor="text1"/>
        </w:rPr>
        <w:t xml:space="preserve">dence in the NGT </w:t>
      </w:r>
      <w:r w:rsidR="000C75B3" w:rsidRPr="00827A08">
        <w:rPr>
          <w:color w:val="000000" w:themeColor="text1"/>
        </w:rPr>
        <w:t xml:space="preserve">symbolises </w:t>
      </w:r>
      <w:r w:rsidR="00DB2A92" w:rsidRPr="00827A08">
        <w:rPr>
          <w:color w:val="000000" w:themeColor="text1"/>
        </w:rPr>
        <w:t xml:space="preserve">widespread credibility </w:t>
      </w:r>
      <w:r w:rsidR="00EF3CFE" w:rsidRPr="00827A08">
        <w:rPr>
          <w:color w:val="000000" w:themeColor="text1"/>
        </w:rPr>
        <w:t>that promotes and supports environmental justice</w:t>
      </w:r>
      <w:r w:rsidR="00DB2A92" w:rsidRPr="00827A08">
        <w:rPr>
          <w:color w:val="000000" w:themeColor="text1"/>
        </w:rPr>
        <w:t>.</w:t>
      </w:r>
      <w:r w:rsidR="00EF3CFE" w:rsidRPr="00827A08">
        <w:rPr>
          <w:color w:val="000000" w:themeColor="text1"/>
        </w:rPr>
        <w:t xml:space="preserve"> </w:t>
      </w:r>
    </w:p>
    <w:p w14:paraId="7315BF93" w14:textId="08DB929D" w:rsidR="00560BE5" w:rsidRPr="00827A08" w:rsidRDefault="00B27177" w:rsidP="002C4CC5">
      <w:pPr>
        <w:widowControl w:val="0"/>
        <w:autoSpaceDE w:val="0"/>
        <w:autoSpaceDN w:val="0"/>
        <w:adjustRightInd w:val="0"/>
        <w:spacing w:after="240" w:line="360" w:lineRule="auto"/>
        <w:rPr>
          <w:color w:val="000000" w:themeColor="text1"/>
        </w:rPr>
      </w:pPr>
      <w:r w:rsidRPr="00827A08">
        <w:rPr>
          <w:color w:val="000000" w:themeColor="text1"/>
        </w:rPr>
        <w:t>T</w:t>
      </w:r>
      <w:r w:rsidR="00882630" w:rsidRPr="00827A08">
        <w:rPr>
          <w:color w:val="000000" w:themeColor="text1"/>
        </w:rPr>
        <w:t xml:space="preserve">he </w:t>
      </w:r>
      <w:r w:rsidR="001C6366" w:rsidRPr="00827A08">
        <w:rPr>
          <w:color w:val="000000" w:themeColor="text1"/>
        </w:rPr>
        <w:t xml:space="preserve">performance indicator for actual </w:t>
      </w:r>
      <w:r w:rsidR="004C2DF7" w:rsidRPr="00827A08">
        <w:rPr>
          <w:color w:val="000000" w:themeColor="text1"/>
        </w:rPr>
        <w:t>and better results</w:t>
      </w:r>
      <w:r w:rsidR="001C6366" w:rsidRPr="00827A08">
        <w:rPr>
          <w:color w:val="000000" w:themeColor="text1"/>
        </w:rPr>
        <w:t xml:space="preserve"> </w:t>
      </w:r>
      <w:r w:rsidR="0014675A" w:rsidRPr="00827A08">
        <w:rPr>
          <w:color w:val="000000" w:themeColor="text1"/>
        </w:rPr>
        <w:t>is</w:t>
      </w:r>
      <w:r w:rsidR="001C6366" w:rsidRPr="00827A08">
        <w:rPr>
          <w:color w:val="000000" w:themeColor="text1"/>
        </w:rPr>
        <w:t xml:space="preserve"> </w:t>
      </w:r>
      <w:r w:rsidRPr="00827A08">
        <w:rPr>
          <w:color w:val="000000" w:themeColor="text1"/>
        </w:rPr>
        <w:t xml:space="preserve">further </w:t>
      </w:r>
      <w:r w:rsidR="00740D6C" w:rsidRPr="00827A08">
        <w:rPr>
          <w:color w:val="000000" w:themeColor="text1"/>
        </w:rPr>
        <w:t xml:space="preserve">substantiated </w:t>
      </w:r>
      <w:r w:rsidR="00815498" w:rsidRPr="00827A08">
        <w:rPr>
          <w:color w:val="000000" w:themeColor="text1"/>
        </w:rPr>
        <w:t xml:space="preserve">by </w:t>
      </w:r>
      <w:r w:rsidR="00744E78" w:rsidRPr="00827A08">
        <w:rPr>
          <w:color w:val="000000" w:themeColor="text1"/>
        </w:rPr>
        <w:t xml:space="preserve">the </w:t>
      </w:r>
      <w:r w:rsidR="004E767F" w:rsidRPr="00827A08">
        <w:rPr>
          <w:color w:val="000000" w:themeColor="text1"/>
        </w:rPr>
        <w:t>NGT produc</w:t>
      </w:r>
      <w:r w:rsidR="00F749EB" w:rsidRPr="00827A08">
        <w:rPr>
          <w:color w:val="000000" w:themeColor="text1"/>
        </w:rPr>
        <w:t>ing</w:t>
      </w:r>
      <w:r w:rsidR="004E767F" w:rsidRPr="00827A08">
        <w:rPr>
          <w:color w:val="000000" w:themeColor="text1"/>
        </w:rPr>
        <w:t xml:space="preserve"> </w:t>
      </w:r>
      <w:r w:rsidR="00815498" w:rsidRPr="00827A08">
        <w:rPr>
          <w:color w:val="000000" w:themeColor="text1"/>
        </w:rPr>
        <w:t>judicially binding decisions</w:t>
      </w:r>
      <w:r w:rsidR="000F0DDE" w:rsidRPr="00827A08">
        <w:rPr>
          <w:color w:val="000000" w:themeColor="text1"/>
        </w:rPr>
        <w:t xml:space="preserve"> </w:t>
      </w:r>
      <w:r w:rsidR="004E767F" w:rsidRPr="00827A08">
        <w:rPr>
          <w:color w:val="000000" w:themeColor="text1"/>
        </w:rPr>
        <w:t xml:space="preserve">that </w:t>
      </w:r>
      <w:r w:rsidR="00815498" w:rsidRPr="00827A08">
        <w:rPr>
          <w:color w:val="000000" w:themeColor="text1"/>
        </w:rPr>
        <w:t>offer</w:t>
      </w:r>
      <w:r w:rsidR="004014E1" w:rsidRPr="00827A08">
        <w:rPr>
          <w:color w:val="000000" w:themeColor="text1"/>
        </w:rPr>
        <w:t xml:space="preserve"> </w:t>
      </w:r>
      <w:r w:rsidR="0060070E" w:rsidRPr="00827A08">
        <w:rPr>
          <w:color w:val="000000" w:themeColor="text1"/>
        </w:rPr>
        <w:t>ecological, technological and scientific resource knowledge</w:t>
      </w:r>
      <w:r w:rsidR="00815498" w:rsidRPr="00827A08">
        <w:rPr>
          <w:color w:val="000000" w:themeColor="text1"/>
        </w:rPr>
        <w:t xml:space="preserve">. </w:t>
      </w:r>
      <w:r w:rsidR="00CE036A" w:rsidRPr="00827A08">
        <w:rPr>
          <w:color w:val="000000" w:themeColor="text1"/>
        </w:rPr>
        <w:t>By</w:t>
      </w:r>
      <w:r w:rsidR="00815498" w:rsidRPr="00827A08">
        <w:rPr>
          <w:color w:val="000000" w:themeColor="text1"/>
        </w:rPr>
        <w:t xml:space="preserve"> </w:t>
      </w:r>
      <w:r w:rsidR="00F63F0C" w:rsidRPr="00827A08">
        <w:rPr>
          <w:color w:val="000000" w:themeColor="text1"/>
        </w:rPr>
        <w:t>reconfi</w:t>
      </w:r>
      <w:r w:rsidR="00815498" w:rsidRPr="00827A08">
        <w:rPr>
          <w:color w:val="000000" w:themeColor="text1"/>
        </w:rPr>
        <w:t>guring</w:t>
      </w:r>
      <w:r w:rsidR="00F63F0C" w:rsidRPr="00827A08">
        <w:rPr>
          <w:color w:val="000000" w:themeColor="text1"/>
        </w:rPr>
        <w:t xml:space="preserve"> its jurisdictional boundaries</w:t>
      </w:r>
      <w:r w:rsidR="00CE036A" w:rsidRPr="00827A08">
        <w:rPr>
          <w:color w:val="000000" w:themeColor="text1"/>
        </w:rPr>
        <w:t xml:space="preserve"> its decisions through expansive rat</w:t>
      </w:r>
      <w:r w:rsidR="00F6776C" w:rsidRPr="00827A08">
        <w:rPr>
          <w:color w:val="000000" w:themeColor="text1"/>
        </w:rPr>
        <w:t>ionale and innovative judgments</w:t>
      </w:r>
      <w:r w:rsidR="00291AE9">
        <w:rPr>
          <w:color w:val="000000" w:themeColor="text1"/>
        </w:rPr>
        <w:t xml:space="preserve"> go beyond the “courtroom door”</w:t>
      </w:r>
      <w:r w:rsidR="00907762" w:rsidRPr="00827A08">
        <w:rPr>
          <w:color w:val="000000" w:themeColor="text1"/>
        </w:rPr>
        <w:t xml:space="preserve"> with</w:t>
      </w:r>
      <w:r w:rsidR="00CE036A" w:rsidRPr="00827A08">
        <w:rPr>
          <w:color w:val="000000" w:themeColor="text1"/>
        </w:rPr>
        <w:t xml:space="preserve"> far-reaching social and economic impact. </w:t>
      </w:r>
      <w:r w:rsidR="00A51901" w:rsidRPr="00827A08">
        <w:rPr>
          <w:color w:val="000000" w:themeColor="text1"/>
        </w:rPr>
        <w:t xml:space="preserve">The legal lens has been expanded </w:t>
      </w:r>
      <w:r w:rsidR="003C199F" w:rsidRPr="00827A08">
        <w:rPr>
          <w:color w:val="000000" w:themeColor="text1"/>
        </w:rPr>
        <w:t>by the NGT decisions either through formulating policies or assist</w:t>
      </w:r>
      <w:r w:rsidR="00F749EB" w:rsidRPr="00827A08">
        <w:rPr>
          <w:color w:val="000000" w:themeColor="text1"/>
        </w:rPr>
        <w:t>ing</w:t>
      </w:r>
      <w:r w:rsidR="003C199F" w:rsidRPr="00827A08">
        <w:rPr>
          <w:color w:val="000000" w:themeColor="text1"/>
        </w:rPr>
        <w:t xml:space="preserve"> state</w:t>
      </w:r>
      <w:r w:rsidR="008A0AF2" w:rsidRPr="00827A08">
        <w:rPr>
          <w:color w:val="000000" w:themeColor="text1"/>
        </w:rPr>
        <w:t xml:space="preserve"> governments</w:t>
      </w:r>
      <w:r w:rsidR="003C199F" w:rsidRPr="00827A08">
        <w:rPr>
          <w:color w:val="000000" w:themeColor="text1"/>
        </w:rPr>
        <w:t xml:space="preserve"> with the implementation of these policies, thereby adopting both a problem-solving and policy-creation approach. </w:t>
      </w:r>
    </w:p>
    <w:p w14:paraId="2146CC95" w14:textId="715ED579" w:rsidR="00B27177" w:rsidRPr="00827A08" w:rsidRDefault="00CE036A" w:rsidP="002C4CC5">
      <w:pPr>
        <w:widowControl w:val="0"/>
        <w:autoSpaceDE w:val="0"/>
        <w:autoSpaceDN w:val="0"/>
        <w:adjustRightInd w:val="0"/>
        <w:spacing w:after="240" w:line="360" w:lineRule="auto"/>
        <w:rPr>
          <w:color w:val="000000" w:themeColor="text1"/>
        </w:rPr>
      </w:pPr>
      <w:r w:rsidRPr="00827A08">
        <w:rPr>
          <w:color w:val="000000" w:themeColor="text1"/>
        </w:rPr>
        <w:t xml:space="preserve">A major innovation is the NGT’s willingness to offer scientifically based structural planning and policies that respond creatively to weak, ineffective regulation or even the absence of regulation. </w:t>
      </w:r>
      <w:r w:rsidR="00E63038" w:rsidRPr="00827A08">
        <w:rPr>
          <w:color w:val="000000" w:themeColor="text1"/>
        </w:rPr>
        <w:t xml:space="preserve">The scientific experts apply constructive interpretation to expand the scope of rules and regulations if the activity is injurious to public health and environment. Such an interpretation serves the public interest in contrast to the private or individual interest. </w:t>
      </w:r>
      <w:r w:rsidR="004819B0" w:rsidRPr="00827A08">
        <w:rPr>
          <w:color w:val="000000" w:themeColor="text1"/>
        </w:rPr>
        <w:t xml:space="preserve">For example, in </w:t>
      </w:r>
      <w:r w:rsidR="004819B0" w:rsidRPr="00827A08">
        <w:rPr>
          <w:i/>
          <w:iCs/>
          <w:color w:val="000000" w:themeColor="text1"/>
        </w:rPr>
        <w:t>Asim Sarode v Maharashtra Pollution Control Board</w:t>
      </w:r>
      <w:r w:rsidR="003127E5" w:rsidRPr="00827A08">
        <w:rPr>
          <w:color w:val="000000" w:themeColor="text1"/>
        </w:rPr>
        <w:t>,</w:t>
      </w:r>
      <w:r w:rsidR="003127E5" w:rsidRPr="00827A08">
        <w:rPr>
          <w:rStyle w:val="FootnoteReference"/>
          <w:color w:val="000000" w:themeColor="text1"/>
        </w:rPr>
        <w:footnoteReference w:id="167"/>
      </w:r>
      <w:r w:rsidR="003127E5" w:rsidRPr="00827A08">
        <w:rPr>
          <w:color w:val="000000" w:themeColor="text1"/>
        </w:rPr>
        <w:t xml:space="preserve"> </w:t>
      </w:r>
      <w:r w:rsidR="004819B0" w:rsidRPr="00827A08">
        <w:rPr>
          <w:color w:val="000000" w:themeColor="text1"/>
        </w:rPr>
        <w:t>the NGT identified the absence of notified standards for used tyre disposal. Open tyre burning is toxic and mutagenic. Stock-piled used tyres can also be a health hazard as they become breeding grounds for diseases and can catch fire. Accordingly, the NGT directed the regulatory agencies to urgently develop regulations dealing systematical</w:t>
      </w:r>
      <w:r w:rsidR="009E5500">
        <w:rPr>
          <w:color w:val="000000" w:themeColor="text1"/>
        </w:rPr>
        <w:t>ly with the issue based on the “life cycle approach”</w:t>
      </w:r>
      <w:r w:rsidR="004819B0" w:rsidRPr="00827A08">
        <w:rPr>
          <w:color w:val="000000" w:themeColor="text1"/>
        </w:rPr>
        <w:t xml:space="preserve">, considering the pollution potential, data on tyre generation, technology options, techno-economic viability and the social implications based on the principles of </w:t>
      </w:r>
      <w:r w:rsidR="00E63038" w:rsidRPr="00827A08">
        <w:rPr>
          <w:color w:val="000000" w:themeColor="text1"/>
        </w:rPr>
        <w:t xml:space="preserve">sustainable development and the </w:t>
      </w:r>
      <w:r w:rsidR="004819B0" w:rsidRPr="00827A08">
        <w:rPr>
          <w:color w:val="000000" w:themeColor="text1"/>
        </w:rPr>
        <w:t xml:space="preserve">precautionary principle. </w:t>
      </w:r>
      <w:r w:rsidR="006E40E4" w:rsidRPr="00827A08">
        <w:rPr>
          <w:color w:val="000000" w:themeColor="text1"/>
        </w:rPr>
        <w:t xml:space="preserve">Again, in </w:t>
      </w:r>
      <w:r w:rsidR="00560BE5" w:rsidRPr="00827A08">
        <w:rPr>
          <w:i/>
          <w:iCs/>
          <w:color w:val="000000" w:themeColor="text1"/>
        </w:rPr>
        <w:t xml:space="preserve">Haat </w:t>
      </w:r>
      <w:r w:rsidR="006E40E4" w:rsidRPr="00827A08">
        <w:rPr>
          <w:i/>
          <w:iCs/>
          <w:color w:val="000000" w:themeColor="text1"/>
        </w:rPr>
        <w:t>Supreme Wastech Limited v State of Haryana</w:t>
      </w:r>
      <w:r w:rsidR="001D4678" w:rsidRPr="00827A08">
        <w:rPr>
          <w:color w:val="000000" w:themeColor="text1"/>
        </w:rPr>
        <w:t>,</w:t>
      </w:r>
      <w:r w:rsidR="001D4678" w:rsidRPr="00827A08">
        <w:rPr>
          <w:rStyle w:val="FootnoteReference"/>
          <w:color w:val="000000" w:themeColor="text1"/>
        </w:rPr>
        <w:footnoteReference w:id="168"/>
      </w:r>
      <w:r w:rsidR="001D4678" w:rsidRPr="00827A08">
        <w:rPr>
          <w:color w:val="000000" w:themeColor="text1"/>
        </w:rPr>
        <w:t xml:space="preserve"> </w:t>
      </w:r>
      <w:r w:rsidR="006E40E4" w:rsidRPr="00827A08">
        <w:rPr>
          <w:color w:val="000000" w:themeColor="text1"/>
        </w:rPr>
        <w:t xml:space="preserve">the NGT expanded the scope of rules relating to bio-medical waste treatment plants. The Bio-Medical Waste (Management and Handling) Rules 1998 are silent about whether the establishment and operation of a treatment plant requires environmental clearance. Bio-medical waste by its very nature is hazardous. The </w:t>
      </w:r>
      <w:r w:rsidR="00021CDC" w:rsidRPr="00827A08">
        <w:rPr>
          <w:color w:val="000000" w:themeColor="text1"/>
        </w:rPr>
        <w:t>Tribunal</w:t>
      </w:r>
      <w:r w:rsidR="006E40E4" w:rsidRPr="00827A08">
        <w:rPr>
          <w:color w:val="000000" w:themeColor="text1"/>
        </w:rPr>
        <w:t xml:space="preserve"> directed that it is mandatory to obtain environmental clearance for the treatment plants. This requirement, when properly carried out, would help ensure an appropriate analysis of the suitability of the location and its surroundings, the impact on public health, and a more stringent observation of parameters and standards by the project proponent.</w:t>
      </w:r>
      <w:r w:rsidR="00D30FE6" w:rsidRPr="00827A08">
        <w:rPr>
          <w:rStyle w:val="FootnoteReference"/>
          <w:color w:val="000000" w:themeColor="text1"/>
        </w:rPr>
        <w:footnoteReference w:id="169"/>
      </w:r>
    </w:p>
    <w:p w14:paraId="7E0D1D12" w14:textId="7070F641" w:rsidR="002F539D" w:rsidRPr="00827A08" w:rsidRDefault="00E67759" w:rsidP="002C4CC5">
      <w:pPr>
        <w:widowControl w:val="0"/>
        <w:autoSpaceDE w:val="0"/>
        <w:autoSpaceDN w:val="0"/>
        <w:adjustRightInd w:val="0"/>
        <w:spacing w:after="240" w:line="360" w:lineRule="auto"/>
        <w:rPr>
          <w:color w:val="000000" w:themeColor="text1"/>
        </w:rPr>
      </w:pPr>
      <w:r w:rsidRPr="00827A08">
        <w:rPr>
          <w:color w:val="000000" w:themeColor="text1"/>
        </w:rPr>
        <w:t xml:space="preserve">In addition, </w:t>
      </w:r>
      <w:r w:rsidR="00376A0A" w:rsidRPr="00827A08">
        <w:rPr>
          <w:color w:val="000000" w:themeColor="text1"/>
        </w:rPr>
        <w:t>t</w:t>
      </w:r>
      <w:r w:rsidR="00B27177" w:rsidRPr="00827A08">
        <w:rPr>
          <w:color w:val="000000" w:themeColor="text1"/>
        </w:rPr>
        <w:t xml:space="preserve">he NGT </w:t>
      </w:r>
      <w:r w:rsidRPr="00827A08">
        <w:rPr>
          <w:color w:val="000000" w:themeColor="text1"/>
        </w:rPr>
        <w:t xml:space="preserve">adopted </w:t>
      </w:r>
      <w:r w:rsidR="00653A46" w:rsidRPr="00827A08">
        <w:rPr>
          <w:color w:val="000000" w:themeColor="text1"/>
        </w:rPr>
        <w:t xml:space="preserve">an accountability-focused approach whereby a diverse set of actors </w:t>
      </w:r>
      <w:r w:rsidR="00E14CDE" w:rsidRPr="00827A08">
        <w:rPr>
          <w:color w:val="000000" w:themeColor="text1"/>
        </w:rPr>
        <w:t>including</w:t>
      </w:r>
      <w:r w:rsidR="00653A46" w:rsidRPr="00827A08">
        <w:rPr>
          <w:color w:val="000000" w:themeColor="text1"/>
        </w:rPr>
        <w:t xml:space="preserve"> governmental and local authorities, companies and multinational corporations were restrained in compromising human welfare and the ecology.</w:t>
      </w:r>
      <w:r w:rsidR="00E80126" w:rsidRPr="00827A08">
        <w:rPr>
          <w:color w:val="000000" w:themeColor="text1"/>
        </w:rPr>
        <w:t xml:space="preserve"> </w:t>
      </w:r>
      <w:r w:rsidR="00376A0A" w:rsidRPr="00827A08">
        <w:rPr>
          <w:color w:val="000000" w:themeColor="text1"/>
        </w:rPr>
        <w:t xml:space="preserve">Importantly, </w:t>
      </w:r>
      <w:r w:rsidR="008935CB" w:rsidRPr="00827A08">
        <w:rPr>
          <w:color w:val="000000" w:themeColor="text1"/>
        </w:rPr>
        <w:t xml:space="preserve">in its decisions </w:t>
      </w:r>
      <w:r w:rsidR="00B27177" w:rsidRPr="00827A08">
        <w:rPr>
          <w:color w:val="000000" w:themeColor="text1"/>
        </w:rPr>
        <w:t xml:space="preserve">the </w:t>
      </w:r>
      <w:r w:rsidR="00BB5212" w:rsidRPr="00827A08">
        <w:rPr>
          <w:color w:val="000000" w:themeColor="text1"/>
        </w:rPr>
        <w:t>NGT</w:t>
      </w:r>
      <w:r w:rsidR="00376A0A" w:rsidRPr="00827A08">
        <w:rPr>
          <w:color w:val="000000" w:themeColor="text1"/>
        </w:rPr>
        <w:t xml:space="preserve"> identifi</w:t>
      </w:r>
      <w:r w:rsidR="00B27177" w:rsidRPr="00827A08">
        <w:rPr>
          <w:color w:val="000000" w:themeColor="text1"/>
        </w:rPr>
        <w:t>ed the</w:t>
      </w:r>
      <w:r w:rsidR="00376A0A" w:rsidRPr="00827A08">
        <w:rPr>
          <w:color w:val="000000" w:themeColor="text1"/>
        </w:rPr>
        <w:t xml:space="preserve"> MoEF and related regulatory </w:t>
      </w:r>
      <w:r w:rsidR="0095747E" w:rsidRPr="00827A08">
        <w:rPr>
          <w:color w:val="000000" w:themeColor="text1"/>
        </w:rPr>
        <w:t>agencies</w:t>
      </w:r>
      <w:r w:rsidR="00B27177" w:rsidRPr="00827A08">
        <w:rPr>
          <w:color w:val="000000" w:themeColor="text1"/>
        </w:rPr>
        <w:t xml:space="preserve"> as demonstrating indifference, </w:t>
      </w:r>
      <w:r w:rsidR="00B27177" w:rsidRPr="00827A08">
        <w:rPr>
          <w:i/>
          <w:iCs/>
          <w:color w:val="000000" w:themeColor="text1"/>
        </w:rPr>
        <w:t xml:space="preserve">ultra vires </w:t>
      </w:r>
      <w:r w:rsidR="00B27177" w:rsidRPr="00827A08">
        <w:rPr>
          <w:color w:val="000000" w:themeColor="text1"/>
        </w:rPr>
        <w:t>or negligence in the exercise of their responsibilities</w:t>
      </w:r>
      <w:r w:rsidR="002F539D" w:rsidRPr="00827A08">
        <w:rPr>
          <w:color w:val="000000" w:themeColor="text1"/>
        </w:rPr>
        <w:t>.</w:t>
      </w:r>
      <w:r w:rsidR="00402005" w:rsidRPr="00827A08">
        <w:rPr>
          <w:rStyle w:val="FootnoteReference"/>
          <w:color w:val="000000" w:themeColor="text1"/>
        </w:rPr>
        <w:footnoteReference w:id="170"/>
      </w:r>
      <w:r w:rsidR="00402005" w:rsidRPr="00827A08">
        <w:rPr>
          <w:color w:val="000000" w:themeColor="text1"/>
        </w:rPr>
        <w:t xml:space="preserve"> </w:t>
      </w:r>
      <w:r w:rsidR="002F539D" w:rsidRPr="00827A08">
        <w:rPr>
          <w:color w:val="000000" w:themeColor="text1"/>
        </w:rPr>
        <w:t xml:space="preserve">In </w:t>
      </w:r>
      <w:r w:rsidR="002F539D" w:rsidRPr="00827A08">
        <w:rPr>
          <w:i/>
          <w:iCs/>
          <w:color w:val="000000" w:themeColor="text1"/>
        </w:rPr>
        <w:t>Jai Singh v Union of India</w:t>
      </w:r>
      <w:r w:rsidR="00402005" w:rsidRPr="00827A08">
        <w:rPr>
          <w:rStyle w:val="FootnoteReference"/>
          <w:i/>
          <w:iCs/>
          <w:color w:val="000000" w:themeColor="text1"/>
        </w:rPr>
        <w:footnoteReference w:id="171"/>
      </w:r>
      <w:r w:rsidR="00402005" w:rsidRPr="00827A08">
        <w:rPr>
          <w:i/>
          <w:iCs/>
          <w:color w:val="000000" w:themeColor="text1"/>
        </w:rPr>
        <w:t xml:space="preserve"> </w:t>
      </w:r>
      <w:r w:rsidR="002F539D" w:rsidRPr="00827A08">
        <w:rPr>
          <w:color w:val="000000" w:themeColor="text1"/>
        </w:rPr>
        <w:t>the NGT identified failure of government and regulatory authorities in preventing and controlling pollution arising from illegal and unauthorised mining, transportation and running of screening plants</w:t>
      </w:r>
      <w:r w:rsidR="0095747E" w:rsidRPr="00827A08">
        <w:rPr>
          <w:color w:val="000000" w:themeColor="text1"/>
        </w:rPr>
        <w:t xml:space="preserve"> and </w:t>
      </w:r>
      <w:r w:rsidR="002F539D" w:rsidRPr="00827A08">
        <w:rPr>
          <w:color w:val="000000" w:themeColor="text1"/>
        </w:rPr>
        <w:t xml:space="preserve">stone crushers. The </w:t>
      </w:r>
      <w:r w:rsidR="00021CDC" w:rsidRPr="00827A08">
        <w:rPr>
          <w:color w:val="000000" w:themeColor="text1"/>
        </w:rPr>
        <w:t>Tribunal</w:t>
      </w:r>
      <w:r w:rsidR="002F539D" w:rsidRPr="00827A08">
        <w:rPr>
          <w:color w:val="000000" w:themeColor="text1"/>
        </w:rPr>
        <w:t xml:space="preserve"> </w:t>
      </w:r>
      <w:r w:rsidR="0095747E" w:rsidRPr="00827A08">
        <w:rPr>
          <w:color w:val="000000" w:themeColor="text1"/>
        </w:rPr>
        <w:t>stat</w:t>
      </w:r>
      <w:r w:rsidR="002F539D" w:rsidRPr="00827A08">
        <w:rPr>
          <w:color w:val="000000" w:themeColor="text1"/>
        </w:rPr>
        <w:t xml:space="preserve">ed: </w:t>
      </w:r>
    </w:p>
    <w:p w14:paraId="6AEE5521" w14:textId="4867C256" w:rsidR="002F539D" w:rsidRPr="003F71D9" w:rsidRDefault="002F539D"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 . . . the activity must be brought within the control of legal and regulatory regime. The concerned authorities of the Government and Boards should not only realise their responsibility and statutory obligation but should ensure that there is no unregulated exploitation of the natural resources and degradation to the environment. Respondents, including the State Government, the Boards, MoEF and other concerned authorities have permitted such activity despite orders of the Hon’ble Supreme Court of India, the High Courts and the </w:t>
      </w:r>
      <w:r w:rsidR="00021CDC" w:rsidRPr="003F71D9">
        <w:rPr>
          <w:color w:val="000000" w:themeColor="text1"/>
          <w:sz w:val="20"/>
          <w:szCs w:val="20"/>
        </w:rPr>
        <w:t>Tribunal</w:t>
      </w:r>
      <w:r w:rsidRPr="003F71D9">
        <w:rPr>
          <w:color w:val="000000" w:themeColor="text1"/>
          <w:sz w:val="20"/>
          <w:szCs w:val="20"/>
        </w:rPr>
        <w:t>. There is definite evidence on record to show that illegal mining has continued . . . Merely denying the authenticity of the photos, videos and other documentary evidences on the pretext that they were doctored would not amount to discharge of the onus placed upon the respondents . . .</w:t>
      </w:r>
      <w:r w:rsidR="00345EEA" w:rsidRPr="003F71D9">
        <w:rPr>
          <w:sz w:val="20"/>
          <w:szCs w:val="20"/>
          <w:vertAlign w:val="superscript"/>
        </w:rPr>
        <w:footnoteReference w:id="172"/>
      </w:r>
      <w:r w:rsidRPr="003F71D9">
        <w:rPr>
          <w:color w:val="000000" w:themeColor="text1"/>
          <w:sz w:val="20"/>
          <w:szCs w:val="20"/>
          <w:vertAlign w:val="superscript"/>
        </w:rPr>
        <w:t xml:space="preserve"> </w:t>
      </w:r>
    </w:p>
    <w:p w14:paraId="015FBFD8" w14:textId="46566096" w:rsidR="004E1D23" w:rsidRPr="00827A08" w:rsidRDefault="00B27177" w:rsidP="002C4CC5">
      <w:pPr>
        <w:widowControl w:val="0"/>
        <w:autoSpaceDE w:val="0"/>
        <w:autoSpaceDN w:val="0"/>
        <w:adjustRightInd w:val="0"/>
        <w:spacing w:after="240" w:line="360" w:lineRule="auto"/>
        <w:rPr>
          <w:color w:val="000000" w:themeColor="text1"/>
        </w:rPr>
      </w:pPr>
      <w:r w:rsidRPr="00827A08">
        <w:rPr>
          <w:color w:val="000000" w:themeColor="text1"/>
        </w:rPr>
        <w:t>Frequently, the MoEF has been subjected to severe criticism by the NGT for failing to observe its own procedural rules such as the improper grantin</w:t>
      </w:r>
      <w:r w:rsidR="007B75B1" w:rsidRPr="00827A08">
        <w:rPr>
          <w:color w:val="000000" w:themeColor="text1"/>
        </w:rPr>
        <w:t>g of licences without prior environment impact assessments</w:t>
      </w:r>
      <w:r w:rsidR="002329AF" w:rsidRPr="00827A08">
        <w:rPr>
          <w:color w:val="000000" w:themeColor="text1"/>
        </w:rPr>
        <w:t xml:space="preserve"> (EIAs)</w:t>
      </w:r>
      <w:r w:rsidRPr="00827A08">
        <w:rPr>
          <w:color w:val="000000" w:themeColor="text1"/>
        </w:rPr>
        <w:t xml:space="preserve"> being completed or appropriately conducted</w:t>
      </w:r>
      <w:r w:rsidR="00495FEB" w:rsidRPr="00827A08">
        <w:rPr>
          <w:color w:val="000000" w:themeColor="text1"/>
        </w:rPr>
        <w:t>.</w:t>
      </w:r>
      <w:r w:rsidR="00495FEB" w:rsidRPr="00827A08">
        <w:rPr>
          <w:rStyle w:val="FootnoteReference"/>
          <w:color w:val="000000" w:themeColor="text1"/>
        </w:rPr>
        <w:footnoteReference w:id="173"/>
      </w:r>
      <w:r w:rsidRPr="00827A08">
        <w:rPr>
          <w:color w:val="000000" w:themeColor="text1"/>
        </w:rPr>
        <w:t xml:space="preserve"> </w:t>
      </w:r>
      <w:r w:rsidR="00E65009" w:rsidRPr="00827A08">
        <w:rPr>
          <w:color w:val="000000" w:themeColor="text1"/>
        </w:rPr>
        <w:t xml:space="preserve">In India, there have been serious failures regarding </w:t>
      </w:r>
      <w:r w:rsidR="007B75B1" w:rsidRPr="00827A08">
        <w:rPr>
          <w:color w:val="000000" w:themeColor="text1"/>
        </w:rPr>
        <w:t>cumulative environment impact assessment</w:t>
      </w:r>
      <w:r w:rsidR="007D5CC4" w:rsidRPr="00827A08">
        <w:rPr>
          <w:color w:val="000000" w:themeColor="text1"/>
        </w:rPr>
        <w:t xml:space="preserve"> </w:t>
      </w:r>
      <w:r w:rsidR="00E65009" w:rsidRPr="00827A08">
        <w:rPr>
          <w:color w:val="000000" w:themeColor="text1"/>
        </w:rPr>
        <w:t>studies, rendering this crucial process meaningless.</w:t>
      </w:r>
      <w:r w:rsidR="007D5CC4" w:rsidRPr="00827A08">
        <w:rPr>
          <w:color w:val="000000" w:themeColor="text1"/>
        </w:rPr>
        <w:t xml:space="preserve"> For examp</w:t>
      </w:r>
      <w:r w:rsidR="00B67272" w:rsidRPr="00827A08">
        <w:rPr>
          <w:color w:val="000000" w:themeColor="text1"/>
        </w:rPr>
        <w:t>le, in</w:t>
      </w:r>
      <w:r w:rsidR="00123860" w:rsidRPr="00827A08">
        <w:rPr>
          <w:color w:val="000000" w:themeColor="text1"/>
        </w:rPr>
        <w:t xml:space="preserve"> </w:t>
      </w:r>
      <w:r w:rsidR="00123860" w:rsidRPr="00827A08">
        <w:rPr>
          <w:i/>
          <w:iCs/>
          <w:color w:val="000000" w:themeColor="text1"/>
        </w:rPr>
        <w:t>Krishi Vigyan Arogya Sanstha v MoEF</w:t>
      </w:r>
      <w:r w:rsidR="00F141A0" w:rsidRPr="00827A08">
        <w:rPr>
          <w:rStyle w:val="FootnoteReference"/>
          <w:i/>
          <w:iCs/>
          <w:color w:val="000000" w:themeColor="text1"/>
        </w:rPr>
        <w:footnoteReference w:id="174"/>
      </w:r>
      <w:r w:rsidR="00123860" w:rsidRPr="00827A08">
        <w:rPr>
          <w:i/>
          <w:iCs/>
          <w:color w:val="000000" w:themeColor="text1"/>
        </w:rPr>
        <w:t xml:space="preserve"> </w:t>
      </w:r>
      <w:r w:rsidR="0093256A" w:rsidRPr="00827A08">
        <w:rPr>
          <w:color w:val="000000" w:themeColor="text1"/>
        </w:rPr>
        <w:t xml:space="preserve">the </w:t>
      </w:r>
      <w:r w:rsidR="00021CDC" w:rsidRPr="00827A08">
        <w:rPr>
          <w:color w:val="000000" w:themeColor="text1"/>
        </w:rPr>
        <w:t>Tribunal</w:t>
      </w:r>
      <w:r w:rsidR="003B0720" w:rsidRPr="00827A08">
        <w:rPr>
          <w:color w:val="000000" w:themeColor="text1"/>
        </w:rPr>
        <w:t xml:space="preserve"> cancelled</w:t>
      </w:r>
      <w:r w:rsidR="0093256A" w:rsidRPr="00827A08">
        <w:rPr>
          <w:color w:val="000000" w:themeColor="text1"/>
        </w:rPr>
        <w:t xml:space="preserve"> the grant of environmental clearance</w:t>
      </w:r>
      <w:r w:rsidR="00123860" w:rsidRPr="00827A08">
        <w:rPr>
          <w:color w:val="000000" w:themeColor="text1"/>
        </w:rPr>
        <w:t xml:space="preserve"> for a coal-based thermal power project in the absence of a proper CEIA. </w:t>
      </w:r>
      <w:r w:rsidR="00E67F99" w:rsidRPr="00827A08">
        <w:rPr>
          <w:color w:val="000000" w:themeColor="text1"/>
        </w:rPr>
        <w:t>No scientific assessment</w:t>
      </w:r>
      <w:r w:rsidR="00DD73ED" w:rsidRPr="00827A08">
        <w:rPr>
          <w:color w:val="000000" w:themeColor="text1"/>
        </w:rPr>
        <w:t>s</w:t>
      </w:r>
      <w:r w:rsidR="00E67F99" w:rsidRPr="00827A08">
        <w:rPr>
          <w:color w:val="000000" w:themeColor="text1"/>
        </w:rPr>
        <w:t xml:space="preserve"> were done in relation to expected excess cardio-vascular and respiratory mortality, children’s asthma and respiratory dysfunction attributable to the exposure to the air pollutants from the plant,</w:t>
      </w:r>
      <w:r w:rsidR="00DD73ED" w:rsidRPr="00827A08">
        <w:rPr>
          <w:color w:val="000000" w:themeColor="text1"/>
        </w:rPr>
        <w:t xml:space="preserve"> the impact on the water bodies and its impact on aquatic life, and the effect of nucl</w:t>
      </w:r>
      <w:r w:rsidR="008935CB" w:rsidRPr="00827A08">
        <w:rPr>
          <w:color w:val="000000" w:themeColor="text1"/>
        </w:rPr>
        <w:t xml:space="preserve">ear radiation in and around the </w:t>
      </w:r>
      <w:r w:rsidR="00DD73ED" w:rsidRPr="00827A08">
        <w:rPr>
          <w:color w:val="000000" w:themeColor="text1"/>
        </w:rPr>
        <w:t xml:space="preserve">plant. </w:t>
      </w:r>
      <w:r w:rsidR="004E1D23" w:rsidRPr="00827A08">
        <w:rPr>
          <w:color w:val="000000" w:themeColor="text1"/>
        </w:rPr>
        <w:t xml:space="preserve">In </w:t>
      </w:r>
      <w:r w:rsidR="004E1D23" w:rsidRPr="00827A08">
        <w:rPr>
          <w:i/>
          <w:iCs/>
          <w:color w:val="000000" w:themeColor="text1"/>
        </w:rPr>
        <w:t>Prafulla Samantray v Union of Indi</w:t>
      </w:r>
      <w:r w:rsidR="00F141A0" w:rsidRPr="00827A08">
        <w:rPr>
          <w:i/>
          <w:iCs/>
          <w:color w:val="000000" w:themeColor="text1"/>
        </w:rPr>
        <w:t>a</w:t>
      </w:r>
      <w:r w:rsidR="00F141A0" w:rsidRPr="00827A08">
        <w:rPr>
          <w:rStyle w:val="FootnoteReference"/>
          <w:i/>
          <w:iCs/>
          <w:color w:val="000000" w:themeColor="text1"/>
        </w:rPr>
        <w:footnoteReference w:id="175"/>
      </w:r>
      <w:r w:rsidR="00A153E9">
        <w:rPr>
          <w:i/>
          <w:iCs/>
          <w:color w:val="000000" w:themeColor="text1"/>
        </w:rPr>
        <w:t xml:space="preserve"> </w:t>
      </w:r>
      <w:r w:rsidR="004E1D23" w:rsidRPr="00827A08">
        <w:rPr>
          <w:color w:val="000000" w:themeColor="text1"/>
        </w:rPr>
        <w:t xml:space="preserve">(the POSCO case), the issue before the NGT was opposition to the proposed POSCO project, involving the construction of an integrated steel plant with a service seaport at Paradip in the state of Orissa. The construction of the proposed plant and port threatened the area’s unique biodiversity and anticipated the dislocation and displacement of the long-standing forest-dwelling communities.  </w:t>
      </w:r>
      <w:r w:rsidR="0095747E" w:rsidRPr="00827A08">
        <w:rPr>
          <w:color w:val="000000" w:themeColor="text1"/>
        </w:rPr>
        <w:t>T</w:t>
      </w:r>
      <w:r w:rsidR="004E1D23" w:rsidRPr="00827A08">
        <w:rPr>
          <w:color w:val="000000" w:themeColor="text1"/>
        </w:rPr>
        <w:t>he NGT</w:t>
      </w:r>
      <w:r w:rsidR="0095747E" w:rsidRPr="00827A08">
        <w:rPr>
          <w:color w:val="000000" w:themeColor="text1"/>
        </w:rPr>
        <w:t xml:space="preserve"> held</w:t>
      </w:r>
      <w:r w:rsidR="004E1D23" w:rsidRPr="00827A08">
        <w:rPr>
          <w:color w:val="000000" w:themeColor="text1"/>
        </w:rPr>
        <w:t xml:space="preserve"> no meticulous scientific study was undertaken leaving lingering and threatening environmental and ecological doubts unanswered. </w:t>
      </w:r>
      <w:r w:rsidR="00CC0D7A" w:rsidRPr="00827A08">
        <w:rPr>
          <w:color w:val="000000" w:themeColor="text1"/>
        </w:rPr>
        <w:t xml:space="preserve">Factors such as </w:t>
      </w:r>
      <w:r w:rsidR="004E1D23" w:rsidRPr="00827A08">
        <w:rPr>
          <w:color w:val="000000" w:themeColor="text1"/>
        </w:rPr>
        <w:t xml:space="preserve">siting of the project, present pollution levels, impact on surrounding wetlands </w:t>
      </w:r>
      <w:r w:rsidR="00CC0D7A" w:rsidRPr="00827A08">
        <w:rPr>
          <w:color w:val="000000" w:themeColor="text1"/>
        </w:rPr>
        <w:t>and man</w:t>
      </w:r>
      <w:r w:rsidR="004E1D23" w:rsidRPr="00827A08">
        <w:rPr>
          <w:color w:val="000000" w:themeColor="text1"/>
        </w:rPr>
        <w:t>groves and their biodiversity, risk assessment with respect to the proposed port project, impact of source of water requirements under competing scenarios, and evaluation of the zero-discharge proposal</w:t>
      </w:r>
      <w:r w:rsidR="00CC0D7A" w:rsidRPr="00827A08">
        <w:rPr>
          <w:color w:val="000000" w:themeColor="text1"/>
        </w:rPr>
        <w:t xml:space="preserve"> were not studied</w:t>
      </w:r>
      <w:r w:rsidR="004E1D23" w:rsidRPr="00827A08">
        <w:rPr>
          <w:color w:val="000000" w:themeColor="text1"/>
        </w:rPr>
        <w:t xml:space="preserve">. The </w:t>
      </w:r>
      <w:r w:rsidR="00021CDC" w:rsidRPr="00827A08">
        <w:rPr>
          <w:color w:val="000000" w:themeColor="text1"/>
        </w:rPr>
        <w:t>Tribunal</w:t>
      </w:r>
      <w:r w:rsidR="004E1D23" w:rsidRPr="00827A08">
        <w:rPr>
          <w:color w:val="000000" w:themeColor="text1"/>
        </w:rPr>
        <w:t xml:space="preserve"> required a comprehensive and integrated EIA based on at least one full year of baseline data, especially considering the magnitude of the project and its likel</w:t>
      </w:r>
      <w:r w:rsidR="00CC0D7A" w:rsidRPr="00827A08">
        <w:rPr>
          <w:color w:val="000000" w:themeColor="text1"/>
        </w:rPr>
        <w:t>y impact on various environmen</w:t>
      </w:r>
      <w:r w:rsidR="004E1D23" w:rsidRPr="00827A08">
        <w:rPr>
          <w:color w:val="000000" w:themeColor="text1"/>
        </w:rPr>
        <w:t>tal attributes in the ecologically sensitive area. The init</w:t>
      </w:r>
      <w:r w:rsidR="00A5788D">
        <w:rPr>
          <w:color w:val="000000" w:themeColor="text1"/>
        </w:rPr>
        <w:t xml:space="preserve">ial clearance was set aside as arbitrary and illegal and </w:t>
      </w:r>
      <w:r w:rsidR="004E1D23" w:rsidRPr="00827A08">
        <w:rPr>
          <w:color w:val="000000" w:themeColor="text1"/>
        </w:rPr>
        <w:t>vitiated in the eyes of law</w:t>
      </w:r>
      <w:r w:rsidR="00594A81" w:rsidRPr="00827A08">
        <w:rPr>
          <w:color w:val="000000" w:themeColor="text1"/>
        </w:rPr>
        <w:t>.</w:t>
      </w:r>
    </w:p>
    <w:p w14:paraId="519F6BE2" w14:textId="3D8E3F5E" w:rsidR="0024055C" w:rsidRPr="00827A08" w:rsidRDefault="00B27177" w:rsidP="002C4CC5">
      <w:pPr>
        <w:pStyle w:val="NormalWeb"/>
        <w:spacing w:before="0" w:beforeAutospacing="0" w:after="0" w:afterAutospacing="0" w:line="360" w:lineRule="auto"/>
        <w:textAlignment w:val="baseline"/>
        <w:rPr>
          <w:color w:val="000000" w:themeColor="text1"/>
        </w:rPr>
      </w:pPr>
      <w:r w:rsidRPr="00827A08">
        <w:rPr>
          <w:color w:val="000000" w:themeColor="text1"/>
        </w:rPr>
        <w:t xml:space="preserve">The </w:t>
      </w:r>
      <w:r w:rsidR="00021CDC" w:rsidRPr="00827A08">
        <w:rPr>
          <w:color w:val="000000" w:themeColor="text1"/>
        </w:rPr>
        <w:t>Tribunal</w:t>
      </w:r>
      <w:r w:rsidRPr="00827A08">
        <w:rPr>
          <w:color w:val="000000" w:themeColor="text1"/>
        </w:rPr>
        <w:t xml:space="preserve"> has been prepared to call senior</w:t>
      </w:r>
      <w:r w:rsidR="00941B55" w:rsidRPr="00827A08">
        <w:rPr>
          <w:color w:val="000000" w:themeColor="text1"/>
        </w:rPr>
        <w:t xml:space="preserve"> civil servants to the court </w:t>
      </w:r>
      <w:r w:rsidR="002F09E7" w:rsidRPr="00827A08">
        <w:rPr>
          <w:color w:val="000000" w:themeColor="text1"/>
        </w:rPr>
        <w:t xml:space="preserve">having </w:t>
      </w:r>
      <w:r w:rsidRPr="00827A08">
        <w:rPr>
          <w:color w:val="000000" w:themeColor="text1"/>
        </w:rPr>
        <w:t>hear</w:t>
      </w:r>
      <w:r w:rsidR="002F09E7" w:rsidRPr="00827A08">
        <w:rPr>
          <w:color w:val="000000" w:themeColor="text1"/>
        </w:rPr>
        <w:t>d</w:t>
      </w:r>
      <w:r w:rsidRPr="00827A08">
        <w:rPr>
          <w:color w:val="000000" w:themeColor="text1"/>
        </w:rPr>
        <w:t>, often inappropriate or implausible explanations f</w:t>
      </w:r>
      <w:r w:rsidR="00B96EDB" w:rsidRPr="00827A08">
        <w:rPr>
          <w:color w:val="000000" w:themeColor="text1"/>
        </w:rPr>
        <w:t xml:space="preserve">rom </w:t>
      </w:r>
      <w:r w:rsidRPr="00827A08">
        <w:rPr>
          <w:color w:val="000000" w:themeColor="text1"/>
        </w:rPr>
        <w:t xml:space="preserve">MoEF </w:t>
      </w:r>
      <w:r w:rsidR="00521227" w:rsidRPr="00827A08">
        <w:rPr>
          <w:color w:val="000000" w:themeColor="text1"/>
        </w:rPr>
        <w:t xml:space="preserve">and related regulatory </w:t>
      </w:r>
      <w:r w:rsidR="00A46E84" w:rsidRPr="00827A08">
        <w:rPr>
          <w:color w:val="000000" w:themeColor="text1"/>
        </w:rPr>
        <w:t>authorities’</w:t>
      </w:r>
      <w:r w:rsidR="00521227" w:rsidRPr="00827A08">
        <w:rPr>
          <w:color w:val="000000" w:themeColor="text1"/>
        </w:rPr>
        <w:t xml:space="preserve"> </w:t>
      </w:r>
      <w:r w:rsidRPr="00827A08">
        <w:rPr>
          <w:color w:val="000000" w:themeColor="text1"/>
        </w:rPr>
        <w:t>decisions</w:t>
      </w:r>
      <w:r w:rsidR="00F426B0" w:rsidRPr="00827A08">
        <w:rPr>
          <w:color w:val="000000" w:themeColor="text1"/>
        </w:rPr>
        <w:t xml:space="preserve"> including union and state governments</w:t>
      </w:r>
      <w:r w:rsidR="00376A0A" w:rsidRPr="00827A08">
        <w:rPr>
          <w:color w:val="000000" w:themeColor="text1"/>
        </w:rPr>
        <w:t>.</w:t>
      </w:r>
      <w:r w:rsidR="0024055C" w:rsidRPr="00827A08">
        <w:rPr>
          <w:color w:val="000000" w:themeColor="text1"/>
        </w:rPr>
        <w:t xml:space="preserve"> For example, the NGT stated: </w:t>
      </w:r>
    </w:p>
    <w:p w14:paraId="558A741B" w14:textId="77777777" w:rsidR="00A649DA" w:rsidRDefault="00A649DA" w:rsidP="002C4CC5">
      <w:pPr>
        <w:pStyle w:val="NormalWeb"/>
        <w:spacing w:before="0" w:beforeAutospacing="0" w:after="0" w:afterAutospacing="0" w:line="360" w:lineRule="auto"/>
        <w:textAlignment w:val="baseline"/>
        <w:rPr>
          <w:color w:val="000000" w:themeColor="text1"/>
        </w:rPr>
      </w:pPr>
    </w:p>
    <w:p w14:paraId="383BCD8D" w14:textId="3B950959" w:rsidR="0024055C" w:rsidRPr="00827A08" w:rsidRDefault="0024055C" w:rsidP="002C4CC5">
      <w:pPr>
        <w:pStyle w:val="NormalWeb"/>
        <w:spacing w:before="0" w:beforeAutospacing="0" w:after="0" w:afterAutospacing="0" w:line="360" w:lineRule="auto"/>
        <w:textAlignment w:val="baseline"/>
        <w:rPr>
          <w:color w:val="000000" w:themeColor="text1"/>
        </w:rPr>
      </w:pPr>
      <w:r w:rsidRPr="008F3AE7">
        <w:rPr>
          <w:color w:val="000000" w:themeColor="text1"/>
          <w:sz w:val="20"/>
          <w:szCs w:val="20"/>
        </w:rPr>
        <w:t xml:space="preserve">Directions issued by us have not been complied. Though the counsel for MoEF submits that report has been filed which we notice, least we could say about that it is misleading and is not in terms of our direction. The affidavit as directed has not been filed. We direct presence of deponent in the affidavit, namely, Dr Sunamani Kereketta, Director, MoEF before the </w:t>
      </w:r>
      <w:r w:rsidR="00021CDC" w:rsidRPr="008F3AE7">
        <w:rPr>
          <w:color w:val="000000" w:themeColor="text1"/>
          <w:sz w:val="20"/>
          <w:szCs w:val="20"/>
        </w:rPr>
        <w:t>Tribunal</w:t>
      </w:r>
      <w:r w:rsidRPr="008F3AE7">
        <w:rPr>
          <w:color w:val="000000" w:themeColor="text1"/>
          <w:sz w:val="20"/>
          <w:szCs w:val="20"/>
        </w:rPr>
        <w:t xml:space="preserve"> on the next date of hearing.</w:t>
      </w:r>
      <w:r w:rsidRPr="008F3AE7">
        <w:rPr>
          <w:sz w:val="20"/>
          <w:szCs w:val="20"/>
          <w:vertAlign w:val="superscript"/>
        </w:rPr>
        <w:footnoteReference w:id="176"/>
      </w:r>
    </w:p>
    <w:p w14:paraId="4149E33E" w14:textId="77777777" w:rsidR="0024055C" w:rsidRPr="00827A08" w:rsidRDefault="0024055C" w:rsidP="002C4CC5">
      <w:pPr>
        <w:pStyle w:val="NormalWeb"/>
        <w:spacing w:before="0" w:beforeAutospacing="0" w:after="0" w:afterAutospacing="0" w:line="360" w:lineRule="auto"/>
        <w:textAlignment w:val="baseline"/>
        <w:rPr>
          <w:color w:val="000000" w:themeColor="text1"/>
        </w:rPr>
      </w:pPr>
    </w:p>
    <w:p w14:paraId="3D0029B1" w14:textId="69F8EDE2" w:rsidR="00A56B4B" w:rsidRPr="00827A08" w:rsidRDefault="003B72B0" w:rsidP="002C4CC5">
      <w:pPr>
        <w:pStyle w:val="NormalWeb"/>
        <w:spacing w:before="0" w:beforeAutospacing="0" w:after="0" w:afterAutospacing="0" w:line="360" w:lineRule="auto"/>
        <w:textAlignment w:val="baseline"/>
        <w:rPr>
          <w:color w:val="000000" w:themeColor="text1"/>
        </w:rPr>
      </w:pPr>
      <w:r w:rsidRPr="00827A08">
        <w:rPr>
          <w:color w:val="000000" w:themeColor="text1"/>
        </w:rPr>
        <w:t>On occasions</w:t>
      </w:r>
      <w:r w:rsidR="00161E57" w:rsidRPr="00827A08">
        <w:rPr>
          <w:color w:val="000000" w:themeColor="text1"/>
        </w:rPr>
        <w:t>,</w:t>
      </w:r>
      <w:r w:rsidRPr="00827A08">
        <w:rPr>
          <w:color w:val="000000" w:themeColor="text1"/>
        </w:rPr>
        <w:t xml:space="preserve"> senior civil servants have been</w:t>
      </w:r>
      <w:r w:rsidR="00FA2DAF">
        <w:rPr>
          <w:color w:val="000000" w:themeColor="text1"/>
        </w:rPr>
        <w:t xml:space="preserve"> told that they face a term of “state hospitality”</w:t>
      </w:r>
      <w:r w:rsidRPr="00827A08">
        <w:rPr>
          <w:color w:val="000000" w:themeColor="text1"/>
        </w:rPr>
        <w:t xml:space="preserve"> [jail] for statements bordering on contempt.</w:t>
      </w:r>
      <w:r w:rsidR="00E53D69" w:rsidRPr="00827A08">
        <w:rPr>
          <w:rStyle w:val="FootnoteReference"/>
          <w:color w:val="000000" w:themeColor="text1"/>
        </w:rPr>
        <w:footnoteReference w:id="177"/>
      </w:r>
      <w:r w:rsidR="00A56B4B" w:rsidRPr="00827A08">
        <w:rPr>
          <w:color w:val="000000" w:themeColor="text1"/>
        </w:rPr>
        <w:t xml:space="preserve"> Indeed, in </w:t>
      </w:r>
      <w:r w:rsidR="00A56B4B" w:rsidRPr="00827A08">
        <w:rPr>
          <w:i/>
          <w:iCs/>
          <w:color w:val="000000" w:themeColor="text1"/>
        </w:rPr>
        <w:t>Sudeip Shrivastava v State of Chhattisgarh</w:t>
      </w:r>
      <w:r w:rsidR="0024055C" w:rsidRPr="00827A08">
        <w:rPr>
          <w:rStyle w:val="FootnoteReference"/>
          <w:i/>
          <w:iCs/>
          <w:color w:val="000000" w:themeColor="text1"/>
        </w:rPr>
        <w:footnoteReference w:id="178"/>
      </w:r>
      <w:r w:rsidR="00A56B4B" w:rsidRPr="00827A08">
        <w:rPr>
          <w:i/>
          <w:iCs/>
          <w:color w:val="000000" w:themeColor="text1"/>
        </w:rPr>
        <w:t xml:space="preserve"> </w:t>
      </w:r>
      <w:r w:rsidR="00A56B4B" w:rsidRPr="00827A08">
        <w:rPr>
          <w:color w:val="000000" w:themeColor="text1"/>
        </w:rPr>
        <w:t xml:space="preserve">the </w:t>
      </w:r>
      <w:r w:rsidR="00021CDC" w:rsidRPr="00827A08">
        <w:rPr>
          <w:color w:val="000000" w:themeColor="text1"/>
        </w:rPr>
        <w:t>Tribunal</w:t>
      </w:r>
      <w:r w:rsidR="00A56B4B" w:rsidRPr="00827A08">
        <w:rPr>
          <w:color w:val="000000" w:themeColor="text1"/>
        </w:rPr>
        <w:t xml:space="preserve"> took the </w:t>
      </w:r>
      <w:r w:rsidR="0095747E" w:rsidRPr="00827A08">
        <w:rPr>
          <w:color w:val="000000" w:themeColor="text1"/>
        </w:rPr>
        <w:t>bold, provo</w:t>
      </w:r>
      <w:r w:rsidRPr="00827A08">
        <w:rPr>
          <w:color w:val="000000" w:themeColor="text1"/>
        </w:rPr>
        <w:t>c</w:t>
      </w:r>
      <w:r w:rsidR="0095747E" w:rsidRPr="00827A08">
        <w:rPr>
          <w:color w:val="000000" w:themeColor="text1"/>
        </w:rPr>
        <w:t>ative</w:t>
      </w:r>
      <w:r w:rsidR="00A56B4B" w:rsidRPr="00827A08">
        <w:rPr>
          <w:color w:val="000000" w:themeColor="text1"/>
        </w:rPr>
        <w:t xml:space="preserve"> step of criticising the Minister of State for Environment and Forest and MoEF for acting arbitrarily and ignoring relevant material issues that would have contributed to a holistic appraisal of the environmental problem. </w:t>
      </w:r>
    </w:p>
    <w:p w14:paraId="4A9FABFF" w14:textId="77777777" w:rsidR="0024055C" w:rsidRPr="00827A08" w:rsidRDefault="0024055C" w:rsidP="002C4CC5">
      <w:pPr>
        <w:pStyle w:val="NormalWeb"/>
        <w:spacing w:before="0" w:beforeAutospacing="0" w:after="0" w:afterAutospacing="0" w:line="360" w:lineRule="auto"/>
        <w:textAlignment w:val="baseline"/>
        <w:rPr>
          <w:color w:val="000000" w:themeColor="text1"/>
        </w:rPr>
      </w:pPr>
    </w:p>
    <w:p w14:paraId="77A2B5DC" w14:textId="31F6DFBB" w:rsidR="00D219D7" w:rsidRPr="00827A08" w:rsidRDefault="00A56B4B" w:rsidP="002C4CC5">
      <w:pPr>
        <w:widowControl w:val="0"/>
        <w:autoSpaceDE w:val="0"/>
        <w:autoSpaceDN w:val="0"/>
        <w:adjustRightInd w:val="0"/>
        <w:spacing w:after="240" w:line="360" w:lineRule="auto"/>
        <w:rPr>
          <w:color w:val="000000" w:themeColor="text1"/>
        </w:rPr>
      </w:pPr>
      <w:r w:rsidRPr="00827A08">
        <w:rPr>
          <w:color w:val="000000" w:themeColor="text1"/>
        </w:rPr>
        <w:t>T</w:t>
      </w:r>
      <w:r w:rsidR="00D219D7" w:rsidRPr="00827A08">
        <w:rPr>
          <w:color w:val="000000" w:themeColor="text1"/>
        </w:rPr>
        <w:t xml:space="preserve">he </w:t>
      </w:r>
      <w:r w:rsidR="00021CDC" w:rsidRPr="00827A08">
        <w:rPr>
          <w:color w:val="000000" w:themeColor="text1"/>
        </w:rPr>
        <w:t>Tribunal</w:t>
      </w:r>
      <w:r w:rsidR="00D219D7" w:rsidRPr="00827A08">
        <w:rPr>
          <w:color w:val="000000" w:themeColor="text1"/>
        </w:rPr>
        <w:t xml:space="preserve"> </w:t>
      </w:r>
      <w:r w:rsidR="003B72B0" w:rsidRPr="00827A08">
        <w:rPr>
          <w:color w:val="000000" w:themeColor="text1"/>
        </w:rPr>
        <w:t>has on</w:t>
      </w:r>
      <w:r w:rsidR="00D7466B" w:rsidRPr="00827A08">
        <w:rPr>
          <w:color w:val="000000" w:themeColor="text1"/>
        </w:rPr>
        <w:t xml:space="preserve"> </w:t>
      </w:r>
      <w:r w:rsidR="00D53762" w:rsidRPr="00827A08">
        <w:rPr>
          <w:color w:val="000000" w:themeColor="text1"/>
        </w:rPr>
        <w:t>occasions</w:t>
      </w:r>
      <w:r w:rsidRPr="00827A08">
        <w:rPr>
          <w:color w:val="000000" w:themeColor="text1"/>
        </w:rPr>
        <w:t xml:space="preserve"> </w:t>
      </w:r>
      <w:r w:rsidR="00521227" w:rsidRPr="00827A08">
        <w:rPr>
          <w:color w:val="000000" w:themeColor="text1"/>
        </w:rPr>
        <w:t>reprimanded the regulatory authorities</w:t>
      </w:r>
      <w:r w:rsidR="003B72B0" w:rsidRPr="00827A08">
        <w:rPr>
          <w:color w:val="000000" w:themeColor="text1"/>
        </w:rPr>
        <w:t xml:space="preserve"> in the strongest language</w:t>
      </w:r>
      <w:r w:rsidRPr="00827A08">
        <w:rPr>
          <w:color w:val="000000" w:themeColor="text1"/>
        </w:rPr>
        <w:t xml:space="preserve"> in open court</w:t>
      </w:r>
      <w:r w:rsidR="00027D13" w:rsidRPr="00827A08">
        <w:rPr>
          <w:color w:val="000000" w:themeColor="text1"/>
        </w:rPr>
        <w:t xml:space="preserve">. Such public criticism </w:t>
      </w:r>
      <w:r w:rsidR="00F8104F" w:rsidRPr="00827A08">
        <w:rPr>
          <w:color w:val="000000" w:themeColor="text1"/>
        </w:rPr>
        <w:t>has done</w:t>
      </w:r>
      <w:r w:rsidR="00027D13" w:rsidRPr="00827A08">
        <w:rPr>
          <w:color w:val="000000" w:themeColor="text1"/>
        </w:rPr>
        <w:t xml:space="preserve"> nothing to endear the </w:t>
      </w:r>
      <w:r w:rsidR="00021CDC" w:rsidRPr="00827A08">
        <w:rPr>
          <w:color w:val="000000" w:themeColor="text1"/>
        </w:rPr>
        <w:t>Tribunal</w:t>
      </w:r>
      <w:r w:rsidR="00027D13" w:rsidRPr="00827A08">
        <w:rPr>
          <w:color w:val="000000" w:themeColor="text1"/>
        </w:rPr>
        <w:t xml:space="preserve"> to key agencies and ministerial officials unused to such embarrassing rebuke</w:t>
      </w:r>
      <w:r w:rsidRPr="00827A08">
        <w:rPr>
          <w:color w:val="000000" w:themeColor="text1"/>
        </w:rPr>
        <w:t xml:space="preserve"> </w:t>
      </w:r>
      <w:r w:rsidR="00027D13" w:rsidRPr="00827A08">
        <w:rPr>
          <w:color w:val="000000" w:themeColor="text1"/>
        </w:rPr>
        <w:t>that expose</w:t>
      </w:r>
      <w:r w:rsidR="00722C24" w:rsidRPr="00827A08">
        <w:rPr>
          <w:color w:val="000000" w:themeColor="text1"/>
        </w:rPr>
        <w:t>s</w:t>
      </w:r>
      <w:r w:rsidR="00027D13" w:rsidRPr="00827A08">
        <w:rPr>
          <w:color w:val="000000" w:themeColor="text1"/>
        </w:rPr>
        <w:t xml:space="preserve"> their inefficiency or indifference.</w:t>
      </w:r>
      <w:r w:rsidR="00A12C91" w:rsidRPr="00827A08">
        <w:rPr>
          <w:color w:val="000000" w:themeColor="text1"/>
        </w:rPr>
        <w:t xml:space="preserve"> For instance, in the Ganga pollution case</w:t>
      </w:r>
      <w:r w:rsidR="00A12C91" w:rsidRPr="00827A08">
        <w:rPr>
          <w:rStyle w:val="FootnoteReference"/>
          <w:color w:val="000000" w:themeColor="text1"/>
        </w:rPr>
        <w:footnoteReference w:id="179"/>
      </w:r>
      <w:r w:rsidR="00FA2DAF">
        <w:rPr>
          <w:color w:val="000000" w:themeColor="text1"/>
        </w:rPr>
        <w:t xml:space="preserve"> the NGT stated</w:t>
      </w:r>
      <w:r w:rsidR="00651437">
        <w:rPr>
          <w:color w:val="000000" w:themeColor="text1"/>
        </w:rPr>
        <w:t xml:space="preserve"> </w:t>
      </w:r>
      <w:r w:rsidR="00FA2DAF">
        <w:rPr>
          <w:rFonts w:eastAsia="Times New Roman"/>
          <w:color w:val="000000" w:themeColor="text1"/>
          <w:shd w:val="clear" w:color="auto" w:fill="FFFFFF"/>
        </w:rPr>
        <w:t>“</w:t>
      </w:r>
      <w:r w:rsidR="00651437">
        <w:rPr>
          <w:rFonts w:eastAsia="Times New Roman"/>
          <w:color w:val="000000" w:themeColor="text1"/>
          <w:shd w:val="clear" w:color="auto" w:fill="FFFFFF"/>
        </w:rPr>
        <w:t>i</w:t>
      </w:r>
      <w:r w:rsidR="00D219D7" w:rsidRPr="00827A08">
        <w:rPr>
          <w:rFonts w:eastAsia="Times New Roman"/>
          <w:color w:val="000000" w:themeColor="text1"/>
          <w:shd w:val="clear" w:color="auto" w:fill="FFFFFF"/>
        </w:rPr>
        <w:t>t is really unfortunate that the Ganges continues to be polluted. Why don't you [the state and federal governments] do something? You raise slogans [about cleaning the river] but do exactly opposite of that.</w:t>
      </w:r>
      <w:r w:rsidR="00FA2DAF">
        <w:rPr>
          <w:rFonts w:eastAsia="Times New Roman"/>
          <w:color w:val="000000" w:themeColor="text1"/>
          <w:shd w:val="clear" w:color="auto" w:fill="FFFFFF"/>
        </w:rPr>
        <w:t>”</w:t>
      </w:r>
      <w:r w:rsidR="00A12C91" w:rsidRPr="00827A08">
        <w:rPr>
          <w:rStyle w:val="FootnoteReference"/>
          <w:rFonts w:eastAsia="Times New Roman"/>
          <w:color w:val="000000" w:themeColor="text1"/>
          <w:shd w:val="clear" w:color="auto" w:fill="FFFFFF"/>
        </w:rPr>
        <w:footnoteReference w:id="180"/>
      </w:r>
      <w:r w:rsidR="00F5631B" w:rsidRPr="00827A08">
        <w:rPr>
          <w:rFonts w:eastAsia="Times New Roman"/>
          <w:color w:val="000000" w:themeColor="text1"/>
          <w:shd w:val="clear" w:color="auto" w:fill="FFFFFF"/>
        </w:rPr>
        <w:t xml:space="preserve"> </w:t>
      </w:r>
    </w:p>
    <w:p w14:paraId="64985EED" w14:textId="101FFA3F" w:rsidR="00B74C08" w:rsidRPr="00827A08" w:rsidRDefault="005C73E1" w:rsidP="002C4CC5">
      <w:pPr>
        <w:spacing w:line="360" w:lineRule="auto"/>
        <w:rPr>
          <w:rFonts w:eastAsia="Times New Roman"/>
          <w:color w:val="000000" w:themeColor="text1"/>
          <w:shd w:val="clear" w:color="auto" w:fill="FFFFFF"/>
        </w:rPr>
      </w:pPr>
      <w:r w:rsidRPr="00827A08">
        <w:rPr>
          <w:rFonts w:eastAsia="Times New Roman"/>
          <w:color w:val="000000" w:themeColor="text1"/>
          <w:shd w:val="clear" w:color="auto" w:fill="FFFFFF"/>
        </w:rPr>
        <w:t>I</w:t>
      </w:r>
      <w:r w:rsidR="00A8509D" w:rsidRPr="00827A08">
        <w:rPr>
          <w:rFonts w:eastAsia="Times New Roman"/>
          <w:color w:val="000000" w:themeColor="text1"/>
          <w:shd w:val="clear" w:color="auto" w:fill="FFFFFF"/>
        </w:rPr>
        <w:t xml:space="preserve">n </w:t>
      </w:r>
      <w:r w:rsidR="008F3D6B" w:rsidRPr="00827A08">
        <w:rPr>
          <w:rFonts w:eastAsia="Times New Roman"/>
          <w:color w:val="000000" w:themeColor="text1"/>
          <w:shd w:val="clear" w:color="auto" w:fill="FFFFFF"/>
        </w:rPr>
        <w:t>the Delhi air pollution case</w:t>
      </w:r>
      <w:r w:rsidR="004771FE" w:rsidRPr="00827A08">
        <w:rPr>
          <w:rStyle w:val="FootnoteReference"/>
          <w:rFonts w:eastAsia="Times New Roman"/>
          <w:color w:val="000000" w:themeColor="text1"/>
          <w:shd w:val="clear" w:color="auto" w:fill="FFFFFF"/>
        </w:rPr>
        <w:footnoteReference w:id="181"/>
      </w:r>
      <w:r w:rsidR="000D7001">
        <w:rPr>
          <w:rFonts w:eastAsia="Times New Roman"/>
          <w:color w:val="000000" w:themeColor="text1"/>
          <w:shd w:val="clear" w:color="auto" w:fill="FFFFFF"/>
        </w:rPr>
        <w:t xml:space="preserve"> the NGT commented </w:t>
      </w:r>
      <w:r w:rsidR="00FA2DAF">
        <w:rPr>
          <w:rFonts w:eastAsia="Times New Roman"/>
          <w:color w:val="000000" w:themeColor="text1"/>
          <w:shd w:val="clear" w:color="auto" w:fill="FFFFFF"/>
        </w:rPr>
        <w:t>“</w:t>
      </w:r>
      <w:r w:rsidR="000D7001">
        <w:rPr>
          <w:rFonts w:eastAsia="Times New Roman"/>
          <w:color w:val="000000" w:themeColor="text1"/>
          <w:shd w:val="clear" w:color="auto" w:fill="FFFFFF"/>
        </w:rPr>
        <w:t>e</w:t>
      </w:r>
      <w:r w:rsidR="00521227" w:rsidRPr="00827A08">
        <w:rPr>
          <w:rFonts w:eastAsia="Times New Roman"/>
          <w:color w:val="000000" w:themeColor="text1"/>
          <w:shd w:val="clear" w:color="auto" w:fill="FFFFFF"/>
        </w:rPr>
        <w:t>very newspaper has been carrying headline that the air pollution [in Delhi] was going to be higher this week. Still you took no action... Are people of Delhi supposed to bear this</w:t>
      </w:r>
      <w:r w:rsidR="00B74C08" w:rsidRPr="00827A08">
        <w:rPr>
          <w:rFonts w:eastAsia="Times New Roman"/>
          <w:color w:val="000000" w:themeColor="text1"/>
          <w:shd w:val="clear" w:color="auto" w:fill="FFFFFF"/>
        </w:rPr>
        <w:t>?</w:t>
      </w:r>
      <w:r w:rsidR="003B72B0" w:rsidRPr="00827A08">
        <w:rPr>
          <w:rFonts w:eastAsia="Times New Roman"/>
          <w:color w:val="000000" w:themeColor="text1"/>
          <w:shd w:val="clear" w:color="auto" w:fill="FFFFFF"/>
        </w:rPr>
        <w:t xml:space="preserve"> I</w:t>
      </w:r>
      <w:r w:rsidR="00B74C08" w:rsidRPr="00827A08">
        <w:rPr>
          <w:rFonts w:eastAsia="Times New Roman"/>
          <w:color w:val="000000" w:themeColor="text1"/>
          <w:shd w:val="clear" w:color="auto" w:fill="FFFFFF"/>
        </w:rPr>
        <w:t>n this country, it is a dream to have prescribed norms of air quality</w:t>
      </w:r>
      <w:r w:rsidR="00FA2DAF">
        <w:rPr>
          <w:rFonts w:eastAsia="Times New Roman"/>
          <w:color w:val="000000" w:themeColor="text1"/>
          <w:shd w:val="clear" w:color="auto" w:fill="FFFFFF"/>
        </w:rPr>
        <w:t>.”</w:t>
      </w:r>
    </w:p>
    <w:p w14:paraId="5C89EF5B" w14:textId="521DFBCB" w:rsidR="0069467D" w:rsidRPr="00827A08" w:rsidRDefault="00B74C08" w:rsidP="002C4CC5">
      <w:pPr>
        <w:spacing w:line="360" w:lineRule="auto"/>
        <w:rPr>
          <w:rFonts w:eastAsia="Times New Roman"/>
          <w:color w:val="000000" w:themeColor="text1"/>
        </w:rPr>
      </w:pPr>
      <w:r w:rsidRPr="00827A08">
        <w:rPr>
          <w:rFonts w:eastAsia="Times New Roman"/>
          <w:color w:val="000000" w:themeColor="text1"/>
          <w:shd w:val="clear" w:color="auto" w:fill="FFFFFF"/>
        </w:rPr>
        <w:t xml:space="preserve"> </w:t>
      </w:r>
    </w:p>
    <w:p w14:paraId="35FAB0CE" w14:textId="77777777" w:rsidR="008000AA" w:rsidRPr="00827A08" w:rsidRDefault="00316FFE" w:rsidP="002C4CC5">
      <w:pPr>
        <w:widowControl w:val="0"/>
        <w:autoSpaceDE w:val="0"/>
        <w:autoSpaceDN w:val="0"/>
        <w:adjustRightInd w:val="0"/>
        <w:spacing w:after="240" w:line="360" w:lineRule="auto"/>
        <w:rPr>
          <w:color w:val="000000" w:themeColor="text1"/>
        </w:rPr>
      </w:pPr>
      <w:r w:rsidRPr="00827A08">
        <w:rPr>
          <w:color w:val="000000" w:themeColor="text1"/>
        </w:rPr>
        <w:t xml:space="preserve">In the </w:t>
      </w:r>
      <w:r w:rsidR="008000AA" w:rsidRPr="00827A08">
        <w:rPr>
          <w:i/>
          <w:iCs/>
          <w:color w:val="000000" w:themeColor="text1"/>
        </w:rPr>
        <w:t>Goa Foundation v Union of India</w:t>
      </w:r>
      <w:r w:rsidR="008000AA" w:rsidRPr="00827A08">
        <w:rPr>
          <w:iCs/>
          <w:color w:val="000000" w:themeColor="text1"/>
        </w:rPr>
        <w:t xml:space="preserve"> case</w:t>
      </w:r>
      <w:r w:rsidR="008000AA" w:rsidRPr="00827A08">
        <w:rPr>
          <w:rStyle w:val="FootnoteReference"/>
          <w:i/>
          <w:iCs/>
          <w:color w:val="000000" w:themeColor="text1"/>
        </w:rPr>
        <w:footnoteReference w:id="182"/>
      </w:r>
      <w:r w:rsidR="008000AA" w:rsidRPr="00827A08">
        <w:rPr>
          <w:iCs/>
          <w:color w:val="000000" w:themeColor="text1"/>
        </w:rPr>
        <w:t xml:space="preserve"> the NGT critically observed:</w:t>
      </w:r>
    </w:p>
    <w:p w14:paraId="3C979FDF" w14:textId="6C356DCF" w:rsidR="003F2FE3" w:rsidRPr="003F71D9" w:rsidRDefault="003F2FE3"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The MoEF is the “most messy” Ministry, for its changing stance regarding protection of the Western Ghats…</w:t>
      </w:r>
      <w:r w:rsidR="0047268B" w:rsidRPr="003F71D9">
        <w:rPr>
          <w:color w:val="000000" w:themeColor="text1"/>
          <w:sz w:val="20"/>
          <w:szCs w:val="20"/>
        </w:rPr>
        <w:t xml:space="preserve"> Why can't it (MoEF) take a clear stand on whether it wants to keep the Gadgil report or not? If it can't then we will have to call the MoEF secretary in person to clear the matter… Despite our specific directions, MoEF has failed to file an appropriate affidavit. A vague affidavit has been presented before the </w:t>
      </w:r>
      <w:r w:rsidR="00021CDC" w:rsidRPr="003F71D9">
        <w:rPr>
          <w:color w:val="000000" w:themeColor="text1"/>
          <w:sz w:val="20"/>
          <w:szCs w:val="20"/>
        </w:rPr>
        <w:t>Tribunal</w:t>
      </w:r>
      <w:r w:rsidR="0047268B" w:rsidRPr="003F71D9">
        <w:rPr>
          <w:color w:val="000000" w:themeColor="text1"/>
          <w:sz w:val="20"/>
          <w:szCs w:val="20"/>
        </w:rPr>
        <w:t xml:space="preserve"> today</w:t>
      </w:r>
      <w:r w:rsidR="009D57CF" w:rsidRPr="003F71D9">
        <w:rPr>
          <w:color w:val="000000" w:themeColor="text1"/>
          <w:sz w:val="20"/>
          <w:szCs w:val="20"/>
        </w:rPr>
        <w:t>…</w:t>
      </w:r>
      <w:r w:rsidR="008000AA" w:rsidRPr="003F71D9">
        <w:rPr>
          <w:sz w:val="20"/>
          <w:szCs w:val="20"/>
          <w:vertAlign w:val="superscript"/>
        </w:rPr>
        <w:footnoteReference w:id="183"/>
      </w:r>
      <w:r w:rsidR="009D57CF" w:rsidRPr="003F71D9">
        <w:rPr>
          <w:color w:val="000000" w:themeColor="text1"/>
          <w:sz w:val="20"/>
          <w:szCs w:val="20"/>
          <w:vertAlign w:val="superscript"/>
        </w:rPr>
        <w:t xml:space="preserve"> </w:t>
      </w:r>
    </w:p>
    <w:p w14:paraId="77C1455A" w14:textId="19DF9094" w:rsidR="00920C05" w:rsidRPr="00827A08" w:rsidRDefault="006C671A" w:rsidP="002C4CC5">
      <w:pPr>
        <w:widowControl w:val="0"/>
        <w:autoSpaceDE w:val="0"/>
        <w:autoSpaceDN w:val="0"/>
        <w:adjustRightInd w:val="0"/>
        <w:spacing w:after="240" w:line="360" w:lineRule="auto"/>
        <w:rPr>
          <w:color w:val="000000" w:themeColor="text1"/>
        </w:rPr>
      </w:pPr>
      <w:r w:rsidRPr="00827A08">
        <w:rPr>
          <w:color w:val="000000" w:themeColor="text1"/>
        </w:rPr>
        <w:t xml:space="preserve">Gill’s study documents that regulatory agencies (comprised of MoEF, state government, local authorities and pollution control boards) </w:t>
      </w:r>
      <w:r w:rsidR="006C5DB9" w:rsidRPr="00827A08">
        <w:rPr>
          <w:color w:val="000000" w:themeColor="text1"/>
        </w:rPr>
        <w:t>constituted</w:t>
      </w:r>
      <w:r w:rsidRPr="00827A08">
        <w:rPr>
          <w:color w:val="000000" w:themeColor="text1"/>
        </w:rPr>
        <w:t xml:space="preserve"> 942 defendants (83.4 per cent) of 1</w:t>
      </w:r>
      <w:r w:rsidR="00AE417D" w:rsidRPr="00827A08">
        <w:rPr>
          <w:color w:val="000000" w:themeColor="text1"/>
        </w:rPr>
        <w:t>,</w:t>
      </w:r>
      <w:r w:rsidRPr="00827A08">
        <w:rPr>
          <w:color w:val="000000" w:themeColor="text1"/>
        </w:rPr>
        <w:t>130 reported judgments between 2011-2015.</w:t>
      </w:r>
      <w:r w:rsidR="00CA6FE4" w:rsidRPr="00827A08">
        <w:rPr>
          <w:rStyle w:val="FootnoteReference"/>
          <w:color w:val="000000" w:themeColor="text1"/>
        </w:rPr>
        <w:footnoteReference w:id="184"/>
      </w:r>
      <w:r w:rsidRPr="00827A08">
        <w:rPr>
          <w:color w:val="000000" w:themeColor="text1"/>
        </w:rPr>
        <w:t xml:space="preserve"> The </w:t>
      </w:r>
      <w:r w:rsidRPr="00827A08">
        <w:rPr>
          <w:i/>
          <w:iCs/>
          <w:color w:val="000000" w:themeColor="text1"/>
        </w:rPr>
        <w:t xml:space="preserve">MoEF </w:t>
      </w:r>
      <w:r w:rsidRPr="00827A08">
        <w:rPr>
          <w:color w:val="000000" w:themeColor="text1"/>
        </w:rPr>
        <w:t>was the defendant in 284 cases (25.1 per cent); state government appeared as defendant in 341 cases (30.2 per cent); a local authority was listed in 78 cases (6.9 per cent); and pollution 32 control boards in 239 cases (21.2 per cent</w:t>
      </w:r>
      <w:r w:rsidR="006C5DB9" w:rsidRPr="00827A08">
        <w:rPr>
          <w:color w:val="000000" w:themeColor="text1"/>
        </w:rPr>
        <w:t xml:space="preserve">). </w:t>
      </w:r>
      <w:r w:rsidR="008867A4" w:rsidRPr="00827A08">
        <w:rPr>
          <w:color w:val="000000" w:themeColor="text1"/>
        </w:rPr>
        <w:t xml:space="preserve">The data suggest a repeated failure on the part of regulatory authorities to undertake their statutory environmental protection duties and social responsibilities </w:t>
      </w:r>
      <w:r w:rsidR="00853E6B" w:rsidRPr="00827A08">
        <w:rPr>
          <w:color w:val="000000" w:themeColor="text1"/>
        </w:rPr>
        <w:t>regarding</w:t>
      </w:r>
      <w:r w:rsidR="008867A4" w:rsidRPr="00827A08">
        <w:rPr>
          <w:color w:val="000000" w:themeColor="text1"/>
        </w:rPr>
        <w:t xml:space="preserve"> environmental matters. </w:t>
      </w:r>
      <w:r w:rsidR="00DD518D" w:rsidRPr="00827A08">
        <w:rPr>
          <w:color w:val="000000" w:themeColor="text1"/>
        </w:rPr>
        <w:t xml:space="preserve"> The </w:t>
      </w:r>
      <w:r w:rsidR="00920C05" w:rsidRPr="00827A08">
        <w:rPr>
          <w:color w:val="000000" w:themeColor="text1"/>
        </w:rPr>
        <w:t>regulatory agencies dealing with</w:t>
      </w:r>
      <w:r w:rsidR="00DD518D" w:rsidRPr="00827A08">
        <w:rPr>
          <w:color w:val="000000" w:themeColor="text1"/>
        </w:rPr>
        <w:t xml:space="preserve"> environmental matters </w:t>
      </w:r>
      <w:r w:rsidR="00DD518D" w:rsidRPr="00827A08">
        <w:rPr>
          <w:color w:val="000000" w:themeColor="text1"/>
          <w:shd w:val="clear" w:color="auto" w:fill="FFFFFF"/>
        </w:rPr>
        <w:t>have been unable to deliver</w:t>
      </w:r>
      <w:r w:rsidR="006C5DB9" w:rsidRPr="00827A08">
        <w:rPr>
          <w:color w:val="000000" w:themeColor="text1"/>
          <w:shd w:val="clear" w:color="auto" w:fill="FFFFFF"/>
        </w:rPr>
        <w:t>, according to an official enquiry,</w:t>
      </w:r>
      <w:r w:rsidR="00DD518D" w:rsidRPr="00827A08">
        <w:rPr>
          <w:color w:val="000000" w:themeColor="text1"/>
          <w:shd w:val="clear" w:color="auto" w:fill="FFFFFF"/>
        </w:rPr>
        <w:t xml:space="preserve"> due to</w:t>
      </w:r>
    </w:p>
    <w:p w14:paraId="158A2F6C" w14:textId="58C281ED" w:rsidR="00920C05" w:rsidRPr="003F71D9" w:rsidRDefault="00C97CB1"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 xml:space="preserve">a knee-jerk attitude in governance, flabby decision-making processes, ad hoc and piecemeal environmental governance practices… </w:t>
      </w:r>
      <w:r w:rsidR="00920C05" w:rsidRPr="003F71D9">
        <w:rPr>
          <w:color w:val="000000" w:themeColor="text1"/>
          <w:sz w:val="20"/>
          <w:szCs w:val="20"/>
        </w:rPr>
        <w:t>The institutional failures include lack of enforcement, awed regulatory regime, poor management of resources, inadequate use of technology; absence of a credible, effective enforcement machinery; governance constraints in management; policy gaps; disincentives to environmental conservation, and so on.</w:t>
      </w:r>
      <w:r w:rsidR="00AC6135" w:rsidRPr="003F71D9">
        <w:rPr>
          <w:sz w:val="20"/>
          <w:szCs w:val="20"/>
          <w:vertAlign w:val="superscript"/>
        </w:rPr>
        <w:footnoteReference w:id="185"/>
      </w:r>
    </w:p>
    <w:p w14:paraId="691D389F" w14:textId="0F69437A" w:rsidR="00492E14" w:rsidRPr="00827A08" w:rsidRDefault="00C57789" w:rsidP="00D77E98">
      <w:pPr>
        <w:widowControl w:val="0"/>
        <w:autoSpaceDE w:val="0"/>
        <w:autoSpaceDN w:val="0"/>
        <w:adjustRightInd w:val="0"/>
        <w:spacing w:after="240" w:line="360" w:lineRule="auto"/>
        <w:rPr>
          <w:color w:val="000000" w:themeColor="text1"/>
        </w:rPr>
      </w:pPr>
      <w:r w:rsidRPr="00827A08">
        <w:rPr>
          <w:color w:val="000000" w:themeColor="text1"/>
        </w:rPr>
        <w:t>The failure of central and state agencies to follow due process has been a regular and major cause of complaint from</w:t>
      </w:r>
      <w:r w:rsidR="00050CBD" w:rsidRPr="00827A08">
        <w:rPr>
          <w:color w:val="000000" w:themeColor="text1"/>
        </w:rPr>
        <w:t xml:space="preserve"> aggrieved persons who </w:t>
      </w:r>
      <w:r w:rsidRPr="00827A08">
        <w:rPr>
          <w:color w:val="000000" w:themeColor="text1"/>
        </w:rPr>
        <w:t>seek redress from the NGT.</w:t>
      </w:r>
      <w:r w:rsidR="00F95518" w:rsidRPr="00827A08">
        <w:rPr>
          <w:rFonts w:eastAsia="MS Mincho"/>
          <w:color w:val="000000" w:themeColor="text1"/>
        </w:rPr>
        <w:t xml:space="preserve"> </w:t>
      </w:r>
      <w:r w:rsidR="00492E14" w:rsidRPr="00827A08">
        <w:rPr>
          <w:color w:val="000000" w:themeColor="text1"/>
        </w:rPr>
        <w:t>The</w:t>
      </w:r>
      <w:r w:rsidR="00050CBD" w:rsidRPr="00827A08">
        <w:rPr>
          <w:color w:val="000000" w:themeColor="text1"/>
        </w:rPr>
        <w:t xml:space="preserve"> </w:t>
      </w:r>
      <w:r w:rsidR="00021CDC" w:rsidRPr="00827A08">
        <w:rPr>
          <w:color w:val="000000" w:themeColor="text1"/>
        </w:rPr>
        <w:t>Tribunal</w:t>
      </w:r>
      <w:r w:rsidR="00492E14" w:rsidRPr="00827A08">
        <w:rPr>
          <w:color w:val="000000" w:themeColor="text1"/>
        </w:rPr>
        <w:t xml:space="preserve"> </w:t>
      </w:r>
      <w:r w:rsidR="00C95CBD" w:rsidRPr="00827A08">
        <w:rPr>
          <w:color w:val="000000" w:themeColor="text1"/>
        </w:rPr>
        <w:t xml:space="preserve">has </w:t>
      </w:r>
      <w:r w:rsidR="00492E14" w:rsidRPr="00827A08">
        <w:rPr>
          <w:color w:val="000000" w:themeColor="text1"/>
        </w:rPr>
        <w:t>proved stubbornly determined and successful in enforcing the environmental regulations</w:t>
      </w:r>
      <w:r w:rsidR="00050CBD" w:rsidRPr="00827A08">
        <w:rPr>
          <w:color w:val="000000" w:themeColor="text1"/>
        </w:rPr>
        <w:t>.</w:t>
      </w:r>
      <w:r w:rsidR="00492E14" w:rsidRPr="00827A08">
        <w:rPr>
          <w:color w:val="000000" w:themeColor="text1"/>
        </w:rPr>
        <w:t xml:space="preserve"> Its case law demonstrated its ability and willingness to require transparency and accountability that ultimately constitute the building blocks of good governance and environmental democracy. </w:t>
      </w:r>
    </w:p>
    <w:p w14:paraId="1D863F71" w14:textId="38C3EE8C" w:rsidR="002A69AB" w:rsidRDefault="000D7001" w:rsidP="00D77E98">
      <w:pPr>
        <w:pStyle w:val="Heading3"/>
        <w:spacing w:line="360" w:lineRule="auto"/>
      </w:pPr>
      <w:r w:rsidRPr="000D7001">
        <w:t xml:space="preserve">1. </w:t>
      </w:r>
      <w:r w:rsidR="00027D75" w:rsidRPr="000D7001">
        <w:t>Thawing</w:t>
      </w:r>
      <w:r w:rsidR="00027D75" w:rsidRPr="00827A08">
        <w:t xml:space="preserve"> and restart process</w:t>
      </w:r>
    </w:p>
    <w:p w14:paraId="29DB46A8" w14:textId="77777777" w:rsidR="000D7001" w:rsidRPr="000D7001" w:rsidRDefault="000D7001" w:rsidP="00D77E98">
      <w:pPr>
        <w:spacing w:line="360" w:lineRule="auto"/>
      </w:pPr>
    </w:p>
    <w:p w14:paraId="28EE5B73" w14:textId="35671A59" w:rsidR="00816032" w:rsidRPr="00827A08" w:rsidRDefault="00AE6748" w:rsidP="00D77E98">
      <w:pPr>
        <w:widowControl w:val="0"/>
        <w:autoSpaceDE w:val="0"/>
        <w:autoSpaceDN w:val="0"/>
        <w:adjustRightInd w:val="0"/>
        <w:spacing w:after="240" w:line="360" w:lineRule="auto"/>
        <w:rPr>
          <w:color w:val="000000" w:themeColor="text1"/>
        </w:rPr>
      </w:pPr>
      <w:r w:rsidRPr="00827A08">
        <w:rPr>
          <w:color w:val="000000" w:themeColor="text1"/>
        </w:rPr>
        <w:t>However, t</w:t>
      </w:r>
      <w:r w:rsidR="00E95068" w:rsidRPr="00827A08">
        <w:rPr>
          <w:color w:val="000000" w:themeColor="text1"/>
        </w:rPr>
        <w:t xml:space="preserve">he institutionalisation of the NGT in the refreeze stage </w:t>
      </w:r>
      <w:r w:rsidR="008E2634" w:rsidRPr="00827A08">
        <w:rPr>
          <w:color w:val="000000" w:themeColor="text1"/>
        </w:rPr>
        <w:t>ha</w:t>
      </w:r>
      <w:r w:rsidR="00F8104F" w:rsidRPr="00827A08">
        <w:rPr>
          <w:color w:val="000000" w:themeColor="text1"/>
        </w:rPr>
        <w:t>s</w:t>
      </w:r>
      <w:r w:rsidR="00994977" w:rsidRPr="00827A08">
        <w:rPr>
          <w:color w:val="000000" w:themeColor="text1"/>
        </w:rPr>
        <w:t xml:space="preserve"> </w:t>
      </w:r>
      <w:r w:rsidR="008E2634" w:rsidRPr="00827A08">
        <w:rPr>
          <w:color w:val="000000" w:themeColor="text1"/>
        </w:rPr>
        <w:t>importantly</w:t>
      </w:r>
      <w:r w:rsidR="00A01EAC" w:rsidRPr="00827A08">
        <w:rPr>
          <w:color w:val="000000" w:themeColor="text1"/>
        </w:rPr>
        <w:t xml:space="preserve"> triggered a </w:t>
      </w:r>
      <w:r w:rsidR="00F8104F" w:rsidRPr="00827A08">
        <w:rPr>
          <w:color w:val="000000" w:themeColor="text1"/>
        </w:rPr>
        <w:t xml:space="preserve">subsequent </w:t>
      </w:r>
      <w:r w:rsidR="00A01EAC" w:rsidRPr="00827A08">
        <w:rPr>
          <w:color w:val="000000" w:themeColor="text1"/>
        </w:rPr>
        <w:t>thawing</w:t>
      </w:r>
      <w:r w:rsidR="00894D16" w:rsidRPr="00827A08">
        <w:rPr>
          <w:color w:val="000000" w:themeColor="text1"/>
        </w:rPr>
        <w:t xml:space="preserve"> or renewal</w:t>
      </w:r>
      <w:r w:rsidR="00A01EAC" w:rsidRPr="00827A08">
        <w:rPr>
          <w:color w:val="000000" w:themeColor="text1"/>
        </w:rPr>
        <w:t xml:space="preserve"> process. The </w:t>
      </w:r>
      <w:r w:rsidR="009562BC" w:rsidRPr="00827A08">
        <w:rPr>
          <w:color w:val="000000" w:themeColor="text1"/>
        </w:rPr>
        <w:t xml:space="preserve">external </w:t>
      </w:r>
      <w:r w:rsidR="00DA5D21">
        <w:rPr>
          <w:color w:val="000000" w:themeColor="text1"/>
        </w:rPr>
        <w:t>“restraining forces”</w:t>
      </w:r>
      <w:r w:rsidR="00A01EAC" w:rsidRPr="00827A08">
        <w:rPr>
          <w:color w:val="000000" w:themeColor="text1"/>
        </w:rPr>
        <w:t xml:space="preserve"> </w:t>
      </w:r>
      <w:r w:rsidR="008E2634" w:rsidRPr="00827A08">
        <w:rPr>
          <w:color w:val="000000" w:themeColor="text1"/>
        </w:rPr>
        <w:t xml:space="preserve">slowly and steadily </w:t>
      </w:r>
      <w:r w:rsidR="00A01EAC" w:rsidRPr="00827A08">
        <w:rPr>
          <w:color w:val="000000" w:themeColor="text1"/>
        </w:rPr>
        <w:t xml:space="preserve">have become </w:t>
      </w:r>
      <w:r w:rsidR="00EF5D4F" w:rsidRPr="00827A08">
        <w:rPr>
          <w:color w:val="000000" w:themeColor="text1"/>
        </w:rPr>
        <w:t xml:space="preserve">sufficiently </w:t>
      </w:r>
      <w:r w:rsidR="00A01EAC" w:rsidRPr="00827A08">
        <w:rPr>
          <w:color w:val="000000" w:themeColor="text1"/>
        </w:rPr>
        <w:t xml:space="preserve">powerful to destabilise the NGT and </w:t>
      </w:r>
      <w:r w:rsidR="00F8104F" w:rsidRPr="00827A08">
        <w:rPr>
          <w:color w:val="000000" w:themeColor="text1"/>
        </w:rPr>
        <w:t xml:space="preserve">set in motion a </w:t>
      </w:r>
      <w:r w:rsidR="00894D16" w:rsidRPr="00827A08">
        <w:rPr>
          <w:color w:val="000000" w:themeColor="text1"/>
        </w:rPr>
        <w:t xml:space="preserve">fresh </w:t>
      </w:r>
      <w:r w:rsidR="00F8104F" w:rsidRPr="00827A08">
        <w:rPr>
          <w:color w:val="000000" w:themeColor="text1"/>
        </w:rPr>
        <w:t>change.</w:t>
      </w:r>
      <w:r w:rsidR="00A01EAC" w:rsidRPr="00827A08">
        <w:rPr>
          <w:color w:val="000000" w:themeColor="text1"/>
        </w:rPr>
        <w:t xml:space="preserve"> The</w:t>
      </w:r>
      <w:r w:rsidR="008E2634" w:rsidRPr="00827A08">
        <w:rPr>
          <w:color w:val="000000" w:themeColor="text1"/>
        </w:rPr>
        <w:t>se</w:t>
      </w:r>
      <w:r w:rsidR="00D04A5D" w:rsidRPr="00827A08">
        <w:rPr>
          <w:color w:val="000000" w:themeColor="text1"/>
        </w:rPr>
        <w:t xml:space="preserve"> volatile</w:t>
      </w:r>
      <w:r w:rsidR="00A01EAC" w:rsidRPr="00827A08">
        <w:rPr>
          <w:color w:val="000000" w:themeColor="text1"/>
        </w:rPr>
        <w:t xml:space="preserve"> forces </w:t>
      </w:r>
      <w:r w:rsidR="00086576" w:rsidRPr="00827A08">
        <w:rPr>
          <w:color w:val="000000" w:themeColor="text1"/>
        </w:rPr>
        <w:t xml:space="preserve">are gaining momentum by </w:t>
      </w:r>
      <w:r w:rsidR="008E2634" w:rsidRPr="00827A08">
        <w:rPr>
          <w:color w:val="000000" w:themeColor="text1"/>
        </w:rPr>
        <w:t xml:space="preserve">creating situations whereby field-level changes become inevitable, and hence the restart of the process. </w:t>
      </w:r>
      <w:r w:rsidR="00894D16" w:rsidRPr="00827A08">
        <w:rPr>
          <w:color w:val="000000" w:themeColor="text1"/>
        </w:rPr>
        <w:t>Again</w:t>
      </w:r>
      <w:r w:rsidR="008935CB" w:rsidRPr="00827A08">
        <w:rPr>
          <w:color w:val="000000" w:themeColor="text1"/>
        </w:rPr>
        <w:t>,</w:t>
      </w:r>
      <w:r w:rsidR="00894D16" w:rsidRPr="00827A08">
        <w:rPr>
          <w:color w:val="000000" w:themeColor="text1"/>
        </w:rPr>
        <w:t xml:space="preserve"> the</w:t>
      </w:r>
      <w:r w:rsidR="008E2634" w:rsidRPr="00827A08">
        <w:rPr>
          <w:color w:val="000000" w:themeColor="text1"/>
        </w:rPr>
        <w:t xml:space="preserve"> </w:t>
      </w:r>
      <w:r w:rsidR="00DA5D21">
        <w:rPr>
          <w:color w:val="000000" w:themeColor="text1"/>
        </w:rPr>
        <w:t>“restraining forces”</w:t>
      </w:r>
      <w:r w:rsidR="008E2634" w:rsidRPr="00827A08">
        <w:rPr>
          <w:color w:val="000000" w:themeColor="text1"/>
        </w:rPr>
        <w:t xml:space="preserve"> include</w:t>
      </w:r>
      <w:r w:rsidR="00630101" w:rsidRPr="00827A08">
        <w:rPr>
          <w:color w:val="000000" w:themeColor="text1"/>
        </w:rPr>
        <w:t xml:space="preserve"> </w:t>
      </w:r>
      <w:r w:rsidR="005723E9" w:rsidRPr="00827A08">
        <w:rPr>
          <w:color w:val="000000" w:themeColor="text1"/>
        </w:rPr>
        <w:t xml:space="preserve">political and economic interests, policy and legislative interventions and </w:t>
      </w:r>
      <w:r w:rsidR="008E2634" w:rsidRPr="00827A08">
        <w:rPr>
          <w:color w:val="000000" w:themeColor="text1"/>
        </w:rPr>
        <w:t xml:space="preserve">regulatory </w:t>
      </w:r>
      <w:r w:rsidR="005723E9" w:rsidRPr="00827A08">
        <w:rPr>
          <w:color w:val="000000" w:themeColor="text1"/>
        </w:rPr>
        <w:t>agencies, particularly the MoEF.</w:t>
      </w:r>
      <w:r w:rsidR="008E2634" w:rsidRPr="00827A08">
        <w:rPr>
          <w:color w:val="000000" w:themeColor="text1"/>
        </w:rPr>
        <w:t xml:space="preserve"> </w:t>
      </w:r>
    </w:p>
    <w:p w14:paraId="7FF13881" w14:textId="46F399A4" w:rsidR="00772326" w:rsidRDefault="00BA78E4" w:rsidP="002C4CC5">
      <w:pPr>
        <w:spacing w:line="360" w:lineRule="auto"/>
        <w:rPr>
          <w:rFonts w:eastAsia="Times New Roman"/>
          <w:color w:val="000000" w:themeColor="text1"/>
          <w:shd w:val="clear" w:color="auto" w:fill="FFFFFF"/>
        </w:rPr>
      </w:pPr>
      <w:r w:rsidRPr="00827A08">
        <w:rPr>
          <w:rFonts w:eastAsia="Times New Roman"/>
          <w:color w:val="000000" w:themeColor="text1"/>
          <w:shd w:val="clear" w:color="auto" w:fill="FFFFFF"/>
        </w:rPr>
        <w:t>Economic interests and the national growth agenda are</w:t>
      </w:r>
      <w:r w:rsidR="008935CB" w:rsidRPr="00827A08">
        <w:rPr>
          <w:rFonts w:eastAsia="Times New Roman"/>
          <w:color w:val="000000" w:themeColor="text1"/>
          <w:shd w:val="clear" w:color="auto" w:fill="FFFFFF"/>
        </w:rPr>
        <w:t xml:space="preserve"> </w:t>
      </w:r>
      <w:r w:rsidRPr="00827A08">
        <w:rPr>
          <w:rFonts w:eastAsia="Times New Roman"/>
          <w:color w:val="000000" w:themeColor="text1"/>
          <w:shd w:val="clear" w:color="auto" w:fill="FFFFFF"/>
        </w:rPr>
        <w:t xml:space="preserve">powerful </w:t>
      </w:r>
      <w:r w:rsidR="00DA5D21">
        <w:rPr>
          <w:rFonts w:eastAsia="Times New Roman"/>
          <w:color w:val="000000" w:themeColor="text1"/>
          <w:shd w:val="clear" w:color="auto" w:fill="FFFFFF"/>
        </w:rPr>
        <w:t>“restraining forces”</w:t>
      </w:r>
      <w:r w:rsidRPr="00827A08">
        <w:rPr>
          <w:rFonts w:eastAsia="Times New Roman"/>
          <w:color w:val="000000" w:themeColor="text1"/>
          <w:shd w:val="clear" w:color="auto" w:fill="FFFFFF"/>
        </w:rPr>
        <w:t xml:space="preserve"> impacting upon the NGT.  </w:t>
      </w:r>
      <w:r w:rsidRPr="00827A08">
        <w:rPr>
          <w:color w:val="000000" w:themeColor="text1"/>
        </w:rPr>
        <w:t xml:space="preserve">The current national economic strategy has assumed heightened significance under the leadership of India’s Prime Minister, Narendra Modi. He is known for his ability to drive change and his commitment to accelerate </w:t>
      </w:r>
      <w:r w:rsidR="00772326">
        <w:rPr>
          <w:color w:val="000000" w:themeColor="text1"/>
        </w:rPr>
        <w:t xml:space="preserve">sustainable </w:t>
      </w:r>
      <w:r w:rsidRPr="00827A08">
        <w:rPr>
          <w:color w:val="000000" w:themeColor="text1"/>
        </w:rPr>
        <w:t>growth in India.</w:t>
      </w:r>
      <w:r w:rsidR="00772326">
        <w:rPr>
          <w:color w:val="000000" w:themeColor="text1"/>
        </w:rPr>
        <w:t xml:space="preserve"> Prime minister Modi at the</w:t>
      </w:r>
      <w:r w:rsidR="00A61724">
        <w:rPr>
          <w:color w:val="000000" w:themeColor="text1"/>
        </w:rPr>
        <w:t xml:space="preserve"> </w:t>
      </w:r>
      <w:r w:rsidR="00D96171">
        <w:rPr>
          <w:color w:val="000000" w:themeColor="text1"/>
        </w:rPr>
        <w:t>February</w:t>
      </w:r>
      <w:r w:rsidR="00772326">
        <w:rPr>
          <w:color w:val="000000" w:themeColor="text1"/>
        </w:rPr>
        <w:t xml:space="preserve"> 2018 World Sustainable Development Summit</w:t>
      </w:r>
      <w:r w:rsidRPr="00827A08">
        <w:rPr>
          <w:color w:val="000000" w:themeColor="text1"/>
        </w:rPr>
        <w:t xml:space="preserve"> </w:t>
      </w:r>
      <w:r w:rsidR="00772326" w:rsidRPr="00333141">
        <w:rPr>
          <w:rFonts w:eastAsia="Times New Roman"/>
          <w:color w:val="000000" w:themeColor="text1"/>
          <w:shd w:val="clear" w:color="auto" w:fill="FFFFFF"/>
        </w:rPr>
        <w:t>emphasis</w:t>
      </w:r>
      <w:r w:rsidR="00772326">
        <w:rPr>
          <w:rFonts w:eastAsia="Times New Roman"/>
          <w:color w:val="000000" w:themeColor="text1"/>
          <w:shd w:val="clear" w:color="auto" w:fill="FFFFFF"/>
        </w:rPr>
        <w:t>ed</w:t>
      </w:r>
      <w:r w:rsidR="00F04244">
        <w:rPr>
          <w:rFonts w:eastAsia="Times New Roman"/>
          <w:color w:val="000000" w:themeColor="text1"/>
          <w:shd w:val="clear" w:color="auto" w:fill="FFFFFF"/>
        </w:rPr>
        <w:t xml:space="preserve"> the </w:t>
      </w:r>
      <w:r w:rsidR="00772326" w:rsidRPr="00333141">
        <w:rPr>
          <w:rFonts w:eastAsia="Times New Roman"/>
          <w:color w:val="000000" w:themeColor="text1"/>
          <w:shd w:val="clear" w:color="auto" w:fill="FFFFFF"/>
        </w:rPr>
        <w:t>current</w:t>
      </w:r>
      <w:r w:rsidR="00ED7834">
        <w:rPr>
          <w:rFonts w:eastAsia="Times New Roman"/>
          <w:color w:val="000000" w:themeColor="text1"/>
          <w:shd w:val="clear" w:color="auto" w:fill="FFFFFF"/>
        </w:rPr>
        <w:t xml:space="preserve"> environmental problems</w:t>
      </w:r>
      <w:r w:rsidR="00772326" w:rsidRPr="00333141">
        <w:rPr>
          <w:rFonts w:eastAsia="Times New Roman"/>
          <w:color w:val="000000" w:themeColor="text1"/>
          <w:shd w:val="clear" w:color="auto" w:fill="FFFFFF"/>
        </w:rPr>
        <w:t xml:space="preserve"> being faced by the developing nations</w:t>
      </w:r>
      <w:r w:rsidR="00ED7834">
        <w:rPr>
          <w:rFonts w:eastAsia="Times New Roman"/>
          <w:color w:val="000000" w:themeColor="text1"/>
          <w:shd w:val="clear" w:color="auto" w:fill="FFFFFF"/>
        </w:rPr>
        <w:t xml:space="preserve"> </w:t>
      </w:r>
      <w:r w:rsidR="00F04244">
        <w:rPr>
          <w:rFonts w:eastAsia="Times New Roman"/>
          <w:color w:val="000000" w:themeColor="text1"/>
          <w:shd w:val="clear" w:color="auto" w:fill="FFFFFF"/>
        </w:rPr>
        <w:t>and the need for a d</w:t>
      </w:r>
      <w:r w:rsidR="00F82432">
        <w:rPr>
          <w:rFonts w:eastAsia="Times New Roman"/>
          <w:color w:val="000000" w:themeColor="text1"/>
          <w:shd w:val="clear" w:color="auto" w:fill="FFFFFF"/>
        </w:rPr>
        <w:t xml:space="preserve">evelopment process that is </w:t>
      </w:r>
      <w:r w:rsidR="00F04244">
        <w:rPr>
          <w:rFonts w:eastAsia="Times New Roman"/>
          <w:color w:val="000000" w:themeColor="text1"/>
          <w:shd w:val="clear" w:color="auto" w:fill="FFFFFF"/>
        </w:rPr>
        <w:t>inclusive and sustainable resulting in benefit to all stakeholders:</w:t>
      </w:r>
      <w:r w:rsidR="00F04244">
        <w:rPr>
          <w:rStyle w:val="FootnoteReference"/>
          <w:rFonts w:eastAsia="Times New Roman"/>
          <w:color w:val="000000" w:themeColor="text1"/>
          <w:shd w:val="clear" w:color="auto" w:fill="FFFFFF"/>
        </w:rPr>
        <w:footnoteReference w:id="186"/>
      </w:r>
      <w:r w:rsidR="00772326" w:rsidRPr="00333141">
        <w:rPr>
          <w:rFonts w:eastAsia="Times New Roman"/>
          <w:color w:val="000000" w:themeColor="text1"/>
          <w:shd w:val="clear" w:color="auto" w:fill="FFFFFF"/>
        </w:rPr>
        <w:t> </w:t>
      </w:r>
    </w:p>
    <w:p w14:paraId="39DFB1C6" w14:textId="77777777" w:rsidR="00FA2DAF" w:rsidRDefault="00FA2DAF" w:rsidP="002C4CC5">
      <w:pPr>
        <w:pStyle w:val="NormalWeb"/>
        <w:shd w:val="clear" w:color="auto" w:fill="FFFFFF"/>
        <w:spacing w:before="0" w:beforeAutospacing="0" w:after="150" w:afterAutospacing="0" w:line="360" w:lineRule="auto"/>
        <w:jc w:val="both"/>
        <w:rPr>
          <w:color w:val="000000" w:themeColor="text1"/>
        </w:rPr>
      </w:pPr>
    </w:p>
    <w:p w14:paraId="16D3A90A" w14:textId="55B3C548" w:rsidR="00F04244" w:rsidRPr="003F71D9" w:rsidRDefault="00F04244"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This summit is a reinforcement of India’s commitment to a sustainable planet, for ourselves and for future generations. As a nation, we are proud of our long history and tradition of harmonious co-existence between man and nature. Respect for nature is an integral part of our value system. Our traditional practices contribute to a sustainable lifestyle. Our goal is to be able to live up to our ancient texts which say, “Keep pure For the Earth is our Mother and we are her children”. India has always believed in making the benefits of good governance reach everyone. Our mission of ‘Sabka Saath Sabka Vikas’ is an extension of this philosophy. Through this philosophy, we are ensuring that some of our most deprived areas experience social and economic progress on par with others.</w:t>
      </w:r>
      <w:r w:rsidRPr="003F71D9">
        <w:rPr>
          <w:sz w:val="20"/>
          <w:szCs w:val="20"/>
          <w:vertAlign w:val="superscript"/>
        </w:rPr>
        <w:footnoteReference w:id="187"/>
      </w:r>
    </w:p>
    <w:p w14:paraId="257DF701" w14:textId="54BEAD04" w:rsidR="00BA78E4" w:rsidRDefault="005D001D" w:rsidP="002C4CC5">
      <w:pPr>
        <w:spacing w:line="360" w:lineRule="auto"/>
        <w:rPr>
          <w:color w:val="000000" w:themeColor="text1"/>
          <w:lang w:eastAsia="en-US"/>
        </w:rPr>
      </w:pPr>
      <w:r>
        <w:rPr>
          <w:color w:val="000000" w:themeColor="text1"/>
        </w:rPr>
        <w:t>Nevertheless, Modi is</w:t>
      </w:r>
      <w:r w:rsidR="00037DF6">
        <w:rPr>
          <w:color w:val="000000" w:themeColor="text1"/>
        </w:rPr>
        <w:t xml:space="preserve"> also</w:t>
      </w:r>
      <w:r w:rsidR="00BA78E4" w:rsidRPr="00827A08">
        <w:rPr>
          <w:color w:val="000000" w:themeColor="text1"/>
        </w:rPr>
        <w:t xml:space="preserve"> known as a pro-business, market-oriente</w:t>
      </w:r>
      <w:r>
        <w:rPr>
          <w:color w:val="000000" w:themeColor="text1"/>
        </w:rPr>
        <w:t>d reformer who aims to</w:t>
      </w:r>
      <w:r w:rsidR="00FC6813" w:rsidRPr="00827A08">
        <w:rPr>
          <w:color w:val="000000" w:themeColor="text1"/>
        </w:rPr>
        <w:t xml:space="preserve"> double</w:t>
      </w:r>
      <w:r>
        <w:rPr>
          <w:color w:val="000000" w:themeColor="text1"/>
        </w:rPr>
        <w:t xml:space="preserve"> the Indian economy</w:t>
      </w:r>
      <w:r w:rsidR="00FC6813" w:rsidRPr="00827A08">
        <w:rPr>
          <w:color w:val="000000" w:themeColor="text1"/>
        </w:rPr>
        <w:t xml:space="preserve"> in the next seven years.</w:t>
      </w:r>
      <w:r w:rsidR="00FA2DAF">
        <w:rPr>
          <w:color w:val="000000" w:themeColor="text1"/>
        </w:rPr>
        <w:t xml:space="preserve"> Modi claims “</w:t>
      </w:r>
      <w:r w:rsidR="004816ED" w:rsidRPr="00827A08">
        <w:rPr>
          <w:color w:val="000000" w:themeColor="text1"/>
        </w:rPr>
        <w:t>India would have a $5 trillion</w:t>
      </w:r>
      <w:r w:rsidR="004556C8" w:rsidRPr="00827A08">
        <w:rPr>
          <w:color w:val="000000" w:themeColor="text1"/>
        </w:rPr>
        <w:t xml:space="preserve"> economy by 2025.</w:t>
      </w:r>
      <w:r w:rsidR="00FA2DAF">
        <w:rPr>
          <w:color w:val="000000" w:themeColor="text1"/>
        </w:rPr>
        <w:t>”</w:t>
      </w:r>
      <w:r w:rsidR="004816ED" w:rsidRPr="00827A08">
        <w:rPr>
          <w:rStyle w:val="FootnoteReference"/>
          <w:color w:val="000000" w:themeColor="text1"/>
        </w:rPr>
        <w:footnoteReference w:id="188"/>
      </w:r>
      <w:r w:rsidR="004816ED" w:rsidRPr="00827A08">
        <w:rPr>
          <w:color w:val="000000" w:themeColor="text1"/>
        </w:rPr>
        <w:t xml:space="preserve"> </w:t>
      </w:r>
      <w:r w:rsidR="00BA78E4" w:rsidRPr="00827A08">
        <w:rPr>
          <w:color w:val="000000" w:themeColor="text1"/>
        </w:rPr>
        <w:t>Modi’s efforts i</w:t>
      </w:r>
      <w:r w:rsidR="00BA78E4" w:rsidRPr="00827A08">
        <w:rPr>
          <w:rFonts w:eastAsia="Times New Roman"/>
          <w:color w:val="000000" w:themeColor="text1"/>
          <w:shd w:val="clear" w:color="auto" w:fill="FFFFFF"/>
        </w:rPr>
        <w:t>n building India's global appeal for investors by introducing</w:t>
      </w:r>
      <w:r w:rsidR="00DA31A3" w:rsidRPr="00827A08">
        <w:rPr>
          <w:rFonts w:eastAsia="Times New Roman"/>
          <w:color w:val="000000" w:themeColor="text1"/>
          <w:shd w:val="clear" w:color="auto" w:fill="FFFFFF"/>
        </w:rPr>
        <w:t xml:space="preserve"> an</w:t>
      </w:r>
      <w:r w:rsidR="00177724">
        <w:rPr>
          <w:rFonts w:eastAsia="Times New Roman"/>
          <w:color w:val="000000" w:themeColor="text1"/>
          <w:shd w:val="clear" w:color="auto" w:fill="FFFFFF"/>
        </w:rPr>
        <w:t xml:space="preserve"> “ease of doing business”</w:t>
      </w:r>
      <w:r w:rsidR="00BA78E4" w:rsidRPr="00827A08">
        <w:rPr>
          <w:rFonts w:eastAsia="Times New Roman"/>
          <w:color w:val="000000" w:themeColor="text1"/>
          <w:shd w:val="clear" w:color="auto" w:fill="FFFFFF"/>
        </w:rPr>
        <w:t xml:space="preserve"> strategy has yielded returns. India rose 30 places to 100 in the World Bank’s Ease of Doing Business global rankings and was named as one of the top 10 countries in reforming its business environment.</w:t>
      </w:r>
      <w:r w:rsidR="00A7040C" w:rsidRPr="00827A08">
        <w:rPr>
          <w:rStyle w:val="FootnoteReference"/>
          <w:rFonts w:eastAsia="Times New Roman"/>
          <w:color w:val="000000" w:themeColor="text1"/>
          <w:shd w:val="clear" w:color="auto" w:fill="FFFFFF"/>
        </w:rPr>
        <w:footnoteReference w:id="189"/>
      </w:r>
      <w:r w:rsidR="00BA78E4" w:rsidRPr="00827A08">
        <w:rPr>
          <w:rFonts w:eastAsia="Times New Roman"/>
          <w:color w:val="000000" w:themeColor="text1"/>
          <w:shd w:val="clear" w:color="auto" w:fill="FFFFFF"/>
        </w:rPr>
        <w:t xml:space="preserve"> </w:t>
      </w:r>
    </w:p>
    <w:p w14:paraId="320050CA" w14:textId="77777777" w:rsidR="00297F8F" w:rsidRPr="00297F8F" w:rsidRDefault="00297F8F" w:rsidP="002C4CC5">
      <w:pPr>
        <w:spacing w:line="360" w:lineRule="auto"/>
        <w:rPr>
          <w:color w:val="000000" w:themeColor="text1"/>
          <w:lang w:eastAsia="en-US"/>
        </w:rPr>
      </w:pPr>
    </w:p>
    <w:p w14:paraId="612C1C0C" w14:textId="27240F72" w:rsidR="00E938F8" w:rsidRPr="00827A08" w:rsidRDefault="002A1E45" w:rsidP="00297F8F">
      <w:pPr>
        <w:spacing w:line="360" w:lineRule="auto"/>
        <w:rPr>
          <w:color w:val="000000" w:themeColor="text1"/>
        </w:rPr>
      </w:pPr>
      <w:r>
        <w:rPr>
          <w:rFonts w:eastAsia="Times New Roman"/>
          <w:color w:val="000000" w:themeColor="text1"/>
          <w:shd w:val="clear" w:color="auto" w:fill="FFFFFF"/>
        </w:rPr>
        <w:t xml:space="preserve">Notwithstanding these ambitious commitments, the reality within India remains disturbing. </w:t>
      </w:r>
      <w:r w:rsidR="00037DF6">
        <w:rPr>
          <w:rFonts w:eastAsia="Times New Roman"/>
          <w:color w:val="000000" w:themeColor="text1"/>
          <w:shd w:val="clear" w:color="auto" w:fill="FFFFFF"/>
        </w:rPr>
        <w:t xml:space="preserve">There </w:t>
      </w:r>
      <w:r w:rsidR="00E414BA">
        <w:rPr>
          <w:rFonts w:eastAsia="Times New Roman"/>
          <w:color w:val="000000" w:themeColor="text1"/>
          <w:shd w:val="clear" w:color="auto" w:fill="FFFFFF"/>
        </w:rPr>
        <w:t>continues to exist</w:t>
      </w:r>
      <w:r w:rsidR="00037DF6">
        <w:rPr>
          <w:rFonts w:eastAsia="Times New Roman"/>
          <w:color w:val="000000" w:themeColor="text1"/>
          <w:shd w:val="clear" w:color="auto" w:fill="FFFFFF"/>
        </w:rPr>
        <w:t xml:space="preserve"> a </w:t>
      </w:r>
      <w:r w:rsidR="00FA3E09">
        <w:rPr>
          <w:rFonts w:eastAsia="Times New Roman"/>
          <w:color w:val="000000" w:themeColor="text1"/>
          <w:shd w:val="clear" w:color="auto" w:fill="FFFFFF"/>
        </w:rPr>
        <w:t xml:space="preserve">failure </w:t>
      </w:r>
      <w:r w:rsidR="00037DF6">
        <w:rPr>
          <w:rFonts w:eastAsia="Times New Roman"/>
          <w:color w:val="000000" w:themeColor="text1"/>
          <w:shd w:val="clear" w:color="auto" w:fill="FFFFFF"/>
        </w:rPr>
        <w:t xml:space="preserve">gap between the </w:t>
      </w:r>
      <w:r w:rsidR="00E414BA">
        <w:rPr>
          <w:rFonts w:eastAsia="Times New Roman"/>
          <w:color w:val="000000" w:themeColor="text1"/>
          <w:shd w:val="clear" w:color="auto" w:fill="FFFFFF"/>
        </w:rPr>
        <w:t xml:space="preserve">public </w:t>
      </w:r>
      <w:r w:rsidR="00FA3E09">
        <w:rPr>
          <w:rFonts w:eastAsia="Times New Roman"/>
          <w:color w:val="000000" w:themeColor="text1"/>
          <w:shd w:val="clear" w:color="auto" w:fill="FFFFFF"/>
        </w:rPr>
        <w:t>statements</w:t>
      </w:r>
      <w:r w:rsidR="00037DF6">
        <w:rPr>
          <w:rFonts w:eastAsia="Times New Roman"/>
          <w:color w:val="000000" w:themeColor="text1"/>
          <w:shd w:val="clear" w:color="auto" w:fill="FFFFFF"/>
        </w:rPr>
        <w:t xml:space="preserve"> of the Prime Minister </w:t>
      </w:r>
      <w:r w:rsidR="00FA3E09">
        <w:rPr>
          <w:rFonts w:eastAsia="Times New Roman"/>
          <w:color w:val="000000" w:themeColor="text1"/>
          <w:shd w:val="clear" w:color="auto" w:fill="FFFFFF"/>
        </w:rPr>
        <w:t xml:space="preserve">Modi </w:t>
      </w:r>
      <w:r w:rsidR="00037DF6">
        <w:rPr>
          <w:rFonts w:eastAsia="Times New Roman"/>
          <w:color w:val="000000" w:themeColor="text1"/>
          <w:shd w:val="clear" w:color="auto" w:fill="FFFFFF"/>
        </w:rPr>
        <w:t xml:space="preserve">and their application </w:t>
      </w:r>
      <w:r w:rsidR="00E414BA">
        <w:rPr>
          <w:rFonts w:eastAsia="Times New Roman"/>
          <w:color w:val="000000" w:themeColor="text1"/>
          <w:shd w:val="clear" w:color="auto" w:fill="FFFFFF"/>
        </w:rPr>
        <w:t xml:space="preserve">in practice </w:t>
      </w:r>
      <w:r w:rsidR="00177724">
        <w:rPr>
          <w:rFonts w:eastAsia="Times New Roman"/>
          <w:color w:val="000000" w:themeColor="text1"/>
          <w:shd w:val="clear" w:color="auto" w:fill="FFFFFF"/>
        </w:rPr>
        <w:t>by his “</w:t>
      </w:r>
      <w:r w:rsidR="00037DF6">
        <w:rPr>
          <w:rFonts w:eastAsia="Times New Roman"/>
          <w:color w:val="000000" w:themeColor="text1"/>
          <w:shd w:val="clear" w:color="auto" w:fill="FFFFFF"/>
        </w:rPr>
        <w:t>agents</w:t>
      </w:r>
      <w:r w:rsidR="00177724">
        <w:rPr>
          <w:rFonts w:eastAsia="Times New Roman"/>
          <w:color w:val="000000" w:themeColor="text1"/>
          <w:shd w:val="clear" w:color="auto" w:fill="FFFFFF"/>
        </w:rPr>
        <w:t>”</w:t>
      </w:r>
      <w:r w:rsidR="00E414BA">
        <w:rPr>
          <w:rFonts w:eastAsia="Times New Roman"/>
          <w:color w:val="000000" w:themeColor="text1"/>
          <w:shd w:val="clear" w:color="auto" w:fill="FFFFFF"/>
        </w:rPr>
        <w:t xml:space="preserve"> being the </w:t>
      </w:r>
      <w:r w:rsidR="00907899">
        <w:rPr>
          <w:rFonts w:eastAsia="Times New Roman"/>
          <w:color w:val="000000" w:themeColor="text1"/>
          <w:shd w:val="clear" w:color="auto" w:fill="FFFFFF"/>
        </w:rPr>
        <w:t xml:space="preserve">relevant ministries, </w:t>
      </w:r>
      <w:r w:rsidR="00E414BA">
        <w:rPr>
          <w:rFonts w:eastAsia="Times New Roman"/>
          <w:color w:val="000000" w:themeColor="text1"/>
          <w:shd w:val="clear" w:color="auto" w:fill="FFFFFF"/>
        </w:rPr>
        <w:t xml:space="preserve">regulatory agencies and civil servants. </w:t>
      </w:r>
      <w:r w:rsidR="00BA78E4" w:rsidRPr="00827A08">
        <w:rPr>
          <w:rFonts w:eastAsia="Times New Roman"/>
          <w:color w:val="000000" w:themeColor="text1"/>
          <w:shd w:val="clear" w:color="auto" w:fill="FFFFFF"/>
        </w:rPr>
        <w:t xml:space="preserve">An illustration of </w:t>
      </w:r>
      <w:r w:rsidR="007C56A3" w:rsidRPr="00827A08">
        <w:rPr>
          <w:rFonts w:eastAsia="Times New Roman"/>
          <w:color w:val="000000" w:themeColor="text1"/>
          <w:shd w:val="clear" w:color="auto" w:fill="FFFFFF"/>
        </w:rPr>
        <w:t xml:space="preserve">unfettered </w:t>
      </w:r>
      <w:r w:rsidR="00BA78E4" w:rsidRPr="00827A08">
        <w:rPr>
          <w:rFonts w:eastAsia="Times New Roman"/>
          <w:color w:val="000000" w:themeColor="text1"/>
          <w:shd w:val="clear" w:color="auto" w:fill="FFFFFF"/>
        </w:rPr>
        <w:t xml:space="preserve">economic promotion occurred in May 2016, </w:t>
      </w:r>
      <w:r w:rsidR="00BA78E4" w:rsidRPr="00827A08">
        <w:rPr>
          <w:color w:val="000000" w:themeColor="text1"/>
        </w:rPr>
        <w:t xml:space="preserve">when the </w:t>
      </w:r>
      <w:r w:rsidR="00534E79" w:rsidRPr="00827A08">
        <w:rPr>
          <w:color w:val="000000" w:themeColor="text1"/>
        </w:rPr>
        <w:t xml:space="preserve">then </w:t>
      </w:r>
      <w:r w:rsidR="00BA78E4" w:rsidRPr="00827A08">
        <w:rPr>
          <w:color w:val="000000" w:themeColor="text1"/>
        </w:rPr>
        <w:t>Minister of Environment and Forests, Prakash Javadekar stated his ministry granted environmental clearance (EC) to 2</w:t>
      </w:r>
      <w:r w:rsidR="007C56A3" w:rsidRPr="00827A08">
        <w:rPr>
          <w:color w:val="000000" w:themeColor="text1"/>
        </w:rPr>
        <w:t>,</w:t>
      </w:r>
      <w:r w:rsidR="00BA78E4" w:rsidRPr="00827A08">
        <w:rPr>
          <w:color w:val="000000" w:themeColor="text1"/>
        </w:rPr>
        <w:t xml:space="preserve">000 projects in 190 days for ease of doing business. The minister stated </w:t>
      </w:r>
      <w:r w:rsidR="00BA78E4" w:rsidRPr="00827A08">
        <w:rPr>
          <w:rFonts w:eastAsia="Times New Roman"/>
          <w:color w:val="000000" w:themeColor="text1"/>
        </w:rPr>
        <w:t>environment clearances are given without compromising stringent pollution norms.</w:t>
      </w:r>
      <w:r w:rsidR="00534E79" w:rsidRPr="00827A08">
        <w:rPr>
          <w:rStyle w:val="FootnoteReference"/>
          <w:rFonts w:eastAsia="Times New Roman"/>
          <w:color w:val="000000" w:themeColor="text1"/>
        </w:rPr>
        <w:footnoteReference w:id="190"/>
      </w:r>
      <w:r w:rsidR="00BA78E4" w:rsidRPr="00827A08">
        <w:rPr>
          <w:rFonts w:eastAsia="Times New Roman"/>
          <w:color w:val="000000" w:themeColor="text1"/>
        </w:rPr>
        <w:t xml:space="preserve"> </w:t>
      </w:r>
      <w:r w:rsidR="00BA78E4" w:rsidRPr="00827A08">
        <w:rPr>
          <w:color w:val="000000" w:themeColor="text1"/>
        </w:rPr>
        <w:t>However, evidence suggests that regulatory environmental laws and procedures were ignored or short-circuited in the race for economic returns. Errors include failure to provide mandatory documentation, inadequate stakeholder participation, and deliberate concealment or submission of false or misleading information for the EC process. A study by the Centre for Science and Environment, a Delhi-based research and advocacy organisation, stated, between June 2014 and April 2015, 103 mining projects and 54 infrastructure projects were granted ECs. The coal-mining sector was a special beneficiary as projects were allowed in critically polluted areas via a diluted public hearing requirement</w:t>
      </w:r>
      <w:r w:rsidR="001818D1" w:rsidRPr="00827A08">
        <w:rPr>
          <w:color w:val="000000" w:themeColor="text1"/>
        </w:rPr>
        <w:t>.</w:t>
      </w:r>
      <w:r w:rsidR="001818D1" w:rsidRPr="00827A08">
        <w:rPr>
          <w:rStyle w:val="FootnoteReference"/>
          <w:color w:val="000000" w:themeColor="text1"/>
        </w:rPr>
        <w:footnoteReference w:id="191"/>
      </w:r>
      <w:r w:rsidR="00B043E9" w:rsidRPr="00827A08">
        <w:rPr>
          <w:color w:val="000000" w:themeColor="text1"/>
        </w:rPr>
        <w:t xml:space="preserve"> </w:t>
      </w:r>
      <w:r w:rsidR="00E938F8" w:rsidRPr="00827A08">
        <w:rPr>
          <w:color w:val="000000" w:themeColor="text1"/>
        </w:rPr>
        <w:t xml:space="preserve">The data showed that </w:t>
      </w:r>
      <w:r w:rsidR="00BA78E4" w:rsidRPr="00827A08">
        <w:rPr>
          <w:color w:val="000000" w:themeColor="text1"/>
        </w:rPr>
        <w:t>projects were being cleared and processes were made so convoluted that they stopped working to protect the environ</w:t>
      </w:r>
      <w:r w:rsidR="00E938F8" w:rsidRPr="00827A08">
        <w:rPr>
          <w:color w:val="000000" w:themeColor="text1"/>
        </w:rPr>
        <w:t>ment.</w:t>
      </w:r>
      <w:r w:rsidR="00BA78E4" w:rsidRPr="00827A08">
        <w:rPr>
          <w:color w:val="000000" w:themeColor="text1"/>
        </w:rPr>
        <w:t xml:space="preserve"> </w:t>
      </w:r>
      <w:r w:rsidR="00A93A04" w:rsidRPr="00827A08">
        <w:rPr>
          <w:color w:val="000000" w:themeColor="text1"/>
        </w:rPr>
        <w:t>The report stated:</w:t>
      </w:r>
    </w:p>
    <w:p w14:paraId="4AE69FBA" w14:textId="78FF9F02" w:rsidR="00A93A04" w:rsidRPr="00827A08" w:rsidRDefault="00F25890" w:rsidP="00297F8F">
      <w:pPr>
        <w:spacing w:line="360" w:lineRule="auto"/>
        <w:rPr>
          <w:rFonts w:eastAsia="Times New Roman"/>
          <w:color w:val="000000" w:themeColor="text1"/>
        </w:rPr>
      </w:pPr>
      <w:r>
        <w:rPr>
          <w:rFonts w:eastAsia="Times New Roman"/>
          <w:color w:val="000000" w:themeColor="text1"/>
        </w:rPr>
        <w:t>“</w:t>
      </w:r>
      <w:r w:rsidR="00A93A04" w:rsidRPr="00827A08">
        <w:rPr>
          <w:rFonts w:eastAsia="Times New Roman"/>
          <w:color w:val="000000" w:themeColor="text1"/>
        </w:rPr>
        <w:t>overall trend suggests that green clearances have been made faster through incremental changes ‘easing’ the clearance process. However, there is no evidence that the quality of EIA reports has improved or enforcement on the ground have [sic] become more effective.</w:t>
      </w:r>
      <w:r>
        <w:rPr>
          <w:rFonts w:eastAsia="Times New Roman"/>
          <w:color w:val="000000" w:themeColor="text1"/>
        </w:rPr>
        <w:t>”</w:t>
      </w:r>
      <w:r w:rsidR="00CC2E53" w:rsidRPr="00827A08">
        <w:rPr>
          <w:rStyle w:val="FootnoteReference"/>
          <w:rFonts w:eastAsia="Times New Roman"/>
          <w:color w:val="000000" w:themeColor="text1"/>
        </w:rPr>
        <w:footnoteReference w:id="192"/>
      </w:r>
    </w:p>
    <w:p w14:paraId="77270ADC" w14:textId="77777777" w:rsidR="00A93A04" w:rsidRPr="00827A08" w:rsidRDefault="00A93A04" w:rsidP="00297F8F">
      <w:pPr>
        <w:spacing w:line="360" w:lineRule="auto"/>
        <w:rPr>
          <w:color w:val="000000" w:themeColor="text1"/>
        </w:rPr>
      </w:pPr>
    </w:p>
    <w:p w14:paraId="13747E0F" w14:textId="6CCFEBBE" w:rsidR="00BA78E4" w:rsidRPr="00827A08" w:rsidRDefault="00BA78E4" w:rsidP="00297F8F">
      <w:pPr>
        <w:spacing w:line="360" w:lineRule="auto"/>
        <w:rPr>
          <w:rFonts w:eastAsia="Times New Roman"/>
          <w:color w:val="000000" w:themeColor="text1"/>
        </w:rPr>
      </w:pPr>
      <w:r w:rsidRPr="00827A08">
        <w:rPr>
          <w:color w:val="000000" w:themeColor="text1"/>
        </w:rPr>
        <w:t xml:space="preserve">In 2016, the </w:t>
      </w:r>
      <w:r w:rsidRPr="00827A08">
        <w:rPr>
          <w:rFonts w:eastAsia="Times New Roman"/>
          <w:color w:val="000000" w:themeColor="text1"/>
        </w:rPr>
        <w:t>Comptroller and Auditor-General of India published a Performance Audit on Environmental Clearance and Post Clearance Monitoring</w:t>
      </w:r>
      <w:r w:rsidR="00485DB3" w:rsidRPr="00827A08">
        <w:rPr>
          <w:rFonts w:eastAsia="Times New Roman"/>
          <w:color w:val="000000" w:themeColor="text1"/>
        </w:rPr>
        <w:t xml:space="preserve"> Report (CAG Report</w:t>
      </w:r>
      <w:r w:rsidRPr="00827A08">
        <w:rPr>
          <w:rFonts w:eastAsia="Times New Roman"/>
          <w:color w:val="000000" w:themeColor="text1"/>
        </w:rPr>
        <w:t>).</w:t>
      </w:r>
      <w:r w:rsidR="00485DB3" w:rsidRPr="00827A08">
        <w:rPr>
          <w:rStyle w:val="FootnoteReference"/>
          <w:rFonts w:eastAsia="Times New Roman"/>
          <w:color w:val="000000" w:themeColor="text1"/>
        </w:rPr>
        <w:footnoteReference w:id="193"/>
      </w:r>
      <w:r w:rsidRPr="00827A08">
        <w:rPr>
          <w:rFonts w:eastAsia="Times New Roman"/>
          <w:color w:val="000000" w:themeColor="text1"/>
        </w:rPr>
        <w:t xml:space="preserve"> Out of 216 projects that had been granted ECs between 2011 to July 2015, the report stated:</w:t>
      </w:r>
    </w:p>
    <w:p w14:paraId="7714C669" w14:textId="77777777" w:rsidR="00BA78E4" w:rsidRPr="00827A08" w:rsidRDefault="00BA78E4" w:rsidP="00297F8F">
      <w:pPr>
        <w:spacing w:line="360" w:lineRule="auto"/>
        <w:rPr>
          <w:rFonts w:eastAsia="Times New Roman"/>
          <w:color w:val="000000" w:themeColor="text1"/>
        </w:rPr>
      </w:pPr>
    </w:p>
    <w:p w14:paraId="730C967D" w14:textId="6E65AD41" w:rsidR="00BA78E4" w:rsidRPr="003F71D9" w:rsidRDefault="00BA78E4"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In 25 per cent cases, the Environment Impact Assessment reports did not comply with Terms of Reference and in 23 per cent cases they did not comply with the generic structure of the report. Cumulative impact studies before preparing the Environment Impact Assessment reports w</w:t>
      </w:r>
      <w:r w:rsidR="00D94411" w:rsidRPr="003F71D9">
        <w:rPr>
          <w:color w:val="000000" w:themeColor="text1"/>
          <w:sz w:val="20"/>
          <w:szCs w:val="20"/>
        </w:rPr>
        <w:t>ere</w:t>
      </w:r>
      <w:r w:rsidRPr="003F71D9">
        <w:rPr>
          <w:color w:val="000000" w:themeColor="text1"/>
          <w:sz w:val="20"/>
          <w:szCs w:val="20"/>
        </w:rPr>
        <w:t xml:space="preserve"> not made a mandatory requirement, thus the impact of a number of projects in a region on the ecosystem was not known. Ministry had not followed due process in issue of Office Memoranda and the Office Memoranda so issued had the effect of diluting the provisions of original notification.</w:t>
      </w:r>
      <w:r w:rsidR="00C713D8" w:rsidRPr="003F71D9">
        <w:rPr>
          <w:sz w:val="20"/>
          <w:szCs w:val="20"/>
          <w:vertAlign w:val="superscript"/>
        </w:rPr>
        <w:footnoteReference w:id="194"/>
      </w:r>
    </w:p>
    <w:p w14:paraId="44F62C6D" w14:textId="77777777" w:rsidR="00BA78E4" w:rsidRPr="00827A08" w:rsidRDefault="00BA78E4" w:rsidP="00297F8F">
      <w:pPr>
        <w:spacing w:line="360" w:lineRule="auto"/>
        <w:rPr>
          <w:rFonts w:eastAsia="Times New Roman"/>
          <w:color w:val="000000" w:themeColor="text1"/>
        </w:rPr>
      </w:pPr>
    </w:p>
    <w:p w14:paraId="006DC543" w14:textId="77313ACF" w:rsidR="00BA78E4" w:rsidRPr="00827A08" w:rsidRDefault="00BA78E4" w:rsidP="00297F8F">
      <w:pPr>
        <w:spacing w:line="360" w:lineRule="auto"/>
        <w:rPr>
          <w:rFonts w:eastAsia="Times New Roman"/>
          <w:color w:val="000000" w:themeColor="text1"/>
          <w:shd w:val="clear" w:color="auto" w:fill="FFFFFF"/>
        </w:rPr>
      </w:pPr>
      <w:r w:rsidRPr="00827A08">
        <w:rPr>
          <w:rFonts w:eastAsia="Times New Roman"/>
          <w:color w:val="000000" w:themeColor="text1"/>
          <w:shd w:val="clear" w:color="auto" w:fill="FFFFFF"/>
        </w:rPr>
        <w:t xml:space="preserve">Environment regulations are being diluted to promote the ease of doing business and </w:t>
      </w:r>
      <w:r w:rsidRPr="00827A08">
        <w:rPr>
          <w:color w:val="000000" w:themeColor="text1"/>
        </w:rPr>
        <w:t xml:space="preserve">pursue an economic development model. The present government drafted controversial legislative proposals and took decisions that accommodate corporate interest and manipulates and subverts laws and safeguards that protect the rights of the tribal poor and the marginalised. These include the </w:t>
      </w:r>
      <w:r w:rsidRPr="00827A08">
        <w:rPr>
          <w:rFonts w:eastAsia="Times New Roman"/>
          <w:color w:val="000000" w:themeColor="text1"/>
          <w:shd w:val="clear" w:color="auto" w:fill="FFFFFF"/>
        </w:rPr>
        <w:t>new National Forest Policy that allows the corporate sector to grow, harvest and sell trees on government-owned forest lands, explicitly banned under the existing National Forest Policy 1988</w:t>
      </w:r>
      <w:r w:rsidR="0019735F" w:rsidRPr="00827A08">
        <w:rPr>
          <w:rStyle w:val="FootnoteReference"/>
          <w:rFonts w:eastAsia="Times New Roman"/>
          <w:color w:val="000000" w:themeColor="text1"/>
          <w:shd w:val="clear" w:color="auto" w:fill="FFFFFF"/>
        </w:rPr>
        <w:footnoteReference w:id="195"/>
      </w:r>
      <w:r w:rsidRPr="00827A08">
        <w:rPr>
          <w:rFonts w:eastAsia="Times New Roman"/>
          <w:color w:val="000000" w:themeColor="text1"/>
          <w:shd w:val="clear" w:color="auto" w:fill="FFFFFF"/>
        </w:rPr>
        <w:t xml:space="preserve"> ;</w:t>
      </w:r>
      <w:r w:rsidR="00966C00" w:rsidRPr="00827A08">
        <w:rPr>
          <w:rFonts w:eastAsia="Times New Roman"/>
          <w:color w:val="000000" w:themeColor="text1"/>
          <w:shd w:val="clear" w:color="auto" w:fill="FFFFFF"/>
        </w:rPr>
        <w:t xml:space="preserve"> </w:t>
      </w:r>
      <w:r w:rsidRPr="00827A08">
        <w:rPr>
          <w:color w:val="000000" w:themeColor="text1"/>
        </w:rPr>
        <w:t xml:space="preserve">reducing tribal rights over forest land in favour of industries without securing the prior consent of Gram Sabha or village council </w:t>
      </w:r>
      <w:r w:rsidR="00966C00" w:rsidRPr="00827A08">
        <w:rPr>
          <w:rStyle w:val="FootnoteReference"/>
          <w:color w:val="000000" w:themeColor="text1"/>
        </w:rPr>
        <w:footnoteReference w:id="196"/>
      </w:r>
      <w:r w:rsidRPr="00827A08">
        <w:rPr>
          <w:color w:val="000000" w:themeColor="text1"/>
        </w:rPr>
        <w:t xml:space="preserve">; allowing </w:t>
      </w:r>
      <w:r w:rsidRPr="00827A08">
        <w:rPr>
          <w:rFonts w:eastAsia="Times New Roman"/>
          <w:color w:val="000000" w:themeColor="text1"/>
          <w:shd w:val="clear" w:color="auto" w:fill="FFFFFF"/>
        </w:rPr>
        <w:t>16 new thermal power plants in 2017 to come up in violation of the air pollution norms. More than 300 old fossil-fuel based power plants will also continue to violate pollution norms until at least</w:t>
      </w:r>
      <w:r w:rsidR="0029006B" w:rsidRPr="00827A08">
        <w:rPr>
          <w:rFonts w:eastAsia="Times New Roman"/>
          <w:color w:val="000000" w:themeColor="text1"/>
          <w:shd w:val="clear" w:color="auto" w:fill="FFFFFF"/>
        </w:rPr>
        <w:t xml:space="preserve"> 2020 </w:t>
      </w:r>
      <w:r w:rsidRPr="00827A08">
        <w:rPr>
          <w:rFonts w:eastAsia="Times New Roman"/>
          <w:color w:val="000000" w:themeColor="text1"/>
          <w:shd w:val="clear" w:color="auto" w:fill="FFFFFF"/>
        </w:rPr>
        <w:t>with the government’s approval.</w:t>
      </w:r>
      <w:r w:rsidR="0029006B" w:rsidRPr="00827A08">
        <w:rPr>
          <w:rStyle w:val="FootnoteReference"/>
          <w:rFonts w:eastAsia="Times New Roman"/>
          <w:color w:val="000000" w:themeColor="text1"/>
          <w:shd w:val="clear" w:color="auto" w:fill="FFFFFF"/>
        </w:rPr>
        <w:footnoteReference w:id="197"/>
      </w:r>
      <w:r w:rsidRPr="00827A08">
        <w:rPr>
          <w:rFonts w:eastAsia="Times New Roman"/>
          <w:color w:val="000000" w:themeColor="text1"/>
          <w:shd w:val="clear" w:color="auto" w:fill="FFFFFF"/>
        </w:rPr>
        <w:t xml:space="preserve"> </w:t>
      </w:r>
    </w:p>
    <w:p w14:paraId="0E3549E0" w14:textId="77777777" w:rsidR="00BA78E4" w:rsidRPr="00827A08" w:rsidRDefault="00BA78E4" w:rsidP="00297F8F">
      <w:pPr>
        <w:spacing w:line="360" w:lineRule="auto"/>
        <w:rPr>
          <w:rFonts w:eastAsia="Times New Roman"/>
          <w:color w:val="000000" w:themeColor="text1"/>
          <w:shd w:val="clear" w:color="auto" w:fill="FFFFFF"/>
        </w:rPr>
      </w:pPr>
    </w:p>
    <w:p w14:paraId="2D5FC223" w14:textId="42A903B5" w:rsidR="00BA78E4" w:rsidRPr="00827A08" w:rsidRDefault="00BA78E4" w:rsidP="00297F8F">
      <w:pPr>
        <w:widowControl w:val="0"/>
        <w:autoSpaceDE w:val="0"/>
        <w:autoSpaceDN w:val="0"/>
        <w:adjustRightInd w:val="0"/>
        <w:spacing w:after="240" w:line="360" w:lineRule="auto"/>
        <w:rPr>
          <w:color w:val="000000" w:themeColor="text1"/>
        </w:rPr>
      </w:pPr>
      <w:r w:rsidRPr="00827A08">
        <w:rPr>
          <w:rFonts w:eastAsia="Times New Roman"/>
          <w:color w:val="000000" w:themeColor="text1"/>
          <w:shd w:val="clear" w:color="auto" w:fill="FFFFFF"/>
        </w:rPr>
        <w:t xml:space="preserve">The NGT has consistently maintained its base position that it is not opposed to economic development. Nevertheless, it has been equally consistent that economic development is subject to the statutory rules and regulations passed to accommodate growth within the legal framework of sustainable development. The </w:t>
      </w:r>
      <w:r w:rsidR="00021CDC" w:rsidRPr="00827A08">
        <w:rPr>
          <w:rFonts w:eastAsia="Times New Roman"/>
          <w:color w:val="000000" w:themeColor="text1"/>
          <w:shd w:val="clear" w:color="auto" w:fill="FFFFFF"/>
        </w:rPr>
        <w:t>Tribunal</w:t>
      </w:r>
      <w:r w:rsidRPr="00827A08">
        <w:rPr>
          <w:rFonts w:eastAsia="Times New Roman"/>
          <w:color w:val="000000" w:themeColor="text1"/>
          <w:shd w:val="clear" w:color="auto" w:fill="FFFFFF"/>
        </w:rPr>
        <w:t xml:space="preserve"> has been steadfast in its restraining decisions that identify processes that seek to fast track development programmes by ignoring environmental protection rules. For example, in the </w:t>
      </w:r>
      <w:r w:rsidRPr="00827A08">
        <w:rPr>
          <w:rFonts w:eastAsia="Times New Roman"/>
          <w:i/>
          <w:color w:val="000000" w:themeColor="text1"/>
          <w:shd w:val="clear" w:color="auto" w:fill="FFFFFF"/>
        </w:rPr>
        <w:t>Society for Protection of Environment and Biodiversity v Union of India</w:t>
      </w:r>
      <w:r w:rsidR="005D5D39" w:rsidRPr="00827A08">
        <w:rPr>
          <w:rStyle w:val="FootnoteReference"/>
          <w:rFonts w:eastAsia="Times New Roman"/>
          <w:i/>
          <w:color w:val="000000" w:themeColor="text1"/>
          <w:shd w:val="clear" w:color="auto" w:fill="FFFFFF"/>
        </w:rPr>
        <w:footnoteReference w:id="198"/>
      </w:r>
      <w:r w:rsidRPr="00827A08">
        <w:rPr>
          <w:rFonts w:eastAsia="Times New Roman"/>
          <w:color w:val="000000" w:themeColor="text1"/>
          <w:shd w:val="clear" w:color="auto" w:fill="FFFFFF"/>
        </w:rPr>
        <w:t xml:space="preserve"> the NGT quashed the December 2016 notification issued by the MoEF whereby substantive provisions of EIA Notification, 2006, that require prior Environmental Clearance (EC) for building and construction activities were diluted. According to the NGT, the 2016 notification was ultra-vires as it permitted construction of buildings and apartments without complying with the environmental norms.  The </w:t>
      </w:r>
      <w:r w:rsidR="00021CDC" w:rsidRPr="00827A08">
        <w:rPr>
          <w:rFonts w:eastAsia="Times New Roman"/>
          <w:color w:val="000000" w:themeColor="text1"/>
          <w:shd w:val="clear" w:color="auto" w:fill="FFFFFF"/>
        </w:rPr>
        <w:t>Tribunal</w:t>
      </w:r>
      <w:r w:rsidRPr="00827A08">
        <w:rPr>
          <w:rFonts w:eastAsia="Times New Roman"/>
          <w:color w:val="000000" w:themeColor="text1"/>
          <w:shd w:val="clear" w:color="auto" w:fill="FFFFFF"/>
        </w:rPr>
        <w:t xml:space="preserve"> held that t</w:t>
      </w:r>
      <w:r w:rsidRPr="00827A08">
        <w:rPr>
          <w:color w:val="000000" w:themeColor="text1"/>
        </w:rPr>
        <w:t>he magnitude of the environmental footprint would be immense and unregulated building and construction activity would cause considerable environmental damage. In a strongly worded judgment, the NGT observed</w:t>
      </w:r>
      <w:r w:rsidR="00211E93">
        <w:rPr>
          <w:color w:val="000000" w:themeColor="text1"/>
        </w:rPr>
        <w:t>:</w:t>
      </w:r>
    </w:p>
    <w:p w14:paraId="4DA77AB0" w14:textId="412AB8AB" w:rsidR="00BA78E4" w:rsidRPr="003F71D9" w:rsidRDefault="00BA78E4"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The MoEF&amp;CC has failed to produce any study, literature, evaluation of the reason for taking such a retrograde decision…The said amendment notification is only a ploy to circumvent the provisions of environmental assessment under the EIA Notification, 2006 in the name of ‘ease of doing responsible business’ and there is no mechanism laid down under the amendment notification for evaluation, assessment or monitoring of the environment impact of the building and construction activity. The construction industry consumes enormous resources and has a significant energy footprint; the sector emits 22 per cent of India’s total annual carbon-dioxide emission… The MoEF&amp;CC has failed to fulfil its statutory responsibilities.</w:t>
      </w:r>
      <w:r w:rsidR="005D5D39" w:rsidRPr="003F71D9">
        <w:rPr>
          <w:sz w:val="20"/>
          <w:szCs w:val="20"/>
          <w:vertAlign w:val="superscript"/>
        </w:rPr>
        <w:footnoteReference w:id="199"/>
      </w:r>
      <w:r w:rsidRPr="003F71D9">
        <w:rPr>
          <w:color w:val="000000" w:themeColor="text1"/>
          <w:sz w:val="20"/>
          <w:szCs w:val="20"/>
          <w:vertAlign w:val="superscript"/>
        </w:rPr>
        <w:t xml:space="preserve"> </w:t>
      </w:r>
    </w:p>
    <w:p w14:paraId="2A19D721" w14:textId="550FA6C9" w:rsidR="00472D31" w:rsidRPr="00827A08" w:rsidRDefault="00BA78E4" w:rsidP="00297F8F">
      <w:pPr>
        <w:spacing w:line="360" w:lineRule="auto"/>
        <w:rPr>
          <w:rFonts w:eastAsia="Times New Roman"/>
          <w:color w:val="000000" w:themeColor="text1"/>
          <w:shd w:val="clear" w:color="auto" w:fill="FFFFFF"/>
        </w:rPr>
      </w:pPr>
      <w:r w:rsidRPr="00827A08">
        <w:rPr>
          <w:color w:val="000000" w:themeColor="text1"/>
        </w:rPr>
        <w:t xml:space="preserve">Similarly, in </w:t>
      </w:r>
      <w:r w:rsidRPr="00827A08">
        <w:rPr>
          <w:i/>
          <w:iCs/>
          <w:color w:val="000000" w:themeColor="text1"/>
        </w:rPr>
        <w:t>Paryawaran Sanrakshan Sangarsh Samiti Lippa v Union of India</w:t>
      </w:r>
      <w:r w:rsidR="005D5D39" w:rsidRPr="00827A08">
        <w:rPr>
          <w:rStyle w:val="FootnoteReference"/>
          <w:i/>
          <w:iCs/>
          <w:color w:val="000000" w:themeColor="text1"/>
        </w:rPr>
        <w:footnoteReference w:id="200"/>
      </w:r>
      <w:r w:rsidRPr="00827A08">
        <w:rPr>
          <w:i/>
          <w:iCs/>
          <w:color w:val="000000" w:themeColor="text1"/>
        </w:rPr>
        <w:t xml:space="preserve"> </w:t>
      </w:r>
      <w:r w:rsidRPr="00827A08">
        <w:rPr>
          <w:color w:val="000000" w:themeColor="text1"/>
        </w:rPr>
        <w:t xml:space="preserve">the NGT was </w:t>
      </w:r>
      <w:r w:rsidR="00211E93">
        <w:rPr>
          <w:rFonts w:eastAsia="Times New Roman"/>
          <w:color w:val="000000" w:themeColor="text1"/>
        </w:rPr>
        <w:t>left with a “</w:t>
      </w:r>
      <w:r w:rsidRPr="00827A08">
        <w:rPr>
          <w:rFonts w:eastAsia="Times New Roman"/>
          <w:color w:val="000000" w:themeColor="text1"/>
        </w:rPr>
        <w:t>deep sense of foreboding and serious anxiety on the future of the State and its progeny</w:t>
      </w:r>
      <w:r w:rsidR="00211E93">
        <w:rPr>
          <w:rFonts w:eastAsia="Times New Roman"/>
          <w:color w:val="000000" w:themeColor="text1"/>
        </w:rPr>
        <w:t>”</w:t>
      </w:r>
      <w:r w:rsidR="005D5D39" w:rsidRPr="00827A08">
        <w:rPr>
          <w:rStyle w:val="FootnoteReference"/>
          <w:rFonts w:eastAsia="Times New Roman"/>
          <w:color w:val="000000" w:themeColor="text1"/>
        </w:rPr>
        <w:footnoteReference w:id="201"/>
      </w:r>
      <w:r w:rsidR="001122AC" w:rsidRPr="00827A08">
        <w:rPr>
          <w:rFonts w:eastAsia="Times New Roman"/>
          <w:color w:val="000000" w:themeColor="text1"/>
        </w:rPr>
        <w:t xml:space="preserve"> </w:t>
      </w:r>
      <w:r w:rsidRPr="00827A08">
        <w:rPr>
          <w:rFonts w:eastAsia="Times New Roman"/>
          <w:color w:val="000000" w:themeColor="text1"/>
        </w:rPr>
        <w:t>i</w:t>
      </w:r>
      <w:r w:rsidRPr="00827A08">
        <w:rPr>
          <w:rFonts w:eastAsia="Times New Roman"/>
          <w:color w:val="000000" w:themeColor="text1"/>
          <w:shd w:val="clear" w:color="auto" w:fill="FFFFFF"/>
        </w:rPr>
        <w:t>n the context of the proposed number of hydropower projects in the state of Himachal Pradesh and their subsequent ecological impacts.</w:t>
      </w:r>
      <w:r w:rsidRPr="00827A08">
        <w:rPr>
          <w:rFonts w:eastAsia="Times New Roman"/>
          <w:color w:val="000000" w:themeColor="text1"/>
        </w:rPr>
        <w:t xml:space="preserve"> The NGT </w:t>
      </w:r>
      <w:r w:rsidRPr="00827A08">
        <w:rPr>
          <w:color w:val="000000" w:themeColor="text1"/>
        </w:rPr>
        <w:t>recognised the rights of villagers to be consulted concerning the construction of the Kashang Integrated Hydroelectric Project</w:t>
      </w:r>
      <w:r w:rsidR="00B341B1" w:rsidRPr="00827A08">
        <w:rPr>
          <w:color w:val="000000" w:themeColor="text1"/>
        </w:rPr>
        <w:t>.</w:t>
      </w:r>
      <w:r w:rsidR="00B341B1" w:rsidRPr="00827A08">
        <w:rPr>
          <w:rStyle w:val="FootnoteReference"/>
          <w:color w:val="000000" w:themeColor="text1"/>
        </w:rPr>
        <w:footnoteReference w:id="202"/>
      </w:r>
      <w:r w:rsidR="00C74233" w:rsidRPr="00827A08">
        <w:rPr>
          <w:color w:val="000000" w:themeColor="text1"/>
        </w:rPr>
        <w:t xml:space="preserve"> </w:t>
      </w:r>
      <w:r w:rsidRPr="00827A08">
        <w:rPr>
          <w:color w:val="000000" w:themeColor="text1"/>
        </w:rPr>
        <w:t xml:space="preserve">The </w:t>
      </w:r>
      <w:r w:rsidR="00021CDC" w:rsidRPr="00827A08">
        <w:rPr>
          <w:color w:val="000000" w:themeColor="text1"/>
        </w:rPr>
        <w:t>Tribunal</w:t>
      </w:r>
      <w:r w:rsidRPr="00827A08">
        <w:rPr>
          <w:color w:val="000000" w:themeColor="text1"/>
        </w:rPr>
        <w:t xml:space="preserve"> directed the MoEF and state government to ensure that, prior to the forest clearance for the project, t</w:t>
      </w:r>
      <w:r w:rsidR="0041408C" w:rsidRPr="00827A08">
        <w:rPr>
          <w:color w:val="000000" w:themeColor="text1"/>
        </w:rPr>
        <w:t>he proposal is placed before a gram s</w:t>
      </w:r>
      <w:r w:rsidRPr="00827A08">
        <w:rPr>
          <w:color w:val="000000" w:themeColor="text1"/>
        </w:rPr>
        <w:t>abha</w:t>
      </w:r>
      <w:r w:rsidR="00C74233" w:rsidRPr="00827A08">
        <w:rPr>
          <w:color w:val="000000" w:themeColor="text1"/>
          <w:position w:val="10"/>
        </w:rPr>
        <w:t xml:space="preserve"> </w:t>
      </w:r>
      <w:r w:rsidRPr="00827A08">
        <w:rPr>
          <w:color w:val="000000" w:themeColor="text1"/>
        </w:rPr>
        <w:t>of villages in Kinnaur district of the state of Himachal Pradesh.</w:t>
      </w:r>
      <w:r w:rsidR="003A53E5" w:rsidRPr="00827A08">
        <w:rPr>
          <w:rStyle w:val="FootnoteReference"/>
          <w:color w:val="000000" w:themeColor="text1"/>
        </w:rPr>
        <w:footnoteReference w:id="203"/>
      </w:r>
      <w:r w:rsidRPr="00827A08">
        <w:rPr>
          <w:color w:val="000000" w:themeColor="text1"/>
        </w:rPr>
        <w:t xml:space="preserve"> </w:t>
      </w:r>
      <w:r w:rsidRPr="00827A08">
        <w:rPr>
          <w:rFonts w:eastAsia="Times New Roman"/>
          <w:color w:val="000000" w:themeColor="text1"/>
          <w:shd w:val="clear" w:color="auto" w:fill="FFFFFF"/>
        </w:rPr>
        <w:t xml:space="preserve">The decision of the regulatory authorities failed to meet the statutory requirement to seek consent from forest dwelling tribals and other communities under the Forest Rights Act, 2006. </w:t>
      </w:r>
      <w:r w:rsidR="00472D31" w:rsidRPr="00827A08">
        <w:rPr>
          <w:rFonts w:eastAsia="Times New Roman"/>
          <w:color w:val="000000" w:themeColor="text1"/>
          <w:shd w:val="clear" w:color="auto" w:fill="FFFFFF"/>
        </w:rPr>
        <w:t xml:space="preserve"> </w:t>
      </w:r>
    </w:p>
    <w:p w14:paraId="2D1A9C73" w14:textId="53E3584E" w:rsidR="00BA78E4" w:rsidRPr="00827A08" w:rsidRDefault="00BA78E4" w:rsidP="00297F8F">
      <w:pPr>
        <w:spacing w:line="360" w:lineRule="auto"/>
        <w:rPr>
          <w:rFonts w:eastAsia="Times New Roman"/>
          <w:color w:val="000000" w:themeColor="text1"/>
          <w:shd w:val="clear" w:color="auto" w:fill="FFFFFF"/>
        </w:rPr>
      </w:pPr>
    </w:p>
    <w:p w14:paraId="2857570F" w14:textId="08FADAD6" w:rsidR="00BA78E4" w:rsidRPr="00827A08" w:rsidRDefault="00BA78E4" w:rsidP="00297F8F">
      <w:pPr>
        <w:widowControl w:val="0"/>
        <w:autoSpaceDE w:val="0"/>
        <w:autoSpaceDN w:val="0"/>
        <w:adjustRightInd w:val="0"/>
        <w:spacing w:after="240" w:line="360" w:lineRule="auto"/>
        <w:rPr>
          <w:rFonts w:eastAsia="Times New Roman"/>
          <w:color w:val="000000" w:themeColor="text1"/>
          <w:shd w:val="clear" w:color="auto" w:fill="FFFFFF"/>
        </w:rPr>
      </w:pPr>
      <w:r w:rsidRPr="00827A08">
        <w:rPr>
          <w:rFonts w:eastAsia="Times New Roman"/>
          <w:color w:val="000000" w:themeColor="text1"/>
          <w:shd w:val="clear" w:color="auto" w:fill="FFFFFF"/>
        </w:rPr>
        <w:t>These cases demonstrate that the Indian government and associated authorities failed to enforce</w:t>
      </w:r>
      <w:r w:rsidR="00211E93">
        <w:rPr>
          <w:rFonts w:eastAsia="Times New Roman"/>
          <w:color w:val="000000" w:themeColor="text1"/>
          <w:shd w:val="clear" w:color="auto" w:fill="FFFFFF"/>
        </w:rPr>
        <w:t xml:space="preserve"> the environment norms for the “ease of doing business”</w:t>
      </w:r>
      <w:r w:rsidRPr="00827A08">
        <w:rPr>
          <w:rFonts w:eastAsia="Times New Roman"/>
          <w:color w:val="000000" w:themeColor="text1"/>
          <w:shd w:val="clear" w:color="auto" w:fill="FFFFFF"/>
        </w:rPr>
        <w:t xml:space="preserve">. </w:t>
      </w:r>
      <w:r w:rsidR="006123FC" w:rsidRPr="00827A08">
        <w:rPr>
          <w:rFonts w:eastAsia="Times New Roman"/>
          <w:color w:val="000000" w:themeColor="text1"/>
          <w:shd w:val="clear" w:color="auto" w:fill="FFFFFF"/>
        </w:rPr>
        <w:t xml:space="preserve">Further, </w:t>
      </w:r>
      <w:r w:rsidR="007B0F19" w:rsidRPr="00827A08">
        <w:rPr>
          <w:color w:val="000000" w:themeColor="text1"/>
        </w:rPr>
        <w:t>India opposed</w:t>
      </w:r>
      <w:r w:rsidR="006123FC" w:rsidRPr="00827A08">
        <w:rPr>
          <w:color w:val="000000" w:themeColor="text1"/>
        </w:rPr>
        <w:t xml:space="preserve"> the </w:t>
      </w:r>
      <w:r w:rsidR="006123FC" w:rsidRPr="00827A08">
        <w:rPr>
          <w:rFonts w:eastAsia="Times New Roman"/>
          <w:color w:val="000000" w:themeColor="text1"/>
          <w:shd w:val="clear" w:color="auto" w:fill="FFFFFF"/>
        </w:rPr>
        <w:t>international guidelines that require free or uninfluenced consent of tribal communities for</w:t>
      </w:r>
      <w:r w:rsidR="006123FC" w:rsidRPr="00827A08">
        <w:rPr>
          <w:rFonts w:eastAsia="Times New Roman"/>
          <w:b/>
          <w:color w:val="000000" w:themeColor="text1"/>
          <w:shd w:val="clear" w:color="auto" w:fill="FFFFFF"/>
        </w:rPr>
        <w:t xml:space="preserve"> </w:t>
      </w:r>
      <w:r w:rsidR="006123FC" w:rsidRPr="00827A08">
        <w:rPr>
          <w:rFonts w:eastAsia="Times New Roman"/>
          <w:color w:val="000000" w:themeColor="text1"/>
          <w:shd w:val="clear" w:color="auto" w:fill="FFFFFF"/>
        </w:rPr>
        <w:t>commercially using their traditional knowledge at the global biodiversity negotiations in Cancun, Mexico.</w:t>
      </w:r>
      <w:r w:rsidR="005007A6" w:rsidRPr="00827A08">
        <w:rPr>
          <w:rStyle w:val="FootnoteReference"/>
          <w:rFonts w:eastAsia="Times New Roman"/>
          <w:color w:val="000000" w:themeColor="text1"/>
          <w:shd w:val="clear" w:color="auto" w:fill="FFFFFF"/>
        </w:rPr>
        <w:footnoteReference w:id="204"/>
      </w:r>
      <w:r w:rsidR="006123FC" w:rsidRPr="00827A08">
        <w:rPr>
          <w:rFonts w:eastAsia="Times New Roman"/>
          <w:color w:val="000000" w:themeColor="text1"/>
          <w:shd w:val="clear" w:color="auto" w:fill="FFFFFF"/>
        </w:rPr>
        <w:t xml:space="preserve"> </w:t>
      </w:r>
    </w:p>
    <w:p w14:paraId="38D12E88" w14:textId="6AEB5B76" w:rsidR="003B75C0" w:rsidRPr="00827A08" w:rsidRDefault="00B82404" w:rsidP="00297F8F">
      <w:pPr>
        <w:widowControl w:val="0"/>
        <w:autoSpaceDE w:val="0"/>
        <w:autoSpaceDN w:val="0"/>
        <w:adjustRightInd w:val="0"/>
        <w:spacing w:after="240" w:line="360" w:lineRule="auto"/>
        <w:rPr>
          <w:rFonts w:eastAsia="Times New Roman"/>
          <w:color w:val="000000" w:themeColor="text1"/>
          <w:shd w:val="clear" w:color="auto" w:fill="FFFFFF"/>
        </w:rPr>
      </w:pPr>
      <w:r w:rsidRPr="00827A08">
        <w:rPr>
          <w:color w:val="000000" w:themeColor="text1"/>
        </w:rPr>
        <w:t xml:space="preserve">The vulnerability felt by the MoEF </w:t>
      </w:r>
      <w:r w:rsidR="00894D16" w:rsidRPr="00827A08">
        <w:rPr>
          <w:color w:val="000000" w:themeColor="text1"/>
        </w:rPr>
        <w:t>as the result of</w:t>
      </w:r>
      <w:r w:rsidRPr="00827A08">
        <w:rPr>
          <w:color w:val="000000" w:themeColor="text1"/>
        </w:rPr>
        <w:t xml:space="preserve"> the activity and willingness </w:t>
      </w:r>
      <w:r w:rsidR="001F25B6" w:rsidRPr="00827A08">
        <w:rPr>
          <w:color w:val="000000" w:themeColor="text1"/>
        </w:rPr>
        <w:t>of th</w:t>
      </w:r>
      <w:r w:rsidR="00891881" w:rsidRPr="00827A08">
        <w:rPr>
          <w:color w:val="000000" w:themeColor="text1"/>
        </w:rPr>
        <w:t xml:space="preserve">e </w:t>
      </w:r>
      <w:r w:rsidRPr="00827A08">
        <w:rPr>
          <w:color w:val="000000" w:themeColor="text1"/>
        </w:rPr>
        <w:t xml:space="preserve">NGT to </w:t>
      </w:r>
      <w:r w:rsidR="00053C02" w:rsidRPr="00827A08">
        <w:rPr>
          <w:color w:val="000000" w:themeColor="text1"/>
        </w:rPr>
        <w:t xml:space="preserve">publicly </w:t>
      </w:r>
      <w:r w:rsidRPr="00827A08">
        <w:rPr>
          <w:color w:val="000000" w:themeColor="text1"/>
        </w:rPr>
        <w:t xml:space="preserve">criticise the ministry </w:t>
      </w:r>
      <w:r w:rsidR="00C017C4" w:rsidRPr="00827A08">
        <w:rPr>
          <w:color w:val="000000" w:themeColor="text1"/>
        </w:rPr>
        <w:t>resulted in</w:t>
      </w:r>
      <w:r w:rsidRPr="00827A08">
        <w:rPr>
          <w:color w:val="000000" w:themeColor="text1"/>
        </w:rPr>
        <w:t xml:space="preserve"> </w:t>
      </w:r>
      <w:r w:rsidR="00F4751C" w:rsidRPr="00827A08">
        <w:rPr>
          <w:color w:val="000000" w:themeColor="text1"/>
        </w:rPr>
        <w:t>a practical response</w:t>
      </w:r>
      <w:r w:rsidRPr="00827A08">
        <w:rPr>
          <w:color w:val="000000" w:themeColor="text1"/>
        </w:rPr>
        <w:t xml:space="preserve"> with the establishment by the MoEF of the</w:t>
      </w:r>
      <w:r w:rsidR="001F25B6" w:rsidRPr="00827A08">
        <w:rPr>
          <w:color w:val="000000" w:themeColor="text1"/>
        </w:rPr>
        <w:t xml:space="preserve"> High-</w:t>
      </w:r>
      <w:r w:rsidRPr="00827A08">
        <w:rPr>
          <w:color w:val="000000" w:themeColor="text1"/>
        </w:rPr>
        <w:t>Level Committee</w:t>
      </w:r>
      <w:r w:rsidR="00894D16" w:rsidRPr="00827A08">
        <w:rPr>
          <w:color w:val="000000" w:themeColor="text1"/>
        </w:rPr>
        <w:t xml:space="preserve"> (HLC)</w:t>
      </w:r>
      <w:r w:rsidR="00627CE0" w:rsidRPr="00827A08">
        <w:rPr>
          <w:color w:val="000000" w:themeColor="text1"/>
        </w:rPr>
        <w:t xml:space="preserve"> in</w:t>
      </w:r>
      <w:r w:rsidR="00B11590" w:rsidRPr="00827A08">
        <w:rPr>
          <w:color w:val="000000" w:themeColor="text1"/>
        </w:rPr>
        <w:t xml:space="preserve"> 2014</w:t>
      </w:r>
      <w:r w:rsidRPr="00827A08">
        <w:rPr>
          <w:color w:val="000000" w:themeColor="text1"/>
        </w:rPr>
        <w:t xml:space="preserve"> to review forest and environment related laws. T S R Subramanium was appointed as the chairperson</w:t>
      </w:r>
      <w:r w:rsidR="00627CE0" w:rsidRPr="00827A08">
        <w:rPr>
          <w:color w:val="000000" w:themeColor="text1"/>
        </w:rPr>
        <w:t>.</w:t>
      </w:r>
      <w:r w:rsidR="00627CE0" w:rsidRPr="00827A08">
        <w:rPr>
          <w:rStyle w:val="FootnoteReference"/>
          <w:color w:val="000000" w:themeColor="text1"/>
        </w:rPr>
        <w:footnoteReference w:id="205"/>
      </w:r>
      <w:r w:rsidRPr="00827A08">
        <w:rPr>
          <w:color w:val="000000" w:themeColor="text1"/>
        </w:rPr>
        <w:t xml:space="preserve"> </w:t>
      </w:r>
      <w:r w:rsidR="004872AD" w:rsidRPr="00827A08">
        <w:rPr>
          <w:color w:val="000000" w:themeColor="text1"/>
        </w:rPr>
        <w:t xml:space="preserve">Its terms of reference </w:t>
      </w:r>
      <w:r w:rsidR="00B11590" w:rsidRPr="00827A08">
        <w:rPr>
          <w:color w:val="000000" w:themeColor="text1"/>
        </w:rPr>
        <w:t xml:space="preserve">were to </w:t>
      </w:r>
      <w:r w:rsidR="004872AD" w:rsidRPr="00827A08">
        <w:rPr>
          <w:color w:val="000000" w:themeColor="text1"/>
        </w:rPr>
        <w:t xml:space="preserve">assess the status </w:t>
      </w:r>
      <w:r w:rsidR="00894D16" w:rsidRPr="00827A08">
        <w:rPr>
          <w:color w:val="000000" w:themeColor="text1"/>
        </w:rPr>
        <w:t>and</w:t>
      </w:r>
      <w:r w:rsidR="004872AD" w:rsidRPr="00827A08">
        <w:rPr>
          <w:color w:val="000000" w:themeColor="text1"/>
        </w:rPr>
        <w:t xml:space="preserve"> implementation of each of the</w:t>
      </w:r>
      <w:r w:rsidR="00C333E6" w:rsidRPr="00827A08">
        <w:rPr>
          <w:color w:val="000000" w:themeColor="text1"/>
        </w:rPr>
        <w:t xml:space="preserve"> key</w:t>
      </w:r>
      <w:r w:rsidR="004872AD" w:rsidRPr="00827A08">
        <w:rPr>
          <w:color w:val="000000" w:themeColor="text1"/>
        </w:rPr>
        <w:t xml:space="preserve"> six Act</w:t>
      </w:r>
      <w:r w:rsidR="008E1115" w:rsidRPr="00827A08">
        <w:rPr>
          <w:color w:val="000000" w:themeColor="text1"/>
        </w:rPr>
        <w:t>s</w:t>
      </w:r>
      <w:r w:rsidR="008E1115" w:rsidRPr="00827A08">
        <w:rPr>
          <w:rStyle w:val="FootnoteReference"/>
          <w:color w:val="000000" w:themeColor="text1"/>
        </w:rPr>
        <w:footnoteReference w:id="206"/>
      </w:r>
      <w:r w:rsidR="008E1115" w:rsidRPr="00827A08">
        <w:rPr>
          <w:color w:val="000000" w:themeColor="text1"/>
        </w:rPr>
        <w:t xml:space="preserve"> </w:t>
      </w:r>
      <w:r w:rsidR="004872AD" w:rsidRPr="00827A08">
        <w:rPr>
          <w:color w:val="000000" w:themeColor="text1"/>
        </w:rPr>
        <w:t>vis-à-vis the objectives,</w:t>
      </w:r>
      <w:r w:rsidR="00F42779" w:rsidRPr="00827A08">
        <w:rPr>
          <w:color w:val="000000" w:themeColor="text1"/>
        </w:rPr>
        <w:t xml:space="preserve"> examining related various court orders and judicial pronouncements, and recommending and drafting proposed amendments to these Acts.</w:t>
      </w:r>
      <w:r w:rsidR="003B75C0" w:rsidRPr="00827A08">
        <w:rPr>
          <w:color w:val="000000" w:themeColor="text1"/>
        </w:rPr>
        <w:t xml:space="preserve"> Importantly, what was </w:t>
      </w:r>
      <w:r w:rsidR="00C333E6" w:rsidRPr="00827A08">
        <w:rPr>
          <w:color w:val="000000" w:themeColor="text1"/>
        </w:rPr>
        <w:t>absent</w:t>
      </w:r>
      <w:r w:rsidR="003B75C0" w:rsidRPr="00827A08">
        <w:rPr>
          <w:color w:val="000000" w:themeColor="text1"/>
        </w:rPr>
        <w:t xml:space="preserve"> from the HLC’s terms of reference was the authority to review the NGT Act. Nevertheless, the HLC exceeded its mandate</w:t>
      </w:r>
      <w:r w:rsidR="008C4D74" w:rsidRPr="00827A08">
        <w:rPr>
          <w:color w:val="000000" w:themeColor="text1"/>
        </w:rPr>
        <w:t xml:space="preserve"> and made recommendations</w:t>
      </w:r>
      <w:r w:rsidR="003B75C0" w:rsidRPr="00827A08">
        <w:rPr>
          <w:color w:val="000000" w:themeColor="text1"/>
        </w:rPr>
        <w:t xml:space="preserve"> if implemented, would have severely restricted the operational effectiveness of the NGT by the creation of extra </w:t>
      </w:r>
      <w:r w:rsidR="00894D16" w:rsidRPr="00827A08">
        <w:rPr>
          <w:color w:val="000000" w:themeColor="text1"/>
        </w:rPr>
        <w:t xml:space="preserve">decision making </w:t>
      </w:r>
      <w:r w:rsidR="003B75C0" w:rsidRPr="00827A08">
        <w:rPr>
          <w:color w:val="000000" w:themeColor="text1"/>
        </w:rPr>
        <w:t xml:space="preserve">institutional </w:t>
      </w:r>
      <w:r w:rsidR="00894D16" w:rsidRPr="00827A08">
        <w:rPr>
          <w:color w:val="000000" w:themeColor="text1"/>
        </w:rPr>
        <w:t>institutions</w:t>
      </w:r>
      <w:r w:rsidR="003A2D51" w:rsidRPr="00827A08">
        <w:rPr>
          <w:color w:val="000000" w:themeColor="text1"/>
        </w:rPr>
        <w:t>:</w:t>
      </w:r>
      <w:r w:rsidR="003B75C0" w:rsidRPr="00827A08">
        <w:rPr>
          <w:color w:val="000000" w:themeColor="text1"/>
        </w:rPr>
        <w:t xml:space="preserve"> district environmental courts and an Appellate Board. </w:t>
      </w:r>
    </w:p>
    <w:p w14:paraId="274E3BFA" w14:textId="64D14A9C" w:rsidR="0045111B" w:rsidRPr="00827A08" w:rsidRDefault="00D23A4E" w:rsidP="00297F8F">
      <w:pPr>
        <w:widowControl w:val="0"/>
        <w:autoSpaceDE w:val="0"/>
        <w:autoSpaceDN w:val="0"/>
        <w:adjustRightInd w:val="0"/>
        <w:spacing w:after="240" w:line="360" w:lineRule="auto"/>
        <w:rPr>
          <w:color w:val="000000" w:themeColor="text1"/>
        </w:rPr>
      </w:pPr>
      <w:r w:rsidRPr="00827A08">
        <w:rPr>
          <w:color w:val="000000" w:themeColor="text1"/>
        </w:rPr>
        <w:t xml:space="preserve">The HLC recommended the establishment of special environmental courts in every district </w:t>
      </w:r>
      <w:r w:rsidR="00854584" w:rsidRPr="00827A08">
        <w:rPr>
          <w:color w:val="000000" w:themeColor="text1"/>
        </w:rPr>
        <w:t>and</w:t>
      </w:r>
      <w:r w:rsidR="00211E93">
        <w:rPr>
          <w:color w:val="000000" w:themeColor="text1"/>
        </w:rPr>
        <w:t xml:space="preserve"> a new “umbrella”</w:t>
      </w:r>
      <w:r w:rsidRPr="00827A08">
        <w:rPr>
          <w:color w:val="000000" w:themeColor="text1"/>
        </w:rPr>
        <w:t xml:space="preserve"> law – Environmental Laws (Management) Act (ELMA). The ELMA provided for the creation of two institutions, the</w:t>
      </w:r>
      <w:r w:rsidR="003A2D51" w:rsidRPr="00827A08">
        <w:rPr>
          <w:color w:val="000000" w:themeColor="text1"/>
        </w:rPr>
        <w:t xml:space="preserve"> National Environmental Management Authority</w:t>
      </w:r>
      <w:r w:rsidRPr="00827A08">
        <w:rPr>
          <w:color w:val="000000" w:themeColor="text1"/>
        </w:rPr>
        <w:t xml:space="preserve"> </w:t>
      </w:r>
      <w:r w:rsidR="003A2D51" w:rsidRPr="00827A08">
        <w:rPr>
          <w:color w:val="000000" w:themeColor="text1"/>
        </w:rPr>
        <w:t>(</w:t>
      </w:r>
      <w:r w:rsidRPr="00827A08">
        <w:rPr>
          <w:color w:val="000000" w:themeColor="text1"/>
        </w:rPr>
        <w:t>NEMA</w:t>
      </w:r>
      <w:r w:rsidR="003A2D51" w:rsidRPr="00827A08">
        <w:rPr>
          <w:color w:val="000000" w:themeColor="text1"/>
        </w:rPr>
        <w:t>)</w:t>
      </w:r>
      <w:r w:rsidRPr="00827A08">
        <w:rPr>
          <w:color w:val="000000" w:themeColor="text1"/>
        </w:rPr>
        <w:t xml:space="preserve"> at central level, and the State Environment Management Authority (SEMA) at state level, as full-time processing and EC and monitoring agencies</w:t>
      </w:r>
      <w:r w:rsidR="003A2D51" w:rsidRPr="00827A08">
        <w:rPr>
          <w:color w:val="000000" w:themeColor="text1"/>
        </w:rPr>
        <w:t>.</w:t>
      </w:r>
      <w:r w:rsidR="005F26B2" w:rsidRPr="00827A08">
        <w:rPr>
          <w:rStyle w:val="FootnoteReference"/>
          <w:color w:val="000000" w:themeColor="text1"/>
        </w:rPr>
        <w:footnoteReference w:id="207"/>
      </w:r>
      <w:r w:rsidRPr="00827A08">
        <w:rPr>
          <w:color w:val="000000" w:themeColor="text1"/>
        </w:rPr>
        <w:t xml:space="preserve"> </w:t>
      </w:r>
      <w:r w:rsidR="0045111B" w:rsidRPr="00827A08">
        <w:rPr>
          <w:color w:val="000000" w:themeColor="text1"/>
        </w:rPr>
        <w:t xml:space="preserve">ELMA was also to be provided with an Appellate Board against the decisions of NEMA or SEMA or the </w:t>
      </w:r>
      <w:r w:rsidR="00211E93">
        <w:rPr>
          <w:color w:val="000000" w:themeColor="text1"/>
        </w:rPr>
        <w:t>MoEF</w:t>
      </w:r>
      <w:r w:rsidR="0045111B" w:rsidRPr="00827A08">
        <w:rPr>
          <w:color w:val="000000" w:themeColor="text1"/>
        </w:rPr>
        <w:t xml:space="preserve"> in respect of project clearance, prescribing a three-month time limit for disposal of appeals. The decisions of the government, NEMA or SEMA under this proposed law would not be questionable before nor enquired into by any court or </w:t>
      </w:r>
      <w:r w:rsidR="00021CDC" w:rsidRPr="00827A08">
        <w:rPr>
          <w:color w:val="000000" w:themeColor="text1"/>
        </w:rPr>
        <w:t>Tribunal</w:t>
      </w:r>
      <w:r w:rsidR="0045111B" w:rsidRPr="00827A08">
        <w:rPr>
          <w:color w:val="000000" w:themeColor="text1"/>
        </w:rPr>
        <w:t xml:space="preserve"> either via </w:t>
      </w:r>
      <w:r w:rsidR="0045111B" w:rsidRPr="00827A08">
        <w:rPr>
          <w:i/>
          <w:iCs/>
          <w:color w:val="000000" w:themeColor="text1"/>
        </w:rPr>
        <w:t xml:space="preserve">suo moto </w:t>
      </w:r>
      <w:r w:rsidR="0045111B" w:rsidRPr="00827A08">
        <w:rPr>
          <w:color w:val="000000" w:themeColor="text1"/>
        </w:rPr>
        <w:t xml:space="preserve">or </w:t>
      </w:r>
      <w:r w:rsidR="005F26B2" w:rsidRPr="00827A08">
        <w:rPr>
          <w:color w:val="000000" w:themeColor="text1"/>
        </w:rPr>
        <w:t>at anyone’s behest on any ground.</w:t>
      </w:r>
      <w:r w:rsidR="005F26B2" w:rsidRPr="00827A08">
        <w:rPr>
          <w:rStyle w:val="FootnoteReference"/>
          <w:color w:val="000000" w:themeColor="text1"/>
        </w:rPr>
        <w:footnoteReference w:id="208"/>
      </w:r>
      <w:r w:rsidR="0045111B" w:rsidRPr="00827A08">
        <w:rPr>
          <w:color w:val="000000" w:themeColor="text1"/>
        </w:rPr>
        <w:t xml:space="preserve"> The jurisdiction of the NGT was to be limited to entertaining applications by parties aggrieved by the decisions in appeals under NEMA or SEMA for review on grounds permissible and subject to limitations applicable to judicial review of administrative actions by the High Courts and the Supreme Court of India</w:t>
      </w:r>
      <w:r w:rsidR="005F26B2" w:rsidRPr="00827A08">
        <w:rPr>
          <w:color w:val="000000" w:themeColor="text1"/>
        </w:rPr>
        <w:t>.</w:t>
      </w:r>
      <w:r w:rsidR="005F26B2" w:rsidRPr="00827A08">
        <w:rPr>
          <w:rStyle w:val="FootnoteReference"/>
          <w:color w:val="000000" w:themeColor="text1"/>
        </w:rPr>
        <w:footnoteReference w:id="209"/>
      </w:r>
    </w:p>
    <w:p w14:paraId="440FE91C" w14:textId="51282328" w:rsidR="00262C2C" w:rsidRPr="00827A08" w:rsidRDefault="00EA4DD3" w:rsidP="00297F8F">
      <w:pPr>
        <w:widowControl w:val="0"/>
        <w:autoSpaceDE w:val="0"/>
        <w:autoSpaceDN w:val="0"/>
        <w:adjustRightInd w:val="0"/>
        <w:spacing w:after="240" w:line="360" w:lineRule="auto"/>
        <w:rPr>
          <w:rFonts w:eastAsia="MS Mincho"/>
          <w:color w:val="000000" w:themeColor="text1"/>
        </w:rPr>
      </w:pPr>
      <w:r w:rsidRPr="00827A08">
        <w:rPr>
          <w:color w:val="000000" w:themeColor="text1"/>
        </w:rPr>
        <w:t>The HLC report was</w:t>
      </w:r>
      <w:r w:rsidR="003A2D51" w:rsidRPr="00827A08">
        <w:rPr>
          <w:color w:val="000000" w:themeColor="text1"/>
        </w:rPr>
        <w:t xml:space="preserve"> </w:t>
      </w:r>
      <w:r w:rsidRPr="00827A08">
        <w:rPr>
          <w:color w:val="000000" w:themeColor="text1"/>
        </w:rPr>
        <w:t>completed within three months and submitted to the government on 18 November 2014. It was subsequently considered by the Parliamentary Standing Committee on Science and Technology, Environment and</w:t>
      </w:r>
      <w:r w:rsidR="00E44813" w:rsidRPr="00827A08">
        <w:rPr>
          <w:color w:val="000000" w:themeColor="text1"/>
        </w:rPr>
        <w:t xml:space="preserve"> </w:t>
      </w:r>
      <w:r w:rsidRPr="00827A08">
        <w:rPr>
          <w:color w:val="000000" w:themeColor="text1"/>
        </w:rPr>
        <w:t xml:space="preserve">Forests. The committee submitted its </w:t>
      </w:r>
      <w:r w:rsidR="00E44813" w:rsidRPr="00827A08">
        <w:rPr>
          <w:color w:val="000000" w:themeColor="text1"/>
        </w:rPr>
        <w:t>fi</w:t>
      </w:r>
      <w:r w:rsidRPr="00827A08">
        <w:rPr>
          <w:color w:val="000000" w:themeColor="text1"/>
        </w:rPr>
        <w:t xml:space="preserve">ndings on 3 July 2015. The committee did not accept the HLC report </w:t>
      </w:r>
      <w:r w:rsidR="00E44813" w:rsidRPr="00827A08">
        <w:rPr>
          <w:color w:val="000000" w:themeColor="text1"/>
        </w:rPr>
        <w:t>because</w:t>
      </w:r>
      <w:r w:rsidRPr="00827A08">
        <w:rPr>
          <w:color w:val="000000" w:themeColor="text1"/>
        </w:rPr>
        <w:t xml:space="preserve"> the period of three months allotted to the HLC for reviewing the six environmental Acts was </w:t>
      </w:r>
      <w:r w:rsidR="00F74846" w:rsidRPr="00827A08">
        <w:rPr>
          <w:color w:val="000000" w:themeColor="text1"/>
        </w:rPr>
        <w:t xml:space="preserve">considered </w:t>
      </w:r>
      <w:r w:rsidRPr="00827A08">
        <w:rPr>
          <w:color w:val="000000" w:themeColor="text1"/>
        </w:rPr>
        <w:t>too short and that there was no cogent reason for rushing the report without comprehensive, meaningful and wider consultations with all st</w:t>
      </w:r>
      <w:r w:rsidR="00E44813" w:rsidRPr="00827A08">
        <w:rPr>
          <w:color w:val="000000" w:themeColor="text1"/>
        </w:rPr>
        <w:t>akeholders</w:t>
      </w:r>
      <w:r w:rsidR="00BD73D8" w:rsidRPr="00827A08">
        <w:rPr>
          <w:color w:val="000000" w:themeColor="text1"/>
        </w:rPr>
        <w:t>.</w:t>
      </w:r>
      <w:r w:rsidR="00BD73D8" w:rsidRPr="00827A08">
        <w:rPr>
          <w:rStyle w:val="FootnoteReference"/>
          <w:color w:val="000000" w:themeColor="text1"/>
        </w:rPr>
        <w:footnoteReference w:id="210"/>
      </w:r>
      <w:r w:rsidRPr="00827A08">
        <w:rPr>
          <w:color w:val="000000" w:themeColor="text1"/>
        </w:rPr>
        <w:t xml:space="preserve"> </w:t>
      </w:r>
      <w:r w:rsidR="003210D9" w:rsidRPr="00827A08">
        <w:rPr>
          <w:color w:val="000000" w:themeColor="text1"/>
        </w:rPr>
        <w:t>A careful reading of the text further suggests that the committee was supportive of the existing environmental judicial framework, particularly the NGT, and that it should not be disturbed. The Parliamentary Committee stated:</w:t>
      </w:r>
    </w:p>
    <w:p w14:paraId="2287750B" w14:textId="717DE819" w:rsidR="003210D9" w:rsidRPr="003F71D9" w:rsidRDefault="003210D9" w:rsidP="003F71D9">
      <w:pPr>
        <w:widowControl w:val="0"/>
        <w:autoSpaceDE w:val="0"/>
        <w:autoSpaceDN w:val="0"/>
        <w:adjustRightInd w:val="0"/>
        <w:spacing w:after="240" w:line="360" w:lineRule="auto"/>
        <w:ind w:left="360" w:right="360"/>
        <w:rPr>
          <w:color w:val="000000" w:themeColor="text1"/>
          <w:sz w:val="20"/>
          <w:szCs w:val="20"/>
        </w:rPr>
      </w:pPr>
      <w:r w:rsidRPr="003F71D9">
        <w:rPr>
          <w:color w:val="000000" w:themeColor="text1"/>
          <w:sz w:val="20"/>
          <w:szCs w:val="20"/>
        </w:rPr>
        <w:t>Some of the essential recommendations of the HLC have been doubted and would result in an unacceptable dilution of the existing legal and policy architecture established to protect our environment. Further, an impression should not be created that a Committee whose constitution and jurisdiction are itself in doubt, has been used to tinker with the established law and policy. Should the go</w:t>
      </w:r>
      <w:r w:rsidR="00262C2C" w:rsidRPr="003F71D9">
        <w:rPr>
          <w:color w:val="000000" w:themeColor="text1"/>
          <w:sz w:val="20"/>
          <w:szCs w:val="20"/>
        </w:rPr>
        <w:t>vernment wish to consider specifi</w:t>
      </w:r>
      <w:r w:rsidRPr="003F71D9">
        <w:rPr>
          <w:color w:val="000000" w:themeColor="text1"/>
          <w:sz w:val="20"/>
          <w:szCs w:val="20"/>
        </w:rPr>
        <w:t>c areas of environmental policy afresh, it may consider appo</w:t>
      </w:r>
      <w:r w:rsidR="00262C2C" w:rsidRPr="003F71D9">
        <w:rPr>
          <w:color w:val="000000" w:themeColor="text1"/>
          <w:sz w:val="20"/>
          <w:szCs w:val="20"/>
        </w:rPr>
        <w:t>inting another Committee by fol</w:t>
      </w:r>
      <w:r w:rsidRPr="003F71D9">
        <w:rPr>
          <w:color w:val="000000" w:themeColor="text1"/>
          <w:sz w:val="20"/>
          <w:szCs w:val="20"/>
        </w:rPr>
        <w:t>lowing established procedures and co</w:t>
      </w:r>
      <w:r w:rsidR="00993FA9" w:rsidRPr="003F71D9">
        <w:rPr>
          <w:color w:val="000000" w:themeColor="text1"/>
          <w:sz w:val="20"/>
          <w:szCs w:val="20"/>
        </w:rPr>
        <w:t>mprising of acclaimed experts…</w:t>
      </w:r>
      <w:r w:rsidR="00993FA9" w:rsidRPr="003F71D9">
        <w:rPr>
          <w:sz w:val="20"/>
          <w:szCs w:val="20"/>
          <w:vertAlign w:val="superscript"/>
        </w:rPr>
        <w:footnoteReference w:id="211"/>
      </w:r>
      <w:r w:rsidRPr="003F71D9">
        <w:rPr>
          <w:color w:val="000000" w:themeColor="text1"/>
          <w:sz w:val="20"/>
          <w:szCs w:val="20"/>
        </w:rPr>
        <w:t xml:space="preserve"> </w:t>
      </w:r>
    </w:p>
    <w:p w14:paraId="5FB005D6" w14:textId="5B16D9B2" w:rsidR="00C55A31" w:rsidRPr="00827A08" w:rsidRDefault="00266535" w:rsidP="00297F8F">
      <w:pPr>
        <w:spacing w:line="360" w:lineRule="auto"/>
        <w:rPr>
          <w:rFonts w:eastAsia="Times New Roman"/>
          <w:color w:val="000000" w:themeColor="text1"/>
        </w:rPr>
      </w:pPr>
      <w:r w:rsidRPr="00827A08">
        <w:rPr>
          <w:color w:val="000000" w:themeColor="text1"/>
        </w:rPr>
        <w:t xml:space="preserve">The </w:t>
      </w:r>
      <w:r w:rsidR="005D39F9" w:rsidRPr="00827A08">
        <w:rPr>
          <w:color w:val="000000" w:themeColor="text1"/>
        </w:rPr>
        <w:t xml:space="preserve">amendment to the </w:t>
      </w:r>
      <w:r w:rsidR="00516E2D" w:rsidRPr="00827A08">
        <w:rPr>
          <w:color w:val="000000" w:themeColor="text1"/>
        </w:rPr>
        <w:t>F</w:t>
      </w:r>
      <w:r w:rsidR="005D39F9" w:rsidRPr="00827A08">
        <w:rPr>
          <w:color w:val="000000" w:themeColor="text1"/>
        </w:rPr>
        <w:t>inance Act</w:t>
      </w:r>
      <w:r w:rsidR="00516E2D" w:rsidRPr="00827A08">
        <w:rPr>
          <w:color w:val="000000" w:themeColor="text1"/>
        </w:rPr>
        <w:t xml:space="preserve"> 2017</w:t>
      </w:r>
      <w:r w:rsidR="005D39F9" w:rsidRPr="00827A08">
        <w:rPr>
          <w:color w:val="000000" w:themeColor="text1"/>
        </w:rPr>
        <w:t xml:space="preserve"> </w:t>
      </w:r>
      <w:r w:rsidR="00111644" w:rsidRPr="00827A08">
        <w:rPr>
          <w:color w:val="000000" w:themeColor="text1"/>
        </w:rPr>
        <w:t>is</w:t>
      </w:r>
      <w:r w:rsidR="00516E2D" w:rsidRPr="00827A08">
        <w:rPr>
          <w:color w:val="000000" w:themeColor="text1"/>
        </w:rPr>
        <w:t xml:space="preserve"> another </w:t>
      </w:r>
      <w:r w:rsidR="00111644" w:rsidRPr="00827A08">
        <w:rPr>
          <w:color w:val="000000" w:themeColor="text1"/>
        </w:rPr>
        <w:t xml:space="preserve">recent </w:t>
      </w:r>
      <w:r w:rsidR="00516E2D" w:rsidRPr="00827A08">
        <w:rPr>
          <w:color w:val="000000" w:themeColor="text1"/>
        </w:rPr>
        <w:t xml:space="preserve">effort to curb </w:t>
      </w:r>
      <w:r w:rsidR="00756B2D" w:rsidRPr="00827A08">
        <w:rPr>
          <w:color w:val="000000" w:themeColor="text1"/>
        </w:rPr>
        <w:t xml:space="preserve">and dilute </w:t>
      </w:r>
      <w:r w:rsidR="00516E2D" w:rsidRPr="00827A08">
        <w:rPr>
          <w:color w:val="000000" w:themeColor="text1"/>
        </w:rPr>
        <w:t xml:space="preserve">the powers of the NGT through legislative intervention. </w:t>
      </w:r>
      <w:r w:rsidR="00CC4CBC" w:rsidRPr="00827A08">
        <w:rPr>
          <w:rFonts w:eastAsia="Times New Roman"/>
          <w:color w:val="000000" w:themeColor="text1"/>
          <w:shd w:val="clear" w:color="auto" w:fill="FFFFFF"/>
        </w:rPr>
        <w:t xml:space="preserve">The Department of Revenue, Ministry of Finance vide notification dated June 1, 2017, in exercise of its powers under Section </w:t>
      </w:r>
      <w:r w:rsidR="004C39A2" w:rsidRPr="00827A08">
        <w:rPr>
          <w:rFonts w:eastAsia="Times New Roman"/>
          <w:color w:val="000000" w:themeColor="text1"/>
          <w:shd w:val="clear" w:color="auto" w:fill="FFFFFF"/>
        </w:rPr>
        <w:t>184 of the Finance Act, 2017</w:t>
      </w:r>
      <w:r w:rsidR="00CC4CBC" w:rsidRPr="00827A08">
        <w:rPr>
          <w:rFonts w:eastAsia="Times New Roman"/>
          <w:color w:val="000000" w:themeColor="text1"/>
          <w:shd w:val="clear" w:color="auto" w:fill="FFFFFF"/>
        </w:rPr>
        <w:t xml:space="preserve"> notified the </w:t>
      </w:r>
      <w:r w:rsidR="00021CDC" w:rsidRPr="00827A08">
        <w:rPr>
          <w:rFonts w:eastAsia="Times New Roman"/>
          <w:color w:val="000000" w:themeColor="text1"/>
          <w:shd w:val="clear" w:color="auto" w:fill="FFFFFF"/>
        </w:rPr>
        <w:t>Tribunal</w:t>
      </w:r>
      <w:r w:rsidR="00CC4CBC" w:rsidRPr="00827A08">
        <w:rPr>
          <w:rFonts w:eastAsia="Times New Roman"/>
          <w:color w:val="000000" w:themeColor="text1"/>
          <w:shd w:val="clear" w:color="auto" w:fill="FFFFFF"/>
        </w:rPr>
        <w:t xml:space="preserve">, Appellate </w:t>
      </w:r>
      <w:r w:rsidR="00021CDC" w:rsidRPr="00827A08">
        <w:rPr>
          <w:rFonts w:eastAsia="Times New Roman"/>
          <w:color w:val="000000" w:themeColor="text1"/>
          <w:shd w:val="clear" w:color="auto" w:fill="FFFFFF"/>
        </w:rPr>
        <w:t>Tribunal</w:t>
      </w:r>
      <w:r w:rsidR="00CC4CBC" w:rsidRPr="00827A08">
        <w:rPr>
          <w:rFonts w:eastAsia="Times New Roman"/>
          <w:color w:val="000000" w:themeColor="text1"/>
          <w:shd w:val="clear" w:color="auto" w:fill="FFFFFF"/>
        </w:rPr>
        <w:t xml:space="preserve"> and other Authorities (Qualifications, Experience and other Conditions of Service of Members) Rules, 2017</w:t>
      </w:r>
      <w:r w:rsidR="00E53892" w:rsidRPr="00827A08">
        <w:rPr>
          <w:rFonts w:eastAsia="Times New Roman"/>
          <w:color w:val="000000" w:themeColor="text1"/>
          <w:shd w:val="clear" w:color="auto" w:fill="FFFFFF"/>
        </w:rPr>
        <w:t xml:space="preserve"> (new rules)</w:t>
      </w:r>
      <w:r w:rsidR="004C39A2" w:rsidRPr="00827A08">
        <w:rPr>
          <w:rFonts w:eastAsia="Times New Roman"/>
          <w:color w:val="000000" w:themeColor="text1"/>
          <w:shd w:val="clear" w:color="auto" w:fill="FFFFFF"/>
        </w:rPr>
        <w:t>.</w:t>
      </w:r>
      <w:r w:rsidR="00FF23A5" w:rsidRPr="00827A08">
        <w:rPr>
          <w:rFonts w:eastAsia="Times New Roman"/>
          <w:color w:val="000000" w:themeColor="text1"/>
          <w:shd w:val="clear" w:color="auto" w:fill="FFFFFF"/>
        </w:rPr>
        <w:t xml:space="preserve"> </w:t>
      </w:r>
      <w:r w:rsidR="00C928D8" w:rsidRPr="00827A08">
        <w:rPr>
          <w:rFonts w:eastAsia="Times New Roman"/>
          <w:color w:val="000000" w:themeColor="text1"/>
          <w:shd w:val="clear" w:color="auto" w:fill="FFFFFF"/>
        </w:rPr>
        <w:t xml:space="preserve">The </w:t>
      </w:r>
      <w:r w:rsidR="00E53892" w:rsidRPr="00827A08">
        <w:rPr>
          <w:rFonts w:eastAsia="Times New Roman"/>
          <w:color w:val="000000" w:themeColor="text1"/>
          <w:shd w:val="clear" w:color="auto" w:fill="FFFFFF"/>
        </w:rPr>
        <w:t xml:space="preserve">new </w:t>
      </w:r>
      <w:r w:rsidR="00C928D8" w:rsidRPr="00827A08">
        <w:rPr>
          <w:rFonts w:eastAsia="Times New Roman"/>
          <w:color w:val="000000" w:themeColor="text1"/>
          <w:shd w:val="clear" w:color="auto" w:fill="FFFFFF"/>
        </w:rPr>
        <w:t xml:space="preserve">rules give unbridled power to the central </w:t>
      </w:r>
      <w:r w:rsidR="00880C9C" w:rsidRPr="00827A08">
        <w:rPr>
          <w:rFonts w:eastAsia="Times New Roman"/>
          <w:color w:val="000000" w:themeColor="text1"/>
          <w:shd w:val="clear" w:color="auto" w:fill="FFFFFF"/>
        </w:rPr>
        <w:t>government to</w:t>
      </w:r>
      <w:r w:rsidR="00C928D8" w:rsidRPr="00827A08">
        <w:rPr>
          <w:rFonts w:eastAsia="Times New Roman"/>
          <w:color w:val="000000" w:themeColor="text1"/>
          <w:shd w:val="clear" w:color="auto" w:fill="FFFFFF"/>
        </w:rPr>
        <w:t xml:space="preserve"> provide for </w:t>
      </w:r>
      <w:r w:rsidR="00AA6C03" w:rsidRPr="00827A08">
        <w:rPr>
          <w:rFonts w:eastAsia="Times New Roman"/>
          <w:color w:val="000000" w:themeColor="text1"/>
          <w:shd w:val="clear" w:color="auto" w:fill="FFFFFF"/>
        </w:rPr>
        <w:t xml:space="preserve">the </w:t>
      </w:r>
      <w:r w:rsidR="00EB30E3" w:rsidRPr="00827A08">
        <w:rPr>
          <w:rFonts w:eastAsia="Times New Roman"/>
          <w:color w:val="000000" w:themeColor="text1"/>
        </w:rPr>
        <w:t xml:space="preserve">appointment, term of office, salaries and allowances, </w:t>
      </w:r>
      <w:r w:rsidR="00296A8D" w:rsidRPr="00827A08">
        <w:rPr>
          <w:rFonts w:eastAsia="Times New Roman"/>
          <w:color w:val="000000" w:themeColor="text1"/>
        </w:rPr>
        <w:t>registration, removal and other</w:t>
      </w:r>
      <w:r w:rsidR="00EB30E3" w:rsidRPr="00827A08">
        <w:rPr>
          <w:rFonts w:eastAsia="Times New Roman"/>
          <w:color w:val="000000" w:themeColor="text1"/>
        </w:rPr>
        <w:t xml:space="preserve"> </w:t>
      </w:r>
      <w:r w:rsidR="00525FB0" w:rsidRPr="00827A08">
        <w:rPr>
          <w:rFonts w:eastAsia="Times New Roman"/>
          <w:color w:val="000000" w:themeColor="text1"/>
        </w:rPr>
        <w:t>terms and conditions of service</w:t>
      </w:r>
      <w:r w:rsidR="00EB30E3" w:rsidRPr="00827A08">
        <w:rPr>
          <w:rFonts w:eastAsia="Times New Roman"/>
          <w:color w:val="000000" w:themeColor="text1"/>
        </w:rPr>
        <w:t xml:space="preserve"> of </w:t>
      </w:r>
      <w:r w:rsidR="00296A8D" w:rsidRPr="00827A08">
        <w:rPr>
          <w:rFonts w:eastAsia="Times New Roman"/>
          <w:color w:val="000000" w:themeColor="text1"/>
        </w:rPr>
        <w:t>the C</w:t>
      </w:r>
      <w:r w:rsidR="00EB30E3" w:rsidRPr="00827A08">
        <w:rPr>
          <w:rFonts w:eastAsia="Times New Roman"/>
          <w:color w:val="000000" w:themeColor="text1"/>
        </w:rPr>
        <w:t>hairperson</w:t>
      </w:r>
      <w:r w:rsidR="00296A8D" w:rsidRPr="00827A08">
        <w:rPr>
          <w:rFonts w:eastAsia="Times New Roman"/>
          <w:color w:val="000000" w:themeColor="text1"/>
        </w:rPr>
        <w:t>s</w:t>
      </w:r>
      <w:r w:rsidR="00EB30E3" w:rsidRPr="00827A08">
        <w:rPr>
          <w:rFonts w:eastAsia="Times New Roman"/>
          <w:color w:val="000000" w:themeColor="text1"/>
        </w:rPr>
        <w:t xml:space="preserve"> and members of the </w:t>
      </w:r>
      <w:r w:rsidR="00021CDC" w:rsidRPr="00827A08">
        <w:rPr>
          <w:rFonts w:eastAsia="Times New Roman"/>
          <w:color w:val="000000" w:themeColor="text1"/>
        </w:rPr>
        <w:t>Tribunal</w:t>
      </w:r>
      <w:r w:rsidR="00EB30E3" w:rsidRPr="00827A08">
        <w:rPr>
          <w:rFonts w:eastAsia="Times New Roman"/>
          <w:color w:val="000000" w:themeColor="text1"/>
        </w:rPr>
        <w:t xml:space="preserve"> including the NGT. </w:t>
      </w:r>
      <w:r w:rsidR="00A7489E" w:rsidRPr="00827A08">
        <w:rPr>
          <w:rFonts w:eastAsia="Times New Roman"/>
          <w:color w:val="000000" w:themeColor="text1"/>
        </w:rPr>
        <w:t xml:space="preserve">For instance, the new rules have altered the </w:t>
      </w:r>
      <w:r w:rsidR="003243FF" w:rsidRPr="00827A08">
        <w:rPr>
          <w:rFonts w:eastAsia="Times New Roman"/>
          <w:color w:val="000000" w:themeColor="text1"/>
        </w:rPr>
        <w:t>terms</w:t>
      </w:r>
      <w:r w:rsidR="00A7489E" w:rsidRPr="00827A08">
        <w:rPr>
          <w:rFonts w:eastAsia="Times New Roman"/>
          <w:color w:val="000000" w:themeColor="text1"/>
        </w:rPr>
        <w:t xml:space="preserve"> of the NGT Act 2010 by allowing a </w:t>
      </w:r>
      <w:r w:rsidR="00A7489E" w:rsidRPr="00827A08">
        <w:rPr>
          <w:rFonts w:eastAsia="Times New Roman"/>
          <w:color w:val="000000" w:themeColor="text1"/>
          <w:shd w:val="clear" w:color="auto" w:fill="FFFFFF"/>
        </w:rPr>
        <w:t xml:space="preserve">non-judicial member to be the chairperson of the </w:t>
      </w:r>
      <w:r w:rsidR="00021CDC" w:rsidRPr="00827A08">
        <w:rPr>
          <w:rFonts w:eastAsia="Times New Roman"/>
          <w:color w:val="000000" w:themeColor="text1"/>
          <w:shd w:val="clear" w:color="auto" w:fill="FFFFFF"/>
        </w:rPr>
        <w:t>Tribunal</w:t>
      </w:r>
      <w:r w:rsidR="00A7489E" w:rsidRPr="00827A08">
        <w:rPr>
          <w:rFonts w:eastAsia="Times New Roman"/>
          <w:color w:val="000000" w:themeColor="text1"/>
          <w:shd w:val="clear" w:color="auto" w:fill="FFFFFF"/>
        </w:rPr>
        <w:t xml:space="preserve">. </w:t>
      </w:r>
      <w:r w:rsidR="00B151E6" w:rsidRPr="00827A08">
        <w:rPr>
          <w:rFonts w:eastAsia="Times New Roman"/>
          <w:color w:val="000000" w:themeColor="text1"/>
          <w:shd w:val="clear" w:color="auto" w:fill="FFFFFF"/>
        </w:rPr>
        <w:t>Section 5 of the NGT Act 2010 states that the chairperson of the NGT must have been a judge of the Supreme Court or a chief justice of a High Court.</w:t>
      </w:r>
      <w:r w:rsidR="00553800" w:rsidRPr="00827A08">
        <w:rPr>
          <w:rFonts w:eastAsia="Times New Roman"/>
          <w:color w:val="000000" w:themeColor="text1"/>
          <w:shd w:val="clear" w:color="auto" w:fill="FFFFFF"/>
        </w:rPr>
        <w:t xml:space="preserve"> As per the new rules </w:t>
      </w:r>
      <w:r w:rsidR="006927D0" w:rsidRPr="00827A08">
        <w:rPr>
          <w:rFonts w:eastAsia="Times New Roman"/>
          <w:color w:val="000000" w:themeColor="text1"/>
          <w:shd w:val="clear" w:color="auto" w:fill="FFFFFF"/>
        </w:rPr>
        <w:t>a person can be appointed as a Chairperson of NGT if he is, or has been, or is qualified to be, a Judge of Supreme Court; or is, or has been, Chief Justice of a High Court; or has, for a period of not less than three years, held office as a judicial or expert member o</w:t>
      </w:r>
      <w:r w:rsidR="006927D0" w:rsidRPr="00827A08">
        <w:rPr>
          <w:rFonts w:eastAsia="Times New Roman"/>
          <w:color w:val="000000" w:themeColor="text1"/>
        </w:rPr>
        <w:t>r is a person of ability, integrity and standing, and having special knowledge of, and professional experience of not less than twenty-five years in law including five years’ practical experience in the field of environment and forests.</w:t>
      </w:r>
      <w:r w:rsidR="00525FB0" w:rsidRPr="00827A08">
        <w:rPr>
          <w:rFonts w:eastAsia="Times New Roman"/>
          <w:color w:val="000000" w:themeColor="text1"/>
        </w:rPr>
        <w:t xml:space="preserve"> </w:t>
      </w:r>
      <w:r w:rsidR="00C55A31" w:rsidRPr="00827A08">
        <w:rPr>
          <w:rFonts w:eastAsia="Times New Roman"/>
          <w:color w:val="000000" w:themeColor="text1"/>
        </w:rPr>
        <w:t>The qualifications to become an expert or judicial member at NGT are also diluted, while giving greater bureaucratic control over the selection procedure.</w:t>
      </w:r>
      <w:r w:rsidR="00D4463D" w:rsidRPr="00827A08">
        <w:rPr>
          <w:rStyle w:val="FootnoteReference"/>
          <w:rFonts w:eastAsia="Times New Roman"/>
          <w:color w:val="000000" w:themeColor="text1"/>
        </w:rPr>
        <w:footnoteReference w:id="212"/>
      </w:r>
      <w:r w:rsidR="00997603" w:rsidRPr="00827A08">
        <w:rPr>
          <w:rFonts w:eastAsia="Times New Roman"/>
          <w:color w:val="000000" w:themeColor="text1"/>
        </w:rPr>
        <w:t xml:space="preserve"> </w:t>
      </w:r>
    </w:p>
    <w:p w14:paraId="11E8A524" w14:textId="77777777" w:rsidR="00A7489E" w:rsidRPr="00827A08" w:rsidRDefault="00A7489E" w:rsidP="00297F8F">
      <w:pPr>
        <w:spacing w:line="360" w:lineRule="auto"/>
        <w:rPr>
          <w:rFonts w:eastAsia="Times New Roman"/>
          <w:color w:val="000000" w:themeColor="text1"/>
        </w:rPr>
      </w:pPr>
    </w:p>
    <w:p w14:paraId="317F3F67" w14:textId="55D73F11" w:rsidR="00C55A31" w:rsidRPr="00827A08" w:rsidRDefault="00655BB8" w:rsidP="00297F8F">
      <w:pPr>
        <w:spacing w:line="360" w:lineRule="auto"/>
        <w:rPr>
          <w:rFonts w:eastAsia="Times New Roman"/>
          <w:color w:val="000000" w:themeColor="text1"/>
        </w:rPr>
      </w:pPr>
      <w:r w:rsidRPr="00827A08">
        <w:rPr>
          <w:rFonts w:eastAsia="Times New Roman"/>
          <w:color w:val="000000" w:themeColor="text1"/>
        </w:rPr>
        <w:t xml:space="preserve">These new rules are designed to create systemic </w:t>
      </w:r>
      <w:r w:rsidR="00DD0CA0" w:rsidRPr="00827A08">
        <w:rPr>
          <w:rFonts w:eastAsia="Times New Roman"/>
          <w:color w:val="000000" w:themeColor="text1"/>
        </w:rPr>
        <w:t>changes that undermine</w:t>
      </w:r>
      <w:r w:rsidR="00C74D1F" w:rsidRPr="00827A08">
        <w:rPr>
          <w:rFonts w:eastAsia="Times New Roman"/>
          <w:color w:val="000000" w:themeColor="text1"/>
        </w:rPr>
        <w:t xml:space="preserve"> the system of institutional checks and balances and potentially create conflict of interests. </w:t>
      </w:r>
      <w:r w:rsidR="00AE5A90" w:rsidRPr="00827A08">
        <w:rPr>
          <w:rFonts w:eastAsia="Times New Roman"/>
          <w:color w:val="000000" w:themeColor="text1"/>
          <w:shd w:val="clear" w:color="auto" w:fill="FFFFFF"/>
        </w:rPr>
        <w:t xml:space="preserve">In </w:t>
      </w:r>
      <w:r w:rsidR="00AE5A90" w:rsidRPr="00827A08">
        <w:rPr>
          <w:rFonts w:eastAsia="Times New Roman"/>
          <w:i/>
          <w:color w:val="000000" w:themeColor="text1"/>
          <w:shd w:val="clear" w:color="auto" w:fill="FFFFFF"/>
        </w:rPr>
        <w:t>Union of India v</w:t>
      </w:r>
      <w:r w:rsidR="00C85B85" w:rsidRPr="00827A08">
        <w:rPr>
          <w:rFonts w:eastAsia="Times New Roman"/>
          <w:i/>
          <w:color w:val="000000" w:themeColor="text1"/>
          <w:shd w:val="clear" w:color="auto" w:fill="FFFFFF"/>
        </w:rPr>
        <w:t xml:space="preserve"> R. Gandhi</w:t>
      </w:r>
      <w:r w:rsidR="00D4463D" w:rsidRPr="00827A08">
        <w:rPr>
          <w:rStyle w:val="FootnoteReference"/>
          <w:rFonts w:eastAsia="Times New Roman"/>
          <w:i/>
          <w:color w:val="000000" w:themeColor="text1"/>
          <w:shd w:val="clear" w:color="auto" w:fill="FFFFFF"/>
        </w:rPr>
        <w:footnoteReference w:id="213"/>
      </w:r>
      <w:r w:rsidR="00297F8F">
        <w:rPr>
          <w:rFonts w:eastAsia="Times New Roman"/>
          <w:color w:val="000000" w:themeColor="text1"/>
          <w:shd w:val="clear" w:color="auto" w:fill="FFFFFF"/>
        </w:rPr>
        <w:t xml:space="preserve"> the Supreme Court held:</w:t>
      </w:r>
    </w:p>
    <w:p w14:paraId="36C0D47B" w14:textId="77777777" w:rsidR="00A746FF" w:rsidRPr="00827A08" w:rsidRDefault="00C85B85" w:rsidP="00297F8F">
      <w:pPr>
        <w:spacing w:line="360" w:lineRule="auto"/>
        <w:rPr>
          <w:rFonts w:eastAsia="Times New Roman"/>
          <w:color w:val="000000" w:themeColor="text1"/>
          <w:shd w:val="clear" w:color="auto" w:fill="FFFFFF"/>
        </w:rPr>
      </w:pPr>
      <w:r w:rsidRPr="00827A08">
        <w:rPr>
          <w:rFonts w:eastAsia="Times New Roman"/>
          <w:color w:val="000000" w:themeColor="text1"/>
          <w:shd w:val="clear" w:color="auto" w:fill="FFFFFF"/>
        </w:rPr>
        <w:t> </w:t>
      </w:r>
    </w:p>
    <w:p w14:paraId="52D4CE61" w14:textId="13BBB7EE" w:rsidR="006D669A" w:rsidRPr="00827A08" w:rsidRDefault="00C85B85" w:rsidP="003F71D9">
      <w:pPr>
        <w:widowControl w:val="0"/>
        <w:autoSpaceDE w:val="0"/>
        <w:autoSpaceDN w:val="0"/>
        <w:adjustRightInd w:val="0"/>
        <w:spacing w:after="240" w:line="360" w:lineRule="auto"/>
        <w:ind w:left="360" w:right="360"/>
        <w:rPr>
          <w:rFonts w:eastAsia="Times New Roman"/>
          <w:color w:val="000000" w:themeColor="text1"/>
          <w:shd w:val="clear" w:color="auto" w:fill="FFFFFF"/>
        </w:rPr>
      </w:pPr>
      <w:r w:rsidRPr="003F71D9">
        <w:rPr>
          <w:color w:val="000000" w:themeColor="text1"/>
          <w:sz w:val="20"/>
          <w:szCs w:val="20"/>
        </w:rPr>
        <w:t xml:space="preserve">Impartiality, independence, fairness and reasonableness in decision making are the hallmarks of Judiciary. If `Impartiality’ is the soul of Judiciary, `Independence’ is the life blood of Judiciary. Without independence, impartiality cannot thrive. Independence is not the freedom for Judges to do what they like. It is the independence of judicial thought. It is the freedom from interference and pressures which provides the judicial atmosphere where he can work with absolute commitment to the cause of justice and constitutional values…If </w:t>
      </w:r>
      <w:r w:rsidR="00021CDC" w:rsidRPr="003F71D9">
        <w:rPr>
          <w:color w:val="000000" w:themeColor="text1"/>
          <w:sz w:val="20"/>
          <w:szCs w:val="20"/>
        </w:rPr>
        <w:t>Tribunal</w:t>
      </w:r>
      <w:r w:rsidRPr="003F71D9">
        <w:rPr>
          <w:color w:val="000000" w:themeColor="text1"/>
          <w:sz w:val="20"/>
          <w:szCs w:val="20"/>
        </w:rPr>
        <w:t xml:space="preserve">s are to be vested with judicial power hitherto vested in or exercised by courts, such </w:t>
      </w:r>
      <w:r w:rsidR="00021CDC" w:rsidRPr="003F71D9">
        <w:rPr>
          <w:color w:val="000000" w:themeColor="text1"/>
          <w:sz w:val="20"/>
          <w:szCs w:val="20"/>
        </w:rPr>
        <w:t>Tribunal</w:t>
      </w:r>
      <w:r w:rsidRPr="003F71D9">
        <w:rPr>
          <w:color w:val="000000" w:themeColor="text1"/>
          <w:sz w:val="20"/>
          <w:szCs w:val="20"/>
        </w:rPr>
        <w:t>s should possess the independence, security and capacity associated with courts.</w:t>
      </w:r>
      <w:r w:rsidR="00F42E8A" w:rsidRPr="003F71D9">
        <w:rPr>
          <w:sz w:val="20"/>
          <w:szCs w:val="20"/>
          <w:vertAlign w:val="superscript"/>
        </w:rPr>
        <w:footnoteReference w:id="214"/>
      </w:r>
      <w:r w:rsidRPr="00827A08">
        <w:rPr>
          <w:rFonts w:eastAsia="Times New Roman"/>
          <w:color w:val="000000" w:themeColor="text1"/>
        </w:rPr>
        <w:br/>
      </w:r>
    </w:p>
    <w:p w14:paraId="07E28CE7" w14:textId="77777777" w:rsidR="00BE0658" w:rsidRDefault="006D669A" w:rsidP="00297F8F">
      <w:pPr>
        <w:spacing w:line="360" w:lineRule="auto"/>
        <w:rPr>
          <w:rFonts w:eastAsia="Times New Roman"/>
          <w:color w:val="000000" w:themeColor="text1"/>
        </w:rPr>
      </w:pPr>
      <w:r w:rsidRPr="00827A08">
        <w:rPr>
          <w:rFonts w:eastAsia="Times New Roman"/>
          <w:color w:val="000000" w:themeColor="text1"/>
        </w:rPr>
        <w:t xml:space="preserve">The new rules invited criticism from green activists </w:t>
      </w:r>
      <w:r w:rsidR="008C4821" w:rsidRPr="00827A08">
        <w:rPr>
          <w:rFonts w:eastAsia="Times New Roman"/>
          <w:color w:val="000000" w:themeColor="text1"/>
        </w:rPr>
        <w:t>who c</w:t>
      </w:r>
      <w:r w:rsidR="002F3C6A" w:rsidRPr="00827A08">
        <w:rPr>
          <w:rFonts w:eastAsia="Times New Roman"/>
          <w:color w:val="000000" w:themeColor="text1"/>
        </w:rPr>
        <w:t>a</w:t>
      </w:r>
      <w:r w:rsidR="00D76908">
        <w:rPr>
          <w:rFonts w:eastAsia="Times New Roman"/>
          <w:color w:val="000000" w:themeColor="text1"/>
        </w:rPr>
        <w:t>lled the provisions “</w:t>
      </w:r>
      <w:r w:rsidR="002F3C6A" w:rsidRPr="00827A08">
        <w:rPr>
          <w:rFonts w:eastAsia="Times New Roman"/>
          <w:color w:val="000000" w:themeColor="text1"/>
        </w:rPr>
        <w:t>draconian’</w:t>
      </w:r>
      <w:r w:rsidR="008C4821" w:rsidRPr="00827A08">
        <w:rPr>
          <w:rFonts w:eastAsia="Times New Roman"/>
          <w:color w:val="000000" w:themeColor="text1"/>
        </w:rPr>
        <w:t xml:space="preserve"> and ‘</w:t>
      </w:r>
      <w:r w:rsidR="002F3C6A" w:rsidRPr="00827A08">
        <w:rPr>
          <w:rFonts w:eastAsia="Times New Roman"/>
          <w:color w:val="000000" w:themeColor="text1"/>
        </w:rPr>
        <w:t>t</w:t>
      </w:r>
      <w:r w:rsidR="00887D55" w:rsidRPr="00827A08">
        <w:rPr>
          <w:rFonts w:eastAsia="Times New Roman"/>
          <w:color w:val="000000" w:themeColor="text1"/>
        </w:rPr>
        <w:t xml:space="preserve">he </w:t>
      </w:r>
      <w:r w:rsidR="008C4821" w:rsidRPr="00827A08">
        <w:rPr>
          <w:rFonts w:eastAsia="Times New Roman"/>
          <w:color w:val="000000" w:themeColor="text1"/>
        </w:rPr>
        <w:t xml:space="preserve">death knell for NGT and all </w:t>
      </w:r>
      <w:r w:rsidR="002F3C6A" w:rsidRPr="00827A08">
        <w:rPr>
          <w:rFonts w:eastAsia="Times New Roman"/>
          <w:color w:val="000000" w:themeColor="text1"/>
        </w:rPr>
        <w:t xml:space="preserve">other </w:t>
      </w:r>
      <w:r w:rsidR="00021CDC" w:rsidRPr="00827A08">
        <w:rPr>
          <w:rFonts w:eastAsia="Times New Roman"/>
          <w:color w:val="000000" w:themeColor="text1"/>
        </w:rPr>
        <w:t>Tribunal</w:t>
      </w:r>
      <w:r w:rsidR="00BE0658">
        <w:rPr>
          <w:rFonts w:eastAsia="Times New Roman"/>
          <w:color w:val="000000" w:themeColor="text1"/>
        </w:rPr>
        <w:t>s in the country</w:t>
      </w:r>
      <w:r w:rsidR="00D76908">
        <w:rPr>
          <w:rFonts w:eastAsia="Times New Roman"/>
          <w:color w:val="000000" w:themeColor="text1"/>
        </w:rPr>
        <w:t>”</w:t>
      </w:r>
      <w:r w:rsidR="002F3C6A" w:rsidRPr="00827A08">
        <w:rPr>
          <w:rFonts w:eastAsia="Times New Roman"/>
          <w:color w:val="000000" w:themeColor="text1"/>
        </w:rPr>
        <w:t xml:space="preserve"> </w:t>
      </w:r>
      <w:r w:rsidR="00BE0658">
        <w:rPr>
          <w:rFonts w:eastAsia="Times New Roman"/>
          <w:color w:val="000000" w:themeColor="text1"/>
        </w:rPr>
        <w:t>and stated:</w:t>
      </w:r>
    </w:p>
    <w:p w14:paraId="6966A4EA" w14:textId="77777777" w:rsidR="00BE0658" w:rsidRDefault="00BE0658" w:rsidP="00297F8F">
      <w:pPr>
        <w:spacing w:line="360" w:lineRule="auto"/>
        <w:rPr>
          <w:rFonts w:eastAsia="Times New Roman"/>
          <w:color w:val="000000" w:themeColor="text1"/>
        </w:rPr>
      </w:pPr>
    </w:p>
    <w:p w14:paraId="37742D81" w14:textId="77777777" w:rsidR="00BE0658" w:rsidRPr="008F3AE7" w:rsidRDefault="0030562B" w:rsidP="008F3AE7">
      <w:pPr>
        <w:widowControl w:val="0"/>
        <w:autoSpaceDE w:val="0"/>
        <w:autoSpaceDN w:val="0"/>
        <w:adjustRightInd w:val="0"/>
        <w:spacing w:after="240" w:line="360" w:lineRule="auto"/>
        <w:ind w:left="360" w:right="360"/>
        <w:rPr>
          <w:color w:val="000000" w:themeColor="text1"/>
          <w:sz w:val="20"/>
          <w:szCs w:val="20"/>
        </w:rPr>
      </w:pPr>
      <w:r w:rsidRPr="008F3AE7">
        <w:rPr>
          <w:color w:val="000000" w:themeColor="text1"/>
          <w:sz w:val="20"/>
          <w:szCs w:val="20"/>
        </w:rPr>
        <w:t xml:space="preserve">The new qualifications have serious consequences and huge implications </w:t>
      </w:r>
      <w:r w:rsidR="00887D55" w:rsidRPr="008F3AE7">
        <w:rPr>
          <w:color w:val="000000" w:themeColor="text1"/>
          <w:sz w:val="20"/>
          <w:szCs w:val="20"/>
        </w:rPr>
        <w:t>for</w:t>
      </w:r>
      <w:r w:rsidRPr="008F3AE7">
        <w:rPr>
          <w:color w:val="000000" w:themeColor="text1"/>
          <w:sz w:val="20"/>
          <w:szCs w:val="20"/>
        </w:rPr>
        <w:t xml:space="preserve"> the quality of leadership as well as independence of the NGT</w:t>
      </w:r>
      <w:r w:rsidR="00692E72" w:rsidRPr="008F3AE7">
        <w:rPr>
          <w:color w:val="000000" w:themeColor="text1"/>
          <w:sz w:val="20"/>
          <w:szCs w:val="20"/>
        </w:rPr>
        <w:t>..</w:t>
      </w:r>
      <w:r w:rsidRPr="008F3AE7">
        <w:rPr>
          <w:color w:val="000000" w:themeColor="text1"/>
          <w:sz w:val="20"/>
          <w:szCs w:val="20"/>
        </w:rPr>
        <w:t>.</w:t>
      </w:r>
      <w:r w:rsidR="00692E72" w:rsidRPr="008F3AE7">
        <w:rPr>
          <w:color w:val="000000" w:themeColor="text1"/>
          <w:sz w:val="20"/>
          <w:szCs w:val="20"/>
        </w:rPr>
        <w:t xml:space="preserve"> the NGT will not have the administrative as well as functional autonomy and will be ‘under’ the control of the very Ministry [MoEF] whose decisions they are required to adjudicate upon.</w:t>
      </w:r>
      <w:r w:rsidR="002F3C6A" w:rsidRPr="008F3AE7">
        <w:rPr>
          <w:sz w:val="20"/>
          <w:szCs w:val="20"/>
          <w:vertAlign w:val="superscript"/>
        </w:rPr>
        <w:footnoteReference w:id="215"/>
      </w:r>
      <w:r w:rsidRPr="008F3AE7">
        <w:rPr>
          <w:color w:val="000000" w:themeColor="text1"/>
          <w:sz w:val="20"/>
          <w:szCs w:val="20"/>
          <w:vertAlign w:val="superscript"/>
        </w:rPr>
        <w:t xml:space="preserve"> </w:t>
      </w:r>
      <w:r w:rsidR="007F1059" w:rsidRPr="008F3AE7">
        <w:rPr>
          <w:color w:val="000000" w:themeColor="text1"/>
          <w:sz w:val="20"/>
          <w:szCs w:val="20"/>
        </w:rPr>
        <w:t xml:space="preserve"> </w:t>
      </w:r>
    </w:p>
    <w:p w14:paraId="1F28558C" w14:textId="77777777" w:rsidR="00BE0658" w:rsidRDefault="00BE0658" w:rsidP="00297F8F">
      <w:pPr>
        <w:spacing w:line="360" w:lineRule="auto"/>
        <w:rPr>
          <w:rFonts w:eastAsia="Times New Roman"/>
          <w:color w:val="000000" w:themeColor="text1"/>
        </w:rPr>
      </w:pPr>
    </w:p>
    <w:p w14:paraId="7611DCFD" w14:textId="005C6AE7" w:rsidR="00543F35" w:rsidRPr="00827A08" w:rsidRDefault="007F1059" w:rsidP="00297F8F">
      <w:pPr>
        <w:spacing w:line="360" w:lineRule="auto"/>
        <w:rPr>
          <w:rFonts w:eastAsia="Times New Roman"/>
          <w:color w:val="000000" w:themeColor="text1"/>
        </w:rPr>
      </w:pPr>
      <w:r w:rsidRPr="00827A08">
        <w:rPr>
          <w:rFonts w:eastAsia="Times New Roman"/>
          <w:color w:val="000000" w:themeColor="text1"/>
        </w:rPr>
        <w:t xml:space="preserve">The changes </w:t>
      </w:r>
      <w:r w:rsidR="0084431D">
        <w:rPr>
          <w:rFonts w:eastAsia="Times New Roman"/>
          <w:color w:val="000000" w:themeColor="text1"/>
        </w:rPr>
        <w:t>threaten to</w:t>
      </w:r>
      <w:r w:rsidR="005126D5" w:rsidRPr="00827A08">
        <w:rPr>
          <w:rFonts w:eastAsia="Times New Roman"/>
          <w:color w:val="000000" w:themeColor="text1"/>
        </w:rPr>
        <w:t xml:space="preserve"> cripple</w:t>
      </w:r>
      <w:r w:rsidR="00395FE2" w:rsidRPr="00827A08">
        <w:rPr>
          <w:rFonts w:eastAsia="Times New Roman"/>
          <w:color w:val="000000" w:themeColor="text1"/>
        </w:rPr>
        <w:t xml:space="preserve"> the</w:t>
      </w:r>
      <w:r w:rsidR="00A7489E" w:rsidRPr="00827A08">
        <w:rPr>
          <w:rFonts w:eastAsia="Times New Roman"/>
          <w:color w:val="000000" w:themeColor="text1"/>
        </w:rPr>
        <w:t xml:space="preserve"> independence of the</w:t>
      </w:r>
      <w:r w:rsidR="00395FE2" w:rsidRPr="00827A08">
        <w:rPr>
          <w:rFonts w:eastAsia="Times New Roman"/>
          <w:color w:val="000000" w:themeColor="text1"/>
        </w:rPr>
        <w:t xml:space="preserve"> NGT</w:t>
      </w:r>
      <w:r w:rsidR="00A7489E" w:rsidRPr="00827A08">
        <w:rPr>
          <w:rFonts w:eastAsia="Times New Roman"/>
          <w:color w:val="000000" w:themeColor="text1"/>
        </w:rPr>
        <w:t xml:space="preserve">. </w:t>
      </w:r>
      <w:r w:rsidR="00C1592B" w:rsidRPr="00827A08">
        <w:rPr>
          <w:rFonts w:eastAsia="Times New Roman"/>
          <w:color w:val="000000" w:themeColor="text1"/>
        </w:rPr>
        <w:t>The new rules were challenged in the Supreme Court by former environment minister Jairam Ramesh</w:t>
      </w:r>
      <w:r w:rsidR="00F268F3" w:rsidRPr="00827A08">
        <w:rPr>
          <w:rFonts w:eastAsia="Times New Roman"/>
          <w:color w:val="000000" w:themeColor="text1"/>
        </w:rPr>
        <w:t xml:space="preserve"> </w:t>
      </w:r>
      <w:r w:rsidR="0069037E" w:rsidRPr="00827A08">
        <w:rPr>
          <w:rFonts w:eastAsia="Times New Roman"/>
          <w:color w:val="000000" w:themeColor="text1"/>
        </w:rPr>
        <w:t>because</w:t>
      </w:r>
      <w:r w:rsidR="00887D55" w:rsidRPr="00827A08">
        <w:rPr>
          <w:rFonts w:eastAsia="Times New Roman"/>
          <w:color w:val="000000" w:themeColor="text1"/>
        </w:rPr>
        <w:t xml:space="preserve"> they</w:t>
      </w:r>
      <w:r w:rsidR="00F268F3" w:rsidRPr="00827A08">
        <w:rPr>
          <w:rFonts w:eastAsia="Times New Roman"/>
          <w:color w:val="000000" w:themeColor="text1"/>
        </w:rPr>
        <w:t xml:space="preserve"> violate the doctrine of separation of powers and suffer </w:t>
      </w:r>
      <w:r w:rsidR="00566D73" w:rsidRPr="00827A08">
        <w:rPr>
          <w:rFonts w:eastAsia="Times New Roman"/>
          <w:color w:val="000000" w:themeColor="text1"/>
        </w:rPr>
        <w:t>from</w:t>
      </w:r>
      <w:r w:rsidR="00F268F3" w:rsidRPr="00827A08">
        <w:rPr>
          <w:rFonts w:eastAsia="Times New Roman"/>
          <w:color w:val="000000" w:themeColor="text1"/>
        </w:rPr>
        <w:t xml:space="preserve"> </w:t>
      </w:r>
      <w:r w:rsidR="00887D55" w:rsidRPr="00827A08">
        <w:rPr>
          <w:rFonts w:eastAsia="Times New Roman"/>
          <w:color w:val="000000" w:themeColor="text1"/>
        </w:rPr>
        <w:t>issue</w:t>
      </w:r>
      <w:r w:rsidR="00F268F3" w:rsidRPr="00827A08">
        <w:rPr>
          <w:rFonts w:eastAsia="Times New Roman"/>
          <w:color w:val="000000" w:themeColor="text1"/>
        </w:rPr>
        <w:t xml:space="preserve"> of excessive delegation to the central government.</w:t>
      </w:r>
      <w:r w:rsidR="00692E72" w:rsidRPr="00827A08">
        <w:rPr>
          <w:rStyle w:val="FootnoteReference"/>
          <w:rFonts w:eastAsia="Times New Roman"/>
          <w:color w:val="000000" w:themeColor="text1"/>
        </w:rPr>
        <w:footnoteReference w:id="216"/>
      </w:r>
      <w:r w:rsidR="0057751F" w:rsidRPr="00827A08">
        <w:rPr>
          <w:rFonts w:eastAsia="Times New Roman"/>
          <w:color w:val="000000" w:themeColor="text1"/>
        </w:rPr>
        <w:t xml:space="preserve"> </w:t>
      </w:r>
      <w:r w:rsidR="005126D5" w:rsidRPr="00827A08">
        <w:rPr>
          <w:rFonts w:eastAsia="Times New Roman"/>
          <w:color w:val="000000" w:themeColor="text1"/>
        </w:rPr>
        <w:t>Consequently</w:t>
      </w:r>
      <w:r w:rsidR="00B416A1" w:rsidRPr="00827A08">
        <w:rPr>
          <w:rFonts w:eastAsia="Times New Roman"/>
          <w:color w:val="000000" w:themeColor="text1"/>
        </w:rPr>
        <w:t>, t</w:t>
      </w:r>
      <w:r w:rsidR="0057751F" w:rsidRPr="00827A08">
        <w:rPr>
          <w:rFonts w:eastAsia="Times New Roman"/>
          <w:color w:val="000000" w:themeColor="text1"/>
        </w:rPr>
        <w:t>he Supreme Court in February 2018 stayed the provisions of the Finance Act 2017 that amended</w:t>
      </w:r>
      <w:r w:rsidR="00887D55" w:rsidRPr="00827A08">
        <w:rPr>
          <w:rFonts w:eastAsia="Times New Roman"/>
          <w:color w:val="000000" w:themeColor="text1"/>
        </w:rPr>
        <w:t xml:space="preserve"> the</w:t>
      </w:r>
      <w:r w:rsidR="0057751F" w:rsidRPr="00827A08">
        <w:rPr>
          <w:rFonts w:eastAsia="Times New Roman"/>
          <w:color w:val="000000" w:themeColor="text1"/>
        </w:rPr>
        <w:t xml:space="preserve"> rules of appointment to the </w:t>
      </w:r>
      <w:r w:rsidR="00021CDC" w:rsidRPr="00827A08">
        <w:rPr>
          <w:rFonts w:eastAsia="Times New Roman"/>
          <w:color w:val="000000" w:themeColor="text1"/>
        </w:rPr>
        <w:t>Tribunal</w:t>
      </w:r>
      <w:r w:rsidR="0057751F" w:rsidRPr="00827A08">
        <w:rPr>
          <w:rFonts w:eastAsia="Times New Roman"/>
          <w:color w:val="000000" w:themeColor="text1"/>
        </w:rPr>
        <w:t>s, including the NGT.</w:t>
      </w:r>
      <w:r w:rsidR="00543F35" w:rsidRPr="00827A08">
        <w:rPr>
          <w:rFonts w:eastAsia="Times New Roman"/>
          <w:color w:val="000000" w:themeColor="text1"/>
        </w:rPr>
        <w:t xml:space="preserve"> </w:t>
      </w:r>
      <w:r w:rsidR="00543F35" w:rsidRPr="00827A08">
        <w:rPr>
          <w:rFonts w:eastAsia="Times New Roman"/>
          <w:color w:val="000000" w:themeColor="text1"/>
          <w:shd w:val="clear" w:color="auto" w:fill="FFFFFF"/>
        </w:rPr>
        <w:t xml:space="preserve">The court directed that the </w:t>
      </w:r>
      <w:r w:rsidR="00D76908">
        <w:rPr>
          <w:rFonts w:eastAsia="Times New Roman"/>
          <w:color w:val="000000" w:themeColor="text1"/>
          <w:shd w:val="clear" w:color="auto" w:fill="FFFFFF"/>
        </w:rPr>
        <w:t>“</w:t>
      </w:r>
      <w:r w:rsidR="00543F35" w:rsidRPr="00827A08">
        <w:rPr>
          <w:rFonts w:eastAsia="Times New Roman"/>
          <w:color w:val="000000" w:themeColor="text1"/>
          <w:shd w:val="clear" w:color="auto" w:fill="FFFFFF"/>
        </w:rPr>
        <w:t xml:space="preserve">terms and conditions of service of members of the National Green </w:t>
      </w:r>
      <w:r w:rsidR="00021CDC" w:rsidRPr="00827A08">
        <w:rPr>
          <w:rFonts w:eastAsia="Times New Roman"/>
          <w:color w:val="000000" w:themeColor="text1"/>
          <w:shd w:val="clear" w:color="auto" w:fill="FFFFFF"/>
        </w:rPr>
        <w:t>Tribunal</w:t>
      </w:r>
      <w:r w:rsidR="00543F35" w:rsidRPr="00827A08">
        <w:rPr>
          <w:rFonts w:eastAsia="Times New Roman"/>
          <w:color w:val="000000" w:themeColor="text1"/>
          <w:shd w:val="clear" w:color="auto" w:fill="FFFFFF"/>
        </w:rPr>
        <w:t xml:space="preserve"> shall be governed by the provisions of the National Green </w:t>
      </w:r>
      <w:r w:rsidR="00021CDC" w:rsidRPr="00827A08">
        <w:rPr>
          <w:rFonts w:eastAsia="Times New Roman"/>
          <w:color w:val="000000" w:themeColor="text1"/>
          <w:shd w:val="clear" w:color="auto" w:fill="FFFFFF"/>
        </w:rPr>
        <w:t>Tribunal</w:t>
      </w:r>
      <w:r w:rsidR="00543F35" w:rsidRPr="00827A08">
        <w:rPr>
          <w:rFonts w:eastAsia="Times New Roman"/>
          <w:color w:val="000000" w:themeColor="text1"/>
          <w:shd w:val="clear" w:color="auto" w:fill="FFFFFF"/>
        </w:rPr>
        <w:t xml:space="preserve"> Act, 2010.</w:t>
      </w:r>
      <w:r w:rsidR="00D76908">
        <w:rPr>
          <w:rFonts w:eastAsia="Times New Roman"/>
          <w:color w:val="000000" w:themeColor="text1"/>
          <w:shd w:val="clear" w:color="auto" w:fill="FFFFFF"/>
        </w:rPr>
        <w:t>”</w:t>
      </w:r>
      <w:r w:rsidR="00B416A1" w:rsidRPr="00827A08">
        <w:rPr>
          <w:rStyle w:val="FootnoteReference"/>
          <w:rFonts w:eastAsia="Times New Roman"/>
          <w:color w:val="000000" w:themeColor="text1"/>
          <w:shd w:val="clear" w:color="auto" w:fill="FFFFFF"/>
        </w:rPr>
        <w:footnoteReference w:id="217"/>
      </w:r>
      <w:r w:rsidR="00AB57F1" w:rsidRPr="00827A08">
        <w:rPr>
          <w:rFonts w:eastAsia="Times New Roman"/>
          <w:color w:val="000000" w:themeColor="text1"/>
          <w:shd w:val="clear" w:color="auto" w:fill="FFFFFF"/>
        </w:rPr>
        <w:t xml:space="preserve"> The interim stay order </w:t>
      </w:r>
      <w:r w:rsidR="00427606" w:rsidRPr="00827A08">
        <w:rPr>
          <w:rFonts w:eastAsia="Times New Roman"/>
          <w:color w:val="000000" w:themeColor="text1"/>
          <w:shd w:val="clear" w:color="auto" w:fill="FFFFFF"/>
        </w:rPr>
        <w:t xml:space="preserve">by the Supreme Court </w:t>
      </w:r>
      <w:r w:rsidR="00887D55" w:rsidRPr="00827A08">
        <w:rPr>
          <w:rFonts w:eastAsia="Times New Roman"/>
          <w:color w:val="000000" w:themeColor="text1"/>
          <w:shd w:val="clear" w:color="auto" w:fill="FFFFFF"/>
        </w:rPr>
        <w:t xml:space="preserve">protected </w:t>
      </w:r>
      <w:r w:rsidR="00427606" w:rsidRPr="00827A08">
        <w:rPr>
          <w:rFonts w:eastAsia="Times New Roman"/>
          <w:color w:val="000000" w:themeColor="text1"/>
          <w:shd w:val="clear" w:color="auto" w:fill="FFFFFF"/>
        </w:rPr>
        <w:t xml:space="preserve">the NGT as </w:t>
      </w:r>
      <w:r w:rsidR="00C77D71" w:rsidRPr="00827A08">
        <w:rPr>
          <w:rFonts w:eastAsia="Times New Roman"/>
          <w:color w:val="000000" w:themeColor="text1"/>
          <w:shd w:val="clear" w:color="auto" w:fill="FFFFFF"/>
        </w:rPr>
        <w:t>it ensures that</w:t>
      </w:r>
      <w:r w:rsidR="00887D55" w:rsidRPr="00827A08">
        <w:rPr>
          <w:rFonts w:eastAsia="Times New Roman"/>
          <w:color w:val="000000" w:themeColor="text1"/>
          <w:shd w:val="clear" w:color="auto" w:fill="FFFFFF"/>
        </w:rPr>
        <w:t xml:space="preserve"> the</w:t>
      </w:r>
      <w:r w:rsidR="00C77D71" w:rsidRPr="00827A08">
        <w:rPr>
          <w:rFonts w:eastAsia="Times New Roman"/>
          <w:color w:val="000000" w:themeColor="text1"/>
          <w:shd w:val="clear" w:color="auto" w:fill="FFFFFF"/>
        </w:rPr>
        <w:t xml:space="preserve"> appointment and selection process to the NGT </w:t>
      </w:r>
      <w:r w:rsidR="00887D55" w:rsidRPr="00827A08">
        <w:rPr>
          <w:rFonts w:eastAsia="Times New Roman"/>
          <w:color w:val="000000" w:themeColor="text1"/>
          <w:shd w:val="clear" w:color="auto" w:fill="FFFFFF"/>
        </w:rPr>
        <w:t>remains</w:t>
      </w:r>
      <w:r w:rsidR="00C77D71" w:rsidRPr="00827A08">
        <w:rPr>
          <w:rFonts w:eastAsia="Times New Roman"/>
          <w:color w:val="000000" w:themeColor="text1"/>
          <w:shd w:val="clear" w:color="auto" w:fill="FFFFFF"/>
        </w:rPr>
        <w:t xml:space="preserve"> free from executive influence and </w:t>
      </w:r>
      <w:r w:rsidR="00887D55" w:rsidRPr="00827A08">
        <w:rPr>
          <w:rFonts w:eastAsia="Times New Roman"/>
          <w:color w:val="000000" w:themeColor="text1"/>
          <w:shd w:val="clear" w:color="auto" w:fill="FFFFFF"/>
        </w:rPr>
        <w:t xml:space="preserve">ensures </w:t>
      </w:r>
      <w:r w:rsidR="004C412F" w:rsidRPr="00827A08">
        <w:rPr>
          <w:rFonts w:eastAsia="Times New Roman"/>
          <w:color w:val="000000" w:themeColor="text1"/>
          <w:shd w:val="clear" w:color="auto" w:fill="FFFFFF"/>
        </w:rPr>
        <w:t>parliamentary scrutiny.</w:t>
      </w:r>
    </w:p>
    <w:p w14:paraId="633C5610" w14:textId="77777777" w:rsidR="000E2F93" w:rsidRPr="00827A08" w:rsidRDefault="000E2F93" w:rsidP="00297F8F">
      <w:pPr>
        <w:spacing w:line="360" w:lineRule="auto"/>
        <w:rPr>
          <w:rFonts w:eastAsia="Times New Roman"/>
          <w:color w:val="000000" w:themeColor="text1"/>
          <w:shd w:val="clear" w:color="auto" w:fill="FFFFFF"/>
        </w:rPr>
      </w:pPr>
      <w:bookmarkStart w:id="1" w:name="_Hlk511143973"/>
    </w:p>
    <w:bookmarkEnd w:id="1"/>
    <w:p w14:paraId="1A665243" w14:textId="4E97AFE5" w:rsidR="00070305" w:rsidRPr="00827A08" w:rsidRDefault="008410F3" w:rsidP="00297F8F">
      <w:pPr>
        <w:spacing w:line="360" w:lineRule="auto"/>
        <w:rPr>
          <w:color w:val="000000" w:themeColor="text1"/>
        </w:rPr>
      </w:pPr>
      <w:r w:rsidRPr="00827A08">
        <w:rPr>
          <w:color w:val="000000" w:themeColor="text1"/>
        </w:rPr>
        <w:t>In addition, the recent development of non- filling bench membership</w:t>
      </w:r>
      <w:r w:rsidR="004B4DC7" w:rsidRPr="00827A08">
        <w:rPr>
          <w:color w:val="000000" w:themeColor="text1"/>
        </w:rPr>
        <w:t>, reluctance to authorise appropriate staff, infrastructure and resource support</w:t>
      </w:r>
      <w:r w:rsidRPr="00827A08">
        <w:rPr>
          <w:color w:val="000000" w:themeColor="text1"/>
        </w:rPr>
        <w:t xml:space="preserve"> by the MoEF bears testimony to the fact that </w:t>
      </w:r>
      <w:r w:rsidR="004B4DC7" w:rsidRPr="00827A08">
        <w:rPr>
          <w:color w:val="000000" w:themeColor="text1"/>
        </w:rPr>
        <w:t>the government wants to restrict the activities of the NGT.</w:t>
      </w:r>
      <w:r w:rsidR="00084E86" w:rsidRPr="00827A08">
        <w:rPr>
          <w:color w:val="000000" w:themeColor="text1"/>
        </w:rPr>
        <w:t xml:space="preserve"> Seventy percent of the </w:t>
      </w:r>
      <w:r w:rsidR="00A72593" w:rsidRPr="00827A08">
        <w:rPr>
          <w:color w:val="000000" w:themeColor="text1"/>
        </w:rPr>
        <w:t xml:space="preserve">bench </w:t>
      </w:r>
      <w:r w:rsidR="00084E86" w:rsidRPr="00827A08">
        <w:rPr>
          <w:color w:val="000000" w:themeColor="text1"/>
        </w:rPr>
        <w:t>positions are</w:t>
      </w:r>
      <w:r w:rsidR="00053C02" w:rsidRPr="00827A08">
        <w:rPr>
          <w:color w:val="000000" w:themeColor="text1"/>
        </w:rPr>
        <w:t xml:space="preserve"> currently</w:t>
      </w:r>
      <w:r w:rsidR="00084E86" w:rsidRPr="00827A08">
        <w:rPr>
          <w:color w:val="000000" w:themeColor="text1"/>
        </w:rPr>
        <w:t xml:space="preserve"> vacant</w:t>
      </w:r>
      <w:r w:rsidR="00084E86" w:rsidRPr="00827A08">
        <w:rPr>
          <w:b/>
          <w:color w:val="000000" w:themeColor="text1"/>
        </w:rPr>
        <w:t>.</w:t>
      </w:r>
      <w:r w:rsidR="00084E86" w:rsidRPr="00D76908">
        <w:rPr>
          <w:rStyle w:val="FootnoteReference"/>
          <w:color w:val="000000" w:themeColor="text1"/>
        </w:rPr>
        <w:footnoteReference w:id="218"/>
      </w:r>
      <w:r w:rsidR="00D76908" w:rsidRPr="00D76908">
        <w:rPr>
          <w:color w:val="000000" w:themeColor="text1"/>
        </w:rPr>
        <w:t xml:space="preserve"> </w:t>
      </w:r>
      <w:r w:rsidR="00070305" w:rsidRPr="00827A08">
        <w:rPr>
          <w:color w:val="000000" w:themeColor="text1"/>
        </w:rPr>
        <w:t xml:space="preserve">This is a systematic way of dismantling the institution. The NGT Act 2010 states that the minimum number of full-time judicial and expert members will not be less than 10 with a maximum of 20. At present, the NGT has five bench members (three judicial and two technical experts) for the principal bench in Delhi. </w:t>
      </w:r>
      <w:r w:rsidR="0038527E" w:rsidRPr="00827A08">
        <w:rPr>
          <w:color w:val="000000" w:themeColor="text1"/>
        </w:rPr>
        <w:t>On 28 March 2018, the Supreme Court appointed Jus</w:t>
      </w:r>
      <w:r w:rsidR="0078793B">
        <w:rPr>
          <w:color w:val="000000" w:themeColor="text1"/>
        </w:rPr>
        <w:t>tice Jawad Rahim as the Acting C</w:t>
      </w:r>
      <w:r w:rsidR="0038527E" w:rsidRPr="00827A08">
        <w:rPr>
          <w:color w:val="000000" w:themeColor="text1"/>
        </w:rPr>
        <w:t>hairperson of the NGT</w:t>
      </w:r>
      <w:r w:rsidR="002C5930" w:rsidRPr="00827A08">
        <w:rPr>
          <w:color w:val="000000" w:themeColor="text1"/>
        </w:rPr>
        <w:t xml:space="preserve"> </w:t>
      </w:r>
      <w:r w:rsidR="00B103D7" w:rsidRPr="00827A08">
        <w:rPr>
          <w:color w:val="000000" w:themeColor="text1"/>
        </w:rPr>
        <w:t>because of</w:t>
      </w:r>
      <w:r w:rsidR="002C5930" w:rsidRPr="00827A08">
        <w:rPr>
          <w:color w:val="000000" w:themeColor="text1"/>
        </w:rPr>
        <w:t xml:space="preserve"> the petition filed by the NGT Bar Association</w:t>
      </w:r>
      <w:r w:rsidR="0038527E" w:rsidRPr="00827A08">
        <w:rPr>
          <w:color w:val="000000" w:themeColor="text1"/>
        </w:rPr>
        <w:t>.</w:t>
      </w:r>
      <w:r w:rsidR="0038527E" w:rsidRPr="00827A08">
        <w:rPr>
          <w:rStyle w:val="FootnoteReference"/>
          <w:color w:val="000000" w:themeColor="text1"/>
        </w:rPr>
        <w:footnoteReference w:id="219"/>
      </w:r>
      <w:r w:rsidR="0038527E" w:rsidRPr="00827A08">
        <w:rPr>
          <w:color w:val="000000" w:themeColor="text1"/>
        </w:rPr>
        <w:t xml:space="preserve"> </w:t>
      </w:r>
      <w:r w:rsidR="00070305" w:rsidRPr="00827A08">
        <w:rPr>
          <w:color w:val="000000" w:themeColor="text1"/>
        </w:rPr>
        <w:t>The regional benches (Bhopal, Chennai, Pune and Kolkata) have no</w:t>
      </w:r>
      <w:r w:rsidR="00D10662" w:rsidRPr="00827A08">
        <w:rPr>
          <w:color w:val="000000" w:themeColor="text1"/>
        </w:rPr>
        <w:t xml:space="preserve"> bench members and thus</w:t>
      </w:r>
      <w:r w:rsidR="006504AD" w:rsidRPr="00827A08">
        <w:rPr>
          <w:color w:val="000000" w:themeColor="text1"/>
        </w:rPr>
        <w:t xml:space="preserve"> are dormant</w:t>
      </w:r>
      <w:r w:rsidR="00D10662" w:rsidRPr="00827A08">
        <w:rPr>
          <w:color w:val="000000" w:themeColor="text1"/>
        </w:rPr>
        <w:t>.</w:t>
      </w:r>
      <w:r w:rsidR="00804C20" w:rsidRPr="00827A08">
        <w:rPr>
          <w:color w:val="000000" w:themeColor="text1"/>
        </w:rPr>
        <w:t xml:space="preserve"> The Supreme Court sought an explanation from the central government about the non-filling of vacancies in the NGT.</w:t>
      </w:r>
      <w:r w:rsidR="006D1530" w:rsidRPr="00827A08">
        <w:rPr>
          <w:color w:val="000000" w:themeColor="text1"/>
        </w:rPr>
        <w:t xml:space="preserve"> Shocked by the crisis, the Delhi High Court</w:t>
      </w:r>
      <w:r w:rsidR="006D1530" w:rsidRPr="00827A08">
        <w:rPr>
          <w:rFonts w:eastAsia="Times New Roman"/>
          <w:color w:val="000000" w:themeColor="text1"/>
        </w:rPr>
        <w:t xml:space="preserve"> r</w:t>
      </w:r>
      <w:r w:rsidR="00D76908">
        <w:rPr>
          <w:rFonts w:eastAsia="Times New Roman"/>
          <w:color w:val="000000" w:themeColor="text1"/>
        </w:rPr>
        <w:t>ecently asked the Centre if it “planned to wind up the NGT?”</w:t>
      </w:r>
      <w:r w:rsidR="00565987" w:rsidRPr="00827A08">
        <w:rPr>
          <w:rStyle w:val="FootnoteReference"/>
          <w:rFonts w:eastAsia="Times New Roman"/>
          <w:color w:val="000000" w:themeColor="text1"/>
        </w:rPr>
        <w:footnoteReference w:id="220"/>
      </w:r>
      <w:r w:rsidR="00F40BE7" w:rsidRPr="00827A08">
        <w:rPr>
          <w:rFonts w:eastAsia="Times New Roman"/>
          <w:color w:val="000000" w:themeColor="text1"/>
        </w:rPr>
        <w:t xml:space="preserve"> </w:t>
      </w:r>
      <w:r w:rsidR="00070305" w:rsidRPr="00827A08">
        <w:rPr>
          <w:rFonts w:eastAsia="Times New Roman"/>
          <w:color w:val="000000" w:themeColor="text1"/>
          <w:spacing w:val="3"/>
          <w:shd w:val="clear" w:color="auto" w:fill="FFFFFF"/>
        </w:rPr>
        <w:t>Instead of filling the vacant positions the MoEF on December 1, 2017 issued a notification empowering the NGT Chairperson to constitute single-member benches.</w:t>
      </w:r>
      <w:r w:rsidR="00F40BE7" w:rsidRPr="00827A08">
        <w:rPr>
          <w:rStyle w:val="FootnoteReference"/>
          <w:rFonts w:eastAsia="Times New Roman"/>
          <w:color w:val="000000" w:themeColor="text1"/>
          <w:spacing w:val="3"/>
          <w:shd w:val="clear" w:color="auto" w:fill="FFFFFF"/>
        </w:rPr>
        <w:footnoteReference w:id="221"/>
      </w:r>
      <w:r w:rsidR="0036151C" w:rsidRPr="00827A08">
        <w:rPr>
          <w:rFonts w:eastAsia="Times New Roman"/>
          <w:color w:val="000000" w:themeColor="text1"/>
          <w:spacing w:val="3"/>
          <w:shd w:val="clear" w:color="auto" w:fill="FFFFFF"/>
        </w:rPr>
        <w:t xml:space="preserve"> </w:t>
      </w:r>
      <w:r w:rsidR="00070305" w:rsidRPr="00827A08">
        <w:rPr>
          <w:rFonts w:eastAsia="Times New Roman"/>
          <w:color w:val="000000" w:themeColor="text1"/>
        </w:rPr>
        <w:t xml:space="preserve">The Supreme Court, as a driving force, on January 31, 2018, held </w:t>
      </w:r>
      <w:r w:rsidR="00070305" w:rsidRPr="00827A08">
        <w:rPr>
          <w:color w:val="000000" w:themeColor="text1"/>
        </w:rPr>
        <w:t xml:space="preserve">the Ministry’s notification approving the constitution of NGT single-judge benches </w:t>
      </w:r>
      <w:r w:rsidR="006504AD" w:rsidRPr="00827A08">
        <w:rPr>
          <w:color w:val="000000" w:themeColor="text1"/>
        </w:rPr>
        <w:t>to be</w:t>
      </w:r>
      <w:r w:rsidR="00070305" w:rsidRPr="00827A08">
        <w:rPr>
          <w:color w:val="000000" w:themeColor="text1"/>
        </w:rPr>
        <w:t xml:space="preserve"> ultra vires the NGT Act 2010.</w:t>
      </w:r>
      <w:r w:rsidR="007369E8" w:rsidRPr="00827A08">
        <w:rPr>
          <w:rStyle w:val="FootnoteReference"/>
          <w:color w:val="000000" w:themeColor="text1"/>
        </w:rPr>
        <w:footnoteReference w:id="222"/>
      </w:r>
    </w:p>
    <w:p w14:paraId="49BD4A91" w14:textId="77777777" w:rsidR="00F40BE7" w:rsidRPr="00827A08" w:rsidRDefault="00F40BE7" w:rsidP="00297F8F">
      <w:pPr>
        <w:spacing w:line="360" w:lineRule="auto"/>
        <w:rPr>
          <w:rFonts w:eastAsia="Times New Roman"/>
          <w:color w:val="000000" w:themeColor="text1"/>
        </w:rPr>
      </w:pPr>
    </w:p>
    <w:p w14:paraId="7EE60EE1" w14:textId="3B8B83FD" w:rsidR="00783C92" w:rsidRPr="00827A08" w:rsidRDefault="00D775C4" w:rsidP="00297F8F">
      <w:pPr>
        <w:widowControl w:val="0"/>
        <w:autoSpaceDE w:val="0"/>
        <w:autoSpaceDN w:val="0"/>
        <w:adjustRightInd w:val="0"/>
        <w:spacing w:after="240" w:line="360" w:lineRule="auto"/>
        <w:rPr>
          <w:color w:val="000000" w:themeColor="text1"/>
        </w:rPr>
      </w:pPr>
      <w:r w:rsidRPr="00827A08">
        <w:rPr>
          <w:color w:val="000000" w:themeColor="text1"/>
        </w:rPr>
        <w:t xml:space="preserve">Nevertheless, there is evidence of </w:t>
      </w:r>
      <w:r w:rsidR="003B2E74" w:rsidRPr="00827A08">
        <w:rPr>
          <w:color w:val="000000" w:themeColor="text1"/>
        </w:rPr>
        <w:t xml:space="preserve">strong </w:t>
      </w:r>
      <w:r w:rsidR="00DA5D21">
        <w:rPr>
          <w:color w:val="000000" w:themeColor="text1"/>
        </w:rPr>
        <w:t>“restraining forces”</w:t>
      </w:r>
      <w:r w:rsidR="003B2E74" w:rsidRPr="00827A08">
        <w:rPr>
          <w:color w:val="000000" w:themeColor="text1"/>
        </w:rPr>
        <w:t xml:space="preserve"> </w:t>
      </w:r>
      <w:r w:rsidR="00C119D2" w:rsidRPr="00827A08">
        <w:rPr>
          <w:color w:val="000000" w:themeColor="text1"/>
        </w:rPr>
        <w:t>seeking</w:t>
      </w:r>
      <w:r w:rsidR="003B2E74" w:rsidRPr="00827A08">
        <w:rPr>
          <w:color w:val="000000" w:themeColor="text1"/>
        </w:rPr>
        <w:t xml:space="preserve"> to destabilise the NGT</w:t>
      </w:r>
      <w:r w:rsidR="00C119D2" w:rsidRPr="00827A08">
        <w:rPr>
          <w:color w:val="000000" w:themeColor="text1"/>
        </w:rPr>
        <w:t>,</w:t>
      </w:r>
      <w:r w:rsidR="00070305" w:rsidRPr="00827A08">
        <w:rPr>
          <w:color w:val="000000" w:themeColor="text1"/>
        </w:rPr>
        <w:t xml:space="preserve"> as </w:t>
      </w:r>
      <w:r w:rsidR="00C119D2" w:rsidRPr="00827A08">
        <w:rPr>
          <w:color w:val="000000" w:themeColor="text1"/>
        </w:rPr>
        <w:t>illustrated</w:t>
      </w:r>
      <w:r w:rsidR="00070305" w:rsidRPr="00827A08">
        <w:rPr>
          <w:color w:val="000000" w:themeColor="text1"/>
        </w:rPr>
        <w:t xml:space="preserve"> in Figure 8.</w:t>
      </w:r>
    </w:p>
    <w:p w14:paraId="542B4C40" w14:textId="04777737" w:rsidR="00783C92" w:rsidRPr="000F1AA9" w:rsidRDefault="00C4737D" w:rsidP="00297F8F">
      <w:pPr>
        <w:spacing w:line="360" w:lineRule="auto"/>
        <w:jc w:val="center"/>
        <w:rPr>
          <w:rFonts w:eastAsia="Times New Roman"/>
          <w:b/>
          <w:color w:val="000000" w:themeColor="text1"/>
        </w:rPr>
      </w:pPr>
      <w:r>
        <w:rPr>
          <w:noProof/>
        </w:rPr>
        <w:drawing>
          <wp:inline distT="0" distB="0" distL="0" distR="0" wp14:anchorId="76252D47" wp14:editId="01E0582C">
            <wp:extent cx="5727700" cy="3155315"/>
            <wp:effectExtent l="0" t="0" r="1270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3155315"/>
                    </a:xfrm>
                    <a:prstGeom prst="rect">
                      <a:avLst/>
                    </a:prstGeom>
                  </pic:spPr>
                </pic:pic>
              </a:graphicData>
            </a:graphic>
          </wp:inline>
        </w:drawing>
      </w:r>
    </w:p>
    <w:p w14:paraId="3A5DCE0E" w14:textId="2326092B" w:rsidR="008107EB" w:rsidRPr="00827A08" w:rsidRDefault="008107EB" w:rsidP="00297F8F">
      <w:pPr>
        <w:spacing w:line="360" w:lineRule="auto"/>
        <w:rPr>
          <w:color w:val="000000" w:themeColor="text1"/>
        </w:rPr>
      </w:pPr>
      <w:r w:rsidRPr="00827A08">
        <w:rPr>
          <w:b/>
          <w:color w:val="000000" w:themeColor="text1"/>
        </w:rPr>
        <w:t>Figure 8</w:t>
      </w:r>
    </w:p>
    <w:p w14:paraId="3BB6BA64" w14:textId="77777777" w:rsidR="008107EB" w:rsidRPr="00827A08" w:rsidRDefault="008107EB" w:rsidP="00297F8F">
      <w:pPr>
        <w:spacing w:line="360" w:lineRule="auto"/>
        <w:rPr>
          <w:color w:val="000000" w:themeColor="text1"/>
        </w:rPr>
      </w:pPr>
      <w:r w:rsidRPr="00827A08">
        <w:rPr>
          <w:b/>
          <w:color w:val="000000" w:themeColor="text1"/>
        </w:rPr>
        <w:t>Source</w:t>
      </w:r>
      <w:r w:rsidRPr="00827A08">
        <w:rPr>
          <w:color w:val="000000" w:themeColor="text1"/>
        </w:rPr>
        <w:t>: Author</w:t>
      </w:r>
    </w:p>
    <w:p w14:paraId="05A99C7E" w14:textId="77777777" w:rsidR="008107EB" w:rsidRPr="00827A08" w:rsidRDefault="008107EB" w:rsidP="00297F8F">
      <w:pPr>
        <w:widowControl w:val="0"/>
        <w:autoSpaceDE w:val="0"/>
        <w:autoSpaceDN w:val="0"/>
        <w:adjustRightInd w:val="0"/>
        <w:spacing w:after="240" w:line="360" w:lineRule="auto"/>
        <w:outlineLvl w:val="0"/>
        <w:rPr>
          <w:b/>
          <w:color w:val="000000" w:themeColor="text1"/>
        </w:rPr>
      </w:pPr>
    </w:p>
    <w:p w14:paraId="4FF4579A" w14:textId="51FF98DF" w:rsidR="00D775C4" w:rsidRPr="00D77E98" w:rsidRDefault="006504AD" w:rsidP="00D77E98">
      <w:pPr>
        <w:widowControl w:val="0"/>
        <w:autoSpaceDE w:val="0"/>
        <w:autoSpaceDN w:val="0"/>
        <w:adjustRightInd w:val="0"/>
        <w:spacing w:after="240" w:line="360" w:lineRule="auto"/>
        <w:rPr>
          <w:color w:val="000000" w:themeColor="text1"/>
        </w:rPr>
      </w:pPr>
      <w:r w:rsidRPr="00827A08">
        <w:rPr>
          <w:color w:val="000000" w:themeColor="text1"/>
        </w:rPr>
        <w:t>Currently, t</w:t>
      </w:r>
      <w:r w:rsidR="003B2E74" w:rsidRPr="00827A08">
        <w:rPr>
          <w:color w:val="000000" w:themeColor="text1"/>
        </w:rPr>
        <w:t>he</w:t>
      </w:r>
      <w:r w:rsidR="005D4A5E" w:rsidRPr="00827A08">
        <w:rPr>
          <w:color w:val="000000" w:themeColor="text1"/>
        </w:rPr>
        <w:t xml:space="preserve">re </w:t>
      </w:r>
      <w:r w:rsidR="00D24754" w:rsidRPr="00827A08">
        <w:rPr>
          <w:color w:val="000000" w:themeColor="text1"/>
        </w:rPr>
        <w:t>exists</w:t>
      </w:r>
      <w:r w:rsidR="00620666" w:rsidRPr="00827A08">
        <w:rPr>
          <w:color w:val="000000" w:themeColor="text1"/>
        </w:rPr>
        <w:t xml:space="preserve"> a</w:t>
      </w:r>
      <w:r w:rsidR="005D4A5E" w:rsidRPr="00827A08">
        <w:rPr>
          <w:color w:val="000000" w:themeColor="text1"/>
        </w:rPr>
        <w:t xml:space="preserve"> </w:t>
      </w:r>
      <w:r w:rsidR="00D775C4" w:rsidRPr="00827A08">
        <w:rPr>
          <w:color w:val="000000" w:themeColor="text1"/>
        </w:rPr>
        <w:t>turf war between various interests and institutions</w:t>
      </w:r>
      <w:r w:rsidR="00AF50EF" w:rsidRPr="00827A08">
        <w:rPr>
          <w:color w:val="000000" w:themeColor="text1"/>
        </w:rPr>
        <w:t xml:space="preserve"> (NGT, MoEF, associated regulatory authorities)</w:t>
      </w:r>
      <w:r w:rsidR="00D775C4" w:rsidRPr="00827A08">
        <w:rPr>
          <w:color w:val="000000" w:themeColor="text1"/>
        </w:rPr>
        <w:t xml:space="preserve"> involved in environmental regulation and environmental jurisprudence. </w:t>
      </w:r>
      <w:r w:rsidR="003B2E74" w:rsidRPr="00827A08">
        <w:rPr>
          <w:color w:val="000000" w:themeColor="text1"/>
        </w:rPr>
        <w:t xml:space="preserve">The refreezing stage is </w:t>
      </w:r>
      <w:r w:rsidR="004B385F" w:rsidRPr="00827A08">
        <w:rPr>
          <w:color w:val="000000" w:themeColor="text1"/>
        </w:rPr>
        <w:t xml:space="preserve">witnessing the </w:t>
      </w:r>
      <w:r w:rsidR="00DA5D21">
        <w:rPr>
          <w:color w:val="000000" w:themeColor="text1"/>
        </w:rPr>
        <w:t>“restraining forces”</w:t>
      </w:r>
      <w:r w:rsidR="004B385F" w:rsidRPr="00827A08">
        <w:rPr>
          <w:color w:val="000000" w:themeColor="text1"/>
        </w:rPr>
        <w:t xml:space="preserve"> outweighing the </w:t>
      </w:r>
      <w:r w:rsidR="00243313">
        <w:rPr>
          <w:color w:val="000000" w:themeColor="text1"/>
        </w:rPr>
        <w:t>“driving forces”</w:t>
      </w:r>
      <w:r w:rsidR="004B385F" w:rsidRPr="00827A08">
        <w:rPr>
          <w:color w:val="000000" w:themeColor="text1"/>
        </w:rPr>
        <w:t>.</w:t>
      </w:r>
      <w:r w:rsidR="00754CDB" w:rsidRPr="00827A08">
        <w:rPr>
          <w:color w:val="000000" w:themeColor="text1"/>
        </w:rPr>
        <w:t xml:space="preserve"> As presented by Lewin and Schein the equilibrium is lost and the NGT’s power and effectiveness is being challenged by the oppositional, negative force field. </w:t>
      </w:r>
      <w:r w:rsidR="0026370C">
        <w:rPr>
          <w:color w:val="000000" w:themeColor="text1"/>
        </w:rPr>
        <w:t>Consequently, unfreezing</w:t>
      </w:r>
      <w:r w:rsidR="00146FED" w:rsidRPr="00827A08">
        <w:rPr>
          <w:color w:val="000000" w:themeColor="text1"/>
        </w:rPr>
        <w:t xml:space="preserve"> of the </w:t>
      </w:r>
      <w:r w:rsidR="00146FED" w:rsidRPr="00D77E98">
        <w:rPr>
          <w:color w:val="000000" w:themeColor="text1"/>
        </w:rPr>
        <w:t>NGT has commenced.</w:t>
      </w:r>
    </w:p>
    <w:p w14:paraId="744865F7" w14:textId="77777777" w:rsidR="00283D93" w:rsidRDefault="00283D93" w:rsidP="00D77E98">
      <w:pPr>
        <w:pStyle w:val="Heading1"/>
        <w:spacing w:line="360" w:lineRule="auto"/>
        <w:rPr>
          <w:b w:val="0"/>
        </w:rPr>
      </w:pPr>
    </w:p>
    <w:p w14:paraId="187CB28A" w14:textId="77777777" w:rsidR="00283D93" w:rsidRDefault="00283D93" w:rsidP="00D77E98">
      <w:pPr>
        <w:pStyle w:val="Heading1"/>
        <w:spacing w:line="360" w:lineRule="auto"/>
        <w:rPr>
          <w:b w:val="0"/>
        </w:rPr>
      </w:pPr>
    </w:p>
    <w:p w14:paraId="02DA0AB7" w14:textId="77777777" w:rsidR="00283D93" w:rsidRDefault="00283D93" w:rsidP="00D77E98">
      <w:pPr>
        <w:pStyle w:val="Heading1"/>
        <w:spacing w:line="360" w:lineRule="auto"/>
        <w:rPr>
          <w:b w:val="0"/>
        </w:rPr>
      </w:pPr>
    </w:p>
    <w:p w14:paraId="52324606" w14:textId="43B26683" w:rsidR="00AA77AC" w:rsidRPr="00D77E98" w:rsidRDefault="000D7001" w:rsidP="00D77E98">
      <w:pPr>
        <w:pStyle w:val="Heading1"/>
        <w:spacing w:line="360" w:lineRule="auto"/>
        <w:rPr>
          <w:b w:val="0"/>
        </w:rPr>
      </w:pPr>
      <w:r w:rsidRPr="00D77E98">
        <w:rPr>
          <w:b w:val="0"/>
        </w:rPr>
        <w:t>D</w:t>
      </w:r>
      <w:r w:rsidR="009429FE" w:rsidRPr="00D77E98">
        <w:rPr>
          <w:b w:val="0"/>
        </w:rPr>
        <w:t xml:space="preserve">. </w:t>
      </w:r>
      <w:r w:rsidR="006073B4" w:rsidRPr="00D77E98">
        <w:rPr>
          <w:b w:val="0"/>
        </w:rPr>
        <w:t>Conclusion</w:t>
      </w:r>
    </w:p>
    <w:p w14:paraId="661B1067" w14:textId="0DEDBDC7" w:rsidR="00D24754" w:rsidRPr="00827A08" w:rsidRDefault="00AA77AC" w:rsidP="00D77E98">
      <w:pPr>
        <w:widowControl w:val="0"/>
        <w:autoSpaceDE w:val="0"/>
        <w:autoSpaceDN w:val="0"/>
        <w:adjustRightInd w:val="0"/>
        <w:spacing w:after="240" w:line="360" w:lineRule="auto"/>
        <w:rPr>
          <w:color w:val="000000" w:themeColor="text1"/>
        </w:rPr>
      </w:pPr>
      <w:r w:rsidRPr="00D77E98">
        <w:rPr>
          <w:color w:val="000000" w:themeColor="text1"/>
        </w:rPr>
        <w:t>Lewin believed that there is nothing so practical as a good theory.</w:t>
      </w:r>
      <w:r w:rsidR="00F02C14" w:rsidRPr="00D77E98">
        <w:rPr>
          <w:rStyle w:val="FootnoteReference"/>
          <w:color w:val="000000" w:themeColor="text1"/>
        </w:rPr>
        <w:footnoteReference w:id="223"/>
      </w:r>
      <w:r w:rsidRPr="00D77E98">
        <w:rPr>
          <w:color w:val="000000" w:themeColor="text1"/>
        </w:rPr>
        <w:t xml:space="preserve"> This </w:t>
      </w:r>
      <w:r w:rsidR="00B33004" w:rsidRPr="00D77E98">
        <w:rPr>
          <w:color w:val="000000" w:themeColor="text1"/>
        </w:rPr>
        <w:t>article</w:t>
      </w:r>
      <w:r w:rsidRPr="00D77E98">
        <w:rPr>
          <w:color w:val="000000" w:themeColor="text1"/>
        </w:rPr>
        <w:t xml:space="preserve"> has laid out Lewin’s organisational change theory as supported</w:t>
      </w:r>
      <w:r w:rsidRPr="00827A08">
        <w:rPr>
          <w:color w:val="000000" w:themeColor="text1"/>
        </w:rPr>
        <w:t xml:space="preserve"> and enhanced by S</w:t>
      </w:r>
      <w:r w:rsidR="00CE68E1" w:rsidRPr="00827A08">
        <w:rPr>
          <w:color w:val="000000" w:themeColor="text1"/>
        </w:rPr>
        <w:t>c</w:t>
      </w:r>
      <w:r w:rsidRPr="00827A08">
        <w:rPr>
          <w:color w:val="000000" w:themeColor="text1"/>
        </w:rPr>
        <w:t>he</w:t>
      </w:r>
      <w:r w:rsidR="00CE68E1" w:rsidRPr="00827A08">
        <w:rPr>
          <w:color w:val="000000" w:themeColor="text1"/>
        </w:rPr>
        <w:t>i</w:t>
      </w:r>
      <w:r w:rsidRPr="00827A08">
        <w:rPr>
          <w:color w:val="000000" w:themeColor="text1"/>
        </w:rPr>
        <w:t>n. Thereafter, it is applied chronologica</w:t>
      </w:r>
      <w:r w:rsidR="00EC51CC" w:rsidRPr="00827A08">
        <w:rPr>
          <w:color w:val="000000" w:themeColor="text1"/>
        </w:rPr>
        <w:t>lly</w:t>
      </w:r>
      <w:r w:rsidR="00BB4795" w:rsidRPr="00827A08">
        <w:rPr>
          <w:color w:val="000000" w:themeColor="text1"/>
        </w:rPr>
        <w:t xml:space="preserve"> to the establishment and growth</w:t>
      </w:r>
      <w:r w:rsidRPr="00827A08">
        <w:rPr>
          <w:color w:val="000000" w:themeColor="text1"/>
        </w:rPr>
        <w:t xml:space="preserve"> of the NGT. By identifying the reasons and actions of the principal actors</w:t>
      </w:r>
      <w:r w:rsidR="00336053" w:rsidRPr="00827A08">
        <w:rPr>
          <w:color w:val="000000" w:themeColor="text1"/>
        </w:rPr>
        <w:t xml:space="preserve"> and interests</w:t>
      </w:r>
      <w:r w:rsidRPr="00827A08">
        <w:rPr>
          <w:color w:val="000000" w:themeColor="text1"/>
        </w:rPr>
        <w:t xml:space="preserve"> in</w:t>
      </w:r>
      <w:r w:rsidR="00336053" w:rsidRPr="00827A08">
        <w:rPr>
          <w:color w:val="000000" w:themeColor="text1"/>
        </w:rPr>
        <w:t>volved in</w:t>
      </w:r>
      <w:r w:rsidRPr="00827A08">
        <w:rPr>
          <w:color w:val="000000" w:themeColor="text1"/>
        </w:rPr>
        <w:t xml:space="preserve"> the</w:t>
      </w:r>
      <w:r w:rsidR="00336053" w:rsidRPr="00827A08">
        <w:rPr>
          <w:color w:val="000000" w:themeColor="text1"/>
        </w:rPr>
        <w:t xml:space="preserve"> dynamic</w:t>
      </w:r>
      <w:r w:rsidRPr="00827A08">
        <w:rPr>
          <w:color w:val="000000" w:themeColor="text1"/>
        </w:rPr>
        <w:t xml:space="preserve"> rise and </w:t>
      </w:r>
      <w:r w:rsidR="00336053" w:rsidRPr="00827A08">
        <w:rPr>
          <w:color w:val="000000" w:themeColor="text1"/>
        </w:rPr>
        <w:t xml:space="preserve">decline </w:t>
      </w:r>
      <w:r w:rsidRPr="00827A08">
        <w:rPr>
          <w:color w:val="000000" w:themeColor="text1"/>
        </w:rPr>
        <w:t xml:space="preserve">of the </w:t>
      </w:r>
      <w:r w:rsidR="00021CDC" w:rsidRPr="00827A08">
        <w:rPr>
          <w:color w:val="000000" w:themeColor="text1"/>
        </w:rPr>
        <w:t>Tribunal</w:t>
      </w:r>
      <w:r w:rsidRPr="00827A08">
        <w:rPr>
          <w:color w:val="000000" w:themeColor="text1"/>
        </w:rPr>
        <w:t xml:space="preserve"> </w:t>
      </w:r>
      <w:r w:rsidR="00336053" w:rsidRPr="00827A08">
        <w:rPr>
          <w:color w:val="000000" w:themeColor="text1"/>
        </w:rPr>
        <w:t>there emerges a holistic explanation that provides a further example of the insightfulness of Lewin’s work.</w:t>
      </w:r>
      <w:r w:rsidR="006504AD" w:rsidRPr="00827A08">
        <w:rPr>
          <w:color w:val="000000" w:themeColor="text1"/>
        </w:rPr>
        <w:t xml:space="preserve"> Simply offering a</w:t>
      </w:r>
      <w:r w:rsidR="00336053" w:rsidRPr="00827A08">
        <w:rPr>
          <w:color w:val="000000" w:themeColor="text1"/>
        </w:rPr>
        <w:t xml:space="preserve"> record of events without investigating</w:t>
      </w:r>
      <w:r w:rsidR="000740FA" w:rsidRPr="00827A08">
        <w:rPr>
          <w:color w:val="000000" w:themeColor="text1"/>
        </w:rPr>
        <w:t xml:space="preserve"> and analysing</w:t>
      </w:r>
      <w:r w:rsidR="00336053" w:rsidRPr="00827A08">
        <w:rPr>
          <w:color w:val="000000" w:themeColor="text1"/>
        </w:rPr>
        <w:t xml:space="preserve"> the story behind the happening is</w:t>
      </w:r>
      <w:r w:rsidR="006504AD" w:rsidRPr="00827A08">
        <w:rPr>
          <w:color w:val="000000" w:themeColor="text1"/>
        </w:rPr>
        <w:t xml:space="preserve"> misleading and </w:t>
      </w:r>
      <w:r w:rsidR="00656799" w:rsidRPr="00827A08">
        <w:rPr>
          <w:color w:val="000000" w:themeColor="text1"/>
        </w:rPr>
        <w:t xml:space="preserve">would </w:t>
      </w:r>
      <w:r w:rsidR="006504AD" w:rsidRPr="00827A08">
        <w:rPr>
          <w:color w:val="000000" w:themeColor="text1"/>
        </w:rPr>
        <w:t>reflect</w:t>
      </w:r>
      <w:r w:rsidR="00336053" w:rsidRPr="00827A08">
        <w:rPr>
          <w:color w:val="000000" w:themeColor="text1"/>
        </w:rPr>
        <w:t xml:space="preserve"> a doctrinal approach </w:t>
      </w:r>
      <w:r w:rsidR="0042343F" w:rsidRPr="00827A08">
        <w:rPr>
          <w:color w:val="000000" w:themeColor="text1"/>
        </w:rPr>
        <w:t>inappropriate</w:t>
      </w:r>
      <w:r w:rsidR="00336053" w:rsidRPr="00827A08">
        <w:rPr>
          <w:color w:val="000000" w:themeColor="text1"/>
        </w:rPr>
        <w:t xml:space="preserve"> for the pages of this journal. </w:t>
      </w:r>
    </w:p>
    <w:p w14:paraId="1A6B79F3" w14:textId="0F523A17" w:rsidR="00EE4C55" w:rsidRPr="00827A08" w:rsidRDefault="00BB4795" w:rsidP="00297F8F">
      <w:pPr>
        <w:widowControl w:val="0"/>
        <w:autoSpaceDE w:val="0"/>
        <w:autoSpaceDN w:val="0"/>
        <w:adjustRightInd w:val="0"/>
        <w:spacing w:after="240" w:line="360" w:lineRule="auto"/>
        <w:rPr>
          <w:color w:val="000000" w:themeColor="text1"/>
        </w:rPr>
      </w:pPr>
      <w:r w:rsidRPr="00827A08">
        <w:rPr>
          <w:color w:val="000000" w:themeColor="text1"/>
        </w:rPr>
        <w:t>Speaking truth to power can be perilous as the NGT judges, chairman</w:t>
      </w:r>
      <w:r w:rsidR="00D24754" w:rsidRPr="00827A08">
        <w:rPr>
          <w:color w:val="000000" w:themeColor="text1"/>
        </w:rPr>
        <w:t>, lawyers</w:t>
      </w:r>
      <w:r w:rsidRPr="00827A08">
        <w:rPr>
          <w:color w:val="000000" w:themeColor="text1"/>
        </w:rPr>
        <w:t xml:space="preserve"> and</w:t>
      </w:r>
      <w:r w:rsidR="00D24754" w:rsidRPr="00827A08">
        <w:rPr>
          <w:color w:val="000000" w:themeColor="text1"/>
        </w:rPr>
        <w:t xml:space="preserve"> litigants </w:t>
      </w:r>
      <w:r w:rsidRPr="00827A08">
        <w:rPr>
          <w:color w:val="000000" w:themeColor="text1"/>
        </w:rPr>
        <w:t xml:space="preserve">have discovered. The creation of a </w:t>
      </w:r>
      <w:r w:rsidR="00021CDC" w:rsidRPr="00827A08">
        <w:rPr>
          <w:color w:val="000000" w:themeColor="text1"/>
        </w:rPr>
        <w:t>Tribunal</w:t>
      </w:r>
      <w:r w:rsidRPr="00827A08">
        <w:rPr>
          <w:color w:val="000000" w:themeColor="text1"/>
        </w:rPr>
        <w:t xml:space="preserve"> that seeks</w:t>
      </w:r>
      <w:r w:rsidR="002266B5" w:rsidRPr="00827A08">
        <w:rPr>
          <w:color w:val="000000" w:themeColor="text1"/>
        </w:rPr>
        <w:t xml:space="preserve"> to change the face of environmental jurisprudence by providing access to justice for all has created a powerful group of ‘</w:t>
      </w:r>
      <w:r w:rsidR="00DA5D21">
        <w:rPr>
          <w:color w:val="000000" w:themeColor="text1"/>
        </w:rPr>
        <w:t>“restraining forces”</w:t>
      </w:r>
      <w:r w:rsidR="002266B5" w:rsidRPr="00827A08">
        <w:rPr>
          <w:color w:val="000000" w:themeColor="text1"/>
        </w:rPr>
        <w:t>’.</w:t>
      </w:r>
      <w:bookmarkStart w:id="2" w:name="_Hlk511144132"/>
      <w:r w:rsidR="00472D31" w:rsidRPr="00827A08">
        <w:rPr>
          <w:color w:val="000000" w:themeColor="text1"/>
        </w:rPr>
        <w:t xml:space="preserve"> </w:t>
      </w:r>
      <w:r w:rsidR="002266B5" w:rsidRPr="00827A08">
        <w:rPr>
          <w:color w:val="000000" w:themeColor="text1"/>
        </w:rPr>
        <w:t>T</w:t>
      </w:r>
      <w:r w:rsidR="00472D31" w:rsidRPr="00827A08">
        <w:rPr>
          <w:color w:val="000000" w:themeColor="text1"/>
        </w:rPr>
        <w:t xml:space="preserve">he MoEF, state governments </w:t>
      </w:r>
      <w:r w:rsidR="002266B5" w:rsidRPr="00827A08">
        <w:rPr>
          <w:color w:val="000000" w:themeColor="text1"/>
        </w:rPr>
        <w:t>and</w:t>
      </w:r>
      <w:r w:rsidR="00472D31" w:rsidRPr="00827A08">
        <w:rPr>
          <w:color w:val="000000" w:themeColor="text1"/>
        </w:rPr>
        <w:t xml:space="preserve"> various environmental statutory bodies </w:t>
      </w:r>
      <w:r w:rsidR="005A2AB7" w:rsidRPr="00827A08">
        <w:rPr>
          <w:color w:val="000000" w:themeColor="text1"/>
        </w:rPr>
        <w:t xml:space="preserve">and their officers </w:t>
      </w:r>
      <w:r w:rsidR="002266B5" w:rsidRPr="00827A08">
        <w:rPr>
          <w:color w:val="000000" w:themeColor="text1"/>
        </w:rPr>
        <w:t>are</w:t>
      </w:r>
      <w:r w:rsidR="00472D31" w:rsidRPr="00827A08">
        <w:rPr>
          <w:color w:val="000000" w:themeColor="text1"/>
        </w:rPr>
        <w:t xml:space="preserve"> </w:t>
      </w:r>
      <w:r w:rsidR="002266B5" w:rsidRPr="00827A08">
        <w:rPr>
          <w:color w:val="000000" w:themeColor="text1"/>
        </w:rPr>
        <w:t>un</w:t>
      </w:r>
      <w:r w:rsidR="00472D31" w:rsidRPr="00827A08">
        <w:rPr>
          <w:color w:val="000000" w:themeColor="text1"/>
        </w:rPr>
        <w:t>accustomed to being questioned in a probing, informed and systematic manner or hav</w:t>
      </w:r>
      <w:r w:rsidR="002266B5" w:rsidRPr="00827A08">
        <w:rPr>
          <w:color w:val="000000" w:themeColor="text1"/>
        </w:rPr>
        <w:t>e</w:t>
      </w:r>
      <w:r w:rsidR="00472D31" w:rsidRPr="00827A08">
        <w:rPr>
          <w:color w:val="000000" w:themeColor="text1"/>
        </w:rPr>
        <w:t xml:space="preserve"> their decisions</w:t>
      </w:r>
      <w:r w:rsidR="002266B5" w:rsidRPr="00827A08">
        <w:rPr>
          <w:color w:val="000000" w:themeColor="text1"/>
        </w:rPr>
        <w:t xml:space="preserve"> scathingly </w:t>
      </w:r>
      <w:r w:rsidR="001A5C72" w:rsidRPr="00827A08">
        <w:rPr>
          <w:color w:val="000000" w:themeColor="text1"/>
        </w:rPr>
        <w:t>challenged</w:t>
      </w:r>
      <w:r w:rsidR="00CE68E1" w:rsidRPr="00827A08">
        <w:rPr>
          <w:color w:val="000000" w:themeColor="text1"/>
        </w:rPr>
        <w:t xml:space="preserve"> or overturned</w:t>
      </w:r>
      <w:r w:rsidR="00656799" w:rsidRPr="00827A08">
        <w:rPr>
          <w:color w:val="000000" w:themeColor="text1"/>
        </w:rPr>
        <w:t xml:space="preserve"> in a public forum.</w:t>
      </w:r>
      <w:r w:rsidR="00472D31" w:rsidRPr="00827A08">
        <w:rPr>
          <w:color w:val="000000" w:themeColor="text1"/>
          <w:position w:val="10"/>
        </w:rPr>
        <w:t xml:space="preserve"> </w:t>
      </w:r>
      <w:r w:rsidR="00472D31" w:rsidRPr="00827A08">
        <w:rPr>
          <w:color w:val="000000" w:themeColor="text1"/>
        </w:rPr>
        <w:t>Previously, these authorities enjoyed both an official and unofficial decision-making licence power directly associated with various expert committees, boards and officials, as well as the Minister. The result was</w:t>
      </w:r>
      <w:r w:rsidR="000740FA" w:rsidRPr="00827A08">
        <w:rPr>
          <w:color w:val="000000" w:themeColor="text1"/>
        </w:rPr>
        <w:t xml:space="preserve"> often</w:t>
      </w:r>
      <w:r w:rsidR="00472D31" w:rsidRPr="00827A08">
        <w:rPr>
          <w:color w:val="000000" w:themeColor="text1"/>
        </w:rPr>
        <w:t xml:space="preserve"> arbitrary approval of projects without undertaking the proper environmental and social impact assessments and disturbingly often in violation of pertinent laws and rules. </w:t>
      </w:r>
      <w:r w:rsidR="000740FA" w:rsidRPr="00827A08">
        <w:rPr>
          <w:color w:val="000000" w:themeColor="text1"/>
        </w:rPr>
        <w:t>Additionally, s</w:t>
      </w:r>
      <w:r w:rsidR="002266B5" w:rsidRPr="00827A08">
        <w:rPr>
          <w:color w:val="000000" w:themeColor="text1"/>
        </w:rPr>
        <w:t xml:space="preserve">ome High Courts along with MoEF went so far as to challenge the authority of the </w:t>
      </w:r>
      <w:r w:rsidR="00021CDC" w:rsidRPr="00827A08">
        <w:rPr>
          <w:color w:val="000000" w:themeColor="text1"/>
        </w:rPr>
        <w:t>Tribunal</w:t>
      </w:r>
      <w:r w:rsidR="002266B5" w:rsidRPr="00827A08">
        <w:rPr>
          <w:color w:val="000000" w:themeColor="text1"/>
        </w:rPr>
        <w:t xml:space="preserve"> to exercise </w:t>
      </w:r>
      <w:r w:rsidR="002266B5" w:rsidRPr="00827A08">
        <w:rPr>
          <w:i/>
          <w:color w:val="000000" w:themeColor="text1"/>
        </w:rPr>
        <w:t>suo moto</w:t>
      </w:r>
      <w:r w:rsidR="002266B5" w:rsidRPr="00827A08">
        <w:rPr>
          <w:color w:val="000000" w:themeColor="text1"/>
        </w:rPr>
        <w:t xml:space="preserve"> and judicial review powers. </w:t>
      </w:r>
      <w:r w:rsidR="00D24754" w:rsidRPr="00827A08">
        <w:rPr>
          <w:color w:val="000000" w:themeColor="text1"/>
        </w:rPr>
        <w:t xml:space="preserve">The </w:t>
      </w:r>
      <w:r w:rsidR="00021CDC" w:rsidRPr="00827A08">
        <w:rPr>
          <w:color w:val="000000" w:themeColor="text1"/>
        </w:rPr>
        <w:t>Tribunal</w:t>
      </w:r>
      <w:r w:rsidR="00D24754" w:rsidRPr="00827A08">
        <w:rPr>
          <w:color w:val="000000" w:themeColor="text1"/>
        </w:rPr>
        <w:t>’s constant position of decisions based on the principle of sustainable development and the enforcement of the rules upholding the protection of the environment has proved to be embarrassing to those committed to a fast track economic development strategy.</w:t>
      </w:r>
      <w:r w:rsidR="002610B6" w:rsidRPr="00827A08">
        <w:rPr>
          <w:color w:val="000000" w:themeColor="text1"/>
        </w:rPr>
        <w:t xml:space="preserve"> </w:t>
      </w:r>
    </w:p>
    <w:p w14:paraId="1823E1B6" w14:textId="0E395085" w:rsidR="005E00F5" w:rsidRPr="00827A08" w:rsidRDefault="005E00F5" w:rsidP="00297F8F">
      <w:pPr>
        <w:widowControl w:val="0"/>
        <w:autoSpaceDE w:val="0"/>
        <w:autoSpaceDN w:val="0"/>
        <w:adjustRightInd w:val="0"/>
        <w:spacing w:after="240" w:line="360" w:lineRule="auto"/>
        <w:rPr>
          <w:color w:val="000000" w:themeColor="text1"/>
        </w:rPr>
      </w:pPr>
      <w:r w:rsidRPr="00827A08">
        <w:rPr>
          <w:color w:val="000000" w:themeColor="text1"/>
        </w:rPr>
        <w:t>History can be repeti</w:t>
      </w:r>
      <w:r w:rsidR="0026370C">
        <w:rPr>
          <w:color w:val="000000" w:themeColor="text1"/>
        </w:rPr>
        <w:t xml:space="preserve">tious. The demise of the NEAA </w:t>
      </w:r>
      <w:r w:rsidRPr="00827A08">
        <w:rPr>
          <w:color w:val="000000" w:themeColor="text1"/>
        </w:rPr>
        <w:t>offers a salutary case lesson</w:t>
      </w:r>
      <w:r w:rsidR="006D3B84" w:rsidRPr="00827A08">
        <w:rPr>
          <w:color w:val="000000" w:themeColor="text1"/>
        </w:rPr>
        <w:t>.</w:t>
      </w:r>
      <w:r w:rsidR="00FA674B" w:rsidRPr="00827A08">
        <w:rPr>
          <w:rStyle w:val="FootnoteReference"/>
          <w:color w:val="000000" w:themeColor="text1"/>
        </w:rPr>
        <w:footnoteReference w:id="224"/>
      </w:r>
      <w:r w:rsidR="00C75F5D" w:rsidRPr="00827A08">
        <w:rPr>
          <w:color w:val="000000" w:themeColor="text1"/>
        </w:rPr>
        <w:t xml:space="preserve"> </w:t>
      </w:r>
      <w:r w:rsidR="00FC7CBF" w:rsidRPr="00827A08">
        <w:rPr>
          <w:color w:val="000000" w:themeColor="text1"/>
        </w:rPr>
        <w:t>C</w:t>
      </w:r>
      <w:r w:rsidRPr="00827A08">
        <w:rPr>
          <w:color w:val="000000" w:themeColor="text1"/>
        </w:rPr>
        <w:t>onstitute</w:t>
      </w:r>
      <w:r w:rsidR="00FC7CBF" w:rsidRPr="00827A08">
        <w:rPr>
          <w:color w:val="000000" w:themeColor="text1"/>
        </w:rPr>
        <w:t>d</w:t>
      </w:r>
      <w:r w:rsidRPr="00827A08">
        <w:rPr>
          <w:color w:val="000000" w:themeColor="text1"/>
        </w:rPr>
        <w:t xml:space="preserve"> by statute in 1997 </w:t>
      </w:r>
      <w:r w:rsidR="00FC7CBF" w:rsidRPr="00827A08">
        <w:rPr>
          <w:color w:val="000000" w:themeColor="text1"/>
        </w:rPr>
        <w:t xml:space="preserve">albeit </w:t>
      </w:r>
      <w:r w:rsidRPr="00827A08">
        <w:rPr>
          <w:color w:val="000000" w:themeColor="text1"/>
        </w:rPr>
        <w:t xml:space="preserve">with limited powers the government failed to fill the vacancies of chair and deputy chairpersons </w:t>
      </w:r>
      <w:r w:rsidR="00FC7CBF" w:rsidRPr="00827A08">
        <w:rPr>
          <w:color w:val="000000" w:themeColor="text1"/>
        </w:rPr>
        <w:t>between 2000 and 2010 stating an inability to identify suitably qualified people. The Act</w:t>
      </w:r>
      <w:r w:rsidR="006D3B84" w:rsidRPr="00827A08">
        <w:rPr>
          <w:color w:val="000000" w:themeColor="text1"/>
        </w:rPr>
        <w:t xml:space="preserve"> </w:t>
      </w:r>
      <w:r w:rsidR="008252CE" w:rsidRPr="00827A08">
        <w:rPr>
          <w:color w:val="000000" w:themeColor="text1"/>
        </w:rPr>
        <w:t>was</w:t>
      </w:r>
      <w:r w:rsidR="00FC7CBF" w:rsidRPr="00827A08">
        <w:rPr>
          <w:color w:val="000000" w:themeColor="text1"/>
        </w:rPr>
        <w:t xml:space="preserve"> repealed by the National Green </w:t>
      </w:r>
      <w:r w:rsidR="00021CDC" w:rsidRPr="00827A08">
        <w:rPr>
          <w:color w:val="000000" w:themeColor="text1"/>
        </w:rPr>
        <w:t>Tribunal</w:t>
      </w:r>
      <w:r w:rsidR="00FC7CBF" w:rsidRPr="00827A08">
        <w:rPr>
          <w:color w:val="000000" w:themeColor="text1"/>
        </w:rPr>
        <w:t xml:space="preserve"> Act 2010. Given the current and alarming number of vacancies on the NGT Benches resulting in the de facto operational closure of the regional Benches could there be a similar fate planned for the NGT: death by a thousand cuts!</w:t>
      </w:r>
    </w:p>
    <w:p w14:paraId="475B0702" w14:textId="0CE61777" w:rsidR="00297F8F" w:rsidRPr="00297F8F" w:rsidRDefault="002610B6" w:rsidP="00297F8F">
      <w:pPr>
        <w:widowControl w:val="0"/>
        <w:autoSpaceDE w:val="0"/>
        <w:autoSpaceDN w:val="0"/>
        <w:adjustRightInd w:val="0"/>
        <w:spacing w:after="240" w:line="360" w:lineRule="auto"/>
        <w:rPr>
          <w:color w:val="000000" w:themeColor="text1"/>
        </w:rPr>
      </w:pPr>
      <w:r w:rsidRPr="00827A08">
        <w:rPr>
          <w:color w:val="000000" w:themeColor="text1"/>
        </w:rPr>
        <w:t xml:space="preserve">Today the NGT stands at a cross roads. Without the replacement of </w:t>
      </w:r>
      <w:r w:rsidR="00A32F68" w:rsidRPr="00827A08">
        <w:rPr>
          <w:color w:val="000000" w:themeColor="text1"/>
        </w:rPr>
        <w:t xml:space="preserve">qualified </w:t>
      </w:r>
      <w:r w:rsidRPr="00827A08">
        <w:rPr>
          <w:color w:val="000000" w:themeColor="text1"/>
        </w:rPr>
        <w:t>bench members and</w:t>
      </w:r>
      <w:r w:rsidR="000740FA" w:rsidRPr="00827A08">
        <w:rPr>
          <w:color w:val="000000" w:themeColor="text1"/>
        </w:rPr>
        <w:t xml:space="preserve"> </w:t>
      </w:r>
      <w:r w:rsidR="008252CE" w:rsidRPr="00827A08">
        <w:rPr>
          <w:color w:val="000000" w:themeColor="text1"/>
        </w:rPr>
        <w:t xml:space="preserve">the </w:t>
      </w:r>
      <w:r w:rsidR="000740FA" w:rsidRPr="00827A08">
        <w:rPr>
          <w:color w:val="000000" w:themeColor="text1"/>
        </w:rPr>
        <w:t>formal</w:t>
      </w:r>
      <w:r w:rsidRPr="00827A08">
        <w:rPr>
          <w:color w:val="000000" w:themeColor="text1"/>
        </w:rPr>
        <w:t xml:space="preserve"> renewal of support from key actors who constitute the </w:t>
      </w:r>
      <w:r w:rsidR="00DA5D21">
        <w:rPr>
          <w:color w:val="000000" w:themeColor="text1"/>
        </w:rPr>
        <w:t>“restraining forces”</w:t>
      </w:r>
      <w:r w:rsidR="0029493D" w:rsidRPr="00827A08">
        <w:rPr>
          <w:color w:val="000000" w:themeColor="text1"/>
        </w:rPr>
        <w:t xml:space="preserve"> </w:t>
      </w:r>
      <w:r w:rsidRPr="00827A08">
        <w:rPr>
          <w:color w:val="000000" w:themeColor="text1"/>
        </w:rPr>
        <w:t xml:space="preserve">the </w:t>
      </w:r>
      <w:r w:rsidR="00021CDC" w:rsidRPr="00827A08">
        <w:rPr>
          <w:color w:val="000000" w:themeColor="text1"/>
        </w:rPr>
        <w:t>Tribunal</w:t>
      </w:r>
      <w:r w:rsidRPr="00827A08">
        <w:rPr>
          <w:color w:val="000000" w:themeColor="text1"/>
        </w:rPr>
        <w:t xml:space="preserve"> </w:t>
      </w:r>
      <w:r w:rsidR="0029493D" w:rsidRPr="00827A08">
        <w:rPr>
          <w:color w:val="000000" w:themeColor="text1"/>
        </w:rPr>
        <w:t>may</w:t>
      </w:r>
      <w:r w:rsidRPr="00827A08">
        <w:rPr>
          <w:color w:val="000000" w:themeColor="text1"/>
        </w:rPr>
        <w:t xml:space="preserve"> fall into the Thucydides trap</w:t>
      </w:r>
      <w:r w:rsidR="000740FA" w:rsidRPr="00827A08">
        <w:rPr>
          <w:color w:val="000000" w:themeColor="text1"/>
        </w:rPr>
        <w:t xml:space="preserve">: </w:t>
      </w:r>
      <w:r w:rsidRPr="00827A08">
        <w:rPr>
          <w:color w:val="000000" w:themeColor="text1"/>
        </w:rPr>
        <w:t>a victim of its own success.</w:t>
      </w:r>
      <w:bookmarkEnd w:id="2"/>
    </w:p>
    <w:p w14:paraId="57926970" w14:textId="77777777" w:rsidR="00297F8F" w:rsidRDefault="00297F8F">
      <w:pPr>
        <w:rPr>
          <w:b/>
        </w:rPr>
      </w:pPr>
      <w:r>
        <w:rPr>
          <w:b/>
        </w:rPr>
        <w:br w:type="page"/>
      </w:r>
    </w:p>
    <w:p w14:paraId="386E32B3" w14:textId="58EF0228" w:rsidR="00186E40" w:rsidRPr="00827A08" w:rsidRDefault="00A75C3A" w:rsidP="00297F8F">
      <w:pPr>
        <w:spacing w:line="360" w:lineRule="auto"/>
        <w:rPr>
          <w:b/>
        </w:rPr>
      </w:pPr>
      <w:r>
        <w:rPr>
          <w:b/>
        </w:rPr>
        <w:t xml:space="preserve">                                                         </w:t>
      </w:r>
      <w:r w:rsidR="00186E40" w:rsidRPr="00827A08">
        <w:rPr>
          <w:b/>
        </w:rPr>
        <w:t>REFERENCES</w:t>
      </w:r>
    </w:p>
    <w:p w14:paraId="769BC82D" w14:textId="77777777" w:rsidR="00186E40" w:rsidRPr="00827A08" w:rsidRDefault="00186E40" w:rsidP="00297F8F">
      <w:pPr>
        <w:spacing w:line="360" w:lineRule="auto"/>
      </w:pPr>
    </w:p>
    <w:p w14:paraId="515B6DAB" w14:textId="549140FF" w:rsidR="00186E40" w:rsidRPr="00827A08" w:rsidRDefault="003A11CE" w:rsidP="00297F8F">
      <w:pPr>
        <w:spacing w:line="360" w:lineRule="auto"/>
        <w:rPr>
          <w:color w:val="000000"/>
        </w:rPr>
      </w:pPr>
      <w:r>
        <w:rPr>
          <w:color w:val="000000"/>
        </w:rPr>
        <w:t>Aggarwal Mayank (2014) “</w:t>
      </w:r>
      <w:r w:rsidR="00186E40" w:rsidRPr="00827A08">
        <w:rPr>
          <w:color w:val="000000"/>
        </w:rPr>
        <w:t>NGT flays government for ambiguit</w:t>
      </w:r>
      <w:r>
        <w:rPr>
          <w:color w:val="000000"/>
        </w:rPr>
        <w:t>y over safety of Western Ghats”</w:t>
      </w:r>
      <w:r w:rsidR="00186E40" w:rsidRPr="00827A08">
        <w:rPr>
          <w:color w:val="000000"/>
        </w:rPr>
        <w:t xml:space="preserve"> </w:t>
      </w:r>
      <w:hyperlink r:id="rId17" w:history="1">
        <w:r w:rsidR="00186E40" w:rsidRPr="00827A08">
          <w:rPr>
            <w:rStyle w:val="Hyperlink"/>
          </w:rPr>
          <w:t>http://www.dnaindia.com/india/report-ngt-flays-government-for-ambiguity-over-safety-of-western-ghats-2013665</w:t>
        </w:r>
      </w:hyperlink>
      <w:r w:rsidR="00186E40" w:rsidRPr="00827A08">
        <w:rPr>
          <w:color w:val="000000"/>
        </w:rPr>
        <w:t xml:space="preserve"> (accessed 17 December 2017).</w:t>
      </w:r>
    </w:p>
    <w:p w14:paraId="3B8B14C2" w14:textId="77777777" w:rsidR="00186E40" w:rsidRPr="00827A08" w:rsidRDefault="00186E40" w:rsidP="00297F8F">
      <w:pPr>
        <w:spacing w:line="360" w:lineRule="auto"/>
        <w:rPr>
          <w:color w:val="000000"/>
        </w:rPr>
      </w:pPr>
    </w:p>
    <w:p w14:paraId="61A835EF" w14:textId="669E8EA5" w:rsidR="00186E40" w:rsidRPr="00827A08" w:rsidRDefault="003A11CE" w:rsidP="00297F8F">
      <w:pPr>
        <w:spacing w:line="360" w:lineRule="auto"/>
        <w:rPr>
          <w:color w:val="000000"/>
        </w:rPr>
      </w:pPr>
      <w:r>
        <w:rPr>
          <w:color w:val="000000"/>
        </w:rPr>
        <w:t>Aggarwal Mayank (2017) “</w:t>
      </w:r>
      <w:r w:rsidR="00186E40" w:rsidRPr="00827A08">
        <w:rPr>
          <w:color w:val="000000"/>
        </w:rPr>
        <w:t xml:space="preserve">Green activists oppose Finance Act 2017, say </w:t>
      </w:r>
      <w:r>
        <w:rPr>
          <w:color w:val="000000"/>
        </w:rPr>
        <w:t>it curtails NGT’s independence”</w:t>
      </w:r>
      <w:r w:rsidR="00186E40" w:rsidRPr="00827A08">
        <w:rPr>
          <w:color w:val="000000"/>
        </w:rPr>
        <w:t xml:space="preserve"> </w:t>
      </w:r>
      <w:hyperlink r:id="rId18" w:history="1">
        <w:r w:rsidR="00186E40" w:rsidRPr="00827A08">
          <w:rPr>
            <w:rStyle w:val="Hyperlink"/>
          </w:rPr>
          <w:t>https://www.livemint.com/Politics/X4R0eZMQ5R6i5SlW0oGjoL/Green-activists-oppose-Finance-Act-2017-say-it-curtails-NGT.html</w:t>
        </w:r>
      </w:hyperlink>
      <w:r w:rsidR="00186E40" w:rsidRPr="00827A08">
        <w:rPr>
          <w:rStyle w:val="Hyperlink"/>
        </w:rPr>
        <w:t xml:space="preserve"> </w:t>
      </w:r>
      <w:r w:rsidR="00186E40" w:rsidRPr="00827A08">
        <w:rPr>
          <w:rStyle w:val="Hyperlink"/>
          <w:color w:val="000000" w:themeColor="text1"/>
        </w:rPr>
        <w:t>(accessed 12 February 2018).</w:t>
      </w:r>
    </w:p>
    <w:p w14:paraId="0D29FB67" w14:textId="77777777" w:rsidR="00186E40" w:rsidRPr="00827A08" w:rsidRDefault="00186E40" w:rsidP="00297F8F">
      <w:pPr>
        <w:spacing w:line="360" w:lineRule="auto"/>
        <w:rPr>
          <w:color w:val="000000"/>
        </w:rPr>
      </w:pPr>
    </w:p>
    <w:p w14:paraId="1E9E4F46" w14:textId="07094050" w:rsidR="00186E40" w:rsidRPr="00827A08" w:rsidRDefault="00186E40" w:rsidP="00297F8F">
      <w:pPr>
        <w:spacing w:line="360" w:lineRule="auto"/>
        <w:rPr>
          <w:color w:val="000000"/>
        </w:rPr>
      </w:pPr>
      <w:r w:rsidRPr="00827A08">
        <w:rPr>
          <w:color w:val="000000"/>
        </w:rPr>
        <w:t>Ahmady G A, Mehrpou</w:t>
      </w:r>
      <w:r w:rsidR="003A11CE">
        <w:rPr>
          <w:color w:val="000000"/>
        </w:rPr>
        <w:t>r M and Nikooravesh A (2016) “Organizational Structure”</w:t>
      </w:r>
      <w:r w:rsidRPr="00827A08">
        <w:rPr>
          <w:color w:val="000000"/>
        </w:rPr>
        <w:t xml:space="preserve"> </w:t>
      </w:r>
      <w:r w:rsidRPr="00827A08">
        <w:rPr>
          <w:i/>
          <w:color w:val="000000"/>
        </w:rPr>
        <w:t>230 Procedia: Social and Behavioural Sciences</w:t>
      </w:r>
      <w:r w:rsidRPr="00827A08">
        <w:rPr>
          <w:color w:val="000000"/>
        </w:rPr>
        <w:t xml:space="preserve"> 455 – 462. </w:t>
      </w:r>
    </w:p>
    <w:p w14:paraId="3A53F464" w14:textId="77777777" w:rsidR="00186E40" w:rsidRPr="00827A08" w:rsidRDefault="00186E40" w:rsidP="00297F8F">
      <w:pPr>
        <w:spacing w:line="360" w:lineRule="auto"/>
        <w:rPr>
          <w:color w:val="000000"/>
        </w:rPr>
      </w:pPr>
    </w:p>
    <w:p w14:paraId="41D37080" w14:textId="77777777" w:rsidR="00186E40" w:rsidRPr="00827A08" w:rsidRDefault="00186E40" w:rsidP="00297F8F">
      <w:pPr>
        <w:spacing w:line="360" w:lineRule="auto"/>
        <w:rPr>
          <w:color w:val="000000"/>
        </w:rPr>
      </w:pPr>
      <w:r w:rsidRPr="00827A08">
        <w:rPr>
          <w:color w:val="000000"/>
        </w:rPr>
        <w:t xml:space="preserve">Allen Jennifer M and Sawhney Rajeev (2018) </w:t>
      </w:r>
      <w:r w:rsidRPr="00827A08">
        <w:rPr>
          <w:i/>
          <w:color w:val="000000"/>
        </w:rPr>
        <w:t>Administration and Management in Criminal Justice: A Service Quality Approach</w:t>
      </w:r>
      <w:r w:rsidRPr="00827A08">
        <w:rPr>
          <w:color w:val="000000"/>
        </w:rPr>
        <w:t>, SAGE Publications.</w:t>
      </w:r>
    </w:p>
    <w:p w14:paraId="678FC5F9" w14:textId="77777777" w:rsidR="00186E40" w:rsidRPr="00827A08" w:rsidRDefault="00186E40" w:rsidP="00297F8F">
      <w:pPr>
        <w:spacing w:line="360" w:lineRule="auto"/>
        <w:rPr>
          <w:color w:val="000000"/>
        </w:rPr>
      </w:pPr>
    </w:p>
    <w:p w14:paraId="11AADBBE" w14:textId="605F1621" w:rsidR="00186E40" w:rsidRPr="00827A08" w:rsidRDefault="003F1032" w:rsidP="00297F8F">
      <w:pPr>
        <w:spacing w:line="360" w:lineRule="auto"/>
        <w:rPr>
          <w:color w:val="000000"/>
        </w:rPr>
      </w:pPr>
      <w:r>
        <w:rPr>
          <w:color w:val="000000"/>
        </w:rPr>
        <w:t>Anand Utkarsh (2013) “</w:t>
      </w:r>
      <w:r w:rsidR="00186E40" w:rsidRPr="00827A08">
        <w:rPr>
          <w:color w:val="000000"/>
        </w:rPr>
        <w:t xml:space="preserve">SC fumes as MoEF says </w:t>
      </w:r>
      <w:r>
        <w:rPr>
          <w:color w:val="000000"/>
        </w:rPr>
        <w:t>NGT causing govt embarrassment”</w:t>
      </w:r>
      <w:r w:rsidR="00186E40" w:rsidRPr="00827A08">
        <w:rPr>
          <w:color w:val="000000"/>
        </w:rPr>
        <w:t xml:space="preserve"> </w:t>
      </w:r>
      <w:hyperlink r:id="rId19" w:history="1">
        <w:r w:rsidR="00186E40" w:rsidRPr="00827A08">
          <w:rPr>
            <w:rStyle w:val="Hyperlink"/>
          </w:rPr>
          <w:t>http://archive.indianexpress.com/news/sc-fumes-as-moef-says-ngt-causing-govt-embarrassment/1168479/</w:t>
        </w:r>
      </w:hyperlink>
      <w:r w:rsidR="00186E40" w:rsidRPr="00827A08">
        <w:rPr>
          <w:color w:val="000000"/>
        </w:rPr>
        <w:t xml:space="preserve"> (accessed 16 September 2017).</w:t>
      </w:r>
    </w:p>
    <w:p w14:paraId="62BCCC48" w14:textId="77777777" w:rsidR="00186E40" w:rsidRPr="00827A08" w:rsidRDefault="00186E40" w:rsidP="00297F8F">
      <w:pPr>
        <w:spacing w:line="360" w:lineRule="auto"/>
      </w:pPr>
    </w:p>
    <w:p w14:paraId="7FF5D233" w14:textId="0A2C2558" w:rsidR="00186E40" w:rsidRPr="00827A08" w:rsidRDefault="003F1032" w:rsidP="00297F8F">
      <w:pPr>
        <w:spacing w:line="360" w:lineRule="auto"/>
        <w:rPr>
          <w:color w:val="000000"/>
        </w:rPr>
      </w:pPr>
      <w:r>
        <w:rPr>
          <w:color w:val="000000"/>
        </w:rPr>
        <w:t>Ashok Sowmiya (2017) “</w:t>
      </w:r>
      <w:r w:rsidR="00186E40" w:rsidRPr="00827A08">
        <w:rPr>
          <w:color w:val="000000"/>
        </w:rPr>
        <w:t>Centre passes notification, allows NGT to form one-mem</w:t>
      </w:r>
      <w:r>
        <w:rPr>
          <w:color w:val="000000"/>
        </w:rPr>
        <w:t>ber benches”</w:t>
      </w:r>
      <w:r w:rsidR="00186E40" w:rsidRPr="00827A08">
        <w:rPr>
          <w:color w:val="000000"/>
        </w:rPr>
        <w:t xml:space="preserve"> </w:t>
      </w:r>
      <w:hyperlink r:id="rId20" w:history="1">
        <w:r w:rsidR="00186E40" w:rsidRPr="00827A08">
          <w:rPr>
            <w:rStyle w:val="Hyperlink"/>
          </w:rPr>
          <w:t>http://indianexpress.com/article/india/centre-passes-notification-allows-ngt-to-form-one-member-benches-4968206/</w:t>
        </w:r>
      </w:hyperlink>
      <w:r w:rsidR="00186E40" w:rsidRPr="00827A08">
        <w:rPr>
          <w:color w:val="000000"/>
        </w:rPr>
        <w:t xml:space="preserve"> (accessed 7 January 2018).</w:t>
      </w:r>
    </w:p>
    <w:p w14:paraId="148DEBE3" w14:textId="77777777" w:rsidR="00186E40" w:rsidRPr="00827A08" w:rsidRDefault="00186E40" w:rsidP="00297F8F">
      <w:pPr>
        <w:spacing w:line="360" w:lineRule="auto"/>
        <w:rPr>
          <w:color w:val="000000"/>
        </w:rPr>
      </w:pPr>
    </w:p>
    <w:p w14:paraId="239F1299" w14:textId="1BF23266" w:rsidR="00186E40" w:rsidRPr="00827A08" w:rsidRDefault="003F1032" w:rsidP="00297F8F">
      <w:pPr>
        <w:spacing w:line="360" w:lineRule="auto"/>
        <w:rPr>
          <w:color w:val="000000"/>
        </w:rPr>
      </w:pPr>
      <w:r>
        <w:rPr>
          <w:color w:val="000000"/>
        </w:rPr>
        <w:t>Asian Development Bank (2012) “</w:t>
      </w:r>
      <w:r w:rsidR="00186E40" w:rsidRPr="00827A08">
        <w:rPr>
          <w:color w:val="000000"/>
        </w:rPr>
        <w:t>Environmental Gov</w:t>
      </w:r>
      <w:r>
        <w:rPr>
          <w:color w:val="000000"/>
        </w:rPr>
        <w:t xml:space="preserve">ernance and the Courts in Asia” </w:t>
      </w:r>
      <w:r w:rsidR="00186E40" w:rsidRPr="00827A08">
        <w:rPr>
          <w:i/>
          <w:color w:val="000000"/>
        </w:rPr>
        <w:t xml:space="preserve">Law and Policy Reform Brief </w:t>
      </w:r>
      <w:r w:rsidR="00186E40" w:rsidRPr="00827A08">
        <w:rPr>
          <w:color w:val="000000"/>
        </w:rPr>
        <w:t>1.</w:t>
      </w:r>
    </w:p>
    <w:p w14:paraId="289934BA" w14:textId="77777777" w:rsidR="00186E40" w:rsidRPr="00827A08" w:rsidRDefault="00186E40" w:rsidP="00297F8F">
      <w:pPr>
        <w:spacing w:line="360" w:lineRule="auto"/>
        <w:rPr>
          <w:color w:val="000000"/>
        </w:rPr>
      </w:pPr>
    </w:p>
    <w:p w14:paraId="18887F71" w14:textId="77777777" w:rsidR="00186E40" w:rsidRPr="00827A08" w:rsidRDefault="00186E40" w:rsidP="00297F8F">
      <w:pPr>
        <w:spacing w:line="360" w:lineRule="auto"/>
        <w:rPr>
          <w:color w:val="000000"/>
        </w:rPr>
      </w:pPr>
      <w:r w:rsidRPr="00827A08">
        <w:rPr>
          <w:color w:val="000000"/>
        </w:rPr>
        <w:t xml:space="preserve">Asian Development Bank (2015) </w:t>
      </w:r>
      <w:r w:rsidRPr="00827A08">
        <w:rPr>
          <w:i/>
          <w:color w:val="000000"/>
        </w:rPr>
        <w:t>Proceedings: Fourth ASEAN Chief Justices’ Roundtable on Environment: Role of the Judiciary in Environmental Protection</w:t>
      </w:r>
      <w:r w:rsidRPr="00827A08">
        <w:rPr>
          <w:color w:val="000000"/>
        </w:rPr>
        <w:t xml:space="preserve">. </w:t>
      </w:r>
    </w:p>
    <w:p w14:paraId="478DCA8C" w14:textId="77777777" w:rsidR="00186E40" w:rsidRPr="00827A08" w:rsidRDefault="00186E40" w:rsidP="00297F8F">
      <w:pPr>
        <w:spacing w:line="360" w:lineRule="auto"/>
        <w:rPr>
          <w:color w:val="000000"/>
        </w:rPr>
      </w:pPr>
    </w:p>
    <w:p w14:paraId="25A0350D" w14:textId="77777777" w:rsidR="00186E40" w:rsidRPr="00827A08" w:rsidRDefault="00186E40" w:rsidP="00297F8F">
      <w:pPr>
        <w:spacing w:line="360" w:lineRule="auto"/>
        <w:rPr>
          <w:color w:val="000000"/>
        </w:rPr>
      </w:pPr>
      <w:r w:rsidRPr="00827A08">
        <w:rPr>
          <w:color w:val="000000"/>
        </w:rPr>
        <w:t xml:space="preserve">Balogun, Julia and Hope Hailey, Veronica (2004) </w:t>
      </w:r>
      <w:r w:rsidRPr="00827A08">
        <w:rPr>
          <w:i/>
          <w:color w:val="000000"/>
        </w:rPr>
        <w:t>Exploring Strategic Change</w:t>
      </w:r>
      <w:r w:rsidRPr="00827A08">
        <w:rPr>
          <w:color w:val="000000"/>
        </w:rPr>
        <w:t>, London: Prentice Hall.</w:t>
      </w:r>
    </w:p>
    <w:p w14:paraId="0E20058C" w14:textId="77777777" w:rsidR="00186E40" w:rsidRPr="00827A08" w:rsidRDefault="00186E40" w:rsidP="00297F8F">
      <w:pPr>
        <w:spacing w:line="360" w:lineRule="auto"/>
        <w:rPr>
          <w:color w:val="000000"/>
        </w:rPr>
      </w:pPr>
    </w:p>
    <w:p w14:paraId="7D818CD2" w14:textId="77777777" w:rsidR="00186E40" w:rsidRPr="00827A08" w:rsidRDefault="00186E40" w:rsidP="00297F8F">
      <w:pPr>
        <w:spacing w:line="360" w:lineRule="auto"/>
        <w:rPr>
          <w:rFonts w:eastAsia="Times New Roman"/>
        </w:rPr>
      </w:pPr>
      <w:r w:rsidRPr="00827A08">
        <w:rPr>
          <w:rFonts w:eastAsia="Times New Roman"/>
        </w:rPr>
        <w:t>Barzelay, M (2002) “Origins of the New Public Management: An International View from Public Administration/Political Science.” in K. McLaug</w:t>
      </w:r>
      <w:r w:rsidRPr="00827A08">
        <w:rPr>
          <w:rStyle w:val="ls37"/>
          <w:rFonts w:eastAsia="Times New Roman"/>
        </w:rPr>
        <w:t xml:space="preserve">hlin, S.P. Osborne and E. Ferlie, </w:t>
      </w:r>
      <w:r w:rsidRPr="00827A08">
        <w:rPr>
          <w:rStyle w:val="ff2"/>
          <w:rFonts w:eastAsia="Times New Roman"/>
          <w:i/>
        </w:rPr>
        <w:t xml:space="preserve">New Public </w:t>
      </w:r>
      <w:r w:rsidRPr="00827A08">
        <w:rPr>
          <w:rFonts w:eastAsia="Times New Roman"/>
          <w:i/>
        </w:rPr>
        <w:t>Management: Current Trends and Future Prospects</w:t>
      </w:r>
      <w:r w:rsidRPr="00827A08">
        <w:rPr>
          <w:rStyle w:val="ff1"/>
          <w:rFonts w:eastAsia="Times New Roman"/>
        </w:rPr>
        <w:t>, London: Routledge, 15-33.</w:t>
      </w:r>
    </w:p>
    <w:p w14:paraId="6E0440A2" w14:textId="77777777" w:rsidR="00186E40" w:rsidRPr="00827A08" w:rsidRDefault="00186E40" w:rsidP="00297F8F">
      <w:pPr>
        <w:spacing w:line="360" w:lineRule="auto"/>
        <w:rPr>
          <w:color w:val="000000"/>
        </w:rPr>
      </w:pPr>
    </w:p>
    <w:p w14:paraId="343079DE" w14:textId="7C6B0445" w:rsidR="00186E40" w:rsidRPr="00827A08" w:rsidRDefault="004E600F" w:rsidP="00297F8F">
      <w:pPr>
        <w:spacing w:line="360" w:lineRule="auto"/>
        <w:rPr>
          <w:color w:val="000000"/>
        </w:rPr>
      </w:pPr>
      <w:r>
        <w:rPr>
          <w:color w:val="000000"/>
        </w:rPr>
        <w:t>Basu Jayanta (2018) “</w:t>
      </w:r>
      <w:r w:rsidR="00186E40" w:rsidRPr="00827A08">
        <w:rPr>
          <w:color w:val="000000"/>
        </w:rPr>
        <w:t>S</w:t>
      </w:r>
      <w:r>
        <w:rPr>
          <w:color w:val="000000"/>
        </w:rPr>
        <w:t>C breather for green tribunals”</w:t>
      </w:r>
      <w:r w:rsidR="00186E40" w:rsidRPr="00827A08">
        <w:rPr>
          <w:color w:val="000000"/>
        </w:rPr>
        <w:t xml:space="preserve"> </w:t>
      </w:r>
      <w:hyperlink r:id="rId21" w:history="1">
        <w:r w:rsidR="00186E40" w:rsidRPr="00827A08">
          <w:rPr>
            <w:rStyle w:val="Hyperlink"/>
          </w:rPr>
          <w:t>https://www.telegraphindia.com/india/sc-breather-for-green-tribunals-207982</w:t>
        </w:r>
      </w:hyperlink>
      <w:r w:rsidR="00186E40" w:rsidRPr="00827A08">
        <w:rPr>
          <w:color w:val="000000"/>
        </w:rPr>
        <w:t xml:space="preserve"> (accessed 22 April 2018). </w:t>
      </w:r>
    </w:p>
    <w:p w14:paraId="42C00C98" w14:textId="77777777" w:rsidR="00186E40" w:rsidRPr="00827A08" w:rsidRDefault="00186E40" w:rsidP="00297F8F">
      <w:pPr>
        <w:spacing w:line="360" w:lineRule="auto"/>
        <w:rPr>
          <w:color w:val="000000"/>
        </w:rPr>
      </w:pPr>
    </w:p>
    <w:p w14:paraId="5CAFFFFB" w14:textId="15D66187" w:rsidR="00186E40" w:rsidRPr="00827A08" w:rsidRDefault="004E600F" w:rsidP="00297F8F">
      <w:pPr>
        <w:spacing w:line="360" w:lineRule="auto"/>
        <w:rPr>
          <w:color w:val="000000"/>
        </w:rPr>
      </w:pPr>
      <w:r>
        <w:rPr>
          <w:color w:val="000000"/>
        </w:rPr>
        <w:t>Baulcomb J S (2003) “</w:t>
      </w:r>
      <w:r w:rsidR="00186E40" w:rsidRPr="00827A08">
        <w:rPr>
          <w:color w:val="000000"/>
        </w:rPr>
        <w:t>Management of chang</w:t>
      </w:r>
      <w:r>
        <w:rPr>
          <w:color w:val="000000"/>
        </w:rPr>
        <w:t>e through force field analysis”</w:t>
      </w:r>
      <w:r w:rsidR="00186E40" w:rsidRPr="00827A08">
        <w:rPr>
          <w:color w:val="000000"/>
        </w:rPr>
        <w:t xml:space="preserve"> 11 </w:t>
      </w:r>
      <w:r w:rsidR="00186E40" w:rsidRPr="00827A08">
        <w:rPr>
          <w:i/>
          <w:color w:val="000000"/>
        </w:rPr>
        <w:t xml:space="preserve">Journal of Nursing Management </w:t>
      </w:r>
      <w:r w:rsidR="00186E40" w:rsidRPr="00827A08">
        <w:rPr>
          <w:color w:val="000000"/>
        </w:rPr>
        <w:t>275-280.</w:t>
      </w:r>
    </w:p>
    <w:p w14:paraId="66FC1513" w14:textId="77777777" w:rsidR="00186E40" w:rsidRPr="00827A08" w:rsidRDefault="00186E40" w:rsidP="00297F8F">
      <w:pPr>
        <w:spacing w:line="360" w:lineRule="auto"/>
        <w:rPr>
          <w:color w:val="000000"/>
        </w:rPr>
      </w:pPr>
    </w:p>
    <w:p w14:paraId="6FC17262" w14:textId="69A8C9B4" w:rsidR="00186E40" w:rsidRPr="00827A08" w:rsidRDefault="004E600F" w:rsidP="00297F8F">
      <w:pPr>
        <w:spacing w:line="360" w:lineRule="auto"/>
        <w:rPr>
          <w:color w:val="000000"/>
        </w:rPr>
      </w:pPr>
      <w:r>
        <w:rPr>
          <w:color w:val="000000"/>
        </w:rPr>
        <w:t>bbc.co.uk (2016) “</w:t>
      </w:r>
      <w:r w:rsidR="00186E40" w:rsidRPr="00827A08">
        <w:rPr>
          <w:color w:val="000000"/>
        </w:rPr>
        <w:t>India environment watchd</w:t>
      </w:r>
      <w:r>
        <w:rPr>
          <w:color w:val="000000"/>
        </w:rPr>
        <w:t>og anger over Ganges pollution”</w:t>
      </w:r>
      <w:r w:rsidR="00186E40" w:rsidRPr="00827A08">
        <w:rPr>
          <w:color w:val="000000"/>
        </w:rPr>
        <w:t xml:space="preserve"> </w:t>
      </w:r>
      <w:hyperlink r:id="rId22" w:history="1">
        <w:r w:rsidR="00186E40" w:rsidRPr="00827A08">
          <w:rPr>
            <w:rStyle w:val="Hyperlink"/>
          </w:rPr>
          <w:t>http://www.bbc.co.uk/news/world-asia-india-35359089</w:t>
        </w:r>
      </w:hyperlink>
      <w:r w:rsidR="00186E40" w:rsidRPr="00827A08">
        <w:rPr>
          <w:color w:val="000000"/>
        </w:rPr>
        <w:t xml:space="preserve"> (accessed 20 November 2017).</w:t>
      </w:r>
    </w:p>
    <w:p w14:paraId="6B4E1CCC" w14:textId="77777777" w:rsidR="00186E40" w:rsidRPr="00827A08" w:rsidRDefault="00186E40" w:rsidP="00297F8F">
      <w:pPr>
        <w:spacing w:line="360" w:lineRule="auto"/>
        <w:rPr>
          <w:color w:val="000000"/>
        </w:rPr>
      </w:pPr>
    </w:p>
    <w:p w14:paraId="2EB3C069" w14:textId="77777777" w:rsidR="00186E40" w:rsidRPr="00827A08" w:rsidRDefault="00186E40" w:rsidP="00297F8F">
      <w:pPr>
        <w:spacing w:line="360" w:lineRule="auto"/>
        <w:rPr>
          <w:color w:val="000000"/>
        </w:rPr>
      </w:pPr>
      <w:r w:rsidRPr="00827A08">
        <w:rPr>
          <w:color w:val="000000"/>
        </w:rPr>
        <w:t xml:space="preserve">Bhurban Declaration (2012) </w:t>
      </w:r>
      <w:hyperlink r:id="rId23" w:history="1">
        <w:r w:rsidRPr="00827A08">
          <w:rPr>
            <w:rStyle w:val="Hyperlink"/>
          </w:rPr>
          <w:t>http://cmsdata.iucn.org/downloads/pk_bhurban_declaration_2012__20120410_.pdf</w:t>
        </w:r>
      </w:hyperlink>
      <w:r w:rsidRPr="00827A08">
        <w:rPr>
          <w:color w:val="000000"/>
        </w:rPr>
        <w:t xml:space="preserve"> (accessed 14 September 2017). </w:t>
      </w:r>
    </w:p>
    <w:p w14:paraId="40E95130" w14:textId="77777777" w:rsidR="00186E40" w:rsidRPr="00827A08" w:rsidRDefault="00186E40" w:rsidP="00297F8F">
      <w:pPr>
        <w:spacing w:line="360" w:lineRule="auto"/>
        <w:rPr>
          <w:color w:val="000000"/>
        </w:rPr>
      </w:pPr>
    </w:p>
    <w:p w14:paraId="51DC7E7F" w14:textId="2D54238F" w:rsidR="00186E40" w:rsidRPr="00827A08" w:rsidRDefault="004E600F" w:rsidP="00297F8F">
      <w:pPr>
        <w:spacing w:line="360" w:lineRule="auto"/>
        <w:rPr>
          <w:color w:val="000000"/>
        </w:rPr>
      </w:pPr>
      <w:r>
        <w:rPr>
          <w:color w:val="000000"/>
        </w:rPr>
        <w:t>Bozak, Marylin G. (2003) “</w:t>
      </w:r>
      <w:r w:rsidR="00186E40" w:rsidRPr="00827A08">
        <w:rPr>
          <w:color w:val="000000"/>
        </w:rPr>
        <w:t>Using Lewin’s force field analysis in implementin</w:t>
      </w:r>
      <w:r>
        <w:rPr>
          <w:color w:val="000000"/>
        </w:rPr>
        <w:t>g a nursing information system”</w:t>
      </w:r>
      <w:r w:rsidR="00186E40" w:rsidRPr="00827A08">
        <w:rPr>
          <w:color w:val="000000"/>
        </w:rPr>
        <w:t xml:space="preserve"> 21 </w:t>
      </w:r>
      <w:r w:rsidR="00186E40" w:rsidRPr="00827A08">
        <w:rPr>
          <w:i/>
          <w:color w:val="000000"/>
        </w:rPr>
        <w:t>CIM: Computers, Informatics, Nursing</w:t>
      </w:r>
      <w:r w:rsidR="00186E40" w:rsidRPr="00827A08">
        <w:rPr>
          <w:color w:val="000000"/>
        </w:rPr>
        <w:t xml:space="preserve"> 80–85.</w:t>
      </w:r>
    </w:p>
    <w:p w14:paraId="12EDA2BC" w14:textId="77777777" w:rsidR="00186E40" w:rsidRPr="00827A08" w:rsidRDefault="00186E40" w:rsidP="00297F8F">
      <w:pPr>
        <w:spacing w:line="360" w:lineRule="auto"/>
        <w:rPr>
          <w:color w:val="000000"/>
        </w:rPr>
      </w:pPr>
    </w:p>
    <w:p w14:paraId="4188BC8C" w14:textId="77777777" w:rsidR="00186E40" w:rsidRPr="00827A08" w:rsidRDefault="00186E40" w:rsidP="00297F8F">
      <w:pPr>
        <w:shd w:val="clear" w:color="auto" w:fill="FFFFFF"/>
        <w:spacing w:line="360" w:lineRule="auto"/>
        <w:rPr>
          <w:rFonts w:eastAsia="Times New Roman"/>
          <w:color w:val="000000"/>
          <w:spacing w:val="-2"/>
        </w:rPr>
      </w:pPr>
      <w:r w:rsidRPr="00827A08">
        <w:rPr>
          <w:rFonts w:eastAsia="Times New Roman"/>
          <w:color w:val="000000"/>
          <w:spacing w:val="-2"/>
        </w:rPr>
        <w:t xml:space="preserve">Brunsson, Nils (1989) </w:t>
      </w:r>
      <w:r w:rsidRPr="00827A08">
        <w:rPr>
          <w:rStyle w:val="ff2"/>
          <w:rFonts w:eastAsia="Times New Roman"/>
          <w:i/>
          <w:color w:val="000000"/>
          <w:spacing w:val="1"/>
        </w:rPr>
        <w:t>The Organization of Hypocrisy: Talk, Decision and Actions in Organizations</w:t>
      </w:r>
      <w:r w:rsidRPr="00827A08">
        <w:rPr>
          <w:rStyle w:val="ff2"/>
          <w:rFonts w:eastAsia="Times New Roman"/>
          <w:color w:val="000000"/>
          <w:spacing w:val="1"/>
        </w:rPr>
        <w:t xml:space="preserve">, </w:t>
      </w:r>
      <w:r w:rsidRPr="00827A08">
        <w:rPr>
          <w:rStyle w:val="ff1"/>
          <w:rFonts w:eastAsia="Times New Roman"/>
          <w:color w:val="000000"/>
          <w:spacing w:val="-1"/>
        </w:rPr>
        <w:t xml:space="preserve">Chichester: </w:t>
      </w:r>
      <w:r w:rsidRPr="00827A08">
        <w:rPr>
          <w:rFonts w:eastAsia="Times New Roman"/>
          <w:color w:val="000000"/>
          <w:spacing w:val="-1"/>
        </w:rPr>
        <w:t>John Wiley &amp; Sons.</w:t>
      </w:r>
    </w:p>
    <w:p w14:paraId="35B60DD1" w14:textId="77777777" w:rsidR="00186E40" w:rsidRPr="00827A08" w:rsidRDefault="00186E40" w:rsidP="00297F8F">
      <w:pPr>
        <w:spacing w:line="360" w:lineRule="auto"/>
        <w:rPr>
          <w:color w:val="000000"/>
        </w:rPr>
      </w:pPr>
      <w:r w:rsidRPr="00827A08">
        <w:rPr>
          <w:color w:val="000000"/>
        </w:rPr>
        <w:t xml:space="preserve"> </w:t>
      </w:r>
    </w:p>
    <w:p w14:paraId="243CE54B" w14:textId="3CD186E6" w:rsidR="00186E40" w:rsidRPr="00827A08" w:rsidRDefault="004E600F" w:rsidP="00297F8F">
      <w:pPr>
        <w:spacing w:line="360" w:lineRule="auto"/>
        <w:rPr>
          <w:color w:val="000000"/>
        </w:rPr>
      </w:pPr>
      <w:r>
        <w:rPr>
          <w:color w:val="000000"/>
        </w:rPr>
        <w:t>Burnes Bernad (2004) “</w:t>
      </w:r>
      <w:r w:rsidR="00186E40" w:rsidRPr="00827A08">
        <w:rPr>
          <w:color w:val="000000"/>
        </w:rPr>
        <w:t>Kurt Lewin and the Planned Appr</w:t>
      </w:r>
      <w:r>
        <w:rPr>
          <w:color w:val="000000"/>
        </w:rPr>
        <w:t>oach to Change: A Re-appraisal”</w:t>
      </w:r>
      <w:r w:rsidR="00186E40" w:rsidRPr="00827A08">
        <w:rPr>
          <w:color w:val="000000"/>
        </w:rPr>
        <w:t xml:space="preserve"> 41 </w:t>
      </w:r>
      <w:r w:rsidR="00186E40" w:rsidRPr="00827A08">
        <w:rPr>
          <w:i/>
          <w:color w:val="000000"/>
        </w:rPr>
        <w:t>Journal of Management Studies</w:t>
      </w:r>
      <w:r w:rsidR="00186E40" w:rsidRPr="00827A08">
        <w:rPr>
          <w:color w:val="000000"/>
        </w:rPr>
        <w:t xml:space="preserve"> 977- 1002.</w:t>
      </w:r>
    </w:p>
    <w:p w14:paraId="4F3523F8" w14:textId="77777777" w:rsidR="00186E40" w:rsidRPr="00827A08" w:rsidRDefault="00186E40" w:rsidP="00297F8F">
      <w:pPr>
        <w:spacing w:line="360" w:lineRule="auto"/>
        <w:rPr>
          <w:color w:val="000000"/>
        </w:rPr>
      </w:pPr>
    </w:p>
    <w:p w14:paraId="44B1C400" w14:textId="43E711E9" w:rsidR="00186E40" w:rsidRPr="00827A08" w:rsidRDefault="00186E40" w:rsidP="00297F8F">
      <w:pPr>
        <w:spacing w:line="360" w:lineRule="auto"/>
        <w:rPr>
          <w:color w:val="000000"/>
        </w:rPr>
      </w:pPr>
      <w:r w:rsidRPr="00827A08">
        <w:rPr>
          <w:color w:val="000000"/>
        </w:rPr>
        <w:t>Bur</w:t>
      </w:r>
      <w:r w:rsidR="004E600F">
        <w:rPr>
          <w:color w:val="000000"/>
        </w:rPr>
        <w:t>nes Bernad and Cooke B (2013) “</w:t>
      </w:r>
      <w:r w:rsidRPr="00827A08">
        <w:rPr>
          <w:color w:val="000000"/>
        </w:rPr>
        <w:t>Kurt Lewin’s Field Theor</w:t>
      </w:r>
      <w:r w:rsidR="004E600F">
        <w:rPr>
          <w:color w:val="000000"/>
        </w:rPr>
        <w:t xml:space="preserve">y: A Review and Re-evaluation” </w:t>
      </w:r>
      <w:r w:rsidRPr="00827A08">
        <w:rPr>
          <w:color w:val="000000"/>
        </w:rPr>
        <w:t xml:space="preserve">15 </w:t>
      </w:r>
      <w:r w:rsidRPr="00827A08">
        <w:rPr>
          <w:i/>
          <w:color w:val="000000"/>
        </w:rPr>
        <w:t>International Journal of Management Reviews</w:t>
      </w:r>
      <w:r w:rsidRPr="00827A08">
        <w:rPr>
          <w:color w:val="000000"/>
        </w:rPr>
        <w:t xml:space="preserve"> 408–425 </w:t>
      </w:r>
    </w:p>
    <w:p w14:paraId="72B904D8" w14:textId="77777777" w:rsidR="00186E40" w:rsidRPr="00827A08" w:rsidRDefault="00186E40" w:rsidP="00297F8F">
      <w:pPr>
        <w:spacing w:line="360" w:lineRule="auto"/>
        <w:rPr>
          <w:color w:val="000000"/>
        </w:rPr>
      </w:pPr>
    </w:p>
    <w:p w14:paraId="3EFBD24C" w14:textId="77777777" w:rsidR="00186E40" w:rsidRPr="00827A08" w:rsidRDefault="00186E40" w:rsidP="00297F8F">
      <w:pPr>
        <w:spacing w:line="360" w:lineRule="auto"/>
        <w:rPr>
          <w:i/>
          <w:color w:val="000000"/>
        </w:rPr>
      </w:pPr>
      <w:r w:rsidRPr="00827A08">
        <w:rPr>
          <w:color w:val="000000"/>
        </w:rPr>
        <w:t xml:space="preserve">Burnes, Bernard (2009) </w:t>
      </w:r>
      <w:r w:rsidRPr="00827A08">
        <w:rPr>
          <w:i/>
          <w:color w:val="000000"/>
        </w:rPr>
        <w:t xml:space="preserve">Managing Change: A Strategic Approach to Organisational </w:t>
      </w:r>
    </w:p>
    <w:p w14:paraId="5DBF82F4" w14:textId="77777777" w:rsidR="00186E40" w:rsidRPr="00827A08" w:rsidRDefault="00186E40" w:rsidP="00297F8F">
      <w:pPr>
        <w:spacing w:line="360" w:lineRule="auto"/>
        <w:rPr>
          <w:color w:val="000000"/>
        </w:rPr>
      </w:pPr>
      <w:r w:rsidRPr="00827A08">
        <w:rPr>
          <w:i/>
          <w:color w:val="000000"/>
        </w:rPr>
        <w:t>Dynamics</w:t>
      </w:r>
      <w:r w:rsidRPr="00827A08">
        <w:rPr>
          <w:color w:val="000000"/>
        </w:rPr>
        <w:t>, Harlow: Prentice Hall.</w:t>
      </w:r>
    </w:p>
    <w:p w14:paraId="170FA036" w14:textId="77777777" w:rsidR="00186E40" w:rsidRPr="00827A08" w:rsidRDefault="00186E40" w:rsidP="00297F8F">
      <w:pPr>
        <w:spacing w:line="360" w:lineRule="auto"/>
        <w:rPr>
          <w:color w:val="000000"/>
        </w:rPr>
      </w:pPr>
    </w:p>
    <w:p w14:paraId="4D81FBBA" w14:textId="28F84CB8" w:rsidR="00186E40" w:rsidRPr="00827A08" w:rsidRDefault="00083938" w:rsidP="00297F8F">
      <w:pPr>
        <w:spacing w:line="360" w:lineRule="auto"/>
        <w:rPr>
          <w:color w:val="000000"/>
        </w:rPr>
      </w:pPr>
      <w:r>
        <w:rPr>
          <w:color w:val="000000"/>
        </w:rPr>
        <w:t>By, Rune Todnem (2005) “</w:t>
      </w:r>
      <w:r w:rsidR="00186E40" w:rsidRPr="00827A08">
        <w:rPr>
          <w:color w:val="000000"/>
        </w:rPr>
        <w:t>Organisational Change</w:t>
      </w:r>
      <w:r>
        <w:rPr>
          <w:color w:val="000000"/>
        </w:rPr>
        <w:t xml:space="preserve"> Management: A Critical Review”</w:t>
      </w:r>
      <w:r w:rsidR="00186E40" w:rsidRPr="00827A08">
        <w:rPr>
          <w:color w:val="000000"/>
        </w:rPr>
        <w:t xml:space="preserve"> 5 (4) </w:t>
      </w:r>
      <w:r w:rsidR="00186E40" w:rsidRPr="00827A08">
        <w:rPr>
          <w:i/>
          <w:color w:val="000000"/>
        </w:rPr>
        <w:t>Journal of Change Management</w:t>
      </w:r>
      <w:r w:rsidR="00186E40" w:rsidRPr="00827A08">
        <w:rPr>
          <w:color w:val="000000"/>
        </w:rPr>
        <w:t xml:space="preserve"> 369 –380.</w:t>
      </w:r>
    </w:p>
    <w:p w14:paraId="0EA2ECAF" w14:textId="77777777" w:rsidR="00186E40" w:rsidRPr="00827A08" w:rsidRDefault="00186E40" w:rsidP="00297F8F">
      <w:pPr>
        <w:spacing w:line="360" w:lineRule="auto"/>
        <w:rPr>
          <w:color w:val="000000"/>
        </w:rPr>
      </w:pPr>
    </w:p>
    <w:p w14:paraId="1B5EAE73" w14:textId="77777777" w:rsidR="00186E40" w:rsidRPr="00827A08" w:rsidRDefault="00186E40" w:rsidP="00297F8F">
      <w:pPr>
        <w:spacing w:line="360" w:lineRule="auto"/>
        <w:rPr>
          <w:color w:val="000000"/>
        </w:rPr>
      </w:pPr>
      <w:r w:rsidRPr="00827A08">
        <w:rPr>
          <w:color w:val="000000"/>
        </w:rPr>
        <w:t xml:space="preserve">Carnall, Colin A (2003) </w:t>
      </w:r>
      <w:r w:rsidRPr="00827A08">
        <w:rPr>
          <w:i/>
          <w:color w:val="000000"/>
        </w:rPr>
        <w:t>Managing Change in Organizations</w:t>
      </w:r>
      <w:r w:rsidRPr="00827A08">
        <w:rPr>
          <w:color w:val="000000"/>
        </w:rPr>
        <w:t>, Harlow: Prentice Hall.</w:t>
      </w:r>
    </w:p>
    <w:p w14:paraId="1A572016" w14:textId="77777777" w:rsidR="00186E40" w:rsidRPr="00827A08" w:rsidRDefault="00186E40" w:rsidP="00297F8F">
      <w:pPr>
        <w:spacing w:line="360" w:lineRule="auto"/>
        <w:rPr>
          <w:color w:val="000000"/>
        </w:rPr>
      </w:pPr>
    </w:p>
    <w:p w14:paraId="1B76A936" w14:textId="0513AF8D" w:rsidR="00186E40" w:rsidRPr="00827A08" w:rsidRDefault="00083938" w:rsidP="00297F8F">
      <w:pPr>
        <w:spacing w:line="360" w:lineRule="auto"/>
        <w:rPr>
          <w:color w:val="000000"/>
        </w:rPr>
      </w:pPr>
      <w:r>
        <w:rPr>
          <w:color w:val="000000"/>
        </w:rPr>
        <w:t>Carnwath, Lord Robert (2017) “</w:t>
      </w:r>
      <w:r w:rsidR="00186E40" w:rsidRPr="00827A08">
        <w:rPr>
          <w:color w:val="000000"/>
        </w:rPr>
        <w:t>Judging the</w:t>
      </w:r>
      <w:r>
        <w:rPr>
          <w:color w:val="000000"/>
        </w:rPr>
        <w:t xml:space="preserve"> environment – back to basics” </w:t>
      </w:r>
      <w:r w:rsidR="00186E40" w:rsidRPr="00827A08">
        <w:rPr>
          <w:color w:val="000000"/>
        </w:rPr>
        <w:t xml:space="preserve">29 </w:t>
      </w:r>
      <w:r w:rsidR="00186E40" w:rsidRPr="00827A08">
        <w:rPr>
          <w:i/>
          <w:color w:val="000000"/>
        </w:rPr>
        <w:t>Environmental Law and Management</w:t>
      </w:r>
      <w:r w:rsidR="00186E40" w:rsidRPr="00827A08">
        <w:rPr>
          <w:color w:val="000000"/>
        </w:rPr>
        <w:t xml:space="preserve"> 64-71.</w:t>
      </w:r>
    </w:p>
    <w:p w14:paraId="32463F74" w14:textId="77777777" w:rsidR="00186E40" w:rsidRPr="00827A08" w:rsidRDefault="00186E40" w:rsidP="00297F8F">
      <w:pPr>
        <w:spacing w:line="360" w:lineRule="auto"/>
        <w:rPr>
          <w:color w:val="000000"/>
        </w:rPr>
      </w:pPr>
    </w:p>
    <w:p w14:paraId="4BFD1FE1" w14:textId="1EC32D51" w:rsidR="00186E40" w:rsidRPr="00827A08" w:rsidRDefault="00083938" w:rsidP="00297F8F">
      <w:pPr>
        <w:spacing w:line="360" w:lineRule="auto"/>
        <w:rPr>
          <w:color w:val="000000"/>
        </w:rPr>
      </w:pPr>
      <w:r>
        <w:rPr>
          <w:color w:val="000000"/>
        </w:rPr>
        <w:t>Cartwright, Dorwin (1952) “Foreword”</w:t>
      </w:r>
      <w:r w:rsidR="00186E40" w:rsidRPr="00827A08">
        <w:rPr>
          <w:color w:val="000000"/>
        </w:rPr>
        <w:t xml:space="preserve"> in Cartwright, Dorwin, ed., </w:t>
      </w:r>
      <w:r w:rsidR="00186E40" w:rsidRPr="00827A08">
        <w:rPr>
          <w:i/>
          <w:color w:val="000000"/>
        </w:rPr>
        <w:t>Field Theory in Social Science: Selected Theoretical Papers by Kurt Lewin</w:t>
      </w:r>
      <w:r w:rsidR="00186E40" w:rsidRPr="00827A08">
        <w:rPr>
          <w:color w:val="000000"/>
        </w:rPr>
        <w:t xml:space="preserve">, London: Social Science Paperbacks vii–xv. </w:t>
      </w:r>
    </w:p>
    <w:p w14:paraId="48BCD34E" w14:textId="77777777" w:rsidR="00186E40" w:rsidRPr="00827A08" w:rsidRDefault="00186E40" w:rsidP="00297F8F">
      <w:pPr>
        <w:spacing w:line="360" w:lineRule="auto"/>
        <w:rPr>
          <w:color w:val="000000"/>
        </w:rPr>
      </w:pPr>
    </w:p>
    <w:p w14:paraId="0F0325A4" w14:textId="4BDD9CD5" w:rsidR="00186E40" w:rsidRPr="00827A08" w:rsidRDefault="00083938" w:rsidP="00297F8F">
      <w:pPr>
        <w:spacing w:line="360" w:lineRule="auto"/>
        <w:rPr>
          <w:color w:val="000000"/>
        </w:rPr>
      </w:pPr>
      <w:r>
        <w:rPr>
          <w:color w:val="000000"/>
        </w:rPr>
        <w:t>Chowdhary, Yukti (2014) “Tribunal on trial”</w:t>
      </w:r>
      <w:r w:rsidR="00186E40" w:rsidRPr="00827A08">
        <w:rPr>
          <w:color w:val="000000"/>
        </w:rPr>
        <w:t xml:space="preserve"> </w:t>
      </w:r>
      <w:hyperlink r:id="rId24" w:history="1">
        <w:r w:rsidR="00186E40" w:rsidRPr="00827A08">
          <w:rPr>
            <w:rStyle w:val="Hyperlink"/>
          </w:rPr>
          <w:t>http://www.downtoearth.org.in/coverage/tribunal-on-trial-47400</w:t>
        </w:r>
      </w:hyperlink>
      <w:r w:rsidR="00186E40" w:rsidRPr="00827A08">
        <w:rPr>
          <w:color w:val="000000"/>
        </w:rPr>
        <w:t xml:space="preserve"> (accessed 11 October 2016).</w:t>
      </w:r>
    </w:p>
    <w:p w14:paraId="06C7B0F1" w14:textId="77777777" w:rsidR="00186E40" w:rsidRPr="00827A08" w:rsidRDefault="00186E40" w:rsidP="00297F8F">
      <w:pPr>
        <w:spacing w:line="360" w:lineRule="auto"/>
        <w:rPr>
          <w:color w:val="000000"/>
        </w:rPr>
      </w:pPr>
    </w:p>
    <w:p w14:paraId="35DBAF0B" w14:textId="77777777" w:rsidR="00186E40" w:rsidRPr="00827A08" w:rsidRDefault="00186E40" w:rsidP="00297F8F">
      <w:pPr>
        <w:spacing w:line="360" w:lineRule="auto"/>
        <w:rPr>
          <w:rFonts w:eastAsia="Times New Roman"/>
        </w:rPr>
      </w:pPr>
      <w:r w:rsidRPr="00827A08">
        <w:rPr>
          <w:rFonts w:eastAsia="Times New Roman"/>
        </w:rPr>
        <w:t xml:space="preserve">Christensen, Tom, Lægreid Per, Roness Paul G and Røvik Kjell Arne (2008) </w:t>
      </w:r>
      <w:r w:rsidRPr="00827A08">
        <w:rPr>
          <w:rStyle w:val="ff2"/>
          <w:rFonts w:eastAsia="Times New Roman"/>
          <w:i/>
        </w:rPr>
        <w:t xml:space="preserve">Organization Theory and the Public Sector: </w:t>
      </w:r>
      <w:r w:rsidRPr="00827A08">
        <w:rPr>
          <w:rFonts w:eastAsia="Times New Roman"/>
          <w:i/>
        </w:rPr>
        <w:t>Instrument, Culture and Myth</w:t>
      </w:r>
      <w:r w:rsidRPr="00827A08">
        <w:rPr>
          <w:rFonts w:eastAsia="Times New Roman"/>
        </w:rPr>
        <w:t xml:space="preserve">, </w:t>
      </w:r>
      <w:r w:rsidRPr="00827A08">
        <w:rPr>
          <w:rStyle w:val="ff1"/>
          <w:rFonts w:eastAsia="Times New Roman"/>
        </w:rPr>
        <w:t xml:space="preserve">London: Routledge. </w:t>
      </w:r>
    </w:p>
    <w:p w14:paraId="47D71A41" w14:textId="77777777" w:rsidR="00186E40" w:rsidRPr="00827A08" w:rsidRDefault="00186E40" w:rsidP="00297F8F">
      <w:pPr>
        <w:spacing w:line="360" w:lineRule="auto"/>
        <w:rPr>
          <w:color w:val="000000"/>
        </w:rPr>
      </w:pPr>
    </w:p>
    <w:p w14:paraId="2217009D" w14:textId="77777777" w:rsidR="00186E40" w:rsidRPr="00827A08" w:rsidRDefault="00186E40" w:rsidP="00297F8F">
      <w:pPr>
        <w:spacing w:line="360" w:lineRule="auto"/>
        <w:rPr>
          <w:color w:val="000000"/>
        </w:rPr>
      </w:pPr>
      <w:r w:rsidRPr="00827A08">
        <w:rPr>
          <w:color w:val="000000"/>
        </w:rPr>
        <w:t xml:space="preserve">Clegg Stewart R, Kornberger Martin and Pitsis Tyrone (2005) </w:t>
      </w:r>
      <w:r w:rsidRPr="00827A08">
        <w:rPr>
          <w:i/>
          <w:color w:val="000000"/>
        </w:rPr>
        <w:t>Managing and Organisations: An Introduction to Theory and Practice</w:t>
      </w:r>
      <w:r w:rsidRPr="00827A08">
        <w:rPr>
          <w:color w:val="000000"/>
        </w:rPr>
        <w:t>,</w:t>
      </w:r>
      <w:r w:rsidRPr="00827A08">
        <w:rPr>
          <w:i/>
          <w:color w:val="000000"/>
        </w:rPr>
        <w:t xml:space="preserve"> </w:t>
      </w:r>
      <w:r w:rsidRPr="00827A08">
        <w:rPr>
          <w:color w:val="000000"/>
        </w:rPr>
        <w:t>London: SAGE.</w:t>
      </w:r>
    </w:p>
    <w:p w14:paraId="677F4812" w14:textId="77777777" w:rsidR="00186E40" w:rsidRPr="00827A08" w:rsidRDefault="00186E40" w:rsidP="00297F8F">
      <w:pPr>
        <w:spacing w:line="360" w:lineRule="auto"/>
        <w:rPr>
          <w:color w:val="000000"/>
        </w:rPr>
      </w:pPr>
    </w:p>
    <w:p w14:paraId="18FCCDDB" w14:textId="465FBF21" w:rsidR="00186E40" w:rsidRPr="00827A08" w:rsidRDefault="00083938" w:rsidP="00297F8F">
      <w:pPr>
        <w:spacing w:line="360" w:lineRule="auto"/>
        <w:rPr>
          <w:color w:val="000000"/>
        </w:rPr>
      </w:pPr>
      <w:r>
        <w:rPr>
          <w:color w:val="000000"/>
        </w:rPr>
        <w:t>cseindia.org (2016) “</w:t>
      </w:r>
      <w:r w:rsidR="00186E40" w:rsidRPr="00827A08">
        <w:rPr>
          <w:color w:val="000000"/>
        </w:rPr>
        <w:t>NDA’s environmental clearance record not significantly different from UPAs’ Centre for Science and Envi</w:t>
      </w:r>
      <w:r>
        <w:rPr>
          <w:color w:val="000000"/>
        </w:rPr>
        <w:t>ronment”</w:t>
      </w:r>
      <w:r w:rsidR="00186E40" w:rsidRPr="00827A08">
        <w:rPr>
          <w:color w:val="000000"/>
        </w:rPr>
        <w:t xml:space="preserve"> </w:t>
      </w:r>
      <w:hyperlink r:id="rId25" w:history="1">
        <w:r w:rsidR="00186E40" w:rsidRPr="00827A08">
          <w:rPr>
            <w:rStyle w:val="Hyperlink"/>
          </w:rPr>
          <w:t>http://www.cseindia.org/content/ nda%E2%80%99s-environmental-clearance-record-not-signi cantly-different-upa%E2 %80%99s-says-analysis-cse</w:t>
        </w:r>
      </w:hyperlink>
      <w:r w:rsidR="00186E40" w:rsidRPr="00827A08">
        <w:rPr>
          <w:color w:val="000000"/>
        </w:rPr>
        <w:t xml:space="preserve"> (accessed 10 December 2017).</w:t>
      </w:r>
    </w:p>
    <w:p w14:paraId="357212F1" w14:textId="77777777" w:rsidR="00186E40" w:rsidRPr="00827A08" w:rsidRDefault="00186E40" w:rsidP="00297F8F">
      <w:pPr>
        <w:spacing w:line="360" w:lineRule="auto"/>
        <w:rPr>
          <w:color w:val="000000"/>
        </w:rPr>
      </w:pPr>
    </w:p>
    <w:p w14:paraId="744D6CDB" w14:textId="6965E063" w:rsidR="00186E40" w:rsidRPr="00827A08" w:rsidRDefault="00186E40" w:rsidP="00297F8F">
      <w:pPr>
        <w:spacing w:line="360" w:lineRule="auto"/>
        <w:rPr>
          <w:color w:val="000000"/>
        </w:rPr>
      </w:pPr>
      <w:r w:rsidRPr="00827A08">
        <w:rPr>
          <w:color w:val="000000"/>
        </w:rPr>
        <w:t>Desai, Bhara</w:t>
      </w:r>
      <w:r w:rsidR="00083938">
        <w:rPr>
          <w:color w:val="000000"/>
        </w:rPr>
        <w:t>t H and Sandhu, Balraj (2010) “</w:t>
      </w:r>
      <w:r w:rsidRPr="00827A08">
        <w:rPr>
          <w:color w:val="000000"/>
        </w:rPr>
        <w:t>On the q</w:t>
      </w:r>
      <w:r w:rsidR="00083938">
        <w:rPr>
          <w:color w:val="000000"/>
        </w:rPr>
        <w:t>uest for green courts in India”</w:t>
      </w:r>
      <w:r w:rsidRPr="00827A08">
        <w:rPr>
          <w:color w:val="000000"/>
        </w:rPr>
        <w:t xml:space="preserve"> 3(1) </w:t>
      </w:r>
      <w:r w:rsidRPr="00827A08">
        <w:rPr>
          <w:i/>
          <w:color w:val="000000"/>
        </w:rPr>
        <w:t>Journal of Court Innovation</w:t>
      </w:r>
      <w:r w:rsidRPr="00827A08">
        <w:rPr>
          <w:color w:val="000000"/>
        </w:rPr>
        <w:t xml:space="preserve"> 79-110.</w:t>
      </w:r>
    </w:p>
    <w:p w14:paraId="59560E6F" w14:textId="77777777" w:rsidR="00186E40" w:rsidRPr="00827A08" w:rsidRDefault="00186E40" w:rsidP="00297F8F">
      <w:pPr>
        <w:spacing w:line="360" w:lineRule="auto"/>
        <w:rPr>
          <w:color w:val="000000"/>
        </w:rPr>
      </w:pPr>
    </w:p>
    <w:p w14:paraId="76850AFE" w14:textId="50B95B7A" w:rsidR="00186E40" w:rsidRDefault="00083938" w:rsidP="00297F8F">
      <w:pPr>
        <w:spacing w:line="360" w:lineRule="auto"/>
        <w:rPr>
          <w:color w:val="000000"/>
        </w:rPr>
      </w:pPr>
      <w:r>
        <w:rPr>
          <w:color w:val="000000"/>
        </w:rPr>
        <w:t>Domas, Michael Hantke (2017) “</w:t>
      </w:r>
      <w:r w:rsidR="00186E40" w:rsidRPr="00827A08">
        <w:rPr>
          <w:color w:val="000000"/>
        </w:rPr>
        <w:t xml:space="preserve">Book Review- Environmental Justice in India </w:t>
      </w:r>
      <w:r>
        <w:rPr>
          <w:color w:val="000000"/>
        </w:rPr>
        <w:t xml:space="preserve">- The National Green Tribunal” </w:t>
      </w:r>
      <w:r w:rsidR="00186E40" w:rsidRPr="00827A08">
        <w:rPr>
          <w:color w:val="000000"/>
        </w:rPr>
        <w:t xml:space="preserve">6(3) </w:t>
      </w:r>
      <w:r w:rsidR="00186E40" w:rsidRPr="00827A08">
        <w:rPr>
          <w:i/>
          <w:color w:val="000000"/>
        </w:rPr>
        <w:t>Transnational Environmental Law</w:t>
      </w:r>
      <w:r w:rsidR="00186E40" w:rsidRPr="00827A08">
        <w:rPr>
          <w:color w:val="000000"/>
        </w:rPr>
        <w:t xml:space="preserve"> 557-60.</w:t>
      </w:r>
    </w:p>
    <w:p w14:paraId="4CB80255" w14:textId="77777777" w:rsidR="00297F8F" w:rsidRPr="00827A08" w:rsidRDefault="00297F8F" w:rsidP="00297F8F">
      <w:pPr>
        <w:spacing w:line="360" w:lineRule="auto"/>
        <w:rPr>
          <w:color w:val="000000"/>
        </w:rPr>
      </w:pPr>
    </w:p>
    <w:p w14:paraId="6903AA3B" w14:textId="23367177" w:rsidR="00186E40" w:rsidRPr="00827A08" w:rsidRDefault="004E013B" w:rsidP="00297F8F">
      <w:pPr>
        <w:spacing w:line="360" w:lineRule="auto"/>
        <w:rPr>
          <w:color w:val="000000"/>
        </w:rPr>
      </w:pPr>
      <w:r>
        <w:rPr>
          <w:color w:val="000000"/>
        </w:rPr>
        <w:t>downtoearth.org.in (2014) “</w:t>
      </w:r>
      <w:r w:rsidR="00186E40" w:rsidRPr="00827A08">
        <w:rPr>
          <w:color w:val="000000"/>
        </w:rPr>
        <w:t>The</w:t>
      </w:r>
      <w:r>
        <w:rPr>
          <w:color w:val="000000"/>
        </w:rPr>
        <w:t xml:space="preserve"> NGT Must Have Suo Motu Powers”</w:t>
      </w:r>
      <w:r w:rsidR="00186E40" w:rsidRPr="00827A08">
        <w:rPr>
          <w:color w:val="000000"/>
        </w:rPr>
        <w:t xml:space="preserve"> </w:t>
      </w:r>
      <w:hyperlink r:id="rId26" w:history="1">
        <w:r w:rsidR="00186E40" w:rsidRPr="00827A08">
          <w:rPr>
            <w:rStyle w:val="Hyperlink"/>
          </w:rPr>
          <w:t>http://www.downtoearth.org.in/interviews/ngt-must-have-suo-motu-powers-47542</w:t>
        </w:r>
      </w:hyperlink>
      <w:r w:rsidR="00186E40" w:rsidRPr="00827A08">
        <w:rPr>
          <w:color w:val="000000"/>
        </w:rPr>
        <w:t xml:space="preserve"> (accessed 15 July 2016).</w:t>
      </w:r>
    </w:p>
    <w:p w14:paraId="4CA6924B" w14:textId="77777777" w:rsidR="00186E40" w:rsidRPr="00827A08" w:rsidRDefault="00186E40" w:rsidP="00297F8F">
      <w:pPr>
        <w:spacing w:line="360" w:lineRule="auto"/>
        <w:rPr>
          <w:color w:val="000000"/>
        </w:rPr>
      </w:pPr>
    </w:p>
    <w:p w14:paraId="2D472090" w14:textId="2DAD29C4" w:rsidR="00186E40" w:rsidRPr="00827A08" w:rsidRDefault="004E013B" w:rsidP="00297F8F">
      <w:pPr>
        <w:spacing w:line="360" w:lineRule="auto"/>
        <w:rPr>
          <w:color w:val="000000"/>
        </w:rPr>
      </w:pPr>
      <w:r>
        <w:rPr>
          <w:color w:val="000000"/>
        </w:rPr>
        <w:t>Dutta Ritwick (2015) “</w:t>
      </w:r>
      <w:r w:rsidR="00186E40" w:rsidRPr="00827A08">
        <w:rPr>
          <w:color w:val="000000"/>
        </w:rPr>
        <w:t>India's Green Tribunal takes</w:t>
      </w:r>
      <w:r>
        <w:rPr>
          <w:color w:val="000000"/>
        </w:rPr>
        <w:t xml:space="preserve"> on major environmental abuses”</w:t>
      </w:r>
      <w:r w:rsidR="00186E40" w:rsidRPr="00827A08">
        <w:rPr>
          <w:color w:val="000000"/>
        </w:rPr>
        <w:t xml:space="preserve"> </w:t>
      </w:r>
      <w:hyperlink r:id="rId27" w:history="1">
        <w:r w:rsidR="00186E40" w:rsidRPr="00827A08">
          <w:rPr>
            <w:rStyle w:val="Hyperlink"/>
          </w:rPr>
          <w:t>https://elaw.org/indias-green-tribunal-takes-major-environmental-abuses</w:t>
        </w:r>
      </w:hyperlink>
      <w:r w:rsidR="00186E40" w:rsidRPr="00827A08">
        <w:rPr>
          <w:color w:val="000000"/>
        </w:rPr>
        <w:t xml:space="preserve"> (accessed 10 June 2016).</w:t>
      </w:r>
    </w:p>
    <w:p w14:paraId="1CB8FB92" w14:textId="77777777" w:rsidR="00186E40" w:rsidRPr="00827A08" w:rsidRDefault="00186E40" w:rsidP="00297F8F">
      <w:pPr>
        <w:spacing w:line="360" w:lineRule="auto"/>
        <w:rPr>
          <w:color w:val="000000"/>
        </w:rPr>
      </w:pPr>
    </w:p>
    <w:p w14:paraId="7F97DFE9" w14:textId="04FE6D74" w:rsidR="00186E40" w:rsidRPr="00827A08" w:rsidRDefault="004E013B" w:rsidP="00297F8F">
      <w:pPr>
        <w:spacing w:line="360" w:lineRule="auto"/>
        <w:rPr>
          <w:color w:val="000000" w:themeColor="text1"/>
        </w:rPr>
      </w:pPr>
      <w:r>
        <w:rPr>
          <w:color w:val="000000"/>
        </w:rPr>
        <w:t>Dutta Ritwick (2017) “</w:t>
      </w:r>
      <w:r w:rsidR="00186E40" w:rsidRPr="00827A08">
        <w:rPr>
          <w:color w:val="000000"/>
        </w:rPr>
        <w:t>How the Finance Act 2017 Cripples</w:t>
      </w:r>
      <w:r>
        <w:rPr>
          <w:color w:val="000000"/>
        </w:rPr>
        <w:t xml:space="preserve"> National Green Tribunal (NGT)”</w:t>
      </w:r>
      <w:r w:rsidR="00186E40" w:rsidRPr="00827A08">
        <w:rPr>
          <w:color w:val="000000"/>
        </w:rPr>
        <w:t xml:space="preserve"> </w:t>
      </w:r>
      <w:hyperlink r:id="rId28" w:history="1">
        <w:r w:rsidR="00186E40" w:rsidRPr="00827A08">
          <w:rPr>
            <w:rStyle w:val="Hyperlink"/>
          </w:rPr>
          <w:t>http://www.livelaw.in/finance-act-2017-cripples-national-green-tribunalngt/</w:t>
        </w:r>
      </w:hyperlink>
      <w:r w:rsidR="00186E40" w:rsidRPr="00827A08">
        <w:rPr>
          <w:rStyle w:val="Hyperlink"/>
        </w:rPr>
        <w:t xml:space="preserve"> </w:t>
      </w:r>
      <w:r w:rsidR="00186E40" w:rsidRPr="00827A08">
        <w:rPr>
          <w:rStyle w:val="Hyperlink"/>
          <w:color w:val="000000" w:themeColor="text1"/>
        </w:rPr>
        <w:t>(accessed 10 January 2018).</w:t>
      </w:r>
    </w:p>
    <w:p w14:paraId="0075DF9D" w14:textId="77777777" w:rsidR="00186E40" w:rsidRPr="00827A08" w:rsidRDefault="00186E40" w:rsidP="00297F8F">
      <w:pPr>
        <w:spacing w:line="360" w:lineRule="auto"/>
        <w:rPr>
          <w:color w:val="000000"/>
        </w:rPr>
      </w:pPr>
    </w:p>
    <w:p w14:paraId="45104827" w14:textId="2D92D7A1" w:rsidR="00186E40" w:rsidRPr="00827A08" w:rsidRDefault="00186E40" w:rsidP="00297F8F">
      <w:pPr>
        <w:spacing w:line="360" w:lineRule="auto"/>
        <w:rPr>
          <w:color w:val="000000"/>
        </w:rPr>
      </w:pPr>
      <w:r w:rsidRPr="00827A08">
        <w:rPr>
          <w:color w:val="000000"/>
        </w:rPr>
        <w:t>econom</w:t>
      </w:r>
      <w:r w:rsidR="004E013B">
        <w:rPr>
          <w:color w:val="000000"/>
        </w:rPr>
        <w:t>ictimes.inditimes.com (2017) “</w:t>
      </w:r>
      <w:r w:rsidRPr="00827A08">
        <w:rPr>
          <w:color w:val="000000"/>
        </w:rPr>
        <w:t>NGT raps MoEF over emission standards for thermal power plants</w:t>
      </w:r>
      <w:r w:rsidR="006A1EF8">
        <w:rPr>
          <w:color w:val="000000"/>
        </w:rPr>
        <w:t>”</w:t>
      </w:r>
      <w:r w:rsidRPr="00827A08">
        <w:rPr>
          <w:color w:val="000000"/>
        </w:rPr>
        <w:t xml:space="preserve"> </w:t>
      </w:r>
      <w:hyperlink r:id="rId29" w:history="1">
        <w:r w:rsidRPr="00827A08">
          <w:rPr>
            <w:rStyle w:val="Hyperlink"/>
          </w:rPr>
          <w:t>https://economictimes.indiatimes.com/news/politics-and-nation/ngt-raps-moef-over-emission-standards-for-thermal-power-plants/articleshow/60813505.cms</w:t>
        </w:r>
      </w:hyperlink>
      <w:r w:rsidRPr="00827A08">
        <w:rPr>
          <w:color w:val="000000"/>
        </w:rPr>
        <w:t xml:space="preserve"> (accessed 21 February 2018). </w:t>
      </w:r>
    </w:p>
    <w:p w14:paraId="1CACC9E7" w14:textId="77777777" w:rsidR="00186E40" w:rsidRPr="00827A08" w:rsidRDefault="00186E40" w:rsidP="00297F8F">
      <w:pPr>
        <w:spacing w:line="360" w:lineRule="auto"/>
        <w:rPr>
          <w:color w:val="000000"/>
        </w:rPr>
      </w:pPr>
    </w:p>
    <w:p w14:paraId="2BCA57AB" w14:textId="079E51D0" w:rsidR="00186E40" w:rsidRPr="00827A08" w:rsidRDefault="00186E40" w:rsidP="00297F8F">
      <w:pPr>
        <w:spacing w:line="360" w:lineRule="auto"/>
        <w:rPr>
          <w:color w:val="000000"/>
        </w:rPr>
      </w:pPr>
      <w:r w:rsidRPr="00827A08">
        <w:rPr>
          <w:color w:val="000000"/>
        </w:rPr>
        <w:t>econom</w:t>
      </w:r>
      <w:r w:rsidR="006A1EF8">
        <w:rPr>
          <w:color w:val="000000"/>
        </w:rPr>
        <w:t>ictimes.inditimes.com (2017) “</w:t>
      </w:r>
      <w:r w:rsidRPr="00827A08">
        <w:rPr>
          <w:color w:val="000000"/>
        </w:rPr>
        <w:t>Why contempt should not be initiate</w:t>
      </w:r>
      <w:r w:rsidR="006A1EF8">
        <w:rPr>
          <w:color w:val="000000"/>
        </w:rPr>
        <w:t>d against Delhi govt, DJB: NGT”</w:t>
      </w:r>
      <w:r w:rsidRPr="00827A08">
        <w:rPr>
          <w:color w:val="000000"/>
        </w:rPr>
        <w:t> </w:t>
      </w:r>
      <w:hyperlink r:id="rId30" w:history="1">
        <w:r w:rsidRPr="00827A08">
          <w:rPr>
            <w:rStyle w:val="Hyperlink"/>
          </w:rPr>
          <w:t>https://economictimes.indiatimes.com/news/politics-and-nation/why-contempt-should-not-be-initiated-agnst-delhi-govt-djb-ngt/articleshow/61185784.cms</w:t>
        </w:r>
      </w:hyperlink>
      <w:r w:rsidRPr="00827A08">
        <w:rPr>
          <w:color w:val="000000"/>
        </w:rPr>
        <w:t xml:space="preserve"> (accessed 13 January 2018). </w:t>
      </w:r>
    </w:p>
    <w:p w14:paraId="0C92102B" w14:textId="77777777" w:rsidR="00186E40" w:rsidRPr="00827A08" w:rsidRDefault="00186E40" w:rsidP="00297F8F">
      <w:pPr>
        <w:spacing w:line="360" w:lineRule="auto"/>
        <w:rPr>
          <w:color w:val="000000"/>
        </w:rPr>
      </w:pPr>
    </w:p>
    <w:p w14:paraId="5A82FB51" w14:textId="377B239B" w:rsidR="00186E40" w:rsidRPr="00827A08" w:rsidRDefault="00186E40" w:rsidP="00297F8F">
      <w:pPr>
        <w:spacing w:line="360" w:lineRule="auto"/>
        <w:rPr>
          <w:color w:val="000000"/>
        </w:rPr>
      </w:pPr>
      <w:r w:rsidRPr="00827A08">
        <w:rPr>
          <w:color w:val="000000"/>
        </w:rPr>
        <w:t xml:space="preserve">Faure, </w:t>
      </w:r>
      <w:r w:rsidR="002C4D86">
        <w:rPr>
          <w:color w:val="000000"/>
        </w:rPr>
        <w:t>Michael G and Raja, A V (2010) “</w:t>
      </w:r>
      <w:r w:rsidRPr="00827A08">
        <w:rPr>
          <w:color w:val="000000"/>
        </w:rPr>
        <w:t>Effectiveness of environmental public interest litigation in India</w:t>
      </w:r>
      <w:r w:rsidR="002C4D86">
        <w:rPr>
          <w:color w:val="000000"/>
        </w:rPr>
        <w:t>: determining the key variable”</w:t>
      </w:r>
      <w:r w:rsidRPr="00827A08">
        <w:rPr>
          <w:color w:val="000000"/>
        </w:rPr>
        <w:t xml:space="preserve"> 21 </w:t>
      </w:r>
      <w:r w:rsidRPr="00827A08">
        <w:rPr>
          <w:i/>
          <w:color w:val="000000"/>
        </w:rPr>
        <w:t>Fordham Environmental LR</w:t>
      </w:r>
      <w:r w:rsidRPr="00827A08">
        <w:rPr>
          <w:color w:val="000000"/>
        </w:rPr>
        <w:t xml:space="preserve"> 239-292.</w:t>
      </w:r>
    </w:p>
    <w:p w14:paraId="6DF02704" w14:textId="77777777" w:rsidR="00186E40" w:rsidRPr="00827A08" w:rsidRDefault="00186E40" w:rsidP="00297F8F">
      <w:pPr>
        <w:spacing w:line="360" w:lineRule="auto"/>
        <w:rPr>
          <w:color w:val="000000"/>
        </w:rPr>
      </w:pPr>
    </w:p>
    <w:p w14:paraId="493898E7" w14:textId="671B904A" w:rsidR="00224407" w:rsidRDefault="002C4D86" w:rsidP="00297F8F">
      <w:pPr>
        <w:spacing w:line="360" w:lineRule="auto"/>
        <w:rPr>
          <w:color w:val="000000"/>
        </w:rPr>
      </w:pPr>
      <w:r>
        <w:rPr>
          <w:color w:val="000000"/>
        </w:rPr>
        <w:t>Financialtimes.com (2018) “</w:t>
      </w:r>
      <w:r w:rsidR="00186E40" w:rsidRPr="00827A08">
        <w:rPr>
          <w:color w:val="000000"/>
        </w:rPr>
        <w:t xml:space="preserve">Narendra Modi aims to double the </w:t>
      </w:r>
      <w:r>
        <w:rPr>
          <w:color w:val="000000"/>
        </w:rPr>
        <w:t>size of Indian economy by 2025”</w:t>
      </w:r>
      <w:r w:rsidR="00186E40" w:rsidRPr="00827A08">
        <w:rPr>
          <w:color w:val="000000"/>
        </w:rPr>
        <w:t xml:space="preserve"> </w:t>
      </w:r>
      <w:hyperlink r:id="rId31" w:history="1">
        <w:r w:rsidR="00186E40" w:rsidRPr="00827A08">
          <w:rPr>
            <w:rStyle w:val="Hyperlink"/>
          </w:rPr>
          <w:t>https://www.ft.com/content/156e5e7e-0047-11e8-9650-9c0ad2d7c5b5</w:t>
        </w:r>
      </w:hyperlink>
      <w:r w:rsidR="00186E40" w:rsidRPr="00827A08">
        <w:rPr>
          <w:color w:val="000000"/>
        </w:rPr>
        <w:t xml:space="preserve"> (accessed 20 April 2018).</w:t>
      </w:r>
      <w:r w:rsidR="00224407">
        <w:rPr>
          <w:color w:val="000000"/>
        </w:rPr>
        <w:t xml:space="preserve"> </w:t>
      </w:r>
    </w:p>
    <w:p w14:paraId="326F1188" w14:textId="77777777" w:rsidR="00224407" w:rsidRDefault="00224407" w:rsidP="00297F8F">
      <w:pPr>
        <w:spacing w:line="360" w:lineRule="auto"/>
        <w:rPr>
          <w:color w:val="000000"/>
        </w:rPr>
      </w:pPr>
    </w:p>
    <w:p w14:paraId="3115C76E" w14:textId="304D5860" w:rsidR="00186E40" w:rsidRPr="00827A08" w:rsidRDefault="00224407" w:rsidP="00297F8F">
      <w:pPr>
        <w:spacing w:line="360" w:lineRule="auto"/>
        <w:rPr>
          <w:color w:val="000000"/>
        </w:rPr>
      </w:pPr>
      <w:r>
        <w:rPr>
          <w:color w:val="000000"/>
        </w:rPr>
        <w:t>Galanter</w:t>
      </w:r>
      <w:r w:rsidR="00AB7C5F">
        <w:rPr>
          <w:color w:val="000000"/>
        </w:rPr>
        <w:t>, Marc</w:t>
      </w:r>
      <w:r>
        <w:rPr>
          <w:color w:val="000000"/>
        </w:rPr>
        <w:t xml:space="preserve"> (2010)</w:t>
      </w:r>
      <w:r w:rsidR="004706F7">
        <w:rPr>
          <w:color w:val="000000"/>
        </w:rPr>
        <w:t xml:space="preserve"> “</w:t>
      </w:r>
      <w:r w:rsidR="00AB7C5F">
        <w:rPr>
          <w:color w:val="000000"/>
        </w:rPr>
        <w:t>Snakes and Ladders: Suo Motu Interve</w:t>
      </w:r>
      <w:r w:rsidR="004706F7">
        <w:rPr>
          <w:color w:val="000000"/>
        </w:rPr>
        <w:t>ntion and the Indian Judiciary”</w:t>
      </w:r>
      <w:r w:rsidR="00AB7C5F">
        <w:rPr>
          <w:color w:val="000000"/>
        </w:rPr>
        <w:t xml:space="preserve"> 10 (1) </w:t>
      </w:r>
      <w:r w:rsidR="00AB7C5F" w:rsidRPr="00AB7C5F">
        <w:rPr>
          <w:i/>
          <w:color w:val="000000"/>
        </w:rPr>
        <w:t>FIU L Rev.</w:t>
      </w:r>
      <w:r w:rsidR="00AB7C5F">
        <w:rPr>
          <w:color w:val="000000"/>
        </w:rPr>
        <w:t xml:space="preserve"> 69-83.</w:t>
      </w:r>
    </w:p>
    <w:p w14:paraId="2B908DEB" w14:textId="77777777" w:rsidR="00186E40" w:rsidRPr="00827A08" w:rsidRDefault="00186E40" w:rsidP="00297F8F">
      <w:pPr>
        <w:spacing w:line="360" w:lineRule="auto"/>
        <w:rPr>
          <w:color w:val="000000"/>
        </w:rPr>
      </w:pPr>
    </w:p>
    <w:p w14:paraId="63A14ABC" w14:textId="54E140E5" w:rsidR="00186E40" w:rsidRPr="00827A08" w:rsidRDefault="000409B8" w:rsidP="00297F8F">
      <w:pPr>
        <w:spacing w:line="360" w:lineRule="auto"/>
        <w:rPr>
          <w:color w:val="000000"/>
        </w:rPr>
      </w:pPr>
      <w:r>
        <w:rPr>
          <w:color w:val="000000"/>
        </w:rPr>
        <w:t>Ghosal Anniruddha (2014) “</w:t>
      </w:r>
      <w:r w:rsidR="00186E40" w:rsidRPr="00827A08">
        <w:rPr>
          <w:color w:val="000000"/>
        </w:rPr>
        <w:t>Western Ghat</w:t>
      </w:r>
      <w:r>
        <w:rPr>
          <w:color w:val="000000"/>
        </w:rPr>
        <w:t>s: NGT rap for Forest Ministry”</w:t>
      </w:r>
      <w:r w:rsidR="00186E40" w:rsidRPr="00827A08">
        <w:rPr>
          <w:color w:val="000000"/>
        </w:rPr>
        <w:t xml:space="preserve"> </w:t>
      </w:r>
      <w:hyperlink r:id="rId32" w:history="1">
        <w:r w:rsidR="00186E40" w:rsidRPr="00827A08">
          <w:rPr>
            <w:rStyle w:val="Hyperlink"/>
          </w:rPr>
          <w:t>http://indianexpress.com/article/india/india-others/western-ghats-ngt-rap-for-forest-ministry/</w:t>
        </w:r>
      </w:hyperlink>
      <w:r w:rsidR="00186E40" w:rsidRPr="00827A08">
        <w:rPr>
          <w:color w:val="000000"/>
        </w:rPr>
        <w:t xml:space="preserve"> (accessed 6 April 2016).</w:t>
      </w:r>
    </w:p>
    <w:p w14:paraId="3DBCEA62" w14:textId="77777777" w:rsidR="00186E40" w:rsidRPr="00827A08" w:rsidRDefault="00186E40" w:rsidP="00297F8F">
      <w:pPr>
        <w:spacing w:line="360" w:lineRule="auto"/>
        <w:rPr>
          <w:color w:val="000000"/>
        </w:rPr>
      </w:pPr>
    </w:p>
    <w:p w14:paraId="13789483" w14:textId="418B403B" w:rsidR="00186E40" w:rsidRPr="00827A08" w:rsidRDefault="000409B8" w:rsidP="00297F8F">
      <w:pPr>
        <w:spacing w:line="360" w:lineRule="auto"/>
        <w:rPr>
          <w:color w:val="000000"/>
        </w:rPr>
      </w:pPr>
      <w:r>
        <w:rPr>
          <w:color w:val="000000"/>
        </w:rPr>
        <w:t>Gill Gitanjali Nain (2016) “</w:t>
      </w:r>
      <w:r w:rsidR="00186E40" w:rsidRPr="00827A08">
        <w:rPr>
          <w:color w:val="000000"/>
        </w:rPr>
        <w:t>Environmental Justice in India: The National Gre</w:t>
      </w:r>
      <w:r>
        <w:rPr>
          <w:color w:val="000000"/>
        </w:rPr>
        <w:t>en Tribunal and Expert Members”</w:t>
      </w:r>
      <w:r w:rsidR="00186E40" w:rsidRPr="00827A08">
        <w:rPr>
          <w:color w:val="000000"/>
        </w:rPr>
        <w:t xml:space="preserve"> 5(1) </w:t>
      </w:r>
      <w:r w:rsidR="00186E40" w:rsidRPr="00827A08">
        <w:rPr>
          <w:i/>
          <w:color w:val="000000"/>
        </w:rPr>
        <w:t>Transnational Environmental Law</w:t>
      </w:r>
      <w:r w:rsidR="00186E40" w:rsidRPr="00827A08">
        <w:rPr>
          <w:color w:val="000000"/>
        </w:rPr>
        <w:t xml:space="preserve"> 175-205.</w:t>
      </w:r>
    </w:p>
    <w:p w14:paraId="13E61014" w14:textId="77777777" w:rsidR="00186E40" w:rsidRPr="00827A08" w:rsidRDefault="00186E40" w:rsidP="00297F8F">
      <w:pPr>
        <w:spacing w:line="360" w:lineRule="auto"/>
        <w:rPr>
          <w:color w:val="000000"/>
        </w:rPr>
      </w:pPr>
    </w:p>
    <w:p w14:paraId="7C03825D" w14:textId="4E5E049D" w:rsidR="00186E40" w:rsidRPr="00827A08" w:rsidRDefault="000409B8" w:rsidP="00297F8F">
      <w:pPr>
        <w:spacing w:line="360" w:lineRule="auto"/>
        <w:rPr>
          <w:color w:val="000000"/>
        </w:rPr>
      </w:pPr>
      <w:r>
        <w:rPr>
          <w:color w:val="000000"/>
        </w:rPr>
        <w:t>Gill, Gitanjali Nain (2012) “</w:t>
      </w:r>
      <w:r w:rsidR="00186E40" w:rsidRPr="00827A08">
        <w:rPr>
          <w:color w:val="000000"/>
        </w:rPr>
        <w:t>Human Rights and the Environment in India: Access thro</w:t>
      </w:r>
      <w:r>
        <w:rPr>
          <w:color w:val="000000"/>
        </w:rPr>
        <w:t>ugh Public Interest Litigation”</w:t>
      </w:r>
      <w:r w:rsidR="00186E40" w:rsidRPr="00827A08">
        <w:rPr>
          <w:color w:val="000000"/>
        </w:rPr>
        <w:t xml:space="preserve"> 14 </w:t>
      </w:r>
      <w:r w:rsidR="00186E40" w:rsidRPr="00827A08">
        <w:rPr>
          <w:i/>
          <w:color w:val="000000"/>
        </w:rPr>
        <w:t>Environmental Law Review</w:t>
      </w:r>
      <w:r w:rsidR="00186E40" w:rsidRPr="00827A08">
        <w:rPr>
          <w:color w:val="000000"/>
        </w:rPr>
        <w:t xml:space="preserve"> 200-218.</w:t>
      </w:r>
    </w:p>
    <w:p w14:paraId="2DAD2558" w14:textId="77777777" w:rsidR="00186E40" w:rsidRPr="00827A08" w:rsidRDefault="00186E40" w:rsidP="00297F8F">
      <w:pPr>
        <w:spacing w:line="360" w:lineRule="auto"/>
        <w:rPr>
          <w:color w:val="000000"/>
        </w:rPr>
      </w:pPr>
    </w:p>
    <w:p w14:paraId="667E68AC" w14:textId="227D6600" w:rsidR="00186E40" w:rsidRPr="00827A08" w:rsidRDefault="00C33E11" w:rsidP="00297F8F">
      <w:pPr>
        <w:spacing w:line="360" w:lineRule="auto"/>
        <w:rPr>
          <w:color w:val="000000"/>
        </w:rPr>
      </w:pPr>
      <w:r>
        <w:rPr>
          <w:color w:val="000000"/>
        </w:rPr>
        <w:t>Gill, Gitanjali Nain (2015) “</w:t>
      </w:r>
      <w:r w:rsidR="00186E40" w:rsidRPr="00827A08">
        <w:rPr>
          <w:color w:val="000000"/>
        </w:rPr>
        <w:t xml:space="preserve">Human rights and environmental protection in India: a judicial journey from public interest litigation </w:t>
      </w:r>
      <w:r>
        <w:rPr>
          <w:color w:val="000000"/>
        </w:rPr>
        <w:t>to the National Green Tribunal”</w:t>
      </w:r>
      <w:r w:rsidR="00186E40" w:rsidRPr="00827A08">
        <w:rPr>
          <w:color w:val="000000"/>
        </w:rPr>
        <w:t xml:space="preserve"> in A Grear and E Grant eds., </w:t>
      </w:r>
      <w:r w:rsidR="00186E40" w:rsidRPr="00827A08">
        <w:rPr>
          <w:i/>
          <w:color w:val="000000"/>
        </w:rPr>
        <w:t>Thought, Law, Rights and Action in an Age of Environmental Crisis</w:t>
      </w:r>
      <w:r w:rsidR="00186E40" w:rsidRPr="00827A08">
        <w:rPr>
          <w:color w:val="000000"/>
        </w:rPr>
        <w:t xml:space="preserve">, Edward Elgar, 123–154. </w:t>
      </w:r>
    </w:p>
    <w:p w14:paraId="1A82882C" w14:textId="77777777" w:rsidR="00186E40" w:rsidRPr="00827A08" w:rsidRDefault="00186E40" w:rsidP="00297F8F">
      <w:pPr>
        <w:spacing w:line="360" w:lineRule="auto"/>
        <w:rPr>
          <w:color w:val="000000"/>
        </w:rPr>
      </w:pPr>
    </w:p>
    <w:p w14:paraId="1CAEB2DD" w14:textId="77777777" w:rsidR="00186E40" w:rsidRPr="00827A08" w:rsidRDefault="00186E40" w:rsidP="00297F8F">
      <w:pPr>
        <w:spacing w:line="360" w:lineRule="auto"/>
        <w:rPr>
          <w:color w:val="000000"/>
        </w:rPr>
      </w:pPr>
      <w:r w:rsidRPr="00827A08">
        <w:rPr>
          <w:color w:val="000000"/>
        </w:rPr>
        <w:t xml:space="preserve">Gill, Gitanjali Nain (2017) </w:t>
      </w:r>
      <w:r w:rsidRPr="00827A08">
        <w:rPr>
          <w:i/>
          <w:color w:val="000000"/>
        </w:rPr>
        <w:t>Environmental Justice in India: The National Green Tribunal</w:t>
      </w:r>
      <w:r w:rsidRPr="00827A08">
        <w:rPr>
          <w:color w:val="000000"/>
        </w:rPr>
        <w:t>, Routledge: UK.</w:t>
      </w:r>
    </w:p>
    <w:p w14:paraId="75108892" w14:textId="77777777" w:rsidR="00186E40" w:rsidRPr="00827A08" w:rsidRDefault="00186E40" w:rsidP="00297F8F">
      <w:pPr>
        <w:spacing w:line="360" w:lineRule="auto"/>
        <w:rPr>
          <w:color w:val="000000"/>
        </w:rPr>
      </w:pPr>
    </w:p>
    <w:p w14:paraId="16544366" w14:textId="1CA45895" w:rsidR="00186E40" w:rsidRPr="00827A08" w:rsidRDefault="00C33E11" w:rsidP="00297F8F">
      <w:pPr>
        <w:spacing w:line="360" w:lineRule="auto"/>
        <w:rPr>
          <w:color w:val="000000"/>
        </w:rPr>
      </w:pPr>
      <w:r>
        <w:rPr>
          <w:color w:val="000000"/>
        </w:rPr>
        <w:t>Gogoi Rajan (2017) “</w:t>
      </w:r>
      <w:r w:rsidR="00186E40" w:rsidRPr="00827A08">
        <w:rPr>
          <w:color w:val="000000"/>
        </w:rPr>
        <w:t>Message- Internati</w:t>
      </w:r>
      <w:r>
        <w:rPr>
          <w:color w:val="000000"/>
        </w:rPr>
        <w:t>onal Conference on Environment”</w:t>
      </w:r>
      <w:r w:rsidR="00186E40" w:rsidRPr="00827A08">
        <w:rPr>
          <w:color w:val="000000"/>
        </w:rPr>
        <w:t xml:space="preserve"> 2 </w:t>
      </w:r>
      <w:r w:rsidR="00186E40" w:rsidRPr="00827A08">
        <w:rPr>
          <w:i/>
          <w:color w:val="000000"/>
        </w:rPr>
        <w:t>NGT</w:t>
      </w:r>
      <w:r w:rsidR="00186E40" w:rsidRPr="00827A08">
        <w:rPr>
          <w:color w:val="000000"/>
        </w:rPr>
        <w:t xml:space="preserve"> </w:t>
      </w:r>
      <w:r w:rsidR="00186E40" w:rsidRPr="00827A08">
        <w:rPr>
          <w:i/>
          <w:color w:val="000000"/>
        </w:rPr>
        <w:t>International Journal on Environment.</w:t>
      </w:r>
    </w:p>
    <w:p w14:paraId="39AA6B5C" w14:textId="77777777" w:rsidR="00186E40" w:rsidRPr="00827A08" w:rsidRDefault="00186E40" w:rsidP="00297F8F">
      <w:pPr>
        <w:spacing w:line="360" w:lineRule="auto"/>
        <w:rPr>
          <w:color w:val="000000"/>
        </w:rPr>
      </w:pPr>
    </w:p>
    <w:p w14:paraId="59E570F4" w14:textId="6D97A532" w:rsidR="00186E40" w:rsidRPr="00827A08" w:rsidRDefault="00C33E11" w:rsidP="00297F8F">
      <w:pPr>
        <w:spacing w:line="360" w:lineRule="auto"/>
        <w:rPr>
          <w:color w:val="000000"/>
        </w:rPr>
      </w:pPr>
      <w:r>
        <w:rPr>
          <w:color w:val="000000"/>
        </w:rPr>
        <w:t>Graetz, Fiona (2000) “Strategic change leadership”</w:t>
      </w:r>
      <w:r w:rsidR="00186E40" w:rsidRPr="00827A08">
        <w:rPr>
          <w:color w:val="000000"/>
        </w:rPr>
        <w:t xml:space="preserve"> 38 (8) </w:t>
      </w:r>
      <w:r w:rsidR="00186E40" w:rsidRPr="00827A08">
        <w:rPr>
          <w:i/>
          <w:color w:val="000000"/>
        </w:rPr>
        <w:t>Management Decision</w:t>
      </w:r>
      <w:r w:rsidR="00186E40" w:rsidRPr="00827A08">
        <w:rPr>
          <w:color w:val="000000"/>
        </w:rPr>
        <w:t xml:space="preserve"> 550–562.</w:t>
      </w:r>
    </w:p>
    <w:p w14:paraId="522B13E3" w14:textId="77777777" w:rsidR="00186E40" w:rsidRPr="00827A08" w:rsidRDefault="00186E40" w:rsidP="00297F8F">
      <w:pPr>
        <w:spacing w:line="360" w:lineRule="auto"/>
        <w:rPr>
          <w:color w:val="000000"/>
        </w:rPr>
      </w:pPr>
    </w:p>
    <w:p w14:paraId="59A6BDBC" w14:textId="7F2970AD" w:rsidR="00186E40" w:rsidRPr="00827A08" w:rsidRDefault="00C33E11" w:rsidP="00297F8F">
      <w:pPr>
        <w:spacing w:line="360" w:lineRule="auto"/>
        <w:rPr>
          <w:color w:val="000000"/>
        </w:rPr>
      </w:pPr>
      <w:r>
        <w:rPr>
          <w:color w:val="000000"/>
        </w:rPr>
        <w:t>Gulati Ranjay (2007) “</w:t>
      </w:r>
      <w:r w:rsidR="00186E40" w:rsidRPr="00827A08">
        <w:rPr>
          <w:color w:val="000000"/>
        </w:rPr>
        <w:t xml:space="preserve">Tent poles, tribalism, and boundary spanning: the rigor–relevance </w:t>
      </w:r>
      <w:r>
        <w:rPr>
          <w:color w:val="000000"/>
        </w:rPr>
        <w:t>debate in management research”</w:t>
      </w:r>
      <w:r w:rsidR="00186E40" w:rsidRPr="00827A08">
        <w:rPr>
          <w:color w:val="000000"/>
        </w:rPr>
        <w:t xml:space="preserve"> 50 </w:t>
      </w:r>
      <w:r w:rsidR="00186E40" w:rsidRPr="00827A08">
        <w:rPr>
          <w:i/>
          <w:color w:val="000000"/>
        </w:rPr>
        <w:t>Academy of Management Journal</w:t>
      </w:r>
      <w:r w:rsidR="00186E40" w:rsidRPr="00827A08">
        <w:rPr>
          <w:color w:val="000000"/>
        </w:rPr>
        <w:t xml:space="preserve"> 775– 782. </w:t>
      </w:r>
    </w:p>
    <w:p w14:paraId="6CC9C011" w14:textId="77777777" w:rsidR="00186E40" w:rsidRPr="00827A08" w:rsidRDefault="00186E40" w:rsidP="00297F8F">
      <w:pPr>
        <w:spacing w:line="360" w:lineRule="auto"/>
        <w:rPr>
          <w:color w:val="000000"/>
        </w:rPr>
      </w:pPr>
    </w:p>
    <w:p w14:paraId="12DA462A" w14:textId="77777777" w:rsidR="00186E40" w:rsidRPr="00827A08" w:rsidRDefault="00186E40" w:rsidP="00297F8F">
      <w:pPr>
        <w:spacing w:line="360" w:lineRule="auto"/>
        <w:rPr>
          <w:rFonts w:eastAsia="Times New Roman"/>
        </w:rPr>
      </w:pPr>
      <w:r w:rsidRPr="00827A08">
        <w:rPr>
          <w:color w:val="000000"/>
        </w:rPr>
        <w:t xml:space="preserve">Hammer Michael and Champy James (2001) </w:t>
      </w:r>
      <w:r w:rsidRPr="00827A08">
        <w:rPr>
          <w:i/>
          <w:color w:val="000000"/>
        </w:rPr>
        <w:t>Reengineering the Corporation: A Manifesto for Business Revolution</w:t>
      </w:r>
      <w:r w:rsidRPr="00827A08">
        <w:rPr>
          <w:color w:val="000000"/>
        </w:rPr>
        <w:t xml:space="preserve">, </w:t>
      </w:r>
      <w:r w:rsidRPr="00827A08">
        <w:rPr>
          <w:rFonts w:eastAsia="Times New Roman"/>
          <w:color w:val="000000" w:themeColor="text1"/>
          <w:shd w:val="clear" w:color="auto" w:fill="FFFFFF"/>
        </w:rPr>
        <w:t>Nicholas Brealey Publishing.</w:t>
      </w:r>
    </w:p>
    <w:p w14:paraId="5AC261A5" w14:textId="77777777" w:rsidR="00186E40" w:rsidRPr="00827A08" w:rsidRDefault="00186E40" w:rsidP="00297F8F">
      <w:pPr>
        <w:spacing w:line="360" w:lineRule="auto"/>
        <w:rPr>
          <w:color w:val="000000"/>
        </w:rPr>
      </w:pPr>
    </w:p>
    <w:p w14:paraId="6E28CD1B" w14:textId="77777777" w:rsidR="00186E40" w:rsidRPr="00827A08" w:rsidRDefault="00186E40" w:rsidP="00297F8F">
      <w:pPr>
        <w:spacing w:line="360" w:lineRule="auto"/>
        <w:rPr>
          <w:color w:val="000000"/>
        </w:rPr>
      </w:pPr>
      <w:r w:rsidRPr="00827A08">
        <w:rPr>
          <w:color w:val="000000"/>
        </w:rPr>
        <w:t xml:space="preserve">High Level Committee on Forest and Environment Related Laws Report MoEF&amp;CC (2014) </w:t>
      </w:r>
      <w:hyperlink r:id="rId33" w:history="1">
        <w:r w:rsidRPr="00827A08">
          <w:rPr>
            <w:rStyle w:val="Hyperlink"/>
          </w:rPr>
          <w:t>http://envfor.nic.in/sites/default/files/press-releases/Final_Report_of_HLC.pdf</w:t>
        </w:r>
      </w:hyperlink>
      <w:r w:rsidRPr="00827A08">
        <w:rPr>
          <w:color w:val="000000"/>
        </w:rPr>
        <w:t xml:space="preserve"> (accessed 19 February 2015).</w:t>
      </w:r>
    </w:p>
    <w:p w14:paraId="2E5180AB" w14:textId="77777777" w:rsidR="00186E40" w:rsidRPr="00827A08" w:rsidRDefault="00186E40" w:rsidP="00297F8F">
      <w:pPr>
        <w:spacing w:line="360" w:lineRule="auto"/>
        <w:rPr>
          <w:color w:val="000000"/>
        </w:rPr>
      </w:pPr>
    </w:p>
    <w:p w14:paraId="07C1DD57" w14:textId="0070093C" w:rsidR="00186E40" w:rsidRPr="00827A08" w:rsidRDefault="00C33E11" w:rsidP="00297F8F">
      <w:pPr>
        <w:spacing w:line="360" w:lineRule="auto"/>
        <w:rPr>
          <w:color w:val="000000"/>
        </w:rPr>
      </w:pPr>
      <w:r>
        <w:rPr>
          <w:color w:val="000000"/>
        </w:rPr>
        <w:t>hindustantimes.com (2017) “</w:t>
      </w:r>
      <w:r w:rsidR="00186E40" w:rsidRPr="00827A08">
        <w:rPr>
          <w:color w:val="000000"/>
        </w:rPr>
        <w:t>Delhi air pollution: NGT pulls up AAP govt for not filing action plan</w:t>
      </w:r>
      <w:r>
        <w:rPr>
          <w:color w:val="000000"/>
        </w:rPr>
        <w:t>, holding India-Sri Lanka Test”</w:t>
      </w:r>
      <w:r w:rsidR="00186E40" w:rsidRPr="00827A08">
        <w:rPr>
          <w:color w:val="000000"/>
        </w:rPr>
        <w:t xml:space="preserve"> </w:t>
      </w:r>
      <w:hyperlink r:id="rId34" w:history="1">
        <w:r w:rsidR="00186E40" w:rsidRPr="00827A08">
          <w:rPr>
            <w:rStyle w:val="Hyperlink"/>
          </w:rPr>
          <w:t>https://www.hindustantimes.com/delhi-news/delhi-air-pollution-ngt-slams-authorities-for-holding-india-sri-lanka-test-amid-bad-air-quality/story-PUKWlesX2eh3hRZNSHzLyL.html</w:t>
        </w:r>
      </w:hyperlink>
      <w:r w:rsidR="00186E40" w:rsidRPr="00827A08">
        <w:rPr>
          <w:color w:val="000000"/>
        </w:rPr>
        <w:t xml:space="preserve"> (accessed 7 January 2018).</w:t>
      </w:r>
    </w:p>
    <w:p w14:paraId="33551571" w14:textId="77777777" w:rsidR="00186E40" w:rsidRPr="00827A08" w:rsidRDefault="00186E40" w:rsidP="00297F8F">
      <w:pPr>
        <w:spacing w:line="360" w:lineRule="auto"/>
        <w:rPr>
          <w:color w:val="000000"/>
        </w:rPr>
      </w:pPr>
    </w:p>
    <w:p w14:paraId="549A4631" w14:textId="154D4615" w:rsidR="00B93C06" w:rsidRDefault="00186E40" w:rsidP="00297F8F">
      <w:pPr>
        <w:spacing w:line="360" w:lineRule="auto"/>
        <w:rPr>
          <w:color w:val="000000"/>
        </w:rPr>
      </w:pPr>
      <w:r w:rsidRPr="00827A08">
        <w:rPr>
          <w:color w:val="000000"/>
        </w:rPr>
        <w:t>Hustedde</w:t>
      </w:r>
      <w:r w:rsidR="00C33E11">
        <w:rPr>
          <w:color w:val="000000"/>
        </w:rPr>
        <w:t xml:space="preserve"> Ron and Score Michael (1995) “</w:t>
      </w:r>
      <w:r w:rsidRPr="00827A08">
        <w:rPr>
          <w:color w:val="000000"/>
        </w:rPr>
        <w:t>Force-Field Analysis: Incorporating Cri</w:t>
      </w:r>
      <w:r w:rsidR="00C33E11">
        <w:rPr>
          <w:color w:val="000000"/>
        </w:rPr>
        <w:t>tical Thinking in Goal Setting”</w:t>
      </w:r>
      <w:r w:rsidRPr="00827A08">
        <w:rPr>
          <w:color w:val="000000"/>
        </w:rPr>
        <w:t xml:space="preserve"> 4 </w:t>
      </w:r>
      <w:r w:rsidRPr="00827A08">
        <w:rPr>
          <w:i/>
          <w:color w:val="000000"/>
        </w:rPr>
        <w:t>CD Practice</w:t>
      </w:r>
      <w:r w:rsidRPr="00827A08">
        <w:rPr>
          <w:color w:val="000000"/>
        </w:rPr>
        <w:t xml:space="preserve"> 1-6.</w:t>
      </w:r>
      <w:r w:rsidR="00B93C06">
        <w:rPr>
          <w:color w:val="000000"/>
        </w:rPr>
        <w:t xml:space="preserve"> </w:t>
      </w:r>
    </w:p>
    <w:p w14:paraId="50865AF6" w14:textId="77777777" w:rsidR="00C33E11" w:rsidRDefault="00C33E11" w:rsidP="00297F8F">
      <w:pPr>
        <w:spacing w:line="360" w:lineRule="auto"/>
        <w:rPr>
          <w:color w:val="000000"/>
        </w:rPr>
      </w:pPr>
    </w:p>
    <w:p w14:paraId="62246ACA" w14:textId="49C88F8C" w:rsidR="00186E40" w:rsidRPr="00827A08" w:rsidRDefault="00B93C06" w:rsidP="00297F8F">
      <w:pPr>
        <w:spacing w:line="360" w:lineRule="auto"/>
        <w:rPr>
          <w:color w:val="000000"/>
        </w:rPr>
      </w:pPr>
      <w:r w:rsidRPr="00827A08">
        <w:rPr>
          <w:color w:val="000000"/>
        </w:rPr>
        <w:t>indianexpress.com</w:t>
      </w:r>
      <w:r>
        <w:rPr>
          <w:color w:val="000000"/>
        </w:rPr>
        <w:t xml:space="preserve"> (20</w:t>
      </w:r>
      <w:r w:rsidR="00C33E11">
        <w:rPr>
          <w:color w:val="000000"/>
        </w:rPr>
        <w:t>15) “</w:t>
      </w:r>
      <w:r w:rsidRPr="000E1E3D">
        <w:rPr>
          <w:rFonts w:eastAsia="Times New Roman"/>
          <w:color w:val="000000" w:themeColor="text1"/>
          <w:bdr w:val="none" w:sz="0" w:space="0" w:color="auto" w:frame="1"/>
        </w:rPr>
        <w:t xml:space="preserve">Full text: PM Modi’s address at United Nations </w:t>
      </w:r>
      <w:r w:rsidR="00C33E11">
        <w:rPr>
          <w:rFonts w:eastAsia="Times New Roman"/>
          <w:color w:val="000000" w:themeColor="text1"/>
          <w:bdr w:val="none" w:sz="0" w:space="0" w:color="auto" w:frame="1"/>
        </w:rPr>
        <w:t>Sustainable Development Summit”</w:t>
      </w:r>
      <w:r w:rsidRPr="000E1E3D">
        <w:rPr>
          <w:rFonts w:eastAsia="Times New Roman"/>
          <w:color w:val="000000" w:themeColor="text1"/>
          <w:bdr w:val="none" w:sz="0" w:space="0" w:color="auto" w:frame="1"/>
        </w:rPr>
        <w:t xml:space="preserve"> </w:t>
      </w:r>
      <w:hyperlink r:id="rId35" w:history="1">
        <w:r w:rsidRPr="00B93C06">
          <w:rPr>
            <w:rStyle w:val="Hyperlink"/>
            <w:rFonts w:eastAsia="Times New Roman"/>
            <w:bdr w:val="none" w:sz="0" w:space="0" w:color="auto" w:frame="1"/>
          </w:rPr>
          <w:t>http://indianexpress.com/article/world/world-news/full-text-pm-modis-address-to-the-united-nations-general-assembly/</w:t>
        </w:r>
      </w:hyperlink>
      <w:r>
        <w:rPr>
          <w:rFonts w:eastAsia="Times New Roman"/>
          <w:color w:val="000000" w:themeColor="text1"/>
          <w:bdr w:val="none" w:sz="0" w:space="0" w:color="auto" w:frame="1"/>
        </w:rPr>
        <w:t xml:space="preserve"> (accessed 10 March 2016)</w:t>
      </w:r>
    </w:p>
    <w:p w14:paraId="2A219FF3" w14:textId="77777777" w:rsidR="00186E40" w:rsidRPr="00827A08" w:rsidRDefault="00186E40" w:rsidP="00297F8F">
      <w:pPr>
        <w:spacing w:line="360" w:lineRule="auto"/>
        <w:rPr>
          <w:color w:val="000000"/>
        </w:rPr>
      </w:pPr>
    </w:p>
    <w:p w14:paraId="6701FB93" w14:textId="0467BA0A" w:rsidR="00186E40" w:rsidRPr="00827A08" w:rsidRDefault="004506D0" w:rsidP="00297F8F">
      <w:pPr>
        <w:spacing w:line="360" w:lineRule="auto"/>
        <w:rPr>
          <w:color w:val="000000"/>
        </w:rPr>
      </w:pPr>
      <w:r>
        <w:rPr>
          <w:color w:val="000000"/>
        </w:rPr>
        <w:t>indianexpress.com (2018) “</w:t>
      </w:r>
      <w:r w:rsidR="00186E40" w:rsidRPr="00827A08">
        <w:rPr>
          <w:color w:val="000000"/>
        </w:rPr>
        <w:t>Justice Rahim appoi</w:t>
      </w:r>
      <w:r>
        <w:rPr>
          <w:color w:val="000000"/>
        </w:rPr>
        <w:t>nted acting chairperson of NGT”</w:t>
      </w:r>
      <w:r w:rsidR="00186E40" w:rsidRPr="00827A08">
        <w:rPr>
          <w:color w:val="000000"/>
        </w:rPr>
        <w:t xml:space="preserve"> </w:t>
      </w:r>
      <w:hyperlink r:id="rId36" w:history="1">
        <w:r w:rsidR="00186E40" w:rsidRPr="00827A08">
          <w:rPr>
            <w:rStyle w:val="Hyperlink"/>
          </w:rPr>
          <w:t>http://indianexpress.com/article/india/justice-rahim-appointed-acting-chairperson-of-ngt-5113810/</w:t>
        </w:r>
      </w:hyperlink>
      <w:r w:rsidR="00186E40" w:rsidRPr="00827A08">
        <w:rPr>
          <w:color w:val="000000"/>
        </w:rPr>
        <w:t xml:space="preserve"> (accessed 30 April 2018).</w:t>
      </w:r>
    </w:p>
    <w:p w14:paraId="521D2F7C" w14:textId="77777777" w:rsidR="00186E40" w:rsidRPr="00827A08" w:rsidRDefault="00186E40" w:rsidP="00297F8F">
      <w:pPr>
        <w:spacing w:line="360" w:lineRule="auto"/>
        <w:rPr>
          <w:color w:val="000000"/>
        </w:rPr>
      </w:pPr>
    </w:p>
    <w:p w14:paraId="44B39644" w14:textId="3EA8D72B" w:rsidR="00186E40" w:rsidRPr="00827A08" w:rsidRDefault="004506D0" w:rsidP="00297F8F">
      <w:pPr>
        <w:spacing w:line="360" w:lineRule="auto"/>
        <w:rPr>
          <w:color w:val="000000"/>
        </w:rPr>
      </w:pPr>
      <w:r>
        <w:rPr>
          <w:color w:val="000000"/>
        </w:rPr>
        <w:t>indianexpress.com (2018) “</w:t>
      </w:r>
      <w:r w:rsidR="00186E40" w:rsidRPr="00827A08">
        <w:rPr>
          <w:color w:val="000000"/>
        </w:rPr>
        <w:t>No single judge bench can hear cases at NGT: Supreme Cou</w:t>
      </w:r>
      <w:r>
        <w:rPr>
          <w:color w:val="000000"/>
        </w:rPr>
        <w:t>rt”</w:t>
      </w:r>
      <w:r w:rsidR="00186E40" w:rsidRPr="00827A08">
        <w:rPr>
          <w:color w:val="000000"/>
        </w:rPr>
        <w:t xml:space="preserve"> </w:t>
      </w:r>
      <w:hyperlink r:id="rId37" w:history="1">
        <w:r w:rsidR="00186E40" w:rsidRPr="00827A08">
          <w:rPr>
            <w:rStyle w:val="Hyperlink"/>
          </w:rPr>
          <w:t>http://indianexpress.com/article/india/no-single-judge-bench-can-hear-cases-at-ngt-supreme-court-5046408/</w:t>
        </w:r>
      </w:hyperlink>
      <w:r w:rsidR="00186E40" w:rsidRPr="00827A08">
        <w:rPr>
          <w:color w:val="000000"/>
        </w:rPr>
        <w:t xml:space="preserve"> (accessed 28 April 2018).</w:t>
      </w:r>
    </w:p>
    <w:p w14:paraId="38988FF6" w14:textId="77777777" w:rsidR="00186E40" w:rsidRPr="00827A08" w:rsidRDefault="00186E40" w:rsidP="00297F8F">
      <w:pPr>
        <w:spacing w:line="360" w:lineRule="auto"/>
        <w:rPr>
          <w:color w:val="000000"/>
        </w:rPr>
      </w:pPr>
    </w:p>
    <w:p w14:paraId="4FD7A15D" w14:textId="04ADB90A" w:rsidR="00186E40" w:rsidRPr="00827A08" w:rsidRDefault="004506D0" w:rsidP="00297F8F">
      <w:pPr>
        <w:spacing w:line="360" w:lineRule="auto"/>
        <w:rPr>
          <w:color w:val="000000"/>
        </w:rPr>
      </w:pPr>
      <w:r>
        <w:rPr>
          <w:color w:val="000000"/>
        </w:rPr>
        <w:t>iucn.org (2018), “</w:t>
      </w:r>
      <w:r w:rsidR="00186E40" w:rsidRPr="00827A08">
        <w:rPr>
          <w:color w:val="000000"/>
        </w:rPr>
        <w:t>WCEL and GJIE: Tribute to Justice Swatanter Kumar and I</w:t>
      </w:r>
      <w:r>
        <w:rPr>
          <w:color w:val="000000"/>
        </w:rPr>
        <w:t>ndia’s National Green Tribunal”</w:t>
      </w:r>
      <w:r w:rsidR="00186E40" w:rsidRPr="00827A08">
        <w:rPr>
          <w:color w:val="000000"/>
        </w:rPr>
        <w:t xml:space="preserve"> </w:t>
      </w:r>
      <w:hyperlink r:id="rId38" w:history="1">
        <w:r w:rsidR="00186E40" w:rsidRPr="00827A08">
          <w:rPr>
            <w:rStyle w:val="Hyperlink"/>
          </w:rPr>
          <w:t>https://www.iucn.org/news/world-commission-environmental-law/201802/wcel-and-gjie-tribute-justice-swatanter-kumar-and-india%E2%80%99s-national-green-tribunal</w:t>
        </w:r>
      </w:hyperlink>
      <w:r w:rsidR="00186E40" w:rsidRPr="00827A08">
        <w:rPr>
          <w:color w:val="000000"/>
        </w:rPr>
        <w:t xml:space="preserve"> (accessed 15 March 2018).</w:t>
      </w:r>
    </w:p>
    <w:p w14:paraId="1E565430" w14:textId="77777777" w:rsidR="00186E40" w:rsidRPr="00827A08" w:rsidRDefault="00186E40" w:rsidP="00297F8F">
      <w:pPr>
        <w:spacing w:line="360" w:lineRule="auto"/>
        <w:rPr>
          <w:color w:val="000000"/>
        </w:rPr>
      </w:pPr>
    </w:p>
    <w:p w14:paraId="70E88263" w14:textId="77777777" w:rsidR="00186E40" w:rsidRPr="00827A08" w:rsidRDefault="00186E40" w:rsidP="00297F8F">
      <w:pPr>
        <w:spacing w:line="360" w:lineRule="auto"/>
        <w:rPr>
          <w:color w:val="000000"/>
        </w:rPr>
      </w:pPr>
      <w:r w:rsidRPr="00827A08">
        <w:rPr>
          <w:color w:val="000000"/>
        </w:rPr>
        <w:t xml:space="preserve">Ivanko Štefan (2013) </w:t>
      </w:r>
      <w:r w:rsidRPr="00827A08">
        <w:rPr>
          <w:i/>
          <w:color w:val="000000"/>
        </w:rPr>
        <w:t>Modern Theory of Organisation</w:t>
      </w:r>
      <w:r w:rsidRPr="00827A08">
        <w:rPr>
          <w:color w:val="000000"/>
        </w:rPr>
        <w:t>, University of Ljubljana Faculty of Public Administration.</w:t>
      </w:r>
    </w:p>
    <w:p w14:paraId="22DEFEB6" w14:textId="77777777" w:rsidR="00186E40" w:rsidRPr="00827A08" w:rsidRDefault="00186E40" w:rsidP="00297F8F">
      <w:pPr>
        <w:spacing w:line="360" w:lineRule="auto"/>
        <w:rPr>
          <w:color w:val="000000"/>
        </w:rPr>
      </w:pPr>
    </w:p>
    <w:p w14:paraId="5FDE5193" w14:textId="4AD5BADA" w:rsidR="00186E40" w:rsidRPr="00827A08" w:rsidRDefault="004506D0" w:rsidP="00297F8F">
      <w:pPr>
        <w:spacing w:line="360" w:lineRule="auto"/>
        <w:rPr>
          <w:color w:val="000000"/>
        </w:rPr>
      </w:pPr>
      <w:r>
        <w:rPr>
          <w:color w:val="000000"/>
        </w:rPr>
        <w:t>Javadekar Prakash (2017) “</w:t>
      </w:r>
      <w:r w:rsidR="00186E40" w:rsidRPr="00827A08">
        <w:rPr>
          <w:color w:val="000000"/>
        </w:rPr>
        <w:t>Message- Internati</w:t>
      </w:r>
      <w:r>
        <w:rPr>
          <w:color w:val="000000"/>
        </w:rPr>
        <w:t>onal Conference on Environment”</w:t>
      </w:r>
      <w:r w:rsidR="00186E40" w:rsidRPr="00827A08">
        <w:rPr>
          <w:color w:val="000000"/>
        </w:rPr>
        <w:t xml:space="preserve"> 2 </w:t>
      </w:r>
      <w:r w:rsidR="00186E40" w:rsidRPr="00827A08">
        <w:rPr>
          <w:i/>
          <w:color w:val="000000"/>
        </w:rPr>
        <w:t>NGT International Journal on Environment</w:t>
      </w:r>
      <w:r w:rsidR="00186E40" w:rsidRPr="00827A08">
        <w:rPr>
          <w:color w:val="000000"/>
        </w:rPr>
        <w:t>.</w:t>
      </w:r>
    </w:p>
    <w:p w14:paraId="6EEC5CDA" w14:textId="77777777" w:rsidR="00186E40" w:rsidRPr="00827A08" w:rsidRDefault="00186E40" w:rsidP="00297F8F">
      <w:pPr>
        <w:spacing w:line="360" w:lineRule="auto"/>
        <w:rPr>
          <w:color w:val="000000"/>
        </w:rPr>
      </w:pPr>
    </w:p>
    <w:p w14:paraId="7CB2F8F9" w14:textId="77777777" w:rsidR="00186E40" w:rsidRPr="00827A08" w:rsidRDefault="00186E40" w:rsidP="00297F8F">
      <w:pPr>
        <w:spacing w:line="360" w:lineRule="auto"/>
        <w:rPr>
          <w:color w:val="000000"/>
        </w:rPr>
      </w:pPr>
      <w:r w:rsidRPr="00827A08">
        <w:rPr>
          <w:color w:val="000000"/>
        </w:rPr>
        <w:t xml:space="preserve">Kanter, Rosabeth M, Stein, Barry A. and Jick, Todd D. (1992) </w:t>
      </w:r>
      <w:r w:rsidRPr="00827A08">
        <w:rPr>
          <w:i/>
          <w:color w:val="000000"/>
        </w:rPr>
        <w:t>The Challenge of Organizational Change</w:t>
      </w:r>
      <w:r w:rsidRPr="00827A08">
        <w:rPr>
          <w:color w:val="000000"/>
        </w:rPr>
        <w:t xml:space="preserve">, New York: Free Press. </w:t>
      </w:r>
    </w:p>
    <w:p w14:paraId="79066A4E" w14:textId="77777777" w:rsidR="00186E40" w:rsidRPr="00827A08" w:rsidRDefault="00186E40" w:rsidP="00297F8F">
      <w:pPr>
        <w:spacing w:line="360" w:lineRule="auto"/>
        <w:rPr>
          <w:color w:val="000000"/>
        </w:rPr>
      </w:pPr>
    </w:p>
    <w:p w14:paraId="06292A4D" w14:textId="77BC6287" w:rsidR="00186E40" w:rsidRPr="00827A08" w:rsidRDefault="00A228BF" w:rsidP="00297F8F">
      <w:pPr>
        <w:spacing w:line="360" w:lineRule="auto"/>
        <w:rPr>
          <w:color w:val="000000"/>
        </w:rPr>
      </w:pPr>
      <w:r>
        <w:rPr>
          <w:color w:val="000000"/>
        </w:rPr>
        <w:t>Kippenberger, T. (1998) “</w:t>
      </w:r>
      <w:r w:rsidR="00186E40" w:rsidRPr="00827A08">
        <w:rPr>
          <w:color w:val="000000"/>
        </w:rPr>
        <w:t>Plann</w:t>
      </w:r>
      <w:r>
        <w:rPr>
          <w:color w:val="000000"/>
        </w:rPr>
        <w:t>ed change: Kurt Lewin’s legacy”</w:t>
      </w:r>
      <w:r w:rsidR="00186E40" w:rsidRPr="00827A08">
        <w:rPr>
          <w:color w:val="000000"/>
        </w:rPr>
        <w:t xml:space="preserve"> 3(4) </w:t>
      </w:r>
      <w:r w:rsidR="00186E40" w:rsidRPr="00827A08">
        <w:rPr>
          <w:i/>
          <w:color w:val="000000"/>
        </w:rPr>
        <w:t>The Antidote</w:t>
      </w:r>
      <w:r w:rsidR="00186E40" w:rsidRPr="00827A08">
        <w:rPr>
          <w:color w:val="000000"/>
        </w:rPr>
        <w:t xml:space="preserve"> 10–12. </w:t>
      </w:r>
    </w:p>
    <w:p w14:paraId="7448781A" w14:textId="77777777" w:rsidR="00186E40" w:rsidRPr="00827A08" w:rsidRDefault="00186E40" w:rsidP="00297F8F">
      <w:pPr>
        <w:spacing w:line="360" w:lineRule="auto"/>
        <w:rPr>
          <w:color w:val="000000"/>
        </w:rPr>
      </w:pPr>
    </w:p>
    <w:p w14:paraId="1B347D20" w14:textId="76E4641A" w:rsidR="00186E40" w:rsidRPr="00827A08" w:rsidRDefault="00A228BF" w:rsidP="00297F8F">
      <w:pPr>
        <w:spacing w:line="360" w:lineRule="auto"/>
        <w:rPr>
          <w:color w:val="000000"/>
        </w:rPr>
      </w:pPr>
      <w:r>
        <w:rPr>
          <w:color w:val="000000"/>
        </w:rPr>
        <w:t>Kotter, John P (2007), “</w:t>
      </w:r>
      <w:r w:rsidR="00186E40" w:rsidRPr="00827A08">
        <w:rPr>
          <w:color w:val="000000"/>
        </w:rPr>
        <w:t>Leading Change: W</w:t>
      </w:r>
      <w:r>
        <w:rPr>
          <w:color w:val="000000"/>
        </w:rPr>
        <w:t>hy Transformation Efforts Fail”</w:t>
      </w:r>
      <w:r w:rsidR="00186E40" w:rsidRPr="00827A08">
        <w:rPr>
          <w:color w:val="000000"/>
        </w:rPr>
        <w:t xml:space="preserve"> </w:t>
      </w:r>
      <w:r w:rsidR="00186E40" w:rsidRPr="00827A08">
        <w:rPr>
          <w:i/>
          <w:color w:val="000000"/>
        </w:rPr>
        <w:t>Harvard Business Review</w:t>
      </w:r>
      <w:r w:rsidR="00186E40" w:rsidRPr="00827A08">
        <w:rPr>
          <w:color w:val="000000"/>
        </w:rPr>
        <w:t xml:space="preserve"> 1-10.</w:t>
      </w:r>
    </w:p>
    <w:p w14:paraId="47B0FBE2" w14:textId="77777777" w:rsidR="00186E40" w:rsidRPr="00827A08" w:rsidRDefault="00186E40" w:rsidP="00297F8F">
      <w:pPr>
        <w:spacing w:line="360" w:lineRule="auto"/>
        <w:rPr>
          <w:color w:val="000000"/>
        </w:rPr>
      </w:pPr>
    </w:p>
    <w:p w14:paraId="6BBBDCF9" w14:textId="04FCECAC" w:rsidR="00186E40" w:rsidRPr="00827A08" w:rsidRDefault="00186E40" w:rsidP="00297F8F">
      <w:pPr>
        <w:spacing w:line="360" w:lineRule="auto"/>
        <w:rPr>
          <w:color w:val="000000"/>
        </w:rPr>
      </w:pPr>
      <w:r w:rsidRPr="00827A08">
        <w:rPr>
          <w:color w:val="000000"/>
        </w:rPr>
        <w:t>L</w:t>
      </w:r>
      <w:r w:rsidR="00A228BF">
        <w:rPr>
          <w:color w:val="000000"/>
        </w:rPr>
        <w:t>aw Commission of India (2003) “</w:t>
      </w:r>
      <w:r w:rsidRPr="00827A08">
        <w:rPr>
          <w:color w:val="000000"/>
        </w:rPr>
        <w:t>Proposal to Constitute E</w:t>
      </w:r>
      <w:r w:rsidR="00A228BF">
        <w:rPr>
          <w:color w:val="000000"/>
        </w:rPr>
        <w:t>nvironment Courts 186th Report”</w:t>
      </w:r>
      <w:r w:rsidRPr="00827A08">
        <w:rPr>
          <w:color w:val="000000"/>
        </w:rPr>
        <w:t xml:space="preserve"> </w:t>
      </w:r>
      <w:hyperlink r:id="rId39" w:history="1">
        <w:r w:rsidRPr="00827A08">
          <w:rPr>
            <w:rStyle w:val="Hyperlink"/>
          </w:rPr>
          <w:t>http://lawcommissionofindia.nic.in/reports/186th%20report.pdf</w:t>
        </w:r>
      </w:hyperlink>
      <w:r w:rsidRPr="00827A08">
        <w:rPr>
          <w:color w:val="000000"/>
        </w:rPr>
        <w:t xml:space="preserve"> (accessed 9 September 2014).</w:t>
      </w:r>
    </w:p>
    <w:p w14:paraId="21192E6D" w14:textId="77777777" w:rsidR="00186E40" w:rsidRPr="00827A08" w:rsidRDefault="00186E40" w:rsidP="00297F8F">
      <w:pPr>
        <w:spacing w:line="360" w:lineRule="auto"/>
        <w:rPr>
          <w:color w:val="000000"/>
        </w:rPr>
      </w:pPr>
    </w:p>
    <w:p w14:paraId="5E16C9B6" w14:textId="260325C2" w:rsidR="00186E40" w:rsidRPr="00827A08" w:rsidRDefault="00186E40" w:rsidP="00297F8F">
      <w:pPr>
        <w:spacing w:line="360" w:lineRule="auto"/>
        <w:rPr>
          <w:color w:val="000000"/>
        </w:rPr>
      </w:pPr>
      <w:r w:rsidRPr="00827A08">
        <w:rPr>
          <w:color w:val="000000"/>
        </w:rPr>
        <w:t>La</w:t>
      </w:r>
      <w:r w:rsidR="00A228BF">
        <w:rPr>
          <w:color w:val="000000"/>
        </w:rPr>
        <w:t>w Commission of India (2017) “</w:t>
      </w:r>
      <w:r w:rsidRPr="00827A08">
        <w:rPr>
          <w:color w:val="000000"/>
        </w:rPr>
        <w:t xml:space="preserve">Assessment of Statutory Frameworks of Tribunals in </w:t>
      </w:r>
    </w:p>
    <w:p w14:paraId="2B453B36" w14:textId="7D30A58D" w:rsidR="00186E40" w:rsidRPr="00827A08" w:rsidRDefault="00A228BF" w:rsidP="00297F8F">
      <w:pPr>
        <w:spacing w:line="360" w:lineRule="auto"/>
        <w:rPr>
          <w:color w:val="000000"/>
        </w:rPr>
      </w:pPr>
      <w:r>
        <w:rPr>
          <w:color w:val="000000"/>
        </w:rPr>
        <w:t>India 272nd Report”</w:t>
      </w:r>
      <w:r w:rsidR="00186E40" w:rsidRPr="00827A08">
        <w:rPr>
          <w:color w:val="000000"/>
        </w:rPr>
        <w:t xml:space="preserve"> </w:t>
      </w:r>
      <w:hyperlink r:id="rId40" w:history="1">
        <w:r w:rsidR="00186E40" w:rsidRPr="00827A08">
          <w:rPr>
            <w:rStyle w:val="Hyperlink"/>
          </w:rPr>
          <w:t>http://lawcommissionofindia.nic.in/reports/Report272.pdf</w:t>
        </w:r>
      </w:hyperlink>
      <w:r w:rsidR="00186E40" w:rsidRPr="00827A08">
        <w:rPr>
          <w:color w:val="000000"/>
        </w:rPr>
        <w:t xml:space="preserve"> (accessed 10 February 2018). </w:t>
      </w:r>
    </w:p>
    <w:p w14:paraId="19FD5645" w14:textId="77777777" w:rsidR="00186E40" w:rsidRPr="00827A08" w:rsidRDefault="00186E40" w:rsidP="00297F8F">
      <w:pPr>
        <w:spacing w:line="360" w:lineRule="auto"/>
        <w:rPr>
          <w:color w:val="000000"/>
        </w:rPr>
      </w:pPr>
    </w:p>
    <w:p w14:paraId="26E34BC4" w14:textId="7E1E018A" w:rsidR="00186E40" w:rsidRPr="00827A08" w:rsidRDefault="00F81594" w:rsidP="00297F8F">
      <w:pPr>
        <w:spacing w:line="360" w:lineRule="auto"/>
        <w:rPr>
          <w:color w:val="000000"/>
        </w:rPr>
      </w:pPr>
      <w:r>
        <w:rPr>
          <w:color w:val="000000"/>
        </w:rPr>
        <w:t>Lenin Janaki (2011) “</w:t>
      </w:r>
      <w:r w:rsidR="00186E40" w:rsidRPr="00827A08">
        <w:rPr>
          <w:color w:val="000000"/>
        </w:rPr>
        <w:t>Green fundamentalism wi</w:t>
      </w:r>
      <w:r>
        <w:rPr>
          <w:color w:val="000000"/>
        </w:rPr>
        <w:t>ll not work says Jairam Ramesh”</w:t>
      </w:r>
      <w:r w:rsidR="00186E40" w:rsidRPr="00827A08">
        <w:rPr>
          <w:color w:val="000000"/>
        </w:rPr>
        <w:t xml:space="preserve"> </w:t>
      </w:r>
      <w:hyperlink r:id="rId41" w:history="1">
        <w:r w:rsidR="00186E40" w:rsidRPr="00827A08">
          <w:rPr>
            <w:rStyle w:val="Hyperlink"/>
          </w:rPr>
          <w:t>https://www.firstpost.com/blogs/green-fundamentalism-will-not-work-says-jairam-ramesh-42646.html</w:t>
        </w:r>
      </w:hyperlink>
      <w:r w:rsidR="00186E40" w:rsidRPr="00827A08">
        <w:rPr>
          <w:color w:val="000000"/>
        </w:rPr>
        <w:t xml:space="preserve"> (accessed 20 May 2014).</w:t>
      </w:r>
    </w:p>
    <w:p w14:paraId="78DE689B" w14:textId="77777777" w:rsidR="00186E40" w:rsidRPr="00827A08" w:rsidRDefault="00186E40" w:rsidP="00827A08">
      <w:pPr>
        <w:spacing w:line="276" w:lineRule="auto"/>
        <w:rPr>
          <w:color w:val="000000"/>
        </w:rPr>
      </w:pPr>
    </w:p>
    <w:p w14:paraId="075FEA50" w14:textId="3B0C4CFF" w:rsidR="00186E40" w:rsidRPr="00827A08" w:rsidRDefault="00F81594" w:rsidP="00297F8F">
      <w:pPr>
        <w:spacing w:line="360" w:lineRule="auto"/>
        <w:rPr>
          <w:color w:val="000000"/>
        </w:rPr>
      </w:pPr>
      <w:r>
        <w:rPr>
          <w:color w:val="000000"/>
        </w:rPr>
        <w:t>Lewin, Kurt (1943) “Psychological ecology”</w:t>
      </w:r>
      <w:r w:rsidR="00186E40" w:rsidRPr="00827A08">
        <w:rPr>
          <w:color w:val="000000"/>
        </w:rPr>
        <w:t xml:space="preserve"> in Cartwright, D, ed., </w:t>
      </w:r>
      <w:r w:rsidR="00186E40" w:rsidRPr="00827A08">
        <w:rPr>
          <w:i/>
          <w:color w:val="000000"/>
        </w:rPr>
        <w:t>Field Theory in Social Science</w:t>
      </w:r>
      <w:r w:rsidR="00186E40" w:rsidRPr="00827A08">
        <w:rPr>
          <w:color w:val="000000"/>
        </w:rPr>
        <w:t>, London: Social Science Paperbacks 170-187.</w:t>
      </w:r>
    </w:p>
    <w:p w14:paraId="05ACB70A" w14:textId="77777777" w:rsidR="00186E40" w:rsidRPr="00827A08" w:rsidRDefault="00186E40" w:rsidP="00297F8F">
      <w:pPr>
        <w:spacing w:line="360" w:lineRule="auto"/>
        <w:rPr>
          <w:color w:val="000000"/>
        </w:rPr>
      </w:pPr>
    </w:p>
    <w:p w14:paraId="4DF6A20B" w14:textId="25AE3C7D" w:rsidR="00186E40" w:rsidRPr="00827A08" w:rsidRDefault="00F81594" w:rsidP="00297F8F">
      <w:pPr>
        <w:spacing w:line="360" w:lineRule="auto"/>
        <w:rPr>
          <w:color w:val="000000"/>
        </w:rPr>
      </w:pPr>
      <w:r>
        <w:rPr>
          <w:color w:val="000000"/>
        </w:rPr>
        <w:t>Lewin, Kurt (1947) “</w:t>
      </w:r>
      <w:r w:rsidR="00186E40" w:rsidRPr="00827A08">
        <w:rPr>
          <w:color w:val="000000"/>
        </w:rPr>
        <w:t>Frontiers in gr</w:t>
      </w:r>
      <w:r>
        <w:rPr>
          <w:color w:val="000000"/>
        </w:rPr>
        <w:t>oup dynamics”</w:t>
      </w:r>
      <w:r w:rsidR="00186E40" w:rsidRPr="00827A08">
        <w:rPr>
          <w:color w:val="000000"/>
        </w:rPr>
        <w:t xml:space="preserve"> in Cartwright, D, ed., (1952) </w:t>
      </w:r>
      <w:r w:rsidR="00186E40" w:rsidRPr="00827A08">
        <w:rPr>
          <w:i/>
          <w:color w:val="000000"/>
        </w:rPr>
        <w:t>Field Theory in Social Science: Selected Theoretical Papers by Kurt Lewin</w:t>
      </w:r>
      <w:r w:rsidR="00186E40" w:rsidRPr="00827A08">
        <w:rPr>
          <w:color w:val="000000"/>
        </w:rPr>
        <w:t xml:space="preserve">, London: Social Science Paperbacks 188–237. </w:t>
      </w:r>
    </w:p>
    <w:p w14:paraId="09B36EAB" w14:textId="77777777" w:rsidR="00186E40" w:rsidRPr="00827A08" w:rsidRDefault="00186E40" w:rsidP="00297F8F">
      <w:pPr>
        <w:spacing w:line="360" w:lineRule="auto"/>
        <w:rPr>
          <w:color w:val="000000"/>
        </w:rPr>
      </w:pPr>
    </w:p>
    <w:p w14:paraId="43A95476" w14:textId="77777777" w:rsidR="00186E40" w:rsidRPr="00827A08" w:rsidRDefault="00186E40" w:rsidP="00297F8F">
      <w:pPr>
        <w:spacing w:line="360" w:lineRule="auto"/>
        <w:rPr>
          <w:color w:val="000000"/>
        </w:rPr>
      </w:pPr>
      <w:r w:rsidRPr="00827A08">
        <w:rPr>
          <w:color w:val="000000"/>
        </w:rPr>
        <w:t xml:space="preserve">Lewin, Kurt (1997) </w:t>
      </w:r>
      <w:r w:rsidRPr="00827A08">
        <w:rPr>
          <w:i/>
          <w:color w:val="000000"/>
        </w:rPr>
        <w:t>Resolving Social Conflicts and Field Theory in Social Science</w:t>
      </w:r>
      <w:r w:rsidRPr="00827A08">
        <w:rPr>
          <w:color w:val="000000"/>
        </w:rPr>
        <w:t>, American Psychological Association: Washington.</w:t>
      </w:r>
    </w:p>
    <w:p w14:paraId="521A1180" w14:textId="77777777" w:rsidR="00186E40" w:rsidRPr="00827A08" w:rsidRDefault="00186E40" w:rsidP="00297F8F">
      <w:pPr>
        <w:spacing w:line="360" w:lineRule="auto"/>
        <w:rPr>
          <w:color w:val="000000"/>
        </w:rPr>
      </w:pPr>
    </w:p>
    <w:p w14:paraId="4D1E4526" w14:textId="26380D5D" w:rsidR="00186E40" w:rsidRPr="00827A08" w:rsidRDefault="00F81594" w:rsidP="00297F8F">
      <w:pPr>
        <w:spacing w:line="360" w:lineRule="auto"/>
        <w:rPr>
          <w:color w:val="000000"/>
        </w:rPr>
      </w:pPr>
      <w:r>
        <w:rPr>
          <w:color w:val="000000"/>
        </w:rPr>
        <w:t>Livemint.com (2017) “</w:t>
      </w:r>
      <w:r w:rsidR="00186E40" w:rsidRPr="00827A08">
        <w:rPr>
          <w:color w:val="000000"/>
        </w:rPr>
        <w:t>Jairam Ramesh Moves SC Against Diluting of Rules on Appointmen</w:t>
      </w:r>
      <w:r>
        <w:rPr>
          <w:color w:val="000000"/>
        </w:rPr>
        <w:t>ts to Tribunals, Including NGT”</w:t>
      </w:r>
      <w:r w:rsidR="00186E40" w:rsidRPr="00827A08">
        <w:rPr>
          <w:color w:val="000000"/>
        </w:rPr>
        <w:t xml:space="preserve"> </w:t>
      </w:r>
      <w:hyperlink r:id="rId42" w:history="1">
        <w:r w:rsidR="00186E40" w:rsidRPr="00827A08">
          <w:rPr>
            <w:rStyle w:val="Hyperlink"/>
          </w:rPr>
          <w:t>http://www.livelaw.in/jairam-ramesh-moves-sc-diluting-rules-appointments-tribunals-including-ngt-read-petition/</w:t>
        </w:r>
      </w:hyperlink>
      <w:r w:rsidR="00186E40" w:rsidRPr="00827A08">
        <w:rPr>
          <w:color w:val="000000"/>
        </w:rPr>
        <w:t xml:space="preserve"> (accessed 12 March 2018).</w:t>
      </w:r>
    </w:p>
    <w:p w14:paraId="1D4FA0FE" w14:textId="77777777" w:rsidR="00186E40" w:rsidRPr="00827A08" w:rsidRDefault="00186E40" w:rsidP="00297F8F">
      <w:pPr>
        <w:spacing w:line="360" w:lineRule="auto"/>
        <w:rPr>
          <w:color w:val="000000"/>
        </w:rPr>
      </w:pPr>
    </w:p>
    <w:p w14:paraId="12DFF01E" w14:textId="77777777" w:rsidR="00186E40" w:rsidRPr="00827A08" w:rsidRDefault="00186E40" w:rsidP="00297F8F">
      <w:pPr>
        <w:spacing w:line="360" w:lineRule="auto"/>
        <w:rPr>
          <w:color w:val="000000"/>
        </w:rPr>
      </w:pPr>
      <w:r w:rsidRPr="00827A08">
        <w:rPr>
          <w:color w:val="000000"/>
        </w:rPr>
        <w:t xml:space="preserve">London Bridge Statement (2002) </w:t>
      </w:r>
      <w:hyperlink r:id="rId43" w:history="1">
        <w:r w:rsidRPr="00827A08">
          <w:rPr>
            <w:rStyle w:val="Hyperlink"/>
          </w:rPr>
          <w:t>http://weavingaweb.org/pdfdocuments/ London Bridge Statement.pdf</w:t>
        </w:r>
      </w:hyperlink>
      <w:r w:rsidRPr="00827A08">
        <w:rPr>
          <w:color w:val="000000"/>
        </w:rPr>
        <w:t xml:space="preserve"> (accessed 18 August 2015).</w:t>
      </w:r>
    </w:p>
    <w:p w14:paraId="340B5916" w14:textId="77777777" w:rsidR="00186E40" w:rsidRPr="00827A08" w:rsidRDefault="00186E40" w:rsidP="00297F8F">
      <w:pPr>
        <w:spacing w:line="360" w:lineRule="auto"/>
        <w:rPr>
          <w:color w:val="000000"/>
        </w:rPr>
      </w:pPr>
    </w:p>
    <w:p w14:paraId="32655E96" w14:textId="77777777" w:rsidR="00186E40" w:rsidRPr="00827A08" w:rsidRDefault="00186E40" w:rsidP="00297F8F">
      <w:pPr>
        <w:spacing w:line="360" w:lineRule="auto"/>
        <w:rPr>
          <w:color w:val="000000"/>
        </w:rPr>
      </w:pPr>
      <w:r w:rsidRPr="00827A08">
        <w:rPr>
          <w:color w:val="000000"/>
        </w:rPr>
        <w:t xml:space="preserve">Luecke, Richard (2003) </w:t>
      </w:r>
      <w:r w:rsidRPr="00827A08">
        <w:rPr>
          <w:i/>
          <w:color w:val="000000"/>
        </w:rPr>
        <w:t>Managing Change and Transition</w:t>
      </w:r>
      <w:r w:rsidRPr="00827A08">
        <w:rPr>
          <w:color w:val="000000"/>
        </w:rPr>
        <w:t>, Boston, MA: Harvard Business School Press.</w:t>
      </w:r>
    </w:p>
    <w:p w14:paraId="75EA5FCE" w14:textId="77777777" w:rsidR="00186E40" w:rsidRPr="00827A08" w:rsidRDefault="00186E40" w:rsidP="00297F8F">
      <w:pPr>
        <w:shd w:val="clear" w:color="auto" w:fill="FFFFFF"/>
        <w:spacing w:line="360" w:lineRule="auto"/>
        <w:rPr>
          <w:color w:val="000000"/>
        </w:rPr>
      </w:pPr>
    </w:p>
    <w:p w14:paraId="3B6A4E55" w14:textId="271A37AE" w:rsidR="00186E40" w:rsidRPr="00827A08" w:rsidRDefault="00186E40" w:rsidP="00297F8F">
      <w:pPr>
        <w:shd w:val="clear" w:color="auto" w:fill="FFFFFF"/>
        <w:spacing w:line="360" w:lineRule="auto"/>
        <w:rPr>
          <w:rFonts w:eastAsia="Times New Roman"/>
          <w:color w:val="000000"/>
          <w:spacing w:val="1"/>
        </w:rPr>
      </w:pPr>
      <w:r w:rsidRPr="00827A08">
        <w:rPr>
          <w:rFonts w:eastAsia="Times New Roman"/>
          <w:color w:val="000000"/>
          <w:spacing w:val="1"/>
        </w:rPr>
        <w:t>Lynn Jr, Laurence E. (1998) “The New Public Manageme</w:t>
      </w:r>
      <w:r w:rsidRPr="00827A08">
        <w:rPr>
          <w:rStyle w:val="ls48"/>
          <w:rFonts w:eastAsia="Times New Roman"/>
          <w:color w:val="000000"/>
          <w:spacing w:val="-1"/>
        </w:rPr>
        <w:t xml:space="preserve">nt: How to Transform a </w:t>
      </w:r>
      <w:r w:rsidR="00361F24">
        <w:rPr>
          <w:rStyle w:val="ls12"/>
          <w:rFonts w:eastAsia="Times New Roman"/>
          <w:color w:val="000000"/>
        </w:rPr>
        <w:t>Theme into a Legacy</w:t>
      </w:r>
      <w:r w:rsidRPr="00827A08">
        <w:rPr>
          <w:rStyle w:val="ls12"/>
          <w:rFonts w:eastAsia="Times New Roman"/>
          <w:color w:val="000000"/>
        </w:rPr>
        <w:t xml:space="preserve">” 58 (3) </w:t>
      </w:r>
      <w:r w:rsidRPr="00827A08">
        <w:rPr>
          <w:rStyle w:val="ff2"/>
          <w:rFonts w:eastAsia="Times New Roman"/>
          <w:i/>
          <w:color w:val="000000"/>
          <w:spacing w:val="-2"/>
        </w:rPr>
        <w:t xml:space="preserve">Public </w:t>
      </w:r>
      <w:r w:rsidRPr="00827A08">
        <w:rPr>
          <w:rFonts w:eastAsia="Times New Roman"/>
          <w:i/>
          <w:color w:val="000000"/>
          <w:spacing w:val="-1"/>
        </w:rPr>
        <w:t>Administration Review</w:t>
      </w:r>
      <w:r w:rsidRPr="00827A08">
        <w:rPr>
          <w:rStyle w:val="ff1"/>
          <w:rFonts w:eastAsia="Times New Roman"/>
          <w:color w:val="000000"/>
          <w:spacing w:val="-1"/>
        </w:rPr>
        <w:t xml:space="preserve"> 231-237.</w:t>
      </w:r>
    </w:p>
    <w:p w14:paraId="784BED50" w14:textId="77777777" w:rsidR="00186E40" w:rsidRPr="00827A08" w:rsidRDefault="00186E40" w:rsidP="00297F8F">
      <w:pPr>
        <w:spacing w:line="360" w:lineRule="auto"/>
        <w:rPr>
          <w:color w:val="000000"/>
        </w:rPr>
      </w:pPr>
    </w:p>
    <w:p w14:paraId="13DC1F7C" w14:textId="490D52A0" w:rsidR="00186E40" w:rsidRPr="00827A08" w:rsidRDefault="00A94352" w:rsidP="00297F8F">
      <w:pPr>
        <w:spacing w:line="360" w:lineRule="auto"/>
        <w:rPr>
          <w:color w:val="000000"/>
        </w:rPr>
      </w:pPr>
      <w:r>
        <w:rPr>
          <w:color w:val="000000"/>
        </w:rPr>
        <w:t>Mahapatra Dhananjay (2013), “</w:t>
      </w:r>
      <w:r w:rsidR="00186E40" w:rsidRPr="00827A08">
        <w:rPr>
          <w:color w:val="000000"/>
        </w:rPr>
        <w:t>Kolkata may lose green tribun</w:t>
      </w:r>
      <w:r>
        <w:rPr>
          <w:color w:val="000000"/>
        </w:rPr>
        <w:t>al bench to Guwahati or Ranchi”</w:t>
      </w:r>
      <w:r w:rsidR="00186E40" w:rsidRPr="00827A08">
        <w:rPr>
          <w:color w:val="000000"/>
        </w:rPr>
        <w:t xml:space="preserve"> </w:t>
      </w:r>
      <w:hyperlink r:id="rId44" w:history="1">
        <w:r w:rsidR="00186E40" w:rsidRPr="00827A08">
          <w:rPr>
            <w:rStyle w:val="Hyperlink"/>
          </w:rPr>
          <w:t>https://timesofindia.indiatimes.com/city/kolkata/Kolkata-may-lose-green-tribunal-bench-to-Guwahati-or-Ranchi/articleshow/20996616.cms</w:t>
        </w:r>
      </w:hyperlink>
      <w:r w:rsidR="00186E40" w:rsidRPr="00827A08">
        <w:rPr>
          <w:color w:val="000000"/>
        </w:rPr>
        <w:t xml:space="preserve"> (accessed 25 November 2015). </w:t>
      </w:r>
    </w:p>
    <w:p w14:paraId="7EB0909D" w14:textId="77777777" w:rsidR="00186E40" w:rsidRPr="00827A08" w:rsidRDefault="00186E40" w:rsidP="00297F8F">
      <w:pPr>
        <w:spacing w:line="360" w:lineRule="auto"/>
        <w:rPr>
          <w:color w:val="000000"/>
        </w:rPr>
      </w:pPr>
    </w:p>
    <w:p w14:paraId="56A8DC8E" w14:textId="07DCCBA8" w:rsidR="00186E40" w:rsidRPr="00827A08" w:rsidRDefault="00A94352" w:rsidP="00297F8F">
      <w:pPr>
        <w:spacing w:line="360" w:lineRule="auto"/>
        <w:rPr>
          <w:rFonts w:eastAsia="Times New Roman"/>
        </w:rPr>
      </w:pPr>
      <w:r>
        <w:rPr>
          <w:rFonts w:eastAsia="Times New Roman"/>
        </w:rPr>
        <w:t>Mak, Elaine (2008) “</w:t>
      </w:r>
      <w:r w:rsidR="00186E40" w:rsidRPr="00827A08">
        <w:rPr>
          <w:rFonts w:eastAsia="Times New Roman"/>
        </w:rPr>
        <w:t>The European Judicial Organisation in a New Paradigm: The Influence of Principles of ‘New Public Management’ on the Organ</w:t>
      </w:r>
      <w:r>
        <w:rPr>
          <w:rFonts w:eastAsia="Times New Roman"/>
        </w:rPr>
        <w:t>isation of the European Courts”</w:t>
      </w:r>
      <w:r w:rsidR="00186E40" w:rsidRPr="00827A08">
        <w:rPr>
          <w:rFonts w:eastAsia="Times New Roman"/>
        </w:rPr>
        <w:t xml:space="preserve"> 14(6) </w:t>
      </w:r>
      <w:r w:rsidR="00186E40" w:rsidRPr="00827A08">
        <w:rPr>
          <w:rFonts w:eastAsia="Times New Roman"/>
          <w:i/>
        </w:rPr>
        <w:t>European Law Journal</w:t>
      </w:r>
      <w:r w:rsidR="00186E40" w:rsidRPr="00827A08">
        <w:rPr>
          <w:rFonts w:eastAsia="Times New Roman"/>
        </w:rPr>
        <w:t xml:space="preserve"> 718-734.</w:t>
      </w:r>
    </w:p>
    <w:p w14:paraId="272227CD" w14:textId="77777777" w:rsidR="00186E40" w:rsidRPr="00827A08" w:rsidRDefault="00186E40" w:rsidP="00297F8F">
      <w:pPr>
        <w:spacing w:line="360" w:lineRule="auto"/>
        <w:rPr>
          <w:color w:val="000000"/>
        </w:rPr>
      </w:pPr>
    </w:p>
    <w:p w14:paraId="645DB2BF" w14:textId="3FE370F5" w:rsidR="00186E40" w:rsidRPr="00827A08" w:rsidRDefault="00186E40" w:rsidP="00297F8F">
      <w:pPr>
        <w:spacing w:line="360" w:lineRule="auto"/>
        <w:rPr>
          <w:color w:val="000000"/>
        </w:rPr>
      </w:pPr>
      <w:r w:rsidRPr="00827A08">
        <w:rPr>
          <w:color w:val="000000"/>
        </w:rPr>
        <w:t>Marshak</w:t>
      </w:r>
      <w:r w:rsidR="00DD71ED">
        <w:rPr>
          <w:color w:val="000000"/>
        </w:rPr>
        <w:t xml:space="preserve"> R J and Heracleous L (2004) “Organizational development” </w:t>
      </w:r>
      <w:r w:rsidRPr="00827A08">
        <w:rPr>
          <w:color w:val="000000"/>
        </w:rPr>
        <w:t xml:space="preserve">in Clegg S and Bailey J, eds., </w:t>
      </w:r>
      <w:r w:rsidRPr="00827A08">
        <w:rPr>
          <w:i/>
          <w:color w:val="000000"/>
        </w:rPr>
        <w:t>International Encyclopaedia of Organization Studies</w:t>
      </w:r>
      <w:r w:rsidRPr="00827A08">
        <w:rPr>
          <w:color w:val="000000"/>
        </w:rPr>
        <w:t>, Thousand Oaks CA: SAGE, 1047-1052.</w:t>
      </w:r>
    </w:p>
    <w:p w14:paraId="799F29F7" w14:textId="77777777" w:rsidR="00186E40" w:rsidRPr="00827A08" w:rsidRDefault="00186E40" w:rsidP="00297F8F">
      <w:pPr>
        <w:spacing w:line="360" w:lineRule="auto"/>
        <w:rPr>
          <w:color w:val="000000"/>
        </w:rPr>
      </w:pPr>
    </w:p>
    <w:p w14:paraId="6A19EE1A" w14:textId="3307F86F" w:rsidR="00186E40" w:rsidRPr="00827A08" w:rsidRDefault="00DD71ED" w:rsidP="00297F8F">
      <w:pPr>
        <w:spacing w:line="360" w:lineRule="auto"/>
        <w:rPr>
          <w:rStyle w:val="Hyperlink"/>
        </w:rPr>
      </w:pPr>
      <w:r>
        <w:rPr>
          <w:color w:val="000000"/>
        </w:rPr>
        <w:t>Mayabushan (2013) “NGT ban judicial overreach”</w:t>
      </w:r>
      <w:r w:rsidR="00186E40" w:rsidRPr="00827A08">
        <w:rPr>
          <w:color w:val="000000"/>
        </w:rPr>
        <w:t xml:space="preserve"> </w:t>
      </w:r>
      <w:hyperlink r:id="rId45" w:history="1">
        <w:r w:rsidR="00186E40" w:rsidRPr="00827A08">
          <w:rPr>
            <w:rStyle w:val="Hyperlink"/>
          </w:rPr>
          <w:t>http://www.dailypioneer.com/nation/ngt-ban-judicial-overreach.html</w:t>
        </w:r>
      </w:hyperlink>
      <w:r w:rsidR="00186E40" w:rsidRPr="00827A08">
        <w:rPr>
          <w:color w:val="000000"/>
        </w:rPr>
        <w:t xml:space="preserve"> (accessed 4 March 2018). </w:t>
      </w:r>
      <w:r w:rsidR="00186E40" w:rsidRPr="00827A08">
        <w:rPr>
          <w:color w:val="000000"/>
        </w:rPr>
        <w:fldChar w:fldCharType="begin"/>
      </w:r>
      <w:r w:rsidR="00186E40" w:rsidRPr="00827A08">
        <w:rPr>
          <w:color w:val="000000"/>
        </w:rPr>
        <w:instrText xml:space="preserve"> HYPERLINK "overreach’’http://www.dailypioneer.com/nation/ngt-ban-judicial-overreach.html" </w:instrText>
      </w:r>
      <w:r w:rsidR="00186E40" w:rsidRPr="00827A08">
        <w:rPr>
          <w:color w:val="000000"/>
        </w:rPr>
        <w:fldChar w:fldCharType="separate"/>
      </w:r>
      <w:r w:rsidR="00186E40" w:rsidRPr="00827A08">
        <w:rPr>
          <w:rStyle w:val="Hyperlink"/>
        </w:rPr>
        <w:t xml:space="preserve"> </w:t>
      </w:r>
    </w:p>
    <w:p w14:paraId="7FD04192" w14:textId="77777777" w:rsidR="00186E40" w:rsidRPr="00827A08" w:rsidRDefault="00186E40" w:rsidP="00297F8F">
      <w:pPr>
        <w:spacing w:line="360" w:lineRule="auto"/>
        <w:rPr>
          <w:rStyle w:val="Hyperlink"/>
        </w:rPr>
      </w:pPr>
    </w:p>
    <w:p w14:paraId="032538FA" w14:textId="77777777" w:rsidR="00EA1CE2" w:rsidRDefault="00186E40" w:rsidP="00297F8F">
      <w:pPr>
        <w:spacing w:line="360" w:lineRule="auto"/>
        <w:rPr>
          <w:color w:val="000000"/>
        </w:rPr>
      </w:pPr>
      <w:r w:rsidRPr="00827A08">
        <w:rPr>
          <w:color w:val="000000"/>
        </w:rPr>
        <w:fldChar w:fldCharType="end"/>
      </w:r>
      <w:r w:rsidRPr="00827A08">
        <w:rPr>
          <w:color w:val="000000"/>
        </w:rPr>
        <w:t xml:space="preserve">Milton, John (1667) </w:t>
      </w:r>
      <w:r w:rsidRPr="00827A08">
        <w:rPr>
          <w:i/>
          <w:color w:val="000000"/>
        </w:rPr>
        <w:t>Paradise Lost Book</w:t>
      </w:r>
      <w:r w:rsidRPr="00827A08">
        <w:rPr>
          <w:color w:val="000000"/>
        </w:rPr>
        <w:t xml:space="preserve"> 1, L. 105.</w:t>
      </w:r>
      <w:r w:rsidR="00773DDD">
        <w:rPr>
          <w:color w:val="000000"/>
        </w:rPr>
        <w:t xml:space="preserve"> </w:t>
      </w:r>
    </w:p>
    <w:p w14:paraId="265E2EF8" w14:textId="77777777" w:rsidR="00EA1CE2" w:rsidRDefault="00EA1CE2" w:rsidP="00297F8F">
      <w:pPr>
        <w:spacing w:line="360" w:lineRule="auto"/>
        <w:rPr>
          <w:color w:val="000000"/>
        </w:rPr>
      </w:pPr>
    </w:p>
    <w:p w14:paraId="6C65A075" w14:textId="6052E4DC" w:rsidR="00773DDD" w:rsidRDefault="00EA1CE2" w:rsidP="00297F8F">
      <w:pPr>
        <w:spacing w:line="360" w:lineRule="auto"/>
        <w:rPr>
          <w:color w:val="000000"/>
        </w:rPr>
      </w:pPr>
      <w:r>
        <w:rPr>
          <w:color w:val="000000"/>
        </w:rPr>
        <w:t>Modi, Narendra (2015)</w:t>
      </w:r>
      <w:r w:rsidR="00CA15BF">
        <w:rPr>
          <w:color w:val="000000"/>
        </w:rPr>
        <w:t xml:space="preserve"> </w:t>
      </w:r>
      <w:r w:rsidR="00CA15BF" w:rsidRPr="00CA15BF">
        <w:rPr>
          <w:i/>
          <w:color w:val="000000"/>
        </w:rPr>
        <w:t>Convenient Action- Continuity for Change</w:t>
      </w:r>
      <w:r w:rsidR="00CA15BF">
        <w:rPr>
          <w:color w:val="000000"/>
        </w:rPr>
        <w:t>, Lexis Nexis.</w:t>
      </w:r>
    </w:p>
    <w:p w14:paraId="7CDEEFF9" w14:textId="77777777" w:rsidR="00773DDD" w:rsidRDefault="00773DDD" w:rsidP="00297F8F">
      <w:pPr>
        <w:spacing w:line="360" w:lineRule="auto"/>
        <w:rPr>
          <w:color w:val="000000"/>
        </w:rPr>
      </w:pPr>
    </w:p>
    <w:p w14:paraId="73706DFB" w14:textId="63B5FADA" w:rsidR="00186E40" w:rsidRPr="00827A08" w:rsidRDefault="00DD71ED" w:rsidP="00297F8F">
      <w:pPr>
        <w:spacing w:line="360" w:lineRule="auto"/>
        <w:rPr>
          <w:color w:val="000000"/>
        </w:rPr>
      </w:pPr>
      <w:r>
        <w:rPr>
          <w:color w:val="000000"/>
        </w:rPr>
        <w:t>Modi, Narendra (2018) “</w:t>
      </w:r>
      <w:r w:rsidR="00773DDD">
        <w:rPr>
          <w:color w:val="000000"/>
        </w:rPr>
        <w:t xml:space="preserve">PM Modi addresses World </w:t>
      </w:r>
      <w:r>
        <w:rPr>
          <w:color w:val="000000"/>
        </w:rPr>
        <w:t>Sustainable Development Summit”</w:t>
      </w:r>
      <w:r w:rsidR="00773DDD">
        <w:rPr>
          <w:color w:val="000000"/>
        </w:rPr>
        <w:t xml:space="preserve"> </w:t>
      </w:r>
      <w:hyperlink r:id="rId46" w:history="1">
        <w:r w:rsidR="00773DDD" w:rsidRPr="00F52C71">
          <w:rPr>
            <w:rStyle w:val="Hyperlink"/>
          </w:rPr>
          <w:t>https://www.narendramodi.in/pm-modi-addresses-world-sustainable-development-summit-538963</w:t>
        </w:r>
      </w:hyperlink>
      <w:r w:rsidR="00773DDD">
        <w:rPr>
          <w:color w:val="000000"/>
        </w:rPr>
        <w:t xml:space="preserve"> (accessed 5 June 2018).</w:t>
      </w:r>
    </w:p>
    <w:p w14:paraId="3B381E69" w14:textId="77777777" w:rsidR="00186E40" w:rsidRPr="00827A08" w:rsidRDefault="00186E40" w:rsidP="00297F8F">
      <w:pPr>
        <w:spacing w:line="360" w:lineRule="auto"/>
        <w:rPr>
          <w:color w:val="000000"/>
        </w:rPr>
      </w:pPr>
    </w:p>
    <w:p w14:paraId="72F36F18" w14:textId="7FB6A5AF" w:rsidR="00186E40" w:rsidRPr="00827A08" w:rsidRDefault="00DD71ED" w:rsidP="00297F8F">
      <w:pPr>
        <w:spacing w:line="360" w:lineRule="auto"/>
        <w:rPr>
          <w:color w:val="000000"/>
        </w:rPr>
      </w:pPr>
      <w:r>
        <w:rPr>
          <w:color w:val="000000"/>
        </w:rPr>
        <w:t>Moog, Robert (1992) “</w:t>
      </w:r>
      <w:r w:rsidR="00186E40" w:rsidRPr="00827A08">
        <w:rPr>
          <w:color w:val="000000"/>
        </w:rPr>
        <w:t>Delays in the Indian Courts: Why</w:t>
      </w:r>
      <w:r>
        <w:rPr>
          <w:color w:val="000000"/>
        </w:rPr>
        <w:t xml:space="preserve"> the Judges Don't Take Control”</w:t>
      </w:r>
      <w:r w:rsidR="00186E40" w:rsidRPr="00827A08">
        <w:rPr>
          <w:color w:val="000000"/>
        </w:rPr>
        <w:t xml:space="preserve"> 16 (1) </w:t>
      </w:r>
      <w:r w:rsidR="00186E40" w:rsidRPr="00827A08">
        <w:rPr>
          <w:i/>
          <w:color w:val="000000"/>
        </w:rPr>
        <w:t>Justice System Journal</w:t>
      </w:r>
      <w:r w:rsidR="00186E40" w:rsidRPr="00827A08">
        <w:rPr>
          <w:color w:val="000000"/>
        </w:rPr>
        <w:t xml:space="preserve"> 19-36.</w:t>
      </w:r>
    </w:p>
    <w:p w14:paraId="7FF9DA76" w14:textId="77777777" w:rsidR="00186E40" w:rsidRPr="00827A08" w:rsidRDefault="00186E40" w:rsidP="00297F8F">
      <w:pPr>
        <w:spacing w:line="360" w:lineRule="auto"/>
        <w:rPr>
          <w:color w:val="000000"/>
        </w:rPr>
      </w:pPr>
    </w:p>
    <w:p w14:paraId="2F3ECCB1" w14:textId="22F52B71" w:rsidR="00186E40" w:rsidRPr="00827A08" w:rsidRDefault="00186E40" w:rsidP="00297F8F">
      <w:pPr>
        <w:spacing w:line="360" w:lineRule="auto"/>
        <w:rPr>
          <w:color w:val="000000"/>
        </w:rPr>
      </w:pPr>
      <w:r w:rsidRPr="00827A08">
        <w:rPr>
          <w:color w:val="000000"/>
        </w:rPr>
        <w:t>Moran, John W. a</w:t>
      </w:r>
      <w:r w:rsidR="00DD71ED">
        <w:rPr>
          <w:color w:val="000000"/>
        </w:rPr>
        <w:t>nd Brightman, Baird K. (2001) “Leading organizational change”</w:t>
      </w:r>
      <w:r w:rsidRPr="00827A08">
        <w:rPr>
          <w:color w:val="000000"/>
        </w:rPr>
        <w:t xml:space="preserve"> 6 (2) </w:t>
      </w:r>
      <w:r w:rsidRPr="00827A08">
        <w:rPr>
          <w:i/>
          <w:color w:val="000000"/>
        </w:rPr>
        <w:t>Career Development International</w:t>
      </w:r>
      <w:r w:rsidRPr="00827A08">
        <w:rPr>
          <w:color w:val="000000"/>
        </w:rPr>
        <w:t xml:space="preserve"> 111 –118.</w:t>
      </w:r>
    </w:p>
    <w:p w14:paraId="173F6477" w14:textId="77777777" w:rsidR="00186E40" w:rsidRPr="00827A08" w:rsidRDefault="00186E40" w:rsidP="00297F8F">
      <w:pPr>
        <w:spacing w:line="360" w:lineRule="auto"/>
        <w:rPr>
          <w:color w:val="000000"/>
        </w:rPr>
      </w:pPr>
    </w:p>
    <w:p w14:paraId="75FDEB9D" w14:textId="409DD070" w:rsidR="00186E40" w:rsidRPr="00827A08" w:rsidRDefault="00B80A50" w:rsidP="00297F8F">
      <w:pPr>
        <w:spacing w:line="360" w:lineRule="auto"/>
        <w:rPr>
          <w:color w:val="000000"/>
        </w:rPr>
      </w:pPr>
      <w:r>
        <w:rPr>
          <w:color w:val="000000"/>
        </w:rPr>
        <w:t>More Manoj Dattatrye (2016) “</w:t>
      </w:r>
      <w:r w:rsidR="00186E40" w:rsidRPr="00827A08">
        <w:rPr>
          <w:color w:val="000000"/>
        </w:rPr>
        <w:t xml:space="preserve">Green project clearances now in 190 days not </w:t>
      </w:r>
      <w:r>
        <w:rPr>
          <w:color w:val="000000"/>
        </w:rPr>
        <w:t>in 600 days: Prakash Javadekar”</w:t>
      </w:r>
      <w:r w:rsidR="00186E40" w:rsidRPr="00827A08">
        <w:rPr>
          <w:color w:val="000000"/>
        </w:rPr>
        <w:t xml:space="preserve"> </w:t>
      </w:r>
      <w:hyperlink r:id="rId47" w:history="1">
        <w:r w:rsidR="00186E40" w:rsidRPr="00827A08">
          <w:rPr>
            <w:rStyle w:val="Hyperlink"/>
          </w:rPr>
          <w:t>http://indianexpress.com/article/india/india-news-india/green-project-clearances-now-in-190-days-not-in-600-days-javadekar-2813341/</w:t>
        </w:r>
      </w:hyperlink>
      <w:r w:rsidR="00186E40" w:rsidRPr="00827A08">
        <w:rPr>
          <w:color w:val="000000"/>
        </w:rPr>
        <w:t xml:space="preserve"> (accessed 19 November 2017).</w:t>
      </w:r>
    </w:p>
    <w:p w14:paraId="2944E3B1" w14:textId="77777777" w:rsidR="00186E40" w:rsidRPr="00827A08" w:rsidRDefault="00186E40" w:rsidP="00297F8F">
      <w:pPr>
        <w:spacing w:line="360" w:lineRule="auto"/>
        <w:rPr>
          <w:color w:val="000000"/>
        </w:rPr>
      </w:pPr>
    </w:p>
    <w:p w14:paraId="52DFC84E" w14:textId="49AC0507" w:rsidR="00186E40" w:rsidRPr="00827A08" w:rsidRDefault="00186E40" w:rsidP="00297F8F">
      <w:pPr>
        <w:spacing w:line="360" w:lineRule="auto"/>
        <w:rPr>
          <w:color w:val="000000"/>
        </w:rPr>
      </w:pPr>
      <w:r w:rsidRPr="00827A08">
        <w:rPr>
          <w:color w:val="000000"/>
        </w:rPr>
        <w:t>Naid</w:t>
      </w:r>
      <w:r w:rsidR="00B80A50">
        <w:rPr>
          <w:color w:val="000000"/>
        </w:rPr>
        <w:t>u Muppavarapu Venkaiah (2017) “</w:t>
      </w:r>
      <w:r w:rsidRPr="00827A08">
        <w:rPr>
          <w:color w:val="000000"/>
        </w:rPr>
        <w:t>Message- Internatio</w:t>
      </w:r>
      <w:r w:rsidR="00B80A50">
        <w:rPr>
          <w:color w:val="000000"/>
        </w:rPr>
        <w:t xml:space="preserve">nal Conference on Environment” </w:t>
      </w:r>
      <w:r w:rsidRPr="00827A08">
        <w:rPr>
          <w:color w:val="000000"/>
        </w:rPr>
        <w:t xml:space="preserve">2 </w:t>
      </w:r>
      <w:r w:rsidRPr="00827A08">
        <w:rPr>
          <w:i/>
          <w:color w:val="000000"/>
        </w:rPr>
        <w:t>NGT International Journal on Environment</w:t>
      </w:r>
      <w:r w:rsidRPr="00827A08">
        <w:rPr>
          <w:color w:val="000000"/>
        </w:rPr>
        <w:t>.</w:t>
      </w:r>
    </w:p>
    <w:p w14:paraId="6E142B5B" w14:textId="77777777" w:rsidR="00186E40" w:rsidRPr="00827A08" w:rsidRDefault="00186E40" w:rsidP="00297F8F">
      <w:pPr>
        <w:spacing w:line="360" w:lineRule="auto"/>
        <w:rPr>
          <w:color w:val="000000"/>
        </w:rPr>
      </w:pPr>
    </w:p>
    <w:p w14:paraId="16D025CA" w14:textId="1DFA087F" w:rsidR="00186E40" w:rsidRPr="00827A08" w:rsidRDefault="00B80A50" w:rsidP="00297F8F">
      <w:pPr>
        <w:spacing w:line="360" w:lineRule="auto"/>
        <w:rPr>
          <w:color w:val="000000"/>
        </w:rPr>
      </w:pPr>
      <w:r>
        <w:rPr>
          <w:color w:val="000000"/>
        </w:rPr>
        <w:t>Nair Harish V (2017) “</w:t>
      </w:r>
      <w:r w:rsidR="00186E40" w:rsidRPr="00827A08">
        <w:rPr>
          <w:color w:val="000000"/>
        </w:rPr>
        <w:t>Supreme Court seeks explanation from Centre on acute shorta</w:t>
      </w:r>
      <w:r>
        <w:rPr>
          <w:color w:val="000000"/>
        </w:rPr>
        <w:t>ge of judges in NGT”</w:t>
      </w:r>
      <w:r w:rsidR="00186E40" w:rsidRPr="00827A08">
        <w:rPr>
          <w:color w:val="000000"/>
        </w:rPr>
        <w:t xml:space="preserve"> </w:t>
      </w:r>
      <w:hyperlink r:id="rId48" w:history="1">
        <w:r w:rsidR="00186E40" w:rsidRPr="00827A08">
          <w:rPr>
            <w:rStyle w:val="Hyperlink"/>
          </w:rPr>
          <w:t>https://www.indiatoday.in/mail-today/story/ngt-judges-vacancy-supreme-court-centre-appoint-judges-1099148-2017-12-03</w:t>
        </w:r>
      </w:hyperlink>
      <w:r w:rsidR="00186E40" w:rsidRPr="00827A08">
        <w:rPr>
          <w:rStyle w:val="Hyperlink"/>
        </w:rPr>
        <w:t xml:space="preserve"> </w:t>
      </w:r>
      <w:r w:rsidR="00186E40" w:rsidRPr="00827A08">
        <w:rPr>
          <w:rStyle w:val="Hyperlink"/>
          <w:color w:val="000000" w:themeColor="text1"/>
        </w:rPr>
        <w:t>(accessed 10 February 2018).</w:t>
      </w:r>
    </w:p>
    <w:p w14:paraId="4A46873B" w14:textId="77777777" w:rsidR="00186E40" w:rsidRPr="00827A08" w:rsidRDefault="00186E40" w:rsidP="00297F8F">
      <w:pPr>
        <w:spacing w:line="360" w:lineRule="auto"/>
        <w:rPr>
          <w:color w:val="000000"/>
        </w:rPr>
      </w:pPr>
    </w:p>
    <w:p w14:paraId="0EBEBBE7" w14:textId="77777777" w:rsidR="00186E40" w:rsidRPr="00827A08" w:rsidRDefault="00186E40" w:rsidP="00297F8F">
      <w:pPr>
        <w:spacing w:line="360" w:lineRule="auto"/>
        <w:rPr>
          <w:rFonts w:eastAsia="Times New Roman"/>
        </w:rPr>
      </w:pPr>
      <w:r w:rsidRPr="00827A08">
        <w:rPr>
          <w:rFonts w:eastAsia="Times New Roman"/>
        </w:rPr>
        <w:t xml:space="preserve">Ng, Gar Yein (2007) </w:t>
      </w:r>
      <w:r w:rsidRPr="00827A08">
        <w:rPr>
          <w:rFonts w:eastAsia="Times New Roman"/>
          <w:i/>
        </w:rPr>
        <w:t>Quality of Judicial Organisation and Checks and Balances</w:t>
      </w:r>
      <w:r w:rsidRPr="00827A08">
        <w:rPr>
          <w:rFonts w:eastAsia="Times New Roman"/>
        </w:rPr>
        <w:t>, Intersentia: Antwerp</w:t>
      </w:r>
    </w:p>
    <w:p w14:paraId="463B3BC0" w14:textId="77777777" w:rsidR="00186E40" w:rsidRPr="00827A08" w:rsidRDefault="00186E40" w:rsidP="00297F8F">
      <w:pPr>
        <w:spacing w:line="360" w:lineRule="auto"/>
        <w:rPr>
          <w:color w:val="000000"/>
        </w:rPr>
      </w:pPr>
    </w:p>
    <w:p w14:paraId="696FFC61" w14:textId="790837BD" w:rsidR="00186E40" w:rsidRPr="00827A08" w:rsidRDefault="00B80A50" w:rsidP="00297F8F">
      <w:pPr>
        <w:spacing w:line="360" w:lineRule="auto"/>
        <w:rPr>
          <w:color w:val="000000"/>
        </w:rPr>
      </w:pPr>
      <w:r>
        <w:rPr>
          <w:color w:val="000000"/>
        </w:rPr>
        <w:t>Padma TV (2011) “</w:t>
      </w:r>
      <w:r w:rsidR="00186E40" w:rsidRPr="00827A08">
        <w:rPr>
          <w:color w:val="000000"/>
        </w:rPr>
        <w:t>Jairam Ramesh's legacy is an Indian environ</w:t>
      </w:r>
      <w:r>
        <w:rPr>
          <w:color w:val="000000"/>
        </w:rPr>
        <w:t>ment ministry with an identity”</w:t>
      </w:r>
      <w:r w:rsidR="00186E40" w:rsidRPr="00827A08">
        <w:rPr>
          <w:color w:val="000000"/>
        </w:rPr>
        <w:t xml:space="preserve"> </w:t>
      </w:r>
      <w:hyperlink r:id="rId49" w:history="1">
        <w:r w:rsidR="00186E40" w:rsidRPr="00827A08">
          <w:rPr>
            <w:rStyle w:val="Hyperlink"/>
          </w:rPr>
          <w:t>https://www.theguardian.com/environment/blog/2011/jul/13/jairam-ramesh-india-environment-ministry</w:t>
        </w:r>
      </w:hyperlink>
      <w:r w:rsidR="00186E40" w:rsidRPr="00827A08">
        <w:rPr>
          <w:rStyle w:val="Hyperlink"/>
        </w:rPr>
        <w:t xml:space="preserve"> </w:t>
      </w:r>
      <w:r w:rsidR="00186E40" w:rsidRPr="00827A08">
        <w:rPr>
          <w:rStyle w:val="Hyperlink"/>
          <w:color w:val="000000" w:themeColor="text1"/>
        </w:rPr>
        <w:t>(accessed 14 February 2014).</w:t>
      </w:r>
    </w:p>
    <w:p w14:paraId="083207F5" w14:textId="77777777" w:rsidR="00186E40" w:rsidRPr="00827A08" w:rsidRDefault="00186E40" w:rsidP="00370FA6">
      <w:pPr>
        <w:spacing w:line="360" w:lineRule="auto"/>
        <w:rPr>
          <w:color w:val="000000"/>
        </w:rPr>
      </w:pPr>
    </w:p>
    <w:p w14:paraId="0267F901" w14:textId="77777777" w:rsidR="00186E40" w:rsidRPr="00827A08" w:rsidRDefault="00186E40" w:rsidP="00370FA6">
      <w:pPr>
        <w:spacing w:line="360" w:lineRule="auto"/>
      </w:pPr>
      <w:r w:rsidRPr="00827A08">
        <w:rPr>
          <w:iCs/>
        </w:rPr>
        <w:t xml:space="preserve">Petrick, Joe and Lindsay William (1996) </w:t>
      </w:r>
      <w:r w:rsidRPr="00827A08">
        <w:rPr>
          <w:i/>
        </w:rPr>
        <w:t>Total Quality and Organization Development</w:t>
      </w:r>
      <w:r w:rsidRPr="00827A08">
        <w:t>, St. Lucie Press Total Quality Series: CRC Press.</w:t>
      </w:r>
    </w:p>
    <w:p w14:paraId="69C85B46" w14:textId="77777777" w:rsidR="00186E40" w:rsidRPr="00827A08" w:rsidRDefault="00186E40" w:rsidP="00370FA6">
      <w:pPr>
        <w:spacing w:line="360" w:lineRule="auto"/>
        <w:rPr>
          <w:color w:val="000000"/>
        </w:rPr>
      </w:pPr>
    </w:p>
    <w:p w14:paraId="46628A50" w14:textId="149A7EC5" w:rsidR="00186E40" w:rsidRPr="00827A08" w:rsidRDefault="00186E40" w:rsidP="00297F8F">
      <w:pPr>
        <w:spacing w:line="360" w:lineRule="auto"/>
        <w:rPr>
          <w:color w:val="000000"/>
        </w:rPr>
      </w:pPr>
      <w:r w:rsidRPr="00827A08">
        <w:rPr>
          <w:color w:val="000000"/>
        </w:rPr>
        <w:t xml:space="preserve">Pierce, J. L., Gardner, </w:t>
      </w:r>
      <w:r w:rsidR="00B80A50">
        <w:rPr>
          <w:color w:val="000000"/>
        </w:rPr>
        <w:t>D. G., &amp; Dunham, R. B. (2002) “</w:t>
      </w:r>
      <w:r w:rsidRPr="00827A08">
        <w:rPr>
          <w:color w:val="000000"/>
        </w:rPr>
        <w:t>Management organiz</w:t>
      </w:r>
      <w:r w:rsidR="00B80A50">
        <w:rPr>
          <w:color w:val="000000"/>
        </w:rPr>
        <w:t>ational change and development”</w:t>
      </w:r>
      <w:r w:rsidRPr="00827A08">
        <w:rPr>
          <w:color w:val="000000"/>
        </w:rPr>
        <w:t xml:space="preserve"> in Management and organizational behaviour: An integrated perspective, Cincinnati, OH: South-Western College Publishing, 627-657. </w:t>
      </w:r>
    </w:p>
    <w:p w14:paraId="4D60EF89" w14:textId="77777777" w:rsidR="00186E40" w:rsidRPr="00827A08" w:rsidRDefault="00186E40" w:rsidP="00297F8F">
      <w:pPr>
        <w:spacing w:line="360" w:lineRule="auto"/>
        <w:rPr>
          <w:color w:val="000000"/>
        </w:rPr>
      </w:pPr>
    </w:p>
    <w:p w14:paraId="1AD237C2" w14:textId="77777777" w:rsidR="00186E40" w:rsidRPr="00827A08" w:rsidRDefault="00186E40" w:rsidP="00297F8F">
      <w:pPr>
        <w:spacing w:line="360" w:lineRule="auto"/>
        <w:rPr>
          <w:color w:val="000000"/>
        </w:rPr>
      </w:pPr>
      <w:r w:rsidRPr="00827A08">
        <w:rPr>
          <w:color w:val="000000"/>
        </w:rPr>
        <w:t>PLA Notes (1999), 17-23, IIED, London.</w:t>
      </w:r>
    </w:p>
    <w:p w14:paraId="0DB1D0EA" w14:textId="77777777" w:rsidR="00186E40" w:rsidRPr="00827A08" w:rsidRDefault="00186E40" w:rsidP="00297F8F">
      <w:pPr>
        <w:spacing w:line="360" w:lineRule="auto"/>
        <w:rPr>
          <w:color w:val="000000"/>
        </w:rPr>
      </w:pPr>
    </w:p>
    <w:p w14:paraId="79A866C3" w14:textId="4B0054D8" w:rsidR="00186E40" w:rsidRPr="00827A08" w:rsidRDefault="00647D76" w:rsidP="00297F8F">
      <w:pPr>
        <w:spacing w:line="360" w:lineRule="auto"/>
        <w:rPr>
          <w:color w:val="000000"/>
        </w:rPr>
      </w:pPr>
      <w:r>
        <w:rPr>
          <w:color w:val="000000"/>
        </w:rPr>
        <w:t>Polanki Pallavi (2014), “</w:t>
      </w:r>
      <w:r w:rsidR="00186E40" w:rsidRPr="00827A08">
        <w:rPr>
          <w:color w:val="000000"/>
        </w:rPr>
        <w:t>National Green Tribunal assets independence, is E</w:t>
      </w:r>
      <w:r>
        <w:rPr>
          <w:color w:val="000000"/>
        </w:rPr>
        <w:t>nvironment Minister listening?”</w:t>
      </w:r>
      <w:r w:rsidR="00186E40" w:rsidRPr="00827A08">
        <w:rPr>
          <w:color w:val="000000"/>
        </w:rPr>
        <w:t xml:space="preserve"> </w:t>
      </w:r>
      <w:hyperlink r:id="rId50" w:history="1">
        <w:r w:rsidR="00186E40" w:rsidRPr="00827A08">
          <w:rPr>
            <w:rStyle w:val="Hyperlink"/>
          </w:rPr>
          <w:t>https://www.firstpost.com/india/national-green-tribunal-asserts-independence-environment-minister-listening-1625527.html</w:t>
        </w:r>
      </w:hyperlink>
      <w:r w:rsidR="00186E40" w:rsidRPr="00827A08">
        <w:rPr>
          <w:color w:val="000000"/>
        </w:rPr>
        <w:t xml:space="preserve"> (accessed 22 August 2016). </w:t>
      </w:r>
    </w:p>
    <w:p w14:paraId="4C7B4B2A" w14:textId="77777777" w:rsidR="00186E40" w:rsidRPr="00827A08" w:rsidRDefault="00186E40" w:rsidP="00297F8F">
      <w:pPr>
        <w:spacing w:line="360" w:lineRule="auto"/>
        <w:rPr>
          <w:color w:val="000000"/>
        </w:rPr>
      </w:pPr>
    </w:p>
    <w:p w14:paraId="30FF5BB5" w14:textId="77777777" w:rsidR="00186E40" w:rsidRPr="00827A08" w:rsidRDefault="00186E40" w:rsidP="00297F8F">
      <w:pPr>
        <w:shd w:val="clear" w:color="auto" w:fill="FFFFFF"/>
        <w:spacing w:line="360" w:lineRule="auto"/>
        <w:rPr>
          <w:rFonts w:eastAsia="Times New Roman"/>
          <w:color w:val="000000"/>
          <w:spacing w:val="-1"/>
        </w:rPr>
      </w:pPr>
      <w:r w:rsidRPr="00827A08">
        <w:rPr>
          <w:rFonts w:eastAsia="Times New Roman"/>
          <w:color w:val="000000"/>
          <w:spacing w:val="-1"/>
        </w:rPr>
        <w:t xml:space="preserve">Pollitt, Christopher (1995) “Justification by Faith or by </w:t>
      </w:r>
      <w:r w:rsidRPr="00827A08">
        <w:rPr>
          <w:rStyle w:val="ls5b"/>
          <w:rFonts w:eastAsia="Times New Roman"/>
          <w:color w:val="000000"/>
          <w:spacing w:val="-1"/>
        </w:rPr>
        <w:t xml:space="preserve">Works? Evaluating the New Public Management.” 1 (2) </w:t>
      </w:r>
      <w:r w:rsidRPr="00827A08">
        <w:rPr>
          <w:rStyle w:val="ff2"/>
          <w:rFonts w:eastAsia="Times New Roman"/>
          <w:i/>
          <w:color w:val="000000"/>
          <w:spacing w:val="1"/>
        </w:rPr>
        <w:t>Evaluation</w:t>
      </w:r>
      <w:r w:rsidRPr="00827A08">
        <w:rPr>
          <w:rFonts w:eastAsia="Times New Roman"/>
          <w:color w:val="000000"/>
          <w:spacing w:val="1"/>
        </w:rPr>
        <w:t xml:space="preserve"> 133-154.</w:t>
      </w:r>
    </w:p>
    <w:p w14:paraId="4F6DF33D" w14:textId="77777777" w:rsidR="00186E40" w:rsidRPr="00827A08" w:rsidRDefault="00186E40" w:rsidP="00297F8F">
      <w:pPr>
        <w:spacing w:line="360" w:lineRule="auto"/>
        <w:rPr>
          <w:color w:val="000000"/>
        </w:rPr>
      </w:pPr>
    </w:p>
    <w:p w14:paraId="481945C0" w14:textId="0A018667" w:rsidR="00186E40" w:rsidRPr="00827A08" w:rsidRDefault="00647D76" w:rsidP="00297F8F">
      <w:pPr>
        <w:spacing w:line="360" w:lineRule="auto"/>
        <w:rPr>
          <w:color w:val="000000"/>
        </w:rPr>
      </w:pPr>
      <w:r>
        <w:rPr>
          <w:color w:val="000000"/>
        </w:rPr>
        <w:t>Preston, Brian J (2012) “</w:t>
      </w:r>
      <w:r w:rsidR="00186E40" w:rsidRPr="00827A08">
        <w:rPr>
          <w:color w:val="000000"/>
        </w:rPr>
        <w:t>Benefits of Judicial specialisation in environmental law: The Land and Environment Court of N</w:t>
      </w:r>
      <w:r>
        <w:rPr>
          <w:color w:val="000000"/>
        </w:rPr>
        <w:t>ew South Wales as a Case Study”</w:t>
      </w:r>
      <w:r w:rsidR="00186E40" w:rsidRPr="00827A08">
        <w:rPr>
          <w:color w:val="000000"/>
        </w:rPr>
        <w:t xml:space="preserve"> 29(2) </w:t>
      </w:r>
      <w:r w:rsidR="00186E40" w:rsidRPr="00827A08">
        <w:rPr>
          <w:i/>
          <w:color w:val="000000"/>
        </w:rPr>
        <w:t>Pace Environmental LR</w:t>
      </w:r>
      <w:r w:rsidR="00186E40" w:rsidRPr="00827A08">
        <w:rPr>
          <w:color w:val="000000"/>
        </w:rPr>
        <w:t xml:space="preserve"> 386.</w:t>
      </w:r>
    </w:p>
    <w:p w14:paraId="0C95A162" w14:textId="77777777" w:rsidR="00186E40" w:rsidRPr="00827A08" w:rsidRDefault="00186E40" w:rsidP="00297F8F">
      <w:pPr>
        <w:spacing w:line="360" w:lineRule="auto"/>
        <w:rPr>
          <w:color w:val="000000"/>
        </w:rPr>
      </w:pPr>
    </w:p>
    <w:p w14:paraId="635CDCC7" w14:textId="77777777" w:rsidR="00186E40" w:rsidRPr="00827A08" w:rsidRDefault="00186E40" w:rsidP="00297F8F">
      <w:pPr>
        <w:spacing w:line="360" w:lineRule="auto"/>
        <w:rPr>
          <w:color w:val="000000"/>
        </w:rPr>
      </w:pPr>
      <w:r w:rsidRPr="00827A08">
        <w:rPr>
          <w:color w:val="000000"/>
        </w:rPr>
        <w:t xml:space="preserve">Pring, George and Pring, Catherine (2016) </w:t>
      </w:r>
      <w:r w:rsidRPr="00827A08">
        <w:rPr>
          <w:i/>
          <w:color w:val="000000"/>
        </w:rPr>
        <w:t>The ABCs of the ECTs: A Guide for Policy Makers for Designing and Operating a Specialised Environmental Court or Tribunal</w:t>
      </w:r>
      <w:r w:rsidRPr="00827A08">
        <w:rPr>
          <w:color w:val="000000"/>
        </w:rPr>
        <w:t>, United Nations Environment Programme.</w:t>
      </w:r>
    </w:p>
    <w:p w14:paraId="7C8EB6A0" w14:textId="77777777" w:rsidR="00186E40" w:rsidRPr="00827A08" w:rsidRDefault="00186E40" w:rsidP="00297F8F">
      <w:pPr>
        <w:spacing w:line="360" w:lineRule="auto"/>
        <w:rPr>
          <w:color w:val="000000"/>
        </w:rPr>
      </w:pPr>
    </w:p>
    <w:p w14:paraId="0A010D64" w14:textId="3161A3C6" w:rsidR="00186E40" w:rsidRPr="00827A08" w:rsidRDefault="00647D76" w:rsidP="00297F8F">
      <w:pPr>
        <w:spacing w:line="360" w:lineRule="auto"/>
        <w:rPr>
          <w:color w:val="000000"/>
        </w:rPr>
      </w:pPr>
      <w:r>
        <w:rPr>
          <w:color w:val="000000"/>
        </w:rPr>
        <w:t>Prsindia.org (2009) “</w:t>
      </w:r>
      <w:r w:rsidR="00186E40" w:rsidRPr="00827A08">
        <w:rPr>
          <w:color w:val="000000"/>
        </w:rPr>
        <w:t>The Nat</w:t>
      </w:r>
      <w:r>
        <w:rPr>
          <w:color w:val="000000"/>
        </w:rPr>
        <w:t>ional Green Tribunal Bill 2009”</w:t>
      </w:r>
      <w:r w:rsidR="00186E40" w:rsidRPr="00827A08">
        <w:rPr>
          <w:color w:val="000000"/>
        </w:rPr>
        <w:t xml:space="preserve"> </w:t>
      </w:r>
      <w:hyperlink r:id="rId51" w:history="1">
        <w:r w:rsidR="00186E40" w:rsidRPr="00827A08">
          <w:rPr>
            <w:rStyle w:val="Hyperlink"/>
          </w:rPr>
          <w:t>http://www.prsindia.org/billtrack/the-national-green-tribunal-bill-2009-740/</w:t>
        </w:r>
      </w:hyperlink>
      <w:r w:rsidR="00186E40" w:rsidRPr="00827A08">
        <w:rPr>
          <w:color w:val="000000"/>
        </w:rPr>
        <w:t xml:space="preserve"> (accessed 20 May 2011).</w:t>
      </w:r>
    </w:p>
    <w:p w14:paraId="656B7324" w14:textId="77777777" w:rsidR="00186E40" w:rsidRPr="00827A08" w:rsidRDefault="00186E40" w:rsidP="00297F8F">
      <w:pPr>
        <w:spacing w:line="360" w:lineRule="auto"/>
        <w:rPr>
          <w:color w:val="000000"/>
        </w:rPr>
      </w:pPr>
    </w:p>
    <w:p w14:paraId="662D26A9" w14:textId="34836511" w:rsidR="00186E40" w:rsidRPr="00827A08" w:rsidRDefault="00647D76" w:rsidP="00297F8F">
      <w:pPr>
        <w:spacing w:line="360" w:lineRule="auto"/>
        <w:rPr>
          <w:color w:val="000000"/>
        </w:rPr>
      </w:pPr>
      <w:r>
        <w:rPr>
          <w:color w:val="000000"/>
        </w:rPr>
        <w:t>Rackemann Michael (2017), “</w:t>
      </w:r>
      <w:r w:rsidR="00186E40" w:rsidRPr="00827A08">
        <w:rPr>
          <w:color w:val="000000"/>
        </w:rPr>
        <w:t>Book Review-Environmental Justice in India</w:t>
      </w:r>
      <w:r>
        <w:rPr>
          <w:color w:val="000000"/>
        </w:rPr>
        <w:t xml:space="preserve"> - The National Green Tribunal”</w:t>
      </w:r>
      <w:r w:rsidR="00186E40" w:rsidRPr="00827A08">
        <w:rPr>
          <w:color w:val="000000"/>
        </w:rPr>
        <w:t xml:space="preserve"> 45 </w:t>
      </w:r>
      <w:r w:rsidR="00186E40" w:rsidRPr="00827A08">
        <w:rPr>
          <w:i/>
          <w:color w:val="000000"/>
        </w:rPr>
        <w:t>Denv. J. Int'l L. &amp; Pol'y</w:t>
      </w:r>
      <w:r w:rsidR="00186E40" w:rsidRPr="00827A08">
        <w:rPr>
          <w:color w:val="000000"/>
        </w:rPr>
        <w:t xml:space="preserve"> 471-475.</w:t>
      </w:r>
    </w:p>
    <w:p w14:paraId="6D310186" w14:textId="77777777" w:rsidR="00186E40" w:rsidRPr="00827A08" w:rsidRDefault="00186E40" w:rsidP="00297F8F">
      <w:pPr>
        <w:spacing w:line="360" w:lineRule="auto"/>
        <w:rPr>
          <w:color w:val="000000"/>
        </w:rPr>
      </w:pPr>
    </w:p>
    <w:p w14:paraId="0C14739C" w14:textId="48B7AE58" w:rsidR="00186E40" w:rsidRPr="00827A08" w:rsidRDefault="00647D76" w:rsidP="00297F8F">
      <w:pPr>
        <w:spacing w:line="360" w:lineRule="auto"/>
        <w:rPr>
          <w:color w:val="000000"/>
        </w:rPr>
      </w:pPr>
      <w:r>
        <w:rPr>
          <w:color w:val="000000"/>
        </w:rPr>
        <w:t>Rajamani, Lavanya (2007) “</w:t>
      </w:r>
      <w:r w:rsidR="00186E40" w:rsidRPr="00827A08">
        <w:rPr>
          <w:color w:val="000000"/>
        </w:rPr>
        <w:t>Public interest litigation in India: exploring issues of access, participation, equity, ef</w:t>
      </w:r>
      <w:r>
        <w:rPr>
          <w:color w:val="000000"/>
        </w:rPr>
        <w:t>fectiveness and sustainability”</w:t>
      </w:r>
      <w:r w:rsidR="00186E40" w:rsidRPr="00827A08">
        <w:rPr>
          <w:color w:val="000000"/>
        </w:rPr>
        <w:t xml:space="preserve"> 19(3) </w:t>
      </w:r>
      <w:r w:rsidR="00186E40" w:rsidRPr="00827A08">
        <w:rPr>
          <w:i/>
          <w:color w:val="000000"/>
        </w:rPr>
        <w:t>Journal of Environmental Law</w:t>
      </w:r>
      <w:r w:rsidR="00186E40" w:rsidRPr="00827A08">
        <w:rPr>
          <w:color w:val="000000"/>
        </w:rPr>
        <w:t xml:space="preserve"> 293-321. </w:t>
      </w:r>
    </w:p>
    <w:p w14:paraId="07A3D9F4" w14:textId="77777777" w:rsidR="00186E40" w:rsidRPr="00827A08" w:rsidRDefault="00186E40" w:rsidP="00297F8F">
      <w:pPr>
        <w:spacing w:line="360" w:lineRule="auto"/>
        <w:rPr>
          <w:color w:val="000000"/>
        </w:rPr>
      </w:pPr>
    </w:p>
    <w:p w14:paraId="33ED148C" w14:textId="7AA4E889" w:rsidR="00186E40" w:rsidRPr="00827A08" w:rsidRDefault="00647D76" w:rsidP="00297F8F">
      <w:pPr>
        <w:spacing w:line="360" w:lineRule="auto"/>
        <w:rPr>
          <w:color w:val="000000"/>
        </w:rPr>
      </w:pPr>
      <w:r>
        <w:rPr>
          <w:color w:val="000000"/>
        </w:rPr>
        <w:t>Rediff.com (2011), “</w:t>
      </w:r>
      <w:r w:rsidR="00186E40" w:rsidRPr="00827A08">
        <w:rPr>
          <w:color w:val="000000"/>
        </w:rPr>
        <w:t>What Jairam did a</w:t>
      </w:r>
      <w:r>
        <w:rPr>
          <w:color w:val="000000"/>
        </w:rPr>
        <w:t>nd didn't do as green minister”</w:t>
      </w:r>
      <w:r w:rsidR="00186E40" w:rsidRPr="00827A08">
        <w:rPr>
          <w:color w:val="000000"/>
        </w:rPr>
        <w:t xml:space="preserve"> </w:t>
      </w:r>
      <w:hyperlink r:id="rId52" w:history="1">
        <w:r w:rsidR="00186E40" w:rsidRPr="00827A08">
          <w:rPr>
            <w:rStyle w:val="Hyperlink"/>
          </w:rPr>
          <w:t>http://www.rediff.com/news/column/what-jairam-ramesh-did-and-did-not-do-as-green-minister/20110720.htm</w:t>
        </w:r>
      </w:hyperlink>
      <w:r w:rsidR="00186E40" w:rsidRPr="00827A08">
        <w:rPr>
          <w:color w:val="000000"/>
        </w:rPr>
        <w:t xml:space="preserve"> (accessed 28 October 2013).</w:t>
      </w:r>
    </w:p>
    <w:p w14:paraId="293A0D76" w14:textId="77777777" w:rsidR="00186E40" w:rsidRPr="00827A08" w:rsidRDefault="00186E40" w:rsidP="00827A08">
      <w:pPr>
        <w:spacing w:line="276" w:lineRule="auto"/>
        <w:rPr>
          <w:color w:val="000000"/>
        </w:rPr>
      </w:pPr>
    </w:p>
    <w:p w14:paraId="33233019" w14:textId="082B529F" w:rsidR="00186E40" w:rsidRPr="00827A08" w:rsidRDefault="00647D76" w:rsidP="00297F8F">
      <w:pPr>
        <w:spacing w:line="360" w:lineRule="auto"/>
        <w:rPr>
          <w:color w:val="000000"/>
        </w:rPr>
      </w:pPr>
      <w:r>
        <w:rPr>
          <w:color w:val="000000"/>
        </w:rPr>
        <w:t>Rediff.com (2013), “</w:t>
      </w:r>
      <w:r w:rsidR="00186E40" w:rsidRPr="00827A08">
        <w:rPr>
          <w:color w:val="000000"/>
        </w:rPr>
        <w:t>When tri</w:t>
      </w:r>
      <w:r>
        <w:rPr>
          <w:color w:val="000000"/>
        </w:rPr>
        <w:t>bunals undermine the judiciary”</w:t>
      </w:r>
      <w:r w:rsidR="00186E40" w:rsidRPr="00827A08">
        <w:rPr>
          <w:color w:val="000000"/>
        </w:rPr>
        <w:t xml:space="preserve"> </w:t>
      </w:r>
      <w:hyperlink r:id="rId53" w:history="1">
        <w:r w:rsidR="00186E40" w:rsidRPr="00827A08">
          <w:rPr>
            <w:rStyle w:val="Hyperlink"/>
          </w:rPr>
          <w:t>http://www.rediff.com/news/column/when-tribunals-undermine-the-judiciary/20131025.htm</w:t>
        </w:r>
      </w:hyperlink>
      <w:r w:rsidR="00186E40" w:rsidRPr="00827A08">
        <w:rPr>
          <w:color w:val="000000"/>
        </w:rPr>
        <w:t xml:space="preserve"> (accessed 10 March 2015).</w:t>
      </w:r>
    </w:p>
    <w:p w14:paraId="67F90CD1" w14:textId="77777777" w:rsidR="00186E40" w:rsidRPr="00827A08" w:rsidRDefault="00186E40" w:rsidP="00297F8F">
      <w:pPr>
        <w:spacing w:line="360" w:lineRule="auto"/>
        <w:rPr>
          <w:color w:val="000000"/>
        </w:rPr>
      </w:pPr>
    </w:p>
    <w:p w14:paraId="586D90AE" w14:textId="77777777" w:rsidR="00186E40" w:rsidRPr="00827A08" w:rsidRDefault="00186E40" w:rsidP="00297F8F">
      <w:pPr>
        <w:spacing w:line="360" w:lineRule="auto"/>
        <w:rPr>
          <w:color w:val="000000"/>
        </w:rPr>
      </w:pPr>
      <w:r w:rsidRPr="00827A08">
        <w:rPr>
          <w:color w:val="000000"/>
        </w:rPr>
        <w:t xml:space="preserve">Rome Symposium (2003) </w:t>
      </w:r>
      <w:hyperlink r:id="rId54" w:history="1">
        <w:r w:rsidRPr="00827A08">
          <w:rPr>
            <w:rStyle w:val="Hyperlink"/>
          </w:rPr>
          <w:t>http://weavingaweb.org/28-43.html</w:t>
        </w:r>
      </w:hyperlink>
      <w:r w:rsidRPr="00827A08">
        <w:rPr>
          <w:color w:val="000000"/>
        </w:rPr>
        <w:t xml:space="preserve"> (accessed 21 September 2014).</w:t>
      </w:r>
    </w:p>
    <w:p w14:paraId="7E544C7B" w14:textId="77777777" w:rsidR="00186E40" w:rsidRPr="00827A08" w:rsidRDefault="00186E40" w:rsidP="00297F8F">
      <w:pPr>
        <w:spacing w:line="360" w:lineRule="auto"/>
        <w:rPr>
          <w:color w:val="000000"/>
        </w:rPr>
      </w:pPr>
    </w:p>
    <w:p w14:paraId="030712C2" w14:textId="77777777" w:rsidR="00186E40" w:rsidRPr="00827A08" w:rsidRDefault="00186E40" w:rsidP="00297F8F">
      <w:pPr>
        <w:spacing w:line="360" w:lineRule="auto"/>
        <w:rPr>
          <w:color w:val="000000"/>
        </w:rPr>
      </w:pPr>
      <w:r w:rsidRPr="00827A08">
        <w:rPr>
          <w:color w:val="000000"/>
        </w:rPr>
        <w:t xml:space="preserve">Rummel Rudolph J (1975) </w:t>
      </w:r>
      <w:r w:rsidRPr="00827A08">
        <w:rPr>
          <w:i/>
          <w:color w:val="000000"/>
        </w:rPr>
        <w:t>Understanding Conflict and War, Volume 1: The Dynamic Psychological Field</w:t>
      </w:r>
      <w:r w:rsidRPr="00827A08">
        <w:rPr>
          <w:color w:val="000000"/>
        </w:rPr>
        <w:t>, New York: Halsted Press.</w:t>
      </w:r>
    </w:p>
    <w:p w14:paraId="41674A8F" w14:textId="77777777" w:rsidR="00186E40" w:rsidRPr="00827A08" w:rsidRDefault="00186E40" w:rsidP="00297F8F">
      <w:pPr>
        <w:spacing w:line="360" w:lineRule="auto"/>
        <w:rPr>
          <w:color w:val="000000"/>
        </w:rPr>
      </w:pPr>
    </w:p>
    <w:p w14:paraId="32A41EA1" w14:textId="4838D7DD" w:rsidR="00186E40" w:rsidRPr="00827A08" w:rsidRDefault="00647D76" w:rsidP="00297F8F">
      <w:pPr>
        <w:spacing w:line="360" w:lineRule="auto"/>
        <w:rPr>
          <w:color w:val="000000"/>
        </w:rPr>
      </w:pPr>
      <w:r>
        <w:rPr>
          <w:color w:val="000000"/>
        </w:rPr>
        <w:t>Ryall, Aine (2017) “</w:t>
      </w:r>
      <w:r w:rsidR="00186E40" w:rsidRPr="00827A08">
        <w:rPr>
          <w:color w:val="000000"/>
        </w:rPr>
        <w:t>Book Review-Environmental Justice in India</w:t>
      </w:r>
      <w:r>
        <w:rPr>
          <w:color w:val="000000"/>
        </w:rPr>
        <w:t xml:space="preserve"> - The National Green Tribunal”</w:t>
      </w:r>
      <w:r w:rsidR="00186E40" w:rsidRPr="00827A08">
        <w:rPr>
          <w:color w:val="000000"/>
        </w:rPr>
        <w:t xml:space="preserve"> 1 </w:t>
      </w:r>
      <w:r w:rsidR="00186E40" w:rsidRPr="00827A08">
        <w:rPr>
          <w:i/>
          <w:color w:val="000000"/>
        </w:rPr>
        <w:t>Irish Planning and Environmental Law Journal</w:t>
      </w:r>
      <w:r w:rsidR="00186E40" w:rsidRPr="00827A08">
        <w:rPr>
          <w:color w:val="000000"/>
        </w:rPr>
        <w:t xml:space="preserve"> 3-6.</w:t>
      </w:r>
    </w:p>
    <w:p w14:paraId="5D37C653" w14:textId="77777777" w:rsidR="00186E40" w:rsidRPr="00827A08" w:rsidRDefault="00186E40" w:rsidP="00297F8F">
      <w:pPr>
        <w:spacing w:line="360" w:lineRule="auto"/>
        <w:rPr>
          <w:color w:val="000000"/>
        </w:rPr>
      </w:pPr>
    </w:p>
    <w:p w14:paraId="3FC05510" w14:textId="08E9BF16" w:rsidR="00186E40" w:rsidRPr="00827A08" w:rsidRDefault="00647D76" w:rsidP="00297F8F">
      <w:pPr>
        <w:spacing w:line="360" w:lineRule="auto"/>
        <w:rPr>
          <w:color w:val="000000"/>
        </w:rPr>
      </w:pPr>
      <w:r>
        <w:rPr>
          <w:color w:val="000000"/>
        </w:rPr>
        <w:t>Sahu Geetonjoy (2008) “</w:t>
      </w:r>
      <w:r w:rsidR="00186E40" w:rsidRPr="00827A08">
        <w:rPr>
          <w:color w:val="000000"/>
        </w:rPr>
        <w:t>Implication of Indian Supreme Courts Innovation f</w:t>
      </w:r>
      <w:r>
        <w:rPr>
          <w:color w:val="000000"/>
        </w:rPr>
        <w:t>or Environmental Jurisprudence”</w:t>
      </w:r>
      <w:r w:rsidR="00186E40" w:rsidRPr="00827A08">
        <w:rPr>
          <w:color w:val="000000"/>
        </w:rPr>
        <w:t xml:space="preserve"> 4/1 </w:t>
      </w:r>
      <w:r w:rsidR="00186E40" w:rsidRPr="00827A08">
        <w:rPr>
          <w:i/>
          <w:color w:val="000000"/>
        </w:rPr>
        <w:t>Law, Environmental and Development Journal</w:t>
      </w:r>
      <w:r w:rsidR="00186E40" w:rsidRPr="00827A08">
        <w:rPr>
          <w:color w:val="000000"/>
        </w:rPr>
        <w:t xml:space="preserve"> 377-393.</w:t>
      </w:r>
    </w:p>
    <w:p w14:paraId="508C2AC4" w14:textId="77777777" w:rsidR="00186E40" w:rsidRPr="00827A08" w:rsidRDefault="00186E40" w:rsidP="00297F8F">
      <w:pPr>
        <w:spacing w:line="360" w:lineRule="auto"/>
        <w:rPr>
          <w:color w:val="000000"/>
        </w:rPr>
      </w:pPr>
    </w:p>
    <w:p w14:paraId="2C5186E2" w14:textId="0CFB67E4" w:rsidR="00186E40" w:rsidRPr="00827A08" w:rsidRDefault="00186E40" w:rsidP="00297F8F">
      <w:pPr>
        <w:spacing w:line="360" w:lineRule="auto"/>
        <w:rPr>
          <w:color w:val="000000"/>
        </w:rPr>
      </w:pPr>
      <w:r w:rsidRPr="00827A08">
        <w:rPr>
          <w:color w:val="000000"/>
        </w:rPr>
        <w:t>S</w:t>
      </w:r>
      <w:r w:rsidR="00647D76">
        <w:rPr>
          <w:color w:val="000000"/>
        </w:rPr>
        <w:t>ahu Geetonjoy (2018) “</w:t>
      </w:r>
      <w:r w:rsidRPr="00827A08">
        <w:rPr>
          <w:color w:val="000000"/>
        </w:rPr>
        <w:t>Ecocide by design? Under Modi, vacancies at the Nat</w:t>
      </w:r>
      <w:r w:rsidR="00E958D3">
        <w:rPr>
          <w:color w:val="000000"/>
        </w:rPr>
        <w:t>ional Green Tribunal reach 70%”</w:t>
      </w:r>
      <w:r w:rsidRPr="00827A08">
        <w:rPr>
          <w:color w:val="000000"/>
        </w:rPr>
        <w:t xml:space="preserve"> </w:t>
      </w:r>
      <w:hyperlink r:id="rId55" w:history="1">
        <w:r w:rsidRPr="00827A08">
          <w:rPr>
            <w:rStyle w:val="Hyperlink"/>
          </w:rPr>
          <w:t>https://thewire.in/223978/ngt-political-apathy-vacancies/</w:t>
        </w:r>
      </w:hyperlink>
      <w:r w:rsidRPr="00827A08">
        <w:rPr>
          <w:color w:val="000000"/>
        </w:rPr>
        <w:t xml:space="preserve"> (accessed 27 April 2018).</w:t>
      </w:r>
    </w:p>
    <w:p w14:paraId="4EB0523C" w14:textId="77777777" w:rsidR="00186E40" w:rsidRPr="00827A08" w:rsidRDefault="00186E40" w:rsidP="00297F8F">
      <w:pPr>
        <w:spacing w:line="360" w:lineRule="auto"/>
        <w:rPr>
          <w:color w:val="000000"/>
        </w:rPr>
      </w:pPr>
    </w:p>
    <w:p w14:paraId="5D4FA23C" w14:textId="77777777" w:rsidR="00186E40" w:rsidRPr="00827A08" w:rsidRDefault="00186E40" w:rsidP="00297F8F">
      <w:pPr>
        <w:spacing w:line="360" w:lineRule="auto"/>
        <w:rPr>
          <w:color w:val="000000"/>
        </w:rPr>
      </w:pPr>
      <w:r w:rsidRPr="00827A08">
        <w:rPr>
          <w:color w:val="000000"/>
        </w:rPr>
        <w:t xml:space="preserve">Schein Edgar H (2010) </w:t>
      </w:r>
      <w:r w:rsidRPr="00827A08">
        <w:rPr>
          <w:i/>
          <w:color w:val="000000"/>
        </w:rPr>
        <w:t>Organisational Culture and Leadership</w:t>
      </w:r>
      <w:r w:rsidRPr="00827A08">
        <w:rPr>
          <w:color w:val="000000"/>
        </w:rPr>
        <w:t>, Jossey- Bass San Francisco.</w:t>
      </w:r>
    </w:p>
    <w:p w14:paraId="530FBADA" w14:textId="77777777" w:rsidR="00186E40" w:rsidRPr="00827A08" w:rsidRDefault="00186E40" w:rsidP="00297F8F">
      <w:pPr>
        <w:spacing w:line="360" w:lineRule="auto"/>
        <w:rPr>
          <w:color w:val="000000"/>
        </w:rPr>
      </w:pPr>
    </w:p>
    <w:p w14:paraId="1D801BFB" w14:textId="77777777" w:rsidR="00186E40" w:rsidRPr="00827A08" w:rsidRDefault="00186E40" w:rsidP="00297F8F">
      <w:pPr>
        <w:spacing w:line="360" w:lineRule="auto"/>
        <w:rPr>
          <w:color w:val="000000"/>
        </w:rPr>
      </w:pPr>
      <w:r w:rsidRPr="00827A08">
        <w:rPr>
          <w:color w:val="000000"/>
        </w:rPr>
        <w:t xml:space="preserve">Schein, Edgar H (1988) </w:t>
      </w:r>
      <w:r w:rsidRPr="00827A08">
        <w:rPr>
          <w:i/>
          <w:color w:val="000000"/>
        </w:rPr>
        <w:t>Organisational Psychology</w:t>
      </w:r>
      <w:r w:rsidRPr="00827A08">
        <w:rPr>
          <w:color w:val="000000"/>
        </w:rPr>
        <w:t>, London: Prentice Hall.</w:t>
      </w:r>
    </w:p>
    <w:p w14:paraId="56BE3D68" w14:textId="77777777" w:rsidR="00186E40" w:rsidRPr="00827A08" w:rsidRDefault="00186E40" w:rsidP="00297F8F">
      <w:pPr>
        <w:spacing w:line="360" w:lineRule="auto"/>
        <w:rPr>
          <w:color w:val="000000"/>
        </w:rPr>
      </w:pPr>
    </w:p>
    <w:p w14:paraId="5B4694B9" w14:textId="77777777" w:rsidR="00186E40" w:rsidRPr="00827A08" w:rsidRDefault="00186E40" w:rsidP="00297F8F">
      <w:pPr>
        <w:spacing w:line="360" w:lineRule="auto"/>
        <w:rPr>
          <w:color w:val="000000"/>
        </w:rPr>
      </w:pPr>
      <w:r w:rsidRPr="00827A08">
        <w:rPr>
          <w:color w:val="000000"/>
        </w:rPr>
        <w:t xml:space="preserve">Shrivastava K L and Shrivastava P K (2015) </w:t>
      </w:r>
      <w:r w:rsidRPr="00827A08">
        <w:rPr>
          <w:i/>
          <w:color w:val="000000"/>
        </w:rPr>
        <w:t>Frontiers of Earth Science- A Festschrif for Dr Harish Kumar Gupta</w:t>
      </w:r>
      <w:r w:rsidRPr="00827A08">
        <w:rPr>
          <w:color w:val="000000"/>
        </w:rPr>
        <w:t>, Scientific Publishers: India.</w:t>
      </w:r>
    </w:p>
    <w:p w14:paraId="3DC46429" w14:textId="77777777" w:rsidR="00186E40" w:rsidRPr="00827A08" w:rsidRDefault="00186E40" w:rsidP="00297F8F">
      <w:pPr>
        <w:spacing w:line="360" w:lineRule="auto"/>
        <w:rPr>
          <w:color w:val="000000"/>
        </w:rPr>
      </w:pPr>
    </w:p>
    <w:p w14:paraId="32434266" w14:textId="0C7A3448" w:rsidR="00186E40" w:rsidRPr="00827A08" w:rsidRDefault="00186E40" w:rsidP="00297F8F">
      <w:pPr>
        <w:spacing w:line="360" w:lineRule="auto"/>
        <w:rPr>
          <w:color w:val="000000"/>
        </w:rPr>
      </w:pPr>
      <w:r w:rsidRPr="00827A08">
        <w:rPr>
          <w:color w:val="000000"/>
        </w:rPr>
        <w:t>Shr</w:t>
      </w:r>
      <w:r w:rsidR="002A7D20">
        <w:rPr>
          <w:color w:val="000000"/>
        </w:rPr>
        <w:t>ivastava Kumar Sambhav (2012) “</w:t>
      </w:r>
      <w:r w:rsidRPr="00827A08">
        <w:rPr>
          <w:color w:val="000000"/>
        </w:rPr>
        <w:t>Gr</w:t>
      </w:r>
      <w:r w:rsidR="002A7D20">
        <w:rPr>
          <w:color w:val="000000"/>
        </w:rPr>
        <w:t>een Tribunal gets short shrift”</w:t>
      </w:r>
      <w:r w:rsidRPr="00827A08">
        <w:rPr>
          <w:color w:val="000000"/>
        </w:rPr>
        <w:t xml:space="preserve"> </w:t>
      </w:r>
      <w:hyperlink r:id="rId56" w:history="1">
        <w:r w:rsidRPr="00827A08">
          <w:rPr>
            <w:rStyle w:val="Hyperlink"/>
          </w:rPr>
          <w:t>http://www.downtoearth.org.in/news/green-tribunal-gets-short-shrift-38426</w:t>
        </w:r>
      </w:hyperlink>
      <w:r w:rsidRPr="00827A08">
        <w:rPr>
          <w:color w:val="000000"/>
        </w:rPr>
        <w:t xml:space="preserve"> (accessed 4 November 2015). </w:t>
      </w:r>
    </w:p>
    <w:p w14:paraId="59572429" w14:textId="77777777" w:rsidR="00186E40" w:rsidRPr="00827A08" w:rsidRDefault="00186E40" w:rsidP="00297F8F">
      <w:pPr>
        <w:spacing w:line="360" w:lineRule="auto"/>
        <w:rPr>
          <w:color w:val="000000"/>
        </w:rPr>
      </w:pPr>
    </w:p>
    <w:p w14:paraId="7F132251" w14:textId="5E6A56CB" w:rsidR="00186E40" w:rsidRPr="00827A08" w:rsidRDefault="00186E40" w:rsidP="00297F8F">
      <w:pPr>
        <w:spacing w:line="360" w:lineRule="auto"/>
        <w:rPr>
          <w:color w:val="000000"/>
        </w:rPr>
      </w:pPr>
      <w:r w:rsidRPr="00827A08">
        <w:rPr>
          <w:color w:val="000000"/>
        </w:rPr>
        <w:t>Shri</w:t>
      </w:r>
      <w:r w:rsidR="002A7D20">
        <w:rPr>
          <w:color w:val="000000"/>
        </w:rPr>
        <w:t>vastava Kumar Sambhav (2016) “</w:t>
      </w:r>
      <w:r w:rsidRPr="00827A08">
        <w:rPr>
          <w:color w:val="000000"/>
        </w:rPr>
        <w:t xml:space="preserve">India, others get UN </w:t>
      </w:r>
      <w:r w:rsidR="002A7D20">
        <w:rPr>
          <w:color w:val="000000"/>
        </w:rPr>
        <w:t>rules on tribal rights diluted”</w:t>
      </w:r>
      <w:r w:rsidRPr="00827A08">
        <w:rPr>
          <w:color w:val="000000"/>
        </w:rPr>
        <w:t xml:space="preserve"> </w:t>
      </w:r>
      <w:hyperlink r:id="rId57" w:history="1">
        <w:r w:rsidRPr="00827A08">
          <w:rPr>
            <w:rStyle w:val="Hyperlink"/>
          </w:rPr>
          <w:t>https://www.hindustantimes.com/india-news/india-others-get-un-rules-on-tribal-rights-diluted/story-xtD82yGjIeEAo4jV8y7QZI.html</w:t>
        </w:r>
      </w:hyperlink>
      <w:r w:rsidRPr="00827A08">
        <w:rPr>
          <w:color w:val="000000"/>
        </w:rPr>
        <w:t xml:space="preserve"> (accessed 15 March 2017).</w:t>
      </w:r>
    </w:p>
    <w:p w14:paraId="1C186D12" w14:textId="77777777" w:rsidR="00186E40" w:rsidRPr="00827A08" w:rsidRDefault="00186E40" w:rsidP="00297F8F">
      <w:pPr>
        <w:spacing w:line="360" w:lineRule="auto"/>
        <w:rPr>
          <w:color w:val="000000"/>
        </w:rPr>
      </w:pPr>
    </w:p>
    <w:p w14:paraId="701D17E3" w14:textId="661B1837" w:rsidR="00186E40" w:rsidRPr="00827A08" w:rsidRDefault="00186E40" w:rsidP="00297F8F">
      <w:pPr>
        <w:spacing w:line="360" w:lineRule="auto"/>
        <w:rPr>
          <w:color w:val="000000"/>
        </w:rPr>
      </w:pPr>
      <w:r w:rsidRPr="00827A08">
        <w:rPr>
          <w:color w:val="000000"/>
        </w:rPr>
        <w:t>Shri</w:t>
      </w:r>
      <w:r w:rsidR="003F5F33">
        <w:rPr>
          <w:color w:val="000000"/>
        </w:rPr>
        <w:t>vastava Kumar Sambhav (2016) “</w:t>
      </w:r>
      <w:r w:rsidRPr="00827A08">
        <w:rPr>
          <w:color w:val="000000"/>
        </w:rPr>
        <w:t>Opposition criticises government's mo</w:t>
      </w:r>
      <w:r w:rsidR="003F5F33">
        <w:rPr>
          <w:color w:val="000000"/>
        </w:rPr>
        <w:t>ve to dilute Forest Rights Act”</w:t>
      </w:r>
      <w:r w:rsidRPr="00827A08">
        <w:rPr>
          <w:color w:val="000000"/>
        </w:rPr>
        <w:t xml:space="preserve"> </w:t>
      </w:r>
      <w:hyperlink r:id="rId58" w:history="1">
        <w:r w:rsidRPr="00827A08">
          <w:rPr>
            <w:rStyle w:val="Hyperlink"/>
          </w:rPr>
          <w:t>http://www.business-standard.com/article/economy- policy/opposition-criticises-government-s-move-to-dilute-forest-rights-act-1160505 00042_1.html</w:t>
        </w:r>
      </w:hyperlink>
      <w:r w:rsidRPr="00827A08">
        <w:rPr>
          <w:color w:val="000000"/>
        </w:rPr>
        <w:t xml:space="preserve"> (accessed 30 October 2017).</w:t>
      </w:r>
    </w:p>
    <w:p w14:paraId="272A6331" w14:textId="77777777" w:rsidR="00186E40" w:rsidRPr="00827A08" w:rsidRDefault="00186E40" w:rsidP="00827A08">
      <w:pPr>
        <w:spacing w:line="276" w:lineRule="auto"/>
        <w:rPr>
          <w:color w:val="000000"/>
        </w:rPr>
      </w:pPr>
    </w:p>
    <w:p w14:paraId="202C0EDE" w14:textId="0D0E0D59" w:rsidR="00186E40" w:rsidRPr="00827A08" w:rsidRDefault="00186E40" w:rsidP="00297F8F">
      <w:pPr>
        <w:spacing w:line="360" w:lineRule="auto"/>
        <w:rPr>
          <w:color w:val="000000"/>
        </w:rPr>
      </w:pPr>
      <w:r w:rsidRPr="00827A08">
        <w:rPr>
          <w:color w:val="000000"/>
        </w:rPr>
        <w:t>Shri</w:t>
      </w:r>
      <w:r w:rsidR="003F5F33">
        <w:rPr>
          <w:color w:val="000000"/>
        </w:rPr>
        <w:t>vastava Kumar Sambhav (2018) “</w:t>
      </w:r>
      <w:r w:rsidRPr="00827A08">
        <w:rPr>
          <w:color w:val="000000"/>
        </w:rPr>
        <w:t>Centre seeks to change forest policy to promote industrial plantations in natural fore</w:t>
      </w:r>
      <w:r w:rsidR="003F5F33">
        <w:rPr>
          <w:color w:val="000000"/>
        </w:rPr>
        <w:t>sts”</w:t>
      </w:r>
      <w:r w:rsidRPr="00827A08">
        <w:rPr>
          <w:color w:val="000000"/>
        </w:rPr>
        <w:t xml:space="preserve"> </w:t>
      </w:r>
      <w:hyperlink r:id="rId59" w:history="1">
        <w:r w:rsidRPr="00827A08">
          <w:rPr>
            <w:rStyle w:val="Hyperlink"/>
          </w:rPr>
          <w:t>https://scroll.in/article/872579/centre-seeks-to-change-forest-policy-to-promote-industrial-plantations-in-natural-forests</w:t>
        </w:r>
      </w:hyperlink>
      <w:r w:rsidRPr="00827A08">
        <w:rPr>
          <w:color w:val="000000"/>
        </w:rPr>
        <w:t xml:space="preserve"> (accessed 15 April 2018). </w:t>
      </w:r>
    </w:p>
    <w:p w14:paraId="554319BD" w14:textId="77777777" w:rsidR="00186E40" w:rsidRPr="00827A08" w:rsidRDefault="00186E40" w:rsidP="00297F8F">
      <w:pPr>
        <w:spacing w:line="360" w:lineRule="auto"/>
        <w:rPr>
          <w:color w:val="000000"/>
        </w:rPr>
      </w:pPr>
    </w:p>
    <w:p w14:paraId="0A3F3F41" w14:textId="7DC2CC82" w:rsidR="00186E40" w:rsidRPr="00827A08" w:rsidRDefault="00186E40" w:rsidP="00297F8F">
      <w:pPr>
        <w:spacing w:line="360" w:lineRule="auto"/>
        <w:rPr>
          <w:color w:val="000000"/>
        </w:rPr>
      </w:pPr>
      <w:r w:rsidRPr="00827A08">
        <w:rPr>
          <w:color w:val="000000"/>
        </w:rPr>
        <w:t>Shriv</w:t>
      </w:r>
      <w:r w:rsidR="003C2AF0">
        <w:rPr>
          <w:color w:val="000000"/>
        </w:rPr>
        <w:t>astava Kumar Sambhav (2018 a) “</w:t>
      </w:r>
      <w:r w:rsidRPr="00827A08">
        <w:rPr>
          <w:color w:val="000000"/>
        </w:rPr>
        <w:t xml:space="preserve">India allows 16 new thermal power plants that violate stricter air </w:t>
      </w:r>
      <w:r w:rsidR="003C2AF0">
        <w:rPr>
          <w:color w:val="000000"/>
        </w:rPr>
        <w:t>pollution standards to come up”</w:t>
      </w:r>
      <w:r w:rsidRPr="00827A08">
        <w:rPr>
          <w:color w:val="000000"/>
        </w:rPr>
        <w:t xml:space="preserve"> </w:t>
      </w:r>
      <w:hyperlink r:id="rId60" w:history="1">
        <w:r w:rsidRPr="00827A08">
          <w:rPr>
            <w:rStyle w:val="Hyperlink"/>
          </w:rPr>
          <w:t>https://scroll.in/article/852288/india-allows-16-new-thermal-power-plants-that-violate-stricter-air-pollution-standards-to-come-up</w:t>
        </w:r>
      </w:hyperlink>
      <w:r w:rsidRPr="00827A08">
        <w:rPr>
          <w:color w:val="000000"/>
        </w:rPr>
        <w:t xml:space="preserve"> (accessed 15 April 2018).</w:t>
      </w:r>
    </w:p>
    <w:p w14:paraId="376A610D" w14:textId="77777777" w:rsidR="00186E40" w:rsidRPr="00827A08" w:rsidRDefault="00186E40" w:rsidP="00297F8F">
      <w:pPr>
        <w:spacing w:line="360" w:lineRule="auto"/>
        <w:rPr>
          <w:color w:val="000000"/>
        </w:rPr>
      </w:pPr>
    </w:p>
    <w:p w14:paraId="071A11A8" w14:textId="13B161BD" w:rsidR="00186E40" w:rsidRPr="00827A08" w:rsidRDefault="00186E40" w:rsidP="00297F8F">
      <w:pPr>
        <w:spacing w:line="360" w:lineRule="auto"/>
        <w:rPr>
          <w:color w:val="000000"/>
        </w:rPr>
      </w:pPr>
      <w:r w:rsidRPr="00827A08">
        <w:rPr>
          <w:color w:val="000000"/>
        </w:rPr>
        <w:t>Sinha Debadityo and Mehta Dhva</w:t>
      </w:r>
      <w:r w:rsidR="003C2AF0">
        <w:rPr>
          <w:color w:val="000000"/>
        </w:rPr>
        <w:t>ni (2017) “</w:t>
      </w:r>
      <w:r w:rsidRPr="00827A08">
        <w:rPr>
          <w:color w:val="000000"/>
        </w:rPr>
        <w:t>Environmental Clearances and Monitoring in India: Report Card for the Ministry for Environm</w:t>
      </w:r>
      <w:r w:rsidR="003C2AF0">
        <w:rPr>
          <w:color w:val="000000"/>
        </w:rPr>
        <w:t>ent, Forest and Climate Change”</w:t>
      </w:r>
      <w:r w:rsidRPr="00827A08">
        <w:rPr>
          <w:color w:val="000000"/>
        </w:rPr>
        <w:t xml:space="preserve"> </w:t>
      </w:r>
      <w:r w:rsidRPr="00827A08">
        <w:rPr>
          <w:i/>
          <w:color w:val="000000"/>
        </w:rPr>
        <w:t>Vidhi Centre for Policy Change</w:t>
      </w:r>
      <w:r w:rsidRPr="00827A08">
        <w:rPr>
          <w:color w:val="000000"/>
        </w:rPr>
        <w:t>, 1-34.</w:t>
      </w:r>
    </w:p>
    <w:p w14:paraId="0E241D05" w14:textId="77777777" w:rsidR="00186E40" w:rsidRPr="00827A08" w:rsidRDefault="00186E40" w:rsidP="00297F8F">
      <w:pPr>
        <w:spacing w:line="360" w:lineRule="auto"/>
        <w:rPr>
          <w:color w:val="000000"/>
        </w:rPr>
      </w:pPr>
    </w:p>
    <w:p w14:paraId="1A7A0B21" w14:textId="4DC05098" w:rsidR="00186E40" w:rsidRPr="00827A08" w:rsidRDefault="003C2AF0" w:rsidP="00297F8F">
      <w:pPr>
        <w:spacing w:line="360" w:lineRule="auto"/>
        <w:rPr>
          <w:color w:val="000000"/>
        </w:rPr>
      </w:pPr>
      <w:r>
        <w:rPr>
          <w:color w:val="000000"/>
        </w:rPr>
        <w:t>swachhindia.ndtv.com (2017) “</w:t>
      </w:r>
      <w:r w:rsidR="00186E40" w:rsidRPr="00827A08">
        <w:rPr>
          <w:color w:val="000000"/>
        </w:rPr>
        <w:t>Punjab And Haryana State Governments Criticised by National Green Tribunal For Filing Generalised Action</w:t>
      </w:r>
      <w:r>
        <w:rPr>
          <w:color w:val="000000"/>
        </w:rPr>
        <w:t xml:space="preserve"> Plans To Tackle Air Pollution”</w:t>
      </w:r>
      <w:r w:rsidR="00186E40" w:rsidRPr="00827A08">
        <w:rPr>
          <w:color w:val="000000"/>
        </w:rPr>
        <w:t xml:space="preserve"> </w:t>
      </w:r>
      <w:hyperlink r:id="rId61" w:history="1">
        <w:r w:rsidR="00186E40" w:rsidRPr="00827A08">
          <w:rPr>
            <w:rStyle w:val="Hyperlink"/>
          </w:rPr>
          <w:t>http://swachhindia.ndtv.com/punjab-and-haryana-state-governments-criticised-by-national-green-tribunal-for-filing-generalised-action-plans-to-tackle-air-pollution-15596/</w:t>
        </w:r>
      </w:hyperlink>
      <w:r w:rsidR="00186E40" w:rsidRPr="00827A08">
        <w:rPr>
          <w:color w:val="000000"/>
        </w:rPr>
        <w:t xml:space="preserve"> (accessed 12 February 2018).</w:t>
      </w:r>
    </w:p>
    <w:p w14:paraId="5709C14F" w14:textId="77777777" w:rsidR="00186E40" w:rsidRPr="00827A08" w:rsidRDefault="00186E40" w:rsidP="00297F8F">
      <w:pPr>
        <w:spacing w:line="360" w:lineRule="auto"/>
        <w:rPr>
          <w:color w:val="000000"/>
        </w:rPr>
      </w:pPr>
    </w:p>
    <w:p w14:paraId="2C49E91D" w14:textId="0318C046" w:rsidR="00186E40" w:rsidRPr="00827A08" w:rsidRDefault="00186E40" w:rsidP="00297F8F">
      <w:pPr>
        <w:spacing w:line="360" w:lineRule="auto"/>
        <w:rPr>
          <w:color w:val="000000"/>
        </w:rPr>
      </w:pPr>
      <w:r w:rsidRPr="00827A08">
        <w:rPr>
          <w:color w:val="000000"/>
        </w:rPr>
        <w:t>Syed T H, Shen L, Tayyaba A, Muhammad J</w:t>
      </w:r>
      <w:r w:rsidR="003C2AF0">
        <w:rPr>
          <w:color w:val="000000"/>
        </w:rPr>
        <w:t xml:space="preserve"> H, Syed H, Muhammad A (2017) “</w:t>
      </w:r>
      <w:r w:rsidRPr="00827A08">
        <w:rPr>
          <w:color w:val="000000"/>
        </w:rPr>
        <w:t>Kurt Lewin’s change model: A critical review of the role of leadership and employee involv</w:t>
      </w:r>
      <w:r w:rsidR="003C2AF0">
        <w:rPr>
          <w:color w:val="000000"/>
        </w:rPr>
        <w:t>ement in organizational change”</w:t>
      </w:r>
      <w:r w:rsidRPr="00827A08">
        <w:rPr>
          <w:color w:val="000000"/>
        </w:rPr>
        <w:t xml:space="preserve"> </w:t>
      </w:r>
      <w:r w:rsidRPr="00827A08">
        <w:rPr>
          <w:i/>
          <w:color w:val="000000"/>
        </w:rPr>
        <w:t>Journal of Innovation and Knowledge</w:t>
      </w:r>
      <w:r w:rsidRPr="00827A08">
        <w:rPr>
          <w:color w:val="000000"/>
        </w:rPr>
        <w:t xml:space="preserve"> 1-7. </w:t>
      </w:r>
    </w:p>
    <w:p w14:paraId="2A80C937" w14:textId="77777777" w:rsidR="00186E40" w:rsidRPr="00827A08" w:rsidRDefault="00186E40" w:rsidP="00297F8F">
      <w:pPr>
        <w:spacing w:line="360" w:lineRule="auto"/>
        <w:rPr>
          <w:color w:val="000000"/>
        </w:rPr>
      </w:pPr>
    </w:p>
    <w:p w14:paraId="29B407FE" w14:textId="77777777" w:rsidR="00186E40" w:rsidRPr="00827A08" w:rsidRDefault="00186E40" w:rsidP="00297F8F">
      <w:pPr>
        <w:spacing w:line="360" w:lineRule="auto"/>
        <w:rPr>
          <w:color w:val="000000"/>
        </w:rPr>
      </w:pPr>
      <w:r w:rsidRPr="00827A08">
        <w:rPr>
          <w:color w:val="000000"/>
        </w:rPr>
        <w:t xml:space="preserve">The Comptroller &amp; Auditor General of India Performance Audit Report on Environmental </w:t>
      </w:r>
    </w:p>
    <w:p w14:paraId="7AA359E9" w14:textId="77777777" w:rsidR="00186E40" w:rsidRPr="00827A08" w:rsidRDefault="00186E40" w:rsidP="00297F8F">
      <w:pPr>
        <w:spacing w:line="360" w:lineRule="auto"/>
        <w:rPr>
          <w:color w:val="000000"/>
        </w:rPr>
      </w:pPr>
      <w:r w:rsidRPr="00827A08">
        <w:rPr>
          <w:color w:val="000000"/>
        </w:rPr>
        <w:t>Clearance and Post Clearance (Number 39 of 2016).</w:t>
      </w:r>
    </w:p>
    <w:p w14:paraId="67BD3A26" w14:textId="77777777" w:rsidR="00186E40" w:rsidRPr="00827A08" w:rsidRDefault="00186E40" w:rsidP="00297F8F">
      <w:pPr>
        <w:spacing w:line="360" w:lineRule="auto"/>
        <w:rPr>
          <w:color w:val="000000"/>
        </w:rPr>
      </w:pPr>
    </w:p>
    <w:p w14:paraId="616CC368" w14:textId="77777777" w:rsidR="00186E40" w:rsidRPr="00827A08" w:rsidRDefault="00186E40" w:rsidP="00297F8F">
      <w:pPr>
        <w:spacing w:line="360" w:lineRule="auto"/>
        <w:rPr>
          <w:color w:val="000000"/>
        </w:rPr>
      </w:pPr>
      <w:r w:rsidRPr="00827A08">
        <w:rPr>
          <w:color w:val="000000"/>
        </w:rPr>
        <w:t xml:space="preserve">The Johannesburg Principles on the Role of Law and Sustainable Development adopted at the Global Judges Symposium in Johannesburg (2002) </w:t>
      </w:r>
      <w:hyperlink r:id="rId62" w:history="1">
        <w:r w:rsidRPr="00827A08">
          <w:rPr>
            <w:rStyle w:val="Hyperlink"/>
          </w:rPr>
          <w:t>https://www.eufje.org/images/DocDivers/Johannesburg%20Principles.pdf</w:t>
        </w:r>
      </w:hyperlink>
      <w:r w:rsidRPr="00827A08">
        <w:rPr>
          <w:color w:val="000000"/>
        </w:rPr>
        <w:t xml:space="preserve"> (accessed 17 May 2014).</w:t>
      </w:r>
    </w:p>
    <w:p w14:paraId="2491536F" w14:textId="77777777" w:rsidR="00186E40" w:rsidRPr="00827A08" w:rsidRDefault="00186E40" w:rsidP="00297F8F">
      <w:pPr>
        <w:spacing w:line="360" w:lineRule="auto"/>
        <w:rPr>
          <w:color w:val="000000"/>
        </w:rPr>
      </w:pPr>
    </w:p>
    <w:p w14:paraId="763A9D51" w14:textId="3172F5FD" w:rsidR="00186E40" w:rsidRPr="00827A08" w:rsidRDefault="00186E40" w:rsidP="00297F8F">
      <w:pPr>
        <w:spacing w:line="360" w:lineRule="auto"/>
        <w:rPr>
          <w:color w:val="000000"/>
        </w:rPr>
      </w:pPr>
      <w:r w:rsidRPr="00827A08">
        <w:rPr>
          <w:color w:val="000000"/>
        </w:rPr>
        <w:t>Tsoukas Har</w:t>
      </w:r>
      <w:r w:rsidR="00BE3DB8">
        <w:rPr>
          <w:color w:val="000000"/>
        </w:rPr>
        <w:t>idimos and Chia Robert (2002) “</w:t>
      </w:r>
      <w:r w:rsidRPr="00827A08">
        <w:rPr>
          <w:color w:val="000000"/>
        </w:rPr>
        <w:t>On organizational becoming: Re</w:t>
      </w:r>
      <w:r w:rsidR="00BE3DB8">
        <w:rPr>
          <w:color w:val="000000"/>
        </w:rPr>
        <w:t>thinking organizational change”</w:t>
      </w:r>
      <w:r w:rsidRPr="00827A08">
        <w:rPr>
          <w:color w:val="000000"/>
        </w:rPr>
        <w:t xml:space="preserve"> 13(5) </w:t>
      </w:r>
      <w:r w:rsidRPr="00827A08">
        <w:rPr>
          <w:i/>
          <w:color w:val="000000"/>
        </w:rPr>
        <w:t>Organizational Science</w:t>
      </w:r>
      <w:r w:rsidRPr="00827A08">
        <w:rPr>
          <w:color w:val="000000"/>
        </w:rPr>
        <w:t xml:space="preserve"> 567-582.</w:t>
      </w:r>
    </w:p>
    <w:p w14:paraId="41B21E04" w14:textId="77777777" w:rsidR="00186E40" w:rsidRPr="00827A08" w:rsidRDefault="00186E40" w:rsidP="00297F8F">
      <w:pPr>
        <w:spacing w:line="360" w:lineRule="auto"/>
        <w:rPr>
          <w:color w:val="000000"/>
        </w:rPr>
      </w:pPr>
    </w:p>
    <w:p w14:paraId="69366760" w14:textId="76DE843B" w:rsidR="00186E40" w:rsidRPr="00827A08" w:rsidRDefault="00186E40" w:rsidP="00297F8F">
      <w:pPr>
        <w:spacing w:line="360" w:lineRule="auto"/>
        <w:rPr>
          <w:color w:val="000000"/>
        </w:rPr>
      </w:pPr>
      <w:r w:rsidRPr="00827A08">
        <w:rPr>
          <w:color w:val="000000"/>
        </w:rPr>
        <w:t>United Nations</w:t>
      </w:r>
      <w:r w:rsidR="00BE3DB8">
        <w:rPr>
          <w:color w:val="000000"/>
        </w:rPr>
        <w:t xml:space="preserve"> Development Programme (2014) “</w:t>
      </w:r>
      <w:r w:rsidRPr="00827A08">
        <w:rPr>
          <w:color w:val="000000"/>
        </w:rPr>
        <w:t>Environmental Justice: Comparative Ex</w:t>
      </w:r>
      <w:r w:rsidR="00BE3DB8">
        <w:rPr>
          <w:color w:val="000000"/>
        </w:rPr>
        <w:t xml:space="preserve">periences in Legal Empowerment” </w:t>
      </w:r>
      <w:hyperlink r:id="rId63" w:history="1">
        <w:r w:rsidRPr="00827A08">
          <w:rPr>
            <w:rStyle w:val="Hyperlink"/>
          </w:rPr>
          <w:t>http://www.undp.org/content/undp/en/home/librarypage/democratic-governance/access_to_justiceandruleoflaw/environmental-justice---comparative-experiences.html</w:t>
        </w:r>
      </w:hyperlink>
      <w:r w:rsidRPr="00827A08">
        <w:rPr>
          <w:color w:val="000000"/>
        </w:rPr>
        <w:t xml:space="preserve"> (accessed 5 August 2016).</w:t>
      </w:r>
    </w:p>
    <w:p w14:paraId="6728CB9A" w14:textId="77777777" w:rsidR="00186E40" w:rsidRPr="00827A08" w:rsidRDefault="00186E40" w:rsidP="00297F8F">
      <w:pPr>
        <w:spacing w:line="360" w:lineRule="auto"/>
        <w:rPr>
          <w:color w:val="000000"/>
        </w:rPr>
      </w:pPr>
    </w:p>
    <w:p w14:paraId="2317CB35" w14:textId="236CE37C" w:rsidR="00186E40" w:rsidRPr="00827A08" w:rsidRDefault="00186E40" w:rsidP="00297F8F">
      <w:pPr>
        <w:spacing w:line="360" w:lineRule="auto"/>
        <w:rPr>
          <w:color w:val="000000"/>
        </w:rPr>
      </w:pPr>
      <w:r w:rsidRPr="00827A08">
        <w:rPr>
          <w:color w:val="000000"/>
        </w:rPr>
        <w:t>United Nations</w:t>
      </w:r>
      <w:r w:rsidR="0033669A">
        <w:rPr>
          <w:color w:val="000000"/>
        </w:rPr>
        <w:t xml:space="preserve"> Environment Programme (2005) “Global Judges Programme”</w:t>
      </w:r>
      <w:r w:rsidRPr="00827A08">
        <w:rPr>
          <w:color w:val="000000"/>
        </w:rPr>
        <w:t xml:space="preserve"> </w:t>
      </w:r>
      <w:hyperlink r:id="rId64" w:history="1">
        <w:r w:rsidRPr="00827A08">
          <w:rPr>
            <w:rStyle w:val="Hyperlink"/>
          </w:rPr>
          <w:t>https://www.doe.ir/portal/file/?116502/Unep-Global-Judges-programme.pdf</w:t>
        </w:r>
      </w:hyperlink>
      <w:r w:rsidRPr="00827A08">
        <w:rPr>
          <w:color w:val="000000"/>
        </w:rPr>
        <w:t xml:space="preserve"> (accessed 21 July 2014).</w:t>
      </w:r>
    </w:p>
    <w:p w14:paraId="62DB782F" w14:textId="77777777" w:rsidR="00186E40" w:rsidRPr="00827A08" w:rsidRDefault="00186E40" w:rsidP="00297F8F">
      <w:pPr>
        <w:spacing w:line="360" w:lineRule="auto"/>
        <w:rPr>
          <w:color w:val="000000"/>
        </w:rPr>
      </w:pPr>
    </w:p>
    <w:p w14:paraId="189E8B4D" w14:textId="3AE6F529" w:rsidR="00186E40" w:rsidRPr="00827A08" w:rsidRDefault="00186E40" w:rsidP="00297F8F">
      <w:pPr>
        <w:spacing w:line="360" w:lineRule="auto"/>
        <w:rPr>
          <w:color w:val="000000"/>
        </w:rPr>
      </w:pPr>
      <w:r w:rsidRPr="00827A08">
        <w:rPr>
          <w:color w:val="000000"/>
        </w:rPr>
        <w:t>United Nations</w:t>
      </w:r>
      <w:r w:rsidR="0033669A">
        <w:rPr>
          <w:color w:val="000000"/>
        </w:rPr>
        <w:t xml:space="preserve"> Environment Programme (2015) “</w:t>
      </w:r>
      <w:r w:rsidRPr="00827A08">
        <w:rPr>
          <w:color w:val="000000"/>
        </w:rPr>
        <w:t>Putting Rio Principle 10 into Action: An Implementation Guide for the UNEP Bali Guidelines for the Development of National Legislation on Access to Information, Public Information and Access to Justice in Environmen</w:t>
      </w:r>
      <w:r w:rsidR="0033669A">
        <w:rPr>
          <w:color w:val="000000"/>
        </w:rPr>
        <w:t xml:space="preserve">tal Matters” </w:t>
      </w:r>
      <w:hyperlink r:id="rId65" w:history="1">
        <w:r w:rsidRPr="00827A08">
          <w:rPr>
            <w:rStyle w:val="Hyperlink"/>
          </w:rPr>
          <w:t>https://wedocs.unep.org/bitstream/handle/20.500.11822/11201/UNEP%20MGSB-SGBS%20BALI%20GUIDELINES-Interactive.pdf?sequence=1&amp;isAllowed=y</w:t>
        </w:r>
      </w:hyperlink>
      <w:r w:rsidRPr="00827A08">
        <w:rPr>
          <w:color w:val="000000"/>
        </w:rPr>
        <w:t xml:space="preserve"> (accessed 30 November 2016).</w:t>
      </w:r>
    </w:p>
    <w:p w14:paraId="1552D5DA" w14:textId="77777777" w:rsidR="00186E40" w:rsidRPr="00827A08" w:rsidRDefault="00186E40" w:rsidP="00297F8F">
      <w:pPr>
        <w:spacing w:line="360" w:lineRule="auto"/>
        <w:rPr>
          <w:color w:val="000000"/>
        </w:rPr>
      </w:pPr>
    </w:p>
    <w:p w14:paraId="0B4DAB0F" w14:textId="573E3A3F" w:rsidR="00A60BE7" w:rsidRDefault="00186E40" w:rsidP="00297F8F">
      <w:pPr>
        <w:spacing w:line="360" w:lineRule="auto"/>
        <w:rPr>
          <w:rFonts w:eastAsia="Times New Roman"/>
        </w:rPr>
      </w:pPr>
      <w:r w:rsidRPr="00827A08">
        <w:rPr>
          <w:rFonts w:eastAsia="Times New Roman"/>
        </w:rPr>
        <w:t>Van de Walle, Steven and Hamme</w:t>
      </w:r>
      <w:r w:rsidR="0066106A">
        <w:rPr>
          <w:rStyle w:val="ls1"/>
          <w:rFonts w:eastAsia="Times New Roman"/>
        </w:rPr>
        <w:t>rschmid, Gerhard (2011) “</w:t>
      </w:r>
      <w:r w:rsidRPr="00827A08">
        <w:rPr>
          <w:rStyle w:val="ls1"/>
          <w:rFonts w:eastAsia="Times New Roman"/>
        </w:rPr>
        <w:t>The impact of th</w:t>
      </w:r>
      <w:r w:rsidRPr="00827A08">
        <w:rPr>
          <w:rStyle w:val="ls12"/>
          <w:rFonts w:eastAsia="Times New Roman"/>
        </w:rPr>
        <w:t>e new public manageme</w:t>
      </w:r>
      <w:r w:rsidRPr="00827A08">
        <w:rPr>
          <w:rStyle w:val="ls13"/>
          <w:rFonts w:eastAsia="Times New Roman"/>
        </w:rPr>
        <w:t xml:space="preserve">nt: Challenges for </w:t>
      </w:r>
      <w:r w:rsidRPr="00827A08">
        <w:rPr>
          <w:rFonts w:eastAsia="Times New Roman"/>
        </w:rPr>
        <w:t>coordination and cohesion in Europ</w:t>
      </w:r>
      <w:r w:rsidR="0066106A">
        <w:rPr>
          <w:rStyle w:val="ls3"/>
          <w:rFonts w:eastAsia="Times New Roman"/>
        </w:rPr>
        <w:t xml:space="preserve">ean public sectors” </w:t>
      </w:r>
      <w:r w:rsidRPr="00827A08">
        <w:rPr>
          <w:rStyle w:val="ls3"/>
          <w:rFonts w:eastAsia="Times New Roman"/>
        </w:rPr>
        <w:t xml:space="preserve">(review essay), 12 (2) </w:t>
      </w:r>
      <w:r w:rsidRPr="00827A08">
        <w:rPr>
          <w:rStyle w:val="ff2"/>
          <w:rFonts w:eastAsia="Times New Roman"/>
          <w:i/>
        </w:rPr>
        <w:t>Halduskultuur – Administrative Culture</w:t>
      </w:r>
      <w:r w:rsidRPr="00827A08">
        <w:rPr>
          <w:rStyle w:val="ff2"/>
          <w:rFonts w:eastAsia="Times New Roman"/>
        </w:rPr>
        <w:t xml:space="preserve"> </w:t>
      </w:r>
      <w:r w:rsidRPr="00827A08">
        <w:rPr>
          <w:rStyle w:val="ff1"/>
          <w:rFonts w:eastAsia="Times New Roman"/>
        </w:rPr>
        <w:t>190-</w:t>
      </w:r>
      <w:r w:rsidRPr="00827A08">
        <w:rPr>
          <w:rFonts w:eastAsia="Times New Roman"/>
        </w:rPr>
        <w:t xml:space="preserve">209. </w:t>
      </w:r>
    </w:p>
    <w:p w14:paraId="74E3F5D6" w14:textId="77777777" w:rsidR="00A60BE7" w:rsidRDefault="00A60BE7" w:rsidP="00297F8F">
      <w:pPr>
        <w:spacing w:line="360" w:lineRule="auto"/>
        <w:rPr>
          <w:rFonts w:eastAsia="Times New Roman"/>
        </w:rPr>
      </w:pPr>
    </w:p>
    <w:p w14:paraId="08F6A31B" w14:textId="40EB5C42" w:rsidR="00186E40" w:rsidRDefault="00A60BE7" w:rsidP="00A60BE7">
      <w:pPr>
        <w:spacing w:line="360" w:lineRule="auto"/>
        <w:rPr>
          <w:rFonts w:eastAsia="Times New Roman"/>
        </w:rPr>
      </w:pPr>
      <w:r>
        <w:rPr>
          <w:rFonts w:eastAsia="Times New Roman"/>
        </w:rPr>
        <w:t xml:space="preserve">Venkatasubramanian (2017) “Finance Act Amendment: Tightening the Noose” </w:t>
      </w:r>
      <w:hyperlink r:id="rId66" w:history="1">
        <w:r w:rsidRPr="00F52C71">
          <w:rPr>
            <w:rStyle w:val="Hyperlink"/>
            <w:rFonts w:eastAsia="Times New Roman"/>
          </w:rPr>
          <w:t>http://www.indialegallive.com/constitutional-law-news/acts-and-bills-news/finance-act-amendment-tightening-the-noose-30732</w:t>
        </w:r>
      </w:hyperlink>
      <w:r>
        <w:rPr>
          <w:rFonts w:eastAsia="Times New Roman"/>
        </w:rPr>
        <w:t xml:space="preserve"> (accessed 23 April 2018).</w:t>
      </w:r>
    </w:p>
    <w:p w14:paraId="7A75C285" w14:textId="77777777" w:rsidR="00297F8F" w:rsidRPr="00297F8F" w:rsidRDefault="00297F8F" w:rsidP="00297F8F">
      <w:pPr>
        <w:spacing w:line="360" w:lineRule="auto"/>
        <w:rPr>
          <w:rFonts w:eastAsia="Times New Roman"/>
        </w:rPr>
      </w:pPr>
    </w:p>
    <w:p w14:paraId="78DBF695" w14:textId="5A7841BD" w:rsidR="00186E40" w:rsidRPr="00827A08" w:rsidRDefault="0066106A" w:rsidP="00297F8F">
      <w:pPr>
        <w:spacing w:line="360" w:lineRule="auto"/>
        <w:rPr>
          <w:color w:val="000000"/>
        </w:rPr>
      </w:pPr>
      <w:r>
        <w:rPr>
          <w:color w:val="000000"/>
        </w:rPr>
        <w:t>Warnock, Ceri (2017) “</w:t>
      </w:r>
      <w:r w:rsidR="00186E40" w:rsidRPr="00827A08">
        <w:rPr>
          <w:color w:val="000000"/>
        </w:rPr>
        <w:t>Book Review-Environmental Justice in India</w:t>
      </w:r>
      <w:r>
        <w:rPr>
          <w:color w:val="000000"/>
        </w:rPr>
        <w:t xml:space="preserve"> - The National Green Tribunal”</w:t>
      </w:r>
      <w:r w:rsidR="00186E40" w:rsidRPr="00827A08">
        <w:rPr>
          <w:color w:val="000000"/>
        </w:rPr>
        <w:t xml:space="preserve"> 20 </w:t>
      </w:r>
      <w:r w:rsidR="00186E40" w:rsidRPr="00827A08">
        <w:rPr>
          <w:i/>
          <w:color w:val="000000"/>
        </w:rPr>
        <w:t>Asia Pacific Journal of Environmental Law</w:t>
      </w:r>
      <w:r w:rsidR="00186E40" w:rsidRPr="00827A08">
        <w:rPr>
          <w:color w:val="000000"/>
        </w:rPr>
        <w:t xml:space="preserve"> 209-212.</w:t>
      </w:r>
    </w:p>
    <w:p w14:paraId="298F9FAD" w14:textId="77777777" w:rsidR="00186E40" w:rsidRPr="00827A08" w:rsidRDefault="00186E40" w:rsidP="00297F8F">
      <w:pPr>
        <w:spacing w:line="360" w:lineRule="auto"/>
        <w:rPr>
          <w:color w:val="000000"/>
        </w:rPr>
      </w:pPr>
    </w:p>
    <w:p w14:paraId="02441395" w14:textId="6F8A4CE7" w:rsidR="00186E40" w:rsidRPr="00827A08" w:rsidRDefault="0066106A" w:rsidP="00297F8F">
      <w:pPr>
        <w:spacing w:line="360" w:lineRule="auto"/>
        <w:rPr>
          <w:color w:val="000000"/>
        </w:rPr>
      </w:pPr>
      <w:r>
        <w:rPr>
          <w:color w:val="000000"/>
        </w:rPr>
        <w:t>World Bank Report (2017) “</w:t>
      </w:r>
      <w:r w:rsidR="00186E40" w:rsidRPr="00827A08">
        <w:rPr>
          <w:color w:val="000000"/>
        </w:rPr>
        <w:t xml:space="preserve">Doing Business </w:t>
      </w:r>
      <w:r>
        <w:rPr>
          <w:color w:val="000000"/>
        </w:rPr>
        <w:t>2018: Reforming to Create Jobs”</w:t>
      </w:r>
      <w:r w:rsidR="00186E40" w:rsidRPr="00827A08">
        <w:rPr>
          <w:color w:val="000000"/>
        </w:rPr>
        <w:t xml:space="preserve"> </w:t>
      </w:r>
      <w:hyperlink r:id="rId67" w:history="1">
        <w:r w:rsidR="00186E40" w:rsidRPr="00827A08">
          <w:rPr>
            <w:rStyle w:val="Hyperlink"/>
          </w:rPr>
          <w:t>http://www.doingbusiness.org/~/media/WBG/DoingBusiness/Documents/Annual-Reports/English/DB2018-Full-Report.pdf</w:t>
        </w:r>
      </w:hyperlink>
      <w:r w:rsidR="00186E40" w:rsidRPr="00827A08">
        <w:rPr>
          <w:color w:val="000000"/>
        </w:rPr>
        <w:t xml:space="preserve"> (accessed 15 March 2018).</w:t>
      </w:r>
    </w:p>
    <w:p w14:paraId="08AFF08E" w14:textId="77777777" w:rsidR="00186E40" w:rsidRPr="00827A08" w:rsidRDefault="00186E40" w:rsidP="00827A08">
      <w:pPr>
        <w:spacing w:line="276" w:lineRule="auto"/>
        <w:rPr>
          <w:color w:val="000000"/>
        </w:rPr>
      </w:pPr>
    </w:p>
    <w:p w14:paraId="051EBF84" w14:textId="73A75196" w:rsidR="002F66A1" w:rsidRPr="00827A08" w:rsidRDefault="002F66A1" w:rsidP="00827A08">
      <w:pPr>
        <w:widowControl w:val="0"/>
        <w:autoSpaceDE w:val="0"/>
        <w:autoSpaceDN w:val="0"/>
        <w:adjustRightInd w:val="0"/>
        <w:spacing w:after="240" w:line="276" w:lineRule="auto"/>
        <w:rPr>
          <w:color w:val="000000" w:themeColor="text1"/>
        </w:rPr>
      </w:pPr>
    </w:p>
    <w:sectPr w:rsidR="002F66A1" w:rsidRPr="00827A08" w:rsidSect="005F11CD">
      <w:footerReference w:type="even" r:id="rId68"/>
      <w:footerReference w:type="default" r:id="rId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EB270" w14:textId="77777777" w:rsidR="00FE3A46" w:rsidRDefault="00FE3A46" w:rsidP="00744046">
      <w:r>
        <w:separator/>
      </w:r>
    </w:p>
  </w:endnote>
  <w:endnote w:type="continuationSeparator" w:id="0">
    <w:p w14:paraId="17CBD248" w14:textId="77777777" w:rsidR="00FE3A46" w:rsidRDefault="00FE3A46" w:rsidP="0074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02619" w14:textId="77777777" w:rsidR="004A3640" w:rsidRDefault="004A3640" w:rsidP="001D68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BD6E8" w14:textId="77777777" w:rsidR="004A3640" w:rsidRDefault="004A3640" w:rsidP="00744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9A33" w14:textId="66C35F25" w:rsidR="004A3640" w:rsidRDefault="004A3640" w:rsidP="001D68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8AA">
      <w:rPr>
        <w:rStyle w:val="PageNumber"/>
        <w:noProof/>
      </w:rPr>
      <w:t>1</w:t>
    </w:r>
    <w:r>
      <w:rPr>
        <w:rStyle w:val="PageNumber"/>
      </w:rPr>
      <w:fldChar w:fldCharType="end"/>
    </w:r>
  </w:p>
  <w:p w14:paraId="7960948B" w14:textId="77777777" w:rsidR="004A3640" w:rsidRDefault="004A3640" w:rsidP="007440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88D7" w14:textId="77777777" w:rsidR="00FE3A46" w:rsidRDefault="00FE3A46" w:rsidP="00744046">
      <w:r>
        <w:separator/>
      </w:r>
    </w:p>
  </w:footnote>
  <w:footnote w:type="continuationSeparator" w:id="0">
    <w:p w14:paraId="0450EA67" w14:textId="77777777" w:rsidR="00FE3A46" w:rsidRDefault="00FE3A46" w:rsidP="00744046">
      <w:r>
        <w:continuationSeparator/>
      </w:r>
    </w:p>
  </w:footnote>
  <w:footnote w:id="1">
    <w:p w14:paraId="3A40161E" w14:textId="1A8EC8C6" w:rsidR="004A3640" w:rsidRPr="00913545" w:rsidRDefault="004A3640" w:rsidP="002667FE">
      <w:pPr>
        <w:spacing w:line="360" w:lineRule="auto"/>
        <w:rPr>
          <w:rFonts w:eastAsia="Times New Roman"/>
          <w:sz w:val="20"/>
          <w:szCs w:val="20"/>
        </w:rPr>
      </w:pPr>
      <w:r w:rsidRPr="00D1534F">
        <w:rPr>
          <w:rStyle w:val="FootnoteReference"/>
          <w:sz w:val="20"/>
          <w:szCs w:val="20"/>
        </w:rPr>
        <w:footnoteRef/>
      </w:r>
      <w:r w:rsidRPr="00D1534F">
        <w:rPr>
          <w:sz w:val="20"/>
          <w:szCs w:val="20"/>
        </w:rPr>
        <w:t xml:space="preserve"> </w:t>
      </w:r>
      <w:r w:rsidRPr="00913545">
        <w:rPr>
          <w:sz w:val="20"/>
          <w:szCs w:val="20"/>
        </w:rPr>
        <w:t xml:space="preserve">Milton (1667), p. L 105. </w:t>
      </w:r>
    </w:p>
    <w:p w14:paraId="5B1BCCCF" w14:textId="43EB6DBD" w:rsidR="004A3640" w:rsidRPr="00913545" w:rsidRDefault="004A3640" w:rsidP="002667FE">
      <w:pPr>
        <w:pStyle w:val="FootnoteText"/>
        <w:spacing w:line="360" w:lineRule="auto"/>
        <w:rPr>
          <w:rFonts w:ascii="Times New Roman" w:hAnsi="Times New Roman" w:cs="Times New Roman"/>
        </w:rPr>
      </w:pPr>
    </w:p>
  </w:footnote>
  <w:footnote w:id="2">
    <w:p w14:paraId="5A9F4F30" w14:textId="6E83DA62" w:rsidR="004A3640" w:rsidRPr="00913545" w:rsidRDefault="004A3640" w:rsidP="002667FE">
      <w:pPr>
        <w:spacing w:line="360" w:lineRule="auto"/>
        <w:rPr>
          <w:sz w:val="20"/>
          <w:szCs w:val="20"/>
        </w:rPr>
      </w:pPr>
      <w:r w:rsidRPr="00913545">
        <w:rPr>
          <w:rStyle w:val="FootnoteReference"/>
          <w:sz w:val="20"/>
          <w:szCs w:val="20"/>
        </w:rPr>
        <w:footnoteRef/>
      </w:r>
      <w:r w:rsidRPr="00913545">
        <w:rPr>
          <w:sz w:val="20"/>
          <w:szCs w:val="20"/>
        </w:rPr>
        <w:t xml:space="preserve">  Johannesburg Principles (2002)</w:t>
      </w:r>
      <w:r w:rsidRPr="00913545">
        <w:rPr>
          <w:color w:val="000000"/>
          <w:sz w:val="20"/>
          <w:szCs w:val="20"/>
        </w:rPr>
        <w:t xml:space="preserve">; London Bridge Statement (2002); Rome Symposium (2003); Bhurban Declaration (2012); Asian Development Bank (2102) and (2015); UNEP (2005) and (2015). </w:t>
      </w:r>
    </w:p>
    <w:p w14:paraId="0FB3AA97" w14:textId="3D6697A3" w:rsidR="004A3640" w:rsidRPr="00913545" w:rsidRDefault="004A3640" w:rsidP="002667FE">
      <w:pPr>
        <w:widowControl w:val="0"/>
        <w:tabs>
          <w:tab w:val="left" w:pos="1098"/>
        </w:tabs>
        <w:autoSpaceDE w:val="0"/>
        <w:autoSpaceDN w:val="0"/>
        <w:adjustRightInd w:val="0"/>
        <w:spacing w:after="240" w:line="360" w:lineRule="auto"/>
        <w:rPr>
          <w:color w:val="000000"/>
          <w:sz w:val="20"/>
          <w:szCs w:val="20"/>
        </w:rPr>
      </w:pPr>
    </w:p>
    <w:p w14:paraId="73B2896A" w14:textId="19BBB75B" w:rsidR="004A3640" w:rsidRPr="00913545" w:rsidRDefault="004A3640" w:rsidP="002667FE">
      <w:pPr>
        <w:pStyle w:val="FootnoteText"/>
        <w:spacing w:line="360" w:lineRule="auto"/>
        <w:rPr>
          <w:rFonts w:ascii="Times New Roman" w:hAnsi="Times New Roman" w:cs="Times New Roman"/>
        </w:rPr>
      </w:pPr>
    </w:p>
  </w:footnote>
  <w:footnote w:id="3">
    <w:p w14:paraId="572AE472" w14:textId="72B90A8D"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Preston (2012), p. 398. </w:t>
      </w:r>
    </w:p>
  </w:footnote>
  <w:footnote w:id="4">
    <w:p w14:paraId="036C896A" w14:textId="3FD6AD0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The National Green Tribunal Act 2010.</w:t>
      </w:r>
    </w:p>
  </w:footnote>
  <w:footnote w:id="5">
    <w:p w14:paraId="1672E711" w14:textId="3CF3C1E2"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Pring and Pring (2016), pp.</w:t>
      </w:r>
      <w:r>
        <w:rPr>
          <w:rFonts w:ascii="Times New Roman" w:hAnsi="Times New Roman" w:cs="Times New Roman"/>
        </w:rPr>
        <w:t xml:space="preserve"> </w:t>
      </w:r>
      <w:r w:rsidRPr="002667FE">
        <w:rPr>
          <w:rFonts w:ascii="Times New Roman" w:hAnsi="Times New Roman" w:cs="Times New Roman"/>
        </w:rPr>
        <w:t>34-35.</w:t>
      </w:r>
    </w:p>
  </w:footnote>
  <w:footnote w:id="6">
    <w:p w14:paraId="3B5D9EB8" w14:textId="26D0C926"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Ibid. </w:t>
      </w:r>
    </w:p>
  </w:footnote>
  <w:footnote w:id="7">
    <w:p w14:paraId="69D8B880" w14:textId="32C1881A"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Carnwath (2017).</w:t>
      </w:r>
    </w:p>
  </w:footnote>
  <w:footnote w:id="8">
    <w:p w14:paraId="2D42922F" w14:textId="4D062CBE"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Correspondence with the author dated 29 May 2018.</w:t>
      </w:r>
    </w:p>
  </w:footnote>
  <w:footnote w:id="9">
    <w:p w14:paraId="36BAE58B" w14:textId="458F2A5B"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Domas (2017), p. 560.</w:t>
      </w:r>
    </w:p>
  </w:footnote>
  <w:footnote w:id="10">
    <w:p w14:paraId="47CEFBB9" w14:textId="6E61CBDF"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Rackemann (2017), p.</w:t>
      </w:r>
      <w:r>
        <w:rPr>
          <w:rFonts w:ascii="Times New Roman" w:hAnsi="Times New Roman" w:cs="Times New Roman"/>
        </w:rPr>
        <w:t xml:space="preserve"> </w:t>
      </w:r>
      <w:r w:rsidRPr="002667FE">
        <w:rPr>
          <w:rFonts w:ascii="Times New Roman" w:hAnsi="Times New Roman" w:cs="Times New Roman"/>
        </w:rPr>
        <w:t>473.</w:t>
      </w:r>
    </w:p>
  </w:footnote>
  <w:footnote w:id="11">
    <w:p w14:paraId="057FDC38" w14:textId="38D722DF"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Warnock (2017), p.</w:t>
      </w:r>
      <w:r>
        <w:rPr>
          <w:rFonts w:ascii="Times New Roman" w:hAnsi="Times New Roman" w:cs="Times New Roman"/>
        </w:rPr>
        <w:t xml:space="preserve"> </w:t>
      </w:r>
      <w:r w:rsidRPr="002667FE">
        <w:rPr>
          <w:rFonts w:ascii="Times New Roman" w:hAnsi="Times New Roman" w:cs="Times New Roman"/>
        </w:rPr>
        <w:t>210.</w:t>
      </w:r>
    </w:p>
  </w:footnote>
  <w:footnote w:id="12">
    <w:p w14:paraId="66424194" w14:textId="30619E67" w:rsidR="004A3640" w:rsidRPr="002667FE"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Ryall (2017), p.</w:t>
      </w:r>
      <w:r>
        <w:rPr>
          <w:rFonts w:ascii="Times New Roman" w:hAnsi="Times New Roman" w:cs="Times New Roman"/>
        </w:rPr>
        <w:t xml:space="preserve"> </w:t>
      </w:r>
      <w:r w:rsidRPr="002667FE">
        <w:rPr>
          <w:rFonts w:ascii="Times New Roman" w:hAnsi="Times New Roman" w:cs="Times New Roman"/>
        </w:rPr>
        <w:t>3.</w:t>
      </w:r>
    </w:p>
  </w:footnote>
  <w:footnote w:id="13">
    <w:p w14:paraId="2B56CD29" w14:textId="0B899FD2" w:rsidR="004A3640" w:rsidRPr="00913545" w:rsidRDefault="004A3640" w:rsidP="002667FE">
      <w:pPr>
        <w:pStyle w:val="FootnoteText"/>
        <w:spacing w:line="360" w:lineRule="auto"/>
        <w:rPr>
          <w:rFonts w:ascii="Times New Roman" w:hAnsi="Times New Roman" w:cs="Times New Roman"/>
        </w:rPr>
      </w:pPr>
      <w:r w:rsidRPr="002667FE">
        <w:rPr>
          <w:rStyle w:val="FootnoteReference"/>
          <w:rFonts w:ascii="Times New Roman" w:hAnsi="Times New Roman" w:cs="Times New Roman"/>
        </w:rPr>
        <w:footnoteRef/>
      </w:r>
      <w:r w:rsidRPr="002667FE">
        <w:rPr>
          <w:rFonts w:ascii="Times New Roman" w:hAnsi="Times New Roman" w:cs="Times New Roman"/>
        </w:rPr>
        <w:t xml:space="preserve"> Naidu (2017).</w:t>
      </w:r>
    </w:p>
  </w:footnote>
  <w:footnote w:id="14">
    <w:p w14:paraId="25075CAD" w14:textId="39C4FF79"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Javadekar (2017).</w:t>
      </w:r>
    </w:p>
  </w:footnote>
  <w:footnote w:id="15">
    <w:p w14:paraId="68A9DA36" w14:textId="5589AA09"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Gogoi (2017).</w:t>
      </w:r>
    </w:p>
  </w:footnote>
  <w:footnote w:id="16">
    <w:p w14:paraId="657D5477" w14:textId="1D4CF663"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Dutta (2015).</w:t>
      </w:r>
    </w:p>
  </w:footnote>
  <w:footnote w:id="17">
    <w:p w14:paraId="75120709" w14:textId="2C94E2A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Gill (2017). </w:t>
      </w:r>
    </w:p>
  </w:footnote>
  <w:footnote w:id="18">
    <w:p w14:paraId="2A2EC747" w14:textId="6B92192C"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155.</w:t>
      </w:r>
    </w:p>
  </w:footnote>
  <w:footnote w:id="19">
    <w:p w14:paraId="20828207" w14:textId="5EDCA192"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156.</w:t>
      </w:r>
    </w:p>
  </w:footnote>
  <w:footnote w:id="20">
    <w:p w14:paraId="6A31F6AE" w14:textId="5CA02833"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Chowdhary (2014).</w:t>
      </w:r>
    </w:p>
  </w:footnote>
  <w:footnote w:id="21">
    <w:p w14:paraId="3B1D3FA8" w14:textId="07330CBD" w:rsidR="004A3640" w:rsidRPr="00913545" w:rsidRDefault="004A3640" w:rsidP="002667FE">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Anand (2013); see infra </w:t>
      </w:r>
      <w:r w:rsidRPr="00913545">
        <w:rPr>
          <w:i/>
          <w:sz w:val="20"/>
          <w:szCs w:val="20"/>
        </w:rPr>
        <w:t>suo motu</w:t>
      </w:r>
      <w:r w:rsidRPr="00913545">
        <w:rPr>
          <w:sz w:val="20"/>
          <w:szCs w:val="20"/>
        </w:rPr>
        <w:t xml:space="preserve"> power.</w:t>
      </w:r>
    </w:p>
    <w:p w14:paraId="6C1FF2EF" w14:textId="77777777" w:rsidR="004A3640" w:rsidRPr="00913545" w:rsidRDefault="004A3640" w:rsidP="00B76F9D">
      <w:pPr>
        <w:pStyle w:val="FootnoteText"/>
        <w:rPr>
          <w:rFonts w:ascii="Times New Roman" w:hAnsi="Times New Roman" w:cs="Times New Roman"/>
        </w:rPr>
      </w:pPr>
    </w:p>
  </w:footnote>
  <w:footnote w:id="22">
    <w:p w14:paraId="394B907B" w14:textId="4C7C6AD4"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Mayabushan (2013).</w:t>
      </w:r>
    </w:p>
  </w:footnote>
  <w:footnote w:id="23">
    <w:p w14:paraId="40B591F1" w14:textId="5C1B1B62"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Shrivastava and Shrivastava (2015), p. 173.</w:t>
      </w:r>
    </w:p>
  </w:footnote>
  <w:footnote w:id="24">
    <w:p w14:paraId="72B392B4" w14:textId="512F5027"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Burnes and Cooke (2013), p. 408; Cummings, Bridgman and Brown (2015), p.</w:t>
      </w:r>
      <w:r>
        <w:rPr>
          <w:rFonts w:ascii="Times New Roman" w:hAnsi="Times New Roman" w:cs="Times New Roman"/>
        </w:rPr>
        <w:t xml:space="preserve"> </w:t>
      </w:r>
      <w:r w:rsidRPr="00913545">
        <w:rPr>
          <w:rFonts w:ascii="Times New Roman" w:hAnsi="Times New Roman" w:cs="Times New Roman"/>
        </w:rPr>
        <w:t>34.</w:t>
      </w:r>
    </w:p>
  </w:footnote>
  <w:footnote w:id="25">
    <w:p w14:paraId="36C19873" w14:textId="1A080FA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The planned change approach encompasses separate themes of work- field force theory, group dynamics, action research and a three-step model of change. These were considered by Lewin coalesced into four mutually reinforcing themes to analyse and bring effective change.</w:t>
      </w:r>
    </w:p>
  </w:footnote>
  <w:footnote w:id="26">
    <w:p w14:paraId="2D1DA982" w14:textId="1E4A47B1"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Schein (1988), p. 239.</w:t>
      </w:r>
    </w:p>
  </w:footnote>
  <w:footnote w:id="27">
    <w:p w14:paraId="4BFDE180" w14:textId="1F22DA83"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eastAsia="Times New Roman" w:hAnsi="Times New Roman" w:cs="Times New Roman"/>
          <w:lang w:eastAsia="en-GB"/>
        </w:rPr>
        <w:t>Moran and Brightman (2001), p.</w:t>
      </w:r>
      <w:r>
        <w:rPr>
          <w:rFonts w:ascii="Times New Roman" w:eastAsia="Times New Roman" w:hAnsi="Times New Roman" w:cs="Times New Roman"/>
          <w:lang w:eastAsia="en-GB"/>
        </w:rPr>
        <w:t xml:space="preserve"> </w:t>
      </w:r>
      <w:r w:rsidRPr="00913545">
        <w:rPr>
          <w:rFonts w:ascii="Times New Roman" w:eastAsia="Times New Roman" w:hAnsi="Times New Roman" w:cs="Times New Roman"/>
          <w:lang w:eastAsia="en-GB"/>
        </w:rPr>
        <w:t>111.</w:t>
      </w:r>
    </w:p>
  </w:footnote>
  <w:footnote w:id="28">
    <w:p w14:paraId="53E71ABF" w14:textId="143A6977" w:rsidR="004A3640" w:rsidRPr="00913545" w:rsidRDefault="004A3640" w:rsidP="002667FE">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w:t>
      </w:r>
      <w:r w:rsidRPr="00913545">
        <w:rPr>
          <w:rFonts w:eastAsia="Times New Roman"/>
          <w:sz w:val="20"/>
          <w:szCs w:val="20"/>
        </w:rPr>
        <w:t>Balogun and Hope Hailey (2004), p.</w:t>
      </w:r>
      <w:r>
        <w:rPr>
          <w:rFonts w:eastAsia="Times New Roman"/>
          <w:sz w:val="20"/>
          <w:szCs w:val="20"/>
        </w:rPr>
        <w:t xml:space="preserve"> </w:t>
      </w:r>
      <w:r w:rsidRPr="00913545">
        <w:rPr>
          <w:rFonts w:eastAsia="Times New Roman"/>
          <w:sz w:val="20"/>
          <w:szCs w:val="20"/>
        </w:rPr>
        <w:t>3; Graetz 2000), p.</w:t>
      </w:r>
      <w:r>
        <w:rPr>
          <w:rFonts w:eastAsia="Times New Roman"/>
          <w:sz w:val="20"/>
          <w:szCs w:val="20"/>
        </w:rPr>
        <w:t xml:space="preserve"> </w:t>
      </w:r>
      <w:r w:rsidRPr="00913545">
        <w:rPr>
          <w:rFonts w:eastAsia="Times New Roman"/>
          <w:sz w:val="20"/>
          <w:szCs w:val="20"/>
        </w:rPr>
        <w:t>550; Burnes (2009), p.</w:t>
      </w:r>
      <w:r>
        <w:rPr>
          <w:rFonts w:eastAsia="Times New Roman"/>
          <w:sz w:val="20"/>
          <w:szCs w:val="20"/>
        </w:rPr>
        <w:t xml:space="preserve"> </w:t>
      </w:r>
      <w:r w:rsidRPr="00913545">
        <w:rPr>
          <w:rFonts w:eastAsia="Times New Roman"/>
          <w:sz w:val="20"/>
          <w:szCs w:val="20"/>
        </w:rPr>
        <w:t>1; Kotter (2007), p.</w:t>
      </w:r>
      <w:r>
        <w:rPr>
          <w:rFonts w:eastAsia="Times New Roman"/>
          <w:sz w:val="20"/>
          <w:szCs w:val="20"/>
        </w:rPr>
        <w:t xml:space="preserve"> </w:t>
      </w:r>
      <w:r w:rsidRPr="00913545">
        <w:rPr>
          <w:rFonts w:eastAsia="Times New Roman"/>
          <w:sz w:val="20"/>
          <w:szCs w:val="20"/>
        </w:rPr>
        <w:t>2; Carnall (2003), p.</w:t>
      </w:r>
      <w:r>
        <w:rPr>
          <w:rFonts w:eastAsia="Times New Roman"/>
          <w:sz w:val="20"/>
          <w:szCs w:val="20"/>
        </w:rPr>
        <w:t xml:space="preserve"> </w:t>
      </w:r>
      <w:r w:rsidRPr="00913545">
        <w:rPr>
          <w:rFonts w:eastAsia="Times New Roman"/>
          <w:sz w:val="20"/>
          <w:szCs w:val="20"/>
        </w:rPr>
        <w:t>3; Syed et al (2017), p.</w:t>
      </w:r>
      <w:r>
        <w:rPr>
          <w:rFonts w:eastAsia="Times New Roman"/>
          <w:sz w:val="20"/>
          <w:szCs w:val="20"/>
        </w:rPr>
        <w:t xml:space="preserve"> </w:t>
      </w:r>
      <w:r w:rsidRPr="00913545">
        <w:rPr>
          <w:rFonts w:eastAsia="Times New Roman"/>
          <w:sz w:val="20"/>
          <w:szCs w:val="20"/>
        </w:rPr>
        <w:t>2.</w:t>
      </w:r>
    </w:p>
    <w:p w14:paraId="172944A0" w14:textId="4C13A904" w:rsidR="004A3640" w:rsidRPr="00913545" w:rsidRDefault="004A3640" w:rsidP="002667FE">
      <w:pPr>
        <w:pStyle w:val="FootnoteText"/>
        <w:spacing w:line="360" w:lineRule="auto"/>
        <w:rPr>
          <w:rFonts w:ascii="Times New Roman" w:hAnsi="Times New Roman" w:cs="Times New Roman"/>
        </w:rPr>
      </w:pPr>
    </w:p>
  </w:footnote>
  <w:footnote w:id="29">
    <w:p w14:paraId="339CF001" w14:textId="4860E8A3"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Kotter (2007), pp. 5-6; </w:t>
      </w:r>
      <w:r w:rsidRPr="00913545">
        <w:rPr>
          <w:rFonts w:ascii="Times New Roman" w:eastAsia="Times New Roman" w:hAnsi="Times New Roman" w:cs="Times New Roman"/>
          <w:lang w:eastAsia="en-GB"/>
        </w:rPr>
        <w:t>Luecke (2003), pp. 3-5; Pierce, Gardner and Dunham (2002), p.</w:t>
      </w:r>
      <w:r>
        <w:rPr>
          <w:rFonts w:ascii="Times New Roman" w:eastAsia="Times New Roman" w:hAnsi="Times New Roman" w:cs="Times New Roman"/>
          <w:lang w:eastAsia="en-GB"/>
        </w:rPr>
        <w:t xml:space="preserve"> </w:t>
      </w:r>
      <w:r w:rsidRPr="00913545">
        <w:rPr>
          <w:rFonts w:ascii="Times New Roman" w:eastAsia="Times New Roman" w:hAnsi="Times New Roman" w:cs="Times New Roman"/>
          <w:lang w:eastAsia="en-GB"/>
        </w:rPr>
        <w:t>628.</w:t>
      </w:r>
    </w:p>
  </w:footnote>
  <w:footnote w:id="30">
    <w:p w14:paraId="06CAD257" w14:textId="1371868E"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Hammer and Champy (1993), p. 23.</w:t>
      </w:r>
    </w:p>
  </w:footnote>
  <w:footnote w:id="31">
    <w:p w14:paraId="7909C4E8" w14:textId="48C98F81"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By (2005), p.</w:t>
      </w:r>
      <w:r>
        <w:rPr>
          <w:rFonts w:ascii="Times New Roman" w:hAnsi="Times New Roman" w:cs="Times New Roman"/>
        </w:rPr>
        <w:t xml:space="preserve"> </w:t>
      </w:r>
      <w:r w:rsidRPr="00913545">
        <w:rPr>
          <w:rFonts w:ascii="Times New Roman" w:hAnsi="Times New Roman" w:cs="Times New Roman"/>
        </w:rPr>
        <w:t>370.</w:t>
      </w:r>
    </w:p>
  </w:footnote>
  <w:footnote w:id="32">
    <w:p w14:paraId="01E51656" w14:textId="13379444"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Lewin (1997), p. 291.</w:t>
      </w:r>
    </w:p>
  </w:footnote>
  <w:footnote w:id="33">
    <w:p w14:paraId="77780A4E" w14:textId="76B456DA"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34">
    <w:p w14:paraId="20B28A3A" w14:textId="4E05BB38"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Cummings et al, supra note 24</w:t>
      </w:r>
      <w:r w:rsidRPr="00913545">
        <w:rPr>
          <w:rFonts w:ascii="Times New Roman" w:hAnsi="Times New Roman" w:cs="Times New Roman"/>
        </w:rPr>
        <w:t>; Clegg, Kornberger and Pitsis (2005), p.</w:t>
      </w:r>
      <w:r>
        <w:rPr>
          <w:rFonts w:ascii="Times New Roman" w:hAnsi="Times New Roman" w:cs="Times New Roman"/>
        </w:rPr>
        <w:t xml:space="preserve"> </w:t>
      </w:r>
      <w:r w:rsidRPr="00913545">
        <w:rPr>
          <w:rFonts w:ascii="Times New Roman" w:hAnsi="Times New Roman" w:cs="Times New Roman"/>
        </w:rPr>
        <w:t>376; Child (2005), p. 293; Rummel (1975), p. 41; Hustedde and Score (1995), p.</w:t>
      </w:r>
      <w:r>
        <w:rPr>
          <w:rFonts w:ascii="Times New Roman" w:hAnsi="Times New Roman" w:cs="Times New Roman"/>
        </w:rPr>
        <w:t xml:space="preserve"> </w:t>
      </w:r>
      <w:r w:rsidRPr="00913545">
        <w:rPr>
          <w:rFonts w:ascii="Times New Roman" w:hAnsi="Times New Roman" w:cs="Times New Roman"/>
        </w:rPr>
        <w:t>3;</w:t>
      </w:r>
      <w:r>
        <w:rPr>
          <w:rFonts w:ascii="Times New Roman" w:hAnsi="Times New Roman" w:cs="Times New Roman"/>
        </w:rPr>
        <w:t xml:space="preserve"> Burnes and Cooke, supra note 24</w:t>
      </w:r>
      <w:r w:rsidRPr="00913545">
        <w:rPr>
          <w:rFonts w:ascii="Times New Roman" w:hAnsi="Times New Roman" w:cs="Times New Roman"/>
        </w:rPr>
        <w:t>, p</w:t>
      </w:r>
      <w:r>
        <w:rPr>
          <w:rFonts w:ascii="Times New Roman" w:hAnsi="Times New Roman" w:cs="Times New Roman"/>
        </w:rPr>
        <w:t>.</w:t>
      </w:r>
      <w:r w:rsidRPr="00913545">
        <w:rPr>
          <w:rFonts w:ascii="Times New Roman" w:hAnsi="Times New Roman" w:cs="Times New Roman"/>
        </w:rPr>
        <w:t xml:space="preserve"> 421; Gulati (2007), p. 775; Tsoukas and Chia (2002), p. 570; Marshak and Heracleous (2004), p.</w:t>
      </w:r>
      <w:r>
        <w:rPr>
          <w:rFonts w:ascii="Times New Roman" w:hAnsi="Times New Roman" w:cs="Times New Roman"/>
        </w:rPr>
        <w:t xml:space="preserve"> </w:t>
      </w:r>
      <w:r w:rsidRPr="00913545">
        <w:rPr>
          <w:rFonts w:ascii="Times New Roman" w:hAnsi="Times New Roman" w:cs="Times New Roman"/>
        </w:rPr>
        <w:t>1051.</w:t>
      </w:r>
    </w:p>
  </w:footnote>
  <w:footnote w:id="35">
    <w:p w14:paraId="4345D291" w14:textId="4CEC2072"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Kanter, Stein and Jick (1992), p.</w:t>
      </w:r>
      <w:r>
        <w:rPr>
          <w:rFonts w:ascii="Times New Roman" w:hAnsi="Times New Roman" w:cs="Times New Roman"/>
        </w:rPr>
        <w:t xml:space="preserve"> </w:t>
      </w:r>
      <w:r w:rsidRPr="00913545">
        <w:rPr>
          <w:rFonts w:ascii="Times New Roman" w:hAnsi="Times New Roman" w:cs="Times New Roman"/>
        </w:rPr>
        <w:t>10.</w:t>
      </w:r>
    </w:p>
  </w:footnote>
  <w:footnote w:id="36">
    <w:p w14:paraId="1417121E" w14:textId="0831B19F"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Burnes and Cooke, supra note 24</w:t>
      </w:r>
      <w:r w:rsidRPr="00913545">
        <w:rPr>
          <w:rFonts w:ascii="Times New Roman" w:hAnsi="Times New Roman" w:cs="Times New Roman"/>
        </w:rPr>
        <w:t>.</w:t>
      </w:r>
    </w:p>
  </w:footnote>
  <w:footnote w:id="37">
    <w:p w14:paraId="024E2B22" w14:textId="19A58BBC"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Lewin, supra note 32</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330.</w:t>
      </w:r>
    </w:p>
  </w:footnote>
  <w:footnote w:id="38">
    <w:p w14:paraId="6A8F2E6E" w14:textId="4F6278C4"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Burnes (2004), p.</w:t>
      </w:r>
      <w:r>
        <w:rPr>
          <w:rFonts w:ascii="Times New Roman" w:hAnsi="Times New Roman" w:cs="Times New Roman"/>
        </w:rPr>
        <w:t xml:space="preserve"> </w:t>
      </w:r>
      <w:r w:rsidRPr="00913545">
        <w:rPr>
          <w:rFonts w:ascii="Times New Roman" w:hAnsi="Times New Roman" w:cs="Times New Roman"/>
        </w:rPr>
        <w:t>985.</w:t>
      </w:r>
    </w:p>
  </w:footnote>
  <w:footnote w:id="39">
    <w:p w14:paraId="53F36386" w14:textId="1D2E1728"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Schein (2010), pp. 299-313.</w:t>
      </w:r>
    </w:p>
  </w:footnote>
  <w:footnote w:id="40">
    <w:p w14:paraId="4A1432AB" w14:textId="0FBFCE4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301.</w:t>
      </w:r>
    </w:p>
  </w:footnote>
  <w:footnote w:id="41">
    <w:p w14:paraId="73B67079" w14:textId="6C1E190D"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42">
    <w:p w14:paraId="3AB66BDE" w14:textId="59B3FA9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43">
    <w:p w14:paraId="139A9DEB" w14:textId="4C590974"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pp.</w:t>
      </w:r>
      <w:r>
        <w:rPr>
          <w:rFonts w:ascii="Times New Roman" w:hAnsi="Times New Roman" w:cs="Times New Roman"/>
        </w:rPr>
        <w:t xml:space="preserve"> </w:t>
      </w:r>
      <w:r w:rsidRPr="00913545">
        <w:rPr>
          <w:rFonts w:ascii="Times New Roman" w:hAnsi="Times New Roman" w:cs="Times New Roman"/>
        </w:rPr>
        <w:t>305-307.</w:t>
      </w:r>
    </w:p>
  </w:footnote>
  <w:footnote w:id="44">
    <w:p w14:paraId="4C15FC63" w14:textId="0ECC7F8F"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308.</w:t>
      </w:r>
    </w:p>
  </w:footnote>
  <w:footnote w:id="45">
    <w:p w14:paraId="7B8CECD5" w14:textId="56465150"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311.</w:t>
      </w:r>
    </w:p>
  </w:footnote>
  <w:footnote w:id="46">
    <w:p w14:paraId="037B02BA" w14:textId="633A188B"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Cummings et al, supra note 24</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50.</w:t>
      </w:r>
    </w:p>
  </w:footnote>
  <w:footnote w:id="47">
    <w:p w14:paraId="3E37E170" w14:textId="30D99394"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Burnes and Cooke, supra note 24</w:t>
      </w:r>
      <w:r w:rsidRPr="00913545">
        <w:rPr>
          <w:rFonts w:ascii="Times New Roman" w:hAnsi="Times New Roman" w:cs="Times New Roman"/>
        </w:rPr>
        <w:t xml:space="preserve">; </w:t>
      </w:r>
      <w:r w:rsidRPr="00913545">
        <w:rPr>
          <w:rFonts w:ascii="Times New Roman" w:hAnsi="Times New Roman" w:cs="Times New Roman"/>
          <w:color w:val="000000"/>
        </w:rPr>
        <w:t xml:space="preserve">Cartwright (1952), </w:t>
      </w:r>
      <w:r w:rsidRPr="00913545">
        <w:rPr>
          <w:rFonts w:ascii="Times New Roman" w:hAnsi="Times New Roman" w:cs="Times New Roman"/>
          <w:i/>
          <w:color w:val="000000"/>
        </w:rPr>
        <w:t>Foreword.</w:t>
      </w:r>
    </w:p>
  </w:footnote>
  <w:footnote w:id="48">
    <w:p w14:paraId="31AE13D6" w14:textId="46CC6D01"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Burnes, supra note 38</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981.</w:t>
      </w:r>
    </w:p>
  </w:footnote>
  <w:footnote w:id="49">
    <w:p w14:paraId="73C6FBFD" w14:textId="2B7E9768"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Lewin, supra note 32</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307.</w:t>
      </w:r>
    </w:p>
  </w:footnote>
  <w:footnote w:id="50">
    <w:p w14:paraId="515EDC5F" w14:textId="328334AB"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322.</w:t>
      </w:r>
    </w:p>
  </w:footnote>
  <w:footnote w:id="51">
    <w:p w14:paraId="7BD584BE" w14:textId="20D99C87"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Lewin (1943), p.</w:t>
      </w:r>
      <w:r>
        <w:rPr>
          <w:rFonts w:ascii="Times New Roman" w:hAnsi="Times New Roman" w:cs="Times New Roman"/>
        </w:rPr>
        <w:t xml:space="preserve"> </w:t>
      </w:r>
      <w:r w:rsidRPr="00913545">
        <w:rPr>
          <w:rFonts w:ascii="Times New Roman" w:hAnsi="Times New Roman" w:cs="Times New Roman"/>
        </w:rPr>
        <w:t>172.</w:t>
      </w:r>
    </w:p>
  </w:footnote>
  <w:footnote w:id="52">
    <w:p w14:paraId="1E518022" w14:textId="5756A7A1"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320.</w:t>
      </w:r>
    </w:p>
  </w:footnote>
  <w:footnote w:id="53">
    <w:p w14:paraId="28D27E23" w14:textId="1D45732B"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Lewin (1947), p.</w:t>
      </w:r>
      <w:r>
        <w:rPr>
          <w:rFonts w:ascii="Times New Roman" w:hAnsi="Times New Roman" w:cs="Times New Roman"/>
          <w:color w:val="000000"/>
        </w:rPr>
        <w:t xml:space="preserve"> </w:t>
      </w:r>
      <w:r w:rsidRPr="00913545">
        <w:rPr>
          <w:rFonts w:ascii="Times New Roman" w:hAnsi="Times New Roman" w:cs="Times New Roman"/>
          <w:color w:val="000000"/>
        </w:rPr>
        <w:t>199; Kippenberger (1998), pp.</w:t>
      </w:r>
      <w:r>
        <w:rPr>
          <w:rFonts w:ascii="Times New Roman" w:hAnsi="Times New Roman" w:cs="Times New Roman"/>
          <w:color w:val="000000"/>
        </w:rPr>
        <w:t xml:space="preserve"> </w:t>
      </w:r>
      <w:r w:rsidRPr="00913545">
        <w:rPr>
          <w:rFonts w:ascii="Times New Roman" w:hAnsi="Times New Roman" w:cs="Times New Roman"/>
          <w:color w:val="000000"/>
        </w:rPr>
        <w:t>10-12.</w:t>
      </w:r>
    </w:p>
  </w:footnote>
  <w:footnote w:id="54">
    <w:p w14:paraId="445337F8" w14:textId="0C5FFBAF"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Lewin, supra note 3</w:t>
      </w:r>
      <w:r>
        <w:rPr>
          <w:rFonts w:ascii="Times New Roman" w:hAnsi="Times New Roman" w:cs="Times New Roman"/>
        </w:rPr>
        <w:t>2</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327.</w:t>
      </w:r>
    </w:p>
  </w:footnote>
  <w:footnote w:id="55">
    <w:p w14:paraId="713F29CC" w14:textId="594731DA"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Burnes and Cooke, supra note 24</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 xml:space="preserve">413. </w:t>
      </w:r>
    </w:p>
  </w:footnote>
  <w:footnote w:id="56">
    <w:p w14:paraId="1A645F2A" w14:textId="1B506AC3"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Baulcomb (2003), pp.</w:t>
      </w:r>
      <w:r>
        <w:rPr>
          <w:rFonts w:ascii="Times New Roman" w:hAnsi="Times New Roman" w:cs="Times New Roman"/>
        </w:rPr>
        <w:t xml:space="preserve"> </w:t>
      </w:r>
      <w:r w:rsidRPr="00913545">
        <w:rPr>
          <w:rFonts w:ascii="Times New Roman" w:hAnsi="Times New Roman" w:cs="Times New Roman"/>
        </w:rPr>
        <w:t xml:space="preserve">275-280. </w:t>
      </w:r>
    </w:p>
  </w:footnote>
  <w:footnote w:id="57">
    <w:p w14:paraId="78DBC590" w14:textId="1ECFF0D6"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PLA Notes (1999), pp.</w:t>
      </w:r>
      <w:r>
        <w:rPr>
          <w:rFonts w:ascii="Times New Roman" w:hAnsi="Times New Roman" w:cs="Times New Roman"/>
        </w:rPr>
        <w:t xml:space="preserve"> </w:t>
      </w:r>
      <w:r w:rsidRPr="00913545">
        <w:rPr>
          <w:rFonts w:ascii="Times New Roman" w:hAnsi="Times New Roman" w:cs="Times New Roman"/>
        </w:rPr>
        <w:t>17-23.</w:t>
      </w:r>
    </w:p>
  </w:footnote>
  <w:footnote w:id="58">
    <w:p w14:paraId="652CF7DB" w14:textId="2A570EC5"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Lan and Lee (1997), pp.</w:t>
      </w:r>
      <w:r>
        <w:rPr>
          <w:rFonts w:ascii="Times New Roman" w:hAnsi="Times New Roman" w:cs="Times New Roman"/>
        </w:rPr>
        <w:t xml:space="preserve"> </w:t>
      </w:r>
      <w:r w:rsidRPr="00913545">
        <w:rPr>
          <w:rFonts w:ascii="Times New Roman" w:hAnsi="Times New Roman" w:cs="Times New Roman"/>
        </w:rPr>
        <w:t>43-52.</w:t>
      </w:r>
    </w:p>
  </w:footnote>
  <w:footnote w:id="59">
    <w:p w14:paraId="2088760C" w14:textId="68DE6AEA"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Bozan (2003), pp.</w:t>
      </w:r>
      <w:r>
        <w:rPr>
          <w:rFonts w:ascii="Times New Roman" w:hAnsi="Times New Roman" w:cs="Times New Roman"/>
        </w:rPr>
        <w:t xml:space="preserve"> </w:t>
      </w:r>
      <w:r w:rsidRPr="00913545">
        <w:rPr>
          <w:rFonts w:ascii="Times New Roman" w:hAnsi="Times New Roman" w:cs="Times New Roman"/>
        </w:rPr>
        <w:t>80-85.</w:t>
      </w:r>
    </w:p>
  </w:footnote>
  <w:footnote w:id="60">
    <w:p w14:paraId="75DA072F" w14:textId="37B87A8F"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Allen and Sawhney (2018), pp. 4-6; Ivanko (2013), pp.</w:t>
      </w:r>
      <w:r>
        <w:rPr>
          <w:rFonts w:ascii="Times New Roman" w:hAnsi="Times New Roman" w:cs="Times New Roman"/>
        </w:rPr>
        <w:t xml:space="preserve"> </w:t>
      </w:r>
      <w:r w:rsidRPr="00913545">
        <w:rPr>
          <w:rFonts w:ascii="Times New Roman" w:hAnsi="Times New Roman" w:cs="Times New Roman"/>
        </w:rPr>
        <w:t>1-3; Ahmady, Mehrpour and Nikooravesh (2016), pp. 456-457.</w:t>
      </w:r>
    </w:p>
  </w:footnote>
  <w:footnote w:id="61">
    <w:p w14:paraId="376BF5E7" w14:textId="6BDCB8DA"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eastAsia="Times New Roman" w:hAnsi="Times New Roman" w:cs="Times New Roman"/>
          <w:color w:val="000000"/>
          <w:shd w:val="clear" w:color="auto" w:fill="FFFFFF"/>
          <w:lang w:eastAsia="en-GB"/>
        </w:rPr>
        <w:t>McGovern (1999) in Allen and Sawhney (2018), p. 4.</w:t>
      </w:r>
    </w:p>
  </w:footnote>
  <w:footnote w:id="62">
    <w:p w14:paraId="08DE19BC" w14:textId="403938F2" w:rsidR="004A3640" w:rsidRPr="002667FE" w:rsidRDefault="004A3640" w:rsidP="002667FE">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Barzelay (2002), p.</w:t>
      </w:r>
      <w:r>
        <w:rPr>
          <w:sz w:val="20"/>
          <w:szCs w:val="20"/>
        </w:rPr>
        <w:t xml:space="preserve"> </w:t>
      </w:r>
      <w:r w:rsidRPr="00913545">
        <w:rPr>
          <w:sz w:val="20"/>
          <w:szCs w:val="20"/>
        </w:rPr>
        <w:t>15; Ng (2007), p.</w:t>
      </w:r>
      <w:r>
        <w:rPr>
          <w:sz w:val="20"/>
          <w:szCs w:val="20"/>
        </w:rPr>
        <w:t xml:space="preserve"> </w:t>
      </w:r>
      <w:r w:rsidRPr="00913545">
        <w:rPr>
          <w:sz w:val="20"/>
          <w:szCs w:val="20"/>
        </w:rPr>
        <w:t xml:space="preserve">11; </w:t>
      </w:r>
      <w:r w:rsidRPr="00913545">
        <w:rPr>
          <w:rFonts w:eastAsia="Times New Roman"/>
          <w:color w:val="000000"/>
          <w:sz w:val="20"/>
          <w:szCs w:val="20"/>
          <w:shd w:val="clear" w:color="auto" w:fill="FFFFFF"/>
        </w:rPr>
        <w:t>Van de Walle, S. and Hamme</w:t>
      </w:r>
      <w:r w:rsidRPr="00913545">
        <w:rPr>
          <w:rStyle w:val="ls1"/>
          <w:rFonts w:eastAsia="Times New Roman"/>
          <w:color w:val="000000"/>
          <w:sz w:val="20"/>
          <w:szCs w:val="20"/>
          <w:shd w:val="clear" w:color="auto" w:fill="FFFFFF"/>
        </w:rPr>
        <w:t>rschmid, G. (2011), p.</w:t>
      </w:r>
      <w:r>
        <w:rPr>
          <w:rStyle w:val="ls1"/>
          <w:rFonts w:eastAsia="Times New Roman"/>
          <w:color w:val="000000"/>
          <w:sz w:val="20"/>
          <w:szCs w:val="20"/>
          <w:shd w:val="clear" w:color="auto" w:fill="FFFFFF"/>
        </w:rPr>
        <w:t xml:space="preserve"> </w:t>
      </w:r>
      <w:r w:rsidRPr="00913545">
        <w:rPr>
          <w:rStyle w:val="ls1"/>
          <w:rFonts w:eastAsia="Times New Roman"/>
          <w:color w:val="000000"/>
          <w:sz w:val="20"/>
          <w:szCs w:val="20"/>
          <w:shd w:val="clear" w:color="auto" w:fill="FFFFFF"/>
        </w:rPr>
        <w:t xml:space="preserve">191. This article does not address the debate about the nature of NPM. The considerable scepticism about the consistency of the NPM has generated a body of lively and disparate opinion and literature beyond the scope of this article. For details see </w:t>
      </w:r>
      <w:r w:rsidRPr="00913545">
        <w:rPr>
          <w:sz w:val="20"/>
          <w:szCs w:val="20"/>
        </w:rPr>
        <w:t xml:space="preserve">Barzelay (2002), </w:t>
      </w:r>
      <w:r w:rsidRPr="00913545">
        <w:rPr>
          <w:rFonts w:eastAsia="Times New Roman"/>
          <w:color w:val="000000"/>
          <w:sz w:val="20"/>
          <w:szCs w:val="20"/>
          <w:shd w:val="clear" w:color="auto" w:fill="FFFFFF"/>
        </w:rPr>
        <w:t>Lynn Jr (1998); Pollitt (1995)</w:t>
      </w:r>
      <w:r w:rsidRPr="00913545">
        <w:rPr>
          <w:rFonts w:eastAsia="Times New Roman"/>
          <w:sz w:val="20"/>
          <w:szCs w:val="20"/>
        </w:rPr>
        <w:t xml:space="preserve">; </w:t>
      </w:r>
      <w:r w:rsidRPr="00913545">
        <w:rPr>
          <w:rFonts w:eastAsia="Times New Roman"/>
          <w:color w:val="000000"/>
          <w:spacing w:val="1"/>
          <w:sz w:val="20"/>
          <w:szCs w:val="20"/>
          <w:shd w:val="clear" w:color="auto" w:fill="FFFFFF"/>
        </w:rPr>
        <w:t>Christensen (2008); Brunsson (1989)</w:t>
      </w:r>
      <w:r w:rsidRPr="00913545">
        <w:rPr>
          <w:rFonts w:eastAsia="Times New Roman"/>
          <w:sz w:val="20"/>
          <w:szCs w:val="20"/>
        </w:rPr>
        <w:t xml:space="preserve"> </w:t>
      </w:r>
    </w:p>
  </w:footnote>
  <w:footnote w:id="63">
    <w:p w14:paraId="76B00175" w14:textId="02102B6E"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Ng (2007), p. 29. </w:t>
      </w:r>
    </w:p>
  </w:footnote>
  <w:footnote w:id="64">
    <w:p w14:paraId="2CE49F7A" w14:textId="6E4A6F62" w:rsidR="004A3640" w:rsidRPr="00913545" w:rsidRDefault="004A3640" w:rsidP="002667FE">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11-12.</w:t>
      </w:r>
    </w:p>
  </w:footnote>
  <w:footnote w:id="65">
    <w:p w14:paraId="02D967CD" w14:textId="389FE9C7" w:rsidR="004A3640" w:rsidRPr="002667FE" w:rsidRDefault="004A3640" w:rsidP="002667FE">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Mak (2008), p.</w:t>
      </w:r>
      <w:r>
        <w:rPr>
          <w:sz w:val="20"/>
          <w:szCs w:val="20"/>
        </w:rPr>
        <w:t xml:space="preserve"> </w:t>
      </w:r>
      <w:r w:rsidRPr="00913545">
        <w:rPr>
          <w:sz w:val="20"/>
          <w:szCs w:val="20"/>
        </w:rPr>
        <w:t xml:space="preserve">735. Mak argues that the NPM paradigm influences the European judicial organisation to solve questions in a liberal democracy. </w:t>
      </w:r>
      <w:r w:rsidRPr="00913545">
        <w:rPr>
          <w:rFonts w:eastAsia="Times New Roman"/>
          <w:sz w:val="20"/>
          <w:szCs w:val="20"/>
        </w:rPr>
        <w:t>The legitimacy of the judicial organisation on the European level is dependent on the realisation of a balance of principles which is supported by the European legal order and society.</w:t>
      </w:r>
    </w:p>
  </w:footnote>
  <w:footnote w:id="66">
    <w:p w14:paraId="76336C37" w14:textId="69D855C6"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Lindsay and Petrick (1996), p.</w:t>
      </w:r>
      <w:r>
        <w:rPr>
          <w:rFonts w:ascii="Times New Roman" w:hAnsi="Times New Roman" w:cs="Times New Roman"/>
        </w:rPr>
        <w:t xml:space="preserve"> </w:t>
      </w:r>
      <w:r w:rsidRPr="00D140FF">
        <w:rPr>
          <w:rFonts w:ascii="Times New Roman" w:hAnsi="Times New Roman" w:cs="Times New Roman"/>
        </w:rPr>
        <w:t>55.</w:t>
      </w:r>
    </w:p>
  </w:footnote>
  <w:footnote w:id="67">
    <w:p w14:paraId="451720CC" w14:textId="27A66063"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Supra note 65, p</w:t>
      </w:r>
      <w:r>
        <w:rPr>
          <w:rFonts w:ascii="Times New Roman" w:hAnsi="Times New Roman" w:cs="Times New Roman"/>
        </w:rPr>
        <w:t>p</w:t>
      </w:r>
      <w:r w:rsidRPr="00D140FF">
        <w:rPr>
          <w:rFonts w:ascii="Times New Roman" w:hAnsi="Times New Roman" w:cs="Times New Roman"/>
        </w:rPr>
        <w:t>. 725-726.</w:t>
      </w:r>
    </w:p>
    <w:p w14:paraId="31CBFC8B" w14:textId="77777777" w:rsidR="004A3640" w:rsidRPr="00D140FF" w:rsidRDefault="004A3640" w:rsidP="00D140FF">
      <w:pPr>
        <w:pStyle w:val="FootnoteText"/>
        <w:spacing w:line="360" w:lineRule="auto"/>
        <w:rPr>
          <w:rFonts w:ascii="Times New Roman" w:hAnsi="Times New Roman" w:cs="Times New Roman"/>
        </w:rPr>
      </w:pPr>
    </w:p>
  </w:footnote>
  <w:footnote w:id="68">
    <w:p w14:paraId="05C55BEF" w14:textId="3D6EC937" w:rsidR="004A3640" w:rsidRPr="00D140FF" w:rsidRDefault="004A3640" w:rsidP="00D140FF">
      <w:pPr>
        <w:widowControl w:val="0"/>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Section 18(2) NGT Act 2010 states ‘an application for grant of relief, or compensation or settlement of a dispute may be made to the Tribunal by a</w:t>
      </w:r>
      <w:r w:rsidRPr="00D140FF">
        <w:rPr>
          <w:color w:val="3B3B3B"/>
          <w:sz w:val="20"/>
          <w:szCs w:val="20"/>
        </w:rPr>
        <w:t xml:space="preserve"> </w:t>
      </w:r>
      <w:r w:rsidRPr="00D140FF">
        <w:rPr>
          <w:color w:val="000000"/>
          <w:sz w:val="20"/>
          <w:szCs w:val="20"/>
        </w:rPr>
        <w:t>person who has sustained an injury;</w:t>
      </w:r>
      <w:r w:rsidRPr="00D140FF">
        <w:rPr>
          <w:rFonts w:eastAsia="MS Mincho"/>
          <w:color w:val="000000"/>
          <w:sz w:val="20"/>
          <w:szCs w:val="20"/>
        </w:rPr>
        <w:t xml:space="preserve"> </w:t>
      </w:r>
      <w:r w:rsidRPr="00D140FF">
        <w:rPr>
          <w:color w:val="000000"/>
          <w:sz w:val="20"/>
          <w:szCs w:val="20"/>
        </w:rPr>
        <w:t>is the owner of the property to which damage has been caused;</w:t>
      </w:r>
      <w:r w:rsidRPr="00D140FF">
        <w:rPr>
          <w:rFonts w:eastAsia="MS Mincho"/>
          <w:color w:val="000000"/>
          <w:sz w:val="20"/>
          <w:szCs w:val="20"/>
        </w:rPr>
        <w:t xml:space="preserve"> </w:t>
      </w:r>
      <w:r w:rsidRPr="00D140FF">
        <w:rPr>
          <w:color w:val="000000"/>
          <w:sz w:val="20"/>
          <w:szCs w:val="20"/>
        </w:rPr>
        <w:t>is the legal representative in the case of death resulting from environmental damage;</w:t>
      </w:r>
      <w:r>
        <w:rPr>
          <w:rFonts w:eastAsia="MS Mincho"/>
          <w:color w:val="000000"/>
          <w:sz w:val="20"/>
          <w:szCs w:val="20"/>
        </w:rPr>
        <w:t xml:space="preserve"> </w:t>
      </w:r>
      <w:r w:rsidRPr="00D140FF">
        <w:rPr>
          <w:color w:val="000000"/>
          <w:sz w:val="20"/>
          <w:szCs w:val="20"/>
        </w:rPr>
        <w:t>is a duly authorised agent;</w:t>
      </w:r>
      <w:r>
        <w:rPr>
          <w:rFonts w:eastAsia="MS Mincho"/>
          <w:color w:val="000000"/>
          <w:sz w:val="20"/>
          <w:szCs w:val="20"/>
        </w:rPr>
        <w:t xml:space="preserve"> </w:t>
      </w:r>
      <w:r w:rsidRPr="00D140FF">
        <w:rPr>
          <w:color w:val="000000"/>
          <w:sz w:val="20"/>
          <w:szCs w:val="20"/>
        </w:rPr>
        <w:t>represents a state agency; or</w:t>
      </w:r>
      <w:r w:rsidRPr="00D140FF">
        <w:rPr>
          <w:rFonts w:eastAsia="MS Mincho"/>
          <w:color w:val="000000"/>
          <w:sz w:val="20"/>
          <w:szCs w:val="20"/>
        </w:rPr>
        <w:t xml:space="preserve"> </w:t>
      </w:r>
      <w:r w:rsidRPr="00D140FF">
        <w:rPr>
          <w:color w:val="000000"/>
          <w:sz w:val="20"/>
          <w:szCs w:val="20"/>
        </w:rPr>
        <w:t>is an aggrieved person, including any representative body or organisation.’ Participatory parity has been addressed in the NGT by providing an expansive interpretation of the</w:t>
      </w:r>
      <w:r w:rsidRPr="00D140FF">
        <w:rPr>
          <w:color w:val="3B3B3B"/>
          <w:sz w:val="20"/>
          <w:szCs w:val="20"/>
        </w:rPr>
        <w:t xml:space="preserve"> </w:t>
      </w:r>
      <w:r w:rsidRPr="00D140FF">
        <w:rPr>
          <w:color w:val="000000"/>
          <w:sz w:val="20"/>
          <w:szCs w:val="20"/>
        </w:rPr>
        <w:t xml:space="preserve">term “aggrieved person”. See </w:t>
      </w:r>
      <w:r w:rsidRPr="00C87A83">
        <w:rPr>
          <w:color w:val="000000"/>
          <w:sz w:val="20"/>
          <w:szCs w:val="20"/>
        </w:rPr>
        <w:t xml:space="preserve">infra </w:t>
      </w:r>
      <w:r w:rsidRPr="00D140FF">
        <w:rPr>
          <w:color w:val="000000"/>
          <w:sz w:val="20"/>
          <w:szCs w:val="20"/>
        </w:rPr>
        <w:t xml:space="preserve">for details. </w:t>
      </w:r>
    </w:p>
  </w:footnote>
  <w:footnote w:id="69">
    <w:p w14:paraId="1ABC1232" w14:textId="306882D7"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 xml:space="preserve">The NGT (Practices and Procedure) Rules 2011, Rule 12(2) provide for an application or appeal where no compensation has been claimed to be accompanied by a fee of Rupees 1000 (£10). </w:t>
      </w:r>
    </w:p>
  </w:footnote>
  <w:footnote w:id="70">
    <w:p w14:paraId="1C3E4772" w14:textId="34703E75" w:rsidR="004A3640" w:rsidRPr="002667FE"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rFonts w:eastAsia="Times New Roman"/>
          <w:color w:val="000000"/>
          <w:sz w:val="20"/>
          <w:szCs w:val="20"/>
        </w:rPr>
        <w:t>Section 18 (3) states ‘the application, or as the case may be, the appeal filed before the Tribunal under this Act shall be dealt with by it as expeditiously as possible and endeavour shall be made by it to dispose of the application, or, as the case may be, the appeal, finally within six months from the date of filing of the application, or as the case may be, the appeal, after providing the parties concerned an opportunity to be heard’.</w:t>
      </w:r>
    </w:p>
  </w:footnote>
  <w:footnote w:id="71">
    <w:p w14:paraId="6625EE9A" w14:textId="4CED525C" w:rsidR="004A3640" w:rsidRPr="00D140FF"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rFonts w:eastAsia="Times New Roman"/>
          <w:color w:val="000000"/>
          <w:sz w:val="20"/>
          <w:szCs w:val="20"/>
        </w:rPr>
        <w:t xml:space="preserve">Section 20 provides ‘the Tribunal shall, while passing any order or decision or award, apply the principles of sustainable development, the precautionary principle and the polluter pays principle.’ See </w:t>
      </w:r>
      <w:r w:rsidRPr="00913545">
        <w:rPr>
          <w:i/>
          <w:iCs/>
          <w:color w:val="000000"/>
          <w:sz w:val="20"/>
          <w:szCs w:val="20"/>
        </w:rPr>
        <w:t xml:space="preserve">Gram Panchayat Totu (Majthai) v State of Himachal Pradesh </w:t>
      </w:r>
      <w:r w:rsidRPr="00913545">
        <w:rPr>
          <w:color w:val="000000"/>
          <w:sz w:val="20"/>
          <w:szCs w:val="20"/>
        </w:rPr>
        <w:t xml:space="preserve">Judgment 11 October 2011; </w:t>
      </w:r>
      <w:r w:rsidRPr="00913545">
        <w:rPr>
          <w:i/>
          <w:iCs/>
          <w:color w:val="000000"/>
          <w:sz w:val="20"/>
          <w:szCs w:val="20"/>
        </w:rPr>
        <w:t xml:space="preserve">Durga Dutt v State of Himachel Pradesh </w:t>
      </w:r>
      <w:r w:rsidRPr="00913545">
        <w:rPr>
          <w:color w:val="000000"/>
          <w:sz w:val="20"/>
          <w:szCs w:val="20"/>
        </w:rPr>
        <w:t xml:space="preserve">Judgment 6 February 2014; </w:t>
      </w:r>
      <w:r w:rsidRPr="00913545">
        <w:rPr>
          <w:i/>
          <w:iCs/>
          <w:color w:val="000000"/>
          <w:sz w:val="20"/>
          <w:szCs w:val="20"/>
        </w:rPr>
        <w:t xml:space="preserve">Jal Biradari v MoEF </w:t>
      </w:r>
      <w:r w:rsidRPr="00913545">
        <w:rPr>
          <w:color w:val="000000"/>
          <w:sz w:val="20"/>
          <w:szCs w:val="20"/>
        </w:rPr>
        <w:t xml:space="preserve">Judgment 22 January 2015; </w:t>
      </w:r>
      <w:r w:rsidRPr="00913545">
        <w:rPr>
          <w:i/>
          <w:iCs/>
          <w:color w:val="000000"/>
          <w:sz w:val="20"/>
          <w:szCs w:val="20"/>
        </w:rPr>
        <w:t xml:space="preserve">Vitthal Gopichand Bhungase v Gangakhed Sugar and Energy Ltd </w:t>
      </w:r>
      <w:r w:rsidRPr="00913545">
        <w:rPr>
          <w:color w:val="000000"/>
          <w:sz w:val="20"/>
          <w:szCs w:val="20"/>
        </w:rPr>
        <w:t xml:space="preserve">Judgment 30 July 2014; </w:t>
      </w:r>
      <w:r w:rsidRPr="00913545">
        <w:rPr>
          <w:i/>
          <w:iCs/>
          <w:color w:val="000000"/>
          <w:sz w:val="20"/>
          <w:szCs w:val="20"/>
        </w:rPr>
        <w:t xml:space="preserve">Forward Foundation v State of Karnataka </w:t>
      </w:r>
      <w:r w:rsidRPr="00913545">
        <w:rPr>
          <w:color w:val="000000"/>
          <w:sz w:val="20"/>
          <w:szCs w:val="20"/>
        </w:rPr>
        <w:t xml:space="preserve">Judgment 7 May 2015; </w:t>
      </w:r>
      <w:r w:rsidRPr="00913545">
        <w:rPr>
          <w:i/>
          <w:iCs/>
          <w:color w:val="000000"/>
          <w:sz w:val="20"/>
          <w:szCs w:val="20"/>
        </w:rPr>
        <w:t xml:space="preserve">Ramdas Janardan Koli v Secretary, MoEF </w:t>
      </w:r>
      <w:r w:rsidRPr="00913545">
        <w:rPr>
          <w:color w:val="000000"/>
          <w:sz w:val="20"/>
          <w:szCs w:val="20"/>
        </w:rPr>
        <w:t xml:space="preserve">Judgment 27 February 2015; </w:t>
      </w:r>
      <w:r w:rsidRPr="00913545">
        <w:rPr>
          <w:i/>
          <w:iCs/>
          <w:color w:val="000000"/>
          <w:sz w:val="20"/>
          <w:szCs w:val="20"/>
        </w:rPr>
        <w:t xml:space="preserve">Leo Saldhana v Union of India </w:t>
      </w:r>
      <w:r w:rsidRPr="00913545">
        <w:rPr>
          <w:color w:val="000000"/>
          <w:sz w:val="20"/>
          <w:szCs w:val="20"/>
        </w:rPr>
        <w:t xml:space="preserve">Judgment 27 August 2014. </w:t>
      </w:r>
    </w:p>
  </w:footnote>
  <w:footnote w:id="72">
    <w:p w14:paraId="223C6219" w14:textId="38363CDB"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Gill (2016), pp.</w:t>
      </w:r>
      <w:r>
        <w:rPr>
          <w:rFonts w:ascii="Times New Roman" w:hAnsi="Times New Roman" w:cs="Times New Roman"/>
        </w:rPr>
        <w:t xml:space="preserve"> </w:t>
      </w:r>
      <w:r w:rsidRPr="00913545">
        <w:rPr>
          <w:rFonts w:ascii="Times New Roman" w:hAnsi="Times New Roman" w:cs="Times New Roman"/>
        </w:rPr>
        <w:t>178-179.</w:t>
      </w:r>
    </w:p>
  </w:footnote>
  <w:footnote w:id="73">
    <w:p w14:paraId="1B4E62DA" w14:textId="13C978F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Moog (1992), pp.</w:t>
      </w:r>
      <w:r>
        <w:rPr>
          <w:rFonts w:ascii="Times New Roman" w:hAnsi="Times New Roman" w:cs="Times New Roman"/>
        </w:rPr>
        <w:t xml:space="preserve"> </w:t>
      </w:r>
      <w:r w:rsidRPr="00913545">
        <w:rPr>
          <w:rFonts w:ascii="Times New Roman" w:hAnsi="Times New Roman" w:cs="Times New Roman"/>
        </w:rPr>
        <w:t>19-36.</w:t>
      </w:r>
    </w:p>
  </w:footnote>
  <w:footnote w:id="74">
    <w:p w14:paraId="7A142D89" w14:textId="37646DA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1986) 2 SCC 176.</w:t>
      </w:r>
    </w:p>
  </w:footnote>
  <w:footnote w:id="75">
    <w:p w14:paraId="2D04ED2B" w14:textId="7026A7E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 202.</w:t>
      </w:r>
    </w:p>
  </w:footnote>
  <w:footnote w:id="76">
    <w:p w14:paraId="45595683" w14:textId="16052796"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(1996) 3 SCC 212.</w:t>
      </w:r>
    </w:p>
  </w:footnote>
  <w:footnote w:id="77">
    <w:p w14:paraId="45C5478B" w14:textId="4DEDA937"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(1999) 2 SCC 718 and (2001) 2 SCC 62.</w:t>
      </w:r>
    </w:p>
  </w:footnote>
  <w:footnote w:id="78">
    <w:p w14:paraId="75224082" w14:textId="4A6C724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76</w:t>
      </w:r>
      <w:r w:rsidRPr="00913545">
        <w:rPr>
          <w:rFonts w:ascii="Times New Roman" w:hAnsi="Times New Roman" w:cs="Times New Roman"/>
        </w:rPr>
        <w:t>.</w:t>
      </w:r>
    </w:p>
  </w:footnote>
  <w:footnote w:id="79">
    <w:p w14:paraId="7A89035B" w14:textId="1253808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 252.</w:t>
      </w:r>
    </w:p>
  </w:footnote>
  <w:footnote w:id="80">
    <w:p w14:paraId="0024D34B" w14:textId="3332B303"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Desai and Sandhu (2010), p.</w:t>
      </w:r>
      <w:r>
        <w:rPr>
          <w:rFonts w:ascii="Times New Roman" w:hAnsi="Times New Roman" w:cs="Times New Roman"/>
          <w:color w:val="000000"/>
        </w:rPr>
        <w:t xml:space="preserve"> </w:t>
      </w:r>
      <w:r w:rsidRPr="00913545">
        <w:rPr>
          <w:rFonts w:ascii="Times New Roman" w:hAnsi="Times New Roman" w:cs="Times New Roman"/>
          <w:color w:val="000000"/>
        </w:rPr>
        <w:t>103.</w:t>
      </w:r>
    </w:p>
  </w:footnote>
  <w:footnote w:id="81">
    <w:p w14:paraId="5EC24800" w14:textId="7180CC65"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 xml:space="preserve">For a detailed discussion see </w:t>
      </w:r>
      <w:r w:rsidRPr="00D140FF">
        <w:rPr>
          <w:rFonts w:ascii="Times New Roman" w:hAnsi="Times New Roman" w:cs="Times New Roman"/>
          <w:i/>
          <w:iCs/>
          <w:color w:val="000000"/>
        </w:rPr>
        <w:t xml:space="preserve">A P Pollution Control Board v M V Nayudu </w:t>
      </w:r>
      <w:r w:rsidRPr="00D140FF">
        <w:rPr>
          <w:rFonts w:ascii="Times New Roman" w:hAnsi="Times New Roman" w:cs="Times New Roman"/>
          <w:color w:val="000000"/>
        </w:rPr>
        <w:t>(1999) 2 SCC 718.</w:t>
      </w:r>
    </w:p>
  </w:footnote>
  <w:footnote w:id="82">
    <w:p w14:paraId="13674B04" w14:textId="55ADF4DB"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Desai and Sandhu, supra note 80, p.104.</w:t>
      </w:r>
    </w:p>
  </w:footnote>
  <w:footnote w:id="83">
    <w:p w14:paraId="565F401E" w14:textId="0EE1E25A"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CM 15895/2005 in WP(C) 17682/2005.</w:t>
      </w:r>
    </w:p>
  </w:footnote>
  <w:footnote w:id="84">
    <w:p w14:paraId="48FAEF83" w14:textId="30078B58"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NGT Act 2010 section 38(1) (repealing the National Environment Tribunal Act 1995)</w:t>
      </w:r>
      <w:r>
        <w:rPr>
          <w:color w:val="000000"/>
          <w:sz w:val="20"/>
          <w:szCs w:val="20"/>
        </w:rPr>
        <w:t>.</w:t>
      </w:r>
    </w:p>
  </w:footnote>
  <w:footnote w:id="85">
    <w:p w14:paraId="750C11C1" w14:textId="08A7555B"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Law Commission of India (2003), p.</w:t>
      </w:r>
      <w:r>
        <w:rPr>
          <w:rFonts w:ascii="Times New Roman" w:hAnsi="Times New Roman" w:cs="Times New Roman"/>
          <w:color w:val="000000"/>
        </w:rPr>
        <w:t xml:space="preserve"> </w:t>
      </w:r>
      <w:r w:rsidRPr="00D140FF">
        <w:rPr>
          <w:rFonts w:ascii="Times New Roman" w:hAnsi="Times New Roman" w:cs="Times New Roman"/>
          <w:color w:val="000000"/>
        </w:rPr>
        <w:t>142.</w:t>
      </w:r>
    </w:p>
  </w:footnote>
  <w:footnote w:id="86">
    <w:p w14:paraId="25B85C50" w14:textId="2C79824A"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Ibid, p.</w:t>
      </w:r>
      <w:r>
        <w:rPr>
          <w:rFonts w:ascii="Times New Roman" w:hAnsi="Times New Roman" w:cs="Times New Roman"/>
        </w:rPr>
        <w:t xml:space="preserve"> </w:t>
      </w:r>
      <w:r w:rsidRPr="00D140FF">
        <w:rPr>
          <w:rFonts w:ascii="Times New Roman" w:hAnsi="Times New Roman" w:cs="Times New Roman"/>
        </w:rPr>
        <w:t>13.</w:t>
      </w:r>
    </w:p>
  </w:footnote>
  <w:footnote w:id="87">
    <w:p w14:paraId="1094E1AC" w14:textId="01AEB530" w:rsidR="004A3640" w:rsidRPr="00913545"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ibid, p. 21.</w:t>
      </w:r>
    </w:p>
  </w:footnote>
  <w:footnote w:id="88">
    <w:p w14:paraId="67D8437A" w14:textId="4C882A1F"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w:t>
      </w:r>
      <w:r>
        <w:rPr>
          <w:rFonts w:ascii="Times New Roman" w:hAnsi="Times New Roman" w:cs="Times New Roman"/>
        </w:rPr>
        <w:t xml:space="preserve"> </w:t>
      </w:r>
      <w:r w:rsidRPr="00913545">
        <w:rPr>
          <w:rFonts w:ascii="Times New Roman" w:hAnsi="Times New Roman" w:cs="Times New Roman"/>
        </w:rPr>
        <w:t>3.</w:t>
      </w:r>
    </w:p>
  </w:footnote>
  <w:footnote w:id="89">
    <w:p w14:paraId="02E639E3" w14:textId="101E324A"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Lewin, supra note 32</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215.</w:t>
      </w:r>
    </w:p>
  </w:footnote>
  <w:footnote w:id="90">
    <w:p w14:paraId="79735668" w14:textId="717BFBEC"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Schein, supr</w:t>
      </w:r>
      <w:r>
        <w:rPr>
          <w:rFonts w:ascii="Times New Roman" w:hAnsi="Times New Roman" w:cs="Times New Roman"/>
        </w:rPr>
        <w:t>a note 39</w:t>
      </w:r>
      <w:r w:rsidRPr="00913545">
        <w:rPr>
          <w:rFonts w:ascii="Times New Roman" w:hAnsi="Times New Roman" w:cs="Times New Roman"/>
        </w:rPr>
        <w:t>, pp.</w:t>
      </w:r>
      <w:r>
        <w:rPr>
          <w:rFonts w:ascii="Times New Roman" w:hAnsi="Times New Roman" w:cs="Times New Roman"/>
        </w:rPr>
        <w:t xml:space="preserve"> </w:t>
      </w:r>
      <w:r w:rsidRPr="00913545">
        <w:rPr>
          <w:rFonts w:ascii="Times New Roman" w:hAnsi="Times New Roman" w:cs="Times New Roman"/>
        </w:rPr>
        <w:t>308-310.</w:t>
      </w:r>
    </w:p>
  </w:footnote>
  <w:footnote w:id="91">
    <w:p w14:paraId="0B942941" w14:textId="50B3276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 310.</w:t>
      </w:r>
    </w:p>
  </w:footnote>
  <w:footnote w:id="92">
    <w:p w14:paraId="569AC525" w14:textId="7FF07DAA"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ibid.</w:t>
      </w:r>
    </w:p>
  </w:footnote>
  <w:footnote w:id="93">
    <w:p w14:paraId="6AD24FCC" w14:textId="11FB1C25" w:rsidR="004A3640" w:rsidRPr="00D140FF" w:rsidRDefault="004A3640" w:rsidP="00D140FF">
      <w:pPr>
        <w:widowControl w:val="0"/>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According to Business dictionary, concept has been defined as ‘</w:t>
      </w:r>
      <w:r w:rsidRPr="00D140FF">
        <w:rPr>
          <w:rFonts w:eastAsia="Times New Roman"/>
          <w:sz w:val="20"/>
          <w:szCs w:val="20"/>
        </w:rPr>
        <w:t xml:space="preserve">a clear, detailed description of the attributes and benefits of a new product that addresses the needs of the targeted customers’. </w:t>
      </w:r>
      <w:hyperlink r:id="rId1" w:history="1">
        <w:r w:rsidRPr="00D140FF">
          <w:rPr>
            <w:rStyle w:val="Hyperlink"/>
            <w:rFonts w:eastAsia="Times New Roman"/>
            <w:sz w:val="20"/>
            <w:szCs w:val="20"/>
          </w:rPr>
          <w:t>http://www.businessdictionary.com/definition/concept.html</w:t>
        </w:r>
      </w:hyperlink>
      <w:r w:rsidRPr="00D140FF">
        <w:rPr>
          <w:rFonts w:eastAsia="Times New Roman"/>
          <w:sz w:val="20"/>
          <w:szCs w:val="20"/>
        </w:rPr>
        <w:t xml:space="preserve">. The </w:t>
      </w:r>
      <w:r w:rsidRPr="00D140FF">
        <w:rPr>
          <w:color w:val="000000"/>
          <w:sz w:val="20"/>
          <w:szCs w:val="20"/>
        </w:rPr>
        <w:t xml:space="preserve">concept of Tribunals in India has become an essential part and play an effective role in justice delivery system. </w:t>
      </w:r>
      <w:r w:rsidRPr="00D140FF">
        <w:rPr>
          <w:rFonts w:eastAsia="Times New Roman"/>
          <w:color w:val="000000"/>
          <w:sz w:val="20"/>
          <w:szCs w:val="20"/>
          <w:shd w:val="clear" w:color="auto" w:fill="FFFFFF"/>
        </w:rPr>
        <w:t xml:space="preserve">A Tribunal may be termed as a court if it has all the trappings of a court and satisfies the essential parameters. Every court may be a Tribunal but every Tribunal necessarily may not be a court. </w:t>
      </w:r>
      <w:r w:rsidRPr="00D140FF">
        <w:rPr>
          <w:color w:val="000000"/>
          <w:sz w:val="20"/>
          <w:szCs w:val="20"/>
        </w:rPr>
        <w:t xml:space="preserve">Tribunals are the quasi-judicial bodies established to adjudicate disputes related to specified matters which exercise the jurisdiction according to the Statute establishing them. The Tribunals emerged not with the sole promise of speedy, effective, decentralised dispensation of justice but also the expertise and knowledge in specialised areas that was felt to be lacking in the judges of traditional Courts. For details see Law Commission of India (2017) pp 4, 5 and 32. See </w:t>
      </w:r>
      <w:r w:rsidRPr="00D140FF">
        <w:rPr>
          <w:i/>
          <w:color w:val="000000"/>
          <w:sz w:val="20"/>
          <w:szCs w:val="20"/>
        </w:rPr>
        <w:t>Virindar Kumar Satyawadi v. State of Punjab</w:t>
      </w:r>
      <w:r w:rsidRPr="00D140FF">
        <w:rPr>
          <w:color w:val="000000"/>
          <w:sz w:val="20"/>
          <w:szCs w:val="20"/>
        </w:rPr>
        <w:t xml:space="preserve"> AIR 1956 SC 153; </w:t>
      </w:r>
      <w:r w:rsidRPr="00D140FF">
        <w:rPr>
          <w:i/>
          <w:color w:val="000000"/>
          <w:sz w:val="20"/>
          <w:szCs w:val="20"/>
        </w:rPr>
        <w:t>Associated Cement Co. Ltd. v. P.N. Sharma</w:t>
      </w:r>
      <w:r w:rsidRPr="00D140FF">
        <w:rPr>
          <w:color w:val="000000"/>
          <w:sz w:val="20"/>
          <w:szCs w:val="20"/>
        </w:rPr>
        <w:t xml:space="preserve"> AIR 1965 SC1595; </w:t>
      </w:r>
      <w:r w:rsidRPr="00D140FF">
        <w:rPr>
          <w:i/>
          <w:color w:val="000000"/>
          <w:sz w:val="20"/>
          <w:szCs w:val="20"/>
        </w:rPr>
        <w:t>Kihoto Hollohon v. Sri Zachilhu</w:t>
      </w:r>
      <w:r w:rsidRPr="00D140FF">
        <w:rPr>
          <w:color w:val="000000"/>
          <w:sz w:val="20"/>
          <w:szCs w:val="20"/>
        </w:rPr>
        <w:t xml:space="preserve"> AIR 1993 SC 412; </w:t>
      </w:r>
      <w:r w:rsidRPr="00D140FF">
        <w:rPr>
          <w:i/>
          <w:color w:val="000000"/>
          <w:sz w:val="20"/>
          <w:szCs w:val="20"/>
        </w:rPr>
        <w:t xml:space="preserve">State of Gujarat v. Gujarat Revenue Tribunal Bar Association </w:t>
      </w:r>
      <w:r w:rsidRPr="00D140FF">
        <w:rPr>
          <w:color w:val="000000"/>
          <w:sz w:val="20"/>
          <w:szCs w:val="20"/>
        </w:rPr>
        <w:t xml:space="preserve">(2012) 10 SCC 353. </w:t>
      </w:r>
    </w:p>
  </w:footnote>
  <w:footnote w:id="94">
    <w:p w14:paraId="46ED67F1" w14:textId="662CC978" w:rsidR="004A3640" w:rsidRDefault="004A3640" w:rsidP="00D140FF">
      <w:pPr>
        <w:pStyle w:val="FootnoteText"/>
        <w:spacing w:line="360" w:lineRule="auto"/>
      </w:pPr>
      <w:r w:rsidRPr="00D140FF">
        <w:rPr>
          <w:rStyle w:val="FootnoteReference"/>
          <w:rFonts w:ascii="Times New Roman" w:hAnsi="Times New Roman" w:cs="Times New Roman"/>
        </w:rPr>
        <w:footnoteRef/>
      </w:r>
      <w:r w:rsidRPr="00D140FF">
        <w:rPr>
          <w:rFonts w:ascii="Times New Roman" w:hAnsi="Times New Roman" w:cs="Times New Roman"/>
        </w:rPr>
        <w:t xml:space="preserve"> In 2014, the MoEF was re-named as Ministry of Environment, Forests and Climate Change (MoEFCC). For the purpose of clarity and consistency, the term MoEF is used throughout this article.</w:t>
      </w:r>
    </w:p>
  </w:footnote>
  <w:footnote w:id="95">
    <w:p w14:paraId="2CB3A32F" w14:textId="0F83170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Prsindia.org (2009).</w:t>
      </w:r>
    </w:p>
  </w:footnote>
  <w:footnote w:id="96">
    <w:p w14:paraId="5DCB1D99" w14:textId="05CD1671"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Statement by Jairam Ramesh, former Minister of Environment and Forests, Indian Parliament, 30 April 2010.</w:t>
      </w:r>
    </w:p>
  </w:footnote>
  <w:footnote w:id="97">
    <w:p w14:paraId="28C15724" w14:textId="3316536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98">
    <w:p w14:paraId="05E7655B" w14:textId="0D65CC3D"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 xml:space="preserve">Gazette of India Extraordinary (No 19 of 2010); National Environment Tribunal Act No 27 of 1995 </w:t>
      </w:r>
      <w:hyperlink r:id="rId2" w:history="1">
        <w:r w:rsidRPr="00D140FF">
          <w:rPr>
            <w:rStyle w:val="Hyperlink"/>
            <w:sz w:val="20"/>
            <w:szCs w:val="20"/>
          </w:rPr>
          <w:t>http://www.envfor.nic.in/legis/others/Tribunal.html.</w:t>
        </w:r>
      </w:hyperlink>
    </w:p>
  </w:footnote>
  <w:footnote w:id="99">
    <w:p w14:paraId="24D65316" w14:textId="7A8AB902"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Ministry of Environment and Forests Notification May 2011 S.O.1003 E.</w:t>
      </w:r>
    </w:p>
  </w:footnote>
  <w:footnote w:id="100">
    <w:p w14:paraId="1C3D5AE6" w14:textId="36E88813"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Ministry of Environment and Forests Notification 17 August 2011 S.O.1908 E.</w:t>
      </w:r>
    </w:p>
  </w:footnote>
  <w:footnote w:id="101">
    <w:p w14:paraId="56B4BA6E" w14:textId="11B90E9B"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NGT/PB/157/2013/331 20 December 2013 (office order).</w:t>
      </w:r>
    </w:p>
  </w:footnote>
  <w:footnote w:id="102">
    <w:p w14:paraId="4A12F26C" w14:textId="037211A6"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NGT/PB/266/2013/281 2 December 2013 (office order).</w:t>
      </w:r>
    </w:p>
  </w:footnote>
  <w:footnote w:id="103">
    <w:p w14:paraId="0B39666A" w14:textId="4A1BCFC4"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NGT/PB/Pr/CB/97/2014/M78.</w:t>
      </w:r>
    </w:p>
  </w:footnote>
  <w:footnote w:id="104">
    <w:p w14:paraId="753C5199" w14:textId="51B6EB60"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NGT/PB/266/2015/299.</w:t>
      </w:r>
    </w:p>
  </w:footnote>
  <w:footnote w:id="105">
    <w:p w14:paraId="495166D3" w14:textId="71709DF6" w:rsidR="004A3640" w:rsidRPr="00913545"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(2012) 8 SCC 326.</w:t>
      </w:r>
    </w:p>
  </w:footnote>
  <w:footnote w:id="106">
    <w:p w14:paraId="64D08BE6" w14:textId="33CBF5F8"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 347. </w:t>
      </w:r>
      <w:r w:rsidRPr="00913545">
        <w:rPr>
          <w:rFonts w:ascii="Times New Roman" w:eastAsia="Times New Roman" w:hAnsi="Times New Roman" w:cs="Times New Roman"/>
          <w:color w:val="333333"/>
          <w:shd w:val="clear" w:color="auto" w:fill="FFFFFF"/>
          <w:lang w:eastAsia="en-GB"/>
        </w:rPr>
        <w:t xml:space="preserve">It is interesting to note that </w:t>
      </w:r>
      <w:r w:rsidRPr="00913545">
        <w:rPr>
          <w:rFonts w:ascii="Times New Roman" w:hAnsi="Times New Roman" w:cs="Times New Roman"/>
          <w:color w:val="000000"/>
        </w:rPr>
        <w:t xml:space="preserve">in </w:t>
      </w:r>
      <w:r w:rsidRPr="00913545">
        <w:rPr>
          <w:rFonts w:ascii="Times New Roman" w:hAnsi="Times New Roman" w:cs="Times New Roman"/>
          <w:i/>
          <w:iCs/>
          <w:color w:val="000000"/>
        </w:rPr>
        <w:t xml:space="preserve">Adarsh Cooperative Housing Society Ltd v Union of India </w:t>
      </w:r>
      <w:r w:rsidRPr="00913545">
        <w:rPr>
          <w:rFonts w:ascii="Times New Roman" w:hAnsi="Times New Roman" w:cs="Times New Roman"/>
          <w:color w:val="000000"/>
        </w:rPr>
        <w:t xml:space="preserve">Order 10 March 2014, the Supreme Court stayed its own order by which it transferred all environmental cases from High Courts to the NGT. In </w:t>
      </w:r>
      <w:r w:rsidRPr="00913545">
        <w:rPr>
          <w:rFonts w:ascii="Times New Roman" w:hAnsi="Times New Roman" w:cs="Times New Roman"/>
          <w:i/>
          <w:iCs/>
          <w:color w:val="000000"/>
        </w:rPr>
        <w:t xml:space="preserve">Vellore Citizen Welfare Forum v Union of India </w:t>
      </w:r>
      <w:r w:rsidRPr="00913545">
        <w:rPr>
          <w:rFonts w:ascii="Times New Roman" w:hAnsi="Times New Roman" w:cs="Times New Roman"/>
          <w:color w:val="000000"/>
        </w:rPr>
        <w:t>2016 SCC Online Mad 188</w:t>
      </w:r>
      <w:r>
        <w:rPr>
          <w:rFonts w:ascii="Times New Roman" w:hAnsi="Times New Roman" w:cs="Times New Roman"/>
          <w:color w:val="000000"/>
        </w:rPr>
        <w:t>1, the Madras High Court stated “</w:t>
      </w:r>
      <w:r w:rsidRPr="00913545">
        <w:rPr>
          <w:rFonts w:ascii="Times New Roman" w:hAnsi="Times New Roman" w:cs="Times New Roman"/>
          <w:color w:val="000000"/>
        </w:rPr>
        <w:t>however, it appears that the applica</w:t>
      </w:r>
      <w:r>
        <w:rPr>
          <w:rFonts w:ascii="Times New Roman" w:hAnsi="Times New Roman" w:cs="Times New Roman"/>
          <w:color w:val="000000"/>
        </w:rPr>
        <w:t>tion was withdrawn on 11.8.2014.”</w:t>
      </w:r>
      <w:r w:rsidRPr="00913545">
        <w:rPr>
          <w:rFonts w:ascii="Times New Roman" w:hAnsi="Times New Roman" w:cs="Times New Roman"/>
          <w:color w:val="000000"/>
        </w:rPr>
        <w:t xml:space="preserve"> (para 78).</w:t>
      </w:r>
    </w:p>
  </w:footnote>
  <w:footnote w:id="107">
    <w:p w14:paraId="79463AEF" w14:textId="55CDA44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T N Godavarman Thirumulpad v Union of India </w:t>
      </w:r>
      <w:r w:rsidRPr="00913545">
        <w:rPr>
          <w:rFonts w:ascii="Times New Roman" w:hAnsi="Times New Roman" w:cs="Times New Roman"/>
          <w:color w:val="000000"/>
        </w:rPr>
        <w:t>(Order 5 November 2015).</w:t>
      </w:r>
    </w:p>
  </w:footnote>
  <w:footnote w:id="108">
    <w:p w14:paraId="25CBCEBD" w14:textId="4633152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68</w:t>
      </w:r>
      <w:r w:rsidRPr="00913545">
        <w:rPr>
          <w:rFonts w:ascii="Times New Roman" w:hAnsi="Times New Roman" w:cs="Times New Roman"/>
        </w:rPr>
        <w:t>.</w:t>
      </w:r>
    </w:p>
  </w:footnote>
  <w:footnote w:id="109">
    <w:p w14:paraId="3C8B3948" w14:textId="1558F044"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Section 14 NGT Act 2010 states ‘the Tribunal shall have the jurisdiction over all civil cases where a substantial question relating to environment (including enforcement of any legal right relating to environment), is involved and such question arises out of the implementation of the enactments specified in Schedule I.’ The enactments in Schedule I include:  Water (Prevention and Control of Pollution) Act 1974; the Water (Prevention and Control of Pollution) Cess Act 1977; the Forests (Conservation) Act 1980; the Air (Prevention and Control of Pollution) Act 1981; the Environment (Protection) Act 1986; the Public Liability Insurance Act 1981; and the Biological Diversity Act 2002.</w:t>
      </w:r>
    </w:p>
  </w:footnote>
  <w:footnote w:id="110">
    <w:p w14:paraId="17AC29D4" w14:textId="79F5975B" w:rsidR="004A3640" w:rsidRPr="00D140FF"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Pr>
          <w:color w:val="000000"/>
          <w:sz w:val="20"/>
          <w:szCs w:val="20"/>
        </w:rPr>
        <w:t>Section 16 NGT Act 2010 states “</w:t>
      </w:r>
      <w:r w:rsidRPr="00913545">
        <w:rPr>
          <w:color w:val="000000"/>
          <w:sz w:val="20"/>
          <w:szCs w:val="20"/>
        </w:rPr>
        <w:t xml:space="preserve">any person aggrieved by an order or decision made, on or after the commencement of the National Green Tribunal Act, 2010, by the (a) Appellate Authority under section 28 of the Water (Prevention and Control of Pollution) Act, 1974; (b) State Government under section 29 of the Water (Prevention and Control of Pollution) Act, 1974 (c) a Board, under section 33A of the Water (Prevention and Control of Pollution) Act, 1974 (6 of 1974); (d) Appellate Authority under section 13 of the Water (Prevention and Control of Pollution) Cess Act, 1977; (e) State Government or other authority under section 2 of the Forest (Conservation) Act, 1980; (f) Appellate Authority under section 31 of the Air (Prevention and Control of </w:t>
      </w:r>
      <w:r>
        <w:rPr>
          <w:color w:val="000000"/>
          <w:sz w:val="20"/>
          <w:szCs w:val="20"/>
        </w:rPr>
        <w:t>Pollution</w:t>
      </w:r>
      <w:r w:rsidRPr="00913545">
        <w:rPr>
          <w:color w:val="000000"/>
          <w:sz w:val="20"/>
          <w:szCs w:val="20"/>
        </w:rPr>
        <w:t>) Act, 1981; (g) any direction issued under section 5 of the Environment (Protection) Act, 1986; (h) granting environmental clearance in the area in which any industries, operations or processes or class of industries, operations and processes shall not be carried out or shall be carried out subject to certain safeguards under the Environment (Protection) Act, 1986 (i) refusing to grant environmental clearance for carrying out any activity or operation or process under the Environment (Protection) Act, 1986</w:t>
      </w:r>
      <w:r>
        <w:rPr>
          <w:color w:val="000000"/>
          <w:sz w:val="20"/>
          <w:szCs w:val="20"/>
        </w:rPr>
        <w:t>; (j) any determination of benefi</w:t>
      </w:r>
      <w:r w:rsidRPr="00913545">
        <w:rPr>
          <w:color w:val="000000"/>
          <w:sz w:val="20"/>
          <w:szCs w:val="20"/>
        </w:rPr>
        <w:t xml:space="preserve">t sharing or order made by the National Biodiversity Authority or a State Biodiversity Board under the provisions of the Biological Diversity Act, 2002, may, within a period of thirty days from the date on which the order or decision or direction or determination is communicated to him, prefer an appeal to the Tribunal: Provided that the Tribunal may, if it is satisfied that the appellant was prevented by sufficient cause from ling the appeal within the said period, allow it to be led under this section within a further </w:t>
      </w:r>
      <w:r>
        <w:rPr>
          <w:color w:val="000000"/>
          <w:sz w:val="20"/>
          <w:szCs w:val="20"/>
        </w:rPr>
        <w:t>period not exceeding sixty days</w:t>
      </w:r>
      <w:r w:rsidRPr="00913545">
        <w:rPr>
          <w:color w:val="000000"/>
          <w:sz w:val="20"/>
          <w:szCs w:val="20"/>
        </w:rPr>
        <w:t>.</w:t>
      </w:r>
      <w:r>
        <w:rPr>
          <w:color w:val="000000"/>
          <w:sz w:val="20"/>
          <w:szCs w:val="20"/>
        </w:rPr>
        <w:t>"</w:t>
      </w:r>
      <w:r w:rsidRPr="00913545">
        <w:rPr>
          <w:color w:val="000000"/>
          <w:sz w:val="20"/>
          <w:szCs w:val="20"/>
        </w:rPr>
        <w:t xml:space="preserve"> </w:t>
      </w:r>
    </w:p>
  </w:footnote>
  <w:footnote w:id="111">
    <w:p w14:paraId="209C5FDC" w14:textId="59356509"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i/>
          <w:iCs/>
          <w:color w:val="1A1718"/>
          <w:sz w:val="20"/>
          <w:szCs w:val="20"/>
        </w:rPr>
        <w:t xml:space="preserve">State of Uttranchal </w:t>
      </w:r>
      <w:r w:rsidRPr="00913545">
        <w:rPr>
          <w:color w:val="1A1718"/>
          <w:sz w:val="20"/>
          <w:szCs w:val="20"/>
        </w:rPr>
        <w:t xml:space="preserve">v </w:t>
      </w:r>
      <w:r w:rsidRPr="00913545">
        <w:rPr>
          <w:i/>
          <w:iCs/>
          <w:color w:val="1A1718"/>
          <w:sz w:val="20"/>
          <w:szCs w:val="20"/>
        </w:rPr>
        <w:t xml:space="preserve">Balwant Singh Chaufal </w:t>
      </w:r>
      <w:r w:rsidRPr="00913545">
        <w:rPr>
          <w:color w:val="1A1718"/>
          <w:sz w:val="20"/>
          <w:szCs w:val="20"/>
        </w:rPr>
        <w:t xml:space="preserve">2010 3 SCC 402; </w:t>
      </w:r>
      <w:r w:rsidRPr="00913545">
        <w:rPr>
          <w:i/>
          <w:iCs/>
          <w:color w:val="1A1718"/>
          <w:sz w:val="20"/>
          <w:szCs w:val="20"/>
        </w:rPr>
        <w:t xml:space="preserve">MC Mehta </w:t>
      </w:r>
      <w:r w:rsidRPr="00913545">
        <w:rPr>
          <w:color w:val="1A1718"/>
          <w:sz w:val="20"/>
          <w:szCs w:val="20"/>
        </w:rPr>
        <w:t xml:space="preserve">v </w:t>
      </w:r>
      <w:r w:rsidRPr="00913545">
        <w:rPr>
          <w:i/>
          <w:iCs/>
          <w:color w:val="1A1718"/>
          <w:sz w:val="20"/>
          <w:szCs w:val="20"/>
        </w:rPr>
        <w:t xml:space="preserve">Kamal Nath </w:t>
      </w:r>
      <w:r w:rsidRPr="00913545">
        <w:rPr>
          <w:color w:val="1A1718"/>
          <w:sz w:val="20"/>
          <w:szCs w:val="20"/>
        </w:rPr>
        <w:t xml:space="preserve">20006 SCC 213; </w:t>
      </w:r>
      <w:r w:rsidRPr="00913545">
        <w:rPr>
          <w:i/>
          <w:iCs/>
          <w:color w:val="1A1718"/>
          <w:sz w:val="20"/>
          <w:szCs w:val="20"/>
        </w:rPr>
        <w:t xml:space="preserve">In re Noise Pollution </w:t>
      </w:r>
      <w:r w:rsidRPr="00913545">
        <w:rPr>
          <w:color w:val="1A1718"/>
          <w:sz w:val="20"/>
          <w:szCs w:val="20"/>
        </w:rPr>
        <w:t xml:space="preserve">v AIR 2005 SC 3136; </w:t>
      </w:r>
      <w:r w:rsidRPr="00913545">
        <w:rPr>
          <w:i/>
          <w:iCs/>
          <w:color w:val="1A1718"/>
          <w:sz w:val="20"/>
          <w:szCs w:val="20"/>
        </w:rPr>
        <w:t xml:space="preserve">Chhetriya Pradushan Mukti Sangharsh Samiti </w:t>
      </w:r>
      <w:r w:rsidRPr="00913545">
        <w:rPr>
          <w:color w:val="1A1718"/>
          <w:sz w:val="20"/>
          <w:szCs w:val="20"/>
        </w:rPr>
        <w:t xml:space="preserve">v </w:t>
      </w:r>
      <w:r w:rsidRPr="00913545">
        <w:rPr>
          <w:i/>
          <w:iCs/>
          <w:color w:val="1A1718"/>
          <w:sz w:val="20"/>
          <w:szCs w:val="20"/>
        </w:rPr>
        <w:t xml:space="preserve">State of Uttar Pradesh </w:t>
      </w:r>
      <w:r w:rsidRPr="00913545">
        <w:rPr>
          <w:color w:val="1A1718"/>
          <w:sz w:val="20"/>
          <w:szCs w:val="20"/>
        </w:rPr>
        <w:t xml:space="preserve">AIR 1990 SC 2060; </w:t>
      </w:r>
      <w:r w:rsidRPr="00913545">
        <w:rPr>
          <w:i/>
          <w:iCs/>
          <w:color w:val="1A1718"/>
          <w:sz w:val="20"/>
          <w:szCs w:val="20"/>
        </w:rPr>
        <w:t xml:space="preserve">Subhash Kumar </w:t>
      </w:r>
      <w:r w:rsidRPr="00913545">
        <w:rPr>
          <w:color w:val="1A1718"/>
          <w:sz w:val="20"/>
          <w:szCs w:val="20"/>
        </w:rPr>
        <w:t xml:space="preserve">v </w:t>
      </w:r>
      <w:r w:rsidRPr="00913545">
        <w:rPr>
          <w:i/>
          <w:iCs/>
          <w:color w:val="1A1718"/>
          <w:sz w:val="20"/>
          <w:szCs w:val="20"/>
        </w:rPr>
        <w:t xml:space="preserve">State of Bihar </w:t>
      </w:r>
      <w:r w:rsidRPr="00913545">
        <w:rPr>
          <w:color w:val="1A1718"/>
          <w:sz w:val="20"/>
          <w:szCs w:val="20"/>
        </w:rPr>
        <w:t xml:space="preserve">AIR 1991 SC 420; </w:t>
      </w:r>
      <w:r w:rsidRPr="00913545">
        <w:rPr>
          <w:i/>
          <w:iCs/>
          <w:color w:val="1A1718"/>
          <w:sz w:val="20"/>
          <w:szCs w:val="20"/>
        </w:rPr>
        <w:t xml:space="preserve">Vellore Citizen Welfare Forum </w:t>
      </w:r>
      <w:r w:rsidRPr="00913545">
        <w:rPr>
          <w:color w:val="1A1718"/>
          <w:sz w:val="20"/>
          <w:szCs w:val="20"/>
        </w:rPr>
        <w:t xml:space="preserve">v </w:t>
      </w:r>
      <w:r w:rsidRPr="00913545">
        <w:rPr>
          <w:i/>
          <w:iCs/>
          <w:color w:val="1A1718"/>
          <w:sz w:val="20"/>
          <w:szCs w:val="20"/>
        </w:rPr>
        <w:t xml:space="preserve">Union of India </w:t>
      </w:r>
      <w:r w:rsidRPr="00913545">
        <w:rPr>
          <w:color w:val="1A1718"/>
          <w:sz w:val="20"/>
          <w:szCs w:val="20"/>
        </w:rPr>
        <w:t xml:space="preserve">AIR 1996 SC 2715; </w:t>
      </w:r>
      <w:r w:rsidRPr="00913545">
        <w:rPr>
          <w:i/>
          <w:iCs/>
          <w:color w:val="1A1718"/>
          <w:sz w:val="20"/>
          <w:szCs w:val="20"/>
        </w:rPr>
        <w:t xml:space="preserve">AP Pollution Control Board </w:t>
      </w:r>
      <w:r w:rsidRPr="00913545">
        <w:rPr>
          <w:color w:val="1A1718"/>
          <w:sz w:val="20"/>
          <w:szCs w:val="20"/>
        </w:rPr>
        <w:t xml:space="preserve">v </w:t>
      </w:r>
      <w:r w:rsidRPr="00913545">
        <w:rPr>
          <w:i/>
          <w:iCs/>
          <w:color w:val="1A1718"/>
          <w:sz w:val="20"/>
          <w:szCs w:val="20"/>
        </w:rPr>
        <w:t xml:space="preserve">Prof M.V. Nayudu </w:t>
      </w:r>
      <w:r w:rsidRPr="00913545">
        <w:rPr>
          <w:color w:val="1A1718"/>
          <w:sz w:val="20"/>
          <w:szCs w:val="20"/>
        </w:rPr>
        <w:t xml:space="preserve">AIR 1999 SC 812; </w:t>
      </w:r>
      <w:r w:rsidRPr="00913545">
        <w:rPr>
          <w:i/>
          <w:iCs/>
          <w:color w:val="1A1718"/>
          <w:sz w:val="20"/>
          <w:szCs w:val="20"/>
        </w:rPr>
        <w:t xml:space="preserve">Narmada Bachao Andolan </w:t>
      </w:r>
      <w:r w:rsidRPr="00913545">
        <w:rPr>
          <w:color w:val="1A1718"/>
          <w:sz w:val="20"/>
          <w:szCs w:val="20"/>
        </w:rPr>
        <w:t xml:space="preserve">v </w:t>
      </w:r>
      <w:r w:rsidRPr="00913545">
        <w:rPr>
          <w:i/>
          <w:iCs/>
          <w:color w:val="1A1718"/>
          <w:sz w:val="20"/>
          <w:szCs w:val="20"/>
        </w:rPr>
        <w:t xml:space="preserve">Union of India </w:t>
      </w:r>
      <w:r w:rsidRPr="00913545">
        <w:rPr>
          <w:color w:val="1A1718"/>
          <w:sz w:val="20"/>
          <w:szCs w:val="20"/>
        </w:rPr>
        <w:t xml:space="preserve">AIR 2000 SC 3751. Also see Gill (2012), p. 201 and </w:t>
      </w:r>
      <w:r w:rsidRPr="00913545">
        <w:rPr>
          <w:color w:val="000000"/>
          <w:sz w:val="20"/>
          <w:szCs w:val="20"/>
        </w:rPr>
        <w:t>(2015) pp. 140-146</w:t>
      </w:r>
      <w:r>
        <w:rPr>
          <w:color w:val="1A1718"/>
          <w:sz w:val="20"/>
          <w:szCs w:val="20"/>
        </w:rPr>
        <w:t>; Sahu (2008), p</w:t>
      </w:r>
      <w:r w:rsidRPr="00913545">
        <w:rPr>
          <w:color w:val="1A1718"/>
          <w:sz w:val="20"/>
          <w:szCs w:val="20"/>
        </w:rPr>
        <w:t>.</w:t>
      </w:r>
      <w:r>
        <w:rPr>
          <w:color w:val="1A1718"/>
          <w:sz w:val="20"/>
          <w:szCs w:val="20"/>
        </w:rPr>
        <w:t xml:space="preserve"> </w:t>
      </w:r>
      <w:r w:rsidRPr="00913545">
        <w:rPr>
          <w:color w:val="1A1718"/>
          <w:sz w:val="20"/>
          <w:szCs w:val="20"/>
        </w:rPr>
        <w:t xml:space="preserve">380; </w:t>
      </w:r>
      <w:r w:rsidRPr="00913545">
        <w:rPr>
          <w:color w:val="000000"/>
          <w:sz w:val="20"/>
          <w:szCs w:val="20"/>
        </w:rPr>
        <w:t>Faure and Raja (2010), p. 225; Rajamani (2007), pp. 293-294.</w:t>
      </w:r>
    </w:p>
  </w:footnote>
  <w:footnote w:id="112">
    <w:p w14:paraId="74F574D0" w14:textId="5153CCC0"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Judgment 2 August 2016.</w:t>
      </w:r>
    </w:p>
  </w:footnote>
  <w:footnote w:id="113">
    <w:p w14:paraId="2CFBB1EF" w14:textId="16E2C110"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paras 31 and 32.</w:t>
      </w:r>
    </w:p>
  </w:footnote>
  <w:footnote w:id="114">
    <w:p w14:paraId="3002B4CC" w14:textId="1E303CA9" w:rsidR="004A3640" w:rsidRPr="00D140FF"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i/>
          <w:color w:val="000000"/>
          <w:sz w:val="20"/>
          <w:szCs w:val="20"/>
        </w:rPr>
        <w:t>Kishan Lal Gera v. State of Haryana</w:t>
      </w:r>
      <w:r w:rsidRPr="00913545">
        <w:rPr>
          <w:color w:val="000000"/>
          <w:sz w:val="20"/>
          <w:szCs w:val="20"/>
        </w:rPr>
        <w:t xml:space="preserve"> 2015 ALL (I) NGT REPORTER (2) (DELHI) 286; </w:t>
      </w:r>
      <w:r w:rsidRPr="00913545">
        <w:rPr>
          <w:i/>
          <w:color w:val="000000"/>
          <w:sz w:val="20"/>
          <w:szCs w:val="20"/>
        </w:rPr>
        <w:t>Sri Ranganathan v. Union of India,</w:t>
      </w:r>
      <w:r w:rsidRPr="00913545">
        <w:rPr>
          <w:color w:val="000000"/>
          <w:sz w:val="20"/>
          <w:szCs w:val="20"/>
        </w:rPr>
        <w:t xml:space="preserve"> (2014) ALL (I) NGT REPORTER (2) (SZ) 1; </w:t>
      </w:r>
      <w:r w:rsidRPr="00913545">
        <w:rPr>
          <w:i/>
          <w:color w:val="000000"/>
          <w:sz w:val="20"/>
          <w:szCs w:val="20"/>
        </w:rPr>
        <w:t>Vithal Gopichand Bhugersay v. Ganga K Head Sugar</w:t>
      </w:r>
      <w:r w:rsidRPr="00913545">
        <w:rPr>
          <w:color w:val="000000"/>
          <w:sz w:val="20"/>
          <w:szCs w:val="20"/>
        </w:rPr>
        <w:t xml:space="preserve"> and </w:t>
      </w:r>
      <w:r w:rsidRPr="00913545">
        <w:rPr>
          <w:i/>
          <w:color w:val="000000"/>
          <w:sz w:val="20"/>
          <w:szCs w:val="20"/>
        </w:rPr>
        <w:t>Energy Ltd</w:t>
      </w:r>
      <w:r w:rsidRPr="00913545">
        <w:rPr>
          <w:color w:val="000000"/>
          <w:sz w:val="20"/>
          <w:szCs w:val="20"/>
        </w:rPr>
        <w:t xml:space="preserve"> (2014) ALL (I) NGT REPORTER (1) (SZ) 49; </w:t>
      </w:r>
      <w:r w:rsidRPr="00913545">
        <w:rPr>
          <w:i/>
          <w:iCs/>
          <w:color w:val="000000"/>
          <w:sz w:val="20"/>
          <w:szCs w:val="20"/>
        </w:rPr>
        <w:t>Jan Chetna v Ministry of Environment and</w:t>
      </w:r>
      <w:r w:rsidRPr="00913545">
        <w:rPr>
          <w:color w:val="3B3B3B"/>
          <w:sz w:val="20"/>
          <w:szCs w:val="20"/>
        </w:rPr>
        <w:t xml:space="preserve"> </w:t>
      </w:r>
      <w:r w:rsidRPr="00913545">
        <w:rPr>
          <w:i/>
          <w:iCs/>
          <w:color w:val="000000"/>
          <w:sz w:val="20"/>
          <w:szCs w:val="20"/>
        </w:rPr>
        <w:t>Forests</w:t>
      </w:r>
      <w:r w:rsidRPr="00913545">
        <w:rPr>
          <w:color w:val="000000"/>
          <w:sz w:val="20"/>
          <w:szCs w:val="20"/>
        </w:rPr>
        <w:t xml:space="preserve"> (Judgment 9 February 2012).</w:t>
      </w:r>
    </w:p>
  </w:footnote>
  <w:footnote w:id="115">
    <w:p w14:paraId="620C306B" w14:textId="0D60BC5B"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Gill (2017), pp. 194-196.</w:t>
      </w:r>
    </w:p>
  </w:footnote>
  <w:footnote w:id="116">
    <w:p w14:paraId="6E57A2DE" w14:textId="53269FE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Judgment 14 December 2011.</w:t>
      </w:r>
    </w:p>
  </w:footnote>
  <w:footnote w:id="117">
    <w:p w14:paraId="57174751" w14:textId="0BD197F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Judgment 27 February 2015.</w:t>
      </w:r>
    </w:p>
  </w:footnote>
  <w:footnote w:id="118">
    <w:p w14:paraId="76D3A51B" w14:textId="02BFD545"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themeColor="text1"/>
        </w:rPr>
        <w:t xml:space="preserve">In </w:t>
      </w:r>
      <w:r w:rsidRPr="00913545">
        <w:rPr>
          <w:rFonts w:ascii="Times New Roman" w:hAnsi="Times New Roman" w:cs="Times New Roman"/>
          <w:i/>
          <w:color w:val="000000" w:themeColor="text1"/>
        </w:rPr>
        <w:t>Intellectual Forum, Tirupathi v State of A.P</w:t>
      </w:r>
      <w:r w:rsidRPr="00913545">
        <w:rPr>
          <w:rFonts w:ascii="Times New Roman" w:hAnsi="Times New Roman" w:cs="Times New Roman"/>
          <w:color w:val="000000" w:themeColor="text1"/>
        </w:rPr>
        <w:t xml:space="preserve"> AIR 2006 SC 1350 the Supreme Court of India recognised ‘all human beings have a fundamental right to a healthy environment commensurate with their well- being ... ensuring that natural resources are conserved and preserved in such a way that present as well as the future generation are aware of them equally.’ (para 84).</w:t>
      </w:r>
    </w:p>
  </w:footnote>
  <w:footnote w:id="119">
    <w:p w14:paraId="0035C1A4" w14:textId="1465792F"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themeColor="text1"/>
        </w:rPr>
        <w:t>Judgment 4 April 2014.</w:t>
      </w:r>
    </w:p>
  </w:footnote>
  <w:footnote w:id="120">
    <w:p w14:paraId="7A0ABDDC" w14:textId="13E6ADA3"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themeColor="text1"/>
        </w:rPr>
        <w:t>2013) 8 SCC 234.</w:t>
      </w:r>
    </w:p>
  </w:footnote>
  <w:footnote w:id="121">
    <w:p w14:paraId="3E3AC59A" w14:textId="3E77B536"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themeColor="text1"/>
        </w:rPr>
        <w:t>Ibid</w:t>
      </w:r>
      <w:r>
        <w:rPr>
          <w:rFonts w:ascii="Times New Roman" w:hAnsi="Times New Roman" w:cs="Times New Roman"/>
          <w:color w:val="000000" w:themeColor="text1"/>
        </w:rPr>
        <w:t>, p.</w:t>
      </w:r>
      <w:r w:rsidRPr="00913545">
        <w:rPr>
          <w:rFonts w:ascii="Times New Roman" w:hAnsi="Times New Roman" w:cs="Times New Roman"/>
          <w:color w:val="000000" w:themeColor="text1"/>
        </w:rPr>
        <w:t xml:space="preserve"> 256. Also see </w:t>
      </w:r>
      <w:r w:rsidRPr="00913545">
        <w:rPr>
          <w:rFonts w:ascii="Times New Roman" w:hAnsi="Times New Roman" w:cs="Times New Roman"/>
          <w:i/>
          <w:color w:val="000000" w:themeColor="text1"/>
        </w:rPr>
        <w:t>Sudeip Shrivastava v State of Chattisgarh</w:t>
      </w:r>
      <w:r w:rsidRPr="00913545">
        <w:rPr>
          <w:rFonts w:ascii="Times New Roman" w:hAnsi="Times New Roman" w:cs="Times New Roman"/>
          <w:color w:val="000000" w:themeColor="text1"/>
        </w:rPr>
        <w:t xml:space="preserve"> Judgment 24 March 2014; </w:t>
      </w:r>
      <w:r w:rsidRPr="00913545">
        <w:rPr>
          <w:rFonts w:ascii="Times New Roman" w:hAnsi="Times New Roman" w:cs="Times New Roman"/>
          <w:i/>
          <w:color w:val="000000" w:themeColor="text1"/>
        </w:rPr>
        <w:t>Charudatt P Koli v M/s Sea Lord Containers</w:t>
      </w:r>
      <w:r w:rsidRPr="00913545">
        <w:rPr>
          <w:rFonts w:ascii="Times New Roman" w:hAnsi="Times New Roman" w:cs="Times New Roman"/>
          <w:color w:val="000000" w:themeColor="text1"/>
        </w:rPr>
        <w:t xml:space="preserve"> Judgment 18 December 2015.</w:t>
      </w:r>
    </w:p>
  </w:footnote>
  <w:footnote w:id="122">
    <w:p w14:paraId="23A113B9" w14:textId="116FA5F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Schein, supra note 39</w:t>
      </w:r>
      <w:r w:rsidRPr="00913545">
        <w:rPr>
          <w:rFonts w:ascii="Times New Roman" w:hAnsi="Times New Roman" w:cs="Times New Roman"/>
        </w:rPr>
        <w:t>, pp.</w:t>
      </w:r>
      <w:r>
        <w:rPr>
          <w:rFonts w:ascii="Times New Roman" w:hAnsi="Times New Roman" w:cs="Times New Roman"/>
        </w:rPr>
        <w:t xml:space="preserve"> </w:t>
      </w:r>
      <w:r w:rsidRPr="00913545">
        <w:rPr>
          <w:rFonts w:ascii="Times New Roman" w:hAnsi="Times New Roman" w:cs="Times New Roman"/>
        </w:rPr>
        <w:t>310-311.</w:t>
      </w:r>
    </w:p>
  </w:footnote>
  <w:footnote w:id="123">
    <w:p w14:paraId="472A049E" w14:textId="3571741E" w:rsidR="004A3640" w:rsidRPr="00D140FF"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i/>
          <w:sz w:val="20"/>
          <w:szCs w:val="20"/>
        </w:rPr>
        <w:t>Forward Foundation v State of Karnataka</w:t>
      </w:r>
      <w:r w:rsidRPr="00913545">
        <w:rPr>
          <w:sz w:val="20"/>
          <w:szCs w:val="20"/>
        </w:rPr>
        <w:t xml:space="preserve"> Judgment 10 September 2015.</w:t>
      </w:r>
      <w:r w:rsidRPr="00913545">
        <w:rPr>
          <w:color w:val="000000"/>
          <w:sz w:val="20"/>
          <w:szCs w:val="20"/>
        </w:rPr>
        <w:t xml:space="preserve"> In </w:t>
      </w:r>
      <w:r w:rsidRPr="00913545">
        <w:rPr>
          <w:i/>
          <w:iCs/>
          <w:color w:val="000000"/>
          <w:sz w:val="20"/>
          <w:szCs w:val="20"/>
        </w:rPr>
        <w:t xml:space="preserve">MoEF v Nirma Ltd </w:t>
      </w:r>
      <w:r w:rsidRPr="00913545">
        <w:rPr>
          <w:color w:val="000000"/>
          <w:sz w:val="20"/>
          <w:szCs w:val="20"/>
        </w:rPr>
        <w:t xml:space="preserve">(Order of the Supreme Court dated 4 August 2014), the Supreme Court found nothing wrong with the procedure adopted by the NGT requiring two of its technical members to visit the site and make a report after carrying out a personal inspection. </w:t>
      </w:r>
    </w:p>
  </w:footnote>
  <w:footnote w:id="124">
    <w:p w14:paraId="00DA162C" w14:textId="08A301E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rPr>
        <w:t>K.K. Singh v National Ganga River Basin Authority</w:t>
      </w:r>
      <w:r w:rsidRPr="00913545">
        <w:rPr>
          <w:rFonts w:ascii="Times New Roman" w:hAnsi="Times New Roman" w:cs="Times New Roman"/>
        </w:rPr>
        <w:t xml:space="preserve"> Judgment 16 October 2014.</w:t>
      </w:r>
    </w:p>
  </w:footnote>
  <w:footnote w:id="125">
    <w:p w14:paraId="11B1AB1F" w14:textId="708DA2CF"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rPr>
        <w:t>Manoj Mishra v. Union of India</w:t>
      </w:r>
      <w:r w:rsidRPr="00913545">
        <w:rPr>
          <w:rFonts w:ascii="Times New Roman" w:hAnsi="Times New Roman" w:cs="Times New Roman"/>
        </w:rPr>
        <w:t xml:space="preserve"> NGT Judgment, 13 January 2015 (now referred to as the Maily se Nirmal Yamuna Revitalization Plan 2017).</w:t>
      </w:r>
    </w:p>
  </w:footnote>
  <w:footnote w:id="126">
    <w:p w14:paraId="7E5B0674" w14:textId="04ABC48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Vardhaman Kaushik v Union of India </w:t>
      </w:r>
      <w:r w:rsidRPr="00913545">
        <w:rPr>
          <w:rFonts w:ascii="Times New Roman" w:hAnsi="Times New Roman" w:cs="Times New Roman"/>
          <w:color w:val="000000"/>
        </w:rPr>
        <w:t xml:space="preserve">and </w:t>
      </w:r>
      <w:r w:rsidRPr="00913545">
        <w:rPr>
          <w:rFonts w:ascii="Times New Roman" w:hAnsi="Times New Roman" w:cs="Times New Roman"/>
          <w:i/>
          <w:iCs/>
          <w:color w:val="000000"/>
        </w:rPr>
        <w:t xml:space="preserve">Sanjay Kulshrestha v Union of India </w:t>
      </w:r>
      <w:r w:rsidRPr="00913545">
        <w:rPr>
          <w:rFonts w:ascii="Times New Roman" w:hAnsi="Times New Roman" w:cs="Times New Roman"/>
          <w:color w:val="000000"/>
        </w:rPr>
        <w:t>(Order 7 April 2015).</w:t>
      </w:r>
    </w:p>
  </w:footnote>
  <w:footnote w:id="127">
    <w:p w14:paraId="00C9C4A6" w14:textId="568F90A3"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124</w:t>
      </w:r>
      <w:r w:rsidRPr="00913545">
        <w:rPr>
          <w:rFonts w:ascii="Times New Roman" w:hAnsi="Times New Roman" w:cs="Times New Roman"/>
        </w:rPr>
        <w:t>.</w:t>
      </w:r>
    </w:p>
  </w:footnote>
  <w:footnote w:id="128">
    <w:p w14:paraId="30CDC54B" w14:textId="70D080FF"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para 3.</w:t>
      </w:r>
    </w:p>
  </w:footnote>
  <w:footnote w:id="129">
    <w:p w14:paraId="5F5A2271" w14:textId="2F55AAC7" w:rsidR="004A3640" w:rsidRPr="00D140FF"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rFonts w:eastAsia="Times New Roman"/>
          <w:i/>
          <w:color w:val="212121"/>
          <w:spacing w:val="3"/>
          <w:sz w:val="20"/>
          <w:szCs w:val="20"/>
          <w:shd w:val="clear" w:color="auto" w:fill="FFFFFF"/>
        </w:rPr>
        <w:t>Suo-motu</w:t>
      </w:r>
      <w:r w:rsidRPr="00913545">
        <w:rPr>
          <w:rFonts w:eastAsia="Times New Roman"/>
          <w:color w:val="212121"/>
          <w:spacing w:val="3"/>
          <w:sz w:val="20"/>
          <w:szCs w:val="20"/>
          <w:shd w:val="clear" w:color="auto" w:fill="FFFFFF"/>
        </w:rPr>
        <w:t xml:space="preserve"> power is exercised by the superior constitutional courts. It is a plenary power to meet the demands of justice. Where there is either a flagrant violation of a mandatory provision of any statute or constitutional mandate it is the duty of the superior court to set aside the illegality in the judgment as it is well settled that illegality should not be perpetuated and failure by the court to interfere would amount to allowing illegality to be perpetuated. </w:t>
      </w:r>
      <w:r>
        <w:rPr>
          <w:rFonts w:eastAsia="Times New Roman"/>
          <w:color w:val="212121"/>
          <w:spacing w:val="3"/>
          <w:sz w:val="20"/>
          <w:szCs w:val="20"/>
          <w:shd w:val="clear" w:color="auto" w:fill="FFFFFF"/>
        </w:rPr>
        <w:t xml:space="preserve">See Galanter (2014), p. 74. Galanter argues that the </w:t>
      </w:r>
      <w:r w:rsidRPr="00404780">
        <w:rPr>
          <w:rFonts w:eastAsia="Times New Roman"/>
          <w:i/>
          <w:color w:val="212121"/>
          <w:spacing w:val="3"/>
          <w:sz w:val="20"/>
          <w:szCs w:val="20"/>
          <w:shd w:val="clear" w:color="auto" w:fill="FFFFFF"/>
        </w:rPr>
        <w:t>suo-motu</w:t>
      </w:r>
      <w:r>
        <w:rPr>
          <w:rFonts w:eastAsia="Times New Roman"/>
          <w:color w:val="212121"/>
          <w:spacing w:val="3"/>
          <w:sz w:val="20"/>
          <w:szCs w:val="20"/>
          <w:shd w:val="clear" w:color="auto" w:fill="FFFFFF"/>
        </w:rPr>
        <w:t xml:space="preserve"> judicial “</w:t>
      </w:r>
      <w:r w:rsidRPr="00D140FF">
        <w:rPr>
          <w:rFonts w:eastAsia="Times New Roman"/>
          <w:color w:val="212121"/>
          <w:spacing w:val="3"/>
          <w:sz w:val="20"/>
          <w:szCs w:val="20"/>
          <w:shd w:val="clear" w:color="auto" w:fill="FFFFFF"/>
        </w:rPr>
        <w:t xml:space="preserve">initiatives </w:t>
      </w:r>
      <w:r w:rsidRPr="00D140FF">
        <w:rPr>
          <w:color w:val="000000"/>
          <w:sz w:val="20"/>
          <w:szCs w:val="20"/>
        </w:rPr>
        <w:t>derive from judicial reaction to a newspaper article or a letter (the so-called “epistolary jurisdiction”), which have become a familiar feature of the Indian judicial scene, rare but highly visible</w:t>
      </w:r>
      <w:r>
        <w:rPr>
          <w:color w:val="000000"/>
          <w:sz w:val="20"/>
          <w:szCs w:val="20"/>
        </w:rPr>
        <w:t>.”</w:t>
      </w:r>
      <w:r w:rsidRPr="00D140FF">
        <w:rPr>
          <w:color w:val="000000"/>
          <w:sz w:val="20"/>
          <w:szCs w:val="20"/>
        </w:rPr>
        <w:t xml:space="preserve"> Also </w:t>
      </w:r>
      <w:r w:rsidRPr="00D140FF">
        <w:rPr>
          <w:rFonts w:eastAsia="Times New Roman"/>
          <w:color w:val="212121"/>
          <w:spacing w:val="3"/>
          <w:sz w:val="20"/>
          <w:szCs w:val="20"/>
          <w:shd w:val="clear" w:color="auto" w:fill="FFFFFF"/>
        </w:rPr>
        <w:t xml:space="preserve">See </w:t>
      </w:r>
      <w:r w:rsidRPr="00D140FF">
        <w:rPr>
          <w:rFonts w:eastAsia="Times New Roman"/>
          <w:i/>
          <w:color w:val="212121"/>
          <w:spacing w:val="3"/>
          <w:sz w:val="20"/>
          <w:szCs w:val="20"/>
          <w:shd w:val="clear" w:color="auto" w:fill="FFFFFF"/>
        </w:rPr>
        <w:t>In re Amarnath Shrine</w:t>
      </w:r>
      <w:r w:rsidRPr="00D140FF">
        <w:rPr>
          <w:rFonts w:eastAsia="Times New Roman"/>
          <w:color w:val="212121"/>
          <w:spacing w:val="3"/>
          <w:sz w:val="20"/>
          <w:szCs w:val="20"/>
          <w:shd w:val="clear" w:color="auto" w:fill="FFFFFF"/>
        </w:rPr>
        <w:t xml:space="preserve"> (2013) 3 SCC 247; </w:t>
      </w:r>
      <w:r w:rsidRPr="00D140FF">
        <w:rPr>
          <w:rFonts w:eastAsia="Times New Roman"/>
          <w:i/>
          <w:color w:val="212121"/>
          <w:spacing w:val="3"/>
          <w:sz w:val="20"/>
          <w:szCs w:val="20"/>
          <w:shd w:val="clear" w:color="auto" w:fill="FFFFFF"/>
        </w:rPr>
        <w:t>Pawan Kumar v State of Haryana</w:t>
      </w:r>
      <w:r w:rsidRPr="00D140FF">
        <w:rPr>
          <w:rFonts w:eastAsia="Times New Roman"/>
          <w:color w:val="212121"/>
          <w:spacing w:val="3"/>
          <w:sz w:val="20"/>
          <w:szCs w:val="20"/>
          <w:shd w:val="clear" w:color="auto" w:fill="FFFFFF"/>
        </w:rPr>
        <w:t xml:space="preserve"> (2003) 11 SCC 241.</w:t>
      </w:r>
    </w:p>
  </w:footnote>
  <w:footnote w:id="130">
    <w:p w14:paraId="1A23765E" w14:textId="602677D1" w:rsidR="004A3640" w:rsidRPr="00D140FF" w:rsidRDefault="004A3640" w:rsidP="00D140FF">
      <w:pPr>
        <w:widowControl w:val="0"/>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i/>
          <w:iCs/>
          <w:color w:val="000000"/>
          <w:sz w:val="20"/>
          <w:szCs w:val="20"/>
        </w:rPr>
        <w:t xml:space="preserve">Court on its Own Motion v State of Himachal Pradesh </w:t>
      </w:r>
      <w:r w:rsidRPr="00D140FF">
        <w:rPr>
          <w:color w:val="000000"/>
          <w:sz w:val="20"/>
          <w:szCs w:val="20"/>
        </w:rPr>
        <w:t>(Judgment 6 February 2014).</w:t>
      </w:r>
    </w:p>
  </w:footnote>
  <w:footnote w:id="131">
    <w:p w14:paraId="69A8E0E5" w14:textId="3ECF7BBF"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Tribunal on its Own Motion v Secretary, MoEF </w:t>
      </w:r>
      <w:r w:rsidRPr="00913545">
        <w:rPr>
          <w:rFonts w:ascii="Times New Roman" w:hAnsi="Times New Roman" w:cs="Times New Roman"/>
          <w:color w:val="000000"/>
        </w:rPr>
        <w:t>(Judgment 4 April 2014).</w:t>
      </w:r>
    </w:p>
  </w:footnote>
  <w:footnote w:id="132">
    <w:p w14:paraId="09FF1C19" w14:textId="38CB1AAA"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Tribunal on its Own Motion v Government of NCT, Delhi </w:t>
      </w:r>
      <w:r w:rsidRPr="00913545">
        <w:rPr>
          <w:rFonts w:ascii="Times New Roman" w:hAnsi="Times New Roman" w:cs="Times New Roman"/>
          <w:color w:val="000000"/>
        </w:rPr>
        <w:t>Order, 19 June 2015.</w:t>
      </w:r>
    </w:p>
  </w:footnote>
  <w:footnote w:id="133">
    <w:p w14:paraId="663FCB38" w14:textId="10E42109"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Tribunal on its Own Motion v Union of India </w:t>
      </w:r>
      <w:r w:rsidRPr="00913545">
        <w:rPr>
          <w:rFonts w:ascii="Times New Roman" w:hAnsi="Times New Roman" w:cs="Times New Roman"/>
          <w:color w:val="000000"/>
        </w:rPr>
        <w:t>2013 SCC Online 1095.</w:t>
      </w:r>
    </w:p>
  </w:footnote>
  <w:footnote w:id="134">
    <w:p w14:paraId="000E8F85" w14:textId="269467A2"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lang w:eastAsia="en-US"/>
        </w:rPr>
      </w:pPr>
      <w:r w:rsidRPr="00D140FF">
        <w:rPr>
          <w:rStyle w:val="FootnoteReference"/>
          <w:sz w:val="20"/>
          <w:szCs w:val="20"/>
        </w:rPr>
        <w:footnoteRef/>
      </w:r>
      <w:r w:rsidRPr="00D140FF">
        <w:rPr>
          <w:sz w:val="20"/>
          <w:szCs w:val="20"/>
        </w:rPr>
        <w:t xml:space="preserve"> </w:t>
      </w:r>
      <w:r w:rsidRPr="00D140FF">
        <w:rPr>
          <w:rFonts w:eastAsia="Times New Roman"/>
          <w:sz w:val="20"/>
          <w:szCs w:val="20"/>
        </w:rPr>
        <w:t xml:space="preserve">downtoearth.org.in (2014).  Statement made by the then Chairperson, Justice Swatanter Kumar. Also see </w:t>
      </w:r>
      <w:r w:rsidRPr="00D140FF">
        <w:rPr>
          <w:i/>
          <w:iCs/>
          <w:color w:val="000000"/>
          <w:sz w:val="20"/>
          <w:szCs w:val="20"/>
          <w:lang w:eastAsia="en-US"/>
        </w:rPr>
        <w:t xml:space="preserve">Tribunal on its Own Motion v District Collector, Sivaganga District </w:t>
      </w:r>
      <w:r w:rsidRPr="00D140FF">
        <w:rPr>
          <w:color w:val="000000"/>
          <w:sz w:val="20"/>
          <w:szCs w:val="20"/>
          <w:lang w:eastAsia="en-US"/>
        </w:rPr>
        <w:t xml:space="preserve">2014 SCC OnLine 1450 to prevent pollution of the Sambai; </w:t>
      </w:r>
      <w:r w:rsidRPr="00D140FF">
        <w:rPr>
          <w:i/>
          <w:iCs/>
          <w:color w:val="000000"/>
          <w:sz w:val="20"/>
          <w:szCs w:val="20"/>
          <w:lang w:eastAsia="en-US"/>
        </w:rPr>
        <w:t xml:space="preserve">Tribunal on its Own Motion v Union of India </w:t>
      </w:r>
      <w:r w:rsidRPr="00D140FF">
        <w:rPr>
          <w:color w:val="000000"/>
          <w:sz w:val="20"/>
          <w:szCs w:val="20"/>
          <w:lang w:eastAsia="en-US"/>
        </w:rPr>
        <w:t xml:space="preserve">2014 SCC OnLine 1433 on a news item published in </w:t>
      </w:r>
      <w:r w:rsidRPr="00D140FF">
        <w:rPr>
          <w:i/>
          <w:iCs/>
          <w:color w:val="000000"/>
          <w:sz w:val="20"/>
          <w:szCs w:val="20"/>
          <w:lang w:eastAsia="en-US"/>
        </w:rPr>
        <w:t xml:space="preserve">The Hindu </w:t>
      </w:r>
      <w:r w:rsidRPr="00D140FF">
        <w:rPr>
          <w:color w:val="000000"/>
          <w:sz w:val="20"/>
          <w:szCs w:val="20"/>
          <w:lang w:eastAsia="en-US"/>
        </w:rPr>
        <w:t xml:space="preserve">dated 21 November 2013 under the caption ‘Plan for stadium at Tirupathi raises eyebrows’; </w:t>
      </w:r>
      <w:r w:rsidRPr="00D140FF">
        <w:rPr>
          <w:i/>
          <w:iCs/>
          <w:color w:val="000000"/>
          <w:sz w:val="20"/>
          <w:szCs w:val="20"/>
          <w:lang w:eastAsia="en-US"/>
        </w:rPr>
        <w:t xml:space="preserve">Tribunal on its Own Motion v Union of India </w:t>
      </w:r>
      <w:r w:rsidRPr="00D140FF">
        <w:rPr>
          <w:color w:val="000000"/>
          <w:sz w:val="20"/>
          <w:szCs w:val="20"/>
          <w:lang w:eastAsia="en-US"/>
        </w:rPr>
        <w:t xml:space="preserve">2014 SCC OnLine 2352 about ‘Setting up of petrol bunk in Sathyamangalam Reserve forest’ published in </w:t>
      </w:r>
      <w:r w:rsidRPr="00D140FF">
        <w:rPr>
          <w:i/>
          <w:iCs/>
          <w:color w:val="000000"/>
          <w:sz w:val="20"/>
          <w:szCs w:val="20"/>
          <w:lang w:eastAsia="en-US"/>
        </w:rPr>
        <w:t>The Hindu</w:t>
      </w:r>
      <w:r w:rsidRPr="00D140FF">
        <w:rPr>
          <w:color w:val="000000"/>
          <w:sz w:val="20"/>
          <w:szCs w:val="20"/>
          <w:lang w:eastAsia="en-US"/>
        </w:rPr>
        <w:t xml:space="preserve">, dated 1 August 2013; </w:t>
      </w:r>
      <w:r w:rsidRPr="00D140FF">
        <w:rPr>
          <w:i/>
          <w:iCs/>
          <w:color w:val="000000"/>
          <w:sz w:val="20"/>
          <w:szCs w:val="20"/>
          <w:lang w:eastAsia="en-US"/>
        </w:rPr>
        <w:t xml:space="preserve">Tribunal on its Own Motion v The Secretary, MoEF </w:t>
      </w:r>
      <w:r w:rsidRPr="00D140FF">
        <w:rPr>
          <w:color w:val="000000"/>
          <w:sz w:val="20"/>
          <w:szCs w:val="20"/>
          <w:lang w:eastAsia="en-US"/>
        </w:rPr>
        <w:t xml:space="preserve">2013 SCC OnLine 1086 regarding unauthorised constructions in Muttukadu coastal zone, report in </w:t>
      </w:r>
      <w:r w:rsidRPr="00D140FF">
        <w:rPr>
          <w:i/>
          <w:iCs/>
          <w:color w:val="000000"/>
          <w:sz w:val="20"/>
          <w:szCs w:val="20"/>
          <w:lang w:eastAsia="en-US"/>
        </w:rPr>
        <w:t xml:space="preserve">New Indian Express </w:t>
      </w:r>
      <w:r w:rsidRPr="00D140FF">
        <w:rPr>
          <w:color w:val="000000"/>
          <w:sz w:val="20"/>
          <w:szCs w:val="20"/>
          <w:lang w:eastAsia="en-US"/>
        </w:rPr>
        <w:t xml:space="preserve">dated 7 July 2013; </w:t>
      </w:r>
      <w:r w:rsidRPr="00D140FF">
        <w:rPr>
          <w:i/>
          <w:iCs/>
          <w:color w:val="000000"/>
          <w:sz w:val="20"/>
          <w:szCs w:val="20"/>
          <w:lang w:eastAsia="en-US"/>
        </w:rPr>
        <w:t xml:space="preserve">Tribunal on its Own Motion v State of Tamil Nadu, Municipal Administration and Water Supply Department </w:t>
      </w:r>
      <w:r w:rsidRPr="00D140FF">
        <w:rPr>
          <w:color w:val="000000"/>
          <w:sz w:val="20"/>
          <w:szCs w:val="20"/>
          <w:lang w:eastAsia="en-US"/>
        </w:rPr>
        <w:t>2013 SCC Online 1105 regarding quality water to be delivered by public tap, based on letter dated 24 July 2013 from Shri Ramchandra Srivatsav.</w:t>
      </w:r>
    </w:p>
  </w:footnote>
  <w:footnote w:id="135">
    <w:p w14:paraId="671A6884" w14:textId="3EBC91F4"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i/>
          <w:iCs/>
        </w:rPr>
        <w:t>Minerva Mills Ltd. v Union of India</w:t>
      </w:r>
      <w:r w:rsidRPr="00D140FF">
        <w:rPr>
          <w:rFonts w:ascii="Times New Roman" w:hAnsi="Times New Roman" w:cs="Times New Roman"/>
          <w:iCs/>
        </w:rPr>
        <w:t xml:space="preserve"> </w:t>
      </w:r>
      <w:r w:rsidRPr="00D140FF">
        <w:rPr>
          <w:rFonts w:ascii="Times New Roman" w:hAnsi="Times New Roman" w:cs="Times New Roman"/>
        </w:rPr>
        <w:t xml:space="preserve">AIR 1980 SC 1789. </w:t>
      </w:r>
      <w:r w:rsidRPr="00D140FF">
        <w:rPr>
          <w:rFonts w:ascii="Times New Roman" w:hAnsi="Times New Roman" w:cs="Times New Roman"/>
          <w:lang w:val="en-US"/>
        </w:rPr>
        <w:t>I</w:t>
      </w:r>
      <w:r w:rsidRPr="00D140FF">
        <w:rPr>
          <w:rFonts w:ascii="Times New Roman" w:hAnsi="Times New Roman" w:cs="Times New Roman"/>
        </w:rPr>
        <w:t>t is settled law that judicial review is a part of the basic</w:t>
      </w:r>
      <w:r w:rsidRPr="00D140FF">
        <w:rPr>
          <w:rFonts w:ascii="Times New Roman" w:hAnsi="Times New Roman" w:cs="Times New Roman"/>
          <w:color w:val="3B3B3B"/>
        </w:rPr>
        <w:t xml:space="preserve"> </w:t>
      </w:r>
      <w:r w:rsidRPr="00D140FF">
        <w:rPr>
          <w:rFonts w:ascii="Times New Roman" w:hAnsi="Times New Roman" w:cs="Times New Roman"/>
        </w:rPr>
        <w:t>structure of the Indian Constitution</w:t>
      </w:r>
      <w:r w:rsidRPr="00D140FF">
        <w:rPr>
          <w:rFonts w:ascii="Times New Roman" w:hAnsi="Times New Roman" w:cs="Times New Roman"/>
          <w:lang w:val="en-US"/>
        </w:rPr>
        <w:t xml:space="preserve"> which ‘cannot be abrogated without affecting the basic structure of the Constitution’.</w:t>
      </w:r>
    </w:p>
  </w:footnote>
  <w:footnote w:id="136">
    <w:p w14:paraId="31BD8285" w14:textId="7942E2DA"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Law Commission of India (2017), pp. 54-64.</w:t>
      </w:r>
    </w:p>
  </w:footnote>
  <w:footnote w:id="137">
    <w:p w14:paraId="69F7885E" w14:textId="1605CDCB"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(1997) 3 SCC 261.</w:t>
      </w:r>
    </w:p>
  </w:footnote>
  <w:footnote w:id="138">
    <w:p w14:paraId="223D7B8A" w14:textId="213D4758"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Ibid, p. 302.</w:t>
      </w:r>
    </w:p>
  </w:footnote>
  <w:footnote w:id="139">
    <w:p w14:paraId="19BAC9F1" w14:textId="3825154C" w:rsidR="004A3640" w:rsidRPr="00D140FF"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i/>
          <w:color w:val="1A1A1A"/>
        </w:rPr>
        <w:t>Wilfred J. v. Union of India</w:t>
      </w:r>
      <w:r w:rsidRPr="00D140FF">
        <w:rPr>
          <w:rFonts w:ascii="Times New Roman" w:hAnsi="Times New Roman" w:cs="Times New Roman"/>
          <w:color w:val="1A1A1A"/>
        </w:rPr>
        <w:t xml:space="preserve"> </w:t>
      </w:r>
      <w:r w:rsidRPr="00D140FF">
        <w:rPr>
          <w:rFonts w:ascii="Times New Roman" w:eastAsia="Times New Roman" w:hAnsi="Times New Roman" w:cs="Times New Roman"/>
        </w:rPr>
        <w:t xml:space="preserve">NGT Judgment 17 July 2014; </w:t>
      </w:r>
      <w:r w:rsidRPr="00D140FF">
        <w:rPr>
          <w:rFonts w:ascii="Times New Roman" w:eastAsia="Times New Roman" w:hAnsi="Times New Roman" w:cs="Times New Roman"/>
          <w:i/>
        </w:rPr>
        <w:t>Kalpvriksh v Union of India</w:t>
      </w:r>
      <w:r w:rsidRPr="00D140FF">
        <w:rPr>
          <w:rFonts w:ascii="Times New Roman" w:eastAsia="Times New Roman" w:hAnsi="Times New Roman" w:cs="Times New Roman"/>
        </w:rPr>
        <w:t xml:space="preserve"> 17 July 2014; </w:t>
      </w:r>
      <w:r w:rsidRPr="00D140FF">
        <w:rPr>
          <w:rFonts w:ascii="Times New Roman" w:hAnsi="Times New Roman" w:cs="Times New Roman"/>
          <w:i/>
          <w:color w:val="1A1A1A"/>
        </w:rPr>
        <w:t>S P Muthuraman v. Union of India</w:t>
      </w:r>
      <w:r w:rsidRPr="00D140FF">
        <w:rPr>
          <w:rFonts w:ascii="Times New Roman" w:hAnsi="Times New Roman" w:cs="Times New Roman"/>
          <w:color w:val="1A1A1A"/>
        </w:rPr>
        <w:t xml:space="preserve"> Judgment 1 September 2015; </w:t>
      </w:r>
      <w:r w:rsidRPr="00D140FF">
        <w:rPr>
          <w:rFonts w:ascii="Times New Roman" w:hAnsi="Times New Roman" w:cs="Times New Roman"/>
          <w:i/>
          <w:color w:val="1A1A1A"/>
        </w:rPr>
        <w:t>Himmat Singh Shekhawat v State of Rajasthan</w:t>
      </w:r>
      <w:r w:rsidRPr="00D140FF">
        <w:rPr>
          <w:rFonts w:ascii="Times New Roman" w:hAnsi="Times New Roman" w:cs="Times New Roman"/>
          <w:color w:val="1A1A1A"/>
        </w:rPr>
        <w:t xml:space="preserve"> Judgment 13 January 2015; </w:t>
      </w:r>
      <w:r w:rsidRPr="00D140FF">
        <w:rPr>
          <w:rFonts w:ascii="Times New Roman" w:hAnsi="Times New Roman" w:cs="Times New Roman"/>
          <w:i/>
          <w:color w:val="1A1A1A"/>
        </w:rPr>
        <w:t>Society for Protection of Biodiversity v Union of India Judgment</w:t>
      </w:r>
      <w:r w:rsidRPr="00D140FF">
        <w:rPr>
          <w:rFonts w:ascii="Times New Roman" w:hAnsi="Times New Roman" w:cs="Times New Roman"/>
          <w:color w:val="1A1A1A"/>
        </w:rPr>
        <w:t xml:space="preserve"> 8 November 2017</w:t>
      </w:r>
    </w:p>
  </w:footnote>
  <w:footnote w:id="140">
    <w:p w14:paraId="2B9DC868" w14:textId="26C7DDA3" w:rsidR="004A3640" w:rsidRPr="00D140FF" w:rsidRDefault="004A3640" w:rsidP="00D140FF">
      <w:pPr>
        <w:widowControl w:val="0"/>
        <w:tabs>
          <w:tab w:val="left" w:pos="220"/>
          <w:tab w:val="left" w:pos="720"/>
        </w:tabs>
        <w:autoSpaceDE w:val="0"/>
        <w:autoSpaceDN w:val="0"/>
        <w:adjustRightInd w:val="0"/>
        <w:spacing w:after="240" w:line="360" w:lineRule="auto"/>
        <w:rPr>
          <w:rFonts w:eastAsia="MS Mincho"/>
          <w:color w:val="000000"/>
          <w:sz w:val="20"/>
          <w:szCs w:val="20"/>
        </w:rPr>
      </w:pPr>
      <w:r w:rsidRPr="00D140FF">
        <w:rPr>
          <w:rStyle w:val="FootnoteReference"/>
          <w:sz w:val="20"/>
          <w:szCs w:val="20"/>
        </w:rPr>
        <w:footnoteRef/>
      </w:r>
      <w:r w:rsidRPr="00D140FF">
        <w:rPr>
          <w:sz w:val="20"/>
          <w:szCs w:val="20"/>
        </w:rPr>
        <w:t xml:space="preserve"> </w:t>
      </w:r>
      <w:r w:rsidRPr="00D140FF">
        <w:rPr>
          <w:color w:val="000000"/>
          <w:sz w:val="20"/>
          <w:szCs w:val="20"/>
        </w:rPr>
        <w:t xml:space="preserve">In </w:t>
      </w:r>
      <w:r w:rsidRPr="00D140FF">
        <w:rPr>
          <w:iCs/>
          <w:color w:val="000000"/>
          <w:sz w:val="20"/>
          <w:szCs w:val="20"/>
        </w:rPr>
        <w:t>Union of India v Major General</w:t>
      </w:r>
      <w:r w:rsidRPr="00D140FF">
        <w:rPr>
          <w:color w:val="3B3B3B"/>
          <w:sz w:val="20"/>
          <w:szCs w:val="20"/>
        </w:rPr>
        <w:t xml:space="preserve"> </w:t>
      </w:r>
      <w:r w:rsidRPr="00D140FF">
        <w:rPr>
          <w:iCs/>
          <w:color w:val="000000"/>
          <w:sz w:val="20"/>
          <w:szCs w:val="20"/>
        </w:rPr>
        <w:t>Shri Kant Sharma</w:t>
      </w:r>
      <w:r w:rsidRPr="00D140FF">
        <w:rPr>
          <w:i/>
          <w:iCs/>
          <w:color w:val="000000"/>
          <w:sz w:val="20"/>
          <w:szCs w:val="20"/>
        </w:rPr>
        <w:t xml:space="preserve"> </w:t>
      </w:r>
      <w:r w:rsidRPr="00D140FF">
        <w:rPr>
          <w:color w:val="000000"/>
          <w:sz w:val="20"/>
          <w:szCs w:val="20"/>
        </w:rPr>
        <w:t xml:space="preserve">(2015) 6 SCC 773 case, though it pertained to the Armed Forces Tribunal Act 2007, the Supreme Court observed “the jurisdiction of the High Court under Article 226 Constitution of India may not be circumscribed by the provisions of any enactment. However, due regard should be given to the legislative intent evidenced by provisions of the Acts and courts would exercise their jurisdiction consistent with the provisions of the Acts. When a statutory forum is created by law for redressal of grievances, a writ petition should not be entertained ignoring the statutory dispensation.” However, the value of this judgment has been questioned in the case of </w:t>
      </w:r>
      <w:r w:rsidRPr="00D140FF">
        <w:rPr>
          <w:i/>
          <w:color w:val="000000"/>
          <w:sz w:val="20"/>
          <w:szCs w:val="20"/>
        </w:rPr>
        <w:t>Union of India, v. Thomas Vaidyan M</w:t>
      </w:r>
      <w:r w:rsidRPr="00D140FF">
        <w:rPr>
          <w:color w:val="000000"/>
          <w:sz w:val="20"/>
          <w:szCs w:val="20"/>
        </w:rPr>
        <w:t xml:space="preserve"> (Civil Appeal No. 5327/2015, order dated 16.11.2015). The Supreme Court has observed that the jurisdictional aspect be considered by a three-Judge Bench as the matter involves some urgency. The issue is pending before the larger bench of the Supreme Court of India.</w:t>
      </w:r>
    </w:p>
  </w:footnote>
  <w:footnote w:id="141">
    <w:p w14:paraId="1813754A" w14:textId="265885A0"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Polanki (2014). </w:t>
      </w:r>
      <w:r w:rsidRPr="00D140FF">
        <w:rPr>
          <w:color w:val="000000"/>
          <w:sz w:val="20"/>
          <w:szCs w:val="20"/>
        </w:rPr>
        <w:t xml:space="preserve">Statement by environmental activists (who happen to be lawyers) Ritwick Dutta and Rahul Choudhary. </w:t>
      </w:r>
    </w:p>
  </w:footnote>
  <w:footnote w:id="142">
    <w:p w14:paraId="6DFCB815" w14:textId="1EE98D1C" w:rsidR="004A3640" w:rsidRPr="00913545" w:rsidRDefault="004A3640" w:rsidP="00D140FF">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eastAsia="Times New Roman" w:hAnsi="Times New Roman" w:cs="Times New Roman"/>
        </w:rPr>
        <w:t>Ibid.</w:t>
      </w:r>
    </w:p>
  </w:footnote>
  <w:footnote w:id="143">
    <w:p w14:paraId="3A81D097" w14:textId="1C6446E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Schein supra note 39</w:t>
      </w:r>
      <w:r w:rsidRPr="00913545">
        <w:rPr>
          <w:rFonts w:ascii="Times New Roman" w:hAnsi="Times New Roman" w:cs="Times New Roman"/>
        </w:rPr>
        <w:t>, p. 309.</w:t>
      </w:r>
    </w:p>
  </w:footnote>
  <w:footnote w:id="144">
    <w:p w14:paraId="77613CC3" w14:textId="3900F65B"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Sahu supra note 111</w:t>
      </w:r>
      <w:r w:rsidRPr="00913545">
        <w:rPr>
          <w:rFonts w:ascii="Times New Roman" w:hAnsi="Times New Roman" w:cs="Times New Roman"/>
        </w:rPr>
        <w:t>, p. 379.</w:t>
      </w:r>
    </w:p>
  </w:footnote>
  <w:footnote w:id="145">
    <w:p w14:paraId="7790CC7D" w14:textId="5C8E6C50"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Pr>
          <w:color w:val="000000"/>
          <w:sz w:val="20"/>
          <w:szCs w:val="20"/>
        </w:rPr>
        <w:t>Supra note 69</w:t>
      </w:r>
      <w:r w:rsidRPr="00913545">
        <w:rPr>
          <w:color w:val="000000"/>
          <w:sz w:val="20"/>
          <w:szCs w:val="20"/>
        </w:rPr>
        <w:t>.</w:t>
      </w:r>
    </w:p>
  </w:footnote>
  <w:footnote w:id="146">
    <w:p w14:paraId="390C25AC" w14:textId="057E8E81"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Ibid, Rule 12(1).</w:t>
      </w:r>
    </w:p>
  </w:footnote>
  <w:footnote w:id="147">
    <w:p w14:paraId="74CD7564" w14:textId="7EB962B3" w:rsidR="004A3640" w:rsidRPr="00913545" w:rsidRDefault="004A3640" w:rsidP="00D140FF">
      <w:pPr>
        <w:spacing w:line="360" w:lineRule="auto"/>
        <w:rPr>
          <w:rFonts w:eastAsia="Times New Roman"/>
          <w:sz w:val="20"/>
          <w:szCs w:val="20"/>
        </w:rPr>
      </w:pPr>
      <w:r w:rsidRPr="00913545">
        <w:rPr>
          <w:rStyle w:val="FootnoteReference"/>
          <w:sz w:val="20"/>
          <w:szCs w:val="20"/>
        </w:rPr>
        <w:footnoteRef/>
      </w:r>
      <w:r>
        <w:rPr>
          <w:sz w:val="20"/>
          <w:szCs w:val="20"/>
        </w:rPr>
        <w:t xml:space="preserve"> Supra note 70</w:t>
      </w:r>
      <w:r w:rsidRPr="00913545">
        <w:rPr>
          <w:sz w:val="20"/>
          <w:szCs w:val="20"/>
        </w:rPr>
        <w:t>.</w:t>
      </w:r>
    </w:p>
    <w:p w14:paraId="4A84A8DE" w14:textId="1EF44A88" w:rsidR="004A3640" w:rsidRPr="00913545" w:rsidRDefault="004A3640" w:rsidP="00D455AB">
      <w:pPr>
        <w:pStyle w:val="FootnoteText"/>
        <w:rPr>
          <w:rFonts w:ascii="Times New Roman" w:hAnsi="Times New Roman" w:cs="Times New Roman"/>
        </w:rPr>
      </w:pPr>
    </w:p>
  </w:footnote>
  <w:footnote w:id="148">
    <w:p w14:paraId="1C7C7D52" w14:textId="68653E2C"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Shrivastava (2012).</w:t>
      </w:r>
    </w:p>
  </w:footnote>
  <w:footnote w:id="149">
    <w:p w14:paraId="4C41D87F" w14:textId="4EA1D02A" w:rsidR="004A3640" w:rsidRPr="00913545" w:rsidRDefault="004A3640" w:rsidP="00D140FF">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w:t>
      </w:r>
      <w:r w:rsidRPr="00913545">
        <w:rPr>
          <w:rFonts w:eastAsia="Times New Roman"/>
          <w:i/>
          <w:iCs/>
          <w:color w:val="222222"/>
          <w:sz w:val="20"/>
          <w:szCs w:val="20"/>
          <w:shd w:val="clear" w:color="auto" w:fill="FFFFFF"/>
        </w:rPr>
        <w:t>Union of India versus Vimal Bhai (SLP No 12065 of 2009).</w:t>
      </w:r>
    </w:p>
    <w:p w14:paraId="78C5F298" w14:textId="4D1CF514" w:rsidR="004A3640" w:rsidRPr="00913545" w:rsidRDefault="004A3640" w:rsidP="00D455AB">
      <w:pPr>
        <w:pStyle w:val="FootnoteText"/>
        <w:rPr>
          <w:rFonts w:ascii="Times New Roman" w:hAnsi="Times New Roman" w:cs="Times New Roman"/>
        </w:rPr>
      </w:pPr>
    </w:p>
  </w:footnote>
  <w:footnote w:id="150">
    <w:p w14:paraId="591A6204" w14:textId="30BBC595"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legalindia.com (2012).</w:t>
      </w:r>
    </w:p>
  </w:footnote>
  <w:footnote w:id="151">
    <w:p w14:paraId="4B3B5182" w14:textId="2E97B54E"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152">
    <w:p w14:paraId="4F3393FE" w14:textId="0D133274" w:rsidR="004A3640" w:rsidRPr="00913545" w:rsidRDefault="004A3640" w:rsidP="00D140FF">
      <w:pPr>
        <w:pStyle w:val="FootnoteText"/>
        <w:spacing w:line="360" w:lineRule="auto"/>
        <w:rPr>
          <w:rFonts w:ascii="Times New Roman" w:hAnsi="Times New Roman" w:cs="Times New Roman"/>
          <w:color w:val="000000" w:themeColor="text1"/>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w:t>
      </w:r>
      <w:r w:rsidRPr="00913545">
        <w:rPr>
          <w:rFonts w:ascii="Times New Roman" w:hAnsi="Times New Roman" w:cs="Times New Roman"/>
          <w:color w:val="000000" w:themeColor="text1"/>
        </w:rPr>
        <w:t>bid.</w:t>
      </w:r>
    </w:p>
  </w:footnote>
  <w:footnote w:id="153">
    <w:p w14:paraId="119A8660" w14:textId="348339B3" w:rsidR="004A3640" w:rsidRPr="00913545" w:rsidRDefault="004A3640" w:rsidP="00D140FF">
      <w:pPr>
        <w:pStyle w:val="FootnoteText"/>
        <w:spacing w:line="360" w:lineRule="auto"/>
        <w:rPr>
          <w:rFonts w:ascii="Times New Roman" w:hAnsi="Times New Roman" w:cs="Times New Roman"/>
          <w:color w:val="000000" w:themeColor="text1"/>
        </w:rPr>
      </w:pPr>
      <w:r w:rsidRPr="00913545">
        <w:rPr>
          <w:rStyle w:val="FootnoteReference"/>
          <w:rFonts w:ascii="Times New Roman" w:hAnsi="Times New Roman" w:cs="Times New Roman"/>
          <w:color w:val="000000" w:themeColor="text1"/>
        </w:rPr>
        <w:footnoteRef/>
      </w:r>
      <w:r w:rsidRPr="00913545">
        <w:rPr>
          <w:rFonts w:ascii="Times New Roman" w:hAnsi="Times New Roman" w:cs="Times New Roman"/>
          <w:color w:val="000000" w:themeColor="text1"/>
        </w:rPr>
        <w:t xml:space="preserve"> </w:t>
      </w:r>
      <w:r w:rsidRPr="00913545">
        <w:rPr>
          <w:rFonts w:ascii="Times New Roman" w:eastAsia="Times New Roman" w:hAnsi="Times New Roman" w:cs="Times New Roman"/>
          <w:iCs/>
          <w:color w:val="000000" w:themeColor="text1"/>
          <w:shd w:val="clear" w:color="auto" w:fill="FFFFFF"/>
        </w:rPr>
        <w:t>Mahapatra (2013).</w:t>
      </w:r>
    </w:p>
  </w:footnote>
  <w:footnote w:id="154">
    <w:p w14:paraId="61566272" w14:textId="29494C4A" w:rsidR="004A3640" w:rsidRPr="00913545" w:rsidRDefault="004A3640" w:rsidP="00D140FF">
      <w:pPr>
        <w:pStyle w:val="FootnoteText"/>
        <w:spacing w:line="360" w:lineRule="auto"/>
        <w:rPr>
          <w:rFonts w:ascii="Times New Roman" w:hAnsi="Times New Roman" w:cs="Times New Roman"/>
          <w:color w:val="000000" w:themeColor="text1"/>
        </w:rPr>
      </w:pPr>
      <w:r w:rsidRPr="00913545">
        <w:rPr>
          <w:rStyle w:val="FootnoteReference"/>
          <w:rFonts w:ascii="Times New Roman" w:hAnsi="Times New Roman" w:cs="Times New Roman"/>
          <w:color w:val="000000" w:themeColor="text1"/>
        </w:rPr>
        <w:footnoteRef/>
      </w:r>
      <w:r w:rsidRPr="00913545">
        <w:rPr>
          <w:rFonts w:ascii="Times New Roman" w:hAnsi="Times New Roman" w:cs="Times New Roman"/>
          <w:color w:val="000000" w:themeColor="text1"/>
        </w:rPr>
        <w:t xml:space="preserve"> Rediff.com (2011).</w:t>
      </w:r>
    </w:p>
  </w:footnote>
  <w:footnote w:id="155">
    <w:p w14:paraId="4E35584E" w14:textId="7C007890" w:rsidR="004A3640" w:rsidRPr="00913545" w:rsidRDefault="004A3640" w:rsidP="00D140FF">
      <w:pPr>
        <w:pStyle w:val="FootnoteText"/>
        <w:spacing w:line="360" w:lineRule="auto"/>
        <w:rPr>
          <w:rFonts w:ascii="Times New Roman" w:hAnsi="Times New Roman" w:cs="Times New Roman"/>
          <w:color w:val="000000" w:themeColor="text1"/>
        </w:rPr>
      </w:pPr>
      <w:r w:rsidRPr="00913545">
        <w:rPr>
          <w:rStyle w:val="FootnoteReference"/>
          <w:rFonts w:ascii="Times New Roman" w:hAnsi="Times New Roman" w:cs="Times New Roman"/>
          <w:color w:val="000000" w:themeColor="text1"/>
        </w:rPr>
        <w:footnoteRef/>
      </w:r>
      <w:r w:rsidRPr="00913545">
        <w:rPr>
          <w:rFonts w:ascii="Times New Roman" w:hAnsi="Times New Roman" w:cs="Times New Roman"/>
          <w:color w:val="000000" w:themeColor="text1"/>
        </w:rPr>
        <w:t xml:space="preserve"> Lenin (2011).</w:t>
      </w:r>
    </w:p>
  </w:footnote>
  <w:footnote w:id="156">
    <w:p w14:paraId="0FCDAAFF" w14:textId="391E29AB"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color w:val="000000" w:themeColor="text1"/>
        </w:rPr>
        <w:footnoteRef/>
      </w:r>
      <w:r w:rsidRPr="00913545">
        <w:rPr>
          <w:rFonts w:ascii="Times New Roman" w:hAnsi="Times New Roman" w:cs="Times New Roman"/>
          <w:color w:val="000000" w:themeColor="text1"/>
        </w:rPr>
        <w:t xml:space="preserve"> </w:t>
      </w:r>
      <w:r w:rsidRPr="00913545">
        <w:rPr>
          <w:rFonts w:ascii="Times New Roman" w:eastAsia="Times New Roman" w:hAnsi="Times New Roman" w:cs="Times New Roman"/>
          <w:color w:val="000000" w:themeColor="text1"/>
          <w:shd w:val="clear" w:color="auto" w:fill="FFFFFF"/>
          <w:lang w:eastAsia="en-GB"/>
        </w:rPr>
        <w:t>Ramesh was moved to the Rural Development ministry in 2011. Reports suggest that he had upset many in government and the business lobby especially because of the controversial mega-projects such as POSCO, Vedanta, Lavasa and Navi Mumbai Airport. See Padma (2011).</w:t>
      </w:r>
    </w:p>
  </w:footnote>
  <w:footnote w:id="157">
    <w:p w14:paraId="2539F7CA" w14:textId="5849BC5D" w:rsidR="004A3640" w:rsidRPr="00913545" w:rsidRDefault="004A3640" w:rsidP="00D140FF">
      <w:pPr>
        <w:spacing w:line="360" w:lineRule="auto"/>
        <w:rPr>
          <w:rFonts w:eastAsia="Times New Roman"/>
          <w:sz w:val="20"/>
          <w:szCs w:val="20"/>
        </w:rPr>
      </w:pPr>
      <w:r w:rsidRPr="00913545">
        <w:rPr>
          <w:rStyle w:val="FootnoteReference"/>
          <w:sz w:val="20"/>
          <w:szCs w:val="20"/>
        </w:rPr>
        <w:footnoteRef/>
      </w:r>
      <w:r w:rsidRPr="00913545">
        <w:rPr>
          <w:sz w:val="20"/>
          <w:szCs w:val="20"/>
        </w:rPr>
        <w:t xml:space="preserve"> Anand (2013). </w:t>
      </w:r>
      <w:r w:rsidRPr="00913545">
        <w:rPr>
          <w:rFonts w:eastAsia="Times New Roman"/>
          <w:color w:val="000000"/>
          <w:sz w:val="20"/>
          <w:szCs w:val="20"/>
          <w:shd w:val="clear" w:color="auto" w:fill="FFFFFF"/>
        </w:rPr>
        <w:t>An affidavit was filed by the MoEF Deputy Secretary R K Agrawal. However, the affidavit invited the annoyance of the Supreme Court as it described it as ‘breach of all norms of decency’.</w:t>
      </w:r>
    </w:p>
    <w:p w14:paraId="32214353" w14:textId="203826EC" w:rsidR="004A3640" w:rsidRPr="00913545" w:rsidRDefault="004A3640" w:rsidP="00D455AB">
      <w:pPr>
        <w:pStyle w:val="FootnoteText"/>
        <w:rPr>
          <w:rFonts w:ascii="Times New Roman" w:hAnsi="Times New Roman" w:cs="Times New Roman"/>
        </w:rPr>
      </w:pPr>
    </w:p>
  </w:footnote>
  <w:footnote w:id="158">
    <w:p w14:paraId="7559D4A9" w14:textId="1FCC1AA6"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Timesofindia.com (2014).</w:t>
      </w:r>
    </w:p>
  </w:footnote>
  <w:footnote w:id="159">
    <w:p w14:paraId="1E053B44" w14:textId="72BDB40B"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P Sundarajan v Deputy Registrar NGT </w:t>
      </w:r>
      <w:r w:rsidRPr="00913545">
        <w:rPr>
          <w:rFonts w:ascii="Times New Roman" w:hAnsi="Times New Roman" w:cs="Times New Roman"/>
          <w:color w:val="000000"/>
        </w:rPr>
        <w:t>(2015) 4 LW 23, p. 27.</w:t>
      </w:r>
    </w:p>
  </w:footnote>
  <w:footnote w:id="160">
    <w:p w14:paraId="14116254" w14:textId="17D65E2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Judgment in W. P. No. 6360 of 2015 decided on 28-09-2016.</w:t>
      </w:r>
    </w:p>
  </w:footnote>
  <w:footnote w:id="161">
    <w:p w14:paraId="5B88788E" w14:textId="43D98B27" w:rsidR="004A3640" w:rsidRPr="00913545" w:rsidRDefault="004A3640" w:rsidP="00D140FF">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color w:val="000000"/>
          <w:sz w:val="20"/>
          <w:szCs w:val="20"/>
        </w:rPr>
        <w:t>For example, constitutional law expert Rajeev Dhawan states ‘. . . the NGT cannot</w:t>
      </w:r>
      <w:r w:rsidRPr="00913545">
        <w:rPr>
          <w:color w:val="3B3B3B"/>
          <w:sz w:val="20"/>
          <w:szCs w:val="20"/>
        </w:rPr>
        <w:t xml:space="preserve"> </w:t>
      </w:r>
      <w:r w:rsidRPr="00913545">
        <w:rPr>
          <w:color w:val="000000"/>
          <w:sz w:val="20"/>
          <w:szCs w:val="20"/>
        </w:rPr>
        <w:t>strike down a statute. It can only examine the decisions that are taken and consider if they are in compliance with the three principles laid down in Section 20 of the Act.’ Also see, Rediff.com (2013). Justice Ruma Pal, former judge of the Supreme Court of India, questioned: ‘Who do we include within the term “judiciary”? Is it limited to constitutional courts or does it also include those Tribunals which decide rights and merely</w:t>
      </w:r>
      <w:r>
        <w:rPr>
          <w:color w:val="000000"/>
          <w:sz w:val="20"/>
          <w:szCs w:val="20"/>
        </w:rPr>
        <w:t xml:space="preserve"> have the trappings of a court?</w:t>
      </w:r>
    </w:p>
    <w:p w14:paraId="37D922DC" w14:textId="0DBB0A58" w:rsidR="004A3640" w:rsidRPr="00913545" w:rsidRDefault="004A3640" w:rsidP="00D455AB">
      <w:pPr>
        <w:pStyle w:val="FootnoteText"/>
        <w:rPr>
          <w:rFonts w:ascii="Times New Roman" w:hAnsi="Times New Roman" w:cs="Times New Roman"/>
        </w:rPr>
      </w:pPr>
    </w:p>
  </w:footnote>
  <w:footnote w:id="162">
    <w:p w14:paraId="5EBF3F4F" w14:textId="3E7EDA8D"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Schein supra note 39</w:t>
      </w:r>
      <w:r w:rsidRPr="00913545">
        <w:rPr>
          <w:rFonts w:ascii="Times New Roman" w:hAnsi="Times New Roman" w:cs="Times New Roman"/>
        </w:rPr>
        <w:t>, p.</w:t>
      </w:r>
      <w:r>
        <w:rPr>
          <w:rFonts w:ascii="Times New Roman" w:hAnsi="Times New Roman" w:cs="Times New Roman"/>
        </w:rPr>
        <w:t xml:space="preserve"> </w:t>
      </w:r>
      <w:r w:rsidRPr="00913545">
        <w:rPr>
          <w:rFonts w:ascii="Times New Roman" w:hAnsi="Times New Roman" w:cs="Times New Roman"/>
        </w:rPr>
        <w:t>311.</w:t>
      </w:r>
    </w:p>
  </w:footnote>
  <w:footnote w:id="163">
    <w:p w14:paraId="1D616BF7" w14:textId="52DCCC44"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164">
    <w:p w14:paraId="57DF3D8C" w14:textId="7B9521BE"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165">
    <w:p w14:paraId="4D51FCBB" w14:textId="5A9C3892"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UNDP (2014) p 13; </w:t>
      </w:r>
      <w:r>
        <w:rPr>
          <w:rFonts w:ascii="Times New Roman" w:eastAsia="Times New Roman" w:hAnsi="Times New Roman" w:cs="Times New Roman"/>
          <w:lang w:eastAsia="en-GB"/>
        </w:rPr>
        <w:t>See also the commendations, pp.</w:t>
      </w:r>
      <w:r w:rsidRPr="00913545">
        <w:rPr>
          <w:rFonts w:ascii="Times New Roman" w:eastAsia="Times New Roman" w:hAnsi="Times New Roman" w:cs="Times New Roman"/>
          <w:lang w:eastAsia="en-GB"/>
        </w:rPr>
        <w:t xml:space="preserve"> 1</w:t>
      </w:r>
      <w:r>
        <w:rPr>
          <w:rFonts w:ascii="Times New Roman" w:eastAsia="Times New Roman" w:hAnsi="Times New Roman" w:cs="Times New Roman"/>
          <w:lang w:eastAsia="en-GB"/>
        </w:rPr>
        <w:t>-2</w:t>
      </w:r>
      <w:r w:rsidRPr="00913545">
        <w:rPr>
          <w:rFonts w:ascii="Times New Roman" w:eastAsia="Times New Roman" w:hAnsi="Times New Roman" w:cs="Times New Roman"/>
          <w:lang w:eastAsia="en-GB"/>
        </w:rPr>
        <w:t xml:space="preserve"> of this article.</w:t>
      </w:r>
    </w:p>
  </w:footnote>
  <w:footnote w:id="166">
    <w:p w14:paraId="1C1B251E" w14:textId="627EF628"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iucn.org (2018).</w:t>
      </w:r>
    </w:p>
  </w:footnote>
  <w:footnote w:id="167">
    <w:p w14:paraId="42253DB7" w14:textId="3BB64714"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Judgment 6 September 2014.</w:t>
      </w:r>
    </w:p>
  </w:footnote>
  <w:footnote w:id="168">
    <w:p w14:paraId="503A3F21" w14:textId="5AD1AF58"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Judgment 28 November 2013.</w:t>
      </w:r>
    </w:p>
  </w:footnote>
  <w:footnote w:id="169">
    <w:p w14:paraId="0C66EDBA" w14:textId="0BBC411F" w:rsidR="004A3640" w:rsidRPr="00D140FF" w:rsidRDefault="004A3640" w:rsidP="00D140FF">
      <w:pPr>
        <w:widowControl w:val="0"/>
        <w:tabs>
          <w:tab w:val="left" w:pos="220"/>
          <w:tab w:val="left" w:pos="720"/>
        </w:tabs>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See also </w:t>
      </w:r>
      <w:r w:rsidRPr="00913545">
        <w:rPr>
          <w:i/>
          <w:iCs/>
          <w:color w:val="000000"/>
          <w:sz w:val="20"/>
          <w:szCs w:val="20"/>
        </w:rPr>
        <w:t xml:space="preserve">T Muruganandam v MoEF </w:t>
      </w:r>
      <w:r w:rsidRPr="00913545">
        <w:rPr>
          <w:color w:val="000000"/>
          <w:sz w:val="20"/>
          <w:szCs w:val="20"/>
        </w:rPr>
        <w:t xml:space="preserve">Judgment 11 November 2014; </w:t>
      </w:r>
      <w:r w:rsidRPr="00913545">
        <w:rPr>
          <w:i/>
          <w:iCs/>
          <w:color w:val="000000"/>
          <w:sz w:val="20"/>
          <w:szCs w:val="20"/>
        </w:rPr>
        <w:t>Samata v Union of India</w:t>
      </w:r>
      <w:r w:rsidRPr="00913545">
        <w:rPr>
          <w:iCs/>
          <w:color w:val="000000"/>
          <w:sz w:val="20"/>
          <w:szCs w:val="20"/>
        </w:rPr>
        <w:t xml:space="preserve"> Judgment 13. December 2013; </w:t>
      </w:r>
      <w:r w:rsidRPr="00913545">
        <w:rPr>
          <w:i/>
          <w:iCs/>
          <w:color w:val="000000"/>
          <w:sz w:val="20"/>
          <w:szCs w:val="20"/>
        </w:rPr>
        <w:t>M/S Ardent Steel Ltd v Union of India</w:t>
      </w:r>
      <w:r w:rsidRPr="00913545">
        <w:rPr>
          <w:iCs/>
          <w:color w:val="000000"/>
          <w:sz w:val="20"/>
          <w:szCs w:val="20"/>
        </w:rPr>
        <w:t xml:space="preserve"> Judgment 27 May 2014; </w:t>
      </w:r>
      <w:r w:rsidRPr="00913545">
        <w:rPr>
          <w:i/>
          <w:iCs/>
          <w:color w:val="000000"/>
          <w:sz w:val="20"/>
          <w:szCs w:val="20"/>
        </w:rPr>
        <w:t xml:space="preserve">Pathankot Welfare Association v State of Punjab Judgment </w:t>
      </w:r>
      <w:r w:rsidRPr="00913545">
        <w:rPr>
          <w:iCs/>
          <w:color w:val="000000"/>
          <w:sz w:val="20"/>
          <w:szCs w:val="20"/>
        </w:rPr>
        <w:t>25 November 2014.</w:t>
      </w:r>
    </w:p>
  </w:footnote>
  <w:footnote w:id="170">
    <w:p w14:paraId="4F778F96" w14:textId="3A9F594E"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i/>
          <w:iCs/>
          <w:color w:val="000000"/>
        </w:rPr>
        <w:t xml:space="preserve">Sarpanch, Grampanchayat Tiroda v State of Maharashtra </w:t>
      </w:r>
      <w:r w:rsidRPr="00913545">
        <w:rPr>
          <w:rFonts w:ascii="Times New Roman" w:hAnsi="Times New Roman" w:cs="Times New Roman"/>
          <w:color w:val="000000"/>
        </w:rPr>
        <w:t xml:space="preserve">Judgment 12 September 2011; </w:t>
      </w:r>
      <w:r w:rsidRPr="00913545">
        <w:rPr>
          <w:rFonts w:ascii="Times New Roman" w:hAnsi="Times New Roman" w:cs="Times New Roman"/>
          <w:i/>
          <w:iCs/>
          <w:color w:val="000000"/>
        </w:rPr>
        <w:t xml:space="preserve">Jan Chetna v MoEF </w:t>
      </w:r>
      <w:r w:rsidRPr="00913545">
        <w:rPr>
          <w:rFonts w:ascii="Times New Roman" w:hAnsi="Times New Roman" w:cs="Times New Roman"/>
          <w:color w:val="000000"/>
        </w:rPr>
        <w:t xml:space="preserve">Judgment 9 February 2012; </w:t>
      </w:r>
      <w:r w:rsidRPr="00913545">
        <w:rPr>
          <w:rFonts w:ascii="Times New Roman" w:hAnsi="Times New Roman" w:cs="Times New Roman"/>
          <w:i/>
          <w:iCs/>
          <w:color w:val="000000"/>
        </w:rPr>
        <w:t xml:space="preserve">Prafulla Samantray v Union of India </w:t>
      </w:r>
      <w:r w:rsidRPr="00913545">
        <w:rPr>
          <w:rFonts w:ascii="Times New Roman" w:hAnsi="Times New Roman" w:cs="Times New Roman"/>
          <w:color w:val="000000"/>
        </w:rPr>
        <w:t xml:space="preserve">Judgment 30 March 2012; </w:t>
      </w:r>
      <w:r w:rsidRPr="00913545">
        <w:rPr>
          <w:rFonts w:ascii="Times New Roman" w:hAnsi="Times New Roman" w:cs="Times New Roman"/>
          <w:i/>
          <w:iCs/>
          <w:color w:val="000000"/>
        </w:rPr>
        <w:t xml:space="preserve">Adivasi Mazdoor Kisan Ekta Sangathan v MoEF </w:t>
      </w:r>
      <w:r w:rsidRPr="00913545">
        <w:rPr>
          <w:rFonts w:ascii="Times New Roman" w:hAnsi="Times New Roman" w:cs="Times New Roman"/>
          <w:color w:val="000000"/>
        </w:rPr>
        <w:t xml:space="preserve">Judgment 20 April 2012; </w:t>
      </w:r>
      <w:r w:rsidRPr="00913545">
        <w:rPr>
          <w:rFonts w:ascii="Times New Roman" w:hAnsi="Times New Roman" w:cs="Times New Roman"/>
          <w:i/>
          <w:iCs/>
          <w:color w:val="000000"/>
        </w:rPr>
        <w:t xml:space="preserve">Osie Fernandes v MoEF </w:t>
      </w:r>
      <w:r w:rsidRPr="00913545">
        <w:rPr>
          <w:rFonts w:ascii="Times New Roman" w:hAnsi="Times New Roman" w:cs="Times New Roman"/>
          <w:color w:val="000000"/>
        </w:rPr>
        <w:t xml:space="preserve">Judgment 30 May 2012; </w:t>
      </w:r>
      <w:r w:rsidRPr="00913545">
        <w:rPr>
          <w:rFonts w:ascii="Times New Roman" w:hAnsi="Times New Roman" w:cs="Times New Roman"/>
          <w:i/>
          <w:iCs/>
          <w:color w:val="000000"/>
        </w:rPr>
        <w:t xml:space="preserve">Rohit Choudhary v Union of India </w:t>
      </w:r>
      <w:r w:rsidRPr="00913545">
        <w:rPr>
          <w:rFonts w:ascii="Times New Roman" w:hAnsi="Times New Roman" w:cs="Times New Roman"/>
          <w:color w:val="000000"/>
        </w:rPr>
        <w:t>Judgment 7 September 2012.</w:t>
      </w:r>
    </w:p>
  </w:footnote>
  <w:footnote w:id="171">
    <w:p w14:paraId="3C4CB976" w14:textId="0E31DA28" w:rsidR="004A3640" w:rsidRPr="00913545" w:rsidRDefault="004A3640" w:rsidP="00D140FF">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Judgment 18 February 2016.</w:t>
      </w:r>
    </w:p>
  </w:footnote>
  <w:footnote w:id="172">
    <w:p w14:paraId="71F59E32" w14:textId="298AFBB0" w:rsidR="004A3640" w:rsidRPr="00D140FF" w:rsidRDefault="004A3640" w:rsidP="00736151">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Ibid para 93.</w:t>
      </w:r>
    </w:p>
  </w:footnote>
  <w:footnote w:id="173">
    <w:p w14:paraId="4F2B0A81" w14:textId="34666FF0" w:rsidR="004A3640" w:rsidRPr="00D140FF" w:rsidRDefault="004A3640" w:rsidP="00736151">
      <w:pPr>
        <w:widowControl w:val="0"/>
        <w:tabs>
          <w:tab w:val="left" w:pos="220"/>
          <w:tab w:val="left" w:pos="720"/>
        </w:tabs>
        <w:autoSpaceDE w:val="0"/>
        <w:autoSpaceDN w:val="0"/>
        <w:adjustRightInd w:val="0"/>
        <w:spacing w:after="240" w:line="360" w:lineRule="auto"/>
        <w:rPr>
          <w:color w:val="000000"/>
          <w:sz w:val="20"/>
          <w:szCs w:val="20"/>
        </w:rPr>
      </w:pPr>
      <w:r w:rsidRPr="00D140FF">
        <w:rPr>
          <w:rStyle w:val="FootnoteReference"/>
          <w:sz w:val="20"/>
          <w:szCs w:val="20"/>
        </w:rPr>
        <w:footnoteRef/>
      </w:r>
      <w:r w:rsidRPr="00D140FF">
        <w:rPr>
          <w:sz w:val="20"/>
          <w:szCs w:val="20"/>
        </w:rPr>
        <w:t xml:space="preserve"> </w:t>
      </w:r>
      <w:r w:rsidRPr="00D140FF">
        <w:rPr>
          <w:i/>
          <w:iCs/>
          <w:color w:val="000000"/>
          <w:sz w:val="20"/>
          <w:szCs w:val="20"/>
        </w:rPr>
        <w:t xml:space="preserve">Sreeranganathan K P, Aranmula v Union of India </w:t>
      </w:r>
      <w:r w:rsidRPr="00D140FF">
        <w:rPr>
          <w:color w:val="000000"/>
          <w:sz w:val="20"/>
          <w:szCs w:val="20"/>
        </w:rPr>
        <w:t xml:space="preserve">Judgment 28 May 2014; </w:t>
      </w:r>
      <w:r w:rsidRPr="00D140FF">
        <w:rPr>
          <w:i/>
          <w:iCs/>
          <w:color w:val="000000"/>
          <w:sz w:val="20"/>
          <w:szCs w:val="20"/>
        </w:rPr>
        <w:t xml:space="preserve">Prafulla Samantray v Union of India </w:t>
      </w:r>
      <w:r w:rsidRPr="00D140FF">
        <w:rPr>
          <w:color w:val="000000"/>
          <w:sz w:val="20"/>
          <w:szCs w:val="20"/>
        </w:rPr>
        <w:t xml:space="preserve">supra note 170; </w:t>
      </w:r>
      <w:r w:rsidRPr="00D140FF">
        <w:rPr>
          <w:i/>
          <w:iCs/>
          <w:color w:val="000000"/>
          <w:sz w:val="20"/>
          <w:szCs w:val="20"/>
        </w:rPr>
        <w:t xml:space="preserve">Rohit Choudhary v Union of India </w:t>
      </w:r>
      <w:r w:rsidRPr="00D140FF">
        <w:rPr>
          <w:color w:val="000000"/>
          <w:sz w:val="20"/>
          <w:szCs w:val="20"/>
        </w:rPr>
        <w:t xml:space="preserve">supra note 170; </w:t>
      </w:r>
      <w:r w:rsidRPr="00D140FF">
        <w:rPr>
          <w:i/>
          <w:iCs/>
          <w:color w:val="000000"/>
          <w:sz w:val="20"/>
          <w:szCs w:val="20"/>
        </w:rPr>
        <w:t xml:space="preserve">Samata v Union of India </w:t>
      </w:r>
      <w:r w:rsidRPr="00D140FF">
        <w:rPr>
          <w:color w:val="000000"/>
          <w:sz w:val="20"/>
          <w:szCs w:val="20"/>
        </w:rPr>
        <w:t xml:space="preserve">NGT supra note 169; </w:t>
      </w:r>
      <w:r w:rsidRPr="00D140FF">
        <w:rPr>
          <w:i/>
          <w:iCs/>
          <w:color w:val="000000"/>
          <w:sz w:val="20"/>
          <w:szCs w:val="20"/>
        </w:rPr>
        <w:t xml:space="preserve">Kalpavriksh v Union of India </w:t>
      </w:r>
      <w:r w:rsidRPr="00D140FF">
        <w:rPr>
          <w:color w:val="000000"/>
          <w:sz w:val="20"/>
          <w:szCs w:val="20"/>
        </w:rPr>
        <w:t>Judgment 17 July 2014.</w:t>
      </w:r>
    </w:p>
  </w:footnote>
  <w:footnote w:id="174">
    <w:p w14:paraId="6ADC2835" w14:textId="449FC1E5" w:rsidR="004A3640" w:rsidRPr="00D140FF" w:rsidRDefault="004A3640" w:rsidP="00736151">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w:t>
      </w:r>
      <w:r w:rsidRPr="00D140FF">
        <w:rPr>
          <w:rFonts w:ascii="Times New Roman" w:hAnsi="Times New Roman" w:cs="Times New Roman"/>
          <w:color w:val="000000"/>
        </w:rPr>
        <w:t>Judgment 20 September 2011.</w:t>
      </w:r>
    </w:p>
  </w:footnote>
  <w:footnote w:id="175">
    <w:p w14:paraId="63F54A70" w14:textId="53D6043C" w:rsidR="004A3640" w:rsidRPr="00913545" w:rsidRDefault="004A3640" w:rsidP="00736151">
      <w:pPr>
        <w:pStyle w:val="FootnoteText"/>
        <w:spacing w:line="360" w:lineRule="auto"/>
        <w:rPr>
          <w:rFonts w:ascii="Times New Roman" w:hAnsi="Times New Roman" w:cs="Times New Roman"/>
        </w:rPr>
      </w:pPr>
      <w:r w:rsidRPr="00D140FF">
        <w:rPr>
          <w:rStyle w:val="FootnoteReference"/>
          <w:rFonts w:ascii="Times New Roman" w:hAnsi="Times New Roman" w:cs="Times New Roman"/>
        </w:rPr>
        <w:footnoteRef/>
      </w:r>
      <w:r w:rsidRPr="00D140FF">
        <w:rPr>
          <w:rFonts w:ascii="Times New Roman" w:hAnsi="Times New Roman" w:cs="Times New Roman"/>
        </w:rPr>
        <w:t xml:space="preserve"> supra note 170.</w:t>
      </w:r>
    </w:p>
  </w:footnote>
  <w:footnote w:id="176">
    <w:p w14:paraId="36D5F8DD" w14:textId="4C3F1AEF"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economictimes.inditimes.com (2017).</w:t>
      </w:r>
    </w:p>
  </w:footnote>
  <w:footnote w:id="177">
    <w:p w14:paraId="4507EB70" w14:textId="2BF9194B"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178">
    <w:p w14:paraId="04199950" w14:textId="0E4C1D41"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Judgment 24 March 2014.</w:t>
      </w:r>
    </w:p>
  </w:footnote>
  <w:footnote w:id="179">
    <w:p w14:paraId="42A5699E" w14:textId="0102E042"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124</w:t>
      </w:r>
      <w:r w:rsidRPr="00913545">
        <w:rPr>
          <w:rFonts w:ascii="Times New Roman" w:hAnsi="Times New Roman" w:cs="Times New Roman"/>
        </w:rPr>
        <w:t>.</w:t>
      </w:r>
    </w:p>
  </w:footnote>
  <w:footnote w:id="180">
    <w:p w14:paraId="179897E8" w14:textId="542381CC"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bbc.co.uk (2016).</w:t>
      </w:r>
    </w:p>
  </w:footnote>
  <w:footnote w:id="181">
    <w:p w14:paraId="52B104A3" w14:textId="3BD79DBE" w:rsidR="004A3640" w:rsidRPr="00736151" w:rsidRDefault="004A3640" w:rsidP="00736151">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color w:val="000000"/>
          <w:sz w:val="20"/>
          <w:szCs w:val="20"/>
        </w:rPr>
        <w:t>In 2014, a young lawyer and environmentalist, Vardhman Kaushik, led a</w:t>
      </w:r>
      <w:r w:rsidRPr="00913545">
        <w:rPr>
          <w:color w:val="3B3B3B"/>
          <w:sz w:val="20"/>
          <w:szCs w:val="20"/>
        </w:rPr>
        <w:t xml:space="preserve"> </w:t>
      </w:r>
      <w:r w:rsidRPr="00913545">
        <w:rPr>
          <w:color w:val="000000"/>
          <w:sz w:val="20"/>
          <w:szCs w:val="20"/>
        </w:rPr>
        <w:t>petition (</w:t>
      </w:r>
      <w:r w:rsidRPr="00913545">
        <w:rPr>
          <w:i/>
          <w:iCs/>
          <w:color w:val="000000"/>
          <w:sz w:val="20"/>
          <w:szCs w:val="20"/>
        </w:rPr>
        <w:t xml:space="preserve">Vardhman Kaushik v Union of India </w:t>
      </w:r>
      <w:r w:rsidRPr="00913545">
        <w:rPr>
          <w:color w:val="000000"/>
          <w:sz w:val="20"/>
          <w:szCs w:val="20"/>
        </w:rPr>
        <w:t>Application 21 of 2014) before the</w:t>
      </w:r>
      <w:r w:rsidRPr="00913545">
        <w:rPr>
          <w:color w:val="3B3B3B"/>
          <w:sz w:val="20"/>
          <w:szCs w:val="20"/>
        </w:rPr>
        <w:t xml:space="preserve"> </w:t>
      </w:r>
      <w:r w:rsidRPr="00913545">
        <w:rPr>
          <w:color w:val="000000"/>
          <w:sz w:val="20"/>
          <w:szCs w:val="20"/>
        </w:rPr>
        <w:t>Principal Bench of the NGT with a limited pleading to identify and curb the sources of rising air pollution in the NCT of Delhi. The petition has escalated</w:t>
      </w:r>
      <w:r w:rsidRPr="00913545">
        <w:rPr>
          <w:color w:val="3B3B3B"/>
          <w:sz w:val="20"/>
          <w:szCs w:val="20"/>
        </w:rPr>
        <w:t xml:space="preserve"> </w:t>
      </w:r>
      <w:r w:rsidRPr="00913545">
        <w:rPr>
          <w:color w:val="000000"/>
          <w:sz w:val="20"/>
          <w:szCs w:val="20"/>
        </w:rPr>
        <w:t>into one of the most important NGT cases. See hindustantimes.com (2017) and swachhindia.ndtv.com (2017).</w:t>
      </w:r>
    </w:p>
  </w:footnote>
  <w:footnote w:id="182">
    <w:p w14:paraId="7C6ECE4D" w14:textId="1D003510" w:rsidR="004A3640" w:rsidRPr="00736151" w:rsidRDefault="004A3640" w:rsidP="00736151">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color w:val="000000"/>
          <w:sz w:val="20"/>
          <w:szCs w:val="20"/>
        </w:rPr>
        <w:t>Judgment 18 July 2013. A case was led by two NGOs: Goa Foundation and the Peaceful Society, Goa.</w:t>
      </w:r>
      <w:r w:rsidRPr="00913545">
        <w:rPr>
          <w:color w:val="3B3B3B"/>
          <w:sz w:val="20"/>
          <w:szCs w:val="20"/>
        </w:rPr>
        <w:t xml:space="preserve"> </w:t>
      </w:r>
      <w:r w:rsidRPr="00913545">
        <w:rPr>
          <w:color w:val="000000"/>
          <w:sz w:val="20"/>
          <w:szCs w:val="20"/>
        </w:rPr>
        <w:t>They sought directions requiring the state government to take steps for the conservation and protection of another World Heritage Site, the Western Ghats, as requested by the high-powered panel, the Western Ghats Ecology Expert Panel (WGEEP). The Western Ghats are a treasure trove of biological diversity and</w:t>
      </w:r>
      <w:r w:rsidRPr="00913545">
        <w:rPr>
          <w:color w:val="3B3B3B"/>
          <w:sz w:val="20"/>
          <w:szCs w:val="20"/>
        </w:rPr>
        <w:t xml:space="preserve"> </w:t>
      </w:r>
      <w:r>
        <w:rPr>
          <w:color w:val="000000"/>
          <w:sz w:val="20"/>
          <w:szCs w:val="20"/>
        </w:rPr>
        <w:t>are recognised as a global “</w:t>
      </w:r>
      <w:r w:rsidRPr="00913545">
        <w:rPr>
          <w:color w:val="000000"/>
          <w:sz w:val="20"/>
          <w:szCs w:val="20"/>
        </w:rPr>
        <w:t>hotspot of bi</w:t>
      </w:r>
      <w:r>
        <w:rPr>
          <w:color w:val="000000"/>
          <w:sz w:val="20"/>
          <w:szCs w:val="20"/>
        </w:rPr>
        <w:t>odiversity”.</w:t>
      </w:r>
      <w:r w:rsidRPr="00913545">
        <w:rPr>
          <w:color w:val="000000"/>
          <w:sz w:val="20"/>
          <w:szCs w:val="20"/>
        </w:rPr>
        <w:t xml:space="preserve"> </w:t>
      </w:r>
    </w:p>
  </w:footnote>
  <w:footnote w:id="183">
    <w:p w14:paraId="5D3F4C4F" w14:textId="6F9A9398"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Ghosal (2014); Aggarwal (2014).</w:t>
      </w:r>
    </w:p>
  </w:footnote>
  <w:footnote w:id="184">
    <w:p w14:paraId="19D5F994" w14:textId="3D52587C"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115</w:t>
      </w:r>
      <w:r w:rsidRPr="00913545">
        <w:rPr>
          <w:rFonts w:ascii="Times New Roman" w:hAnsi="Times New Roman" w:cs="Times New Roman"/>
        </w:rPr>
        <w:t>, pp.</w:t>
      </w:r>
      <w:r>
        <w:rPr>
          <w:rFonts w:ascii="Times New Roman" w:hAnsi="Times New Roman" w:cs="Times New Roman"/>
        </w:rPr>
        <w:t xml:space="preserve"> </w:t>
      </w:r>
      <w:r w:rsidRPr="00913545">
        <w:rPr>
          <w:rFonts w:ascii="Times New Roman" w:hAnsi="Times New Roman" w:cs="Times New Roman"/>
        </w:rPr>
        <w:t>196-197.</w:t>
      </w:r>
    </w:p>
  </w:footnote>
  <w:footnote w:id="185">
    <w:p w14:paraId="2ABA3B1D" w14:textId="1B195BF3" w:rsidR="004A3640" w:rsidRPr="00913545" w:rsidRDefault="004A3640" w:rsidP="00736151">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color w:val="000000"/>
          <w:sz w:val="20"/>
          <w:szCs w:val="20"/>
        </w:rPr>
        <w:t>High Level Committee on Forest and Environment Related Laws (2014) Report, pp.</w:t>
      </w:r>
      <w:r>
        <w:rPr>
          <w:color w:val="000000"/>
          <w:sz w:val="20"/>
          <w:szCs w:val="20"/>
        </w:rPr>
        <w:t xml:space="preserve"> </w:t>
      </w:r>
      <w:r w:rsidRPr="00913545">
        <w:rPr>
          <w:color w:val="000000"/>
          <w:sz w:val="20"/>
          <w:szCs w:val="20"/>
        </w:rPr>
        <w:t>8 and 22.</w:t>
      </w:r>
    </w:p>
    <w:p w14:paraId="42E4D9D3" w14:textId="728DC860" w:rsidR="004A3640" w:rsidRPr="0003215C" w:rsidRDefault="004A3640" w:rsidP="0003215C">
      <w:pPr>
        <w:pStyle w:val="FootnoteText"/>
        <w:spacing w:line="276" w:lineRule="auto"/>
        <w:rPr>
          <w:rFonts w:ascii="Times New Roman" w:hAnsi="Times New Roman" w:cs="Times New Roman"/>
        </w:rPr>
      </w:pPr>
    </w:p>
  </w:footnote>
  <w:footnote w:id="186">
    <w:p w14:paraId="6D6B663D" w14:textId="026F90E0" w:rsidR="004A3640" w:rsidRPr="00D538C5" w:rsidRDefault="004A3640" w:rsidP="00736151">
      <w:pPr>
        <w:widowControl w:val="0"/>
        <w:tabs>
          <w:tab w:val="left" w:pos="220"/>
          <w:tab w:val="left" w:pos="720"/>
        </w:tabs>
        <w:autoSpaceDE w:val="0"/>
        <w:autoSpaceDN w:val="0"/>
        <w:adjustRightInd w:val="0"/>
        <w:spacing w:after="240" w:line="360" w:lineRule="auto"/>
        <w:rPr>
          <w:color w:val="000000"/>
          <w:sz w:val="20"/>
          <w:szCs w:val="20"/>
        </w:rPr>
      </w:pPr>
      <w:r w:rsidRPr="0003215C">
        <w:rPr>
          <w:rStyle w:val="FootnoteReference"/>
          <w:sz w:val="20"/>
          <w:szCs w:val="20"/>
        </w:rPr>
        <w:footnoteRef/>
      </w:r>
      <w:r w:rsidRPr="0003215C">
        <w:rPr>
          <w:sz w:val="20"/>
          <w:szCs w:val="20"/>
        </w:rPr>
        <w:t xml:space="preserve"> Narendramodi.in (2018). </w:t>
      </w:r>
      <w:r>
        <w:rPr>
          <w:sz w:val="20"/>
          <w:szCs w:val="20"/>
        </w:rPr>
        <w:t>Again, i</w:t>
      </w:r>
      <w:r w:rsidRPr="0003215C">
        <w:rPr>
          <w:sz w:val="20"/>
          <w:szCs w:val="20"/>
        </w:rPr>
        <w:t xml:space="preserve">n 2015 at the </w:t>
      </w:r>
      <w:r w:rsidRPr="0003215C">
        <w:rPr>
          <w:color w:val="000000"/>
          <w:sz w:val="20"/>
          <w:szCs w:val="20"/>
        </w:rPr>
        <w:t>UN</w:t>
      </w:r>
      <w:r w:rsidRPr="00D538C5">
        <w:rPr>
          <w:color w:val="000000"/>
          <w:sz w:val="20"/>
          <w:szCs w:val="20"/>
        </w:rPr>
        <w:t xml:space="preserve"> General Assembly Sustainable Develo</w:t>
      </w:r>
      <w:r>
        <w:rPr>
          <w:color w:val="000000"/>
          <w:sz w:val="20"/>
          <w:szCs w:val="20"/>
        </w:rPr>
        <w:t>pment Summit, Prime Minister Modi stated “a</w:t>
      </w:r>
      <w:r w:rsidRPr="00D538C5">
        <w:rPr>
          <w:color w:val="000000"/>
          <w:sz w:val="20"/>
          <w:szCs w:val="20"/>
        </w:rPr>
        <w:t>ddressing the needs of 1.3 billion poor people in the world is not merely a question of their survival and dignity or our moral responsibility. It is a vital necessity for ensuring a peaceful, sustainable and just world. Our attack on poverty today includes expanded conventional schemes of development, but we have also launched a new era of inclusion and empowerment, turning distant dreams into immediate possibilities . . . We are focusing on the basics: housing, power, water and sanitation for all – important not just for welfare, but also human dignity . . . We are making our farms more productive and better connected to markets; and, farmers less vulnerable to the whims of nature . . . Nations have a national responsibility for sustainable development</w:t>
      </w:r>
      <w:r>
        <w:rPr>
          <w:color w:val="000000"/>
          <w:sz w:val="20"/>
          <w:szCs w:val="20"/>
        </w:rPr>
        <w:t>.”</w:t>
      </w:r>
      <w:r w:rsidRPr="00D538C5">
        <w:rPr>
          <w:color w:val="000000"/>
          <w:sz w:val="20"/>
          <w:szCs w:val="20"/>
        </w:rPr>
        <w:t xml:space="preserve"> </w:t>
      </w:r>
    </w:p>
    <w:p w14:paraId="0BCFAB13" w14:textId="2E7F8704" w:rsidR="004A3640" w:rsidRDefault="004A3640" w:rsidP="00736151">
      <w:pPr>
        <w:pStyle w:val="FootnoteText"/>
        <w:spacing w:line="360" w:lineRule="auto"/>
      </w:pPr>
    </w:p>
  </w:footnote>
  <w:footnote w:id="187">
    <w:p w14:paraId="74CA4E97" w14:textId="20A96C6A" w:rsidR="004A3640" w:rsidRPr="00457B42" w:rsidRDefault="004A3640" w:rsidP="00736151">
      <w:pPr>
        <w:spacing w:line="360" w:lineRule="auto"/>
        <w:rPr>
          <w:rFonts w:eastAsia="Times New Roman"/>
          <w:color w:val="333333"/>
          <w:sz w:val="20"/>
          <w:szCs w:val="20"/>
          <w:shd w:val="clear" w:color="auto" w:fill="FFFFFF"/>
        </w:rPr>
      </w:pPr>
      <w:r w:rsidRPr="00457B42">
        <w:rPr>
          <w:rStyle w:val="FootnoteReference"/>
          <w:sz w:val="20"/>
          <w:szCs w:val="20"/>
        </w:rPr>
        <w:footnoteRef/>
      </w:r>
      <w:r w:rsidRPr="00457B42">
        <w:rPr>
          <w:sz w:val="20"/>
          <w:szCs w:val="20"/>
        </w:rPr>
        <w:t xml:space="preserve"> Ibid. Also see Modi (2015)</w:t>
      </w:r>
      <w:r>
        <w:rPr>
          <w:sz w:val="20"/>
          <w:szCs w:val="20"/>
        </w:rPr>
        <w:t xml:space="preserve"> wherein he</w:t>
      </w:r>
      <w:r w:rsidRPr="00457B42">
        <w:rPr>
          <w:sz w:val="20"/>
          <w:szCs w:val="20"/>
        </w:rPr>
        <w:t xml:space="preserve"> argues </w:t>
      </w:r>
      <w:r>
        <w:rPr>
          <w:sz w:val="20"/>
          <w:szCs w:val="20"/>
        </w:rPr>
        <w:t xml:space="preserve">for a </w:t>
      </w:r>
      <w:r w:rsidRPr="00457B42">
        <w:rPr>
          <w:rFonts w:eastAsia="Times New Roman"/>
          <w:color w:val="333333"/>
          <w:sz w:val="20"/>
          <w:szCs w:val="20"/>
          <w:shd w:val="clear" w:color="auto" w:fill="FFFFFF"/>
        </w:rPr>
        <w:t>low-carbon economy to achieve a clean and green India thereby</w:t>
      </w:r>
      <w:r w:rsidRPr="00AB7320">
        <w:rPr>
          <w:rFonts w:eastAsia="Times New Roman"/>
          <w:color w:val="333333"/>
          <w:sz w:val="20"/>
          <w:szCs w:val="20"/>
          <w:shd w:val="clear" w:color="auto" w:fill="FFFFFF"/>
        </w:rPr>
        <w:t xml:space="preserve"> mitigating the mena</w:t>
      </w:r>
      <w:r w:rsidRPr="00457B42">
        <w:rPr>
          <w:rFonts w:eastAsia="Times New Roman"/>
          <w:color w:val="333333"/>
          <w:sz w:val="20"/>
          <w:szCs w:val="20"/>
          <w:shd w:val="clear" w:color="auto" w:fill="FFFFFF"/>
        </w:rPr>
        <w:t xml:space="preserve">ce of climate change and improving the </w:t>
      </w:r>
      <w:r w:rsidRPr="00AB7320">
        <w:rPr>
          <w:rFonts w:eastAsia="Times New Roman"/>
          <w:color w:val="333333"/>
          <w:sz w:val="20"/>
          <w:szCs w:val="20"/>
          <w:shd w:val="clear" w:color="auto" w:fill="FFFFFF"/>
        </w:rPr>
        <w:t>environment</w:t>
      </w:r>
      <w:r w:rsidRPr="00457B42">
        <w:rPr>
          <w:rFonts w:eastAsia="Times New Roman"/>
          <w:color w:val="333333"/>
          <w:sz w:val="20"/>
          <w:szCs w:val="20"/>
          <w:shd w:val="clear" w:color="auto" w:fill="FFFFFF"/>
        </w:rPr>
        <w:t>. It should be based on a collective partnership between people, businesses, scientific community, government and NGOs.</w:t>
      </w:r>
    </w:p>
    <w:p w14:paraId="220920A6" w14:textId="656F2AD0" w:rsidR="004A3640" w:rsidRDefault="004A3640" w:rsidP="00736151">
      <w:pPr>
        <w:pStyle w:val="FootnoteText"/>
        <w:spacing w:line="360" w:lineRule="auto"/>
      </w:pPr>
    </w:p>
  </w:footnote>
  <w:footnote w:id="188">
    <w:p w14:paraId="144218C0" w14:textId="13AB5329"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Financialtimes.com (2018).</w:t>
      </w:r>
    </w:p>
  </w:footnote>
  <w:footnote w:id="189">
    <w:p w14:paraId="495FD8B2" w14:textId="2EA217B9"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World Bank Report (2017) pp. 4 and 7.</w:t>
      </w:r>
    </w:p>
  </w:footnote>
  <w:footnote w:id="190">
    <w:p w14:paraId="33164FCA" w14:textId="1B74E728"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More (2016).</w:t>
      </w:r>
    </w:p>
  </w:footnote>
  <w:footnote w:id="191">
    <w:p w14:paraId="4C1DB30F" w14:textId="6ED49FED"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cseindia.org (2016).</w:t>
      </w:r>
    </w:p>
  </w:footnote>
  <w:footnote w:id="192">
    <w:p w14:paraId="0E204B15" w14:textId="4DE66F41"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Sinha and Mehta (2017) p. 2.</w:t>
      </w:r>
    </w:p>
  </w:footnote>
  <w:footnote w:id="193">
    <w:p w14:paraId="7F93C231" w14:textId="1C46F47F"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CAG Report (2016).</w:t>
      </w:r>
    </w:p>
  </w:footnote>
  <w:footnote w:id="194">
    <w:p w14:paraId="19A957F9" w14:textId="691E647B"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paras 2.5, 2.6 and 2.7.</w:t>
      </w:r>
    </w:p>
  </w:footnote>
  <w:footnote w:id="195">
    <w:p w14:paraId="7369B9EA" w14:textId="4E01B34D"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Shrivastava (2018).</w:t>
      </w:r>
    </w:p>
  </w:footnote>
  <w:footnote w:id="196">
    <w:p w14:paraId="0A545A23" w14:textId="32486B0A"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Shrivastava (2018 a).</w:t>
      </w:r>
    </w:p>
  </w:footnote>
  <w:footnote w:id="197">
    <w:p w14:paraId="2EB4F6A3" w14:textId="5465E603"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195</w:t>
      </w:r>
      <w:r w:rsidRPr="00913545">
        <w:rPr>
          <w:rFonts w:ascii="Times New Roman" w:hAnsi="Times New Roman" w:cs="Times New Roman"/>
        </w:rPr>
        <w:t>.</w:t>
      </w:r>
    </w:p>
  </w:footnote>
  <w:footnote w:id="198">
    <w:p w14:paraId="0BED28CD" w14:textId="538F37DC"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eastAsia="Times New Roman" w:hAnsi="Times New Roman" w:cs="Times New Roman"/>
          <w:color w:val="222222"/>
          <w:shd w:val="clear" w:color="auto" w:fill="FFFFFF"/>
          <w:lang w:eastAsia="en-GB"/>
        </w:rPr>
        <w:t>Judgment 8 November 2017.</w:t>
      </w:r>
    </w:p>
  </w:footnote>
  <w:footnote w:id="199">
    <w:p w14:paraId="46997AC9" w14:textId="6F6A4D84"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paras </w:t>
      </w:r>
      <w:r w:rsidRPr="00913545">
        <w:rPr>
          <w:rFonts w:ascii="Times New Roman" w:hAnsi="Times New Roman" w:cs="Times New Roman"/>
          <w:color w:val="000000"/>
        </w:rPr>
        <w:t>17,18 and 23.</w:t>
      </w:r>
    </w:p>
  </w:footnote>
  <w:footnote w:id="200">
    <w:p w14:paraId="626B90FE" w14:textId="264FB89F"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Judgment 4 May 2016.</w:t>
      </w:r>
    </w:p>
  </w:footnote>
  <w:footnote w:id="201">
    <w:p w14:paraId="2E3FEF8F" w14:textId="08AE2827"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para 16.</w:t>
      </w:r>
    </w:p>
  </w:footnote>
  <w:footnote w:id="202">
    <w:p w14:paraId="3F88F761" w14:textId="44C3F2B4"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hAnsi="Times New Roman" w:cs="Times New Roman"/>
          <w:color w:val="000000"/>
        </w:rPr>
        <w:t>The construction of the 130 megawatt Kashang Integrated Hydro Electric Project involved the acquisition of forest land, thereby affecting the forest cover, valuable pine trees and jeopardising the livelihood of the community. See, generally, the Scheduled Tribes and Other Traditional Forest Dwellers (Recognition of Forest Rights) Ac</w:t>
      </w:r>
      <w:r>
        <w:rPr>
          <w:rFonts w:ascii="Times New Roman" w:hAnsi="Times New Roman" w:cs="Times New Roman"/>
          <w:color w:val="000000"/>
        </w:rPr>
        <w:t>t 2006 and condition 16 of the “In Principle”</w:t>
      </w:r>
      <w:r w:rsidRPr="00913545">
        <w:rPr>
          <w:rFonts w:ascii="Times New Roman" w:hAnsi="Times New Roman" w:cs="Times New Roman"/>
          <w:color w:val="000000"/>
        </w:rPr>
        <w:t xml:space="preserve"> forest clearance.</w:t>
      </w:r>
    </w:p>
  </w:footnote>
  <w:footnote w:id="203">
    <w:p w14:paraId="3861E6D7" w14:textId="36957379" w:rsidR="004A3640" w:rsidRPr="00736151" w:rsidRDefault="004A3640" w:rsidP="00736151">
      <w:pPr>
        <w:widowControl w:val="0"/>
        <w:tabs>
          <w:tab w:val="left" w:pos="220"/>
          <w:tab w:val="left" w:pos="720"/>
        </w:tabs>
        <w:autoSpaceDE w:val="0"/>
        <w:autoSpaceDN w:val="0"/>
        <w:adjustRightInd w:val="0"/>
        <w:spacing w:after="240" w:line="360" w:lineRule="auto"/>
        <w:rPr>
          <w:color w:val="000000"/>
          <w:sz w:val="20"/>
          <w:szCs w:val="20"/>
        </w:rPr>
      </w:pPr>
      <w:r w:rsidRPr="00736151">
        <w:rPr>
          <w:rStyle w:val="FootnoteReference"/>
          <w:sz w:val="20"/>
          <w:szCs w:val="20"/>
        </w:rPr>
        <w:footnoteRef/>
      </w:r>
      <w:r w:rsidRPr="00736151">
        <w:rPr>
          <w:sz w:val="20"/>
          <w:szCs w:val="20"/>
        </w:rPr>
        <w:t xml:space="preserve"> Also see</w:t>
      </w:r>
      <w:r w:rsidRPr="00736151">
        <w:rPr>
          <w:color w:val="000000"/>
          <w:sz w:val="20"/>
          <w:szCs w:val="20"/>
        </w:rPr>
        <w:t xml:space="preserve"> </w:t>
      </w:r>
      <w:r w:rsidRPr="00736151">
        <w:rPr>
          <w:i/>
          <w:iCs/>
          <w:color w:val="000000"/>
          <w:sz w:val="20"/>
          <w:szCs w:val="20"/>
        </w:rPr>
        <w:t xml:space="preserve">Orissa Mining Corporation v MoEF </w:t>
      </w:r>
      <w:r w:rsidRPr="00736151">
        <w:rPr>
          <w:color w:val="000000"/>
          <w:sz w:val="20"/>
          <w:szCs w:val="20"/>
        </w:rPr>
        <w:t>on 18 April 2013. The Supreme Court directed that the smallest units of local governance use their powers and take a decision on whether the Vedanta Group’s $1.7 billion bauxite mining project in Odisha’s Niyamgiri Hills should go forward. The decision validated the Gram Sabha’s power under the Scheduled Tribes and Other Traditional Forest Dwellers (Recognition of Forest Rights) Act 2006.</w:t>
      </w:r>
    </w:p>
  </w:footnote>
  <w:footnote w:id="204">
    <w:p w14:paraId="646D19B9" w14:textId="1AFCB706" w:rsidR="004A3640" w:rsidRPr="00736151" w:rsidRDefault="004A3640" w:rsidP="00736151">
      <w:pPr>
        <w:pStyle w:val="FootnoteText"/>
        <w:spacing w:line="360" w:lineRule="auto"/>
        <w:rPr>
          <w:rFonts w:ascii="Times New Roman" w:hAnsi="Times New Roman" w:cs="Times New Roman"/>
        </w:rPr>
      </w:pPr>
      <w:r w:rsidRPr="00736151">
        <w:rPr>
          <w:rStyle w:val="FootnoteReference"/>
          <w:rFonts w:ascii="Times New Roman" w:hAnsi="Times New Roman" w:cs="Times New Roman"/>
        </w:rPr>
        <w:footnoteRef/>
      </w:r>
      <w:r w:rsidRPr="00736151">
        <w:rPr>
          <w:rFonts w:ascii="Times New Roman" w:hAnsi="Times New Roman" w:cs="Times New Roman"/>
        </w:rPr>
        <w:t xml:space="preserve"> Shrivastava (2016).</w:t>
      </w:r>
    </w:p>
  </w:footnote>
  <w:footnote w:id="205">
    <w:p w14:paraId="397FA754" w14:textId="6AE7712E" w:rsidR="004A3640" w:rsidRPr="00736151" w:rsidRDefault="004A3640" w:rsidP="00736151">
      <w:pPr>
        <w:pStyle w:val="FootnoteText"/>
        <w:spacing w:line="360" w:lineRule="auto"/>
        <w:rPr>
          <w:rFonts w:ascii="Times New Roman" w:hAnsi="Times New Roman" w:cs="Times New Roman"/>
        </w:rPr>
      </w:pPr>
      <w:r w:rsidRPr="00736151">
        <w:rPr>
          <w:rStyle w:val="FootnoteReference"/>
          <w:rFonts w:ascii="Times New Roman" w:hAnsi="Times New Roman" w:cs="Times New Roman"/>
        </w:rPr>
        <w:footnoteRef/>
      </w:r>
      <w:r w:rsidRPr="00736151">
        <w:rPr>
          <w:rFonts w:ascii="Times New Roman" w:hAnsi="Times New Roman" w:cs="Times New Roman"/>
        </w:rPr>
        <w:t xml:space="preserve"> supra note 185.</w:t>
      </w:r>
    </w:p>
  </w:footnote>
  <w:footnote w:id="206">
    <w:p w14:paraId="57A6CC9F" w14:textId="1529751F" w:rsidR="004A3640" w:rsidRPr="00913545" w:rsidRDefault="004A3640" w:rsidP="00736151">
      <w:pPr>
        <w:pStyle w:val="FootnoteText"/>
        <w:spacing w:line="360" w:lineRule="auto"/>
        <w:rPr>
          <w:rFonts w:ascii="Times New Roman" w:hAnsi="Times New Roman" w:cs="Times New Roman"/>
        </w:rPr>
      </w:pPr>
      <w:r w:rsidRPr="00736151">
        <w:rPr>
          <w:rStyle w:val="FootnoteReference"/>
          <w:rFonts w:ascii="Times New Roman" w:hAnsi="Times New Roman" w:cs="Times New Roman"/>
        </w:rPr>
        <w:footnoteRef/>
      </w:r>
      <w:r w:rsidRPr="00736151">
        <w:rPr>
          <w:rFonts w:ascii="Times New Roman" w:hAnsi="Times New Roman" w:cs="Times New Roman"/>
        </w:rPr>
        <w:t xml:space="preserve"> </w:t>
      </w:r>
      <w:r w:rsidRPr="00736151">
        <w:rPr>
          <w:rFonts w:ascii="Times New Roman" w:hAnsi="Times New Roman" w:cs="Times New Roman"/>
          <w:color w:val="000000"/>
        </w:rPr>
        <w:t>Environment (Protection) Act 1986; Forest (Conservation) Act 1980; Wildlife (Protection) Act 1972; Water (Prevention and Control of Pollution) Act 1974; Air (Prevention and Control of Pollution) Act 1981; and Indian Forest Act 1927.</w:t>
      </w:r>
    </w:p>
  </w:footnote>
  <w:footnote w:id="207">
    <w:p w14:paraId="4DEE220A" w14:textId="296961D1"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HLC (2014) pp. </w:t>
      </w:r>
      <w:r w:rsidRPr="00913545">
        <w:rPr>
          <w:rFonts w:ascii="Times New Roman" w:hAnsi="Times New Roman" w:cs="Times New Roman"/>
          <w:color w:val="000000"/>
        </w:rPr>
        <w:t>62, 63 and 68–71.</w:t>
      </w:r>
    </w:p>
  </w:footnote>
  <w:footnote w:id="208">
    <w:p w14:paraId="1073B2C7" w14:textId="67C4B2A4"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p.75.</w:t>
      </w:r>
    </w:p>
  </w:footnote>
  <w:footnote w:id="209">
    <w:p w14:paraId="14B4012C" w14:textId="15DBA041"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210">
    <w:p w14:paraId="55B2FFAF" w14:textId="39C62744" w:rsidR="004A3640" w:rsidRPr="00913545" w:rsidRDefault="004A3640" w:rsidP="00736151">
      <w:pPr>
        <w:widowControl w:val="0"/>
        <w:autoSpaceDE w:val="0"/>
        <w:autoSpaceDN w:val="0"/>
        <w:adjustRightInd w:val="0"/>
        <w:spacing w:after="240" w:line="360" w:lineRule="auto"/>
        <w:rPr>
          <w:color w:val="000000"/>
          <w:sz w:val="20"/>
          <w:szCs w:val="20"/>
        </w:rPr>
      </w:pPr>
      <w:r w:rsidRPr="00913545">
        <w:rPr>
          <w:rStyle w:val="FootnoteReference"/>
          <w:sz w:val="20"/>
          <w:szCs w:val="20"/>
        </w:rPr>
        <w:footnoteRef/>
      </w:r>
      <w:r w:rsidRPr="00913545">
        <w:rPr>
          <w:sz w:val="20"/>
          <w:szCs w:val="20"/>
        </w:rPr>
        <w:t xml:space="preserve"> </w:t>
      </w:r>
      <w:r w:rsidRPr="00913545">
        <w:rPr>
          <w:color w:val="000000"/>
          <w:sz w:val="20"/>
          <w:szCs w:val="20"/>
        </w:rPr>
        <w:t>Parliamentary Standing Committee on Science and Technology, Environment and Forests (2015) p.9.</w:t>
      </w:r>
    </w:p>
    <w:p w14:paraId="173A8190" w14:textId="39A5D2F2" w:rsidR="004A3640" w:rsidRPr="00913545" w:rsidRDefault="004A3640" w:rsidP="00D455AB">
      <w:pPr>
        <w:pStyle w:val="FootnoteText"/>
        <w:rPr>
          <w:rFonts w:ascii="Times New Roman" w:hAnsi="Times New Roman" w:cs="Times New Roman"/>
        </w:rPr>
      </w:pPr>
    </w:p>
  </w:footnote>
  <w:footnote w:id="211">
    <w:p w14:paraId="3CC79617" w14:textId="10777C19"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w:t>
      </w:r>
    </w:p>
  </w:footnote>
  <w:footnote w:id="212">
    <w:p w14:paraId="28A48469" w14:textId="52E0957C"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Dutta (2017).</w:t>
      </w:r>
    </w:p>
  </w:footnote>
  <w:footnote w:id="213">
    <w:p w14:paraId="3D8A22DC" w14:textId="0CD39E0D"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eastAsia="Times New Roman" w:hAnsi="Times New Roman" w:cs="Times New Roman"/>
          <w:color w:val="000000"/>
          <w:shd w:val="clear" w:color="auto" w:fill="FFFFFF"/>
          <w:lang w:eastAsia="en-GB"/>
        </w:rPr>
        <w:t>(2010) 6 S.C.R 857.</w:t>
      </w:r>
    </w:p>
  </w:footnote>
  <w:footnote w:id="214">
    <w:p w14:paraId="0973F80C" w14:textId="6E14DF14"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Ibid pp.</w:t>
      </w:r>
      <w:r>
        <w:rPr>
          <w:rFonts w:ascii="Times New Roman" w:hAnsi="Times New Roman" w:cs="Times New Roman"/>
        </w:rPr>
        <w:t xml:space="preserve"> </w:t>
      </w:r>
      <w:r w:rsidRPr="00913545">
        <w:rPr>
          <w:rFonts w:ascii="Times New Roman" w:hAnsi="Times New Roman" w:cs="Times New Roman"/>
        </w:rPr>
        <w:t>907-908.</w:t>
      </w:r>
    </w:p>
  </w:footnote>
  <w:footnote w:id="215">
    <w:p w14:paraId="51D94DDA" w14:textId="4B7173A8"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00EE5E49">
        <w:rPr>
          <w:rFonts w:ascii="Times New Roman" w:hAnsi="Times New Roman" w:cs="Times New Roman"/>
        </w:rPr>
        <w:t xml:space="preserve"> Aggarwal (2017); Dutta, supra note 212</w:t>
      </w:r>
      <w:r w:rsidR="008F0351">
        <w:rPr>
          <w:rFonts w:ascii="Times New Roman" w:hAnsi="Times New Roman" w:cs="Times New Roman"/>
        </w:rPr>
        <w:t>; Venkatasubramanian (2017).</w:t>
      </w:r>
    </w:p>
  </w:footnote>
  <w:footnote w:id="216">
    <w:p w14:paraId="27DC8FA2" w14:textId="55FE99C8"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Livemint.com (2017).</w:t>
      </w:r>
    </w:p>
  </w:footnote>
  <w:footnote w:id="217">
    <w:p w14:paraId="1F5BA9CD" w14:textId="235E7728"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Basu (2018).</w:t>
      </w:r>
    </w:p>
  </w:footnote>
  <w:footnote w:id="218">
    <w:p w14:paraId="57C1E8BF" w14:textId="748E6EAE"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Sahu (2018). Justice Swatanter Kumar, the dynamic Chairperson NGT, retired on 19 December 2017; he was succeeded by acting Chairperson Justice U D Salvi who retired on 13 February 2018. The Chennai bench became inoperative from 3 January 2018. No judgment has been passed by Kolkata bench since 16 November 2016. The Pune bench has not had an expert member since the retirement of Dr Ajay Deshpande in May 2017.</w:t>
      </w:r>
    </w:p>
  </w:footnote>
  <w:footnote w:id="219">
    <w:p w14:paraId="46346FB0" w14:textId="7A0E09C7"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indianexpress.com (2018).</w:t>
      </w:r>
    </w:p>
  </w:footnote>
  <w:footnote w:id="220">
    <w:p w14:paraId="6D6A1DB9" w14:textId="079A05BE"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Nair (2017).</w:t>
      </w:r>
    </w:p>
  </w:footnote>
  <w:footnote w:id="221">
    <w:p w14:paraId="44BC9128" w14:textId="3ADAF39C"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w:t>
      </w:r>
      <w:r w:rsidRPr="00913545">
        <w:rPr>
          <w:rFonts w:ascii="Times New Roman" w:eastAsia="Times New Roman" w:hAnsi="Times New Roman" w:cs="Times New Roman"/>
          <w:color w:val="000000" w:themeColor="text1"/>
        </w:rPr>
        <w:t>Amendment to the National Green Tribunal (Practices and Procedure) Rules, 2011 that states in exceptional circumstances the Chairperson may constitute a single-member bench. See Ashok (2017).</w:t>
      </w:r>
    </w:p>
  </w:footnote>
  <w:footnote w:id="222">
    <w:p w14:paraId="23D4E063" w14:textId="7CC07A3D"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sidRPr="00913545">
        <w:rPr>
          <w:rFonts w:ascii="Times New Roman" w:hAnsi="Times New Roman" w:cs="Times New Roman"/>
        </w:rPr>
        <w:t xml:space="preserve"> indianexpress.com (2018).</w:t>
      </w:r>
    </w:p>
  </w:footnote>
  <w:footnote w:id="223">
    <w:p w14:paraId="1B6033C1" w14:textId="05E3C212"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 32</w:t>
      </w:r>
      <w:r w:rsidRPr="00913545">
        <w:rPr>
          <w:rFonts w:ascii="Times New Roman" w:hAnsi="Times New Roman" w:cs="Times New Roman"/>
        </w:rPr>
        <w:t>, p.</w:t>
      </w:r>
      <w:r w:rsidR="00EB1446">
        <w:rPr>
          <w:rFonts w:ascii="Times New Roman" w:hAnsi="Times New Roman" w:cs="Times New Roman"/>
        </w:rPr>
        <w:t xml:space="preserve"> </w:t>
      </w:r>
      <w:r w:rsidRPr="00913545">
        <w:rPr>
          <w:rFonts w:ascii="Times New Roman" w:hAnsi="Times New Roman" w:cs="Times New Roman"/>
        </w:rPr>
        <w:t>421.</w:t>
      </w:r>
    </w:p>
  </w:footnote>
  <w:footnote w:id="224">
    <w:p w14:paraId="0DBEFE7F" w14:textId="58283C22" w:rsidR="004A3640" w:rsidRPr="00913545" w:rsidRDefault="004A3640" w:rsidP="00736151">
      <w:pPr>
        <w:pStyle w:val="FootnoteText"/>
        <w:spacing w:line="360" w:lineRule="auto"/>
        <w:rPr>
          <w:rFonts w:ascii="Times New Roman" w:hAnsi="Times New Roman" w:cs="Times New Roman"/>
        </w:rPr>
      </w:pPr>
      <w:r w:rsidRPr="00913545">
        <w:rPr>
          <w:rStyle w:val="FootnoteReference"/>
          <w:rFonts w:ascii="Times New Roman" w:hAnsi="Times New Roman" w:cs="Times New Roman"/>
        </w:rPr>
        <w:footnoteRef/>
      </w:r>
      <w:r>
        <w:rPr>
          <w:rFonts w:ascii="Times New Roman" w:hAnsi="Times New Roman" w:cs="Times New Roman"/>
        </w:rPr>
        <w:t xml:space="preserve"> Supra notes 83 and 84</w:t>
      </w:r>
      <w:r w:rsidRPr="0091354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F63A7"/>
    <w:multiLevelType w:val="hybridMultilevel"/>
    <w:tmpl w:val="CA861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5040A"/>
    <w:multiLevelType w:val="hybridMultilevel"/>
    <w:tmpl w:val="1D50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A0447"/>
    <w:multiLevelType w:val="hybridMultilevel"/>
    <w:tmpl w:val="B4521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FD"/>
    <w:rsid w:val="00001358"/>
    <w:rsid w:val="00001DE8"/>
    <w:rsid w:val="00002AC5"/>
    <w:rsid w:val="00002CD4"/>
    <w:rsid w:val="00002D80"/>
    <w:rsid w:val="000031FE"/>
    <w:rsid w:val="00004127"/>
    <w:rsid w:val="00004D12"/>
    <w:rsid w:val="00004DCE"/>
    <w:rsid w:val="000073AC"/>
    <w:rsid w:val="00010201"/>
    <w:rsid w:val="00010B6A"/>
    <w:rsid w:val="000123D5"/>
    <w:rsid w:val="00012B5A"/>
    <w:rsid w:val="00012C5D"/>
    <w:rsid w:val="000130B1"/>
    <w:rsid w:val="000138CA"/>
    <w:rsid w:val="000139E5"/>
    <w:rsid w:val="00021CDC"/>
    <w:rsid w:val="00022BA7"/>
    <w:rsid w:val="000236B4"/>
    <w:rsid w:val="000240CD"/>
    <w:rsid w:val="0002529C"/>
    <w:rsid w:val="00025DE7"/>
    <w:rsid w:val="00026D37"/>
    <w:rsid w:val="00027036"/>
    <w:rsid w:val="00027D13"/>
    <w:rsid w:val="00027D75"/>
    <w:rsid w:val="00027D8B"/>
    <w:rsid w:val="0003215C"/>
    <w:rsid w:val="00033F60"/>
    <w:rsid w:val="00034552"/>
    <w:rsid w:val="00035873"/>
    <w:rsid w:val="0003604F"/>
    <w:rsid w:val="00037DF6"/>
    <w:rsid w:val="000409B8"/>
    <w:rsid w:val="0004160B"/>
    <w:rsid w:val="0004169F"/>
    <w:rsid w:val="0004174C"/>
    <w:rsid w:val="00041B1F"/>
    <w:rsid w:val="00041C98"/>
    <w:rsid w:val="00042738"/>
    <w:rsid w:val="000428C6"/>
    <w:rsid w:val="0004416E"/>
    <w:rsid w:val="00044543"/>
    <w:rsid w:val="00044A9C"/>
    <w:rsid w:val="00047EE3"/>
    <w:rsid w:val="000500AE"/>
    <w:rsid w:val="0005021B"/>
    <w:rsid w:val="000502C2"/>
    <w:rsid w:val="00050558"/>
    <w:rsid w:val="0005070D"/>
    <w:rsid w:val="00050CBD"/>
    <w:rsid w:val="000513D7"/>
    <w:rsid w:val="0005378B"/>
    <w:rsid w:val="000538DE"/>
    <w:rsid w:val="00053C02"/>
    <w:rsid w:val="000542D3"/>
    <w:rsid w:val="000547A4"/>
    <w:rsid w:val="0005481B"/>
    <w:rsid w:val="0005509B"/>
    <w:rsid w:val="00056B19"/>
    <w:rsid w:val="000578DE"/>
    <w:rsid w:val="000607BE"/>
    <w:rsid w:val="000617E4"/>
    <w:rsid w:val="00061E3A"/>
    <w:rsid w:val="00063686"/>
    <w:rsid w:val="00063F89"/>
    <w:rsid w:val="00064AFB"/>
    <w:rsid w:val="000651EB"/>
    <w:rsid w:val="00065C21"/>
    <w:rsid w:val="00066313"/>
    <w:rsid w:val="00067134"/>
    <w:rsid w:val="0006772F"/>
    <w:rsid w:val="00067996"/>
    <w:rsid w:val="00070305"/>
    <w:rsid w:val="00070FD7"/>
    <w:rsid w:val="00071527"/>
    <w:rsid w:val="00071584"/>
    <w:rsid w:val="00071DE3"/>
    <w:rsid w:val="00071EC1"/>
    <w:rsid w:val="00072EDD"/>
    <w:rsid w:val="000740FA"/>
    <w:rsid w:val="000748AC"/>
    <w:rsid w:val="0007589F"/>
    <w:rsid w:val="00075E64"/>
    <w:rsid w:val="00077C98"/>
    <w:rsid w:val="00080D4C"/>
    <w:rsid w:val="00080EF4"/>
    <w:rsid w:val="00081007"/>
    <w:rsid w:val="00082877"/>
    <w:rsid w:val="0008330D"/>
    <w:rsid w:val="00083938"/>
    <w:rsid w:val="00084C2A"/>
    <w:rsid w:val="00084E86"/>
    <w:rsid w:val="00086576"/>
    <w:rsid w:val="000868F9"/>
    <w:rsid w:val="000873D4"/>
    <w:rsid w:val="000875C5"/>
    <w:rsid w:val="00090282"/>
    <w:rsid w:val="00090696"/>
    <w:rsid w:val="0009116D"/>
    <w:rsid w:val="000923BB"/>
    <w:rsid w:val="00092813"/>
    <w:rsid w:val="00092D3A"/>
    <w:rsid w:val="00093330"/>
    <w:rsid w:val="00093AE9"/>
    <w:rsid w:val="000977E3"/>
    <w:rsid w:val="000A1E67"/>
    <w:rsid w:val="000A2500"/>
    <w:rsid w:val="000A3156"/>
    <w:rsid w:val="000A3606"/>
    <w:rsid w:val="000A4795"/>
    <w:rsid w:val="000A4C8D"/>
    <w:rsid w:val="000A51B4"/>
    <w:rsid w:val="000A5AB8"/>
    <w:rsid w:val="000A7B54"/>
    <w:rsid w:val="000B0472"/>
    <w:rsid w:val="000B1FAB"/>
    <w:rsid w:val="000B31C2"/>
    <w:rsid w:val="000B4412"/>
    <w:rsid w:val="000B5015"/>
    <w:rsid w:val="000B6A22"/>
    <w:rsid w:val="000C0E4D"/>
    <w:rsid w:val="000C3BD0"/>
    <w:rsid w:val="000C3CBF"/>
    <w:rsid w:val="000C51B0"/>
    <w:rsid w:val="000C6B85"/>
    <w:rsid w:val="000C75B3"/>
    <w:rsid w:val="000D386E"/>
    <w:rsid w:val="000D39F7"/>
    <w:rsid w:val="000D68F2"/>
    <w:rsid w:val="000D7001"/>
    <w:rsid w:val="000E00FD"/>
    <w:rsid w:val="000E17BD"/>
    <w:rsid w:val="000E2E25"/>
    <w:rsid w:val="000E2E92"/>
    <w:rsid w:val="000E2F93"/>
    <w:rsid w:val="000E3A5C"/>
    <w:rsid w:val="000E3E37"/>
    <w:rsid w:val="000E505A"/>
    <w:rsid w:val="000E551B"/>
    <w:rsid w:val="000E5BFE"/>
    <w:rsid w:val="000E6255"/>
    <w:rsid w:val="000E685F"/>
    <w:rsid w:val="000E708D"/>
    <w:rsid w:val="000E7743"/>
    <w:rsid w:val="000F0CE6"/>
    <w:rsid w:val="000F0DDE"/>
    <w:rsid w:val="000F1AA9"/>
    <w:rsid w:val="000F1DD5"/>
    <w:rsid w:val="000F294B"/>
    <w:rsid w:val="000F2DAF"/>
    <w:rsid w:val="000F3096"/>
    <w:rsid w:val="000F3700"/>
    <w:rsid w:val="000F5DEA"/>
    <w:rsid w:val="001005CD"/>
    <w:rsid w:val="00100676"/>
    <w:rsid w:val="0010160F"/>
    <w:rsid w:val="00101DA6"/>
    <w:rsid w:val="00102016"/>
    <w:rsid w:val="00102B21"/>
    <w:rsid w:val="00103693"/>
    <w:rsid w:val="00103E3F"/>
    <w:rsid w:val="001055D7"/>
    <w:rsid w:val="00105E80"/>
    <w:rsid w:val="001063A0"/>
    <w:rsid w:val="00106A13"/>
    <w:rsid w:val="00110FA7"/>
    <w:rsid w:val="00111644"/>
    <w:rsid w:val="0011185D"/>
    <w:rsid w:val="001122AC"/>
    <w:rsid w:val="00112FE1"/>
    <w:rsid w:val="001136A8"/>
    <w:rsid w:val="001137C6"/>
    <w:rsid w:val="00114B45"/>
    <w:rsid w:val="00114CC1"/>
    <w:rsid w:val="00114F55"/>
    <w:rsid w:val="0011530A"/>
    <w:rsid w:val="0011668F"/>
    <w:rsid w:val="0011698A"/>
    <w:rsid w:val="00117490"/>
    <w:rsid w:val="001208B4"/>
    <w:rsid w:val="00121C89"/>
    <w:rsid w:val="00122323"/>
    <w:rsid w:val="00122508"/>
    <w:rsid w:val="00122850"/>
    <w:rsid w:val="00123860"/>
    <w:rsid w:val="00123B20"/>
    <w:rsid w:val="001249C5"/>
    <w:rsid w:val="00125194"/>
    <w:rsid w:val="00125F4A"/>
    <w:rsid w:val="00126A45"/>
    <w:rsid w:val="00127391"/>
    <w:rsid w:val="001302FD"/>
    <w:rsid w:val="00130F0E"/>
    <w:rsid w:val="001310B1"/>
    <w:rsid w:val="0013178A"/>
    <w:rsid w:val="00132141"/>
    <w:rsid w:val="001336FF"/>
    <w:rsid w:val="00133F44"/>
    <w:rsid w:val="00133F62"/>
    <w:rsid w:val="0013412A"/>
    <w:rsid w:val="00134A20"/>
    <w:rsid w:val="00134BFE"/>
    <w:rsid w:val="0013508E"/>
    <w:rsid w:val="0013560C"/>
    <w:rsid w:val="00135E36"/>
    <w:rsid w:val="00136406"/>
    <w:rsid w:val="001375E3"/>
    <w:rsid w:val="00137991"/>
    <w:rsid w:val="001379AD"/>
    <w:rsid w:val="00137CD0"/>
    <w:rsid w:val="001401E3"/>
    <w:rsid w:val="001403BC"/>
    <w:rsid w:val="001406DD"/>
    <w:rsid w:val="0014111F"/>
    <w:rsid w:val="001414AF"/>
    <w:rsid w:val="00142010"/>
    <w:rsid w:val="00142212"/>
    <w:rsid w:val="001422A9"/>
    <w:rsid w:val="0014231E"/>
    <w:rsid w:val="00142E33"/>
    <w:rsid w:val="00143694"/>
    <w:rsid w:val="00144E4D"/>
    <w:rsid w:val="00145304"/>
    <w:rsid w:val="0014675A"/>
    <w:rsid w:val="00146BE7"/>
    <w:rsid w:val="00146FED"/>
    <w:rsid w:val="00147A33"/>
    <w:rsid w:val="00150574"/>
    <w:rsid w:val="00151174"/>
    <w:rsid w:val="00151D0D"/>
    <w:rsid w:val="00152603"/>
    <w:rsid w:val="00152756"/>
    <w:rsid w:val="00152E73"/>
    <w:rsid w:val="001539D8"/>
    <w:rsid w:val="00153B48"/>
    <w:rsid w:val="001547F3"/>
    <w:rsid w:val="0015530D"/>
    <w:rsid w:val="001559F5"/>
    <w:rsid w:val="001561BF"/>
    <w:rsid w:val="00161025"/>
    <w:rsid w:val="00161E57"/>
    <w:rsid w:val="001620C2"/>
    <w:rsid w:val="00163F5B"/>
    <w:rsid w:val="00164936"/>
    <w:rsid w:val="00164D83"/>
    <w:rsid w:val="001650C1"/>
    <w:rsid w:val="001662F9"/>
    <w:rsid w:val="001677D2"/>
    <w:rsid w:val="00167DA0"/>
    <w:rsid w:val="001717A9"/>
    <w:rsid w:val="00171C75"/>
    <w:rsid w:val="00171FB5"/>
    <w:rsid w:val="00172164"/>
    <w:rsid w:val="0017251F"/>
    <w:rsid w:val="001729A5"/>
    <w:rsid w:val="00172B6D"/>
    <w:rsid w:val="0017433F"/>
    <w:rsid w:val="00174823"/>
    <w:rsid w:val="00174DE6"/>
    <w:rsid w:val="001753E0"/>
    <w:rsid w:val="00175CD5"/>
    <w:rsid w:val="00177514"/>
    <w:rsid w:val="00177724"/>
    <w:rsid w:val="00180A87"/>
    <w:rsid w:val="001811E7"/>
    <w:rsid w:val="001818D1"/>
    <w:rsid w:val="00181DF5"/>
    <w:rsid w:val="0018444E"/>
    <w:rsid w:val="00184C04"/>
    <w:rsid w:val="00184E9C"/>
    <w:rsid w:val="0018544B"/>
    <w:rsid w:val="001856D4"/>
    <w:rsid w:val="001859D2"/>
    <w:rsid w:val="00185EBE"/>
    <w:rsid w:val="00186E40"/>
    <w:rsid w:val="00187BBB"/>
    <w:rsid w:val="00187BF6"/>
    <w:rsid w:val="001918D6"/>
    <w:rsid w:val="001925D9"/>
    <w:rsid w:val="001933B8"/>
    <w:rsid w:val="00193BD1"/>
    <w:rsid w:val="0019454F"/>
    <w:rsid w:val="00195A38"/>
    <w:rsid w:val="001960D5"/>
    <w:rsid w:val="001962FE"/>
    <w:rsid w:val="0019735F"/>
    <w:rsid w:val="00197603"/>
    <w:rsid w:val="00197829"/>
    <w:rsid w:val="001A0B3F"/>
    <w:rsid w:val="001A1668"/>
    <w:rsid w:val="001A3361"/>
    <w:rsid w:val="001A3950"/>
    <w:rsid w:val="001A400A"/>
    <w:rsid w:val="001A5C72"/>
    <w:rsid w:val="001A62AA"/>
    <w:rsid w:val="001A68A8"/>
    <w:rsid w:val="001A692A"/>
    <w:rsid w:val="001A6C74"/>
    <w:rsid w:val="001A7DE0"/>
    <w:rsid w:val="001B02C4"/>
    <w:rsid w:val="001B0BD0"/>
    <w:rsid w:val="001B1988"/>
    <w:rsid w:val="001B1E46"/>
    <w:rsid w:val="001B2001"/>
    <w:rsid w:val="001B2341"/>
    <w:rsid w:val="001B4132"/>
    <w:rsid w:val="001B5426"/>
    <w:rsid w:val="001C0138"/>
    <w:rsid w:val="001C033D"/>
    <w:rsid w:val="001C07B1"/>
    <w:rsid w:val="001C2126"/>
    <w:rsid w:val="001C23AF"/>
    <w:rsid w:val="001C3AB1"/>
    <w:rsid w:val="001C4307"/>
    <w:rsid w:val="001C4A19"/>
    <w:rsid w:val="001C4D2F"/>
    <w:rsid w:val="001C51D6"/>
    <w:rsid w:val="001C6366"/>
    <w:rsid w:val="001C6F5E"/>
    <w:rsid w:val="001C7913"/>
    <w:rsid w:val="001D0BB3"/>
    <w:rsid w:val="001D0EF7"/>
    <w:rsid w:val="001D24A8"/>
    <w:rsid w:val="001D2B1D"/>
    <w:rsid w:val="001D2B79"/>
    <w:rsid w:val="001D2E90"/>
    <w:rsid w:val="001D2F76"/>
    <w:rsid w:val="001D3CEE"/>
    <w:rsid w:val="001D4678"/>
    <w:rsid w:val="001D53C5"/>
    <w:rsid w:val="001D5C86"/>
    <w:rsid w:val="001D6818"/>
    <w:rsid w:val="001D6D63"/>
    <w:rsid w:val="001E1179"/>
    <w:rsid w:val="001E14CD"/>
    <w:rsid w:val="001E1B8B"/>
    <w:rsid w:val="001E1F3A"/>
    <w:rsid w:val="001E2636"/>
    <w:rsid w:val="001E27D2"/>
    <w:rsid w:val="001E5996"/>
    <w:rsid w:val="001E5A44"/>
    <w:rsid w:val="001E7509"/>
    <w:rsid w:val="001E7B9F"/>
    <w:rsid w:val="001F0253"/>
    <w:rsid w:val="001F0A4E"/>
    <w:rsid w:val="001F0F23"/>
    <w:rsid w:val="001F0F57"/>
    <w:rsid w:val="001F1F75"/>
    <w:rsid w:val="001F25B6"/>
    <w:rsid w:val="001F26B1"/>
    <w:rsid w:val="001F28CE"/>
    <w:rsid w:val="001F36EF"/>
    <w:rsid w:val="001F3830"/>
    <w:rsid w:val="001F412C"/>
    <w:rsid w:val="001F6038"/>
    <w:rsid w:val="001F70FF"/>
    <w:rsid w:val="001F77DB"/>
    <w:rsid w:val="00201C61"/>
    <w:rsid w:val="002026FD"/>
    <w:rsid w:val="00202776"/>
    <w:rsid w:val="00203AA9"/>
    <w:rsid w:val="0020492F"/>
    <w:rsid w:val="00204FE8"/>
    <w:rsid w:val="0020689A"/>
    <w:rsid w:val="00206F5F"/>
    <w:rsid w:val="00207E94"/>
    <w:rsid w:val="002101D6"/>
    <w:rsid w:val="00211E93"/>
    <w:rsid w:val="002140A5"/>
    <w:rsid w:val="00214EB8"/>
    <w:rsid w:val="00215DDA"/>
    <w:rsid w:val="00215F77"/>
    <w:rsid w:val="00216AB4"/>
    <w:rsid w:val="00217C08"/>
    <w:rsid w:val="00217DEC"/>
    <w:rsid w:val="00220248"/>
    <w:rsid w:val="00222892"/>
    <w:rsid w:val="00222C19"/>
    <w:rsid w:val="00222D26"/>
    <w:rsid w:val="00224407"/>
    <w:rsid w:val="00224E9F"/>
    <w:rsid w:val="00225357"/>
    <w:rsid w:val="00225750"/>
    <w:rsid w:val="002266B5"/>
    <w:rsid w:val="002307DB"/>
    <w:rsid w:val="00230F71"/>
    <w:rsid w:val="0023165C"/>
    <w:rsid w:val="00232854"/>
    <w:rsid w:val="002329AF"/>
    <w:rsid w:val="002342E1"/>
    <w:rsid w:val="00234919"/>
    <w:rsid w:val="00235D20"/>
    <w:rsid w:val="00236B45"/>
    <w:rsid w:val="00237177"/>
    <w:rsid w:val="00237FD4"/>
    <w:rsid w:val="0024055C"/>
    <w:rsid w:val="002408BE"/>
    <w:rsid w:val="00241145"/>
    <w:rsid w:val="00241B76"/>
    <w:rsid w:val="00241E83"/>
    <w:rsid w:val="00243313"/>
    <w:rsid w:val="0024462E"/>
    <w:rsid w:val="00244EB2"/>
    <w:rsid w:val="002456A6"/>
    <w:rsid w:val="00246705"/>
    <w:rsid w:val="00246CCB"/>
    <w:rsid w:val="002502D2"/>
    <w:rsid w:val="0025078A"/>
    <w:rsid w:val="002507B9"/>
    <w:rsid w:val="002529F5"/>
    <w:rsid w:val="00252F39"/>
    <w:rsid w:val="00253A26"/>
    <w:rsid w:val="00255C66"/>
    <w:rsid w:val="00255DD4"/>
    <w:rsid w:val="002568F2"/>
    <w:rsid w:val="00260EB0"/>
    <w:rsid w:val="002610B6"/>
    <w:rsid w:val="0026224F"/>
    <w:rsid w:val="00262C2C"/>
    <w:rsid w:val="00262FF2"/>
    <w:rsid w:val="0026370C"/>
    <w:rsid w:val="00263CBB"/>
    <w:rsid w:val="00264AB0"/>
    <w:rsid w:val="00265A88"/>
    <w:rsid w:val="00266535"/>
    <w:rsid w:val="002667FE"/>
    <w:rsid w:val="00266D3C"/>
    <w:rsid w:val="00267F47"/>
    <w:rsid w:val="00270543"/>
    <w:rsid w:val="00274899"/>
    <w:rsid w:val="00274D10"/>
    <w:rsid w:val="00274EDF"/>
    <w:rsid w:val="002752C3"/>
    <w:rsid w:val="00276767"/>
    <w:rsid w:val="00277FB4"/>
    <w:rsid w:val="00281BD1"/>
    <w:rsid w:val="00281D7C"/>
    <w:rsid w:val="0028230E"/>
    <w:rsid w:val="0028262E"/>
    <w:rsid w:val="00282E87"/>
    <w:rsid w:val="0028342D"/>
    <w:rsid w:val="00283BC9"/>
    <w:rsid w:val="00283D93"/>
    <w:rsid w:val="002851BA"/>
    <w:rsid w:val="00285A0E"/>
    <w:rsid w:val="0028703E"/>
    <w:rsid w:val="0029006B"/>
    <w:rsid w:val="002910F3"/>
    <w:rsid w:val="00291AE9"/>
    <w:rsid w:val="00291EE6"/>
    <w:rsid w:val="0029244F"/>
    <w:rsid w:val="0029381A"/>
    <w:rsid w:val="00293B36"/>
    <w:rsid w:val="0029454C"/>
    <w:rsid w:val="0029493D"/>
    <w:rsid w:val="002955B4"/>
    <w:rsid w:val="002961A8"/>
    <w:rsid w:val="00296A8D"/>
    <w:rsid w:val="002977C9"/>
    <w:rsid w:val="00297C6A"/>
    <w:rsid w:val="00297F8F"/>
    <w:rsid w:val="002A0301"/>
    <w:rsid w:val="002A0A89"/>
    <w:rsid w:val="002A0ACD"/>
    <w:rsid w:val="002A0EB0"/>
    <w:rsid w:val="002A11D2"/>
    <w:rsid w:val="002A1E45"/>
    <w:rsid w:val="002A2163"/>
    <w:rsid w:val="002A26E1"/>
    <w:rsid w:val="002A2756"/>
    <w:rsid w:val="002A38BE"/>
    <w:rsid w:val="002A3CEE"/>
    <w:rsid w:val="002A3D9F"/>
    <w:rsid w:val="002A69AB"/>
    <w:rsid w:val="002A7D20"/>
    <w:rsid w:val="002B1047"/>
    <w:rsid w:val="002B16FA"/>
    <w:rsid w:val="002B1F5D"/>
    <w:rsid w:val="002B2588"/>
    <w:rsid w:val="002B3E08"/>
    <w:rsid w:val="002B40CC"/>
    <w:rsid w:val="002B4ABA"/>
    <w:rsid w:val="002B4EDC"/>
    <w:rsid w:val="002B746B"/>
    <w:rsid w:val="002B78AC"/>
    <w:rsid w:val="002B7A03"/>
    <w:rsid w:val="002C1B54"/>
    <w:rsid w:val="002C238C"/>
    <w:rsid w:val="002C242A"/>
    <w:rsid w:val="002C3888"/>
    <w:rsid w:val="002C4CC5"/>
    <w:rsid w:val="002C4D86"/>
    <w:rsid w:val="002C5930"/>
    <w:rsid w:val="002C5974"/>
    <w:rsid w:val="002C5EA3"/>
    <w:rsid w:val="002C5EAF"/>
    <w:rsid w:val="002C6A5A"/>
    <w:rsid w:val="002C6CBC"/>
    <w:rsid w:val="002C77A6"/>
    <w:rsid w:val="002C7ECA"/>
    <w:rsid w:val="002D10F5"/>
    <w:rsid w:val="002D2A9D"/>
    <w:rsid w:val="002D2AC7"/>
    <w:rsid w:val="002D2E40"/>
    <w:rsid w:val="002D3A61"/>
    <w:rsid w:val="002D3A85"/>
    <w:rsid w:val="002D4E36"/>
    <w:rsid w:val="002D5429"/>
    <w:rsid w:val="002D6466"/>
    <w:rsid w:val="002D7E69"/>
    <w:rsid w:val="002E14D2"/>
    <w:rsid w:val="002E1CC9"/>
    <w:rsid w:val="002E2484"/>
    <w:rsid w:val="002E36B4"/>
    <w:rsid w:val="002E3858"/>
    <w:rsid w:val="002E46C4"/>
    <w:rsid w:val="002E4891"/>
    <w:rsid w:val="002E5447"/>
    <w:rsid w:val="002E5637"/>
    <w:rsid w:val="002E5D02"/>
    <w:rsid w:val="002E67DB"/>
    <w:rsid w:val="002E6B4E"/>
    <w:rsid w:val="002E6B7B"/>
    <w:rsid w:val="002E73F2"/>
    <w:rsid w:val="002F09E7"/>
    <w:rsid w:val="002F2B9A"/>
    <w:rsid w:val="002F38D7"/>
    <w:rsid w:val="002F3C6A"/>
    <w:rsid w:val="002F3FF6"/>
    <w:rsid w:val="002F4270"/>
    <w:rsid w:val="002F5071"/>
    <w:rsid w:val="002F539D"/>
    <w:rsid w:val="002F66A1"/>
    <w:rsid w:val="002F7E8E"/>
    <w:rsid w:val="003003AC"/>
    <w:rsid w:val="00301009"/>
    <w:rsid w:val="00302F6B"/>
    <w:rsid w:val="00304103"/>
    <w:rsid w:val="003043BF"/>
    <w:rsid w:val="003047EA"/>
    <w:rsid w:val="00304A90"/>
    <w:rsid w:val="0030562B"/>
    <w:rsid w:val="0030572A"/>
    <w:rsid w:val="003065B3"/>
    <w:rsid w:val="00306637"/>
    <w:rsid w:val="0030691A"/>
    <w:rsid w:val="003074C7"/>
    <w:rsid w:val="00310231"/>
    <w:rsid w:val="00310B44"/>
    <w:rsid w:val="00310C1D"/>
    <w:rsid w:val="00311FB7"/>
    <w:rsid w:val="003127E5"/>
    <w:rsid w:val="003139D6"/>
    <w:rsid w:val="00314ADA"/>
    <w:rsid w:val="0031517C"/>
    <w:rsid w:val="00316181"/>
    <w:rsid w:val="0031631A"/>
    <w:rsid w:val="00316769"/>
    <w:rsid w:val="00316FFE"/>
    <w:rsid w:val="00317278"/>
    <w:rsid w:val="00317669"/>
    <w:rsid w:val="00320DB8"/>
    <w:rsid w:val="00320E86"/>
    <w:rsid w:val="003210D9"/>
    <w:rsid w:val="00321258"/>
    <w:rsid w:val="003213DE"/>
    <w:rsid w:val="00322A9A"/>
    <w:rsid w:val="00322DF2"/>
    <w:rsid w:val="003243FF"/>
    <w:rsid w:val="00324A92"/>
    <w:rsid w:val="0032506D"/>
    <w:rsid w:val="003250C8"/>
    <w:rsid w:val="003251B2"/>
    <w:rsid w:val="00327049"/>
    <w:rsid w:val="0032719F"/>
    <w:rsid w:val="00327ED2"/>
    <w:rsid w:val="00330E1D"/>
    <w:rsid w:val="00331841"/>
    <w:rsid w:val="00331B35"/>
    <w:rsid w:val="00331E2B"/>
    <w:rsid w:val="003320A1"/>
    <w:rsid w:val="00332CB6"/>
    <w:rsid w:val="00332F57"/>
    <w:rsid w:val="00334235"/>
    <w:rsid w:val="00335710"/>
    <w:rsid w:val="00335D5B"/>
    <w:rsid w:val="00336053"/>
    <w:rsid w:val="0033669A"/>
    <w:rsid w:val="00336996"/>
    <w:rsid w:val="003376C2"/>
    <w:rsid w:val="0034099C"/>
    <w:rsid w:val="00340B3A"/>
    <w:rsid w:val="0034115A"/>
    <w:rsid w:val="0034365D"/>
    <w:rsid w:val="00343ABE"/>
    <w:rsid w:val="00345EEA"/>
    <w:rsid w:val="003463DA"/>
    <w:rsid w:val="00352B1D"/>
    <w:rsid w:val="003532D2"/>
    <w:rsid w:val="00353B68"/>
    <w:rsid w:val="00353E5A"/>
    <w:rsid w:val="00353F0A"/>
    <w:rsid w:val="0035417F"/>
    <w:rsid w:val="0035511E"/>
    <w:rsid w:val="003554D1"/>
    <w:rsid w:val="003555C8"/>
    <w:rsid w:val="00356FCD"/>
    <w:rsid w:val="00357C54"/>
    <w:rsid w:val="0036008B"/>
    <w:rsid w:val="00360140"/>
    <w:rsid w:val="00360950"/>
    <w:rsid w:val="0036151C"/>
    <w:rsid w:val="00361F24"/>
    <w:rsid w:val="00362010"/>
    <w:rsid w:val="0036238C"/>
    <w:rsid w:val="003676E0"/>
    <w:rsid w:val="00370FA6"/>
    <w:rsid w:val="00372060"/>
    <w:rsid w:val="0037295F"/>
    <w:rsid w:val="003732CF"/>
    <w:rsid w:val="00373965"/>
    <w:rsid w:val="0037434D"/>
    <w:rsid w:val="003749B8"/>
    <w:rsid w:val="00374C09"/>
    <w:rsid w:val="0037665E"/>
    <w:rsid w:val="00376937"/>
    <w:rsid w:val="00376A0A"/>
    <w:rsid w:val="00376D05"/>
    <w:rsid w:val="00377204"/>
    <w:rsid w:val="003775B0"/>
    <w:rsid w:val="00381575"/>
    <w:rsid w:val="00381804"/>
    <w:rsid w:val="00382E83"/>
    <w:rsid w:val="003841CA"/>
    <w:rsid w:val="0038527E"/>
    <w:rsid w:val="003852ED"/>
    <w:rsid w:val="003901CB"/>
    <w:rsid w:val="00391146"/>
    <w:rsid w:val="00392D09"/>
    <w:rsid w:val="00393C9D"/>
    <w:rsid w:val="00393EB9"/>
    <w:rsid w:val="00395B2E"/>
    <w:rsid w:val="00395C98"/>
    <w:rsid w:val="00395FE2"/>
    <w:rsid w:val="00396DD5"/>
    <w:rsid w:val="003978DC"/>
    <w:rsid w:val="003A03BD"/>
    <w:rsid w:val="003A05F7"/>
    <w:rsid w:val="003A11CE"/>
    <w:rsid w:val="003A2715"/>
    <w:rsid w:val="003A275C"/>
    <w:rsid w:val="003A2D51"/>
    <w:rsid w:val="003A3524"/>
    <w:rsid w:val="003A428A"/>
    <w:rsid w:val="003A43BC"/>
    <w:rsid w:val="003A4E3F"/>
    <w:rsid w:val="003A53E5"/>
    <w:rsid w:val="003A6B5B"/>
    <w:rsid w:val="003B0720"/>
    <w:rsid w:val="003B0B01"/>
    <w:rsid w:val="003B137F"/>
    <w:rsid w:val="003B18D8"/>
    <w:rsid w:val="003B209D"/>
    <w:rsid w:val="003B2E74"/>
    <w:rsid w:val="003B46E6"/>
    <w:rsid w:val="003B4C4B"/>
    <w:rsid w:val="003B6315"/>
    <w:rsid w:val="003B669E"/>
    <w:rsid w:val="003B6F3A"/>
    <w:rsid w:val="003B72B0"/>
    <w:rsid w:val="003B7305"/>
    <w:rsid w:val="003B730F"/>
    <w:rsid w:val="003B7391"/>
    <w:rsid w:val="003B75C0"/>
    <w:rsid w:val="003B7B5D"/>
    <w:rsid w:val="003B7F7A"/>
    <w:rsid w:val="003C01F2"/>
    <w:rsid w:val="003C0254"/>
    <w:rsid w:val="003C02C4"/>
    <w:rsid w:val="003C11D2"/>
    <w:rsid w:val="003C199F"/>
    <w:rsid w:val="003C2AF0"/>
    <w:rsid w:val="003C2B76"/>
    <w:rsid w:val="003C43DD"/>
    <w:rsid w:val="003C4B23"/>
    <w:rsid w:val="003C5F2D"/>
    <w:rsid w:val="003D01AD"/>
    <w:rsid w:val="003D0B1D"/>
    <w:rsid w:val="003D234D"/>
    <w:rsid w:val="003D24EE"/>
    <w:rsid w:val="003D2D63"/>
    <w:rsid w:val="003D3259"/>
    <w:rsid w:val="003D3E0D"/>
    <w:rsid w:val="003D4CCC"/>
    <w:rsid w:val="003D6131"/>
    <w:rsid w:val="003D6E4C"/>
    <w:rsid w:val="003E0D78"/>
    <w:rsid w:val="003E0F06"/>
    <w:rsid w:val="003E1B8E"/>
    <w:rsid w:val="003E1BED"/>
    <w:rsid w:val="003E21DF"/>
    <w:rsid w:val="003E2379"/>
    <w:rsid w:val="003E2ADD"/>
    <w:rsid w:val="003E3F6A"/>
    <w:rsid w:val="003E514B"/>
    <w:rsid w:val="003E5178"/>
    <w:rsid w:val="003E52D2"/>
    <w:rsid w:val="003E56B6"/>
    <w:rsid w:val="003E59A4"/>
    <w:rsid w:val="003E622A"/>
    <w:rsid w:val="003E6555"/>
    <w:rsid w:val="003F1032"/>
    <w:rsid w:val="003F2826"/>
    <w:rsid w:val="003F2FE3"/>
    <w:rsid w:val="003F41A0"/>
    <w:rsid w:val="003F5431"/>
    <w:rsid w:val="003F5B81"/>
    <w:rsid w:val="003F5F33"/>
    <w:rsid w:val="003F6D3C"/>
    <w:rsid w:val="003F71D2"/>
    <w:rsid w:val="003F71D9"/>
    <w:rsid w:val="003F727B"/>
    <w:rsid w:val="003F7939"/>
    <w:rsid w:val="0040100B"/>
    <w:rsid w:val="004014E1"/>
    <w:rsid w:val="00402005"/>
    <w:rsid w:val="00404780"/>
    <w:rsid w:val="00406E59"/>
    <w:rsid w:val="00406F6A"/>
    <w:rsid w:val="004075A7"/>
    <w:rsid w:val="0041224B"/>
    <w:rsid w:val="00412945"/>
    <w:rsid w:val="00413977"/>
    <w:rsid w:val="0041408C"/>
    <w:rsid w:val="0041437A"/>
    <w:rsid w:val="00415205"/>
    <w:rsid w:val="00415452"/>
    <w:rsid w:val="004165AD"/>
    <w:rsid w:val="00416639"/>
    <w:rsid w:val="0041693B"/>
    <w:rsid w:val="00416BA7"/>
    <w:rsid w:val="00417BCF"/>
    <w:rsid w:val="00420139"/>
    <w:rsid w:val="00420959"/>
    <w:rsid w:val="004217BD"/>
    <w:rsid w:val="00422134"/>
    <w:rsid w:val="00422817"/>
    <w:rsid w:val="00423038"/>
    <w:rsid w:val="0042343F"/>
    <w:rsid w:val="0042422F"/>
    <w:rsid w:val="004248AC"/>
    <w:rsid w:val="004250B3"/>
    <w:rsid w:val="004254EE"/>
    <w:rsid w:val="00425636"/>
    <w:rsid w:val="00425D61"/>
    <w:rsid w:val="00426BFF"/>
    <w:rsid w:val="00427606"/>
    <w:rsid w:val="0043031E"/>
    <w:rsid w:val="00430F00"/>
    <w:rsid w:val="004310DA"/>
    <w:rsid w:val="004312CC"/>
    <w:rsid w:val="0043399D"/>
    <w:rsid w:val="00434229"/>
    <w:rsid w:val="00434650"/>
    <w:rsid w:val="00436208"/>
    <w:rsid w:val="00436463"/>
    <w:rsid w:val="00436C0A"/>
    <w:rsid w:val="0043706D"/>
    <w:rsid w:val="00437F68"/>
    <w:rsid w:val="00440383"/>
    <w:rsid w:val="004442B1"/>
    <w:rsid w:val="004448F7"/>
    <w:rsid w:val="00444953"/>
    <w:rsid w:val="00444EF0"/>
    <w:rsid w:val="00445287"/>
    <w:rsid w:val="00446945"/>
    <w:rsid w:val="00446FCD"/>
    <w:rsid w:val="00447390"/>
    <w:rsid w:val="004506D0"/>
    <w:rsid w:val="0045111B"/>
    <w:rsid w:val="00452C6A"/>
    <w:rsid w:val="004538D1"/>
    <w:rsid w:val="004539C0"/>
    <w:rsid w:val="00453A81"/>
    <w:rsid w:val="00453C76"/>
    <w:rsid w:val="004540A6"/>
    <w:rsid w:val="00455107"/>
    <w:rsid w:val="004556C8"/>
    <w:rsid w:val="004556DE"/>
    <w:rsid w:val="00455CBF"/>
    <w:rsid w:val="00456704"/>
    <w:rsid w:val="004569A2"/>
    <w:rsid w:val="00456CBC"/>
    <w:rsid w:val="00457428"/>
    <w:rsid w:val="00457B42"/>
    <w:rsid w:val="00457B9D"/>
    <w:rsid w:val="004618B0"/>
    <w:rsid w:val="00461A72"/>
    <w:rsid w:val="00462718"/>
    <w:rsid w:val="00462815"/>
    <w:rsid w:val="00463650"/>
    <w:rsid w:val="00464C1E"/>
    <w:rsid w:val="00465B75"/>
    <w:rsid w:val="0046738A"/>
    <w:rsid w:val="00467601"/>
    <w:rsid w:val="004706F7"/>
    <w:rsid w:val="0047268B"/>
    <w:rsid w:val="00472D31"/>
    <w:rsid w:val="00472E6A"/>
    <w:rsid w:val="00473950"/>
    <w:rsid w:val="00473969"/>
    <w:rsid w:val="00475024"/>
    <w:rsid w:val="00475D50"/>
    <w:rsid w:val="0047677F"/>
    <w:rsid w:val="004771FE"/>
    <w:rsid w:val="00477660"/>
    <w:rsid w:val="004816ED"/>
    <w:rsid w:val="004819B0"/>
    <w:rsid w:val="004827CE"/>
    <w:rsid w:val="0048281B"/>
    <w:rsid w:val="00482D62"/>
    <w:rsid w:val="00484440"/>
    <w:rsid w:val="004847E4"/>
    <w:rsid w:val="00484F23"/>
    <w:rsid w:val="0048509D"/>
    <w:rsid w:val="0048537C"/>
    <w:rsid w:val="00485AA3"/>
    <w:rsid w:val="00485DB3"/>
    <w:rsid w:val="00486857"/>
    <w:rsid w:val="004872AD"/>
    <w:rsid w:val="00487F01"/>
    <w:rsid w:val="0049048D"/>
    <w:rsid w:val="00490614"/>
    <w:rsid w:val="00491AF9"/>
    <w:rsid w:val="0049252B"/>
    <w:rsid w:val="004925B2"/>
    <w:rsid w:val="00492AC5"/>
    <w:rsid w:val="00492E14"/>
    <w:rsid w:val="00492E27"/>
    <w:rsid w:val="004934DF"/>
    <w:rsid w:val="00493E7C"/>
    <w:rsid w:val="00494C8F"/>
    <w:rsid w:val="00495815"/>
    <w:rsid w:val="00495AB9"/>
    <w:rsid w:val="00495FEB"/>
    <w:rsid w:val="004A08DA"/>
    <w:rsid w:val="004A0B47"/>
    <w:rsid w:val="004A12A8"/>
    <w:rsid w:val="004A1D94"/>
    <w:rsid w:val="004A26EE"/>
    <w:rsid w:val="004A33D3"/>
    <w:rsid w:val="004A3640"/>
    <w:rsid w:val="004A6F59"/>
    <w:rsid w:val="004A751D"/>
    <w:rsid w:val="004B0302"/>
    <w:rsid w:val="004B09C2"/>
    <w:rsid w:val="004B0D62"/>
    <w:rsid w:val="004B1822"/>
    <w:rsid w:val="004B193F"/>
    <w:rsid w:val="004B2210"/>
    <w:rsid w:val="004B2389"/>
    <w:rsid w:val="004B2EC3"/>
    <w:rsid w:val="004B2F36"/>
    <w:rsid w:val="004B385F"/>
    <w:rsid w:val="004B3CB2"/>
    <w:rsid w:val="004B4DC7"/>
    <w:rsid w:val="004B5968"/>
    <w:rsid w:val="004B60A7"/>
    <w:rsid w:val="004C0108"/>
    <w:rsid w:val="004C153A"/>
    <w:rsid w:val="004C2DF7"/>
    <w:rsid w:val="004C39A2"/>
    <w:rsid w:val="004C3B2B"/>
    <w:rsid w:val="004C412F"/>
    <w:rsid w:val="004C4C3F"/>
    <w:rsid w:val="004C60CA"/>
    <w:rsid w:val="004C7B9D"/>
    <w:rsid w:val="004D1F94"/>
    <w:rsid w:val="004D3991"/>
    <w:rsid w:val="004D3D01"/>
    <w:rsid w:val="004D63CD"/>
    <w:rsid w:val="004D6879"/>
    <w:rsid w:val="004D7F4D"/>
    <w:rsid w:val="004E013B"/>
    <w:rsid w:val="004E0D2E"/>
    <w:rsid w:val="004E0E8A"/>
    <w:rsid w:val="004E15B1"/>
    <w:rsid w:val="004E1D23"/>
    <w:rsid w:val="004E444D"/>
    <w:rsid w:val="004E600F"/>
    <w:rsid w:val="004E62C0"/>
    <w:rsid w:val="004E69A1"/>
    <w:rsid w:val="004E767F"/>
    <w:rsid w:val="004E7BBF"/>
    <w:rsid w:val="004F00D0"/>
    <w:rsid w:val="004F1409"/>
    <w:rsid w:val="004F216D"/>
    <w:rsid w:val="004F3EC1"/>
    <w:rsid w:val="004F440E"/>
    <w:rsid w:val="004F50F0"/>
    <w:rsid w:val="004F5DEB"/>
    <w:rsid w:val="004F7BA8"/>
    <w:rsid w:val="005000C1"/>
    <w:rsid w:val="005007A6"/>
    <w:rsid w:val="00501302"/>
    <w:rsid w:val="00501B99"/>
    <w:rsid w:val="00503241"/>
    <w:rsid w:val="005033EA"/>
    <w:rsid w:val="00504660"/>
    <w:rsid w:val="005047B2"/>
    <w:rsid w:val="005053A6"/>
    <w:rsid w:val="005066F0"/>
    <w:rsid w:val="005069D6"/>
    <w:rsid w:val="00510B81"/>
    <w:rsid w:val="00510F97"/>
    <w:rsid w:val="00511803"/>
    <w:rsid w:val="00511C26"/>
    <w:rsid w:val="00511C90"/>
    <w:rsid w:val="005126D5"/>
    <w:rsid w:val="005128AA"/>
    <w:rsid w:val="0051409B"/>
    <w:rsid w:val="00515A23"/>
    <w:rsid w:val="00515C1A"/>
    <w:rsid w:val="00516E2D"/>
    <w:rsid w:val="00517BEF"/>
    <w:rsid w:val="00520F09"/>
    <w:rsid w:val="00521227"/>
    <w:rsid w:val="00522A26"/>
    <w:rsid w:val="00523E9B"/>
    <w:rsid w:val="0052417A"/>
    <w:rsid w:val="005242EF"/>
    <w:rsid w:val="00524541"/>
    <w:rsid w:val="005252D9"/>
    <w:rsid w:val="00525FB0"/>
    <w:rsid w:val="0052600A"/>
    <w:rsid w:val="00526BDE"/>
    <w:rsid w:val="00527415"/>
    <w:rsid w:val="00527C43"/>
    <w:rsid w:val="00530689"/>
    <w:rsid w:val="00530E04"/>
    <w:rsid w:val="005311D9"/>
    <w:rsid w:val="00531438"/>
    <w:rsid w:val="0053234D"/>
    <w:rsid w:val="0053235A"/>
    <w:rsid w:val="00532FE9"/>
    <w:rsid w:val="00533123"/>
    <w:rsid w:val="00533185"/>
    <w:rsid w:val="00534659"/>
    <w:rsid w:val="0053495A"/>
    <w:rsid w:val="00534A91"/>
    <w:rsid w:val="00534E79"/>
    <w:rsid w:val="00535BEF"/>
    <w:rsid w:val="00536571"/>
    <w:rsid w:val="005378CA"/>
    <w:rsid w:val="00537A2D"/>
    <w:rsid w:val="005403A9"/>
    <w:rsid w:val="005404AB"/>
    <w:rsid w:val="00541AD7"/>
    <w:rsid w:val="00542006"/>
    <w:rsid w:val="005422D5"/>
    <w:rsid w:val="00542ABE"/>
    <w:rsid w:val="00543F35"/>
    <w:rsid w:val="00546EED"/>
    <w:rsid w:val="005506E8"/>
    <w:rsid w:val="0055072E"/>
    <w:rsid w:val="00551C82"/>
    <w:rsid w:val="00551F7A"/>
    <w:rsid w:val="00552EC5"/>
    <w:rsid w:val="00553332"/>
    <w:rsid w:val="005534D1"/>
    <w:rsid w:val="00553503"/>
    <w:rsid w:val="0055360D"/>
    <w:rsid w:val="00553800"/>
    <w:rsid w:val="00553986"/>
    <w:rsid w:val="00554F91"/>
    <w:rsid w:val="00555E73"/>
    <w:rsid w:val="005562C5"/>
    <w:rsid w:val="0055735D"/>
    <w:rsid w:val="00560BE5"/>
    <w:rsid w:val="00561019"/>
    <w:rsid w:val="0056119D"/>
    <w:rsid w:val="005611F2"/>
    <w:rsid w:val="005625B4"/>
    <w:rsid w:val="00562ACC"/>
    <w:rsid w:val="00563C84"/>
    <w:rsid w:val="00563FAA"/>
    <w:rsid w:val="005650E5"/>
    <w:rsid w:val="00565389"/>
    <w:rsid w:val="00565404"/>
    <w:rsid w:val="00565987"/>
    <w:rsid w:val="00565E78"/>
    <w:rsid w:val="005666AC"/>
    <w:rsid w:val="005668DF"/>
    <w:rsid w:val="00566D73"/>
    <w:rsid w:val="00566E06"/>
    <w:rsid w:val="00570B89"/>
    <w:rsid w:val="00571034"/>
    <w:rsid w:val="005720A4"/>
    <w:rsid w:val="005721E8"/>
    <w:rsid w:val="005723E9"/>
    <w:rsid w:val="00573666"/>
    <w:rsid w:val="00575113"/>
    <w:rsid w:val="0057724B"/>
    <w:rsid w:val="0057751F"/>
    <w:rsid w:val="00581C7A"/>
    <w:rsid w:val="0058229A"/>
    <w:rsid w:val="00582490"/>
    <w:rsid w:val="00582815"/>
    <w:rsid w:val="0058365B"/>
    <w:rsid w:val="00583AC3"/>
    <w:rsid w:val="00583E5A"/>
    <w:rsid w:val="00584134"/>
    <w:rsid w:val="0058635A"/>
    <w:rsid w:val="005864C4"/>
    <w:rsid w:val="00587828"/>
    <w:rsid w:val="005915D9"/>
    <w:rsid w:val="00592397"/>
    <w:rsid w:val="00592952"/>
    <w:rsid w:val="00593FEB"/>
    <w:rsid w:val="00594A81"/>
    <w:rsid w:val="00594D4A"/>
    <w:rsid w:val="00594F8F"/>
    <w:rsid w:val="005955C1"/>
    <w:rsid w:val="005960FE"/>
    <w:rsid w:val="00596DD8"/>
    <w:rsid w:val="0059782E"/>
    <w:rsid w:val="00597D22"/>
    <w:rsid w:val="005A156C"/>
    <w:rsid w:val="005A1921"/>
    <w:rsid w:val="005A2AB7"/>
    <w:rsid w:val="005A2CA1"/>
    <w:rsid w:val="005A2DE6"/>
    <w:rsid w:val="005A3263"/>
    <w:rsid w:val="005A3702"/>
    <w:rsid w:val="005A3B7A"/>
    <w:rsid w:val="005A46B9"/>
    <w:rsid w:val="005A4D2B"/>
    <w:rsid w:val="005A5219"/>
    <w:rsid w:val="005A6915"/>
    <w:rsid w:val="005A7498"/>
    <w:rsid w:val="005A7C40"/>
    <w:rsid w:val="005A7CD8"/>
    <w:rsid w:val="005B0746"/>
    <w:rsid w:val="005B08CE"/>
    <w:rsid w:val="005B0AD3"/>
    <w:rsid w:val="005B14AA"/>
    <w:rsid w:val="005B2A16"/>
    <w:rsid w:val="005B3856"/>
    <w:rsid w:val="005B625E"/>
    <w:rsid w:val="005B6B04"/>
    <w:rsid w:val="005B6C4F"/>
    <w:rsid w:val="005B6F4F"/>
    <w:rsid w:val="005B7B04"/>
    <w:rsid w:val="005B7F16"/>
    <w:rsid w:val="005C0DAE"/>
    <w:rsid w:val="005C3243"/>
    <w:rsid w:val="005C3A16"/>
    <w:rsid w:val="005C3E6D"/>
    <w:rsid w:val="005C499A"/>
    <w:rsid w:val="005C5045"/>
    <w:rsid w:val="005C588B"/>
    <w:rsid w:val="005C5D91"/>
    <w:rsid w:val="005C73E1"/>
    <w:rsid w:val="005C780E"/>
    <w:rsid w:val="005D001D"/>
    <w:rsid w:val="005D00B4"/>
    <w:rsid w:val="005D0D31"/>
    <w:rsid w:val="005D0D9D"/>
    <w:rsid w:val="005D16F0"/>
    <w:rsid w:val="005D1D8D"/>
    <w:rsid w:val="005D39F9"/>
    <w:rsid w:val="005D3F20"/>
    <w:rsid w:val="005D4A5E"/>
    <w:rsid w:val="005D5D39"/>
    <w:rsid w:val="005D5DDD"/>
    <w:rsid w:val="005D776B"/>
    <w:rsid w:val="005E00F5"/>
    <w:rsid w:val="005E025C"/>
    <w:rsid w:val="005E1271"/>
    <w:rsid w:val="005E166B"/>
    <w:rsid w:val="005E2A20"/>
    <w:rsid w:val="005E2DB0"/>
    <w:rsid w:val="005E3067"/>
    <w:rsid w:val="005E311C"/>
    <w:rsid w:val="005E3D2D"/>
    <w:rsid w:val="005E3F39"/>
    <w:rsid w:val="005E4256"/>
    <w:rsid w:val="005E48A2"/>
    <w:rsid w:val="005E4906"/>
    <w:rsid w:val="005E49F9"/>
    <w:rsid w:val="005E50C8"/>
    <w:rsid w:val="005E53C7"/>
    <w:rsid w:val="005E7566"/>
    <w:rsid w:val="005E78C2"/>
    <w:rsid w:val="005F0A9C"/>
    <w:rsid w:val="005F11CD"/>
    <w:rsid w:val="005F14A6"/>
    <w:rsid w:val="005F1A1D"/>
    <w:rsid w:val="005F2120"/>
    <w:rsid w:val="005F26B2"/>
    <w:rsid w:val="005F380F"/>
    <w:rsid w:val="005F3DA8"/>
    <w:rsid w:val="005F4A69"/>
    <w:rsid w:val="005F5492"/>
    <w:rsid w:val="005F7A99"/>
    <w:rsid w:val="006003D0"/>
    <w:rsid w:val="0060070E"/>
    <w:rsid w:val="00600873"/>
    <w:rsid w:val="0060255B"/>
    <w:rsid w:val="006026E7"/>
    <w:rsid w:val="00602C36"/>
    <w:rsid w:val="00604CBC"/>
    <w:rsid w:val="006058CD"/>
    <w:rsid w:val="006059C8"/>
    <w:rsid w:val="006073B4"/>
    <w:rsid w:val="00607917"/>
    <w:rsid w:val="0061095F"/>
    <w:rsid w:val="006109D9"/>
    <w:rsid w:val="00610CB7"/>
    <w:rsid w:val="006119F1"/>
    <w:rsid w:val="00612168"/>
    <w:rsid w:val="006123FC"/>
    <w:rsid w:val="0061267E"/>
    <w:rsid w:val="0061280A"/>
    <w:rsid w:val="00613599"/>
    <w:rsid w:val="0061367F"/>
    <w:rsid w:val="0061377E"/>
    <w:rsid w:val="00614BDE"/>
    <w:rsid w:val="00614F21"/>
    <w:rsid w:val="006156C8"/>
    <w:rsid w:val="006166EE"/>
    <w:rsid w:val="0061718A"/>
    <w:rsid w:val="00617E9B"/>
    <w:rsid w:val="00620292"/>
    <w:rsid w:val="006203BC"/>
    <w:rsid w:val="00620666"/>
    <w:rsid w:val="00621FB1"/>
    <w:rsid w:val="0062339E"/>
    <w:rsid w:val="0062381E"/>
    <w:rsid w:val="0062411D"/>
    <w:rsid w:val="00625ABF"/>
    <w:rsid w:val="00626C38"/>
    <w:rsid w:val="00626FF1"/>
    <w:rsid w:val="0062739F"/>
    <w:rsid w:val="00627532"/>
    <w:rsid w:val="006278B3"/>
    <w:rsid w:val="00627CE0"/>
    <w:rsid w:val="00630101"/>
    <w:rsid w:val="0063172E"/>
    <w:rsid w:val="00631A8D"/>
    <w:rsid w:val="0063268D"/>
    <w:rsid w:val="0063396E"/>
    <w:rsid w:val="006350A6"/>
    <w:rsid w:val="006357A0"/>
    <w:rsid w:val="00635D13"/>
    <w:rsid w:val="00636B8B"/>
    <w:rsid w:val="00637265"/>
    <w:rsid w:val="006403DE"/>
    <w:rsid w:val="006405B7"/>
    <w:rsid w:val="00641033"/>
    <w:rsid w:val="0064130C"/>
    <w:rsid w:val="006419BD"/>
    <w:rsid w:val="00641B3D"/>
    <w:rsid w:val="00641CF6"/>
    <w:rsid w:val="006451AF"/>
    <w:rsid w:val="006462A0"/>
    <w:rsid w:val="0064698B"/>
    <w:rsid w:val="006470C6"/>
    <w:rsid w:val="00647AAA"/>
    <w:rsid w:val="00647AC5"/>
    <w:rsid w:val="00647D76"/>
    <w:rsid w:val="006504AD"/>
    <w:rsid w:val="00651437"/>
    <w:rsid w:val="00651935"/>
    <w:rsid w:val="00651E85"/>
    <w:rsid w:val="0065264A"/>
    <w:rsid w:val="00653A46"/>
    <w:rsid w:val="00655506"/>
    <w:rsid w:val="00655BB8"/>
    <w:rsid w:val="006566D8"/>
    <w:rsid w:val="00656799"/>
    <w:rsid w:val="006579A9"/>
    <w:rsid w:val="00657B14"/>
    <w:rsid w:val="00657EAB"/>
    <w:rsid w:val="0066106A"/>
    <w:rsid w:val="006611AD"/>
    <w:rsid w:val="006613EA"/>
    <w:rsid w:val="0066236F"/>
    <w:rsid w:val="00663756"/>
    <w:rsid w:val="00664557"/>
    <w:rsid w:val="006647AB"/>
    <w:rsid w:val="006648CD"/>
    <w:rsid w:val="006659FA"/>
    <w:rsid w:val="0066783B"/>
    <w:rsid w:val="00667936"/>
    <w:rsid w:val="00667BF8"/>
    <w:rsid w:val="00670E71"/>
    <w:rsid w:val="006716CB"/>
    <w:rsid w:val="00671DCE"/>
    <w:rsid w:val="006729FB"/>
    <w:rsid w:val="00672FCB"/>
    <w:rsid w:val="00673755"/>
    <w:rsid w:val="006747C6"/>
    <w:rsid w:val="00675148"/>
    <w:rsid w:val="00676700"/>
    <w:rsid w:val="00676F6D"/>
    <w:rsid w:val="006771CD"/>
    <w:rsid w:val="00681033"/>
    <w:rsid w:val="00681936"/>
    <w:rsid w:val="00681D3F"/>
    <w:rsid w:val="00683146"/>
    <w:rsid w:val="00683D0B"/>
    <w:rsid w:val="00684BA7"/>
    <w:rsid w:val="0068694D"/>
    <w:rsid w:val="0069037E"/>
    <w:rsid w:val="006912BA"/>
    <w:rsid w:val="00691F4B"/>
    <w:rsid w:val="006927D0"/>
    <w:rsid w:val="00692DB8"/>
    <w:rsid w:val="00692E72"/>
    <w:rsid w:val="00693916"/>
    <w:rsid w:val="0069467D"/>
    <w:rsid w:val="00694CAF"/>
    <w:rsid w:val="0069522E"/>
    <w:rsid w:val="00695548"/>
    <w:rsid w:val="00696979"/>
    <w:rsid w:val="006A051F"/>
    <w:rsid w:val="006A06B8"/>
    <w:rsid w:val="006A0A36"/>
    <w:rsid w:val="006A0D25"/>
    <w:rsid w:val="006A1EF8"/>
    <w:rsid w:val="006A2EB1"/>
    <w:rsid w:val="006A44B3"/>
    <w:rsid w:val="006A5C23"/>
    <w:rsid w:val="006A6C05"/>
    <w:rsid w:val="006A7502"/>
    <w:rsid w:val="006B03C0"/>
    <w:rsid w:val="006B1683"/>
    <w:rsid w:val="006B1AC8"/>
    <w:rsid w:val="006B27A9"/>
    <w:rsid w:val="006B5606"/>
    <w:rsid w:val="006B7241"/>
    <w:rsid w:val="006B77FA"/>
    <w:rsid w:val="006C0795"/>
    <w:rsid w:val="006C14CD"/>
    <w:rsid w:val="006C2F04"/>
    <w:rsid w:val="006C3054"/>
    <w:rsid w:val="006C34C7"/>
    <w:rsid w:val="006C3C05"/>
    <w:rsid w:val="006C50B7"/>
    <w:rsid w:val="006C5DB9"/>
    <w:rsid w:val="006C671A"/>
    <w:rsid w:val="006C74A6"/>
    <w:rsid w:val="006C7988"/>
    <w:rsid w:val="006D1452"/>
    <w:rsid w:val="006D1530"/>
    <w:rsid w:val="006D1847"/>
    <w:rsid w:val="006D3B84"/>
    <w:rsid w:val="006D4053"/>
    <w:rsid w:val="006D42F4"/>
    <w:rsid w:val="006D47DE"/>
    <w:rsid w:val="006D4C39"/>
    <w:rsid w:val="006D4D43"/>
    <w:rsid w:val="006D5685"/>
    <w:rsid w:val="006D5E1B"/>
    <w:rsid w:val="006D669A"/>
    <w:rsid w:val="006D717B"/>
    <w:rsid w:val="006D7D39"/>
    <w:rsid w:val="006D7E85"/>
    <w:rsid w:val="006E01BF"/>
    <w:rsid w:val="006E0A87"/>
    <w:rsid w:val="006E0D3E"/>
    <w:rsid w:val="006E1995"/>
    <w:rsid w:val="006E40E4"/>
    <w:rsid w:val="006E4547"/>
    <w:rsid w:val="006E4EE3"/>
    <w:rsid w:val="006E5435"/>
    <w:rsid w:val="006E59A8"/>
    <w:rsid w:val="006E6209"/>
    <w:rsid w:val="006E72BF"/>
    <w:rsid w:val="006E7820"/>
    <w:rsid w:val="006E7A61"/>
    <w:rsid w:val="006F00AE"/>
    <w:rsid w:val="006F0D41"/>
    <w:rsid w:val="006F2938"/>
    <w:rsid w:val="006F2EE4"/>
    <w:rsid w:val="006F3274"/>
    <w:rsid w:val="006F332D"/>
    <w:rsid w:val="006F3782"/>
    <w:rsid w:val="006F41F7"/>
    <w:rsid w:val="006F56CC"/>
    <w:rsid w:val="006F6E09"/>
    <w:rsid w:val="006F7372"/>
    <w:rsid w:val="00702057"/>
    <w:rsid w:val="0070291A"/>
    <w:rsid w:val="00703B4F"/>
    <w:rsid w:val="00703E67"/>
    <w:rsid w:val="00704359"/>
    <w:rsid w:val="00706E9E"/>
    <w:rsid w:val="0070745D"/>
    <w:rsid w:val="0071088D"/>
    <w:rsid w:val="00710E14"/>
    <w:rsid w:val="00710EF1"/>
    <w:rsid w:val="00711143"/>
    <w:rsid w:val="00711930"/>
    <w:rsid w:val="00711FDB"/>
    <w:rsid w:val="0071385C"/>
    <w:rsid w:val="007147A1"/>
    <w:rsid w:val="0071585A"/>
    <w:rsid w:val="007161BB"/>
    <w:rsid w:val="00716CF2"/>
    <w:rsid w:val="00716D6F"/>
    <w:rsid w:val="0071719F"/>
    <w:rsid w:val="0072074D"/>
    <w:rsid w:val="00720F0F"/>
    <w:rsid w:val="007214B9"/>
    <w:rsid w:val="00722200"/>
    <w:rsid w:val="00722C24"/>
    <w:rsid w:val="007233E1"/>
    <w:rsid w:val="00723984"/>
    <w:rsid w:val="00723D61"/>
    <w:rsid w:val="00724DDC"/>
    <w:rsid w:val="00725F91"/>
    <w:rsid w:val="00726991"/>
    <w:rsid w:val="007302C6"/>
    <w:rsid w:val="00730432"/>
    <w:rsid w:val="007304AA"/>
    <w:rsid w:val="00731B54"/>
    <w:rsid w:val="007330FF"/>
    <w:rsid w:val="007338C0"/>
    <w:rsid w:val="007339AC"/>
    <w:rsid w:val="00733DE2"/>
    <w:rsid w:val="0073403A"/>
    <w:rsid w:val="00736151"/>
    <w:rsid w:val="007362A7"/>
    <w:rsid w:val="007369E8"/>
    <w:rsid w:val="00737775"/>
    <w:rsid w:val="007401DF"/>
    <w:rsid w:val="007405D9"/>
    <w:rsid w:val="007406AE"/>
    <w:rsid w:val="00740AB3"/>
    <w:rsid w:val="00740D6C"/>
    <w:rsid w:val="007413EA"/>
    <w:rsid w:val="00741643"/>
    <w:rsid w:val="00741D8F"/>
    <w:rsid w:val="00742A7C"/>
    <w:rsid w:val="00743113"/>
    <w:rsid w:val="007431E4"/>
    <w:rsid w:val="00744046"/>
    <w:rsid w:val="0074419A"/>
    <w:rsid w:val="007449CF"/>
    <w:rsid w:val="00744E4C"/>
    <w:rsid w:val="00744E78"/>
    <w:rsid w:val="007451ED"/>
    <w:rsid w:val="00745460"/>
    <w:rsid w:val="00745DCD"/>
    <w:rsid w:val="007466D2"/>
    <w:rsid w:val="007467E2"/>
    <w:rsid w:val="00746EAB"/>
    <w:rsid w:val="007502D9"/>
    <w:rsid w:val="00750FB3"/>
    <w:rsid w:val="00751417"/>
    <w:rsid w:val="00754210"/>
    <w:rsid w:val="007544E2"/>
    <w:rsid w:val="007548D2"/>
    <w:rsid w:val="007549A4"/>
    <w:rsid w:val="00754BE5"/>
    <w:rsid w:val="00754CDB"/>
    <w:rsid w:val="0075633F"/>
    <w:rsid w:val="007563D6"/>
    <w:rsid w:val="00756B2D"/>
    <w:rsid w:val="0075790B"/>
    <w:rsid w:val="00757AEC"/>
    <w:rsid w:val="00760621"/>
    <w:rsid w:val="00761064"/>
    <w:rsid w:val="00761266"/>
    <w:rsid w:val="00761D59"/>
    <w:rsid w:val="007622B1"/>
    <w:rsid w:val="00762549"/>
    <w:rsid w:val="00762565"/>
    <w:rsid w:val="00762B02"/>
    <w:rsid w:val="007645C9"/>
    <w:rsid w:val="00765465"/>
    <w:rsid w:val="007659C4"/>
    <w:rsid w:val="00766487"/>
    <w:rsid w:val="00767486"/>
    <w:rsid w:val="00767B71"/>
    <w:rsid w:val="00767FC5"/>
    <w:rsid w:val="00771654"/>
    <w:rsid w:val="007719A7"/>
    <w:rsid w:val="00772326"/>
    <w:rsid w:val="007726B2"/>
    <w:rsid w:val="00773DDD"/>
    <w:rsid w:val="0077484A"/>
    <w:rsid w:val="00775455"/>
    <w:rsid w:val="0077607A"/>
    <w:rsid w:val="00776512"/>
    <w:rsid w:val="007774DF"/>
    <w:rsid w:val="007777F1"/>
    <w:rsid w:val="00780C3A"/>
    <w:rsid w:val="0078108B"/>
    <w:rsid w:val="0078121A"/>
    <w:rsid w:val="00782467"/>
    <w:rsid w:val="00783C92"/>
    <w:rsid w:val="00783CBA"/>
    <w:rsid w:val="00784299"/>
    <w:rsid w:val="007851A5"/>
    <w:rsid w:val="00787867"/>
    <w:rsid w:val="0078793B"/>
    <w:rsid w:val="00787C11"/>
    <w:rsid w:val="0079086D"/>
    <w:rsid w:val="00790DE9"/>
    <w:rsid w:val="007925F4"/>
    <w:rsid w:val="007929D4"/>
    <w:rsid w:val="00792E5A"/>
    <w:rsid w:val="00794A18"/>
    <w:rsid w:val="00795651"/>
    <w:rsid w:val="00795AA9"/>
    <w:rsid w:val="00796408"/>
    <w:rsid w:val="0079647A"/>
    <w:rsid w:val="007969B7"/>
    <w:rsid w:val="00797995"/>
    <w:rsid w:val="007A0AD7"/>
    <w:rsid w:val="007A1C6D"/>
    <w:rsid w:val="007A26DE"/>
    <w:rsid w:val="007A3305"/>
    <w:rsid w:val="007A3D5B"/>
    <w:rsid w:val="007A4862"/>
    <w:rsid w:val="007A55D1"/>
    <w:rsid w:val="007A632F"/>
    <w:rsid w:val="007A7277"/>
    <w:rsid w:val="007A7663"/>
    <w:rsid w:val="007A7DF7"/>
    <w:rsid w:val="007B0F19"/>
    <w:rsid w:val="007B15B0"/>
    <w:rsid w:val="007B2050"/>
    <w:rsid w:val="007B220F"/>
    <w:rsid w:val="007B2395"/>
    <w:rsid w:val="007B3145"/>
    <w:rsid w:val="007B34E6"/>
    <w:rsid w:val="007B4526"/>
    <w:rsid w:val="007B46B3"/>
    <w:rsid w:val="007B48D8"/>
    <w:rsid w:val="007B4CCB"/>
    <w:rsid w:val="007B636B"/>
    <w:rsid w:val="007B64B3"/>
    <w:rsid w:val="007B75B1"/>
    <w:rsid w:val="007B7A4F"/>
    <w:rsid w:val="007C11D9"/>
    <w:rsid w:val="007C1985"/>
    <w:rsid w:val="007C33EF"/>
    <w:rsid w:val="007C343B"/>
    <w:rsid w:val="007C414B"/>
    <w:rsid w:val="007C43D0"/>
    <w:rsid w:val="007C4F89"/>
    <w:rsid w:val="007C56A3"/>
    <w:rsid w:val="007D0469"/>
    <w:rsid w:val="007D0927"/>
    <w:rsid w:val="007D1018"/>
    <w:rsid w:val="007D1FF2"/>
    <w:rsid w:val="007D35EB"/>
    <w:rsid w:val="007D501D"/>
    <w:rsid w:val="007D5AFE"/>
    <w:rsid w:val="007D5CC4"/>
    <w:rsid w:val="007D5DE0"/>
    <w:rsid w:val="007D6A26"/>
    <w:rsid w:val="007D79C9"/>
    <w:rsid w:val="007E094D"/>
    <w:rsid w:val="007E0C3E"/>
    <w:rsid w:val="007E1536"/>
    <w:rsid w:val="007E1F0D"/>
    <w:rsid w:val="007E299F"/>
    <w:rsid w:val="007E431F"/>
    <w:rsid w:val="007E4580"/>
    <w:rsid w:val="007E5B7C"/>
    <w:rsid w:val="007E707A"/>
    <w:rsid w:val="007E736F"/>
    <w:rsid w:val="007E73B3"/>
    <w:rsid w:val="007E7553"/>
    <w:rsid w:val="007F0D06"/>
    <w:rsid w:val="007F1028"/>
    <w:rsid w:val="007F1059"/>
    <w:rsid w:val="007F2E21"/>
    <w:rsid w:val="007F2FF3"/>
    <w:rsid w:val="007F34A8"/>
    <w:rsid w:val="007F40EE"/>
    <w:rsid w:val="007F46A6"/>
    <w:rsid w:val="007F638E"/>
    <w:rsid w:val="007F7590"/>
    <w:rsid w:val="007F7713"/>
    <w:rsid w:val="007F784E"/>
    <w:rsid w:val="007F79D1"/>
    <w:rsid w:val="007F7A90"/>
    <w:rsid w:val="007F7C1E"/>
    <w:rsid w:val="008000AA"/>
    <w:rsid w:val="00802185"/>
    <w:rsid w:val="0080227D"/>
    <w:rsid w:val="00802F5E"/>
    <w:rsid w:val="008031CF"/>
    <w:rsid w:val="00803D7F"/>
    <w:rsid w:val="00804000"/>
    <w:rsid w:val="00804595"/>
    <w:rsid w:val="00804C20"/>
    <w:rsid w:val="00804D91"/>
    <w:rsid w:val="008052C3"/>
    <w:rsid w:val="0080674D"/>
    <w:rsid w:val="008106E4"/>
    <w:rsid w:val="008107EB"/>
    <w:rsid w:val="00810BC7"/>
    <w:rsid w:val="00812129"/>
    <w:rsid w:val="00813CC8"/>
    <w:rsid w:val="00815346"/>
    <w:rsid w:val="00815498"/>
    <w:rsid w:val="00815EEE"/>
    <w:rsid w:val="00816032"/>
    <w:rsid w:val="008207FD"/>
    <w:rsid w:val="00820D8D"/>
    <w:rsid w:val="00820E2B"/>
    <w:rsid w:val="00820F1B"/>
    <w:rsid w:val="008210DD"/>
    <w:rsid w:val="00821341"/>
    <w:rsid w:val="00822511"/>
    <w:rsid w:val="00822690"/>
    <w:rsid w:val="008243F2"/>
    <w:rsid w:val="0082487B"/>
    <w:rsid w:val="008252CE"/>
    <w:rsid w:val="0082568A"/>
    <w:rsid w:val="00826DFA"/>
    <w:rsid w:val="00827A08"/>
    <w:rsid w:val="008304C2"/>
    <w:rsid w:val="008321AC"/>
    <w:rsid w:val="00832B7B"/>
    <w:rsid w:val="00832CD8"/>
    <w:rsid w:val="008343D0"/>
    <w:rsid w:val="00835291"/>
    <w:rsid w:val="00835ED3"/>
    <w:rsid w:val="008363F4"/>
    <w:rsid w:val="00837418"/>
    <w:rsid w:val="00837ED0"/>
    <w:rsid w:val="008410F3"/>
    <w:rsid w:val="008421CA"/>
    <w:rsid w:val="008424F0"/>
    <w:rsid w:val="00842F13"/>
    <w:rsid w:val="008434AD"/>
    <w:rsid w:val="0084431D"/>
    <w:rsid w:val="00844D72"/>
    <w:rsid w:val="00845258"/>
    <w:rsid w:val="008452B2"/>
    <w:rsid w:val="0084590B"/>
    <w:rsid w:val="00846088"/>
    <w:rsid w:val="0084627E"/>
    <w:rsid w:val="008474E9"/>
    <w:rsid w:val="0084775F"/>
    <w:rsid w:val="0084786E"/>
    <w:rsid w:val="00847C7D"/>
    <w:rsid w:val="00847EE1"/>
    <w:rsid w:val="0085046A"/>
    <w:rsid w:val="00851BE0"/>
    <w:rsid w:val="0085268D"/>
    <w:rsid w:val="00852A0A"/>
    <w:rsid w:val="0085337C"/>
    <w:rsid w:val="00853E6B"/>
    <w:rsid w:val="0085446D"/>
    <w:rsid w:val="00854584"/>
    <w:rsid w:val="00854D5C"/>
    <w:rsid w:val="00856711"/>
    <w:rsid w:val="008567CD"/>
    <w:rsid w:val="00856A87"/>
    <w:rsid w:val="00856C1F"/>
    <w:rsid w:val="008573A3"/>
    <w:rsid w:val="008577A0"/>
    <w:rsid w:val="00860DA8"/>
    <w:rsid w:val="00860E99"/>
    <w:rsid w:val="008617FC"/>
    <w:rsid w:val="00861A73"/>
    <w:rsid w:val="0086213F"/>
    <w:rsid w:val="008631F2"/>
    <w:rsid w:val="00866353"/>
    <w:rsid w:val="00866CBF"/>
    <w:rsid w:val="00870705"/>
    <w:rsid w:val="00870930"/>
    <w:rsid w:val="00870EFC"/>
    <w:rsid w:val="00871237"/>
    <w:rsid w:val="00871A23"/>
    <w:rsid w:val="00872A76"/>
    <w:rsid w:val="00873748"/>
    <w:rsid w:val="00873CFE"/>
    <w:rsid w:val="0087534B"/>
    <w:rsid w:val="00875CCB"/>
    <w:rsid w:val="0087730A"/>
    <w:rsid w:val="00877459"/>
    <w:rsid w:val="008805D4"/>
    <w:rsid w:val="00880C9C"/>
    <w:rsid w:val="008811FA"/>
    <w:rsid w:val="0088181E"/>
    <w:rsid w:val="008818C3"/>
    <w:rsid w:val="00882630"/>
    <w:rsid w:val="008838E4"/>
    <w:rsid w:val="00883ECD"/>
    <w:rsid w:val="008841FA"/>
    <w:rsid w:val="00884B59"/>
    <w:rsid w:val="00885DFE"/>
    <w:rsid w:val="008867A4"/>
    <w:rsid w:val="008869AA"/>
    <w:rsid w:val="00886E56"/>
    <w:rsid w:val="00887D55"/>
    <w:rsid w:val="00890437"/>
    <w:rsid w:val="00890A44"/>
    <w:rsid w:val="0089174F"/>
    <w:rsid w:val="0089181C"/>
    <w:rsid w:val="00891881"/>
    <w:rsid w:val="00891A35"/>
    <w:rsid w:val="0089273C"/>
    <w:rsid w:val="008935CB"/>
    <w:rsid w:val="008945E9"/>
    <w:rsid w:val="00894961"/>
    <w:rsid w:val="00894D16"/>
    <w:rsid w:val="00895D1E"/>
    <w:rsid w:val="008960ED"/>
    <w:rsid w:val="0089691A"/>
    <w:rsid w:val="0089733B"/>
    <w:rsid w:val="00897D21"/>
    <w:rsid w:val="008A0569"/>
    <w:rsid w:val="008A0AF2"/>
    <w:rsid w:val="008A0B85"/>
    <w:rsid w:val="008A0D4D"/>
    <w:rsid w:val="008A1FA2"/>
    <w:rsid w:val="008A22A2"/>
    <w:rsid w:val="008A2942"/>
    <w:rsid w:val="008A2E35"/>
    <w:rsid w:val="008A31EE"/>
    <w:rsid w:val="008A46EC"/>
    <w:rsid w:val="008A538D"/>
    <w:rsid w:val="008A6357"/>
    <w:rsid w:val="008A7414"/>
    <w:rsid w:val="008A78D9"/>
    <w:rsid w:val="008B1521"/>
    <w:rsid w:val="008B2E7C"/>
    <w:rsid w:val="008B3318"/>
    <w:rsid w:val="008B538A"/>
    <w:rsid w:val="008B5567"/>
    <w:rsid w:val="008B5C3F"/>
    <w:rsid w:val="008B6B37"/>
    <w:rsid w:val="008B6EC6"/>
    <w:rsid w:val="008B7084"/>
    <w:rsid w:val="008C2260"/>
    <w:rsid w:val="008C3853"/>
    <w:rsid w:val="008C4328"/>
    <w:rsid w:val="008C4821"/>
    <w:rsid w:val="008C4D74"/>
    <w:rsid w:val="008C501A"/>
    <w:rsid w:val="008C5363"/>
    <w:rsid w:val="008C5A51"/>
    <w:rsid w:val="008C6ABE"/>
    <w:rsid w:val="008C6D6A"/>
    <w:rsid w:val="008C6FE2"/>
    <w:rsid w:val="008C732D"/>
    <w:rsid w:val="008C75D2"/>
    <w:rsid w:val="008D0670"/>
    <w:rsid w:val="008D2020"/>
    <w:rsid w:val="008D28E7"/>
    <w:rsid w:val="008D2E18"/>
    <w:rsid w:val="008D483B"/>
    <w:rsid w:val="008D4EE9"/>
    <w:rsid w:val="008D5C57"/>
    <w:rsid w:val="008D60A9"/>
    <w:rsid w:val="008D62A4"/>
    <w:rsid w:val="008D76F3"/>
    <w:rsid w:val="008D7F16"/>
    <w:rsid w:val="008D7FB5"/>
    <w:rsid w:val="008E03CA"/>
    <w:rsid w:val="008E0914"/>
    <w:rsid w:val="008E1115"/>
    <w:rsid w:val="008E25C5"/>
    <w:rsid w:val="008E2634"/>
    <w:rsid w:val="008E2849"/>
    <w:rsid w:val="008E28EA"/>
    <w:rsid w:val="008E2F66"/>
    <w:rsid w:val="008E43FD"/>
    <w:rsid w:val="008E47FD"/>
    <w:rsid w:val="008E4E7A"/>
    <w:rsid w:val="008E5370"/>
    <w:rsid w:val="008E5D72"/>
    <w:rsid w:val="008E6040"/>
    <w:rsid w:val="008E6047"/>
    <w:rsid w:val="008E6BCF"/>
    <w:rsid w:val="008E781E"/>
    <w:rsid w:val="008E7C87"/>
    <w:rsid w:val="008F0351"/>
    <w:rsid w:val="008F079D"/>
    <w:rsid w:val="008F0B05"/>
    <w:rsid w:val="008F1122"/>
    <w:rsid w:val="008F196F"/>
    <w:rsid w:val="008F2487"/>
    <w:rsid w:val="008F2FC1"/>
    <w:rsid w:val="008F3104"/>
    <w:rsid w:val="008F3481"/>
    <w:rsid w:val="008F3AE7"/>
    <w:rsid w:val="008F3D6B"/>
    <w:rsid w:val="008F4F25"/>
    <w:rsid w:val="008F657F"/>
    <w:rsid w:val="008F77CD"/>
    <w:rsid w:val="008F7B3C"/>
    <w:rsid w:val="009009D3"/>
    <w:rsid w:val="00900E15"/>
    <w:rsid w:val="00902B8E"/>
    <w:rsid w:val="00904034"/>
    <w:rsid w:val="00904BF0"/>
    <w:rsid w:val="00904FBF"/>
    <w:rsid w:val="00905579"/>
    <w:rsid w:val="00905852"/>
    <w:rsid w:val="0090614C"/>
    <w:rsid w:val="00907762"/>
    <w:rsid w:val="00907899"/>
    <w:rsid w:val="009114D4"/>
    <w:rsid w:val="009114D7"/>
    <w:rsid w:val="00911DCF"/>
    <w:rsid w:val="009127BA"/>
    <w:rsid w:val="00912805"/>
    <w:rsid w:val="00912AC7"/>
    <w:rsid w:val="00912C77"/>
    <w:rsid w:val="00912D54"/>
    <w:rsid w:val="00913545"/>
    <w:rsid w:val="009138CB"/>
    <w:rsid w:val="009145DC"/>
    <w:rsid w:val="00914D83"/>
    <w:rsid w:val="00916571"/>
    <w:rsid w:val="009166C7"/>
    <w:rsid w:val="00917C8C"/>
    <w:rsid w:val="00920C05"/>
    <w:rsid w:val="00920C7F"/>
    <w:rsid w:val="00925496"/>
    <w:rsid w:val="009257BB"/>
    <w:rsid w:val="009268F8"/>
    <w:rsid w:val="00926E3D"/>
    <w:rsid w:val="009270D9"/>
    <w:rsid w:val="0093256A"/>
    <w:rsid w:val="0093296B"/>
    <w:rsid w:val="009338F8"/>
    <w:rsid w:val="00934460"/>
    <w:rsid w:val="00935481"/>
    <w:rsid w:val="00935CA5"/>
    <w:rsid w:val="00935E19"/>
    <w:rsid w:val="00940C2E"/>
    <w:rsid w:val="00941151"/>
    <w:rsid w:val="00941B55"/>
    <w:rsid w:val="00941FC4"/>
    <w:rsid w:val="0094212A"/>
    <w:rsid w:val="009429FE"/>
    <w:rsid w:val="00943BC6"/>
    <w:rsid w:val="0094680A"/>
    <w:rsid w:val="0095127A"/>
    <w:rsid w:val="009533D2"/>
    <w:rsid w:val="00953753"/>
    <w:rsid w:val="00953C62"/>
    <w:rsid w:val="009541E6"/>
    <w:rsid w:val="0095513A"/>
    <w:rsid w:val="0095523E"/>
    <w:rsid w:val="00955508"/>
    <w:rsid w:val="009562BC"/>
    <w:rsid w:val="009570F5"/>
    <w:rsid w:val="0095747E"/>
    <w:rsid w:val="00957780"/>
    <w:rsid w:val="00960522"/>
    <w:rsid w:val="00960DC3"/>
    <w:rsid w:val="00960DDA"/>
    <w:rsid w:val="00962CD7"/>
    <w:rsid w:val="00963087"/>
    <w:rsid w:val="0096469F"/>
    <w:rsid w:val="00964CA6"/>
    <w:rsid w:val="00966C00"/>
    <w:rsid w:val="00971B4C"/>
    <w:rsid w:val="00973A71"/>
    <w:rsid w:val="00973B41"/>
    <w:rsid w:val="009748A9"/>
    <w:rsid w:val="00974C4C"/>
    <w:rsid w:val="00974D54"/>
    <w:rsid w:val="00974F9E"/>
    <w:rsid w:val="00975278"/>
    <w:rsid w:val="00975DBB"/>
    <w:rsid w:val="00980B0D"/>
    <w:rsid w:val="00980C10"/>
    <w:rsid w:val="00981A83"/>
    <w:rsid w:val="00982957"/>
    <w:rsid w:val="00982F3F"/>
    <w:rsid w:val="0098345E"/>
    <w:rsid w:val="0098402B"/>
    <w:rsid w:val="00984861"/>
    <w:rsid w:val="00986F36"/>
    <w:rsid w:val="0098714D"/>
    <w:rsid w:val="00987641"/>
    <w:rsid w:val="0098768F"/>
    <w:rsid w:val="00990326"/>
    <w:rsid w:val="00990D1D"/>
    <w:rsid w:val="00991AD2"/>
    <w:rsid w:val="0099272F"/>
    <w:rsid w:val="009933AA"/>
    <w:rsid w:val="00993FA9"/>
    <w:rsid w:val="00994977"/>
    <w:rsid w:val="009949DC"/>
    <w:rsid w:val="009952F4"/>
    <w:rsid w:val="009959E7"/>
    <w:rsid w:val="009966F3"/>
    <w:rsid w:val="009975CF"/>
    <w:rsid w:val="00997603"/>
    <w:rsid w:val="00997802"/>
    <w:rsid w:val="00997EC0"/>
    <w:rsid w:val="009A16CB"/>
    <w:rsid w:val="009A2927"/>
    <w:rsid w:val="009A4177"/>
    <w:rsid w:val="009A493E"/>
    <w:rsid w:val="009A637B"/>
    <w:rsid w:val="009A670E"/>
    <w:rsid w:val="009A6F8B"/>
    <w:rsid w:val="009A75A7"/>
    <w:rsid w:val="009B0DAE"/>
    <w:rsid w:val="009B1D40"/>
    <w:rsid w:val="009B1D4F"/>
    <w:rsid w:val="009B1ED9"/>
    <w:rsid w:val="009B2B34"/>
    <w:rsid w:val="009B4222"/>
    <w:rsid w:val="009B43F1"/>
    <w:rsid w:val="009B4AF4"/>
    <w:rsid w:val="009B5B08"/>
    <w:rsid w:val="009B7305"/>
    <w:rsid w:val="009B7B80"/>
    <w:rsid w:val="009C028B"/>
    <w:rsid w:val="009C0E60"/>
    <w:rsid w:val="009C23D3"/>
    <w:rsid w:val="009C277E"/>
    <w:rsid w:val="009C28DE"/>
    <w:rsid w:val="009C2C9A"/>
    <w:rsid w:val="009C60DA"/>
    <w:rsid w:val="009C7323"/>
    <w:rsid w:val="009C7728"/>
    <w:rsid w:val="009C7918"/>
    <w:rsid w:val="009C7F1E"/>
    <w:rsid w:val="009D2254"/>
    <w:rsid w:val="009D2A58"/>
    <w:rsid w:val="009D3B6E"/>
    <w:rsid w:val="009D47CC"/>
    <w:rsid w:val="009D530C"/>
    <w:rsid w:val="009D57CF"/>
    <w:rsid w:val="009D7535"/>
    <w:rsid w:val="009D7D0D"/>
    <w:rsid w:val="009E0121"/>
    <w:rsid w:val="009E03A6"/>
    <w:rsid w:val="009E0C4C"/>
    <w:rsid w:val="009E0DC2"/>
    <w:rsid w:val="009E1149"/>
    <w:rsid w:val="009E276F"/>
    <w:rsid w:val="009E28CE"/>
    <w:rsid w:val="009E2B7B"/>
    <w:rsid w:val="009E31FB"/>
    <w:rsid w:val="009E5500"/>
    <w:rsid w:val="009E5554"/>
    <w:rsid w:val="009E6C4F"/>
    <w:rsid w:val="009F0484"/>
    <w:rsid w:val="009F1D34"/>
    <w:rsid w:val="009F3D9F"/>
    <w:rsid w:val="009F4466"/>
    <w:rsid w:val="009F456C"/>
    <w:rsid w:val="009F525C"/>
    <w:rsid w:val="009F6CAA"/>
    <w:rsid w:val="009F719C"/>
    <w:rsid w:val="009F7304"/>
    <w:rsid w:val="00A01A42"/>
    <w:rsid w:val="00A01EAC"/>
    <w:rsid w:val="00A0205D"/>
    <w:rsid w:val="00A020C9"/>
    <w:rsid w:val="00A025F5"/>
    <w:rsid w:val="00A0308D"/>
    <w:rsid w:val="00A034A7"/>
    <w:rsid w:val="00A03F6F"/>
    <w:rsid w:val="00A04A1C"/>
    <w:rsid w:val="00A06935"/>
    <w:rsid w:val="00A07437"/>
    <w:rsid w:val="00A078EF"/>
    <w:rsid w:val="00A07B10"/>
    <w:rsid w:val="00A11560"/>
    <w:rsid w:val="00A12C91"/>
    <w:rsid w:val="00A14226"/>
    <w:rsid w:val="00A1487A"/>
    <w:rsid w:val="00A14D20"/>
    <w:rsid w:val="00A153E9"/>
    <w:rsid w:val="00A15508"/>
    <w:rsid w:val="00A1692A"/>
    <w:rsid w:val="00A171D5"/>
    <w:rsid w:val="00A20186"/>
    <w:rsid w:val="00A209D1"/>
    <w:rsid w:val="00A20A5A"/>
    <w:rsid w:val="00A20DD0"/>
    <w:rsid w:val="00A228BF"/>
    <w:rsid w:val="00A2311A"/>
    <w:rsid w:val="00A23E9B"/>
    <w:rsid w:val="00A27C56"/>
    <w:rsid w:val="00A27E6C"/>
    <w:rsid w:val="00A30496"/>
    <w:rsid w:val="00A313AA"/>
    <w:rsid w:val="00A32257"/>
    <w:rsid w:val="00A32BB3"/>
    <w:rsid w:val="00A32F68"/>
    <w:rsid w:val="00A3374A"/>
    <w:rsid w:val="00A35C38"/>
    <w:rsid w:val="00A35D62"/>
    <w:rsid w:val="00A36297"/>
    <w:rsid w:val="00A364FE"/>
    <w:rsid w:val="00A37422"/>
    <w:rsid w:val="00A37556"/>
    <w:rsid w:val="00A37EBB"/>
    <w:rsid w:val="00A40DF6"/>
    <w:rsid w:val="00A41733"/>
    <w:rsid w:val="00A42C71"/>
    <w:rsid w:val="00A430D6"/>
    <w:rsid w:val="00A43660"/>
    <w:rsid w:val="00A44162"/>
    <w:rsid w:val="00A4439A"/>
    <w:rsid w:val="00A447AD"/>
    <w:rsid w:val="00A44C7F"/>
    <w:rsid w:val="00A46E84"/>
    <w:rsid w:val="00A47458"/>
    <w:rsid w:val="00A474A4"/>
    <w:rsid w:val="00A47C49"/>
    <w:rsid w:val="00A47E8A"/>
    <w:rsid w:val="00A50062"/>
    <w:rsid w:val="00A5181C"/>
    <w:rsid w:val="00A51901"/>
    <w:rsid w:val="00A52A9B"/>
    <w:rsid w:val="00A53C17"/>
    <w:rsid w:val="00A54187"/>
    <w:rsid w:val="00A5568D"/>
    <w:rsid w:val="00A55695"/>
    <w:rsid w:val="00A56B4B"/>
    <w:rsid w:val="00A56CAB"/>
    <w:rsid w:val="00A56E01"/>
    <w:rsid w:val="00A57593"/>
    <w:rsid w:val="00A57821"/>
    <w:rsid w:val="00A5788D"/>
    <w:rsid w:val="00A57B8E"/>
    <w:rsid w:val="00A57BB0"/>
    <w:rsid w:val="00A60617"/>
    <w:rsid w:val="00A609B5"/>
    <w:rsid w:val="00A60BE7"/>
    <w:rsid w:val="00A615D5"/>
    <w:rsid w:val="00A61724"/>
    <w:rsid w:val="00A61B75"/>
    <w:rsid w:val="00A62A4D"/>
    <w:rsid w:val="00A6405E"/>
    <w:rsid w:val="00A64426"/>
    <w:rsid w:val="00A649DA"/>
    <w:rsid w:val="00A65C13"/>
    <w:rsid w:val="00A662AA"/>
    <w:rsid w:val="00A66A48"/>
    <w:rsid w:val="00A675A0"/>
    <w:rsid w:val="00A7040C"/>
    <w:rsid w:val="00A70809"/>
    <w:rsid w:val="00A70F61"/>
    <w:rsid w:val="00A71023"/>
    <w:rsid w:val="00A72593"/>
    <w:rsid w:val="00A732C7"/>
    <w:rsid w:val="00A73D2D"/>
    <w:rsid w:val="00A74246"/>
    <w:rsid w:val="00A744D7"/>
    <w:rsid w:val="00A746FF"/>
    <w:rsid w:val="00A7489E"/>
    <w:rsid w:val="00A74B0F"/>
    <w:rsid w:val="00A7572C"/>
    <w:rsid w:val="00A75C3A"/>
    <w:rsid w:val="00A75D1F"/>
    <w:rsid w:val="00A76BC5"/>
    <w:rsid w:val="00A77DBF"/>
    <w:rsid w:val="00A8071D"/>
    <w:rsid w:val="00A8122F"/>
    <w:rsid w:val="00A8204F"/>
    <w:rsid w:val="00A82A8A"/>
    <w:rsid w:val="00A82BE3"/>
    <w:rsid w:val="00A82BF0"/>
    <w:rsid w:val="00A830E3"/>
    <w:rsid w:val="00A8347E"/>
    <w:rsid w:val="00A8509D"/>
    <w:rsid w:val="00A86C3D"/>
    <w:rsid w:val="00A90AF4"/>
    <w:rsid w:val="00A91AE7"/>
    <w:rsid w:val="00A9303A"/>
    <w:rsid w:val="00A938A5"/>
    <w:rsid w:val="00A939C8"/>
    <w:rsid w:val="00A93A04"/>
    <w:rsid w:val="00A94352"/>
    <w:rsid w:val="00A9507B"/>
    <w:rsid w:val="00A952AD"/>
    <w:rsid w:val="00A96A2A"/>
    <w:rsid w:val="00A96AEA"/>
    <w:rsid w:val="00A96C88"/>
    <w:rsid w:val="00A977BB"/>
    <w:rsid w:val="00A97B71"/>
    <w:rsid w:val="00AA0497"/>
    <w:rsid w:val="00AA07E6"/>
    <w:rsid w:val="00AA096F"/>
    <w:rsid w:val="00AA0FA5"/>
    <w:rsid w:val="00AA0FB1"/>
    <w:rsid w:val="00AA290F"/>
    <w:rsid w:val="00AA2DAA"/>
    <w:rsid w:val="00AA2E90"/>
    <w:rsid w:val="00AA4405"/>
    <w:rsid w:val="00AA559C"/>
    <w:rsid w:val="00AA6C03"/>
    <w:rsid w:val="00AA6C49"/>
    <w:rsid w:val="00AA77AC"/>
    <w:rsid w:val="00AA7963"/>
    <w:rsid w:val="00AB1220"/>
    <w:rsid w:val="00AB17C1"/>
    <w:rsid w:val="00AB4024"/>
    <w:rsid w:val="00AB41A9"/>
    <w:rsid w:val="00AB4961"/>
    <w:rsid w:val="00AB55BA"/>
    <w:rsid w:val="00AB57F1"/>
    <w:rsid w:val="00AB68C4"/>
    <w:rsid w:val="00AB6E0A"/>
    <w:rsid w:val="00AB7C5F"/>
    <w:rsid w:val="00AC0630"/>
    <w:rsid w:val="00AC068B"/>
    <w:rsid w:val="00AC1E34"/>
    <w:rsid w:val="00AC277D"/>
    <w:rsid w:val="00AC2DFE"/>
    <w:rsid w:val="00AC2F3D"/>
    <w:rsid w:val="00AC3ED7"/>
    <w:rsid w:val="00AC4174"/>
    <w:rsid w:val="00AC44CE"/>
    <w:rsid w:val="00AC53FA"/>
    <w:rsid w:val="00AC5DCD"/>
    <w:rsid w:val="00AC5FED"/>
    <w:rsid w:val="00AC6135"/>
    <w:rsid w:val="00AC708A"/>
    <w:rsid w:val="00AC71F5"/>
    <w:rsid w:val="00AC7C14"/>
    <w:rsid w:val="00AD0473"/>
    <w:rsid w:val="00AD0BD5"/>
    <w:rsid w:val="00AD1F2F"/>
    <w:rsid w:val="00AD3C3A"/>
    <w:rsid w:val="00AD3CE7"/>
    <w:rsid w:val="00AD418B"/>
    <w:rsid w:val="00AD42CA"/>
    <w:rsid w:val="00AD502D"/>
    <w:rsid w:val="00AD521D"/>
    <w:rsid w:val="00AD6001"/>
    <w:rsid w:val="00AD6355"/>
    <w:rsid w:val="00AD6DFC"/>
    <w:rsid w:val="00AD77B0"/>
    <w:rsid w:val="00AE0610"/>
    <w:rsid w:val="00AE0C50"/>
    <w:rsid w:val="00AE11CE"/>
    <w:rsid w:val="00AE162F"/>
    <w:rsid w:val="00AE2C32"/>
    <w:rsid w:val="00AE2F5B"/>
    <w:rsid w:val="00AE310C"/>
    <w:rsid w:val="00AE417D"/>
    <w:rsid w:val="00AE5A84"/>
    <w:rsid w:val="00AE5A90"/>
    <w:rsid w:val="00AE6748"/>
    <w:rsid w:val="00AF07C7"/>
    <w:rsid w:val="00AF0C84"/>
    <w:rsid w:val="00AF0E21"/>
    <w:rsid w:val="00AF1711"/>
    <w:rsid w:val="00AF17FA"/>
    <w:rsid w:val="00AF1900"/>
    <w:rsid w:val="00AF2F5F"/>
    <w:rsid w:val="00AF3001"/>
    <w:rsid w:val="00AF3028"/>
    <w:rsid w:val="00AF3333"/>
    <w:rsid w:val="00AF4B25"/>
    <w:rsid w:val="00AF50EF"/>
    <w:rsid w:val="00AF5B11"/>
    <w:rsid w:val="00AF5C38"/>
    <w:rsid w:val="00B00E82"/>
    <w:rsid w:val="00B012B3"/>
    <w:rsid w:val="00B02588"/>
    <w:rsid w:val="00B02B45"/>
    <w:rsid w:val="00B02D4D"/>
    <w:rsid w:val="00B03CC6"/>
    <w:rsid w:val="00B043E9"/>
    <w:rsid w:val="00B047A3"/>
    <w:rsid w:val="00B05192"/>
    <w:rsid w:val="00B05532"/>
    <w:rsid w:val="00B05881"/>
    <w:rsid w:val="00B06195"/>
    <w:rsid w:val="00B06CC7"/>
    <w:rsid w:val="00B103D7"/>
    <w:rsid w:val="00B10721"/>
    <w:rsid w:val="00B1078A"/>
    <w:rsid w:val="00B11590"/>
    <w:rsid w:val="00B13709"/>
    <w:rsid w:val="00B13BB8"/>
    <w:rsid w:val="00B151E6"/>
    <w:rsid w:val="00B1568E"/>
    <w:rsid w:val="00B1590E"/>
    <w:rsid w:val="00B15E35"/>
    <w:rsid w:val="00B165BA"/>
    <w:rsid w:val="00B17D00"/>
    <w:rsid w:val="00B205CC"/>
    <w:rsid w:val="00B20A53"/>
    <w:rsid w:val="00B20F83"/>
    <w:rsid w:val="00B2170E"/>
    <w:rsid w:val="00B21933"/>
    <w:rsid w:val="00B21CBA"/>
    <w:rsid w:val="00B22ECA"/>
    <w:rsid w:val="00B23F4A"/>
    <w:rsid w:val="00B24102"/>
    <w:rsid w:val="00B241DE"/>
    <w:rsid w:val="00B243FA"/>
    <w:rsid w:val="00B2446A"/>
    <w:rsid w:val="00B24BCD"/>
    <w:rsid w:val="00B269D7"/>
    <w:rsid w:val="00B26DAC"/>
    <w:rsid w:val="00B27177"/>
    <w:rsid w:val="00B27933"/>
    <w:rsid w:val="00B30A2A"/>
    <w:rsid w:val="00B31917"/>
    <w:rsid w:val="00B31B79"/>
    <w:rsid w:val="00B324D7"/>
    <w:rsid w:val="00B32E26"/>
    <w:rsid w:val="00B33004"/>
    <w:rsid w:val="00B341B1"/>
    <w:rsid w:val="00B34242"/>
    <w:rsid w:val="00B344E4"/>
    <w:rsid w:val="00B34744"/>
    <w:rsid w:val="00B357CD"/>
    <w:rsid w:val="00B35A55"/>
    <w:rsid w:val="00B364B5"/>
    <w:rsid w:val="00B37626"/>
    <w:rsid w:val="00B40B34"/>
    <w:rsid w:val="00B410B6"/>
    <w:rsid w:val="00B416A1"/>
    <w:rsid w:val="00B42133"/>
    <w:rsid w:val="00B42589"/>
    <w:rsid w:val="00B426CB"/>
    <w:rsid w:val="00B42839"/>
    <w:rsid w:val="00B428B8"/>
    <w:rsid w:val="00B43169"/>
    <w:rsid w:val="00B43875"/>
    <w:rsid w:val="00B44269"/>
    <w:rsid w:val="00B448F8"/>
    <w:rsid w:val="00B449D5"/>
    <w:rsid w:val="00B44EB6"/>
    <w:rsid w:val="00B451BA"/>
    <w:rsid w:val="00B45287"/>
    <w:rsid w:val="00B4571C"/>
    <w:rsid w:val="00B459CE"/>
    <w:rsid w:val="00B468B5"/>
    <w:rsid w:val="00B46CC2"/>
    <w:rsid w:val="00B47699"/>
    <w:rsid w:val="00B5083E"/>
    <w:rsid w:val="00B51E23"/>
    <w:rsid w:val="00B52057"/>
    <w:rsid w:val="00B5264A"/>
    <w:rsid w:val="00B52D11"/>
    <w:rsid w:val="00B52F0C"/>
    <w:rsid w:val="00B52F18"/>
    <w:rsid w:val="00B53BA8"/>
    <w:rsid w:val="00B54B00"/>
    <w:rsid w:val="00B56393"/>
    <w:rsid w:val="00B5797D"/>
    <w:rsid w:val="00B61700"/>
    <w:rsid w:val="00B61FD9"/>
    <w:rsid w:val="00B62F4C"/>
    <w:rsid w:val="00B63DFD"/>
    <w:rsid w:val="00B6497E"/>
    <w:rsid w:val="00B65505"/>
    <w:rsid w:val="00B65E1C"/>
    <w:rsid w:val="00B6600D"/>
    <w:rsid w:val="00B67169"/>
    <w:rsid w:val="00B67272"/>
    <w:rsid w:val="00B70C7A"/>
    <w:rsid w:val="00B70FB7"/>
    <w:rsid w:val="00B71592"/>
    <w:rsid w:val="00B72085"/>
    <w:rsid w:val="00B720B9"/>
    <w:rsid w:val="00B72306"/>
    <w:rsid w:val="00B72CC7"/>
    <w:rsid w:val="00B734C6"/>
    <w:rsid w:val="00B74C08"/>
    <w:rsid w:val="00B75BFF"/>
    <w:rsid w:val="00B76282"/>
    <w:rsid w:val="00B762A7"/>
    <w:rsid w:val="00B7671D"/>
    <w:rsid w:val="00B76F9D"/>
    <w:rsid w:val="00B77F9E"/>
    <w:rsid w:val="00B807FB"/>
    <w:rsid w:val="00B80A50"/>
    <w:rsid w:val="00B81718"/>
    <w:rsid w:val="00B818A3"/>
    <w:rsid w:val="00B82404"/>
    <w:rsid w:val="00B84085"/>
    <w:rsid w:val="00B841EB"/>
    <w:rsid w:val="00B84200"/>
    <w:rsid w:val="00B867C7"/>
    <w:rsid w:val="00B86BDB"/>
    <w:rsid w:val="00B90782"/>
    <w:rsid w:val="00B9089F"/>
    <w:rsid w:val="00B90AF5"/>
    <w:rsid w:val="00B92CE2"/>
    <w:rsid w:val="00B92FDA"/>
    <w:rsid w:val="00B93C06"/>
    <w:rsid w:val="00B94A56"/>
    <w:rsid w:val="00B94CE0"/>
    <w:rsid w:val="00B95337"/>
    <w:rsid w:val="00B961D1"/>
    <w:rsid w:val="00B96EDB"/>
    <w:rsid w:val="00B972DD"/>
    <w:rsid w:val="00B978E4"/>
    <w:rsid w:val="00B97F4D"/>
    <w:rsid w:val="00B97F7B"/>
    <w:rsid w:val="00BA115F"/>
    <w:rsid w:val="00BA39C7"/>
    <w:rsid w:val="00BA4240"/>
    <w:rsid w:val="00BA443B"/>
    <w:rsid w:val="00BA45BA"/>
    <w:rsid w:val="00BA53BC"/>
    <w:rsid w:val="00BA62FA"/>
    <w:rsid w:val="00BA75D3"/>
    <w:rsid w:val="00BA78E4"/>
    <w:rsid w:val="00BA7DF8"/>
    <w:rsid w:val="00BB04C4"/>
    <w:rsid w:val="00BB066E"/>
    <w:rsid w:val="00BB1AED"/>
    <w:rsid w:val="00BB396C"/>
    <w:rsid w:val="00BB4121"/>
    <w:rsid w:val="00BB46F8"/>
    <w:rsid w:val="00BB4795"/>
    <w:rsid w:val="00BB5212"/>
    <w:rsid w:val="00BB5765"/>
    <w:rsid w:val="00BB6196"/>
    <w:rsid w:val="00BB6385"/>
    <w:rsid w:val="00BB7FED"/>
    <w:rsid w:val="00BC2287"/>
    <w:rsid w:val="00BC2FEB"/>
    <w:rsid w:val="00BC400A"/>
    <w:rsid w:val="00BC4338"/>
    <w:rsid w:val="00BC5AB1"/>
    <w:rsid w:val="00BC6A70"/>
    <w:rsid w:val="00BD0FAA"/>
    <w:rsid w:val="00BD45F6"/>
    <w:rsid w:val="00BD4D0A"/>
    <w:rsid w:val="00BD5B79"/>
    <w:rsid w:val="00BD5F90"/>
    <w:rsid w:val="00BD670E"/>
    <w:rsid w:val="00BD6933"/>
    <w:rsid w:val="00BD73D8"/>
    <w:rsid w:val="00BE0150"/>
    <w:rsid w:val="00BE018F"/>
    <w:rsid w:val="00BE0658"/>
    <w:rsid w:val="00BE0DFE"/>
    <w:rsid w:val="00BE1437"/>
    <w:rsid w:val="00BE2254"/>
    <w:rsid w:val="00BE22EF"/>
    <w:rsid w:val="00BE255E"/>
    <w:rsid w:val="00BE3DB8"/>
    <w:rsid w:val="00BE65FC"/>
    <w:rsid w:val="00BE6E8B"/>
    <w:rsid w:val="00BF0002"/>
    <w:rsid w:val="00BF0377"/>
    <w:rsid w:val="00BF19B4"/>
    <w:rsid w:val="00BF29BD"/>
    <w:rsid w:val="00BF30AB"/>
    <w:rsid w:val="00BF3572"/>
    <w:rsid w:val="00BF3B0A"/>
    <w:rsid w:val="00BF4DE0"/>
    <w:rsid w:val="00BF5122"/>
    <w:rsid w:val="00BF5169"/>
    <w:rsid w:val="00BF5646"/>
    <w:rsid w:val="00BF60CB"/>
    <w:rsid w:val="00BF7D3F"/>
    <w:rsid w:val="00C017C4"/>
    <w:rsid w:val="00C01BCF"/>
    <w:rsid w:val="00C02411"/>
    <w:rsid w:val="00C05819"/>
    <w:rsid w:val="00C05A2B"/>
    <w:rsid w:val="00C06401"/>
    <w:rsid w:val="00C10ABB"/>
    <w:rsid w:val="00C119D2"/>
    <w:rsid w:val="00C1245C"/>
    <w:rsid w:val="00C1592B"/>
    <w:rsid w:val="00C15EBD"/>
    <w:rsid w:val="00C17963"/>
    <w:rsid w:val="00C21DE4"/>
    <w:rsid w:val="00C21ED7"/>
    <w:rsid w:val="00C22391"/>
    <w:rsid w:val="00C2307B"/>
    <w:rsid w:val="00C24D14"/>
    <w:rsid w:val="00C254AB"/>
    <w:rsid w:val="00C2573D"/>
    <w:rsid w:val="00C306B1"/>
    <w:rsid w:val="00C30B8D"/>
    <w:rsid w:val="00C323EA"/>
    <w:rsid w:val="00C32A26"/>
    <w:rsid w:val="00C32AFA"/>
    <w:rsid w:val="00C32D50"/>
    <w:rsid w:val="00C332CB"/>
    <w:rsid w:val="00C333E6"/>
    <w:rsid w:val="00C334F0"/>
    <w:rsid w:val="00C33E11"/>
    <w:rsid w:val="00C35342"/>
    <w:rsid w:val="00C36243"/>
    <w:rsid w:val="00C36334"/>
    <w:rsid w:val="00C40CA9"/>
    <w:rsid w:val="00C411AF"/>
    <w:rsid w:val="00C41DA1"/>
    <w:rsid w:val="00C42D0B"/>
    <w:rsid w:val="00C430D0"/>
    <w:rsid w:val="00C43156"/>
    <w:rsid w:val="00C431AD"/>
    <w:rsid w:val="00C441F4"/>
    <w:rsid w:val="00C44D2E"/>
    <w:rsid w:val="00C455B1"/>
    <w:rsid w:val="00C45A40"/>
    <w:rsid w:val="00C45BBA"/>
    <w:rsid w:val="00C466D5"/>
    <w:rsid w:val="00C4670B"/>
    <w:rsid w:val="00C46B87"/>
    <w:rsid w:val="00C4737D"/>
    <w:rsid w:val="00C47D01"/>
    <w:rsid w:val="00C52A3A"/>
    <w:rsid w:val="00C52CC6"/>
    <w:rsid w:val="00C53290"/>
    <w:rsid w:val="00C53FB4"/>
    <w:rsid w:val="00C54229"/>
    <w:rsid w:val="00C5479D"/>
    <w:rsid w:val="00C54842"/>
    <w:rsid w:val="00C54A63"/>
    <w:rsid w:val="00C54E6B"/>
    <w:rsid w:val="00C55273"/>
    <w:rsid w:val="00C55A31"/>
    <w:rsid w:val="00C56002"/>
    <w:rsid w:val="00C565F4"/>
    <w:rsid w:val="00C56BF1"/>
    <w:rsid w:val="00C57424"/>
    <w:rsid w:val="00C57789"/>
    <w:rsid w:val="00C609C2"/>
    <w:rsid w:val="00C62289"/>
    <w:rsid w:val="00C63C47"/>
    <w:rsid w:val="00C63FDA"/>
    <w:rsid w:val="00C64B4A"/>
    <w:rsid w:val="00C64DE8"/>
    <w:rsid w:val="00C65EB9"/>
    <w:rsid w:val="00C708ED"/>
    <w:rsid w:val="00C70B66"/>
    <w:rsid w:val="00C713D8"/>
    <w:rsid w:val="00C71A21"/>
    <w:rsid w:val="00C71A49"/>
    <w:rsid w:val="00C72601"/>
    <w:rsid w:val="00C7317A"/>
    <w:rsid w:val="00C73E48"/>
    <w:rsid w:val="00C73EDE"/>
    <w:rsid w:val="00C74233"/>
    <w:rsid w:val="00C74D1F"/>
    <w:rsid w:val="00C74FF5"/>
    <w:rsid w:val="00C75D5A"/>
    <w:rsid w:val="00C75F5D"/>
    <w:rsid w:val="00C77D71"/>
    <w:rsid w:val="00C80CFE"/>
    <w:rsid w:val="00C81C8F"/>
    <w:rsid w:val="00C829F2"/>
    <w:rsid w:val="00C84C69"/>
    <w:rsid w:val="00C85134"/>
    <w:rsid w:val="00C85B85"/>
    <w:rsid w:val="00C86349"/>
    <w:rsid w:val="00C87A83"/>
    <w:rsid w:val="00C87C98"/>
    <w:rsid w:val="00C908A7"/>
    <w:rsid w:val="00C90A08"/>
    <w:rsid w:val="00C910ED"/>
    <w:rsid w:val="00C914A7"/>
    <w:rsid w:val="00C91859"/>
    <w:rsid w:val="00C921CD"/>
    <w:rsid w:val="00C928D8"/>
    <w:rsid w:val="00C92EB2"/>
    <w:rsid w:val="00C944F8"/>
    <w:rsid w:val="00C9495C"/>
    <w:rsid w:val="00C9514E"/>
    <w:rsid w:val="00C9544A"/>
    <w:rsid w:val="00C9579A"/>
    <w:rsid w:val="00C95CBD"/>
    <w:rsid w:val="00C97910"/>
    <w:rsid w:val="00C97920"/>
    <w:rsid w:val="00C97B54"/>
    <w:rsid w:val="00C97CB1"/>
    <w:rsid w:val="00CA0AA3"/>
    <w:rsid w:val="00CA15BF"/>
    <w:rsid w:val="00CA238F"/>
    <w:rsid w:val="00CA28E6"/>
    <w:rsid w:val="00CA4258"/>
    <w:rsid w:val="00CA469E"/>
    <w:rsid w:val="00CA566D"/>
    <w:rsid w:val="00CA6FE4"/>
    <w:rsid w:val="00CB1362"/>
    <w:rsid w:val="00CB1A08"/>
    <w:rsid w:val="00CB1BC9"/>
    <w:rsid w:val="00CB3BD6"/>
    <w:rsid w:val="00CB3F8A"/>
    <w:rsid w:val="00CB45D9"/>
    <w:rsid w:val="00CB46F6"/>
    <w:rsid w:val="00CB66DD"/>
    <w:rsid w:val="00CB7F25"/>
    <w:rsid w:val="00CC0D7A"/>
    <w:rsid w:val="00CC1C3A"/>
    <w:rsid w:val="00CC228E"/>
    <w:rsid w:val="00CC25AA"/>
    <w:rsid w:val="00CC2E53"/>
    <w:rsid w:val="00CC44A0"/>
    <w:rsid w:val="00CC4CBC"/>
    <w:rsid w:val="00CC4E65"/>
    <w:rsid w:val="00CC50FD"/>
    <w:rsid w:val="00CC5122"/>
    <w:rsid w:val="00CC62CD"/>
    <w:rsid w:val="00CC648F"/>
    <w:rsid w:val="00CC69C8"/>
    <w:rsid w:val="00CD0C58"/>
    <w:rsid w:val="00CD1224"/>
    <w:rsid w:val="00CD1269"/>
    <w:rsid w:val="00CD158C"/>
    <w:rsid w:val="00CD2DCB"/>
    <w:rsid w:val="00CD338F"/>
    <w:rsid w:val="00CD58C0"/>
    <w:rsid w:val="00CD5BF8"/>
    <w:rsid w:val="00CD6828"/>
    <w:rsid w:val="00CD727B"/>
    <w:rsid w:val="00CE036A"/>
    <w:rsid w:val="00CE03D8"/>
    <w:rsid w:val="00CE0400"/>
    <w:rsid w:val="00CE09FB"/>
    <w:rsid w:val="00CE1BBB"/>
    <w:rsid w:val="00CE211E"/>
    <w:rsid w:val="00CE29B8"/>
    <w:rsid w:val="00CE4D02"/>
    <w:rsid w:val="00CE661E"/>
    <w:rsid w:val="00CE68E1"/>
    <w:rsid w:val="00CE7456"/>
    <w:rsid w:val="00CF008F"/>
    <w:rsid w:val="00CF2277"/>
    <w:rsid w:val="00CF31D5"/>
    <w:rsid w:val="00CF4E44"/>
    <w:rsid w:val="00CF6479"/>
    <w:rsid w:val="00CF6885"/>
    <w:rsid w:val="00CF79F4"/>
    <w:rsid w:val="00D00330"/>
    <w:rsid w:val="00D006CF"/>
    <w:rsid w:val="00D00A1C"/>
    <w:rsid w:val="00D01FFE"/>
    <w:rsid w:val="00D02087"/>
    <w:rsid w:val="00D03F81"/>
    <w:rsid w:val="00D04A5D"/>
    <w:rsid w:val="00D05EE0"/>
    <w:rsid w:val="00D10662"/>
    <w:rsid w:val="00D10F68"/>
    <w:rsid w:val="00D119EB"/>
    <w:rsid w:val="00D129DC"/>
    <w:rsid w:val="00D132AA"/>
    <w:rsid w:val="00D13B50"/>
    <w:rsid w:val="00D13E33"/>
    <w:rsid w:val="00D140FF"/>
    <w:rsid w:val="00D14712"/>
    <w:rsid w:val="00D14D67"/>
    <w:rsid w:val="00D1534F"/>
    <w:rsid w:val="00D1716F"/>
    <w:rsid w:val="00D17FED"/>
    <w:rsid w:val="00D20D34"/>
    <w:rsid w:val="00D2146D"/>
    <w:rsid w:val="00D219D7"/>
    <w:rsid w:val="00D21ADE"/>
    <w:rsid w:val="00D2221E"/>
    <w:rsid w:val="00D22E57"/>
    <w:rsid w:val="00D23A4E"/>
    <w:rsid w:val="00D24368"/>
    <w:rsid w:val="00D24754"/>
    <w:rsid w:val="00D24DF2"/>
    <w:rsid w:val="00D263EF"/>
    <w:rsid w:val="00D2642B"/>
    <w:rsid w:val="00D27444"/>
    <w:rsid w:val="00D274FA"/>
    <w:rsid w:val="00D302C4"/>
    <w:rsid w:val="00D307BC"/>
    <w:rsid w:val="00D30DCF"/>
    <w:rsid w:val="00D30FE6"/>
    <w:rsid w:val="00D311A9"/>
    <w:rsid w:val="00D32F88"/>
    <w:rsid w:val="00D3315D"/>
    <w:rsid w:val="00D33216"/>
    <w:rsid w:val="00D332F7"/>
    <w:rsid w:val="00D33601"/>
    <w:rsid w:val="00D3383E"/>
    <w:rsid w:val="00D33EC0"/>
    <w:rsid w:val="00D34627"/>
    <w:rsid w:val="00D367E0"/>
    <w:rsid w:val="00D36886"/>
    <w:rsid w:val="00D36EE0"/>
    <w:rsid w:val="00D4024B"/>
    <w:rsid w:val="00D40FCC"/>
    <w:rsid w:val="00D418C7"/>
    <w:rsid w:val="00D4332D"/>
    <w:rsid w:val="00D43346"/>
    <w:rsid w:val="00D4463D"/>
    <w:rsid w:val="00D455AB"/>
    <w:rsid w:val="00D467E6"/>
    <w:rsid w:val="00D46B8F"/>
    <w:rsid w:val="00D46D13"/>
    <w:rsid w:val="00D47A38"/>
    <w:rsid w:val="00D47B9F"/>
    <w:rsid w:val="00D50BBE"/>
    <w:rsid w:val="00D51684"/>
    <w:rsid w:val="00D52596"/>
    <w:rsid w:val="00D52BE9"/>
    <w:rsid w:val="00D52D0B"/>
    <w:rsid w:val="00D53569"/>
    <w:rsid w:val="00D53762"/>
    <w:rsid w:val="00D54D76"/>
    <w:rsid w:val="00D55143"/>
    <w:rsid w:val="00D553C1"/>
    <w:rsid w:val="00D5552C"/>
    <w:rsid w:val="00D55EA0"/>
    <w:rsid w:val="00D561A4"/>
    <w:rsid w:val="00D565B2"/>
    <w:rsid w:val="00D56ABA"/>
    <w:rsid w:val="00D601AC"/>
    <w:rsid w:val="00D619C4"/>
    <w:rsid w:val="00D62136"/>
    <w:rsid w:val="00D64489"/>
    <w:rsid w:val="00D70315"/>
    <w:rsid w:val="00D706EB"/>
    <w:rsid w:val="00D712C3"/>
    <w:rsid w:val="00D72A4D"/>
    <w:rsid w:val="00D7466B"/>
    <w:rsid w:val="00D74980"/>
    <w:rsid w:val="00D74F89"/>
    <w:rsid w:val="00D759F8"/>
    <w:rsid w:val="00D75E4B"/>
    <w:rsid w:val="00D76908"/>
    <w:rsid w:val="00D775C4"/>
    <w:rsid w:val="00D77E98"/>
    <w:rsid w:val="00D805C7"/>
    <w:rsid w:val="00D807CA"/>
    <w:rsid w:val="00D81FEB"/>
    <w:rsid w:val="00D82C3C"/>
    <w:rsid w:val="00D8356E"/>
    <w:rsid w:val="00D84CA4"/>
    <w:rsid w:val="00D85F51"/>
    <w:rsid w:val="00D9033C"/>
    <w:rsid w:val="00D93044"/>
    <w:rsid w:val="00D93B09"/>
    <w:rsid w:val="00D94411"/>
    <w:rsid w:val="00D94419"/>
    <w:rsid w:val="00D96171"/>
    <w:rsid w:val="00D96554"/>
    <w:rsid w:val="00D97C80"/>
    <w:rsid w:val="00DA0235"/>
    <w:rsid w:val="00DA09FC"/>
    <w:rsid w:val="00DA147D"/>
    <w:rsid w:val="00DA15BE"/>
    <w:rsid w:val="00DA31A3"/>
    <w:rsid w:val="00DA37CA"/>
    <w:rsid w:val="00DA5AC3"/>
    <w:rsid w:val="00DA5D21"/>
    <w:rsid w:val="00DB0105"/>
    <w:rsid w:val="00DB03B8"/>
    <w:rsid w:val="00DB0C58"/>
    <w:rsid w:val="00DB160D"/>
    <w:rsid w:val="00DB1FDC"/>
    <w:rsid w:val="00DB20FC"/>
    <w:rsid w:val="00DB2A92"/>
    <w:rsid w:val="00DB432C"/>
    <w:rsid w:val="00DB4B38"/>
    <w:rsid w:val="00DB6247"/>
    <w:rsid w:val="00DC038B"/>
    <w:rsid w:val="00DC197D"/>
    <w:rsid w:val="00DC1A9E"/>
    <w:rsid w:val="00DC1D80"/>
    <w:rsid w:val="00DC2451"/>
    <w:rsid w:val="00DC3E24"/>
    <w:rsid w:val="00DC5A83"/>
    <w:rsid w:val="00DC60D1"/>
    <w:rsid w:val="00DC6324"/>
    <w:rsid w:val="00DC6556"/>
    <w:rsid w:val="00DC65FA"/>
    <w:rsid w:val="00DC6837"/>
    <w:rsid w:val="00DC6B00"/>
    <w:rsid w:val="00DD0CA0"/>
    <w:rsid w:val="00DD0D62"/>
    <w:rsid w:val="00DD2A9A"/>
    <w:rsid w:val="00DD4179"/>
    <w:rsid w:val="00DD518D"/>
    <w:rsid w:val="00DD56EA"/>
    <w:rsid w:val="00DD71ED"/>
    <w:rsid w:val="00DD73ED"/>
    <w:rsid w:val="00DD76CB"/>
    <w:rsid w:val="00DD7D3E"/>
    <w:rsid w:val="00DE0580"/>
    <w:rsid w:val="00DE0803"/>
    <w:rsid w:val="00DE1370"/>
    <w:rsid w:val="00DE279B"/>
    <w:rsid w:val="00DE3A1C"/>
    <w:rsid w:val="00DE5CE1"/>
    <w:rsid w:val="00DE5FF0"/>
    <w:rsid w:val="00DE774F"/>
    <w:rsid w:val="00DF00EE"/>
    <w:rsid w:val="00DF0540"/>
    <w:rsid w:val="00DF088B"/>
    <w:rsid w:val="00DF125C"/>
    <w:rsid w:val="00DF241C"/>
    <w:rsid w:val="00DF253D"/>
    <w:rsid w:val="00DF2B69"/>
    <w:rsid w:val="00DF3A2E"/>
    <w:rsid w:val="00DF43C6"/>
    <w:rsid w:val="00DF4D7A"/>
    <w:rsid w:val="00DF67F0"/>
    <w:rsid w:val="00DF6CBD"/>
    <w:rsid w:val="00E010C9"/>
    <w:rsid w:val="00E01E98"/>
    <w:rsid w:val="00E023AC"/>
    <w:rsid w:val="00E0248C"/>
    <w:rsid w:val="00E02492"/>
    <w:rsid w:val="00E02C13"/>
    <w:rsid w:val="00E02C96"/>
    <w:rsid w:val="00E02F78"/>
    <w:rsid w:val="00E04CF0"/>
    <w:rsid w:val="00E04D5E"/>
    <w:rsid w:val="00E05404"/>
    <w:rsid w:val="00E07E1B"/>
    <w:rsid w:val="00E10DB3"/>
    <w:rsid w:val="00E13323"/>
    <w:rsid w:val="00E13C9A"/>
    <w:rsid w:val="00E14714"/>
    <w:rsid w:val="00E14CDE"/>
    <w:rsid w:val="00E166EB"/>
    <w:rsid w:val="00E168D6"/>
    <w:rsid w:val="00E169E2"/>
    <w:rsid w:val="00E1741C"/>
    <w:rsid w:val="00E17B44"/>
    <w:rsid w:val="00E17E63"/>
    <w:rsid w:val="00E20283"/>
    <w:rsid w:val="00E20429"/>
    <w:rsid w:val="00E20EB0"/>
    <w:rsid w:val="00E21068"/>
    <w:rsid w:val="00E219B5"/>
    <w:rsid w:val="00E241AA"/>
    <w:rsid w:val="00E2505F"/>
    <w:rsid w:val="00E255DE"/>
    <w:rsid w:val="00E257EA"/>
    <w:rsid w:val="00E2632D"/>
    <w:rsid w:val="00E263C1"/>
    <w:rsid w:val="00E26B01"/>
    <w:rsid w:val="00E27870"/>
    <w:rsid w:val="00E309D4"/>
    <w:rsid w:val="00E31100"/>
    <w:rsid w:val="00E316FF"/>
    <w:rsid w:val="00E31D6E"/>
    <w:rsid w:val="00E329F1"/>
    <w:rsid w:val="00E335DF"/>
    <w:rsid w:val="00E33642"/>
    <w:rsid w:val="00E36280"/>
    <w:rsid w:val="00E37756"/>
    <w:rsid w:val="00E414BA"/>
    <w:rsid w:val="00E42515"/>
    <w:rsid w:val="00E4282A"/>
    <w:rsid w:val="00E42FFA"/>
    <w:rsid w:val="00E4314F"/>
    <w:rsid w:val="00E43E0B"/>
    <w:rsid w:val="00E44255"/>
    <w:rsid w:val="00E44797"/>
    <w:rsid w:val="00E44813"/>
    <w:rsid w:val="00E44D5A"/>
    <w:rsid w:val="00E4532E"/>
    <w:rsid w:val="00E46457"/>
    <w:rsid w:val="00E46C21"/>
    <w:rsid w:val="00E46D2E"/>
    <w:rsid w:val="00E47023"/>
    <w:rsid w:val="00E479CA"/>
    <w:rsid w:val="00E50C90"/>
    <w:rsid w:val="00E518B8"/>
    <w:rsid w:val="00E5349A"/>
    <w:rsid w:val="00E53892"/>
    <w:rsid w:val="00E539DD"/>
    <w:rsid w:val="00E53D69"/>
    <w:rsid w:val="00E55B83"/>
    <w:rsid w:val="00E56920"/>
    <w:rsid w:val="00E56A4C"/>
    <w:rsid w:val="00E57470"/>
    <w:rsid w:val="00E578F2"/>
    <w:rsid w:val="00E60E41"/>
    <w:rsid w:val="00E63038"/>
    <w:rsid w:val="00E63957"/>
    <w:rsid w:val="00E63DFB"/>
    <w:rsid w:val="00E65009"/>
    <w:rsid w:val="00E655A9"/>
    <w:rsid w:val="00E65A1D"/>
    <w:rsid w:val="00E65B1B"/>
    <w:rsid w:val="00E665C7"/>
    <w:rsid w:val="00E666B5"/>
    <w:rsid w:val="00E66972"/>
    <w:rsid w:val="00E66D33"/>
    <w:rsid w:val="00E67063"/>
    <w:rsid w:val="00E6738D"/>
    <w:rsid w:val="00E67759"/>
    <w:rsid w:val="00E67F99"/>
    <w:rsid w:val="00E67FDD"/>
    <w:rsid w:val="00E67FFD"/>
    <w:rsid w:val="00E70645"/>
    <w:rsid w:val="00E7135E"/>
    <w:rsid w:val="00E71BB3"/>
    <w:rsid w:val="00E727D7"/>
    <w:rsid w:val="00E73854"/>
    <w:rsid w:val="00E73A1B"/>
    <w:rsid w:val="00E73F60"/>
    <w:rsid w:val="00E80126"/>
    <w:rsid w:val="00E803C2"/>
    <w:rsid w:val="00E80FC4"/>
    <w:rsid w:val="00E84805"/>
    <w:rsid w:val="00E861FC"/>
    <w:rsid w:val="00E863E8"/>
    <w:rsid w:val="00E86C3D"/>
    <w:rsid w:val="00E902D9"/>
    <w:rsid w:val="00E9030B"/>
    <w:rsid w:val="00E906AE"/>
    <w:rsid w:val="00E91945"/>
    <w:rsid w:val="00E92CF2"/>
    <w:rsid w:val="00E9303C"/>
    <w:rsid w:val="00E938F8"/>
    <w:rsid w:val="00E94377"/>
    <w:rsid w:val="00E94630"/>
    <w:rsid w:val="00E94728"/>
    <w:rsid w:val="00E94A32"/>
    <w:rsid w:val="00E94F9D"/>
    <w:rsid w:val="00E95068"/>
    <w:rsid w:val="00E951B3"/>
    <w:rsid w:val="00E95764"/>
    <w:rsid w:val="00E958D3"/>
    <w:rsid w:val="00E96231"/>
    <w:rsid w:val="00E96D6E"/>
    <w:rsid w:val="00EA0CB3"/>
    <w:rsid w:val="00EA1CE2"/>
    <w:rsid w:val="00EA1FF3"/>
    <w:rsid w:val="00EA2F4B"/>
    <w:rsid w:val="00EA336A"/>
    <w:rsid w:val="00EA443D"/>
    <w:rsid w:val="00EA4578"/>
    <w:rsid w:val="00EA4CF6"/>
    <w:rsid w:val="00EA4DD3"/>
    <w:rsid w:val="00EA5314"/>
    <w:rsid w:val="00EA53A4"/>
    <w:rsid w:val="00EA5457"/>
    <w:rsid w:val="00EA584D"/>
    <w:rsid w:val="00EA79F9"/>
    <w:rsid w:val="00EB0181"/>
    <w:rsid w:val="00EB0C3B"/>
    <w:rsid w:val="00EB1446"/>
    <w:rsid w:val="00EB21BC"/>
    <w:rsid w:val="00EB26E1"/>
    <w:rsid w:val="00EB30E3"/>
    <w:rsid w:val="00EB3978"/>
    <w:rsid w:val="00EB3BC3"/>
    <w:rsid w:val="00EB574C"/>
    <w:rsid w:val="00EB5AC8"/>
    <w:rsid w:val="00EB7373"/>
    <w:rsid w:val="00EC00D2"/>
    <w:rsid w:val="00EC1826"/>
    <w:rsid w:val="00EC1F57"/>
    <w:rsid w:val="00EC3590"/>
    <w:rsid w:val="00EC51CC"/>
    <w:rsid w:val="00EC5D4F"/>
    <w:rsid w:val="00EC6462"/>
    <w:rsid w:val="00EC6494"/>
    <w:rsid w:val="00EC66E0"/>
    <w:rsid w:val="00EC7ED2"/>
    <w:rsid w:val="00ED0711"/>
    <w:rsid w:val="00ED0785"/>
    <w:rsid w:val="00ED0CBD"/>
    <w:rsid w:val="00ED0E9A"/>
    <w:rsid w:val="00ED17D4"/>
    <w:rsid w:val="00ED26DA"/>
    <w:rsid w:val="00ED2A79"/>
    <w:rsid w:val="00ED4D0C"/>
    <w:rsid w:val="00ED4DF2"/>
    <w:rsid w:val="00ED56F1"/>
    <w:rsid w:val="00ED5A01"/>
    <w:rsid w:val="00ED5BCE"/>
    <w:rsid w:val="00ED6223"/>
    <w:rsid w:val="00ED6606"/>
    <w:rsid w:val="00ED6CF9"/>
    <w:rsid w:val="00ED7834"/>
    <w:rsid w:val="00EE2C50"/>
    <w:rsid w:val="00EE4C1D"/>
    <w:rsid w:val="00EE4C55"/>
    <w:rsid w:val="00EE53BA"/>
    <w:rsid w:val="00EE5E49"/>
    <w:rsid w:val="00EE6310"/>
    <w:rsid w:val="00EE6E88"/>
    <w:rsid w:val="00EE74D0"/>
    <w:rsid w:val="00EE7FAA"/>
    <w:rsid w:val="00EF057D"/>
    <w:rsid w:val="00EF07CE"/>
    <w:rsid w:val="00EF1926"/>
    <w:rsid w:val="00EF1ACC"/>
    <w:rsid w:val="00EF1E9E"/>
    <w:rsid w:val="00EF1FFB"/>
    <w:rsid w:val="00EF2545"/>
    <w:rsid w:val="00EF2A4B"/>
    <w:rsid w:val="00EF3CFE"/>
    <w:rsid w:val="00EF4C81"/>
    <w:rsid w:val="00EF5AAE"/>
    <w:rsid w:val="00EF5AB8"/>
    <w:rsid w:val="00EF5D4F"/>
    <w:rsid w:val="00EF5E73"/>
    <w:rsid w:val="00F00C68"/>
    <w:rsid w:val="00F00D7A"/>
    <w:rsid w:val="00F01B6F"/>
    <w:rsid w:val="00F024BC"/>
    <w:rsid w:val="00F02C14"/>
    <w:rsid w:val="00F04244"/>
    <w:rsid w:val="00F0444D"/>
    <w:rsid w:val="00F04601"/>
    <w:rsid w:val="00F06539"/>
    <w:rsid w:val="00F06553"/>
    <w:rsid w:val="00F0660D"/>
    <w:rsid w:val="00F06654"/>
    <w:rsid w:val="00F066E7"/>
    <w:rsid w:val="00F0729D"/>
    <w:rsid w:val="00F07FF6"/>
    <w:rsid w:val="00F102B2"/>
    <w:rsid w:val="00F10796"/>
    <w:rsid w:val="00F107DD"/>
    <w:rsid w:val="00F10971"/>
    <w:rsid w:val="00F11B93"/>
    <w:rsid w:val="00F11BBC"/>
    <w:rsid w:val="00F124CC"/>
    <w:rsid w:val="00F130B8"/>
    <w:rsid w:val="00F132EE"/>
    <w:rsid w:val="00F1333D"/>
    <w:rsid w:val="00F141A0"/>
    <w:rsid w:val="00F14BF9"/>
    <w:rsid w:val="00F14ECE"/>
    <w:rsid w:val="00F16F4A"/>
    <w:rsid w:val="00F1742D"/>
    <w:rsid w:val="00F17893"/>
    <w:rsid w:val="00F20A25"/>
    <w:rsid w:val="00F2155C"/>
    <w:rsid w:val="00F223CD"/>
    <w:rsid w:val="00F227C4"/>
    <w:rsid w:val="00F22F53"/>
    <w:rsid w:val="00F236DE"/>
    <w:rsid w:val="00F23ECD"/>
    <w:rsid w:val="00F24727"/>
    <w:rsid w:val="00F24E0A"/>
    <w:rsid w:val="00F25890"/>
    <w:rsid w:val="00F25A09"/>
    <w:rsid w:val="00F266EE"/>
    <w:rsid w:val="00F268F3"/>
    <w:rsid w:val="00F26ABD"/>
    <w:rsid w:val="00F27BCA"/>
    <w:rsid w:val="00F3011C"/>
    <w:rsid w:val="00F30282"/>
    <w:rsid w:val="00F30F74"/>
    <w:rsid w:val="00F33EAB"/>
    <w:rsid w:val="00F35716"/>
    <w:rsid w:val="00F401C9"/>
    <w:rsid w:val="00F40BE7"/>
    <w:rsid w:val="00F40FC8"/>
    <w:rsid w:val="00F426B0"/>
    <w:rsid w:val="00F42779"/>
    <w:rsid w:val="00F42A8C"/>
    <w:rsid w:val="00F42CC7"/>
    <w:rsid w:val="00F42E8A"/>
    <w:rsid w:val="00F43529"/>
    <w:rsid w:val="00F43726"/>
    <w:rsid w:val="00F442A6"/>
    <w:rsid w:val="00F4450F"/>
    <w:rsid w:val="00F44DF9"/>
    <w:rsid w:val="00F4673E"/>
    <w:rsid w:val="00F468F0"/>
    <w:rsid w:val="00F46EC9"/>
    <w:rsid w:val="00F47291"/>
    <w:rsid w:val="00F4751C"/>
    <w:rsid w:val="00F50211"/>
    <w:rsid w:val="00F504F4"/>
    <w:rsid w:val="00F52174"/>
    <w:rsid w:val="00F52D6A"/>
    <w:rsid w:val="00F53986"/>
    <w:rsid w:val="00F551CA"/>
    <w:rsid w:val="00F560CB"/>
    <w:rsid w:val="00F5631B"/>
    <w:rsid w:val="00F60D71"/>
    <w:rsid w:val="00F62235"/>
    <w:rsid w:val="00F624C7"/>
    <w:rsid w:val="00F634EF"/>
    <w:rsid w:val="00F63676"/>
    <w:rsid w:val="00F63ACC"/>
    <w:rsid w:val="00F63F0C"/>
    <w:rsid w:val="00F64B7D"/>
    <w:rsid w:val="00F64E35"/>
    <w:rsid w:val="00F657A5"/>
    <w:rsid w:val="00F65AA3"/>
    <w:rsid w:val="00F65B8A"/>
    <w:rsid w:val="00F6776C"/>
    <w:rsid w:val="00F677BE"/>
    <w:rsid w:val="00F67D6F"/>
    <w:rsid w:val="00F70807"/>
    <w:rsid w:val="00F737CB"/>
    <w:rsid w:val="00F74846"/>
    <w:rsid w:val="00F749EB"/>
    <w:rsid w:val="00F74D7E"/>
    <w:rsid w:val="00F74FDF"/>
    <w:rsid w:val="00F7506E"/>
    <w:rsid w:val="00F7651C"/>
    <w:rsid w:val="00F76731"/>
    <w:rsid w:val="00F77085"/>
    <w:rsid w:val="00F7717F"/>
    <w:rsid w:val="00F7796E"/>
    <w:rsid w:val="00F77A43"/>
    <w:rsid w:val="00F8104F"/>
    <w:rsid w:val="00F81594"/>
    <w:rsid w:val="00F81CF6"/>
    <w:rsid w:val="00F822A4"/>
    <w:rsid w:val="00F82432"/>
    <w:rsid w:val="00F83FA2"/>
    <w:rsid w:val="00F84E65"/>
    <w:rsid w:val="00F85820"/>
    <w:rsid w:val="00F85A07"/>
    <w:rsid w:val="00F864EA"/>
    <w:rsid w:val="00F86CE5"/>
    <w:rsid w:val="00F8735E"/>
    <w:rsid w:val="00F87B66"/>
    <w:rsid w:val="00F90E56"/>
    <w:rsid w:val="00F91338"/>
    <w:rsid w:val="00F91B9E"/>
    <w:rsid w:val="00F92256"/>
    <w:rsid w:val="00F92668"/>
    <w:rsid w:val="00F928C5"/>
    <w:rsid w:val="00F92D91"/>
    <w:rsid w:val="00F92FFA"/>
    <w:rsid w:val="00F938AC"/>
    <w:rsid w:val="00F95518"/>
    <w:rsid w:val="00F9620E"/>
    <w:rsid w:val="00F96C29"/>
    <w:rsid w:val="00F96CAD"/>
    <w:rsid w:val="00F9738E"/>
    <w:rsid w:val="00FA0E12"/>
    <w:rsid w:val="00FA0E9E"/>
    <w:rsid w:val="00FA161C"/>
    <w:rsid w:val="00FA29D4"/>
    <w:rsid w:val="00FA2DAF"/>
    <w:rsid w:val="00FA3115"/>
    <w:rsid w:val="00FA3E09"/>
    <w:rsid w:val="00FA487E"/>
    <w:rsid w:val="00FA53B2"/>
    <w:rsid w:val="00FA5A62"/>
    <w:rsid w:val="00FA674B"/>
    <w:rsid w:val="00FA78A7"/>
    <w:rsid w:val="00FA7F6E"/>
    <w:rsid w:val="00FB0EB6"/>
    <w:rsid w:val="00FB2E1E"/>
    <w:rsid w:val="00FB3066"/>
    <w:rsid w:val="00FB3ECC"/>
    <w:rsid w:val="00FB4FBD"/>
    <w:rsid w:val="00FB693D"/>
    <w:rsid w:val="00FB77B3"/>
    <w:rsid w:val="00FB797C"/>
    <w:rsid w:val="00FB7FDF"/>
    <w:rsid w:val="00FC242B"/>
    <w:rsid w:val="00FC2A13"/>
    <w:rsid w:val="00FC3479"/>
    <w:rsid w:val="00FC3DAF"/>
    <w:rsid w:val="00FC615D"/>
    <w:rsid w:val="00FC62AC"/>
    <w:rsid w:val="00FC6813"/>
    <w:rsid w:val="00FC6E79"/>
    <w:rsid w:val="00FC793E"/>
    <w:rsid w:val="00FC7CBF"/>
    <w:rsid w:val="00FD13A3"/>
    <w:rsid w:val="00FD23FD"/>
    <w:rsid w:val="00FD26EF"/>
    <w:rsid w:val="00FD35C8"/>
    <w:rsid w:val="00FD367A"/>
    <w:rsid w:val="00FD4DDB"/>
    <w:rsid w:val="00FD7027"/>
    <w:rsid w:val="00FD7688"/>
    <w:rsid w:val="00FE0D50"/>
    <w:rsid w:val="00FE18B1"/>
    <w:rsid w:val="00FE234C"/>
    <w:rsid w:val="00FE26EA"/>
    <w:rsid w:val="00FE33CC"/>
    <w:rsid w:val="00FE349F"/>
    <w:rsid w:val="00FE3A46"/>
    <w:rsid w:val="00FE4130"/>
    <w:rsid w:val="00FE4236"/>
    <w:rsid w:val="00FE4943"/>
    <w:rsid w:val="00FE5407"/>
    <w:rsid w:val="00FE5DA6"/>
    <w:rsid w:val="00FE64C4"/>
    <w:rsid w:val="00FE6D8D"/>
    <w:rsid w:val="00FE6FCA"/>
    <w:rsid w:val="00FF03C9"/>
    <w:rsid w:val="00FF0BA2"/>
    <w:rsid w:val="00FF1679"/>
    <w:rsid w:val="00FF23A5"/>
    <w:rsid w:val="00FF329C"/>
    <w:rsid w:val="00FF4956"/>
    <w:rsid w:val="00FF498E"/>
    <w:rsid w:val="00FF4EE7"/>
    <w:rsid w:val="00FF5F50"/>
    <w:rsid w:val="00FF6FA3"/>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E119"/>
  <w14:defaultImageDpi w14:val="32767"/>
  <w15:chartTrackingRefBased/>
  <w15:docId w15:val="{387A014A-B107-4129-9B08-A623E792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04"/>
    <w:rPr>
      <w:rFonts w:ascii="Times New Roman" w:hAnsi="Times New Roman" w:cs="Times New Roman"/>
      <w:lang w:eastAsia="en-GB"/>
    </w:rPr>
  </w:style>
  <w:style w:type="paragraph" w:styleId="Heading1">
    <w:name w:val="heading 1"/>
    <w:basedOn w:val="Normal"/>
    <w:link w:val="Heading1Char"/>
    <w:uiPriority w:val="9"/>
    <w:qFormat/>
    <w:rsid w:val="005B08CE"/>
    <w:pPr>
      <w:spacing w:before="100" w:beforeAutospacing="1" w:after="100" w:afterAutospacing="1"/>
      <w:jc w:val="center"/>
      <w:outlineLvl w:val="0"/>
    </w:pPr>
    <w:rPr>
      <w:b/>
      <w:bCs/>
      <w:kern w:val="36"/>
      <w:szCs w:val="48"/>
    </w:rPr>
  </w:style>
  <w:style w:type="paragraph" w:styleId="Heading2">
    <w:name w:val="heading 2"/>
    <w:basedOn w:val="Normal"/>
    <w:next w:val="Normal"/>
    <w:link w:val="Heading2Char"/>
    <w:uiPriority w:val="9"/>
    <w:unhideWhenUsed/>
    <w:qFormat/>
    <w:rsid w:val="005B08CE"/>
    <w:pPr>
      <w:keepNext/>
      <w:keepLines/>
      <w:spacing w:before="40"/>
      <w:jc w:val="center"/>
      <w:outlineLvl w:val="1"/>
    </w:pPr>
    <w:rPr>
      <w:rFonts w:eastAsiaTheme="majorEastAsia" w:cstheme="majorBidi"/>
      <w:i/>
      <w:color w:val="000000" w:themeColor="text1"/>
      <w:szCs w:val="26"/>
      <w:lang w:eastAsia="en-US"/>
    </w:rPr>
  </w:style>
  <w:style w:type="paragraph" w:styleId="Heading3">
    <w:name w:val="heading 3"/>
    <w:basedOn w:val="Normal"/>
    <w:next w:val="Normal"/>
    <w:link w:val="Heading3Char"/>
    <w:uiPriority w:val="9"/>
    <w:unhideWhenUsed/>
    <w:qFormat/>
    <w:rsid w:val="000D7001"/>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046"/>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44046"/>
  </w:style>
  <w:style w:type="character" w:styleId="PageNumber">
    <w:name w:val="page number"/>
    <w:basedOn w:val="DefaultParagraphFont"/>
    <w:uiPriority w:val="99"/>
    <w:semiHidden/>
    <w:unhideWhenUsed/>
    <w:rsid w:val="00744046"/>
  </w:style>
  <w:style w:type="character" w:customStyle="1" w:styleId="Heading1Char">
    <w:name w:val="Heading 1 Char"/>
    <w:basedOn w:val="DefaultParagraphFont"/>
    <w:link w:val="Heading1"/>
    <w:uiPriority w:val="9"/>
    <w:rsid w:val="005B08CE"/>
    <w:rPr>
      <w:rFonts w:ascii="Times New Roman" w:hAnsi="Times New Roman" w:cs="Times New Roman"/>
      <w:b/>
      <w:bCs/>
      <w:kern w:val="36"/>
      <w:szCs w:val="48"/>
      <w:lang w:eastAsia="en-GB"/>
    </w:rPr>
  </w:style>
  <w:style w:type="character" w:customStyle="1" w:styleId="addmd">
    <w:name w:val="addmd"/>
    <w:basedOn w:val="DefaultParagraphFont"/>
    <w:rsid w:val="000538DE"/>
  </w:style>
  <w:style w:type="character" w:styleId="Hyperlink">
    <w:name w:val="Hyperlink"/>
    <w:basedOn w:val="DefaultParagraphFont"/>
    <w:uiPriority w:val="99"/>
    <w:unhideWhenUsed/>
    <w:rsid w:val="00CF31D5"/>
    <w:rPr>
      <w:color w:val="0563C1" w:themeColor="hyperlink"/>
      <w:u w:val="single"/>
    </w:rPr>
  </w:style>
  <w:style w:type="character" w:styleId="Strong">
    <w:name w:val="Strong"/>
    <w:basedOn w:val="DefaultParagraphFont"/>
    <w:uiPriority w:val="22"/>
    <w:qFormat/>
    <w:rsid w:val="001960D5"/>
    <w:rPr>
      <w:b/>
      <w:bCs/>
    </w:rPr>
  </w:style>
  <w:style w:type="paragraph" w:styleId="FootnoteText">
    <w:name w:val="footnote text"/>
    <w:basedOn w:val="Normal"/>
    <w:link w:val="FootnoteTextChar"/>
    <w:uiPriority w:val="99"/>
    <w:unhideWhenUsed/>
    <w:rsid w:val="00F236DE"/>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236DE"/>
    <w:rPr>
      <w:sz w:val="20"/>
      <w:szCs w:val="20"/>
    </w:rPr>
  </w:style>
  <w:style w:type="character" w:styleId="FootnoteReference">
    <w:name w:val="footnote reference"/>
    <w:basedOn w:val="DefaultParagraphFont"/>
    <w:uiPriority w:val="99"/>
    <w:unhideWhenUsed/>
    <w:rsid w:val="00F236DE"/>
    <w:rPr>
      <w:vertAlign w:val="superscript"/>
    </w:rPr>
  </w:style>
  <w:style w:type="character" w:styleId="Emphasis">
    <w:name w:val="Emphasis"/>
    <w:basedOn w:val="DefaultParagraphFont"/>
    <w:uiPriority w:val="20"/>
    <w:qFormat/>
    <w:rsid w:val="00426BFF"/>
    <w:rPr>
      <w:i/>
      <w:iCs/>
    </w:rPr>
  </w:style>
  <w:style w:type="paragraph" w:customStyle="1" w:styleId="p1">
    <w:name w:val="p1"/>
    <w:basedOn w:val="Normal"/>
    <w:rsid w:val="0013412A"/>
    <w:rPr>
      <w:sz w:val="17"/>
      <w:szCs w:val="17"/>
    </w:rPr>
  </w:style>
  <w:style w:type="paragraph" w:customStyle="1" w:styleId="Body">
    <w:name w:val="Body"/>
    <w:rsid w:val="00E80FC4"/>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255DD4"/>
    <w:rPr>
      <w:color w:val="954F72" w:themeColor="followedHyperlink"/>
      <w:u w:val="single"/>
    </w:rPr>
  </w:style>
  <w:style w:type="paragraph" w:styleId="NormalWeb">
    <w:name w:val="Normal (Web)"/>
    <w:basedOn w:val="Normal"/>
    <w:uiPriority w:val="99"/>
    <w:unhideWhenUsed/>
    <w:rsid w:val="0069467D"/>
    <w:pPr>
      <w:spacing w:before="100" w:beforeAutospacing="1" w:after="100" w:afterAutospacing="1"/>
    </w:pPr>
  </w:style>
  <w:style w:type="character" w:customStyle="1" w:styleId="Heading2Char">
    <w:name w:val="Heading 2 Char"/>
    <w:basedOn w:val="DefaultParagraphFont"/>
    <w:link w:val="Heading2"/>
    <w:uiPriority w:val="9"/>
    <w:rsid w:val="005B08CE"/>
    <w:rPr>
      <w:rFonts w:ascii="Times New Roman" w:eastAsiaTheme="majorEastAsia" w:hAnsi="Times New Roman" w:cstheme="majorBidi"/>
      <w:i/>
      <w:color w:val="000000" w:themeColor="text1"/>
      <w:szCs w:val="26"/>
    </w:rPr>
  </w:style>
  <w:style w:type="paragraph" w:styleId="ListParagraph">
    <w:name w:val="List Paragraph"/>
    <w:basedOn w:val="Normal"/>
    <w:uiPriority w:val="34"/>
    <w:qFormat/>
    <w:rsid w:val="00FE18B1"/>
    <w:pPr>
      <w:ind w:left="720"/>
      <w:contextualSpacing/>
    </w:pPr>
    <w:rPr>
      <w:rFonts w:asciiTheme="minorHAnsi" w:hAnsiTheme="minorHAnsi" w:cstheme="minorBidi"/>
      <w:lang w:eastAsia="en-US"/>
    </w:rPr>
  </w:style>
  <w:style w:type="character" w:customStyle="1" w:styleId="apple-converted-space">
    <w:name w:val="apple-converted-space"/>
    <w:basedOn w:val="DefaultParagraphFont"/>
    <w:rsid w:val="00692E72"/>
  </w:style>
  <w:style w:type="character" w:customStyle="1" w:styleId="ls1">
    <w:name w:val="ls1"/>
    <w:basedOn w:val="DefaultParagraphFont"/>
    <w:rsid w:val="00D96554"/>
  </w:style>
  <w:style w:type="character" w:customStyle="1" w:styleId="ls37">
    <w:name w:val="ls37"/>
    <w:basedOn w:val="DefaultParagraphFont"/>
    <w:rsid w:val="00132141"/>
  </w:style>
  <w:style w:type="character" w:customStyle="1" w:styleId="ff2">
    <w:name w:val="ff2"/>
    <w:basedOn w:val="DefaultParagraphFont"/>
    <w:rsid w:val="00132141"/>
  </w:style>
  <w:style w:type="character" w:customStyle="1" w:styleId="ff1">
    <w:name w:val="ff1"/>
    <w:basedOn w:val="DefaultParagraphFont"/>
    <w:rsid w:val="00132141"/>
  </w:style>
  <w:style w:type="character" w:customStyle="1" w:styleId="ls48">
    <w:name w:val="ls48"/>
    <w:basedOn w:val="DefaultParagraphFont"/>
    <w:rsid w:val="00132141"/>
  </w:style>
  <w:style w:type="character" w:customStyle="1" w:styleId="ls12">
    <w:name w:val="ls12"/>
    <w:basedOn w:val="DefaultParagraphFont"/>
    <w:rsid w:val="00132141"/>
  </w:style>
  <w:style w:type="character" w:customStyle="1" w:styleId="ls5b">
    <w:name w:val="ls5b"/>
    <w:basedOn w:val="DefaultParagraphFont"/>
    <w:rsid w:val="00132141"/>
  </w:style>
  <w:style w:type="character" w:customStyle="1" w:styleId="ls13">
    <w:name w:val="ls13"/>
    <w:basedOn w:val="DefaultParagraphFont"/>
    <w:rsid w:val="00132141"/>
  </w:style>
  <w:style w:type="character" w:customStyle="1" w:styleId="ls3">
    <w:name w:val="ls3"/>
    <w:basedOn w:val="DefaultParagraphFont"/>
    <w:rsid w:val="00132141"/>
  </w:style>
  <w:style w:type="character" w:customStyle="1" w:styleId="Heading3Char">
    <w:name w:val="Heading 3 Char"/>
    <w:basedOn w:val="DefaultParagraphFont"/>
    <w:link w:val="Heading3"/>
    <w:uiPriority w:val="9"/>
    <w:rsid w:val="000D7001"/>
    <w:rPr>
      <w:rFonts w:ascii="Times New Roman" w:eastAsiaTheme="majorEastAsia" w:hAnsi="Times New Roman" w:cstheme="majorBidi"/>
      <w:i/>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329">
      <w:bodyDiv w:val="1"/>
      <w:marLeft w:val="0"/>
      <w:marRight w:val="0"/>
      <w:marTop w:val="0"/>
      <w:marBottom w:val="0"/>
      <w:divBdr>
        <w:top w:val="none" w:sz="0" w:space="0" w:color="auto"/>
        <w:left w:val="none" w:sz="0" w:space="0" w:color="auto"/>
        <w:bottom w:val="none" w:sz="0" w:space="0" w:color="auto"/>
        <w:right w:val="none" w:sz="0" w:space="0" w:color="auto"/>
      </w:divBdr>
    </w:div>
    <w:div w:id="38938378">
      <w:bodyDiv w:val="1"/>
      <w:marLeft w:val="0"/>
      <w:marRight w:val="0"/>
      <w:marTop w:val="0"/>
      <w:marBottom w:val="0"/>
      <w:divBdr>
        <w:top w:val="none" w:sz="0" w:space="0" w:color="auto"/>
        <w:left w:val="none" w:sz="0" w:space="0" w:color="auto"/>
        <w:bottom w:val="none" w:sz="0" w:space="0" w:color="auto"/>
        <w:right w:val="none" w:sz="0" w:space="0" w:color="auto"/>
      </w:divBdr>
    </w:div>
    <w:div w:id="46955674">
      <w:bodyDiv w:val="1"/>
      <w:marLeft w:val="0"/>
      <w:marRight w:val="0"/>
      <w:marTop w:val="0"/>
      <w:marBottom w:val="0"/>
      <w:divBdr>
        <w:top w:val="none" w:sz="0" w:space="0" w:color="auto"/>
        <w:left w:val="none" w:sz="0" w:space="0" w:color="auto"/>
        <w:bottom w:val="none" w:sz="0" w:space="0" w:color="auto"/>
        <w:right w:val="none" w:sz="0" w:space="0" w:color="auto"/>
      </w:divBdr>
    </w:div>
    <w:div w:id="61828849">
      <w:bodyDiv w:val="1"/>
      <w:marLeft w:val="0"/>
      <w:marRight w:val="0"/>
      <w:marTop w:val="0"/>
      <w:marBottom w:val="0"/>
      <w:divBdr>
        <w:top w:val="none" w:sz="0" w:space="0" w:color="auto"/>
        <w:left w:val="none" w:sz="0" w:space="0" w:color="auto"/>
        <w:bottom w:val="none" w:sz="0" w:space="0" w:color="auto"/>
        <w:right w:val="none" w:sz="0" w:space="0" w:color="auto"/>
      </w:divBdr>
    </w:div>
    <w:div w:id="75984983">
      <w:bodyDiv w:val="1"/>
      <w:marLeft w:val="0"/>
      <w:marRight w:val="0"/>
      <w:marTop w:val="0"/>
      <w:marBottom w:val="0"/>
      <w:divBdr>
        <w:top w:val="none" w:sz="0" w:space="0" w:color="auto"/>
        <w:left w:val="none" w:sz="0" w:space="0" w:color="auto"/>
        <w:bottom w:val="none" w:sz="0" w:space="0" w:color="auto"/>
        <w:right w:val="none" w:sz="0" w:space="0" w:color="auto"/>
      </w:divBdr>
      <w:divsChild>
        <w:div w:id="951326038">
          <w:marLeft w:val="0"/>
          <w:marRight w:val="0"/>
          <w:marTop w:val="0"/>
          <w:marBottom w:val="0"/>
          <w:divBdr>
            <w:top w:val="none" w:sz="0" w:space="0" w:color="auto"/>
            <w:left w:val="none" w:sz="0" w:space="0" w:color="auto"/>
            <w:bottom w:val="none" w:sz="0" w:space="0" w:color="auto"/>
            <w:right w:val="none" w:sz="0" w:space="0" w:color="auto"/>
          </w:divBdr>
        </w:div>
      </w:divsChild>
    </w:div>
    <w:div w:id="90859572">
      <w:bodyDiv w:val="1"/>
      <w:marLeft w:val="0"/>
      <w:marRight w:val="0"/>
      <w:marTop w:val="0"/>
      <w:marBottom w:val="0"/>
      <w:divBdr>
        <w:top w:val="none" w:sz="0" w:space="0" w:color="auto"/>
        <w:left w:val="none" w:sz="0" w:space="0" w:color="auto"/>
        <w:bottom w:val="none" w:sz="0" w:space="0" w:color="auto"/>
        <w:right w:val="none" w:sz="0" w:space="0" w:color="auto"/>
      </w:divBdr>
    </w:div>
    <w:div w:id="108402484">
      <w:bodyDiv w:val="1"/>
      <w:marLeft w:val="0"/>
      <w:marRight w:val="0"/>
      <w:marTop w:val="0"/>
      <w:marBottom w:val="0"/>
      <w:divBdr>
        <w:top w:val="none" w:sz="0" w:space="0" w:color="auto"/>
        <w:left w:val="none" w:sz="0" w:space="0" w:color="auto"/>
        <w:bottom w:val="none" w:sz="0" w:space="0" w:color="auto"/>
        <w:right w:val="none" w:sz="0" w:space="0" w:color="auto"/>
      </w:divBdr>
    </w:div>
    <w:div w:id="120077133">
      <w:bodyDiv w:val="1"/>
      <w:marLeft w:val="0"/>
      <w:marRight w:val="0"/>
      <w:marTop w:val="0"/>
      <w:marBottom w:val="0"/>
      <w:divBdr>
        <w:top w:val="none" w:sz="0" w:space="0" w:color="auto"/>
        <w:left w:val="none" w:sz="0" w:space="0" w:color="auto"/>
        <w:bottom w:val="none" w:sz="0" w:space="0" w:color="auto"/>
        <w:right w:val="none" w:sz="0" w:space="0" w:color="auto"/>
      </w:divBdr>
    </w:div>
    <w:div w:id="125204183">
      <w:bodyDiv w:val="1"/>
      <w:marLeft w:val="0"/>
      <w:marRight w:val="0"/>
      <w:marTop w:val="0"/>
      <w:marBottom w:val="0"/>
      <w:divBdr>
        <w:top w:val="none" w:sz="0" w:space="0" w:color="auto"/>
        <w:left w:val="none" w:sz="0" w:space="0" w:color="auto"/>
        <w:bottom w:val="none" w:sz="0" w:space="0" w:color="auto"/>
        <w:right w:val="none" w:sz="0" w:space="0" w:color="auto"/>
      </w:divBdr>
    </w:div>
    <w:div w:id="126047248">
      <w:bodyDiv w:val="1"/>
      <w:marLeft w:val="0"/>
      <w:marRight w:val="0"/>
      <w:marTop w:val="0"/>
      <w:marBottom w:val="0"/>
      <w:divBdr>
        <w:top w:val="none" w:sz="0" w:space="0" w:color="auto"/>
        <w:left w:val="none" w:sz="0" w:space="0" w:color="auto"/>
        <w:bottom w:val="none" w:sz="0" w:space="0" w:color="auto"/>
        <w:right w:val="none" w:sz="0" w:space="0" w:color="auto"/>
      </w:divBdr>
    </w:div>
    <w:div w:id="127862190">
      <w:bodyDiv w:val="1"/>
      <w:marLeft w:val="0"/>
      <w:marRight w:val="0"/>
      <w:marTop w:val="0"/>
      <w:marBottom w:val="0"/>
      <w:divBdr>
        <w:top w:val="none" w:sz="0" w:space="0" w:color="auto"/>
        <w:left w:val="none" w:sz="0" w:space="0" w:color="auto"/>
        <w:bottom w:val="none" w:sz="0" w:space="0" w:color="auto"/>
        <w:right w:val="none" w:sz="0" w:space="0" w:color="auto"/>
      </w:divBdr>
    </w:div>
    <w:div w:id="165021721">
      <w:bodyDiv w:val="1"/>
      <w:marLeft w:val="0"/>
      <w:marRight w:val="0"/>
      <w:marTop w:val="0"/>
      <w:marBottom w:val="0"/>
      <w:divBdr>
        <w:top w:val="none" w:sz="0" w:space="0" w:color="auto"/>
        <w:left w:val="none" w:sz="0" w:space="0" w:color="auto"/>
        <w:bottom w:val="none" w:sz="0" w:space="0" w:color="auto"/>
        <w:right w:val="none" w:sz="0" w:space="0" w:color="auto"/>
      </w:divBdr>
    </w:div>
    <w:div w:id="172839389">
      <w:bodyDiv w:val="1"/>
      <w:marLeft w:val="0"/>
      <w:marRight w:val="0"/>
      <w:marTop w:val="0"/>
      <w:marBottom w:val="0"/>
      <w:divBdr>
        <w:top w:val="none" w:sz="0" w:space="0" w:color="auto"/>
        <w:left w:val="none" w:sz="0" w:space="0" w:color="auto"/>
        <w:bottom w:val="none" w:sz="0" w:space="0" w:color="auto"/>
        <w:right w:val="none" w:sz="0" w:space="0" w:color="auto"/>
      </w:divBdr>
    </w:div>
    <w:div w:id="197744685">
      <w:bodyDiv w:val="1"/>
      <w:marLeft w:val="0"/>
      <w:marRight w:val="0"/>
      <w:marTop w:val="0"/>
      <w:marBottom w:val="0"/>
      <w:divBdr>
        <w:top w:val="none" w:sz="0" w:space="0" w:color="auto"/>
        <w:left w:val="none" w:sz="0" w:space="0" w:color="auto"/>
        <w:bottom w:val="none" w:sz="0" w:space="0" w:color="auto"/>
        <w:right w:val="none" w:sz="0" w:space="0" w:color="auto"/>
      </w:divBdr>
    </w:div>
    <w:div w:id="215090479">
      <w:bodyDiv w:val="1"/>
      <w:marLeft w:val="0"/>
      <w:marRight w:val="0"/>
      <w:marTop w:val="0"/>
      <w:marBottom w:val="0"/>
      <w:divBdr>
        <w:top w:val="none" w:sz="0" w:space="0" w:color="auto"/>
        <w:left w:val="none" w:sz="0" w:space="0" w:color="auto"/>
        <w:bottom w:val="none" w:sz="0" w:space="0" w:color="auto"/>
        <w:right w:val="none" w:sz="0" w:space="0" w:color="auto"/>
      </w:divBdr>
    </w:div>
    <w:div w:id="236718502">
      <w:bodyDiv w:val="1"/>
      <w:marLeft w:val="0"/>
      <w:marRight w:val="0"/>
      <w:marTop w:val="0"/>
      <w:marBottom w:val="0"/>
      <w:divBdr>
        <w:top w:val="none" w:sz="0" w:space="0" w:color="auto"/>
        <w:left w:val="none" w:sz="0" w:space="0" w:color="auto"/>
        <w:bottom w:val="none" w:sz="0" w:space="0" w:color="auto"/>
        <w:right w:val="none" w:sz="0" w:space="0" w:color="auto"/>
      </w:divBdr>
    </w:div>
    <w:div w:id="237373786">
      <w:bodyDiv w:val="1"/>
      <w:marLeft w:val="0"/>
      <w:marRight w:val="0"/>
      <w:marTop w:val="0"/>
      <w:marBottom w:val="0"/>
      <w:divBdr>
        <w:top w:val="none" w:sz="0" w:space="0" w:color="auto"/>
        <w:left w:val="none" w:sz="0" w:space="0" w:color="auto"/>
        <w:bottom w:val="none" w:sz="0" w:space="0" w:color="auto"/>
        <w:right w:val="none" w:sz="0" w:space="0" w:color="auto"/>
      </w:divBdr>
    </w:div>
    <w:div w:id="237713709">
      <w:bodyDiv w:val="1"/>
      <w:marLeft w:val="0"/>
      <w:marRight w:val="0"/>
      <w:marTop w:val="0"/>
      <w:marBottom w:val="0"/>
      <w:divBdr>
        <w:top w:val="none" w:sz="0" w:space="0" w:color="auto"/>
        <w:left w:val="none" w:sz="0" w:space="0" w:color="auto"/>
        <w:bottom w:val="none" w:sz="0" w:space="0" w:color="auto"/>
        <w:right w:val="none" w:sz="0" w:space="0" w:color="auto"/>
      </w:divBdr>
    </w:div>
    <w:div w:id="306670334">
      <w:bodyDiv w:val="1"/>
      <w:marLeft w:val="0"/>
      <w:marRight w:val="0"/>
      <w:marTop w:val="0"/>
      <w:marBottom w:val="0"/>
      <w:divBdr>
        <w:top w:val="none" w:sz="0" w:space="0" w:color="auto"/>
        <w:left w:val="none" w:sz="0" w:space="0" w:color="auto"/>
        <w:bottom w:val="none" w:sz="0" w:space="0" w:color="auto"/>
        <w:right w:val="none" w:sz="0" w:space="0" w:color="auto"/>
      </w:divBdr>
    </w:div>
    <w:div w:id="313149962">
      <w:bodyDiv w:val="1"/>
      <w:marLeft w:val="0"/>
      <w:marRight w:val="0"/>
      <w:marTop w:val="0"/>
      <w:marBottom w:val="0"/>
      <w:divBdr>
        <w:top w:val="none" w:sz="0" w:space="0" w:color="auto"/>
        <w:left w:val="none" w:sz="0" w:space="0" w:color="auto"/>
        <w:bottom w:val="none" w:sz="0" w:space="0" w:color="auto"/>
        <w:right w:val="none" w:sz="0" w:space="0" w:color="auto"/>
      </w:divBdr>
    </w:div>
    <w:div w:id="317611081">
      <w:bodyDiv w:val="1"/>
      <w:marLeft w:val="0"/>
      <w:marRight w:val="0"/>
      <w:marTop w:val="0"/>
      <w:marBottom w:val="0"/>
      <w:divBdr>
        <w:top w:val="none" w:sz="0" w:space="0" w:color="auto"/>
        <w:left w:val="none" w:sz="0" w:space="0" w:color="auto"/>
        <w:bottom w:val="none" w:sz="0" w:space="0" w:color="auto"/>
        <w:right w:val="none" w:sz="0" w:space="0" w:color="auto"/>
      </w:divBdr>
    </w:div>
    <w:div w:id="320087417">
      <w:bodyDiv w:val="1"/>
      <w:marLeft w:val="0"/>
      <w:marRight w:val="0"/>
      <w:marTop w:val="0"/>
      <w:marBottom w:val="0"/>
      <w:divBdr>
        <w:top w:val="none" w:sz="0" w:space="0" w:color="auto"/>
        <w:left w:val="none" w:sz="0" w:space="0" w:color="auto"/>
        <w:bottom w:val="none" w:sz="0" w:space="0" w:color="auto"/>
        <w:right w:val="none" w:sz="0" w:space="0" w:color="auto"/>
      </w:divBdr>
    </w:div>
    <w:div w:id="333804210">
      <w:bodyDiv w:val="1"/>
      <w:marLeft w:val="0"/>
      <w:marRight w:val="0"/>
      <w:marTop w:val="0"/>
      <w:marBottom w:val="0"/>
      <w:divBdr>
        <w:top w:val="none" w:sz="0" w:space="0" w:color="auto"/>
        <w:left w:val="none" w:sz="0" w:space="0" w:color="auto"/>
        <w:bottom w:val="none" w:sz="0" w:space="0" w:color="auto"/>
        <w:right w:val="none" w:sz="0" w:space="0" w:color="auto"/>
      </w:divBdr>
    </w:div>
    <w:div w:id="344064887">
      <w:bodyDiv w:val="1"/>
      <w:marLeft w:val="0"/>
      <w:marRight w:val="0"/>
      <w:marTop w:val="0"/>
      <w:marBottom w:val="0"/>
      <w:divBdr>
        <w:top w:val="none" w:sz="0" w:space="0" w:color="auto"/>
        <w:left w:val="none" w:sz="0" w:space="0" w:color="auto"/>
        <w:bottom w:val="none" w:sz="0" w:space="0" w:color="auto"/>
        <w:right w:val="none" w:sz="0" w:space="0" w:color="auto"/>
      </w:divBdr>
    </w:div>
    <w:div w:id="366608702">
      <w:bodyDiv w:val="1"/>
      <w:marLeft w:val="0"/>
      <w:marRight w:val="0"/>
      <w:marTop w:val="0"/>
      <w:marBottom w:val="0"/>
      <w:divBdr>
        <w:top w:val="none" w:sz="0" w:space="0" w:color="auto"/>
        <w:left w:val="none" w:sz="0" w:space="0" w:color="auto"/>
        <w:bottom w:val="none" w:sz="0" w:space="0" w:color="auto"/>
        <w:right w:val="none" w:sz="0" w:space="0" w:color="auto"/>
      </w:divBdr>
    </w:div>
    <w:div w:id="392974504">
      <w:bodyDiv w:val="1"/>
      <w:marLeft w:val="0"/>
      <w:marRight w:val="0"/>
      <w:marTop w:val="0"/>
      <w:marBottom w:val="0"/>
      <w:divBdr>
        <w:top w:val="none" w:sz="0" w:space="0" w:color="auto"/>
        <w:left w:val="none" w:sz="0" w:space="0" w:color="auto"/>
        <w:bottom w:val="none" w:sz="0" w:space="0" w:color="auto"/>
        <w:right w:val="none" w:sz="0" w:space="0" w:color="auto"/>
      </w:divBdr>
    </w:div>
    <w:div w:id="397634312">
      <w:bodyDiv w:val="1"/>
      <w:marLeft w:val="0"/>
      <w:marRight w:val="0"/>
      <w:marTop w:val="0"/>
      <w:marBottom w:val="0"/>
      <w:divBdr>
        <w:top w:val="none" w:sz="0" w:space="0" w:color="auto"/>
        <w:left w:val="none" w:sz="0" w:space="0" w:color="auto"/>
        <w:bottom w:val="none" w:sz="0" w:space="0" w:color="auto"/>
        <w:right w:val="none" w:sz="0" w:space="0" w:color="auto"/>
      </w:divBdr>
    </w:div>
    <w:div w:id="399403044">
      <w:bodyDiv w:val="1"/>
      <w:marLeft w:val="0"/>
      <w:marRight w:val="0"/>
      <w:marTop w:val="0"/>
      <w:marBottom w:val="0"/>
      <w:divBdr>
        <w:top w:val="none" w:sz="0" w:space="0" w:color="auto"/>
        <w:left w:val="none" w:sz="0" w:space="0" w:color="auto"/>
        <w:bottom w:val="none" w:sz="0" w:space="0" w:color="auto"/>
        <w:right w:val="none" w:sz="0" w:space="0" w:color="auto"/>
      </w:divBdr>
    </w:div>
    <w:div w:id="408190177">
      <w:bodyDiv w:val="1"/>
      <w:marLeft w:val="0"/>
      <w:marRight w:val="0"/>
      <w:marTop w:val="0"/>
      <w:marBottom w:val="0"/>
      <w:divBdr>
        <w:top w:val="none" w:sz="0" w:space="0" w:color="auto"/>
        <w:left w:val="none" w:sz="0" w:space="0" w:color="auto"/>
        <w:bottom w:val="none" w:sz="0" w:space="0" w:color="auto"/>
        <w:right w:val="none" w:sz="0" w:space="0" w:color="auto"/>
      </w:divBdr>
    </w:div>
    <w:div w:id="415592100">
      <w:bodyDiv w:val="1"/>
      <w:marLeft w:val="0"/>
      <w:marRight w:val="0"/>
      <w:marTop w:val="0"/>
      <w:marBottom w:val="0"/>
      <w:divBdr>
        <w:top w:val="none" w:sz="0" w:space="0" w:color="auto"/>
        <w:left w:val="none" w:sz="0" w:space="0" w:color="auto"/>
        <w:bottom w:val="none" w:sz="0" w:space="0" w:color="auto"/>
        <w:right w:val="none" w:sz="0" w:space="0" w:color="auto"/>
      </w:divBdr>
    </w:div>
    <w:div w:id="423697272">
      <w:bodyDiv w:val="1"/>
      <w:marLeft w:val="0"/>
      <w:marRight w:val="0"/>
      <w:marTop w:val="0"/>
      <w:marBottom w:val="0"/>
      <w:divBdr>
        <w:top w:val="none" w:sz="0" w:space="0" w:color="auto"/>
        <w:left w:val="none" w:sz="0" w:space="0" w:color="auto"/>
        <w:bottom w:val="none" w:sz="0" w:space="0" w:color="auto"/>
        <w:right w:val="none" w:sz="0" w:space="0" w:color="auto"/>
      </w:divBdr>
    </w:div>
    <w:div w:id="442919593">
      <w:bodyDiv w:val="1"/>
      <w:marLeft w:val="0"/>
      <w:marRight w:val="0"/>
      <w:marTop w:val="0"/>
      <w:marBottom w:val="0"/>
      <w:divBdr>
        <w:top w:val="none" w:sz="0" w:space="0" w:color="auto"/>
        <w:left w:val="none" w:sz="0" w:space="0" w:color="auto"/>
        <w:bottom w:val="none" w:sz="0" w:space="0" w:color="auto"/>
        <w:right w:val="none" w:sz="0" w:space="0" w:color="auto"/>
      </w:divBdr>
    </w:div>
    <w:div w:id="444735229">
      <w:bodyDiv w:val="1"/>
      <w:marLeft w:val="0"/>
      <w:marRight w:val="0"/>
      <w:marTop w:val="0"/>
      <w:marBottom w:val="0"/>
      <w:divBdr>
        <w:top w:val="none" w:sz="0" w:space="0" w:color="auto"/>
        <w:left w:val="none" w:sz="0" w:space="0" w:color="auto"/>
        <w:bottom w:val="none" w:sz="0" w:space="0" w:color="auto"/>
        <w:right w:val="none" w:sz="0" w:space="0" w:color="auto"/>
      </w:divBdr>
    </w:div>
    <w:div w:id="447506500">
      <w:bodyDiv w:val="1"/>
      <w:marLeft w:val="0"/>
      <w:marRight w:val="0"/>
      <w:marTop w:val="0"/>
      <w:marBottom w:val="0"/>
      <w:divBdr>
        <w:top w:val="none" w:sz="0" w:space="0" w:color="auto"/>
        <w:left w:val="none" w:sz="0" w:space="0" w:color="auto"/>
        <w:bottom w:val="none" w:sz="0" w:space="0" w:color="auto"/>
        <w:right w:val="none" w:sz="0" w:space="0" w:color="auto"/>
      </w:divBdr>
    </w:div>
    <w:div w:id="451170376">
      <w:bodyDiv w:val="1"/>
      <w:marLeft w:val="0"/>
      <w:marRight w:val="0"/>
      <w:marTop w:val="0"/>
      <w:marBottom w:val="0"/>
      <w:divBdr>
        <w:top w:val="none" w:sz="0" w:space="0" w:color="auto"/>
        <w:left w:val="none" w:sz="0" w:space="0" w:color="auto"/>
        <w:bottom w:val="none" w:sz="0" w:space="0" w:color="auto"/>
        <w:right w:val="none" w:sz="0" w:space="0" w:color="auto"/>
      </w:divBdr>
    </w:div>
    <w:div w:id="482893057">
      <w:bodyDiv w:val="1"/>
      <w:marLeft w:val="0"/>
      <w:marRight w:val="0"/>
      <w:marTop w:val="0"/>
      <w:marBottom w:val="0"/>
      <w:divBdr>
        <w:top w:val="none" w:sz="0" w:space="0" w:color="auto"/>
        <w:left w:val="none" w:sz="0" w:space="0" w:color="auto"/>
        <w:bottom w:val="none" w:sz="0" w:space="0" w:color="auto"/>
        <w:right w:val="none" w:sz="0" w:space="0" w:color="auto"/>
      </w:divBdr>
    </w:div>
    <w:div w:id="550847970">
      <w:bodyDiv w:val="1"/>
      <w:marLeft w:val="0"/>
      <w:marRight w:val="0"/>
      <w:marTop w:val="0"/>
      <w:marBottom w:val="0"/>
      <w:divBdr>
        <w:top w:val="none" w:sz="0" w:space="0" w:color="auto"/>
        <w:left w:val="none" w:sz="0" w:space="0" w:color="auto"/>
        <w:bottom w:val="none" w:sz="0" w:space="0" w:color="auto"/>
        <w:right w:val="none" w:sz="0" w:space="0" w:color="auto"/>
      </w:divBdr>
    </w:div>
    <w:div w:id="557087384">
      <w:bodyDiv w:val="1"/>
      <w:marLeft w:val="0"/>
      <w:marRight w:val="0"/>
      <w:marTop w:val="0"/>
      <w:marBottom w:val="0"/>
      <w:divBdr>
        <w:top w:val="none" w:sz="0" w:space="0" w:color="auto"/>
        <w:left w:val="none" w:sz="0" w:space="0" w:color="auto"/>
        <w:bottom w:val="none" w:sz="0" w:space="0" w:color="auto"/>
        <w:right w:val="none" w:sz="0" w:space="0" w:color="auto"/>
      </w:divBdr>
    </w:div>
    <w:div w:id="564494138">
      <w:bodyDiv w:val="1"/>
      <w:marLeft w:val="0"/>
      <w:marRight w:val="0"/>
      <w:marTop w:val="0"/>
      <w:marBottom w:val="0"/>
      <w:divBdr>
        <w:top w:val="none" w:sz="0" w:space="0" w:color="auto"/>
        <w:left w:val="none" w:sz="0" w:space="0" w:color="auto"/>
        <w:bottom w:val="none" w:sz="0" w:space="0" w:color="auto"/>
        <w:right w:val="none" w:sz="0" w:space="0" w:color="auto"/>
      </w:divBdr>
    </w:div>
    <w:div w:id="590235205">
      <w:bodyDiv w:val="1"/>
      <w:marLeft w:val="0"/>
      <w:marRight w:val="0"/>
      <w:marTop w:val="0"/>
      <w:marBottom w:val="0"/>
      <w:divBdr>
        <w:top w:val="none" w:sz="0" w:space="0" w:color="auto"/>
        <w:left w:val="none" w:sz="0" w:space="0" w:color="auto"/>
        <w:bottom w:val="none" w:sz="0" w:space="0" w:color="auto"/>
        <w:right w:val="none" w:sz="0" w:space="0" w:color="auto"/>
      </w:divBdr>
    </w:div>
    <w:div w:id="602999637">
      <w:bodyDiv w:val="1"/>
      <w:marLeft w:val="0"/>
      <w:marRight w:val="0"/>
      <w:marTop w:val="0"/>
      <w:marBottom w:val="0"/>
      <w:divBdr>
        <w:top w:val="none" w:sz="0" w:space="0" w:color="auto"/>
        <w:left w:val="none" w:sz="0" w:space="0" w:color="auto"/>
        <w:bottom w:val="none" w:sz="0" w:space="0" w:color="auto"/>
        <w:right w:val="none" w:sz="0" w:space="0" w:color="auto"/>
      </w:divBdr>
      <w:divsChild>
        <w:div w:id="2129740722">
          <w:marLeft w:val="0"/>
          <w:marRight w:val="0"/>
          <w:marTop w:val="0"/>
          <w:marBottom w:val="0"/>
          <w:divBdr>
            <w:top w:val="none" w:sz="0" w:space="0" w:color="auto"/>
            <w:left w:val="none" w:sz="0" w:space="0" w:color="auto"/>
            <w:bottom w:val="none" w:sz="0" w:space="0" w:color="auto"/>
            <w:right w:val="none" w:sz="0" w:space="0" w:color="auto"/>
          </w:divBdr>
        </w:div>
      </w:divsChild>
    </w:div>
    <w:div w:id="622462312">
      <w:bodyDiv w:val="1"/>
      <w:marLeft w:val="0"/>
      <w:marRight w:val="0"/>
      <w:marTop w:val="0"/>
      <w:marBottom w:val="0"/>
      <w:divBdr>
        <w:top w:val="none" w:sz="0" w:space="0" w:color="auto"/>
        <w:left w:val="none" w:sz="0" w:space="0" w:color="auto"/>
        <w:bottom w:val="none" w:sz="0" w:space="0" w:color="auto"/>
        <w:right w:val="none" w:sz="0" w:space="0" w:color="auto"/>
      </w:divBdr>
      <w:divsChild>
        <w:div w:id="17036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336476">
              <w:marLeft w:val="0"/>
              <w:marRight w:val="0"/>
              <w:marTop w:val="0"/>
              <w:marBottom w:val="0"/>
              <w:divBdr>
                <w:top w:val="none" w:sz="0" w:space="0" w:color="auto"/>
                <w:left w:val="none" w:sz="0" w:space="0" w:color="auto"/>
                <w:bottom w:val="none" w:sz="0" w:space="0" w:color="auto"/>
                <w:right w:val="none" w:sz="0" w:space="0" w:color="auto"/>
              </w:divBdr>
              <w:divsChild>
                <w:div w:id="16880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8350">
      <w:bodyDiv w:val="1"/>
      <w:marLeft w:val="0"/>
      <w:marRight w:val="0"/>
      <w:marTop w:val="0"/>
      <w:marBottom w:val="0"/>
      <w:divBdr>
        <w:top w:val="none" w:sz="0" w:space="0" w:color="auto"/>
        <w:left w:val="none" w:sz="0" w:space="0" w:color="auto"/>
        <w:bottom w:val="none" w:sz="0" w:space="0" w:color="auto"/>
        <w:right w:val="none" w:sz="0" w:space="0" w:color="auto"/>
      </w:divBdr>
    </w:div>
    <w:div w:id="666902712">
      <w:bodyDiv w:val="1"/>
      <w:marLeft w:val="0"/>
      <w:marRight w:val="0"/>
      <w:marTop w:val="0"/>
      <w:marBottom w:val="0"/>
      <w:divBdr>
        <w:top w:val="none" w:sz="0" w:space="0" w:color="auto"/>
        <w:left w:val="none" w:sz="0" w:space="0" w:color="auto"/>
        <w:bottom w:val="none" w:sz="0" w:space="0" w:color="auto"/>
        <w:right w:val="none" w:sz="0" w:space="0" w:color="auto"/>
      </w:divBdr>
    </w:div>
    <w:div w:id="693843050">
      <w:bodyDiv w:val="1"/>
      <w:marLeft w:val="0"/>
      <w:marRight w:val="0"/>
      <w:marTop w:val="0"/>
      <w:marBottom w:val="0"/>
      <w:divBdr>
        <w:top w:val="none" w:sz="0" w:space="0" w:color="auto"/>
        <w:left w:val="none" w:sz="0" w:space="0" w:color="auto"/>
        <w:bottom w:val="none" w:sz="0" w:space="0" w:color="auto"/>
        <w:right w:val="none" w:sz="0" w:space="0" w:color="auto"/>
      </w:divBdr>
    </w:div>
    <w:div w:id="719355886">
      <w:bodyDiv w:val="1"/>
      <w:marLeft w:val="0"/>
      <w:marRight w:val="0"/>
      <w:marTop w:val="0"/>
      <w:marBottom w:val="0"/>
      <w:divBdr>
        <w:top w:val="none" w:sz="0" w:space="0" w:color="auto"/>
        <w:left w:val="none" w:sz="0" w:space="0" w:color="auto"/>
        <w:bottom w:val="none" w:sz="0" w:space="0" w:color="auto"/>
        <w:right w:val="none" w:sz="0" w:space="0" w:color="auto"/>
      </w:divBdr>
    </w:div>
    <w:div w:id="724110524">
      <w:bodyDiv w:val="1"/>
      <w:marLeft w:val="0"/>
      <w:marRight w:val="0"/>
      <w:marTop w:val="0"/>
      <w:marBottom w:val="0"/>
      <w:divBdr>
        <w:top w:val="none" w:sz="0" w:space="0" w:color="auto"/>
        <w:left w:val="none" w:sz="0" w:space="0" w:color="auto"/>
        <w:bottom w:val="none" w:sz="0" w:space="0" w:color="auto"/>
        <w:right w:val="none" w:sz="0" w:space="0" w:color="auto"/>
      </w:divBdr>
    </w:div>
    <w:div w:id="728916780">
      <w:bodyDiv w:val="1"/>
      <w:marLeft w:val="0"/>
      <w:marRight w:val="0"/>
      <w:marTop w:val="0"/>
      <w:marBottom w:val="0"/>
      <w:divBdr>
        <w:top w:val="none" w:sz="0" w:space="0" w:color="auto"/>
        <w:left w:val="none" w:sz="0" w:space="0" w:color="auto"/>
        <w:bottom w:val="none" w:sz="0" w:space="0" w:color="auto"/>
        <w:right w:val="none" w:sz="0" w:space="0" w:color="auto"/>
      </w:divBdr>
    </w:div>
    <w:div w:id="757212667">
      <w:bodyDiv w:val="1"/>
      <w:marLeft w:val="0"/>
      <w:marRight w:val="0"/>
      <w:marTop w:val="0"/>
      <w:marBottom w:val="0"/>
      <w:divBdr>
        <w:top w:val="none" w:sz="0" w:space="0" w:color="auto"/>
        <w:left w:val="none" w:sz="0" w:space="0" w:color="auto"/>
        <w:bottom w:val="none" w:sz="0" w:space="0" w:color="auto"/>
        <w:right w:val="none" w:sz="0" w:space="0" w:color="auto"/>
      </w:divBdr>
    </w:div>
    <w:div w:id="760761493">
      <w:bodyDiv w:val="1"/>
      <w:marLeft w:val="0"/>
      <w:marRight w:val="0"/>
      <w:marTop w:val="0"/>
      <w:marBottom w:val="0"/>
      <w:divBdr>
        <w:top w:val="none" w:sz="0" w:space="0" w:color="auto"/>
        <w:left w:val="none" w:sz="0" w:space="0" w:color="auto"/>
        <w:bottom w:val="none" w:sz="0" w:space="0" w:color="auto"/>
        <w:right w:val="none" w:sz="0" w:space="0" w:color="auto"/>
      </w:divBdr>
    </w:div>
    <w:div w:id="801535817">
      <w:bodyDiv w:val="1"/>
      <w:marLeft w:val="0"/>
      <w:marRight w:val="0"/>
      <w:marTop w:val="0"/>
      <w:marBottom w:val="0"/>
      <w:divBdr>
        <w:top w:val="none" w:sz="0" w:space="0" w:color="auto"/>
        <w:left w:val="none" w:sz="0" w:space="0" w:color="auto"/>
        <w:bottom w:val="none" w:sz="0" w:space="0" w:color="auto"/>
        <w:right w:val="none" w:sz="0" w:space="0" w:color="auto"/>
      </w:divBdr>
    </w:div>
    <w:div w:id="824977754">
      <w:bodyDiv w:val="1"/>
      <w:marLeft w:val="0"/>
      <w:marRight w:val="0"/>
      <w:marTop w:val="0"/>
      <w:marBottom w:val="0"/>
      <w:divBdr>
        <w:top w:val="none" w:sz="0" w:space="0" w:color="auto"/>
        <w:left w:val="none" w:sz="0" w:space="0" w:color="auto"/>
        <w:bottom w:val="none" w:sz="0" w:space="0" w:color="auto"/>
        <w:right w:val="none" w:sz="0" w:space="0" w:color="auto"/>
      </w:divBdr>
    </w:div>
    <w:div w:id="849029621">
      <w:bodyDiv w:val="1"/>
      <w:marLeft w:val="0"/>
      <w:marRight w:val="0"/>
      <w:marTop w:val="0"/>
      <w:marBottom w:val="0"/>
      <w:divBdr>
        <w:top w:val="none" w:sz="0" w:space="0" w:color="auto"/>
        <w:left w:val="none" w:sz="0" w:space="0" w:color="auto"/>
        <w:bottom w:val="none" w:sz="0" w:space="0" w:color="auto"/>
        <w:right w:val="none" w:sz="0" w:space="0" w:color="auto"/>
      </w:divBdr>
    </w:div>
    <w:div w:id="849174857">
      <w:bodyDiv w:val="1"/>
      <w:marLeft w:val="0"/>
      <w:marRight w:val="0"/>
      <w:marTop w:val="0"/>
      <w:marBottom w:val="0"/>
      <w:divBdr>
        <w:top w:val="none" w:sz="0" w:space="0" w:color="auto"/>
        <w:left w:val="none" w:sz="0" w:space="0" w:color="auto"/>
        <w:bottom w:val="none" w:sz="0" w:space="0" w:color="auto"/>
        <w:right w:val="none" w:sz="0" w:space="0" w:color="auto"/>
      </w:divBdr>
    </w:div>
    <w:div w:id="865827082">
      <w:bodyDiv w:val="1"/>
      <w:marLeft w:val="0"/>
      <w:marRight w:val="0"/>
      <w:marTop w:val="0"/>
      <w:marBottom w:val="0"/>
      <w:divBdr>
        <w:top w:val="none" w:sz="0" w:space="0" w:color="auto"/>
        <w:left w:val="none" w:sz="0" w:space="0" w:color="auto"/>
        <w:bottom w:val="none" w:sz="0" w:space="0" w:color="auto"/>
        <w:right w:val="none" w:sz="0" w:space="0" w:color="auto"/>
      </w:divBdr>
    </w:div>
    <w:div w:id="868298218">
      <w:bodyDiv w:val="1"/>
      <w:marLeft w:val="0"/>
      <w:marRight w:val="0"/>
      <w:marTop w:val="0"/>
      <w:marBottom w:val="0"/>
      <w:divBdr>
        <w:top w:val="none" w:sz="0" w:space="0" w:color="auto"/>
        <w:left w:val="none" w:sz="0" w:space="0" w:color="auto"/>
        <w:bottom w:val="none" w:sz="0" w:space="0" w:color="auto"/>
        <w:right w:val="none" w:sz="0" w:space="0" w:color="auto"/>
      </w:divBdr>
    </w:div>
    <w:div w:id="879242935">
      <w:bodyDiv w:val="1"/>
      <w:marLeft w:val="0"/>
      <w:marRight w:val="0"/>
      <w:marTop w:val="0"/>
      <w:marBottom w:val="0"/>
      <w:divBdr>
        <w:top w:val="none" w:sz="0" w:space="0" w:color="auto"/>
        <w:left w:val="none" w:sz="0" w:space="0" w:color="auto"/>
        <w:bottom w:val="none" w:sz="0" w:space="0" w:color="auto"/>
        <w:right w:val="none" w:sz="0" w:space="0" w:color="auto"/>
      </w:divBdr>
    </w:div>
    <w:div w:id="879703714">
      <w:bodyDiv w:val="1"/>
      <w:marLeft w:val="0"/>
      <w:marRight w:val="0"/>
      <w:marTop w:val="0"/>
      <w:marBottom w:val="0"/>
      <w:divBdr>
        <w:top w:val="none" w:sz="0" w:space="0" w:color="auto"/>
        <w:left w:val="none" w:sz="0" w:space="0" w:color="auto"/>
        <w:bottom w:val="none" w:sz="0" w:space="0" w:color="auto"/>
        <w:right w:val="none" w:sz="0" w:space="0" w:color="auto"/>
      </w:divBdr>
    </w:div>
    <w:div w:id="889807340">
      <w:bodyDiv w:val="1"/>
      <w:marLeft w:val="0"/>
      <w:marRight w:val="0"/>
      <w:marTop w:val="0"/>
      <w:marBottom w:val="0"/>
      <w:divBdr>
        <w:top w:val="none" w:sz="0" w:space="0" w:color="auto"/>
        <w:left w:val="none" w:sz="0" w:space="0" w:color="auto"/>
        <w:bottom w:val="none" w:sz="0" w:space="0" w:color="auto"/>
        <w:right w:val="none" w:sz="0" w:space="0" w:color="auto"/>
      </w:divBdr>
      <w:divsChild>
        <w:div w:id="1879968913">
          <w:marLeft w:val="0"/>
          <w:marRight w:val="0"/>
          <w:marTop w:val="0"/>
          <w:marBottom w:val="0"/>
          <w:divBdr>
            <w:top w:val="none" w:sz="0" w:space="0" w:color="auto"/>
            <w:left w:val="none" w:sz="0" w:space="0" w:color="auto"/>
            <w:bottom w:val="none" w:sz="0" w:space="0" w:color="auto"/>
            <w:right w:val="none" w:sz="0" w:space="0" w:color="auto"/>
          </w:divBdr>
        </w:div>
      </w:divsChild>
    </w:div>
    <w:div w:id="940720663">
      <w:bodyDiv w:val="1"/>
      <w:marLeft w:val="0"/>
      <w:marRight w:val="0"/>
      <w:marTop w:val="0"/>
      <w:marBottom w:val="0"/>
      <w:divBdr>
        <w:top w:val="none" w:sz="0" w:space="0" w:color="auto"/>
        <w:left w:val="none" w:sz="0" w:space="0" w:color="auto"/>
        <w:bottom w:val="none" w:sz="0" w:space="0" w:color="auto"/>
        <w:right w:val="none" w:sz="0" w:space="0" w:color="auto"/>
      </w:divBdr>
    </w:div>
    <w:div w:id="947277129">
      <w:bodyDiv w:val="1"/>
      <w:marLeft w:val="0"/>
      <w:marRight w:val="0"/>
      <w:marTop w:val="0"/>
      <w:marBottom w:val="0"/>
      <w:divBdr>
        <w:top w:val="none" w:sz="0" w:space="0" w:color="auto"/>
        <w:left w:val="none" w:sz="0" w:space="0" w:color="auto"/>
        <w:bottom w:val="none" w:sz="0" w:space="0" w:color="auto"/>
        <w:right w:val="none" w:sz="0" w:space="0" w:color="auto"/>
      </w:divBdr>
    </w:div>
    <w:div w:id="995954302">
      <w:bodyDiv w:val="1"/>
      <w:marLeft w:val="0"/>
      <w:marRight w:val="0"/>
      <w:marTop w:val="0"/>
      <w:marBottom w:val="0"/>
      <w:divBdr>
        <w:top w:val="none" w:sz="0" w:space="0" w:color="auto"/>
        <w:left w:val="none" w:sz="0" w:space="0" w:color="auto"/>
        <w:bottom w:val="none" w:sz="0" w:space="0" w:color="auto"/>
        <w:right w:val="none" w:sz="0" w:space="0" w:color="auto"/>
      </w:divBdr>
    </w:div>
    <w:div w:id="1001474132">
      <w:bodyDiv w:val="1"/>
      <w:marLeft w:val="0"/>
      <w:marRight w:val="0"/>
      <w:marTop w:val="0"/>
      <w:marBottom w:val="0"/>
      <w:divBdr>
        <w:top w:val="none" w:sz="0" w:space="0" w:color="auto"/>
        <w:left w:val="none" w:sz="0" w:space="0" w:color="auto"/>
        <w:bottom w:val="none" w:sz="0" w:space="0" w:color="auto"/>
        <w:right w:val="none" w:sz="0" w:space="0" w:color="auto"/>
      </w:divBdr>
    </w:div>
    <w:div w:id="1055854605">
      <w:bodyDiv w:val="1"/>
      <w:marLeft w:val="0"/>
      <w:marRight w:val="0"/>
      <w:marTop w:val="0"/>
      <w:marBottom w:val="0"/>
      <w:divBdr>
        <w:top w:val="none" w:sz="0" w:space="0" w:color="auto"/>
        <w:left w:val="none" w:sz="0" w:space="0" w:color="auto"/>
        <w:bottom w:val="none" w:sz="0" w:space="0" w:color="auto"/>
        <w:right w:val="none" w:sz="0" w:space="0" w:color="auto"/>
      </w:divBdr>
    </w:div>
    <w:div w:id="1078478964">
      <w:bodyDiv w:val="1"/>
      <w:marLeft w:val="0"/>
      <w:marRight w:val="0"/>
      <w:marTop w:val="0"/>
      <w:marBottom w:val="0"/>
      <w:divBdr>
        <w:top w:val="none" w:sz="0" w:space="0" w:color="auto"/>
        <w:left w:val="none" w:sz="0" w:space="0" w:color="auto"/>
        <w:bottom w:val="none" w:sz="0" w:space="0" w:color="auto"/>
        <w:right w:val="none" w:sz="0" w:space="0" w:color="auto"/>
      </w:divBdr>
    </w:div>
    <w:div w:id="1079710243">
      <w:bodyDiv w:val="1"/>
      <w:marLeft w:val="0"/>
      <w:marRight w:val="0"/>
      <w:marTop w:val="0"/>
      <w:marBottom w:val="0"/>
      <w:divBdr>
        <w:top w:val="none" w:sz="0" w:space="0" w:color="auto"/>
        <w:left w:val="none" w:sz="0" w:space="0" w:color="auto"/>
        <w:bottom w:val="none" w:sz="0" w:space="0" w:color="auto"/>
        <w:right w:val="none" w:sz="0" w:space="0" w:color="auto"/>
      </w:divBdr>
    </w:div>
    <w:div w:id="1086225288">
      <w:bodyDiv w:val="1"/>
      <w:marLeft w:val="0"/>
      <w:marRight w:val="0"/>
      <w:marTop w:val="0"/>
      <w:marBottom w:val="0"/>
      <w:divBdr>
        <w:top w:val="none" w:sz="0" w:space="0" w:color="auto"/>
        <w:left w:val="none" w:sz="0" w:space="0" w:color="auto"/>
        <w:bottom w:val="none" w:sz="0" w:space="0" w:color="auto"/>
        <w:right w:val="none" w:sz="0" w:space="0" w:color="auto"/>
      </w:divBdr>
    </w:div>
    <w:div w:id="1108431954">
      <w:bodyDiv w:val="1"/>
      <w:marLeft w:val="0"/>
      <w:marRight w:val="0"/>
      <w:marTop w:val="0"/>
      <w:marBottom w:val="0"/>
      <w:divBdr>
        <w:top w:val="none" w:sz="0" w:space="0" w:color="auto"/>
        <w:left w:val="none" w:sz="0" w:space="0" w:color="auto"/>
        <w:bottom w:val="none" w:sz="0" w:space="0" w:color="auto"/>
        <w:right w:val="none" w:sz="0" w:space="0" w:color="auto"/>
      </w:divBdr>
    </w:div>
    <w:div w:id="1124733542">
      <w:bodyDiv w:val="1"/>
      <w:marLeft w:val="0"/>
      <w:marRight w:val="0"/>
      <w:marTop w:val="0"/>
      <w:marBottom w:val="0"/>
      <w:divBdr>
        <w:top w:val="none" w:sz="0" w:space="0" w:color="auto"/>
        <w:left w:val="none" w:sz="0" w:space="0" w:color="auto"/>
        <w:bottom w:val="none" w:sz="0" w:space="0" w:color="auto"/>
        <w:right w:val="none" w:sz="0" w:space="0" w:color="auto"/>
      </w:divBdr>
    </w:div>
    <w:div w:id="1148127212">
      <w:bodyDiv w:val="1"/>
      <w:marLeft w:val="0"/>
      <w:marRight w:val="0"/>
      <w:marTop w:val="0"/>
      <w:marBottom w:val="0"/>
      <w:divBdr>
        <w:top w:val="none" w:sz="0" w:space="0" w:color="auto"/>
        <w:left w:val="none" w:sz="0" w:space="0" w:color="auto"/>
        <w:bottom w:val="none" w:sz="0" w:space="0" w:color="auto"/>
        <w:right w:val="none" w:sz="0" w:space="0" w:color="auto"/>
      </w:divBdr>
    </w:div>
    <w:div w:id="1160078942">
      <w:bodyDiv w:val="1"/>
      <w:marLeft w:val="0"/>
      <w:marRight w:val="0"/>
      <w:marTop w:val="0"/>
      <w:marBottom w:val="0"/>
      <w:divBdr>
        <w:top w:val="none" w:sz="0" w:space="0" w:color="auto"/>
        <w:left w:val="none" w:sz="0" w:space="0" w:color="auto"/>
        <w:bottom w:val="none" w:sz="0" w:space="0" w:color="auto"/>
        <w:right w:val="none" w:sz="0" w:space="0" w:color="auto"/>
      </w:divBdr>
    </w:div>
    <w:div w:id="1174102126">
      <w:bodyDiv w:val="1"/>
      <w:marLeft w:val="0"/>
      <w:marRight w:val="0"/>
      <w:marTop w:val="0"/>
      <w:marBottom w:val="0"/>
      <w:divBdr>
        <w:top w:val="none" w:sz="0" w:space="0" w:color="auto"/>
        <w:left w:val="none" w:sz="0" w:space="0" w:color="auto"/>
        <w:bottom w:val="none" w:sz="0" w:space="0" w:color="auto"/>
        <w:right w:val="none" w:sz="0" w:space="0" w:color="auto"/>
      </w:divBdr>
    </w:div>
    <w:div w:id="1177115606">
      <w:bodyDiv w:val="1"/>
      <w:marLeft w:val="0"/>
      <w:marRight w:val="0"/>
      <w:marTop w:val="0"/>
      <w:marBottom w:val="0"/>
      <w:divBdr>
        <w:top w:val="none" w:sz="0" w:space="0" w:color="auto"/>
        <w:left w:val="none" w:sz="0" w:space="0" w:color="auto"/>
        <w:bottom w:val="none" w:sz="0" w:space="0" w:color="auto"/>
        <w:right w:val="none" w:sz="0" w:space="0" w:color="auto"/>
      </w:divBdr>
    </w:div>
    <w:div w:id="1203248121">
      <w:bodyDiv w:val="1"/>
      <w:marLeft w:val="0"/>
      <w:marRight w:val="0"/>
      <w:marTop w:val="0"/>
      <w:marBottom w:val="0"/>
      <w:divBdr>
        <w:top w:val="none" w:sz="0" w:space="0" w:color="auto"/>
        <w:left w:val="none" w:sz="0" w:space="0" w:color="auto"/>
        <w:bottom w:val="none" w:sz="0" w:space="0" w:color="auto"/>
        <w:right w:val="none" w:sz="0" w:space="0" w:color="auto"/>
      </w:divBdr>
    </w:div>
    <w:div w:id="1208834317">
      <w:bodyDiv w:val="1"/>
      <w:marLeft w:val="0"/>
      <w:marRight w:val="0"/>
      <w:marTop w:val="0"/>
      <w:marBottom w:val="0"/>
      <w:divBdr>
        <w:top w:val="none" w:sz="0" w:space="0" w:color="auto"/>
        <w:left w:val="none" w:sz="0" w:space="0" w:color="auto"/>
        <w:bottom w:val="none" w:sz="0" w:space="0" w:color="auto"/>
        <w:right w:val="none" w:sz="0" w:space="0" w:color="auto"/>
      </w:divBdr>
    </w:div>
    <w:div w:id="1216694380">
      <w:bodyDiv w:val="1"/>
      <w:marLeft w:val="0"/>
      <w:marRight w:val="0"/>
      <w:marTop w:val="0"/>
      <w:marBottom w:val="0"/>
      <w:divBdr>
        <w:top w:val="none" w:sz="0" w:space="0" w:color="auto"/>
        <w:left w:val="none" w:sz="0" w:space="0" w:color="auto"/>
        <w:bottom w:val="none" w:sz="0" w:space="0" w:color="auto"/>
        <w:right w:val="none" w:sz="0" w:space="0" w:color="auto"/>
      </w:divBdr>
    </w:div>
    <w:div w:id="1224220352">
      <w:bodyDiv w:val="1"/>
      <w:marLeft w:val="0"/>
      <w:marRight w:val="0"/>
      <w:marTop w:val="0"/>
      <w:marBottom w:val="0"/>
      <w:divBdr>
        <w:top w:val="none" w:sz="0" w:space="0" w:color="auto"/>
        <w:left w:val="none" w:sz="0" w:space="0" w:color="auto"/>
        <w:bottom w:val="none" w:sz="0" w:space="0" w:color="auto"/>
        <w:right w:val="none" w:sz="0" w:space="0" w:color="auto"/>
      </w:divBdr>
    </w:div>
    <w:div w:id="1251692991">
      <w:bodyDiv w:val="1"/>
      <w:marLeft w:val="0"/>
      <w:marRight w:val="0"/>
      <w:marTop w:val="0"/>
      <w:marBottom w:val="0"/>
      <w:divBdr>
        <w:top w:val="none" w:sz="0" w:space="0" w:color="auto"/>
        <w:left w:val="none" w:sz="0" w:space="0" w:color="auto"/>
        <w:bottom w:val="none" w:sz="0" w:space="0" w:color="auto"/>
        <w:right w:val="none" w:sz="0" w:space="0" w:color="auto"/>
      </w:divBdr>
    </w:div>
    <w:div w:id="1272856261">
      <w:bodyDiv w:val="1"/>
      <w:marLeft w:val="0"/>
      <w:marRight w:val="0"/>
      <w:marTop w:val="0"/>
      <w:marBottom w:val="0"/>
      <w:divBdr>
        <w:top w:val="none" w:sz="0" w:space="0" w:color="auto"/>
        <w:left w:val="none" w:sz="0" w:space="0" w:color="auto"/>
        <w:bottom w:val="none" w:sz="0" w:space="0" w:color="auto"/>
        <w:right w:val="none" w:sz="0" w:space="0" w:color="auto"/>
      </w:divBdr>
    </w:div>
    <w:div w:id="1287086105">
      <w:bodyDiv w:val="1"/>
      <w:marLeft w:val="0"/>
      <w:marRight w:val="0"/>
      <w:marTop w:val="0"/>
      <w:marBottom w:val="0"/>
      <w:divBdr>
        <w:top w:val="none" w:sz="0" w:space="0" w:color="auto"/>
        <w:left w:val="none" w:sz="0" w:space="0" w:color="auto"/>
        <w:bottom w:val="none" w:sz="0" w:space="0" w:color="auto"/>
        <w:right w:val="none" w:sz="0" w:space="0" w:color="auto"/>
      </w:divBdr>
    </w:div>
    <w:div w:id="1302727911">
      <w:bodyDiv w:val="1"/>
      <w:marLeft w:val="0"/>
      <w:marRight w:val="0"/>
      <w:marTop w:val="0"/>
      <w:marBottom w:val="0"/>
      <w:divBdr>
        <w:top w:val="none" w:sz="0" w:space="0" w:color="auto"/>
        <w:left w:val="none" w:sz="0" w:space="0" w:color="auto"/>
        <w:bottom w:val="none" w:sz="0" w:space="0" w:color="auto"/>
        <w:right w:val="none" w:sz="0" w:space="0" w:color="auto"/>
      </w:divBdr>
    </w:div>
    <w:div w:id="1308974654">
      <w:bodyDiv w:val="1"/>
      <w:marLeft w:val="0"/>
      <w:marRight w:val="0"/>
      <w:marTop w:val="0"/>
      <w:marBottom w:val="0"/>
      <w:divBdr>
        <w:top w:val="none" w:sz="0" w:space="0" w:color="auto"/>
        <w:left w:val="none" w:sz="0" w:space="0" w:color="auto"/>
        <w:bottom w:val="none" w:sz="0" w:space="0" w:color="auto"/>
        <w:right w:val="none" w:sz="0" w:space="0" w:color="auto"/>
      </w:divBdr>
    </w:div>
    <w:div w:id="1317419541">
      <w:bodyDiv w:val="1"/>
      <w:marLeft w:val="0"/>
      <w:marRight w:val="0"/>
      <w:marTop w:val="0"/>
      <w:marBottom w:val="0"/>
      <w:divBdr>
        <w:top w:val="none" w:sz="0" w:space="0" w:color="auto"/>
        <w:left w:val="none" w:sz="0" w:space="0" w:color="auto"/>
        <w:bottom w:val="none" w:sz="0" w:space="0" w:color="auto"/>
        <w:right w:val="none" w:sz="0" w:space="0" w:color="auto"/>
      </w:divBdr>
    </w:div>
    <w:div w:id="1340765958">
      <w:bodyDiv w:val="1"/>
      <w:marLeft w:val="0"/>
      <w:marRight w:val="0"/>
      <w:marTop w:val="0"/>
      <w:marBottom w:val="0"/>
      <w:divBdr>
        <w:top w:val="none" w:sz="0" w:space="0" w:color="auto"/>
        <w:left w:val="none" w:sz="0" w:space="0" w:color="auto"/>
        <w:bottom w:val="none" w:sz="0" w:space="0" w:color="auto"/>
        <w:right w:val="none" w:sz="0" w:space="0" w:color="auto"/>
      </w:divBdr>
    </w:div>
    <w:div w:id="1358505773">
      <w:bodyDiv w:val="1"/>
      <w:marLeft w:val="0"/>
      <w:marRight w:val="0"/>
      <w:marTop w:val="0"/>
      <w:marBottom w:val="0"/>
      <w:divBdr>
        <w:top w:val="none" w:sz="0" w:space="0" w:color="auto"/>
        <w:left w:val="none" w:sz="0" w:space="0" w:color="auto"/>
        <w:bottom w:val="none" w:sz="0" w:space="0" w:color="auto"/>
        <w:right w:val="none" w:sz="0" w:space="0" w:color="auto"/>
      </w:divBdr>
    </w:div>
    <w:div w:id="1372611788">
      <w:bodyDiv w:val="1"/>
      <w:marLeft w:val="0"/>
      <w:marRight w:val="0"/>
      <w:marTop w:val="0"/>
      <w:marBottom w:val="0"/>
      <w:divBdr>
        <w:top w:val="none" w:sz="0" w:space="0" w:color="auto"/>
        <w:left w:val="none" w:sz="0" w:space="0" w:color="auto"/>
        <w:bottom w:val="none" w:sz="0" w:space="0" w:color="auto"/>
        <w:right w:val="none" w:sz="0" w:space="0" w:color="auto"/>
      </w:divBdr>
    </w:div>
    <w:div w:id="1379402899">
      <w:bodyDiv w:val="1"/>
      <w:marLeft w:val="0"/>
      <w:marRight w:val="0"/>
      <w:marTop w:val="0"/>
      <w:marBottom w:val="0"/>
      <w:divBdr>
        <w:top w:val="none" w:sz="0" w:space="0" w:color="auto"/>
        <w:left w:val="none" w:sz="0" w:space="0" w:color="auto"/>
        <w:bottom w:val="none" w:sz="0" w:space="0" w:color="auto"/>
        <w:right w:val="none" w:sz="0" w:space="0" w:color="auto"/>
      </w:divBdr>
    </w:div>
    <w:div w:id="1383210569">
      <w:bodyDiv w:val="1"/>
      <w:marLeft w:val="0"/>
      <w:marRight w:val="0"/>
      <w:marTop w:val="0"/>
      <w:marBottom w:val="0"/>
      <w:divBdr>
        <w:top w:val="none" w:sz="0" w:space="0" w:color="auto"/>
        <w:left w:val="none" w:sz="0" w:space="0" w:color="auto"/>
        <w:bottom w:val="none" w:sz="0" w:space="0" w:color="auto"/>
        <w:right w:val="none" w:sz="0" w:space="0" w:color="auto"/>
      </w:divBdr>
    </w:div>
    <w:div w:id="1397362760">
      <w:bodyDiv w:val="1"/>
      <w:marLeft w:val="0"/>
      <w:marRight w:val="0"/>
      <w:marTop w:val="0"/>
      <w:marBottom w:val="0"/>
      <w:divBdr>
        <w:top w:val="none" w:sz="0" w:space="0" w:color="auto"/>
        <w:left w:val="none" w:sz="0" w:space="0" w:color="auto"/>
        <w:bottom w:val="none" w:sz="0" w:space="0" w:color="auto"/>
        <w:right w:val="none" w:sz="0" w:space="0" w:color="auto"/>
      </w:divBdr>
    </w:div>
    <w:div w:id="1411853583">
      <w:bodyDiv w:val="1"/>
      <w:marLeft w:val="0"/>
      <w:marRight w:val="0"/>
      <w:marTop w:val="0"/>
      <w:marBottom w:val="0"/>
      <w:divBdr>
        <w:top w:val="none" w:sz="0" w:space="0" w:color="auto"/>
        <w:left w:val="none" w:sz="0" w:space="0" w:color="auto"/>
        <w:bottom w:val="none" w:sz="0" w:space="0" w:color="auto"/>
        <w:right w:val="none" w:sz="0" w:space="0" w:color="auto"/>
      </w:divBdr>
    </w:div>
    <w:div w:id="1418403457">
      <w:bodyDiv w:val="1"/>
      <w:marLeft w:val="0"/>
      <w:marRight w:val="0"/>
      <w:marTop w:val="0"/>
      <w:marBottom w:val="0"/>
      <w:divBdr>
        <w:top w:val="none" w:sz="0" w:space="0" w:color="auto"/>
        <w:left w:val="none" w:sz="0" w:space="0" w:color="auto"/>
        <w:bottom w:val="none" w:sz="0" w:space="0" w:color="auto"/>
        <w:right w:val="none" w:sz="0" w:space="0" w:color="auto"/>
      </w:divBdr>
    </w:div>
    <w:div w:id="1432974286">
      <w:bodyDiv w:val="1"/>
      <w:marLeft w:val="0"/>
      <w:marRight w:val="0"/>
      <w:marTop w:val="0"/>
      <w:marBottom w:val="0"/>
      <w:divBdr>
        <w:top w:val="none" w:sz="0" w:space="0" w:color="auto"/>
        <w:left w:val="none" w:sz="0" w:space="0" w:color="auto"/>
        <w:bottom w:val="none" w:sz="0" w:space="0" w:color="auto"/>
        <w:right w:val="none" w:sz="0" w:space="0" w:color="auto"/>
      </w:divBdr>
    </w:div>
    <w:div w:id="1436441414">
      <w:bodyDiv w:val="1"/>
      <w:marLeft w:val="0"/>
      <w:marRight w:val="0"/>
      <w:marTop w:val="0"/>
      <w:marBottom w:val="0"/>
      <w:divBdr>
        <w:top w:val="none" w:sz="0" w:space="0" w:color="auto"/>
        <w:left w:val="none" w:sz="0" w:space="0" w:color="auto"/>
        <w:bottom w:val="none" w:sz="0" w:space="0" w:color="auto"/>
        <w:right w:val="none" w:sz="0" w:space="0" w:color="auto"/>
      </w:divBdr>
    </w:div>
    <w:div w:id="1438594439">
      <w:bodyDiv w:val="1"/>
      <w:marLeft w:val="0"/>
      <w:marRight w:val="0"/>
      <w:marTop w:val="0"/>
      <w:marBottom w:val="0"/>
      <w:divBdr>
        <w:top w:val="none" w:sz="0" w:space="0" w:color="auto"/>
        <w:left w:val="none" w:sz="0" w:space="0" w:color="auto"/>
        <w:bottom w:val="none" w:sz="0" w:space="0" w:color="auto"/>
        <w:right w:val="none" w:sz="0" w:space="0" w:color="auto"/>
      </w:divBdr>
    </w:div>
    <w:div w:id="1485974533">
      <w:bodyDiv w:val="1"/>
      <w:marLeft w:val="0"/>
      <w:marRight w:val="0"/>
      <w:marTop w:val="0"/>
      <w:marBottom w:val="0"/>
      <w:divBdr>
        <w:top w:val="none" w:sz="0" w:space="0" w:color="auto"/>
        <w:left w:val="none" w:sz="0" w:space="0" w:color="auto"/>
        <w:bottom w:val="none" w:sz="0" w:space="0" w:color="auto"/>
        <w:right w:val="none" w:sz="0" w:space="0" w:color="auto"/>
      </w:divBdr>
    </w:div>
    <w:div w:id="1502163418">
      <w:bodyDiv w:val="1"/>
      <w:marLeft w:val="0"/>
      <w:marRight w:val="0"/>
      <w:marTop w:val="0"/>
      <w:marBottom w:val="0"/>
      <w:divBdr>
        <w:top w:val="none" w:sz="0" w:space="0" w:color="auto"/>
        <w:left w:val="none" w:sz="0" w:space="0" w:color="auto"/>
        <w:bottom w:val="none" w:sz="0" w:space="0" w:color="auto"/>
        <w:right w:val="none" w:sz="0" w:space="0" w:color="auto"/>
      </w:divBdr>
    </w:div>
    <w:div w:id="1504322413">
      <w:bodyDiv w:val="1"/>
      <w:marLeft w:val="0"/>
      <w:marRight w:val="0"/>
      <w:marTop w:val="0"/>
      <w:marBottom w:val="0"/>
      <w:divBdr>
        <w:top w:val="none" w:sz="0" w:space="0" w:color="auto"/>
        <w:left w:val="none" w:sz="0" w:space="0" w:color="auto"/>
        <w:bottom w:val="none" w:sz="0" w:space="0" w:color="auto"/>
        <w:right w:val="none" w:sz="0" w:space="0" w:color="auto"/>
      </w:divBdr>
    </w:div>
    <w:div w:id="1504590328">
      <w:bodyDiv w:val="1"/>
      <w:marLeft w:val="0"/>
      <w:marRight w:val="0"/>
      <w:marTop w:val="0"/>
      <w:marBottom w:val="0"/>
      <w:divBdr>
        <w:top w:val="none" w:sz="0" w:space="0" w:color="auto"/>
        <w:left w:val="none" w:sz="0" w:space="0" w:color="auto"/>
        <w:bottom w:val="none" w:sz="0" w:space="0" w:color="auto"/>
        <w:right w:val="none" w:sz="0" w:space="0" w:color="auto"/>
      </w:divBdr>
    </w:div>
    <w:div w:id="1518226342">
      <w:bodyDiv w:val="1"/>
      <w:marLeft w:val="0"/>
      <w:marRight w:val="0"/>
      <w:marTop w:val="0"/>
      <w:marBottom w:val="0"/>
      <w:divBdr>
        <w:top w:val="none" w:sz="0" w:space="0" w:color="auto"/>
        <w:left w:val="none" w:sz="0" w:space="0" w:color="auto"/>
        <w:bottom w:val="none" w:sz="0" w:space="0" w:color="auto"/>
        <w:right w:val="none" w:sz="0" w:space="0" w:color="auto"/>
      </w:divBdr>
    </w:div>
    <w:div w:id="1560824246">
      <w:bodyDiv w:val="1"/>
      <w:marLeft w:val="0"/>
      <w:marRight w:val="0"/>
      <w:marTop w:val="0"/>
      <w:marBottom w:val="0"/>
      <w:divBdr>
        <w:top w:val="none" w:sz="0" w:space="0" w:color="auto"/>
        <w:left w:val="none" w:sz="0" w:space="0" w:color="auto"/>
        <w:bottom w:val="none" w:sz="0" w:space="0" w:color="auto"/>
        <w:right w:val="none" w:sz="0" w:space="0" w:color="auto"/>
      </w:divBdr>
    </w:div>
    <w:div w:id="1563636965">
      <w:bodyDiv w:val="1"/>
      <w:marLeft w:val="0"/>
      <w:marRight w:val="0"/>
      <w:marTop w:val="0"/>
      <w:marBottom w:val="0"/>
      <w:divBdr>
        <w:top w:val="none" w:sz="0" w:space="0" w:color="auto"/>
        <w:left w:val="none" w:sz="0" w:space="0" w:color="auto"/>
        <w:bottom w:val="none" w:sz="0" w:space="0" w:color="auto"/>
        <w:right w:val="none" w:sz="0" w:space="0" w:color="auto"/>
      </w:divBdr>
    </w:div>
    <w:div w:id="1602105656">
      <w:bodyDiv w:val="1"/>
      <w:marLeft w:val="0"/>
      <w:marRight w:val="0"/>
      <w:marTop w:val="0"/>
      <w:marBottom w:val="0"/>
      <w:divBdr>
        <w:top w:val="none" w:sz="0" w:space="0" w:color="auto"/>
        <w:left w:val="none" w:sz="0" w:space="0" w:color="auto"/>
        <w:bottom w:val="none" w:sz="0" w:space="0" w:color="auto"/>
        <w:right w:val="none" w:sz="0" w:space="0" w:color="auto"/>
      </w:divBdr>
    </w:div>
    <w:div w:id="1643346109">
      <w:bodyDiv w:val="1"/>
      <w:marLeft w:val="0"/>
      <w:marRight w:val="0"/>
      <w:marTop w:val="0"/>
      <w:marBottom w:val="0"/>
      <w:divBdr>
        <w:top w:val="none" w:sz="0" w:space="0" w:color="auto"/>
        <w:left w:val="none" w:sz="0" w:space="0" w:color="auto"/>
        <w:bottom w:val="none" w:sz="0" w:space="0" w:color="auto"/>
        <w:right w:val="none" w:sz="0" w:space="0" w:color="auto"/>
      </w:divBdr>
    </w:div>
    <w:div w:id="1645811131">
      <w:bodyDiv w:val="1"/>
      <w:marLeft w:val="0"/>
      <w:marRight w:val="0"/>
      <w:marTop w:val="0"/>
      <w:marBottom w:val="0"/>
      <w:divBdr>
        <w:top w:val="none" w:sz="0" w:space="0" w:color="auto"/>
        <w:left w:val="none" w:sz="0" w:space="0" w:color="auto"/>
        <w:bottom w:val="none" w:sz="0" w:space="0" w:color="auto"/>
        <w:right w:val="none" w:sz="0" w:space="0" w:color="auto"/>
      </w:divBdr>
    </w:div>
    <w:div w:id="1649020776">
      <w:bodyDiv w:val="1"/>
      <w:marLeft w:val="0"/>
      <w:marRight w:val="0"/>
      <w:marTop w:val="0"/>
      <w:marBottom w:val="0"/>
      <w:divBdr>
        <w:top w:val="none" w:sz="0" w:space="0" w:color="auto"/>
        <w:left w:val="none" w:sz="0" w:space="0" w:color="auto"/>
        <w:bottom w:val="none" w:sz="0" w:space="0" w:color="auto"/>
        <w:right w:val="none" w:sz="0" w:space="0" w:color="auto"/>
      </w:divBdr>
    </w:div>
    <w:div w:id="1667202097">
      <w:bodyDiv w:val="1"/>
      <w:marLeft w:val="0"/>
      <w:marRight w:val="0"/>
      <w:marTop w:val="0"/>
      <w:marBottom w:val="0"/>
      <w:divBdr>
        <w:top w:val="none" w:sz="0" w:space="0" w:color="auto"/>
        <w:left w:val="none" w:sz="0" w:space="0" w:color="auto"/>
        <w:bottom w:val="none" w:sz="0" w:space="0" w:color="auto"/>
        <w:right w:val="none" w:sz="0" w:space="0" w:color="auto"/>
      </w:divBdr>
    </w:div>
    <w:div w:id="1689865368">
      <w:bodyDiv w:val="1"/>
      <w:marLeft w:val="0"/>
      <w:marRight w:val="0"/>
      <w:marTop w:val="0"/>
      <w:marBottom w:val="0"/>
      <w:divBdr>
        <w:top w:val="none" w:sz="0" w:space="0" w:color="auto"/>
        <w:left w:val="none" w:sz="0" w:space="0" w:color="auto"/>
        <w:bottom w:val="none" w:sz="0" w:space="0" w:color="auto"/>
        <w:right w:val="none" w:sz="0" w:space="0" w:color="auto"/>
      </w:divBdr>
    </w:div>
    <w:div w:id="1709522519">
      <w:bodyDiv w:val="1"/>
      <w:marLeft w:val="0"/>
      <w:marRight w:val="0"/>
      <w:marTop w:val="0"/>
      <w:marBottom w:val="0"/>
      <w:divBdr>
        <w:top w:val="none" w:sz="0" w:space="0" w:color="auto"/>
        <w:left w:val="none" w:sz="0" w:space="0" w:color="auto"/>
        <w:bottom w:val="none" w:sz="0" w:space="0" w:color="auto"/>
        <w:right w:val="none" w:sz="0" w:space="0" w:color="auto"/>
      </w:divBdr>
    </w:div>
    <w:div w:id="1726023631">
      <w:bodyDiv w:val="1"/>
      <w:marLeft w:val="0"/>
      <w:marRight w:val="0"/>
      <w:marTop w:val="0"/>
      <w:marBottom w:val="0"/>
      <w:divBdr>
        <w:top w:val="none" w:sz="0" w:space="0" w:color="auto"/>
        <w:left w:val="none" w:sz="0" w:space="0" w:color="auto"/>
        <w:bottom w:val="none" w:sz="0" w:space="0" w:color="auto"/>
        <w:right w:val="none" w:sz="0" w:space="0" w:color="auto"/>
      </w:divBdr>
    </w:div>
    <w:div w:id="1765685072">
      <w:bodyDiv w:val="1"/>
      <w:marLeft w:val="0"/>
      <w:marRight w:val="0"/>
      <w:marTop w:val="0"/>
      <w:marBottom w:val="0"/>
      <w:divBdr>
        <w:top w:val="none" w:sz="0" w:space="0" w:color="auto"/>
        <w:left w:val="none" w:sz="0" w:space="0" w:color="auto"/>
        <w:bottom w:val="none" w:sz="0" w:space="0" w:color="auto"/>
        <w:right w:val="none" w:sz="0" w:space="0" w:color="auto"/>
      </w:divBdr>
    </w:div>
    <w:div w:id="1786728255">
      <w:bodyDiv w:val="1"/>
      <w:marLeft w:val="0"/>
      <w:marRight w:val="0"/>
      <w:marTop w:val="0"/>
      <w:marBottom w:val="0"/>
      <w:divBdr>
        <w:top w:val="none" w:sz="0" w:space="0" w:color="auto"/>
        <w:left w:val="none" w:sz="0" w:space="0" w:color="auto"/>
        <w:bottom w:val="none" w:sz="0" w:space="0" w:color="auto"/>
        <w:right w:val="none" w:sz="0" w:space="0" w:color="auto"/>
      </w:divBdr>
    </w:div>
    <w:div w:id="1788233538">
      <w:bodyDiv w:val="1"/>
      <w:marLeft w:val="0"/>
      <w:marRight w:val="0"/>
      <w:marTop w:val="0"/>
      <w:marBottom w:val="0"/>
      <w:divBdr>
        <w:top w:val="none" w:sz="0" w:space="0" w:color="auto"/>
        <w:left w:val="none" w:sz="0" w:space="0" w:color="auto"/>
        <w:bottom w:val="none" w:sz="0" w:space="0" w:color="auto"/>
        <w:right w:val="none" w:sz="0" w:space="0" w:color="auto"/>
      </w:divBdr>
    </w:div>
    <w:div w:id="1798178753">
      <w:bodyDiv w:val="1"/>
      <w:marLeft w:val="0"/>
      <w:marRight w:val="0"/>
      <w:marTop w:val="0"/>
      <w:marBottom w:val="0"/>
      <w:divBdr>
        <w:top w:val="none" w:sz="0" w:space="0" w:color="auto"/>
        <w:left w:val="none" w:sz="0" w:space="0" w:color="auto"/>
        <w:bottom w:val="none" w:sz="0" w:space="0" w:color="auto"/>
        <w:right w:val="none" w:sz="0" w:space="0" w:color="auto"/>
      </w:divBdr>
    </w:div>
    <w:div w:id="1804929089">
      <w:bodyDiv w:val="1"/>
      <w:marLeft w:val="0"/>
      <w:marRight w:val="0"/>
      <w:marTop w:val="0"/>
      <w:marBottom w:val="0"/>
      <w:divBdr>
        <w:top w:val="none" w:sz="0" w:space="0" w:color="auto"/>
        <w:left w:val="none" w:sz="0" w:space="0" w:color="auto"/>
        <w:bottom w:val="none" w:sz="0" w:space="0" w:color="auto"/>
        <w:right w:val="none" w:sz="0" w:space="0" w:color="auto"/>
      </w:divBdr>
    </w:div>
    <w:div w:id="1844197562">
      <w:bodyDiv w:val="1"/>
      <w:marLeft w:val="0"/>
      <w:marRight w:val="0"/>
      <w:marTop w:val="0"/>
      <w:marBottom w:val="0"/>
      <w:divBdr>
        <w:top w:val="none" w:sz="0" w:space="0" w:color="auto"/>
        <w:left w:val="none" w:sz="0" w:space="0" w:color="auto"/>
        <w:bottom w:val="none" w:sz="0" w:space="0" w:color="auto"/>
        <w:right w:val="none" w:sz="0" w:space="0" w:color="auto"/>
      </w:divBdr>
    </w:div>
    <w:div w:id="1889875026">
      <w:bodyDiv w:val="1"/>
      <w:marLeft w:val="0"/>
      <w:marRight w:val="0"/>
      <w:marTop w:val="0"/>
      <w:marBottom w:val="0"/>
      <w:divBdr>
        <w:top w:val="none" w:sz="0" w:space="0" w:color="auto"/>
        <w:left w:val="none" w:sz="0" w:space="0" w:color="auto"/>
        <w:bottom w:val="none" w:sz="0" w:space="0" w:color="auto"/>
        <w:right w:val="none" w:sz="0" w:space="0" w:color="auto"/>
      </w:divBdr>
    </w:div>
    <w:div w:id="1900432449">
      <w:bodyDiv w:val="1"/>
      <w:marLeft w:val="0"/>
      <w:marRight w:val="0"/>
      <w:marTop w:val="0"/>
      <w:marBottom w:val="0"/>
      <w:divBdr>
        <w:top w:val="none" w:sz="0" w:space="0" w:color="auto"/>
        <w:left w:val="none" w:sz="0" w:space="0" w:color="auto"/>
        <w:bottom w:val="none" w:sz="0" w:space="0" w:color="auto"/>
        <w:right w:val="none" w:sz="0" w:space="0" w:color="auto"/>
      </w:divBdr>
    </w:div>
    <w:div w:id="1915123519">
      <w:bodyDiv w:val="1"/>
      <w:marLeft w:val="0"/>
      <w:marRight w:val="0"/>
      <w:marTop w:val="0"/>
      <w:marBottom w:val="0"/>
      <w:divBdr>
        <w:top w:val="none" w:sz="0" w:space="0" w:color="auto"/>
        <w:left w:val="none" w:sz="0" w:space="0" w:color="auto"/>
        <w:bottom w:val="none" w:sz="0" w:space="0" w:color="auto"/>
        <w:right w:val="none" w:sz="0" w:space="0" w:color="auto"/>
      </w:divBdr>
    </w:div>
    <w:div w:id="1916165988">
      <w:bodyDiv w:val="1"/>
      <w:marLeft w:val="0"/>
      <w:marRight w:val="0"/>
      <w:marTop w:val="0"/>
      <w:marBottom w:val="0"/>
      <w:divBdr>
        <w:top w:val="none" w:sz="0" w:space="0" w:color="auto"/>
        <w:left w:val="none" w:sz="0" w:space="0" w:color="auto"/>
        <w:bottom w:val="none" w:sz="0" w:space="0" w:color="auto"/>
        <w:right w:val="none" w:sz="0" w:space="0" w:color="auto"/>
      </w:divBdr>
    </w:div>
    <w:div w:id="1928347079">
      <w:bodyDiv w:val="1"/>
      <w:marLeft w:val="0"/>
      <w:marRight w:val="0"/>
      <w:marTop w:val="0"/>
      <w:marBottom w:val="0"/>
      <w:divBdr>
        <w:top w:val="none" w:sz="0" w:space="0" w:color="auto"/>
        <w:left w:val="none" w:sz="0" w:space="0" w:color="auto"/>
        <w:bottom w:val="none" w:sz="0" w:space="0" w:color="auto"/>
        <w:right w:val="none" w:sz="0" w:space="0" w:color="auto"/>
      </w:divBdr>
    </w:div>
    <w:div w:id="1929381250">
      <w:bodyDiv w:val="1"/>
      <w:marLeft w:val="0"/>
      <w:marRight w:val="0"/>
      <w:marTop w:val="0"/>
      <w:marBottom w:val="0"/>
      <w:divBdr>
        <w:top w:val="none" w:sz="0" w:space="0" w:color="auto"/>
        <w:left w:val="none" w:sz="0" w:space="0" w:color="auto"/>
        <w:bottom w:val="none" w:sz="0" w:space="0" w:color="auto"/>
        <w:right w:val="none" w:sz="0" w:space="0" w:color="auto"/>
      </w:divBdr>
    </w:div>
    <w:div w:id="1936598413">
      <w:bodyDiv w:val="1"/>
      <w:marLeft w:val="0"/>
      <w:marRight w:val="0"/>
      <w:marTop w:val="0"/>
      <w:marBottom w:val="0"/>
      <w:divBdr>
        <w:top w:val="none" w:sz="0" w:space="0" w:color="auto"/>
        <w:left w:val="none" w:sz="0" w:space="0" w:color="auto"/>
        <w:bottom w:val="none" w:sz="0" w:space="0" w:color="auto"/>
        <w:right w:val="none" w:sz="0" w:space="0" w:color="auto"/>
      </w:divBdr>
    </w:div>
    <w:div w:id="1968005242">
      <w:bodyDiv w:val="1"/>
      <w:marLeft w:val="0"/>
      <w:marRight w:val="0"/>
      <w:marTop w:val="0"/>
      <w:marBottom w:val="0"/>
      <w:divBdr>
        <w:top w:val="none" w:sz="0" w:space="0" w:color="auto"/>
        <w:left w:val="none" w:sz="0" w:space="0" w:color="auto"/>
        <w:bottom w:val="none" w:sz="0" w:space="0" w:color="auto"/>
        <w:right w:val="none" w:sz="0" w:space="0" w:color="auto"/>
      </w:divBdr>
    </w:div>
    <w:div w:id="1985691716">
      <w:bodyDiv w:val="1"/>
      <w:marLeft w:val="0"/>
      <w:marRight w:val="0"/>
      <w:marTop w:val="0"/>
      <w:marBottom w:val="0"/>
      <w:divBdr>
        <w:top w:val="none" w:sz="0" w:space="0" w:color="auto"/>
        <w:left w:val="none" w:sz="0" w:space="0" w:color="auto"/>
        <w:bottom w:val="none" w:sz="0" w:space="0" w:color="auto"/>
        <w:right w:val="none" w:sz="0" w:space="0" w:color="auto"/>
      </w:divBdr>
    </w:div>
    <w:div w:id="1997102483">
      <w:bodyDiv w:val="1"/>
      <w:marLeft w:val="0"/>
      <w:marRight w:val="0"/>
      <w:marTop w:val="0"/>
      <w:marBottom w:val="0"/>
      <w:divBdr>
        <w:top w:val="none" w:sz="0" w:space="0" w:color="auto"/>
        <w:left w:val="none" w:sz="0" w:space="0" w:color="auto"/>
        <w:bottom w:val="none" w:sz="0" w:space="0" w:color="auto"/>
        <w:right w:val="none" w:sz="0" w:space="0" w:color="auto"/>
      </w:divBdr>
      <w:divsChild>
        <w:div w:id="16663693">
          <w:marLeft w:val="0"/>
          <w:marRight w:val="0"/>
          <w:marTop w:val="0"/>
          <w:marBottom w:val="0"/>
          <w:divBdr>
            <w:top w:val="none" w:sz="0" w:space="0" w:color="auto"/>
            <w:left w:val="none" w:sz="0" w:space="0" w:color="auto"/>
            <w:bottom w:val="none" w:sz="0" w:space="0" w:color="auto"/>
            <w:right w:val="none" w:sz="0" w:space="0" w:color="auto"/>
          </w:divBdr>
        </w:div>
      </w:divsChild>
    </w:div>
    <w:div w:id="2000772430">
      <w:bodyDiv w:val="1"/>
      <w:marLeft w:val="0"/>
      <w:marRight w:val="0"/>
      <w:marTop w:val="0"/>
      <w:marBottom w:val="0"/>
      <w:divBdr>
        <w:top w:val="none" w:sz="0" w:space="0" w:color="auto"/>
        <w:left w:val="none" w:sz="0" w:space="0" w:color="auto"/>
        <w:bottom w:val="none" w:sz="0" w:space="0" w:color="auto"/>
        <w:right w:val="none" w:sz="0" w:space="0" w:color="auto"/>
      </w:divBdr>
    </w:div>
    <w:div w:id="2004771651">
      <w:bodyDiv w:val="1"/>
      <w:marLeft w:val="0"/>
      <w:marRight w:val="0"/>
      <w:marTop w:val="0"/>
      <w:marBottom w:val="0"/>
      <w:divBdr>
        <w:top w:val="none" w:sz="0" w:space="0" w:color="auto"/>
        <w:left w:val="none" w:sz="0" w:space="0" w:color="auto"/>
        <w:bottom w:val="none" w:sz="0" w:space="0" w:color="auto"/>
        <w:right w:val="none" w:sz="0" w:space="0" w:color="auto"/>
      </w:divBdr>
    </w:div>
    <w:div w:id="2042198488">
      <w:bodyDiv w:val="1"/>
      <w:marLeft w:val="0"/>
      <w:marRight w:val="0"/>
      <w:marTop w:val="0"/>
      <w:marBottom w:val="0"/>
      <w:divBdr>
        <w:top w:val="none" w:sz="0" w:space="0" w:color="auto"/>
        <w:left w:val="none" w:sz="0" w:space="0" w:color="auto"/>
        <w:bottom w:val="none" w:sz="0" w:space="0" w:color="auto"/>
        <w:right w:val="none" w:sz="0" w:space="0" w:color="auto"/>
      </w:divBdr>
    </w:div>
    <w:div w:id="2044136271">
      <w:bodyDiv w:val="1"/>
      <w:marLeft w:val="0"/>
      <w:marRight w:val="0"/>
      <w:marTop w:val="0"/>
      <w:marBottom w:val="0"/>
      <w:divBdr>
        <w:top w:val="none" w:sz="0" w:space="0" w:color="auto"/>
        <w:left w:val="none" w:sz="0" w:space="0" w:color="auto"/>
        <w:bottom w:val="none" w:sz="0" w:space="0" w:color="auto"/>
        <w:right w:val="none" w:sz="0" w:space="0" w:color="auto"/>
      </w:divBdr>
    </w:div>
    <w:div w:id="2062552464">
      <w:bodyDiv w:val="1"/>
      <w:marLeft w:val="0"/>
      <w:marRight w:val="0"/>
      <w:marTop w:val="0"/>
      <w:marBottom w:val="0"/>
      <w:divBdr>
        <w:top w:val="none" w:sz="0" w:space="0" w:color="auto"/>
        <w:left w:val="none" w:sz="0" w:space="0" w:color="auto"/>
        <w:bottom w:val="none" w:sz="0" w:space="0" w:color="auto"/>
        <w:right w:val="none" w:sz="0" w:space="0" w:color="auto"/>
      </w:divBdr>
    </w:div>
    <w:div w:id="2118795726">
      <w:bodyDiv w:val="1"/>
      <w:marLeft w:val="0"/>
      <w:marRight w:val="0"/>
      <w:marTop w:val="0"/>
      <w:marBottom w:val="0"/>
      <w:divBdr>
        <w:top w:val="none" w:sz="0" w:space="0" w:color="auto"/>
        <w:left w:val="none" w:sz="0" w:space="0" w:color="auto"/>
        <w:bottom w:val="none" w:sz="0" w:space="0" w:color="auto"/>
        <w:right w:val="none" w:sz="0" w:space="0" w:color="auto"/>
      </w:divBdr>
    </w:div>
    <w:div w:id="213393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www.livemint.com/Politics/X4R0eZMQ5R6i5SlW0oGjoL/Green-activists-oppose-Finance-Act-2017-say-it-curtails-NGT.html" TargetMode="External"/><Relationship Id="rId26" Type="http://schemas.openxmlformats.org/officeDocument/2006/relationships/hyperlink" Target="http://www.downtoearth.org.in/interviews/ngt-must-have-suo-motu-powers-47542" TargetMode="External"/><Relationship Id="rId39" Type="http://schemas.openxmlformats.org/officeDocument/2006/relationships/hyperlink" Target="http://lawcommissionofindia.nic.in/reports/186th%20report.pdf" TargetMode="External"/><Relationship Id="rId21" Type="http://schemas.openxmlformats.org/officeDocument/2006/relationships/hyperlink" Target="https://www.telegraphindia.com/india/sc-breather-for-green-tribunals-207982" TargetMode="External"/><Relationship Id="rId34" Type="http://schemas.openxmlformats.org/officeDocument/2006/relationships/hyperlink" Target="https://www.hindustantimes.com/delhi-news/delhi-air-pollution-ngt-slams-authorities-for-holding-india-sri-lanka-test-amid-bad-air-quality/story-PUKWlesX2eh3hRZNSHzLyL.html" TargetMode="External"/><Relationship Id="rId42" Type="http://schemas.openxmlformats.org/officeDocument/2006/relationships/hyperlink" Target="http://www.livelaw.in/jairam-ramesh-moves-sc-diluting-rules-appointments-tribunals-including-ngt-read-petition/" TargetMode="External"/><Relationship Id="rId47" Type="http://schemas.openxmlformats.org/officeDocument/2006/relationships/hyperlink" Target="http://indianexpress.com/article/india/india-news-india/green-project-clearances-now-in-190-days-not-in-600-days-javadekar-2813341/" TargetMode="External"/><Relationship Id="rId50" Type="http://schemas.openxmlformats.org/officeDocument/2006/relationships/hyperlink" Target="https://www.firstpost.com/india/national-green-tribunal-asserts-independence-environment-minister-listening-1625527.html" TargetMode="External"/><Relationship Id="rId55" Type="http://schemas.openxmlformats.org/officeDocument/2006/relationships/hyperlink" Target="https://thewire.in/223978/ngt-political-apathy-vacancies/" TargetMode="External"/><Relationship Id="rId63" Type="http://schemas.openxmlformats.org/officeDocument/2006/relationships/hyperlink" Target="http://www.undp.org/content/undp/en/home/librarypage/democratic-governance/access_to_justiceandruleoflaw/environmental-justice---comparative-experiences.html"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economictimes.indiatimes.com/news/politics-and-nation/ngt-raps-moef-over-emission-standards-for-thermal-power-plants/articleshow/60813505.c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downtoearth.org.in/coverage/tribunal-on-trial-47400" TargetMode="External"/><Relationship Id="rId32" Type="http://schemas.openxmlformats.org/officeDocument/2006/relationships/hyperlink" Target="http://indianexpress.com/article/india/india-others/western-ghats-ngt-rap-for-forest-ministry/" TargetMode="External"/><Relationship Id="rId37" Type="http://schemas.openxmlformats.org/officeDocument/2006/relationships/hyperlink" Target="http://indianexpress.com/article/india/no-single-judge-bench-can-hear-cases-at-ngt-supreme-court-5046408/" TargetMode="External"/><Relationship Id="rId40" Type="http://schemas.openxmlformats.org/officeDocument/2006/relationships/hyperlink" Target="http://lawcommissionofindia.nic.in/reports/Report272.pdf" TargetMode="External"/><Relationship Id="rId45" Type="http://schemas.openxmlformats.org/officeDocument/2006/relationships/hyperlink" Target="http://www.dailypioneer.com/nation/ngt-ban-judicial-overreach.html" TargetMode="External"/><Relationship Id="rId53" Type="http://schemas.openxmlformats.org/officeDocument/2006/relationships/hyperlink" Target="http://www.rediff.com/news/column/when-tribunals-undermine-the-judiciary/20131025.htm" TargetMode="External"/><Relationship Id="rId58" Type="http://schemas.openxmlformats.org/officeDocument/2006/relationships/hyperlink" Target="http://www.business-standard.com/article/economy-%20policy/opposition-criticises-government-s-move-to-dilute-forest-rights-act-1160505%2000042_1.html" TargetMode="External"/><Relationship Id="rId66" Type="http://schemas.openxmlformats.org/officeDocument/2006/relationships/hyperlink" Target="http://www.indialegallive.com/constitutional-law-news/acts-and-bills-news/finance-act-amendment-tightening-the-noose-30732" TargetMode="External"/><Relationship Id="rId5" Type="http://schemas.openxmlformats.org/officeDocument/2006/relationships/webSettings" Target="webSettings.xml"/><Relationship Id="rId15" Type="http://schemas.openxmlformats.org/officeDocument/2006/relationships/hyperlink" Target="http://www.greentribunal.gov.in/" TargetMode="External"/><Relationship Id="rId23" Type="http://schemas.openxmlformats.org/officeDocument/2006/relationships/hyperlink" Target="http://cmsdata.iucn.org/downloads/pk_bhurban_declaration_2012__20120410_.pdf" TargetMode="External"/><Relationship Id="rId28" Type="http://schemas.openxmlformats.org/officeDocument/2006/relationships/hyperlink" Target="http://www.livelaw.in/finance-act-2017-cripples-national-green-tribunalngt/" TargetMode="External"/><Relationship Id="rId36" Type="http://schemas.openxmlformats.org/officeDocument/2006/relationships/hyperlink" Target="http://indianexpress.com/article/india/justice-rahim-appointed-acting-chairperson-of-ngt-5113810/" TargetMode="External"/><Relationship Id="rId49" Type="http://schemas.openxmlformats.org/officeDocument/2006/relationships/hyperlink" Target="https://www.theguardian.com/environment/blog/2011/jul/13/jairam-ramesh-india-environment-ministry" TargetMode="External"/><Relationship Id="rId57" Type="http://schemas.openxmlformats.org/officeDocument/2006/relationships/hyperlink" Target="https://www.hindustantimes.com/india-news/india-others-get-un-rules-on-tribal-rights-diluted/story-xtD82yGjIeEAo4jV8y7QZI.html" TargetMode="External"/><Relationship Id="rId61" Type="http://schemas.openxmlformats.org/officeDocument/2006/relationships/hyperlink" Target="http://swachhindia.ndtv.com/punjab-and-haryana-state-governments-criticised-by-national-green-tribunal-for-filing-generalised-action-plans-to-tackle-air-pollution-15596/" TargetMode="External"/><Relationship Id="rId10" Type="http://schemas.openxmlformats.org/officeDocument/2006/relationships/image" Target="media/image3.emf"/><Relationship Id="rId19" Type="http://schemas.openxmlformats.org/officeDocument/2006/relationships/hyperlink" Target="http://archive.indianexpress.com/news/sc-fumes-as-moef-says-ngt-causing-govt-embarrassment/1168479/" TargetMode="External"/><Relationship Id="rId31" Type="http://schemas.openxmlformats.org/officeDocument/2006/relationships/hyperlink" Target="https://www.ft.com/content/156e5e7e-0047-11e8-9650-9c0ad2d7c5b5" TargetMode="External"/><Relationship Id="rId44" Type="http://schemas.openxmlformats.org/officeDocument/2006/relationships/hyperlink" Target="https://timesofindia.indiatimes.com/city/kolkata/Kolkata-may-lose-green-tribunal-bench-to-Guwahati-or-Ranchi/articleshow/20996616.cms" TargetMode="External"/><Relationship Id="rId52" Type="http://schemas.openxmlformats.org/officeDocument/2006/relationships/hyperlink" Target="http://www.rediff.com/news/column/what-jairam-ramesh-did-and-did-not-do-as-green-minister/20110720.htm" TargetMode="External"/><Relationship Id="rId60" Type="http://schemas.openxmlformats.org/officeDocument/2006/relationships/hyperlink" Target="https://scroll.in/article/852288/india-allows-16-new-thermal-power-plants-that-violate-stricter-air-pollution-standards-to-come-up" TargetMode="External"/><Relationship Id="rId65" Type="http://schemas.openxmlformats.org/officeDocument/2006/relationships/hyperlink" Target="https://wedocs.unep.org/bitstream/handle/20.500.11822/11201/UNEP%20MGSB-SGBS%20BALI%20GUIDELINES-Interactive.pdf?sequence=1&amp;isAllowed=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bbc.co.uk/news/world-asia-india-35359089" TargetMode="External"/><Relationship Id="rId27" Type="http://schemas.openxmlformats.org/officeDocument/2006/relationships/hyperlink" Target="https://elaw.org/indias-green-tribunal-takes-major-environmental-abuses" TargetMode="External"/><Relationship Id="rId30" Type="http://schemas.openxmlformats.org/officeDocument/2006/relationships/hyperlink" Target="https://economictimes.indiatimes.com/news/politics-and-nation/why-contempt-should-not-be-initiated-agnst-delhi-govt-djb-ngt/articleshow/61185784.cms" TargetMode="External"/><Relationship Id="rId35" Type="http://schemas.openxmlformats.org/officeDocument/2006/relationships/hyperlink" Target="http://indianexpress.com/article/world/world-news/full-text-pm-modis-address-to-the-united-nations-general-assembly/" TargetMode="External"/><Relationship Id="rId43" Type="http://schemas.openxmlformats.org/officeDocument/2006/relationships/hyperlink" Target="http://weavingaweb.org/pdfdocuments/%20London%20Bridge%20Statement.pdf" TargetMode="External"/><Relationship Id="rId48" Type="http://schemas.openxmlformats.org/officeDocument/2006/relationships/hyperlink" Target="https://www.indiatoday.in/mail-today/story/ngt-judges-vacancy-supreme-court-centre-appoint-judges-1099148-2017-12-03" TargetMode="External"/><Relationship Id="rId56" Type="http://schemas.openxmlformats.org/officeDocument/2006/relationships/hyperlink" Target="http://www.downtoearth.org.in/news/green-tribunal-gets-short-shrift-38426" TargetMode="External"/><Relationship Id="rId64" Type="http://schemas.openxmlformats.org/officeDocument/2006/relationships/hyperlink" Target="https://www.doe.ir/portal/file/?116502/Unep-Global-Judges-programme.pdf" TargetMode="External"/><Relationship Id="rId69"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http://www.prsindia.org/billtrack/the-national-green-tribunal-bill-2009-740/" TargetMode="Externa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www.dnaindia.com/india/report-ngt-flays-government-for-ambiguity-over-safety-of-western-ghats-2013665" TargetMode="External"/><Relationship Id="rId25" Type="http://schemas.openxmlformats.org/officeDocument/2006/relationships/hyperlink" Target="http://www.cseindia.org/content/%20nda%E2%80%99s-environmental-clearance-record-not-signi%20cantly-different-upa%E2%20%80%99s-says-analysis-cse" TargetMode="External"/><Relationship Id="rId33" Type="http://schemas.openxmlformats.org/officeDocument/2006/relationships/hyperlink" Target="http://envfor.nic.in/sites/default/files/press-releases/Final_Report_of_HLC.pdf" TargetMode="External"/><Relationship Id="rId38" Type="http://schemas.openxmlformats.org/officeDocument/2006/relationships/hyperlink" Target="https://www.iucn.org/news/world-commission-environmental-law/201802/wcel-and-gjie-tribute-justice-swatanter-kumar-and-india%E2%80%99s-national-green-tribunal" TargetMode="External"/><Relationship Id="rId46" Type="http://schemas.openxmlformats.org/officeDocument/2006/relationships/hyperlink" Target="https://www.narendramodi.in/pm-modi-addresses-world-sustainable-development-summit-538963" TargetMode="External"/><Relationship Id="rId59" Type="http://schemas.openxmlformats.org/officeDocument/2006/relationships/hyperlink" Target="https://scroll.in/article/872579/centre-seeks-to-change-forest-policy-to-promote-industrial-plantations-in-natural-forests" TargetMode="External"/><Relationship Id="rId67" Type="http://schemas.openxmlformats.org/officeDocument/2006/relationships/hyperlink" Target="http://www.doingbusiness.org/~/media/WBG/DoingBusiness/Documents/Annual-Reports/English/DB2018-Full-Report.pdf" TargetMode="External"/><Relationship Id="rId20" Type="http://schemas.openxmlformats.org/officeDocument/2006/relationships/hyperlink" Target="http://indianexpress.com/article/india/centre-passes-notification-allows-ngt-to-form-one-member-benches-4968206/" TargetMode="External"/><Relationship Id="rId41" Type="http://schemas.openxmlformats.org/officeDocument/2006/relationships/hyperlink" Target="https://www.firstpost.com/blogs/green-fundamentalism-will-not-work-says-jairam-ramesh-42646.html" TargetMode="External"/><Relationship Id="rId54" Type="http://schemas.openxmlformats.org/officeDocument/2006/relationships/hyperlink" Target="http://weavingaweb.org/28-43.html" TargetMode="External"/><Relationship Id="rId62" Type="http://schemas.openxmlformats.org/officeDocument/2006/relationships/hyperlink" Target="https://www.eufje.org/images/DocDivers/Johannesburg%20Principles.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vfor.nic.in/legis/others/tribunal.html." TargetMode="External"/><Relationship Id="rId1" Type="http://schemas.openxmlformats.org/officeDocument/2006/relationships/hyperlink" Target="http://www.businessdictionary.com/definition/conce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AD4ED6-ED0E-4B2A-80C2-BA728E3D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18217</Words>
  <Characters>103842</Characters>
  <Application>Microsoft Office Word</Application>
  <DocSecurity>4</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 Nain Gill</dc:creator>
  <cp:keywords/>
  <dc:description/>
  <cp:lastModifiedBy>Paul Burns</cp:lastModifiedBy>
  <cp:revision>2</cp:revision>
  <dcterms:created xsi:type="dcterms:W3CDTF">2018-06-13T14:59:00Z</dcterms:created>
  <dcterms:modified xsi:type="dcterms:W3CDTF">2018-06-13T14:59:00Z</dcterms:modified>
</cp:coreProperties>
</file>