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1BFA2" w14:textId="77777777" w:rsidR="00D22D4D" w:rsidRDefault="00DC5548" w:rsidP="00BC4822">
      <w:pPr>
        <w:spacing w:after="0" w:line="240" w:lineRule="auto"/>
        <w:jc w:val="center"/>
        <w:rPr>
          <w:b/>
          <w:sz w:val="36"/>
          <w:szCs w:val="36"/>
        </w:rPr>
      </w:pPr>
      <w:r w:rsidRPr="00D22D4D">
        <w:rPr>
          <w:b/>
          <w:sz w:val="36"/>
          <w:szCs w:val="36"/>
        </w:rPr>
        <w:t xml:space="preserve">Age stereotyping: a legal and </w:t>
      </w:r>
    </w:p>
    <w:p w14:paraId="76E191B3" w14:textId="77777777" w:rsidR="00DC5548" w:rsidRDefault="00DC5548" w:rsidP="00BC4822">
      <w:pPr>
        <w:spacing w:after="0" w:line="240" w:lineRule="auto"/>
        <w:jc w:val="center"/>
        <w:rPr>
          <w:b/>
          <w:sz w:val="36"/>
          <w:szCs w:val="36"/>
        </w:rPr>
      </w:pPr>
      <w:r w:rsidRPr="00D22D4D">
        <w:rPr>
          <w:b/>
          <w:sz w:val="36"/>
          <w:szCs w:val="36"/>
        </w:rPr>
        <w:t>fieldwork analysis</w:t>
      </w:r>
    </w:p>
    <w:p w14:paraId="51B484F4" w14:textId="77777777" w:rsidR="00794A4C" w:rsidRDefault="00794A4C" w:rsidP="00DC5548">
      <w:pPr>
        <w:jc w:val="both"/>
      </w:pPr>
    </w:p>
    <w:p w14:paraId="73A85FA0" w14:textId="2B616034" w:rsidR="00DC5548" w:rsidRDefault="00D22D4D" w:rsidP="00DC5548">
      <w:pPr>
        <w:jc w:val="both"/>
        <w:rPr>
          <w:b/>
        </w:rPr>
      </w:pPr>
      <w:r>
        <w:rPr>
          <w:b/>
        </w:rPr>
        <w:t>Abstract</w:t>
      </w:r>
    </w:p>
    <w:p w14:paraId="1D6965A7" w14:textId="5D8B5132" w:rsidR="00AB14E2" w:rsidRDefault="00DC5548" w:rsidP="00DC5548">
      <w:pPr>
        <w:jc w:val="both"/>
        <w:rPr>
          <w:sz w:val="20"/>
          <w:szCs w:val="20"/>
        </w:rPr>
      </w:pPr>
      <w:r w:rsidRPr="007071AE">
        <w:rPr>
          <w:b/>
          <w:sz w:val="20"/>
          <w:szCs w:val="20"/>
        </w:rPr>
        <w:t>Purpose</w:t>
      </w:r>
      <w:r w:rsidRPr="007071AE">
        <w:rPr>
          <w:sz w:val="20"/>
          <w:szCs w:val="20"/>
        </w:rPr>
        <w:t xml:space="preserve"> – The purpose of this paper is to</w:t>
      </w:r>
      <w:r>
        <w:rPr>
          <w:sz w:val="20"/>
          <w:szCs w:val="20"/>
        </w:rPr>
        <w:t xml:space="preserve"> report on fieldwork observation of </w:t>
      </w:r>
      <w:r w:rsidR="004708EA">
        <w:rPr>
          <w:sz w:val="20"/>
          <w:szCs w:val="20"/>
        </w:rPr>
        <w:t xml:space="preserve">direct age discrimination </w:t>
      </w:r>
      <w:bookmarkStart w:id="0" w:name="_GoBack"/>
      <w:bookmarkEnd w:id="0"/>
      <w:r w:rsidR="004708EA">
        <w:rPr>
          <w:sz w:val="20"/>
          <w:szCs w:val="20"/>
        </w:rPr>
        <w:t xml:space="preserve">cases within </w:t>
      </w:r>
      <w:r>
        <w:rPr>
          <w:sz w:val="20"/>
          <w:szCs w:val="20"/>
        </w:rPr>
        <w:t>employment tribunal hearings over a 3 year period</w:t>
      </w:r>
      <w:r w:rsidR="004708EA">
        <w:rPr>
          <w:sz w:val="20"/>
          <w:szCs w:val="20"/>
        </w:rPr>
        <w:t xml:space="preserve">. The </w:t>
      </w:r>
      <w:r w:rsidR="00965727">
        <w:rPr>
          <w:sz w:val="20"/>
          <w:szCs w:val="20"/>
        </w:rPr>
        <w:t>observation focussed upon</w:t>
      </w:r>
      <w:r w:rsidR="004708EA">
        <w:rPr>
          <w:sz w:val="20"/>
          <w:szCs w:val="20"/>
        </w:rPr>
        <w:t xml:space="preserve"> whether the witness evidence revealed age stereotyping</w:t>
      </w:r>
      <w:r w:rsidR="00965727">
        <w:rPr>
          <w:sz w:val="20"/>
          <w:szCs w:val="20"/>
        </w:rPr>
        <w:t xml:space="preserve"> by employers</w:t>
      </w:r>
      <w:r w:rsidR="00CD6421">
        <w:rPr>
          <w:sz w:val="20"/>
          <w:szCs w:val="20"/>
        </w:rPr>
        <w:t xml:space="preserve"> and</w:t>
      </w:r>
      <w:r w:rsidR="002D3406">
        <w:rPr>
          <w:sz w:val="20"/>
          <w:szCs w:val="20"/>
        </w:rPr>
        <w:t xml:space="preserve"> </w:t>
      </w:r>
      <w:r w:rsidR="004708EA">
        <w:rPr>
          <w:sz w:val="20"/>
          <w:szCs w:val="20"/>
        </w:rPr>
        <w:t xml:space="preserve">whether the employment tribunal panel </w:t>
      </w:r>
      <w:r w:rsidR="00370EDD">
        <w:rPr>
          <w:sz w:val="20"/>
          <w:szCs w:val="20"/>
        </w:rPr>
        <w:t>addressed</w:t>
      </w:r>
      <w:r w:rsidR="004708EA">
        <w:rPr>
          <w:sz w:val="20"/>
          <w:szCs w:val="20"/>
        </w:rPr>
        <w:t xml:space="preserve"> </w:t>
      </w:r>
      <w:r w:rsidR="00370EDD">
        <w:rPr>
          <w:sz w:val="20"/>
          <w:szCs w:val="20"/>
        </w:rPr>
        <w:t xml:space="preserve">the stereotyping in its questioning </w:t>
      </w:r>
      <w:r w:rsidR="00D27E01">
        <w:rPr>
          <w:sz w:val="20"/>
          <w:szCs w:val="20"/>
        </w:rPr>
        <w:t xml:space="preserve">and </w:t>
      </w:r>
      <w:r w:rsidR="002D3406">
        <w:rPr>
          <w:sz w:val="20"/>
          <w:szCs w:val="20"/>
        </w:rPr>
        <w:t xml:space="preserve">in </w:t>
      </w:r>
      <w:r w:rsidR="00D27E01">
        <w:rPr>
          <w:sz w:val="20"/>
          <w:szCs w:val="20"/>
        </w:rPr>
        <w:t>its</w:t>
      </w:r>
      <w:r w:rsidR="004708EA">
        <w:rPr>
          <w:sz w:val="20"/>
          <w:szCs w:val="20"/>
        </w:rPr>
        <w:t xml:space="preserve"> judgments. </w:t>
      </w:r>
      <w:r w:rsidR="00370EDD">
        <w:rPr>
          <w:sz w:val="20"/>
          <w:szCs w:val="20"/>
        </w:rPr>
        <w:t>The</w:t>
      </w:r>
      <w:r w:rsidR="00965727">
        <w:rPr>
          <w:sz w:val="20"/>
          <w:szCs w:val="20"/>
        </w:rPr>
        <w:t xml:space="preserve"> observation was</w:t>
      </w:r>
      <w:r>
        <w:rPr>
          <w:sz w:val="20"/>
          <w:szCs w:val="20"/>
        </w:rPr>
        <w:t xml:space="preserve"> combined with </w:t>
      </w:r>
      <w:r w:rsidRPr="007071AE">
        <w:rPr>
          <w:sz w:val="20"/>
          <w:szCs w:val="20"/>
        </w:rPr>
        <w:t>a</w:t>
      </w:r>
      <w:r w:rsidR="00370EDD">
        <w:rPr>
          <w:sz w:val="20"/>
          <w:szCs w:val="20"/>
        </w:rPr>
        <w:t>n</w:t>
      </w:r>
      <w:r w:rsidRPr="007071AE">
        <w:rPr>
          <w:sz w:val="20"/>
          <w:szCs w:val="20"/>
        </w:rPr>
        <w:t xml:space="preserve"> analysis of </w:t>
      </w:r>
      <w:r>
        <w:rPr>
          <w:sz w:val="20"/>
          <w:szCs w:val="20"/>
        </w:rPr>
        <w:t>jurisprudence relating to</w:t>
      </w:r>
      <w:r w:rsidRPr="007071AE">
        <w:rPr>
          <w:sz w:val="20"/>
          <w:szCs w:val="20"/>
        </w:rPr>
        <w:t xml:space="preserve"> direct age discrimination </w:t>
      </w:r>
      <w:r w:rsidR="00AB14E2">
        <w:rPr>
          <w:sz w:val="20"/>
          <w:szCs w:val="20"/>
        </w:rPr>
        <w:t xml:space="preserve">over </w:t>
      </w:r>
      <w:r w:rsidR="002D3406">
        <w:rPr>
          <w:sz w:val="20"/>
          <w:szCs w:val="20"/>
        </w:rPr>
        <w:t>a</w:t>
      </w:r>
      <w:r w:rsidR="00CD6421">
        <w:rPr>
          <w:sz w:val="20"/>
          <w:szCs w:val="20"/>
        </w:rPr>
        <w:t>n</w:t>
      </w:r>
      <w:r w:rsidR="002D3406">
        <w:rPr>
          <w:sz w:val="20"/>
          <w:szCs w:val="20"/>
        </w:rPr>
        <w:t xml:space="preserve"> 11 year period.</w:t>
      </w:r>
    </w:p>
    <w:p w14:paraId="6F6D7A20" w14:textId="765490A2" w:rsidR="00DC5548" w:rsidRPr="007071AE" w:rsidRDefault="00DC5548" w:rsidP="00DC5548">
      <w:pPr>
        <w:jc w:val="both"/>
        <w:rPr>
          <w:sz w:val="20"/>
          <w:szCs w:val="20"/>
        </w:rPr>
      </w:pPr>
      <w:r w:rsidRPr="007071AE">
        <w:rPr>
          <w:b/>
          <w:sz w:val="20"/>
          <w:szCs w:val="20"/>
        </w:rPr>
        <w:t>Design/methodology/approach</w:t>
      </w:r>
      <w:r w:rsidRPr="007071AE">
        <w:rPr>
          <w:sz w:val="20"/>
          <w:szCs w:val="20"/>
        </w:rPr>
        <w:t xml:space="preserve"> </w:t>
      </w:r>
      <w:r>
        <w:rPr>
          <w:sz w:val="20"/>
          <w:szCs w:val="20"/>
        </w:rPr>
        <w:t xml:space="preserve">– This </w:t>
      </w:r>
      <w:r w:rsidR="00D22D4D">
        <w:rPr>
          <w:sz w:val="20"/>
          <w:szCs w:val="20"/>
        </w:rPr>
        <w:t xml:space="preserve">research analysed a </w:t>
      </w:r>
      <w:r>
        <w:rPr>
          <w:sz w:val="20"/>
          <w:szCs w:val="20"/>
        </w:rPr>
        <w:t>sample of 90 employment tribunal judgments</w:t>
      </w:r>
      <w:r w:rsidR="00370EDD">
        <w:rPr>
          <w:sz w:val="20"/>
          <w:szCs w:val="20"/>
        </w:rPr>
        <w:t xml:space="preserve"> concerning direct age discrimination</w:t>
      </w:r>
      <w:r>
        <w:rPr>
          <w:sz w:val="20"/>
          <w:szCs w:val="20"/>
        </w:rPr>
        <w:t>, which include</w:t>
      </w:r>
      <w:r w:rsidR="00AB14E2">
        <w:rPr>
          <w:sz w:val="20"/>
          <w:szCs w:val="20"/>
        </w:rPr>
        <w:t>d</w:t>
      </w:r>
      <w:r>
        <w:rPr>
          <w:sz w:val="20"/>
          <w:szCs w:val="20"/>
        </w:rPr>
        <w:t xml:space="preserve"> </w:t>
      </w:r>
      <w:r w:rsidRPr="007071AE">
        <w:rPr>
          <w:sz w:val="20"/>
          <w:szCs w:val="20"/>
        </w:rPr>
        <w:t xml:space="preserve">5 fieldwork observation cases </w:t>
      </w:r>
      <w:r w:rsidR="00370EDD">
        <w:rPr>
          <w:sz w:val="20"/>
          <w:szCs w:val="20"/>
        </w:rPr>
        <w:t xml:space="preserve">concerning direct age discrimination </w:t>
      </w:r>
      <w:r w:rsidRPr="007071AE">
        <w:rPr>
          <w:sz w:val="20"/>
          <w:szCs w:val="20"/>
        </w:rPr>
        <w:t xml:space="preserve">in </w:t>
      </w:r>
      <w:r>
        <w:rPr>
          <w:sz w:val="20"/>
          <w:szCs w:val="20"/>
        </w:rPr>
        <w:t>an</w:t>
      </w:r>
      <w:r w:rsidRPr="007071AE">
        <w:rPr>
          <w:sz w:val="20"/>
          <w:szCs w:val="20"/>
        </w:rPr>
        <w:t xml:space="preserve"> employment tribunal. </w:t>
      </w:r>
    </w:p>
    <w:p w14:paraId="55F3223F" w14:textId="77777777" w:rsidR="00D22D4D" w:rsidRDefault="00DC5548" w:rsidP="00DC5548">
      <w:pPr>
        <w:jc w:val="both"/>
        <w:rPr>
          <w:sz w:val="20"/>
          <w:szCs w:val="20"/>
        </w:rPr>
      </w:pPr>
      <w:r w:rsidRPr="007071AE">
        <w:rPr>
          <w:b/>
          <w:sz w:val="20"/>
          <w:szCs w:val="20"/>
        </w:rPr>
        <w:t>Findings</w:t>
      </w:r>
      <w:r w:rsidR="00D22D4D">
        <w:rPr>
          <w:sz w:val="20"/>
          <w:szCs w:val="20"/>
        </w:rPr>
        <w:t xml:space="preserve"> – This paper opens a window on age stereotyping in the workplace, illuminating the </w:t>
      </w:r>
      <w:r w:rsidR="005F1F16">
        <w:rPr>
          <w:sz w:val="20"/>
          <w:szCs w:val="20"/>
        </w:rPr>
        <w:t>existence of age stereotypes</w:t>
      </w:r>
      <w:r w:rsidR="00D22D4D">
        <w:rPr>
          <w:sz w:val="20"/>
          <w:szCs w:val="20"/>
        </w:rPr>
        <w:t xml:space="preserve"> in the context of employment tribunals and the approach of the courts towards stereotypes in the sample</w:t>
      </w:r>
      <w:r w:rsidR="005F1F16">
        <w:rPr>
          <w:sz w:val="20"/>
          <w:szCs w:val="20"/>
        </w:rPr>
        <w:t xml:space="preserve"> is</w:t>
      </w:r>
      <w:r w:rsidR="00D22D4D">
        <w:rPr>
          <w:sz w:val="20"/>
          <w:szCs w:val="20"/>
        </w:rPr>
        <w:t xml:space="preserve"> analysed. </w:t>
      </w:r>
    </w:p>
    <w:p w14:paraId="6B75B834" w14:textId="50912719" w:rsidR="00DC5548" w:rsidRPr="007071AE" w:rsidRDefault="00DC5548" w:rsidP="00DC5548">
      <w:pPr>
        <w:jc w:val="both"/>
        <w:rPr>
          <w:sz w:val="20"/>
          <w:szCs w:val="20"/>
        </w:rPr>
      </w:pPr>
      <w:r w:rsidRPr="007071AE">
        <w:rPr>
          <w:b/>
          <w:sz w:val="20"/>
          <w:szCs w:val="20"/>
        </w:rPr>
        <w:t>Research limitations/implications</w:t>
      </w:r>
      <w:r w:rsidR="00CD6421">
        <w:rPr>
          <w:b/>
          <w:sz w:val="20"/>
          <w:szCs w:val="20"/>
        </w:rPr>
        <w:t xml:space="preserve"> </w:t>
      </w:r>
      <w:r w:rsidRPr="007071AE">
        <w:rPr>
          <w:sz w:val="20"/>
          <w:szCs w:val="20"/>
        </w:rPr>
        <w:t xml:space="preserve">- The fieldwork observation is limited to one employment tribunal and may not necessarily be </w:t>
      </w:r>
      <w:r w:rsidR="00D22D4D">
        <w:rPr>
          <w:sz w:val="20"/>
          <w:szCs w:val="20"/>
        </w:rPr>
        <w:t xml:space="preserve">representative of all tribunals however the findings are supported by a wider qualitative analysis of ET Judgments. </w:t>
      </w:r>
    </w:p>
    <w:p w14:paraId="1E28A39F" w14:textId="72E94E7A" w:rsidR="00DC5548" w:rsidRPr="007071AE" w:rsidRDefault="00DC5548" w:rsidP="00DC5548">
      <w:pPr>
        <w:jc w:val="both"/>
        <w:rPr>
          <w:b/>
          <w:sz w:val="20"/>
          <w:szCs w:val="20"/>
        </w:rPr>
      </w:pPr>
      <w:r w:rsidRPr="007071AE">
        <w:rPr>
          <w:b/>
          <w:sz w:val="20"/>
          <w:szCs w:val="20"/>
        </w:rPr>
        <w:t xml:space="preserve">Practical Implications </w:t>
      </w:r>
      <w:r w:rsidRPr="00A80619">
        <w:rPr>
          <w:sz w:val="20"/>
          <w:szCs w:val="20"/>
        </w:rPr>
        <w:t>–</w:t>
      </w:r>
      <w:r w:rsidR="00E66B7A">
        <w:rPr>
          <w:sz w:val="20"/>
          <w:szCs w:val="20"/>
        </w:rPr>
        <w:t xml:space="preserve"> </w:t>
      </w:r>
      <w:r w:rsidRPr="007071AE">
        <w:rPr>
          <w:sz w:val="20"/>
          <w:szCs w:val="20"/>
        </w:rPr>
        <w:t>The article provides pertinent learning outco</w:t>
      </w:r>
      <w:r>
        <w:rPr>
          <w:sz w:val="20"/>
          <w:szCs w:val="20"/>
        </w:rPr>
        <w:t>mes for claimants</w:t>
      </w:r>
      <w:r w:rsidR="00000DB2">
        <w:rPr>
          <w:sz w:val="20"/>
          <w:szCs w:val="20"/>
        </w:rPr>
        <w:t xml:space="preserve">, </w:t>
      </w:r>
      <w:r>
        <w:rPr>
          <w:sz w:val="20"/>
          <w:szCs w:val="20"/>
        </w:rPr>
        <w:t xml:space="preserve">employers and key implications of legal decisions for human resource policy and practice in organisations. </w:t>
      </w:r>
    </w:p>
    <w:p w14:paraId="1819C0A3" w14:textId="77777777" w:rsidR="00DC5548" w:rsidRDefault="00DC5548" w:rsidP="00DC5548">
      <w:pPr>
        <w:jc w:val="both"/>
        <w:rPr>
          <w:b/>
          <w:sz w:val="20"/>
          <w:szCs w:val="20"/>
        </w:rPr>
      </w:pPr>
      <w:r w:rsidRPr="007071AE">
        <w:rPr>
          <w:b/>
          <w:sz w:val="20"/>
          <w:szCs w:val="20"/>
        </w:rPr>
        <w:t>Originality/Value –</w:t>
      </w:r>
      <w:r w:rsidRPr="007071AE">
        <w:rPr>
          <w:sz w:val="20"/>
          <w:szCs w:val="20"/>
        </w:rPr>
        <w:t>The paper is the first to conduct fieldwork observation on age stereotyping in</w:t>
      </w:r>
      <w:r>
        <w:rPr>
          <w:sz w:val="20"/>
          <w:szCs w:val="20"/>
        </w:rPr>
        <w:t xml:space="preserve"> an</w:t>
      </w:r>
      <w:r w:rsidR="00D22D4D">
        <w:rPr>
          <w:sz w:val="20"/>
          <w:szCs w:val="20"/>
        </w:rPr>
        <w:t xml:space="preserve"> employment tribunal, </w:t>
      </w:r>
      <w:r>
        <w:rPr>
          <w:sz w:val="20"/>
          <w:szCs w:val="20"/>
        </w:rPr>
        <w:t>combined with</w:t>
      </w:r>
      <w:r w:rsidRPr="007071AE">
        <w:rPr>
          <w:sz w:val="20"/>
          <w:szCs w:val="20"/>
        </w:rPr>
        <w:t xml:space="preserve"> a profile of direct age discrimination claims over the period studied.</w:t>
      </w:r>
      <w:r w:rsidRPr="007071AE">
        <w:rPr>
          <w:b/>
          <w:sz w:val="20"/>
          <w:szCs w:val="20"/>
        </w:rPr>
        <w:t xml:space="preserve"> </w:t>
      </w:r>
    </w:p>
    <w:p w14:paraId="2EFFF7B2" w14:textId="77777777" w:rsidR="00DC5548" w:rsidRDefault="00DC5548" w:rsidP="00DC5548">
      <w:pPr>
        <w:jc w:val="both"/>
        <w:rPr>
          <w:b/>
          <w:sz w:val="20"/>
          <w:szCs w:val="20"/>
        </w:rPr>
      </w:pPr>
      <w:r>
        <w:rPr>
          <w:b/>
          <w:sz w:val="20"/>
          <w:szCs w:val="20"/>
        </w:rPr>
        <w:t>Keywords -</w:t>
      </w:r>
      <w:r w:rsidRPr="008506EC">
        <w:rPr>
          <w:sz w:val="20"/>
          <w:szCs w:val="20"/>
        </w:rPr>
        <w:t>Age Stereotyping,</w:t>
      </w:r>
      <w:r>
        <w:rPr>
          <w:b/>
          <w:sz w:val="20"/>
          <w:szCs w:val="20"/>
        </w:rPr>
        <w:t xml:space="preserve"> </w:t>
      </w:r>
      <w:r w:rsidR="00D22D4D">
        <w:rPr>
          <w:sz w:val="20"/>
          <w:szCs w:val="20"/>
        </w:rPr>
        <w:t>Direct Age Discrimination</w:t>
      </w:r>
      <w:r>
        <w:rPr>
          <w:sz w:val="20"/>
          <w:szCs w:val="20"/>
        </w:rPr>
        <w:t xml:space="preserve">, Fieldwork, Case law, </w:t>
      </w:r>
      <w:r w:rsidRPr="007071AE">
        <w:rPr>
          <w:sz w:val="20"/>
          <w:szCs w:val="20"/>
        </w:rPr>
        <w:t>Employment legislation</w:t>
      </w:r>
    </w:p>
    <w:p w14:paraId="2CCE3045" w14:textId="6B95C292" w:rsidR="00DC5548" w:rsidRPr="007071AE" w:rsidRDefault="00DC5548" w:rsidP="00DC5548">
      <w:pPr>
        <w:jc w:val="both"/>
        <w:rPr>
          <w:b/>
          <w:sz w:val="20"/>
          <w:szCs w:val="20"/>
        </w:rPr>
      </w:pPr>
      <w:r>
        <w:rPr>
          <w:b/>
          <w:sz w:val="20"/>
          <w:szCs w:val="20"/>
        </w:rPr>
        <w:t xml:space="preserve">Paper type </w:t>
      </w:r>
      <w:r w:rsidR="00CD6421">
        <w:rPr>
          <w:b/>
          <w:sz w:val="20"/>
          <w:szCs w:val="20"/>
        </w:rPr>
        <w:t>-</w:t>
      </w:r>
      <w:r>
        <w:rPr>
          <w:b/>
          <w:sz w:val="20"/>
          <w:szCs w:val="20"/>
        </w:rPr>
        <w:t xml:space="preserve"> </w:t>
      </w:r>
      <w:r w:rsidRPr="007071AE">
        <w:rPr>
          <w:sz w:val="20"/>
          <w:szCs w:val="20"/>
        </w:rPr>
        <w:t>Research paper</w:t>
      </w:r>
    </w:p>
    <w:p w14:paraId="7D1EA147" w14:textId="77777777" w:rsidR="00DC5548" w:rsidRDefault="00DC5548" w:rsidP="0039131C">
      <w:pPr>
        <w:spacing w:after="0" w:line="240" w:lineRule="auto"/>
        <w:rPr>
          <w:rFonts w:ascii="Museo Sans" w:hAnsi="Museo Sans" w:cs="Arial"/>
          <w:color w:val="00B0F0"/>
          <w:sz w:val="21"/>
          <w:szCs w:val="21"/>
        </w:rPr>
      </w:pPr>
    </w:p>
    <w:p w14:paraId="1B1E154F" w14:textId="77777777" w:rsidR="00D22D4D" w:rsidRDefault="00DC5548" w:rsidP="0039131C">
      <w:pPr>
        <w:spacing w:after="0" w:line="240" w:lineRule="auto"/>
        <w:rPr>
          <w:rFonts w:ascii="Times New Roman" w:hAnsi="Times New Roman" w:cs="Times New Roman"/>
          <w:b/>
        </w:rPr>
      </w:pPr>
      <w:r w:rsidRPr="00B53A5A">
        <w:rPr>
          <w:rFonts w:ascii="Times New Roman" w:hAnsi="Times New Roman" w:cs="Times New Roman"/>
          <w:b/>
        </w:rPr>
        <w:t xml:space="preserve">Introduction </w:t>
      </w:r>
    </w:p>
    <w:p w14:paraId="6C243C8E" w14:textId="35768918" w:rsidR="00DC5548" w:rsidRPr="00D22D4D" w:rsidRDefault="00D22D4D" w:rsidP="0039131C">
      <w:pPr>
        <w:spacing w:after="0" w:line="240" w:lineRule="auto"/>
        <w:contextualSpacing/>
        <w:jc w:val="both"/>
        <w:rPr>
          <w:rFonts w:ascii="Times New Roman" w:hAnsi="Times New Roman" w:cs="Times New Roman"/>
          <w:b/>
        </w:rPr>
      </w:pPr>
      <w:r>
        <w:rPr>
          <w:rFonts w:ascii="Times New Roman" w:eastAsia="Calibri" w:hAnsi="Times New Roman" w:cs="Times New Roman"/>
        </w:rPr>
        <w:t>I</w:t>
      </w:r>
      <w:r w:rsidR="00DC5548" w:rsidRPr="00D75DD9">
        <w:rPr>
          <w:rFonts w:ascii="Times New Roman" w:eastAsia="Calibri" w:hAnsi="Times New Roman" w:cs="Times New Roman"/>
        </w:rPr>
        <w:t xml:space="preserve">nequality on grounds of age has </w:t>
      </w:r>
      <w:r>
        <w:rPr>
          <w:rFonts w:ascii="Times New Roman" w:eastAsia="Calibri" w:hAnsi="Times New Roman" w:cs="Times New Roman"/>
        </w:rPr>
        <w:t>been ingrained in the workplace</w:t>
      </w:r>
      <w:r w:rsidR="00000DB2">
        <w:rPr>
          <w:rFonts w:ascii="Times New Roman" w:eastAsia="Calibri" w:hAnsi="Times New Roman" w:cs="Times New Roman"/>
        </w:rPr>
        <w:t>, particularly</w:t>
      </w:r>
      <w:r>
        <w:rPr>
          <w:rFonts w:ascii="Times New Roman" w:eastAsia="Calibri" w:hAnsi="Times New Roman" w:cs="Times New Roman"/>
        </w:rPr>
        <w:t xml:space="preserve"> as historically </w:t>
      </w:r>
      <w:r w:rsidR="00DC5548" w:rsidRPr="00D75DD9">
        <w:rPr>
          <w:rFonts w:ascii="Times New Roman" w:eastAsia="Calibri" w:hAnsi="Times New Roman" w:cs="Times New Roman"/>
        </w:rPr>
        <w:t xml:space="preserve">a person’s age </w:t>
      </w:r>
      <w:r>
        <w:rPr>
          <w:rFonts w:ascii="Times New Roman" w:eastAsia="Calibri" w:hAnsi="Times New Roman" w:cs="Times New Roman"/>
        </w:rPr>
        <w:t>was</w:t>
      </w:r>
      <w:r w:rsidR="00DC5548" w:rsidRPr="00D75DD9">
        <w:rPr>
          <w:rFonts w:ascii="Times New Roman" w:eastAsia="Calibri" w:hAnsi="Times New Roman" w:cs="Times New Roman"/>
        </w:rPr>
        <w:t xml:space="preserve"> considered by employers (and courts) to be a legitimate factor in decision making. </w:t>
      </w:r>
      <w:r w:rsidR="00DC5548" w:rsidRPr="00D75DD9">
        <w:rPr>
          <w:rFonts w:ascii="Times New Roman" w:hAnsi="Times New Roman" w:cs="Times New Roman"/>
        </w:rPr>
        <w:t>Numerous studies exist which reveal the existence and extent of age stereotypes (Taylor and Walker, 1994; Loretto and White, 2006; Parry and Tyson, 2009). The link has also been made between negative stereotypical attitudes and employment practices affecting workers (Taylor and Walker, 1998)</w:t>
      </w:r>
      <w:r>
        <w:rPr>
          <w:rFonts w:ascii="Times New Roman" w:hAnsi="Times New Roman" w:cs="Times New Roman"/>
        </w:rPr>
        <w:t>.</w:t>
      </w:r>
      <w:r w:rsidR="00DC5548" w:rsidRPr="00D75DD9">
        <w:rPr>
          <w:rFonts w:ascii="Times New Roman" w:hAnsi="Times New Roman" w:cs="Times New Roman"/>
        </w:rPr>
        <w:t xml:space="preserve"> </w:t>
      </w:r>
      <w:r w:rsidR="00DC5548" w:rsidRPr="00D75DD9">
        <w:rPr>
          <w:rFonts w:ascii="Times New Roman" w:eastAsia="Times New Roman" w:hAnsi="Times New Roman"/>
          <w:lang w:val="en-US"/>
        </w:rPr>
        <w:t xml:space="preserve">It is a </w:t>
      </w:r>
      <w:r w:rsidR="00DC5548" w:rsidRPr="00D75DD9">
        <w:rPr>
          <w:rFonts w:ascii="Times New Roman" w:eastAsia="Times New Roman" w:hAnsi="Times New Roman"/>
        </w:rPr>
        <w:t>widespread stereotype that older persons are often assumed to lack the ability to absorb new ideas</w:t>
      </w:r>
      <w:r>
        <w:rPr>
          <w:rFonts w:ascii="Times New Roman" w:eastAsia="Times New Roman" w:hAnsi="Times New Roman"/>
        </w:rPr>
        <w:t xml:space="preserve"> and are less motivated (Doering et al, 1983)</w:t>
      </w:r>
      <w:r w:rsidR="00DC5548" w:rsidRPr="00D75DD9">
        <w:rPr>
          <w:rFonts w:ascii="Times New Roman" w:eastAsia="Times New Roman" w:hAnsi="Times New Roman"/>
        </w:rPr>
        <w:t>, are less likely to accept new technology</w:t>
      </w:r>
      <w:r>
        <w:rPr>
          <w:rFonts w:ascii="Times New Roman" w:eastAsia="Times New Roman" w:hAnsi="Times New Roman"/>
        </w:rPr>
        <w:t xml:space="preserve"> (Lyon and Pollard, 1997)</w:t>
      </w:r>
      <w:r w:rsidR="00DC5548" w:rsidRPr="00D75DD9">
        <w:rPr>
          <w:rFonts w:ascii="Times New Roman" w:eastAsia="Times New Roman" w:hAnsi="Times New Roman"/>
        </w:rPr>
        <w:t xml:space="preserve"> and may resist </w:t>
      </w:r>
      <w:r>
        <w:rPr>
          <w:rFonts w:ascii="Times New Roman" w:eastAsia="Times New Roman" w:hAnsi="Times New Roman"/>
        </w:rPr>
        <w:t>training/</w:t>
      </w:r>
      <w:r w:rsidR="00CD6421">
        <w:rPr>
          <w:rFonts w:ascii="Times New Roman" w:eastAsia="Times New Roman" w:hAnsi="Times New Roman"/>
        </w:rPr>
        <w:t xml:space="preserve">be </w:t>
      </w:r>
      <w:r>
        <w:rPr>
          <w:rFonts w:ascii="Times New Roman" w:eastAsia="Times New Roman" w:hAnsi="Times New Roman"/>
        </w:rPr>
        <w:t>resistant to change (Snape and Redman, 2002)</w:t>
      </w:r>
      <w:r w:rsidR="00DC5548" w:rsidRPr="00D75DD9">
        <w:rPr>
          <w:rFonts w:ascii="Times New Roman" w:eastAsia="Times New Roman" w:hAnsi="Times New Roman"/>
        </w:rPr>
        <w:t>. Another stereotype frequently encountered is that physical and mental abilities decrease with age</w:t>
      </w:r>
      <w:r>
        <w:rPr>
          <w:rFonts w:ascii="Times New Roman" w:eastAsia="Times New Roman" w:hAnsi="Times New Roman"/>
        </w:rPr>
        <w:t xml:space="preserve"> (Metcalf and Meadows, 2006)</w:t>
      </w:r>
      <w:r w:rsidR="00DC5548" w:rsidRPr="00D75DD9">
        <w:rPr>
          <w:rFonts w:ascii="Times New Roman" w:eastAsia="Times New Roman" w:hAnsi="Times New Roman"/>
        </w:rPr>
        <w:t>.</w:t>
      </w:r>
      <w:r w:rsidR="00DC5548" w:rsidRPr="00D75DD9">
        <w:rPr>
          <w:rFonts w:ascii="Times New Roman" w:eastAsia="Times New Roman" w:hAnsi="Times New Roman" w:cs="Times New Roman"/>
          <w:lang w:val="en-US"/>
        </w:rPr>
        <w:t xml:space="preserve"> Loretto and White</w:t>
      </w:r>
      <w:r>
        <w:rPr>
          <w:rFonts w:ascii="Times New Roman" w:eastAsia="Times New Roman" w:hAnsi="Times New Roman" w:cs="Times New Roman"/>
          <w:lang w:val="en-US"/>
        </w:rPr>
        <w:t xml:space="preserve"> (2006)</w:t>
      </w:r>
      <w:r w:rsidR="00DC5548" w:rsidRPr="00D75DD9">
        <w:rPr>
          <w:rFonts w:ascii="Times New Roman" w:eastAsia="Times New Roman" w:hAnsi="Times New Roman" w:cs="Times New Roman"/>
          <w:lang w:val="en-US"/>
        </w:rPr>
        <w:t xml:space="preserve"> conducted a review</w:t>
      </w:r>
      <w:r w:rsidR="00DC5548">
        <w:rPr>
          <w:rFonts w:ascii="Times New Roman" w:eastAsia="Times New Roman" w:hAnsi="Times New Roman" w:cs="Times New Roman"/>
          <w:vertAlign w:val="superscript"/>
          <w:lang w:val="en-US"/>
        </w:rPr>
        <w:t xml:space="preserve"> </w:t>
      </w:r>
      <w:r w:rsidR="00DC5548" w:rsidRPr="00D75DD9">
        <w:rPr>
          <w:rFonts w:ascii="Times New Roman" w:eastAsia="Times New Roman" w:hAnsi="Times New Roman" w:cs="Times New Roman"/>
          <w:lang w:val="en-US"/>
        </w:rPr>
        <w:t xml:space="preserve">of employer’s attitudes, practices and policies towards older </w:t>
      </w:r>
      <w:r w:rsidR="00D1488F" w:rsidRPr="00D75DD9">
        <w:rPr>
          <w:rFonts w:ascii="Times New Roman" w:eastAsia="Times New Roman" w:hAnsi="Times New Roman" w:cs="Times New Roman"/>
          <w:lang w:val="en-US"/>
        </w:rPr>
        <w:t>workers, which revealed that employers continue to hold stereotypical views towards older workers,</w:t>
      </w:r>
      <w:r w:rsidR="00DC5548" w:rsidRPr="00D75DD9">
        <w:rPr>
          <w:rFonts w:ascii="Times New Roman" w:eastAsia="Times New Roman" w:hAnsi="Times New Roman" w:cs="Times New Roman"/>
          <w:lang w:val="en-US"/>
        </w:rPr>
        <w:t xml:space="preserve"> and </w:t>
      </w:r>
      <w:r w:rsidR="002D3406">
        <w:rPr>
          <w:rFonts w:ascii="Times New Roman" w:eastAsia="Times New Roman" w:hAnsi="Times New Roman" w:cs="Times New Roman"/>
          <w:lang w:val="en-US"/>
        </w:rPr>
        <w:t xml:space="preserve">therefore </w:t>
      </w:r>
      <w:r w:rsidR="00DC5548" w:rsidRPr="00D75DD9">
        <w:rPr>
          <w:rFonts w:ascii="Times New Roman" w:eastAsia="Times New Roman" w:hAnsi="Times New Roman" w:cs="Times New Roman"/>
          <w:lang w:val="en-US"/>
        </w:rPr>
        <w:t xml:space="preserve">little progress had been made since Taylor and Walker’s research </w:t>
      </w:r>
      <w:r>
        <w:rPr>
          <w:rFonts w:ascii="Times New Roman" w:eastAsia="Times New Roman" w:hAnsi="Times New Roman" w:cs="Times New Roman"/>
          <w:lang w:val="en-US"/>
        </w:rPr>
        <w:t>(</w:t>
      </w:r>
      <w:r w:rsidR="00DC5548" w:rsidRPr="00D75DD9">
        <w:rPr>
          <w:rFonts w:ascii="Times New Roman" w:eastAsia="Times New Roman" w:hAnsi="Times New Roman" w:cs="Times New Roman"/>
          <w:lang w:val="en-US"/>
        </w:rPr>
        <w:t>1998</w:t>
      </w:r>
      <w:r>
        <w:rPr>
          <w:rFonts w:ascii="Times New Roman" w:eastAsia="Times New Roman" w:hAnsi="Times New Roman" w:cs="Times New Roman"/>
          <w:lang w:val="en-US"/>
        </w:rPr>
        <w:t>)</w:t>
      </w:r>
      <w:r w:rsidR="00DC5548" w:rsidRPr="00D75DD9">
        <w:rPr>
          <w:rFonts w:ascii="Times New Roman" w:eastAsia="Times New Roman" w:hAnsi="Times New Roman" w:cs="Times New Roman"/>
          <w:lang w:val="en-US"/>
        </w:rPr>
        <w:t>.</w:t>
      </w:r>
    </w:p>
    <w:p w14:paraId="45341104" w14:textId="0E25DDFC" w:rsidR="003B3A9E" w:rsidRDefault="00374B26" w:rsidP="0002098B">
      <w:pPr>
        <w:spacing w:line="240" w:lineRule="auto"/>
        <w:contextualSpacing/>
        <w:jc w:val="both"/>
        <w:rPr>
          <w:rFonts w:ascii="Times New Roman" w:eastAsia="Times New Roman" w:hAnsi="Times New Roman" w:cs="Times New Roman"/>
        </w:rPr>
      </w:pPr>
      <w:r>
        <w:rPr>
          <w:rFonts w:ascii="Times New Roman" w:hAnsi="Times New Roman" w:cs="Times New Roman"/>
        </w:rPr>
        <w:t xml:space="preserve">         </w:t>
      </w:r>
      <w:r w:rsidR="00835FA3">
        <w:rPr>
          <w:rFonts w:ascii="Times New Roman" w:hAnsi="Times New Roman" w:cs="Times New Roman"/>
        </w:rPr>
        <w:tab/>
      </w:r>
      <w:r w:rsidR="00DC5548" w:rsidRPr="00B53A5A">
        <w:rPr>
          <w:rFonts w:ascii="Times New Roman" w:hAnsi="Times New Roman" w:cs="Times New Roman"/>
        </w:rPr>
        <w:t>The age stereotypes in the workplace are inaccurate and do not reflect the true diversity of workers</w:t>
      </w:r>
      <w:r w:rsidR="00D22D4D">
        <w:rPr>
          <w:rFonts w:ascii="Times New Roman" w:hAnsi="Times New Roman" w:cs="Times New Roman"/>
        </w:rPr>
        <w:t xml:space="preserve"> (Benjamin and Wilson, 2005)</w:t>
      </w:r>
      <w:r w:rsidR="00DC5548" w:rsidRPr="00B53A5A">
        <w:rPr>
          <w:rFonts w:ascii="Times New Roman" w:hAnsi="Times New Roman" w:cs="Times New Roman"/>
        </w:rPr>
        <w:t xml:space="preserve">. </w:t>
      </w:r>
      <w:r w:rsidR="00DC5548" w:rsidRPr="00B53A5A">
        <w:rPr>
          <w:rFonts w:ascii="Times New Roman" w:eastAsia="Times New Roman" w:hAnsi="Times New Roman" w:cs="Times New Roman"/>
        </w:rPr>
        <w:t xml:space="preserve">The legitimacy of stereotypes has been </w:t>
      </w:r>
      <w:r w:rsidR="00AF41E9" w:rsidRPr="00B53A5A">
        <w:rPr>
          <w:rFonts w:ascii="Times New Roman" w:eastAsia="Times New Roman" w:hAnsi="Times New Roman" w:cs="Times New Roman"/>
        </w:rPr>
        <w:t>examined</w:t>
      </w:r>
      <w:r w:rsidR="00DC5548" w:rsidRPr="00B53A5A">
        <w:rPr>
          <w:rFonts w:ascii="Times New Roman" w:eastAsia="Times New Roman" w:hAnsi="Times New Roman" w:cs="Times New Roman"/>
        </w:rPr>
        <w:t xml:space="preserve"> and gerontological research suggests that </w:t>
      </w:r>
      <w:r w:rsidR="00795234">
        <w:rPr>
          <w:rFonts w:ascii="Times New Roman" w:eastAsia="Times New Roman" w:hAnsi="Times New Roman" w:cs="Times New Roman"/>
        </w:rPr>
        <w:t xml:space="preserve">using a person’s </w:t>
      </w:r>
      <w:r w:rsidR="00DC5548" w:rsidRPr="00B53A5A">
        <w:rPr>
          <w:rFonts w:ascii="Times New Roman" w:eastAsia="Times New Roman" w:hAnsi="Times New Roman" w:cs="Times New Roman"/>
        </w:rPr>
        <w:t xml:space="preserve">age is a poor proxy for determining whether </w:t>
      </w:r>
      <w:r w:rsidR="00795234">
        <w:rPr>
          <w:rFonts w:ascii="Times New Roman" w:eastAsia="Times New Roman" w:hAnsi="Times New Roman" w:cs="Times New Roman"/>
        </w:rPr>
        <w:t>they</w:t>
      </w:r>
      <w:r w:rsidR="00DC5548" w:rsidRPr="00B53A5A">
        <w:rPr>
          <w:rFonts w:ascii="Times New Roman" w:eastAsia="Times New Roman" w:hAnsi="Times New Roman" w:cs="Times New Roman"/>
        </w:rPr>
        <w:t xml:space="preserve"> can </w:t>
      </w:r>
      <w:r w:rsidR="00AF41E9">
        <w:rPr>
          <w:rFonts w:ascii="Times New Roman" w:eastAsia="Times New Roman" w:hAnsi="Times New Roman" w:cs="Times New Roman"/>
        </w:rPr>
        <w:t>perform</w:t>
      </w:r>
      <w:r w:rsidR="00DC5548" w:rsidRPr="00B53A5A">
        <w:rPr>
          <w:rFonts w:ascii="Times New Roman" w:eastAsia="Times New Roman" w:hAnsi="Times New Roman" w:cs="Times New Roman"/>
        </w:rPr>
        <w:t xml:space="preserve"> a role and/or have the requisite flexibility and/or </w:t>
      </w:r>
      <w:r w:rsidR="00AF41E9">
        <w:rPr>
          <w:rFonts w:ascii="Times New Roman" w:eastAsia="Times New Roman" w:hAnsi="Times New Roman" w:cs="Times New Roman"/>
        </w:rPr>
        <w:t>possess the</w:t>
      </w:r>
      <w:r w:rsidR="00AF41E9" w:rsidRPr="00B53A5A">
        <w:rPr>
          <w:rFonts w:ascii="Times New Roman" w:eastAsia="Times New Roman" w:hAnsi="Times New Roman" w:cs="Times New Roman"/>
        </w:rPr>
        <w:t xml:space="preserve"> </w:t>
      </w:r>
      <w:r w:rsidR="00DC5548" w:rsidRPr="00B53A5A">
        <w:rPr>
          <w:rFonts w:ascii="Times New Roman" w:eastAsia="Times New Roman" w:hAnsi="Times New Roman" w:cs="Times New Roman"/>
        </w:rPr>
        <w:t>ability to absorb new ideas</w:t>
      </w:r>
      <w:r w:rsidR="00D22D4D">
        <w:rPr>
          <w:rFonts w:ascii="Times New Roman" w:eastAsia="Times New Roman" w:hAnsi="Times New Roman" w:cs="Times New Roman"/>
        </w:rPr>
        <w:t xml:space="preserve"> (Doering et al, 1983)</w:t>
      </w:r>
      <w:r w:rsidR="00DC5548" w:rsidRPr="00B53A5A">
        <w:rPr>
          <w:rFonts w:ascii="Times New Roman" w:eastAsia="Times New Roman" w:hAnsi="Times New Roman" w:cs="Times New Roman"/>
        </w:rPr>
        <w:t>.</w:t>
      </w:r>
      <w:r w:rsidR="00DC5548">
        <w:rPr>
          <w:rFonts w:ascii="Times New Roman" w:eastAsia="Times New Roman" w:hAnsi="Times New Roman" w:cs="Times New Roman"/>
        </w:rPr>
        <w:t xml:space="preserve"> </w:t>
      </w:r>
    </w:p>
    <w:p w14:paraId="749FFFC4" w14:textId="6F66C0EA" w:rsidR="00845152" w:rsidRDefault="00D22D4D" w:rsidP="00835FA3">
      <w:pPr>
        <w:spacing w:line="240" w:lineRule="auto"/>
        <w:ind w:firstLine="720"/>
        <w:contextualSpacing/>
        <w:jc w:val="both"/>
        <w:rPr>
          <w:rFonts w:ascii="Times New Roman" w:hAnsi="Times New Roman" w:cs="Times New Roman"/>
        </w:rPr>
      </w:pPr>
      <w:r>
        <w:rPr>
          <w:rFonts w:ascii="Times New Roman" w:eastAsia="Times New Roman" w:hAnsi="Times New Roman" w:cs="Times New Roman"/>
        </w:rPr>
        <w:t>The Equality Act 2010 states that an act of direct age discrimination</w:t>
      </w:r>
      <w:r w:rsidR="00DC5548">
        <w:rPr>
          <w:rFonts w:ascii="Times New Roman" w:eastAsia="Times New Roman" w:hAnsi="Times New Roman" w:cs="Times New Roman"/>
        </w:rPr>
        <w:t xml:space="preserve"> will be lawful if an employer can point to a legitimate aim and the means of achieving that aim are proportionate</w:t>
      </w:r>
      <w:r>
        <w:rPr>
          <w:rFonts w:ascii="Times New Roman" w:eastAsia="Times New Roman" w:hAnsi="Times New Roman" w:cs="Times New Roman"/>
        </w:rPr>
        <w:t>[1]</w:t>
      </w:r>
      <w:r w:rsidR="00DC5548">
        <w:rPr>
          <w:rFonts w:ascii="Times New Roman" w:eastAsia="Times New Roman" w:hAnsi="Times New Roman" w:cs="Times New Roman"/>
        </w:rPr>
        <w:t xml:space="preserve">. </w:t>
      </w:r>
      <w:r w:rsidR="00DC5548" w:rsidRPr="00B53A5A">
        <w:rPr>
          <w:rFonts w:ascii="Times New Roman" w:eastAsia="Times New Roman" w:hAnsi="Times New Roman" w:cs="Times New Roman"/>
          <w:lang w:val="en-US"/>
        </w:rPr>
        <w:t xml:space="preserve">The challenge for the law and the courts is to tackle these </w:t>
      </w:r>
      <w:r w:rsidR="00DC5548">
        <w:rPr>
          <w:rFonts w:ascii="Times New Roman" w:eastAsia="Times New Roman" w:hAnsi="Times New Roman" w:cs="Times New Roman"/>
          <w:lang w:val="en-US"/>
        </w:rPr>
        <w:t xml:space="preserve">entrenched </w:t>
      </w:r>
      <w:r w:rsidR="00DC5548" w:rsidRPr="00B53A5A">
        <w:rPr>
          <w:rFonts w:ascii="Times New Roman" w:eastAsia="Times New Roman" w:hAnsi="Times New Roman" w:cs="Times New Roman"/>
          <w:lang w:val="en-US"/>
        </w:rPr>
        <w:t xml:space="preserve">stereotypes and in particular, ensure </w:t>
      </w:r>
      <w:r w:rsidR="00DC5548" w:rsidRPr="00B53A5A">
        <w:rPr>
          <w:rFonts w:ascii="Times New Roman" w:eastAsia="Times New Roman" w:hAnsi="Times New Roman" w:cs="Times New Roman"/>
          <w:lang w:val="en-US"/>
        </w:rPr>
        <w:lastRenderedPageBreak/>
        <w:t xml:space="preserve">that the </w:t>
      </w:r>
      <w:r w:rsidR="00DC5548">
        <w:rPr>
          <w:rFonts w:ascii="Times New Roman" w:eastAsia="Times New Roman" w:hAnsi="Times New Roman" w:cs="Times New Roman"/>
          <w:lang w:val="en-US"/>
        </w:rPr>
        <w:t>definition of</w:t>
      </w:r>
      <w:r w:rsidR="00DC5548" w:rsidRPr="00B53A5A">
        <w:rPr>
          <w:rFonts w:ascii="Times New Roman" w:eastAsia="Times New Roman" w:hAnsi="Times New Roman" w:cs="Times New Roman"/>
          <w:lang w:val="en-US"/>
        </w:rPr>
        <w:t xml:space="preserve"> direct age discrimination does not perpetuate age stereotyping by employers. </w:t>
      </w:r>
      <w:r w:rsidR="00845152" w:rsidRPr="00B53A5A">
        <w:rPr>
          <w:rFonts w:ascii="Times New Roman" w:hAnsi="Times New Roman" w:cs="Times New Roman"/>
        </w:rPr>
        <w:t xml:space="preserve">Indeed as Lady Hale highlighted in the well-known case of </w:t>
      </w:r>
      <w:r w:rsidR="00845152" w:rsidRPr="00B53A5A">
        <w:rPr>
          <w:rFonts w:ascii="Times New Roman" w:hAnsi="Times New Roman" w:cs="Times New Roman"/>
          <w:i/>
        </w:rPr>
        <w:t>Seldon v Clarkson Wright and Jakes</w:t>
      </w:r>
      <w:r w:rsidR="00845152">
        <w:rPr>
          <w:rFonts w:ascii="Times New Roman" w:hAnsi="Times New Roman" w:cs="Times New Roman"/>
        </w:rPr>
        <w:t>[2];</w:t>
      </w:r>
      <w:r w:rsidR="00845152" w:rsidRPr="00B53A5A">
        <w:rPr>
          <w:rFonts w:ascii="Times New Roman" w:hAnsi="Times New Roman" w:cs="Times New Roman"/>
        </w:rPr>
        <w:t xml:space="preserve">  </w:t>
      </w:r>
    </w:p>
    <w:p w14:paraId="5403C96B" w14:textId="77777777" w:rsidR="0070190F" w:rsidRPr="00D75DD9" w:rsidRDefault="0070190F" w:rsidP="00845152">
      <w:pPr>
        <w:spacing w:line="240" w:lineRule="auto"/>
        <w:ind w:firstLine="720"/>
        <w:contextualSpacing/>
        <w:jc w:val="both"/>
        <w:rPr>
          <w:rFonts w:ascii="Times New Roman" w:hAnsi="Times New Roman" w:cs="Times New Roman"/>
        </w:rPr>
      </w:pPr>
    </w:p>
    <w:p w14:paraId="1007EBC2" w14:textId="1AEC1ED0" w:rsidR="0070190F" w:rsidRDefault="00845152" w:rsidP="00374B26">
      <w:pPr>
        <w:spacing w:line="240" w:lineRule="auto"/>
        <w:ind w:firstLine="720"/>
        <w:jc w:val="both"/>
        <w:rPr>
          <w:lang w:val="en-US"/>
        </w:rPr>
      </w:pPr>
      <w:r w:rsidRPr="00B53A5A">
        <w:rPr>
          <w:rFonts w:ascii="Times New Roman" w:eastAsia="Times New Roman" w:hAnsi="Times New Roman" w:cs="Times New Roman"/>
          <w:i/>
          <w:lang w:val="en-US"/>
        </w:rPr>
        <w:t>These assumptions no longer hold good (if they ever did) in times of increasing longevity, where there are benefits both to individuals and to the wider society if people continue to work for as long as they can</w:t>
      </w:r>
      <w:r>
        <w:rPr>
          <w:rFonts w:ascii="Times New Roman" w:eastAsia="Times New Roman" w:hAnsi="Times New Roman" w:cs="Times New Roman"/>
          <w:lang w:val="en-US"/>
        </w:rPr>
        <w:t>[3]</w:t>
      </w:r>
      <w:r w:rsidR="0070190F">
        <w:rPr>
          <w:rFonts w:ascii="Times New Roman" w:eastAsia="Times New Roman" w:hAnsi="Times New Roman" w:cs="Times New Roman"/>
          <w:lang w:val="en-US"/>
        </w:rPr>
        <w:t>.</w:t>
      </w:r>
    </w:p>
    <w:p w14:paraId="09AAAAFA" w14:textId="3595A0D2" w:rsidR="00DC5548" w:rsidRPr="00374B26" w:rsidRDefault="00DC5548" w:rsidP="00374B26">
      <w:pPr>
        <w:spacing w:line="240" w:lineRule="auto"/>
        <w:ind w:firstLine="720"/>
        <w:jc w:val="both"/>
        <w:rPr>
          <w:rFonts w:ascii="Times New Roman" w:eastAsia="Times New Roman" w:hAnsi="Times New Roman" w:cs="Times New Roman"/>
          <w:i/>
          <w:lang w:val="en-US"/>
        </w:rPr>
      </w:pPr>
      <w:r w:rsidRPr="00374B26">
        <w:rPr>
          <w:rFonts w:ascii="Times New Roman" w:hAnsi="Times New Roman" w:cs="Times New Roman"/>
        </w:rPr>
        <w:t>Th</w:t>
      </w:r>
      <w:r w:rsidR="00BE1BC5">
        <w:rPr>
          <w:rFonts w:ascii="Times New Roman" w:hAnsi="Times New Roman" w:cs="Times New Roman"/>
        </w:rPr>
        <w:t xml:space="preserve">is article draws </w:t>
      </w:r>
      <w:r w:rsidR="00EC5663">
        <w:rPr>
          <w:rFonts w:ascii="Times New Roman" w:hAnsi="Times New Roman" w:cs="Times New Roman"/>
        </w:rPr>
        <w:t xml:space="preserve">upon </w:t>
      </w:r>
      <w:r w:rsidR="00EC5663" w:rsidRPr="00374B26">
        <w:rPr>
          <w:rFonts w:ascii="Times New Roman" w:hAnsi="Times New Roman" w:cs="Times New Roman"/>
        </w:rPr>
        <w:t>cases</w:t>
      </w:r>
      <w:r w:rsidRPr="00374B26">
        <w:rPr>
          <w:rFonts w:ascii="Times New Roman" w:hAnsi="Times New Roman" w:cs="Times New Roman"/>
        </w:rPr>
        <w:t xml:space="preserve"> analysed in this study </w:t>
      </w:r>
      <w:r w:rsidR="00795234">
        <w:rPr>
          <w:rFonts w:ascii="Times New Roman" w:hAnsi="Times New Roman" w:cs="Times New Roman"/>
        </w:rPr>
        <w:t xml:space="preserve">with a </w:t>
      </w:r>
      <w:r w:rsidR="0039131C">
        <w:rPr>
          <w:rFonts w:ascii="Times New Roman" w:hAnsi="Times New Roman" w:cs="Times New Roman"/>
        </w:rPr>
        <w:t>focus upon</w:t>
      </w:r>
      <w:r w:rsidRPr="00374B26">
        <w:rPr>
          <w:rFonts w:ascii="Times New Roman" w:hAnsi="Times New Roman" w:cs="Times New Roman"/>
        </w:rPr>
        <w:t xml:space="preserve"> age stereotyping and report</w:t>
      </w:r>
      <w:r w:rsidR="00795234">
        <w:rPr>
          <w:rFonts w:ascii="Times New Roman" w:hAnsi="Times New Roman" w:cs="Times New Roman"/>
        </w:rPr>
        <w:t>s</w:t>
      </w:r>
      <w:r w:rsidRPr="00374B26">
        <w:rPr>
          <w:rFonts w:ascii="Times New Roman" w:hAnsi="Times New Roman" w:cs="Times New Roman"/>
        </w:rPr>
        <w:t xml:space="preserve"> on a sample of court judgments (from the employment tribunal (ET) and the </w:t>
      </w:r>
      <w:r w:rsidR="00CD6421">
        <w:rPr>
          <w:rFonts w:ascii="Times New Roman" w:hAnsi="Times New Roman" w:cs="Times New Roman"/>
        </w:rPr>
        <w:t>E</w:t>
      </w:r>
      <w:r w:rsidRPr="00374B26">
        <w:rPr>
          <w:rFonts w:ascii="Times New Roman" w:hAnsi="Times New Roman" w:cs="Times New Roman"/>
        </w:rPr>
        <w:t xml:space="preserve">mployment </w:t>
      </w:r>
      <w:r w:rsidR="00CD6421">
        <w:rPr>
          <w:rFonts w:ascii="Times New Roman" w:hAnsi="Times New Roman" w:cs="Times New Roman"/>
        </w:rPr>
        <w:t>A</w:t>
      </w:r>
      <w:r w:rsidRPr="00374B26">
        <w:rPr>
          <w:rFonts w:ascii="Times New Roman" w:hAnsi="Times New Roman" w:cs="Times New Roman"/>
        </w:rPr>
        <w:t xml:space="preserve">ppeal </w:t>
      </w:r>
      <w:r w:rsidR="00CD6421">
        <w:rPr>
          <w:rFonts w:ascii="Times New Roman" w:hAnsi="Times New Roman" w:cs="Times New Roman"/>
        </w:rPr>
        <w:t>T</w:t>
      </w:r>
      <w:r w:rsidRPr="00374B26">
        <w:rPr>
          <w:rFonts w:ascii="Times New Roman" w:hAnsi="Times New Roman" w:cs="Times New Roman"/>
        </w:rPr>
        <w:t>ribunal (EAT)</w:t>
      </w:r>
      <w:r w:rsidR="00E66B7A">
        <w:rPr>
          <w:rFonts w:ascii="Times New Roman" w:hAnsi="Times New Roman" w:cs="Times New Roman"/>
        </w:rPr>
        <w:t>)</w:t>
      </w:r>
      <w:r w:rsidRPr="00374B26">
        <w:rPr>
          <w:rFonts w:ascii="Times New Roman" w:hAnsi="Times New Roman" w:cs="Times New Roman"/>
        </w:rPr>
        <w:t xml:space="preserve"> on direct age discrimination over the last 11 years</w:t>
      </w:r>
      <w:r w:rsidR="00965727">
        <w:rPr>
          <w:rFonts w:ascii="Times New Roman" w:hAnsi="Times New Roman" w:cs="Times New Roman"/>
        </w:rPr>
        <w:t>, from the period 2006-2017</w:t>
      </w:r>
      <w:r w:rsidRPr="00374B26">
        <w:rPr>
          <w:rFonts w:ascii="Times New Roman" w:hAnsi="Times New Roman" w:cs="Times New Roman"/>
        </w:rPr>
        <w:t>. Fieldwork observation has also been conducted over a period of 3 years</w:t>
      </w:r>
      <w:r w:rsidR="00965727">
        <w:rPr>
          <w:rFonts w:ascii="Times New Roman" w:hAnsi="Times New Roman" w:cs="Times New Roman"/>
        </w:rPr>
        <w:t>, from the period 2011-</w:t>
      </w:r>
      <w:r w:rsidR="00402BC8">
        <w:rPr>
          <w:rFonts w:ascii="Times New Roman" w:hAnsi="Times New Roman" w:cs="Times New Roman"/>
        </w:rPr>
        <w:t xml:space="preserve">2014, </w:t>
      </w:r>
      <w:r w:rsidR="00402BC8" w:rsidRPr="00374B26">
        <w:rPr>
          <w:rFonts w:ascii="Times New Roman" w:hAnsi="Times New Roman" w:cs="Times New Roman"/>
        </w:rPr>
        <w:t>to</w:t>
      </w:r>
      <w:r w:rsidRPr="00374B26">
        <w:rPr>
          <w:rFonts w:ascii="Times New Roman" w:hAnsi="Times New Roman" w:cs="Times New Roman"/>
        </w:rPr>
        <w:t xml:space="preserve"> </w:t>
      </w:r>
      <w:r w:rsidR="005F1F16" w:rsidRPr="00374B26">
        <w:rPr>
          <w:rFonts w:ascii="Times New Roman" w:hAnsi="Times New Roman" w:cs="Times New Roman"/>
        </w:rPr>
        <w:t xml:space="preserve">gain a deeper insight into the </w:t>
      </w:r>
      <w:r w:rsidR="0039131C">
        <w:rPr>
          <w:rFonts w:ascii="Times New Roman" w:hAnsi="Times New Roman" w:cs="Times New Roman"/>
        </w:rPr>
        <w:t>ETs</w:t>
      </w:r>
      <w:r w:rsidR="005F1F16" w:rsidRPr="00374B26">
        <w:rPr>
          <w:rFonts w:ascii="Times New Roman" w:hAnsi="Times New Roman" w:cs="Times New Roman"/>
        </w:rPr>
        <w:t xml:space="preserve"> approach to age stereotyping</w:t>
      </w:r>
      <w:r w:rsidRPr="00374B26">
        <w:rPr>
          <w:rFonts w:ascii="Times New Roman" w:hAnsi="Times New Roman" w:cs="Times New Roman"/>
        </w:rPr>
        <w:t xml:space="preserve">. </w:t>
      </w:r>
      <w:r w:rsidR="00402BC8">
        <w:rPr>
          <w:rFonts w:ascii="Times New Roman" w:hAnsi="Times New Roman" w:cs="Times New Roman"/>
        </w:rPr>
        <w:t xml:space="preserve">The research seeks to contribute to existing knowledge in three respects. </w:t>
      </w:r>
      <w:r w:rsidRPr="00374B26">
        <w:rPr>
          <w:rFonts w:ascii="Times New Roman" w:hAnsi="Times New Roman" w:cs="Times New Roman"/>
        </w:rPr>
        <w:t>Firstly,</w:t>
      </w:r>
      <w:r w:rsidR="00CD6421">
        <w:rPr>
          <w:rFonts w:ascii="Times New Roman" w:hAnsi="Times New Roman" w:cs="Times New Roman"/>
        </w:rPr>
        <w:t xml:space="preserve"> it</w:t>
      </w:r>
      <w:r w:rsidRPr="00374B26">
        <w:rPr>
          <w:rFonts w:ascii="Times New Roman" w:hAnsi="Times New Roman" w:cs="Times New Roman"/>
        </w:rPr>
        <w:t xml:space="preserve"> illuminat</w:t>
      </w:r>
      <w:r w:rsidR="00CD6421">
        <w:rPr>
          <w:rFonts w:ascii="Times New Roman" w:hAnsi="Times New Roman" w:cs="Times New Roman"/>
        </w:rPr>
        <w:t>es</w:t>
      </w:r>
      <w:r w:rsidRPr="00374B26">
        <w:rPr>
          <w:rFonts w:ascii="Times New Roman" w:hAnsi="Times New Roman" w:cs="Times New Roman"/>
        </w:rPr>
        <w:t xml:space="preserve"> how stereotyping operates in practice </w:t>
      </w:r>
      <w:r w:rsidR="0039131C">
        <w:rPr>
          <w:rFonts w:ascii="Times New Roman" w:hAnsi="Times New Roman" w:cs="Times New Roman"/>
        </w:rPr>
        <w:t xml:space="preserve">in the context of ET claims </w:t>
      </w:r>
      <w:r w:rsidRPr="00374B26">
        <w:rPr>
          <w:rFonts w:ascii="Times New Roman" w:hAnsi="Times New Roman" w:cs="Times New Roman"/>
        </w:rPr>
        <w:t>and how employers can recognise situations in which they can fall foul of the legislation in this regard. Secondly, an analysis of these cases open</w:t>
      </w:r>
      <w:r w:rsidR="00D1488F">
        <w:rPr>
          <w:rFonts w:ascii="Times New Roman" w:hAnsi="Times New Roman" w:cs="Times New Roman"/>
        </w:rPr>
        <w:t>s</w:t>
      </w:r>
      <w:r w:rsidRPr="00374B26">
        <w:rPr>
          <w:rFonts w:ascii="Times New Roman" w:hAnsi="Times New Roman" w:cs="Times New Roman"/>
        </w:rPr>
        <w:t xml:space="preserve"> a window on how effectively ETs tackle age stereotyping in their judgments and in their questioning of witnesses during the fieldwork. </w:t>
      </w:r>
      <w:r w:rsidR="00402BC8">
        <w:rPr>
          <w:rFonts w:ascii="Times New Roman" w:hAnsi="Times New Roman" w:cs="Times New Roman"/>
        </w:rPr>
        <w:t>Thirdly and m</w:t>
      </w:r>
      <w:r w:rsidRPr="00374B26">
        <w:rPr>
          <w:rFonts w:ascii="Times New Roman" w:hAnsi="Times New Roman" w:cs="Times New Roman"/>
        </w:rPr>
        <w:t xml:space="preserve">ore generally, the analysis will reveal the factors that influence the decision making process in direct age discrimination cases and chart the development of challenging age stereotypes in employment. It is vital that employers are aware of the circumstances in which they can fall foul of the legislation by stereotyping and use these court decisions to inform not just their equal opportunities policies but also their practice on a daily basis. </w:t>
      </w:r>
    </w:p>
    <w:p w14:paraId="4B7CB97E" w14:textId="77777777" w:rsidR="00DC5548" w:rsidRPr="00B53A5A" w:rsidRDefault="00DC5548" w:rsidP="0039131C">
      <w:pPr>
        <w:spacing w:after="0" w:line="240" w:lineRule="auto"/>
        <w:jc w:val="both"/>
        <w:rPr>
          <w:rFonts w:ascii="Times New Roman" w:eastAsia="Times New Roman" w:hAnsi="Times New Roman" w:cs="Times New Roman"/>
          <w:b/>
          <w:lang w:val="en-US"/>
        </w:rPr>
      </w:pPr>
      <w:r w:rsidRPr="00B53A5A">
        <w:rPr>
          <w:rFonts w:ascii="Times New Roman" w:eastAsia="Times New Roman" w:hAnsi="Times New Roman" w:cs="Times New Roman"/>
          <w:b/>
          <w:lang w:val="en-US"/>
        </w:rPr>
        <w:t xml:space="preserve">Methodology </w:t>
      </w:r>
    </w:p>
    <w:p w14:paraId="0AE4FCD5" w14:textId="77777777" w:rsidR="00DC5548" w:rsidRPr="00B53A5A" w:rsidRDefault="00DC5548" w:rsidP="0039131C">
      <w:pPr>
        <w:spacing w:after="0" w:line="240" w:lineRule="auto"/>
        <w:contextualSpacing/>
        <w:jc w:val="both"/>
        <w:rPr>
          <w:rFonts w:ascii="Times New Roman" w:eastAsia="Times New Roman" w:hAnsi="Times New Roman" w:cs="Times New Roman"/>
          <w:i/>
          <w:lang w:val="en-US"/>
        </w:rPr>
      </w:pPr>
      <w:r w:rsidRPr="00B53A5A">
        <w:rPr>
          <w:rFonts w:ascii="Times New Roman" w:eastAsia="Times New Roman" w:hAnsi="Times New Roman" w:cs="Times New Roman"/>
          <w:i/>
          <w:lang w:val="en-US"/>
        </w:rPr>
        <w:t>Analysis of direct age discrimination cases heard by Employments Tribunals: 2006-2017</w:t>
      </w:r>
    </w:p>
    <w:p w14:paraId="0DC42AA2" w14:textId="18DDE4B1" w:rsidR="00DC5548" w:rsidRPr="00B53A5A" w:rsidRDefault="00DC5548" w:rsidP="0039131C">
      <w:pPr>
        <w:spacing w:after="0" w:line="240" w:lineRule="auto"/>
        <w:contextualSpacing/>
        <w:jc w:val="both"/>
        <w:rPr>
          <w:rFonts w:ascii="Times New Roman" w:hAnsi="Times New Roman" w:cs="Times New Roman"/>
        </w:rPr>
      </w:pPr>
      <w:r w:rsidRPr="00B53A5A">
        <w:rPr>
          <w:rFonts w:ascii="Times New Roman" w:hAnsi="Times New Roman" w:cs="Times New Roman"/>
        </w:rPr>
        <w:t xml:space="preserve">This research has analysed a sample of </w:t>
      </w:r>
      <w:r>
        <w:rPr>
          <w:rFonts w:ascii="Times New Roman" w:hAnsi="Times New Roman" w:cs="Times New Roman"/>
        </w:rPr>
        <w:t>90</w:t>
      </w:r>
      <w:r w:rsidRPr="00B53A5A">
        <w:rPr>
          <w:rFonts w:ascii="Times New Roman" w:hAnsi="Times New Roman" w:cs="Times New Roman"/>
        </w:rPr>
        <w:t xml:space="preserve"> direct age discrimination cases heard by ETs in full merits hearings fr</w:t>
      </w:r>
      <w:r w:rsidR="0039131C">
        <w:rPr>
          <w:rFonts w:ascii="Times New Roman" w:hAnsi="Times New Roman" w:cs="Times New Roman"/>
        </w:rPr>
        <w:t xml:space="preserve">om </w:t>
      </w:r>
      <w:r w:rsidR="00AF41E9">
        <w:rPr>
          <w:rFonts w:ascii="Times New Roman" w:hAnsi="Times New Roman" w:cs="Times New Roman"/>
        </w:rPr>
        <w:t>1</w:t>
      </w:r>
      <w:r w:rsidR="00AF41E9" w:rsidRPr="00624902">
        <w:rPr>
          <w:rFonts w:ascii="Times New Roman" w:hAnsi="Times New Roman" w:cs="Times New Roman"/>
          <w:vertAlign w:val="superscript"/>
        </w:rPr>
        <w:t>st</w:t>
      </w:r>
      <w:r w:rsidR="00AF41E9">
        <w:rPr>
          <w:rFonts w:ascii="Times New Roman" w:hAnsi="Times New Roman" w:cs="Times New Roman"/>
        </w:rPr>
        <w:t xml:space="preserve"> </w:t>
      </w:r>
      <w:r w:rsidR="0039131C">
        <w:rPr>
          <w:rFonts w:ascii="Times New Roman" w:hAnsi="Times New Roman" w:cs="Times New Roman"/>
        </w:rPr>
        <w:t xml:space="preserve">October 2006 to </w:t>
      </w:r>
      <w:r w:rsidR="00AF41E9">
        <w:rPr>
          <w:rFonts w:ascii="Times New Roman" w:hAnsi="Times New Roman" w:cs="Times New Roman"/>
        </w:rPr>
        <w:t>1</w:t>
      </w:r>
      <w:r w:rsidR="00AF41E9" w:rsidRPr="00624902">
        <w:rPr>
          <w:rFonts w:ascii="Times New Roman" w:hAnsi="Times New Roman" w:cs="Times New Roman"/>
          <w:vertAlign w:val="superscript"/>
        </w:rPr>
        <w:t>st</w:t>
      </w:r>
      <w:r w:rsidR="00AF41E9">
        <w:rPr>
          <w:rFonts w:ascii="Times New Roman" w:hAnsi="Times New Roman" w:cs="Times New Roman"/>
        </w:rPr>
        <w:t xml:space="preserve"> </w:t>
      </w:r>
      <w:r w:rsidR="0039131C">
        <w:rPr>
          <w:rFonts w:ascii="Times New Roman" w:hAnsi="Times New Roman" w:cs="Times New Roman"/>
        </w:rPr>
        <w:t>October 2017. To place the ET cases in context; the EAT, Court of Appeal and Supreme Court decisions relating to direct age discrimination were also considered</w:t>
      </w:r>
      <w:r w:rsidRPr="00B53A5A">
        <w:rPr>
          <w:rFonts w:ascii="Times New Roman" w:hAnsi="Times New Roman" w:cs="Times New Roman"/>
        </w:rPr>
        <w:t>.</w:t>
      </w:r>
      <w:r w:rsidRPr="00B53A5A">
        <w:rPr>
          <w:rFonts w:ascii="Times New Roman" w:hAnsi="Times New Roman" w:cs="Times New Roman"/>
          <w:color w:val="000000"/>
        </w:rPr>
        <w:t xml:space="preserve"> </w:t>
      </w:r>
    </w:p>
    <w:p w14:paraId="39A4459E" w14:textId="3052E3D1" w:rsidR="0039131C" w:rsidRDefault="00DC5548" w:rsidP="00236D0E">
      <w:pPr>
        <w:spacing w:line="240" w:lineRule="auto"/>
        <w:ind w:firstLine="720"/>
        <w:contextualSpacing/>
        <w:jc w:val="both"/>
        <w:rPr>
          <w:rFonts w:ascii="Times New Roman" w:hAnsi="Times New Roman" w:cs="Times New Roman"/>
          <w:color w:val="000000"/>
        </w:rPr>
      </w:pPr>
      <w:r w:rsidRPr="00B53A5A">
        <w:rPr>
          <w:rFonts w:ascii="Times New Roman" w:hAnsi="Times New Roman" w:cs="Times New Roman"/>
        </w:rPr>
        <w:t xml:space="preserve">At the outset of this </w:t>
      </w:r>
      <w:r w:rsidR="00D1488F">
        <w:rPr>
          <w:rFonts w:ascii="Times New Roman" w:hAnsi="Times New Roman" w:cs="Times New Roman"/>
        </w:rPr>
        <w:t>study</w:t>
      </w:r>
      <w:r w:rsidR="00965727" w:rsidRPr="00B53A5A">
        <w:rPr>
          <w:rFonts w:ascii="Times New Roman" w:hAnsi="Times New Roman" w:cs="Times New Roman"/>
        </w:rPr>
        <w:t xml:space="preserve"> </w:t>
      </w:r>
      <w:r w:rsidRPr="00B53A5A">
        <w:rPr>
          <w:rFonts w:ascii="Times New Roman" w:hAnsi="Times New Roman" w:cs="Times New Roman"/>
        </w:rPr>
        <w:t>there was no online database of ET judgments for general search by the public. The website for searching ET judgment</w:t>
      </w:r>
      <w:r w:rsidR="00FE1AB2">
        <w:rPr>
          <w:rFonts w:ascii="Times New Roman" w:hAnsi="Times New Roman" w:cs="Times New Roman"/>
        </w:rPr>
        <w:t>s</w:t>
      </w:r>
      <w:r w:rsidRPr="00B53A5A">
        <w:rPr>
          <w:rFonts w:ascii="Times New Roman" w:hAnsi="Times New Roman" w:cs="Times New Roman"/>
        </w:rPr>
        <w:t xml:space="preserve"> </w:t>
      </w:r>
      <w:r w:rsidR="0039131C">
        <w:rPr>
          <w:rFonts w:ascii="Times New Roman" w:hAnsi="Times New Roman" w:cs="Times New Roman"/>
        </w:rPr>
        <w:t xml:space="preserve">only </w:t>
      </w:r>
      <w:r w:rsidRPr="00B53A5A">
        <w:rPr>
          <w:rFonts w:ascii="Times New Roman" w:hAnsi="Times New Roman" w:cs="Times New Roman"/>
        </w:rPr>
        <w:t>became available in February 2017 and it contains a selection of decisions from 2015 and 2016</w:t>
      </w:r>
      <w:r w:rsidR="005F1F16">
        <w:rPr>
          <w:rFonts w:ascii="Times New Roman" w:hAnsi="Times New Roman" w:cs="Times New Roman"/>
        </w:rPr>
        <w:t>[4</w:t>
      </w:r>
      <w:r>
        <w:rPr>
          <w:rFonts w:ascii="Times New Roman" w:hAnsi="Times New Roman" w:cs="Times New Roman"/>
        </w:rPr>
        <w:t>]</w:t>
      </w:r>
      <w:r w:rsidRPr="00B53A5A">
        <w:rPr>
          <w:rFonts w:ascii="Times New Roman" w:hAnsi="Times New Roman" w:cs="Times New Roman"/>
        </w:rPr>
        <w:t xml:space="preserve">. </w:t>
      </w:r>
      <w:r w:rsidRPr="00B53A5A">
        <w:rPr>
          <w:rFonts w:ascii="Times New Roman" w:hAnsi="Times New Roman" w:cs="Times New Roman"/>
          <w:color w:val="000000"/>
        </w:rPr>
        <w:t xml:space="preserve">The webpage allows the public to </w:t>
      </w:r>
      <w:r w:rsidR="00FE1AB2">
        <w:rPr>
          <w:rFonts w:ascii="Times New Roman" w:hAnsi="Times New Roman" w:cs="Times New Roman"/>
          <w:color w:val="000000"/>
        </w:rPr>
        <w:t>locate</w:t>
      </w:r>
      <w:r w:rsidRPr="00B53A5A">
        <w:rPr>
          <w:rFonts w:ascii="Times New Roman" w:hAnsi="Times New Roman" w:cs="Times New Roman"/>
          <w:color w:val="000000"/>
        </w:rPr>
        <w:t xml:space="preserve"> first-instance ET judgments from England, Wales and Scotland using drop-down menus and a text search. The search term ‘</w:t>
      </w:r>
      <w:r w:rsidRPr="00236D0E">
        <w:rPr>
          <w:rFonts w:ascii="Times New Roman" w:hAnsi="Times New Roman" w:cs="Times New Roman"/>
          <w:i/>
          <w:color w:val="000000"/>
        </w:rPr>
        <w:t>direct age discrimination’</w:t>
      </w:r>
      <w:r w:rsidRPr="00B53A5A">
        <w:rPr>
          <w:rFonts w:ascii="Times New Roman" w:hAnsi="Times New Roman" w:cs="Times New Roman"/>
          <w:color w:val="000000"/>
        </w:rPr>
        <w:t xml:space="preserve"> was used to locate all direct age discrimination judgments online on this database</w:t>
      </w:r>
      <w:r>
        <w:rPr>
          <w:rFonts w:ascii="Times New Roman" w:hAnsi="Times New Roman" w:cs="Times New Roman"/>
          <w:color w:val="000000"/>
        </w:rPr>
        <w:t xml:space="preserve"> and those judgments which did not include full reasons did not form part of </w:t>
      </w:r>
      <w:r w:rsidR="00FE1AB2">
        <w:rPr>
          <w:rFonts w:ascii="Times New Roman" w:hAnsi="Times New Roman" w:cs="Times New Roman"/>
          <w:color w:val="000000"/>
        </w:rPr>
        <w:t xml:space="preserve">the </w:t>
      </w:r>
      <w:r>
        <w:rPr>
          <w:rFonts w:ascii="Times New Roman" w:hAnsi="Times New Roman" w:cs="Times New Roman"/>
          <w:color w:val="000000"/>
        </w:rPr>
        <w:t>sample</w:t>
      </w:r>
      <w:r w:rsidRPr="00B53A5A">
        <w:rPr>
          <w:rFonts w:ascii="Times New Roman" w:hAnsi="Times New Roman" w:cs="Times New Roman"/>
          <w:color w:val="000000"/>
        </w:rPr>
        <w:t>. For earlier ET judgments which are not available on the ET website a search was carried out through Michael Rubenstein Publishing, which publishes some (but not all) ET</w:t>
      </w:r>
      <w:r w:rsidR="00795234">
        <w:rPr>
          <w:rFonts w:ascii="Times New Roman" w:hAnsi="Times New Roman" w:cs="Times New Roman"/>
          <w:color w:val="000000"/>
        </w:rPr>
        <w:t xml:space="preserve"> judgments in the Equality Law R</w:t>
      </w:r>
      <w:r w:rsidRPr="00B53A5A">
        <w:rPr>
          <w:rFonts w:ascii="Times New Roman" w:hAnsi="Times New Roman" w:cs="Times New Roman"/>
          <w:color w:val="000000"/>
        </w:rPr>
        <w:t>eports</w:t>
      </w:r>
      <w:r w:rsidR="005F1F16">
        <w:rPr>
          <w:rFonts w:ascii="Times New Roman" w:hAnsi="Times New Roman" w:cs="Times New Roman"/>
          <w:color w:val="000000"/>
        </w:rPr>
        <w:t>[</w:t>
      </w:r>
      <w:r>
        <w:rPr>
          <w:rFonts w:ascii="Times New Roman" w:hAnsi="Times New Roman" w:cs="Times New Roman"/>
          <w:color w:val="000000"/>
        </w:rPr>
        <w:t>5]</w:t>
      </w:r>
      <w:r w:rsidRPr="00B53A5A">
        <w:rPr>
          <w:rFonts w:ascii="Times New Roman" w:hAnsi="Times New Roman" w:cs="Times New Roman"/>
          <w:color w:val="000000"/>
        </w:rPr>
        <w:t>. The same search term ‘</w:t>
      </w:r>
      <w:r w:rsidRPr="00236D0E">
        <w:rPr>
          <w:rFonts w:ascii="Times New Roman" w:hAnsi="Times New Roman" w:cs="Times New Roman"/>
          <w:i/>
          <w:color w:val="000000"/>
        </w:rPr>
        <w:t>direct age discrimination’</w:t>
      </w:r>
      <w:r w:rsidRPr="00B53A5A">
        <w:rPr>
          <w:rFonts w:ascii="Times New Roman" w:hAnsi="Times New Roman" w:cs="Times New Roman"/>
          <w:color w:val="000000"/>
        </w:rPr>
        <w:t xml:space="preserve"> was used.</w:t>
      </w:r>
    </w:p>
    <w:p w14:paraId="69193944" w14:textId="79597D7E" w:rsidR="00DC5548" w:rsidRDefault="00DC5548" w:rsidP="00773AB5">
      <w:pPr>
        <w:spacing w:line="240" w:lineRule="auto"/>
        <w:contextualSpacing/>
        <w:jc w:val="both"/>
        <w:rPr>
          <w:rFonts w:ascii="Times New Roman" w:hAnsi="Times New Roman" w:cs="Times New Roman"/>
        </w:rPr>
      </w:pPr>
      <w:r w:rsidRPr="00B53A5A">
        <w:rPr>
          <w:rFonts w:ascii="Open Sans" w:hAnsi="Open Sans"/>
          <w:color w:val="000000"/>
        </w:rPr>
        <w:t xml:space="preserve"> </w:t>
      </w:r>
      <w:r w:rsidR="00000DB2">
        <w:rPr>
          <w:rFonts w:ascii="Times New Roman" w:eastAsia="Times New Roman" w:hAnsi="Times New Roman" w:cs="Times New Roman"/>
          <w:lang w:val="en-US"/>
        </w:rPr>
        <w:tab/>
      </w:r>
      <w:r w:rsidRPr="00B53A5A">
        <w:rPr>
          <w:rFonts w:ascii="Times New Roman" w:eastAsia="Times New Roman" w:hAnsi="Times New Roman" w:cs="Times New Roman"/>
          <w:lang w:val="en-US"/>
        </w:rPr>
        <w:t xml:space="preserve">A qualitative case by case analysis of the case records </w:t>
      </w:r>
      <w:r w:rsidR="00965727">
        <w:rPr>
          <w:rFonts w:ascii="Times New Roman" w:eastAsia="Times New Roman" w:hAnsi="Times New Roman" w:cs="Times New Roman"/>
          <w:lang w:val="en-US"/>
        </w:rPr>
        <w:t>highlights</w:t>
      </w:r>
      <w:r w:rsidRPr="00B53A5A">
        <w:rPr>
          <w:rFonts w:ascii="Times New Roman" w:eastAsia="Times New Roman" w:hAnsi="Times New Roman" w:cs="Times New Roman"/>
          <w:lang w:val="en-US"/>
        </w:rPr>
        <w:t xml:space="preserve"> age stereotyping by employers in the context of the claims brought to the ET and a range of literature has adopted this methodology</w:t>
      </w:r>
      <w:r w:rsidR="0039131C">
        <w:rPr>
          <w:rFonts w:ascii="Times New Roman" w:eastAsia="Times New Roman" w:hAnsi="Times New Roman" w:cs="Times New Roman"/>
          <w:lang w:val="en-US"/>
        </w:rPr>
        <w:t xml:space="preserve"> (Leonard, 1987; </w:t>
      </w:r>
      <w:r w:rsidR="005F1F16">
        <w:rPr>
          <w:rFonts w:ascii="Times New Roman" w:eastAsia="Times New Roman" w:hAnsi="Times New Roman" w:cs="Times New Roman"/>
          <w:lang w:val="en-US"/>
        </w:rPr>
        <w:t>Rosenthal and Budjanovcanin, 2011; Lockwood, Rosenthal and Budjanovcanin, 2011)</w:t>
      </w:r>
      <w:r w:rsidRPr="00B53A5A">
        <w:rPr>
          <w:rFonts w:ascii="Times New Roman" w:eastAsia="Times New Roman" w:hAnsi="Times New Roman" w:cs="Times New Roman"/>
          <w:lang w:val="en-US"/>
        </w:rPr>
        <w:t xml:space="preserve">. </w:t>
      </w:r>
      <w:r w:rsidRPr="00B53A5A">
        <w:rPr>
          <w:rFonts w:ascii="Times New Roman" w:hAnsi="Times New Roman" w:cs="Times New Roman"/>
        </w:rPr>
        <w:t xml:space="preserve">A qualitative legal analysis was conducted in an effort to understand whether age stereotypes are being tackled </w:t>
      </w:r>
      <w:r w:rsidR="0039131C">
        <w:rPr>
          <w:rFonts w:ascii="Times New Roman" w:hAnsi="Times New Roman" w:cs="Times New Roman"/>
        </w:rPr>
        <w:t xml:space="preserve">by the ET </w:t>
      </w:r>
      <w:r w:rsidRPr="00B53A5A">
        <w:rPr>
          <w:rFonts w:ascii="Times New Roman" w:hAnsi="Times New Roman" w:cs="Times New Roman"/>
        </w:rPr>
        <w:t xml:space="preserve">and what factors, if any, are being used by the ETs which may reinforce stereotyping. </w:t>
      </w:r>
    </w:p>
    <w:p w14:paraId="07B6E276" w14:textId="77777777" w:rsidR="00374B26" w:rsidRPr="00B53A5A" w:rsidRDefault="00374B26" w:rsidP="0002098B">
      <w:pPr>
        <w:spacing w:line="240" w:lineRule="auto"/>
        <w:contextualSpacing/>
        <w:jc w:val="both"/>
        <w:rPr>
          <w:rFonts w:ascii="Times New Roman" w:hAnsi="Times New Roman" w:cs="Times New Roman"/>
        </w:rPr>
      </w:pPr>
    </w:p>
    <w:p w14:paraId="0E1A8CE8" w14:textId="77777777" w:rsidR="00DC5548" w:rsidRPr="00B53A5A" w:rsidRDefault="00DC5548" w:rsidP="0002098B">
      <w:pPr>
        <w:spacing w:after="0" w:line="240" w:lineRule="auto"/>
        <w:contextualSpacing/>
        <w:jc w:val="both"/>
        <w:rPr>
          <w:rFonts w:ascii="Times New Roman" w:hAnsi="Times New Roman" w:cs="Times New Roman"/>
          <w:i/>
        </w:rPr>
      </w:pPr>
      <w:r w:rsidRPr="00B53A5A">
        <w:rPr>
          <w:rFonts w:ascii="Times New Roman" w:hAnsi="Times New Roman" w:cs="Times New Roman"/>
          <w:i/>
        </w:rPr>
        <w:t>Fieldwork observation of direct age discrimination cases: 2011-2014</w:t>
      </w:r>
    </w:p>
    <w:p w14:paraId="2B9C5110" w14:textId="79303A1D" w:rsidR="00DC5548" w:rsidRPr="00B53A5A" w:rsidRDefault="00DC5548" w:rsidP="0002098B">
      <w:pPr>
        <w:spacing w:after="0" w:line="240" w:lineRule="auto"/>
        <w:contextualSpacing/>
        <w:jc w:val="both"/>
        <w:rPr>
          <w:rFonts w:ascii="Times New Roman" w:eastAsia="Times New Roman" w:hAnsi="Times New Roman" w:cs="Times New Roman"/>
        </w:rPr>
      </w:pPr>
      <w:r w:rsidRPr="00B53A5A">
        <w:rPr>
          <w:rFonts w:ascii="Times New Roman" w:eastAsia="Times New Roman" w:hAnsi="Times New Roman" w:cs="Times New Roman"/>
        </w:rPr>
        <w:t>Fieldwork</w:t>
      </w:r>
      <w:r>
        <w:rPr>
          <w:rFonts w:ascii="Times New Roman" w:eastAsia="Times New Roman" w:hAnsi="Times New Roman" w:cs="Times New Roman"/>
        </w:rPr>
        <w:t xml:space="preserve"> observation</w:t>
      </w:r>
      <w:r w:rsidRPr="00B53A5A">
        <w:rPr>
          <w:rFonts w:ascii="Times New Roman" w:eastAsia="Times New Roman" w:hAnsi="Times New Roman" w:cs="Times New Roman"/>
        </w:rPr>
        <w:t xml:space="preserve"> was conducted in the Newcastle upon Tyne ET </w:t>
      </w:r>
      <w:r w:rsidR="00DF1629">
        <w:rPr>
          <w:rFonts w:ascii="Times New Roman" w:eastAsia="Times New Roman" w:hAnsi="Times New Roman" w:cs="Times New Roman"/>
        </w:rPr>
        <w:t>from the period 1</w:t>
      </w:r>
      <w:r w:rsidR="00DF1629" w:rsidRPr="00624902">
        <w:rPr>
          <w:rFonts w:ascii="Times New Roman" w:eastAsia="Times New Roman" w:hAnsi="Times New Roman" w:cs="Times New Roman"/>
          <w:vertAlign w:val="superscript"/>
        </w:rPr>
        <w:t>st</w:t>
      </w:r>
      <w:r w:rsidR="00DF1629">
        <w:rPr>
          <w:rFonts w:ascii="Times New Roman" w:eastAsia="Times New Roman" w:hAnsi="Times New Roman" w:cs="Times New Roman"/>
        </w:rPr>
        <w:t xml:space="preserve"> December 2011 </w:t>
      </w:r>
      <w:r w:rsidR="00CD6421">
        <w:rPr>
          <w:rFonts w:ascii="Times New Roman" w:eastAsia="Times New Roman" w:hAnsi="Times New Roman" w:cs="Times New Roman"/>
        </w:rPr>
        <w:t>to</w:t>
      </w:r>
      <w:r w:rsidR="00BA0408">
        <w:rPr>
          <w:rFonts w:ascii="Times New Roman" w:eastAsia="Times New Roman" w:hAnsi="Times New Roman" w:cs="Times New Roman"/>
        </w:rPr>
        <w:t xml:space="preserve"> </w:t>
      </w:r>
      <w:r w:rsidR="00DF1629">
        <w:rPr>
          <w:rFonts w:ascii="Times New Roman" w:eastAsia="Times New Roman" w:hAnsi="Times New Roman" w:cs="Times New Roman"/>
        </w:rPr>
        <w:t>28</w:t>
      </w:r>
      <w:r w:rsidR="00DF1629" w:rsidRPr="00624902">
        <w:rPr>
          <w:rFonts w:ascii="Times New Roman" w:eastAsia="Times New Roman" w:hAnsi="Times New Roman" w:cs="Times New Roman"/>
          <w:vertAlign w:val="superscript"/>
        </w:rPr>
        <w:t>th</w:t>
      </w:r>
      <w:r w:rsidR="00DF1629">
        <w:rPr>
          <w:rFonts w:ascii="Times New Roman" w:eastAsia="Times New Roman" w:hAnsi="Times New Roman" w:cs="Times New Roman"/>
        </w:rPr>
        <w:t xml:space="preserve"> February 2014. This observation </w:t>
      </w:r>
      <w:r w:rsidRPr="00B53A5A">
        <w:rPr>
          <w:rFonts w:ascii="Times New Roman" w:eastAsia="Times New Roman" w:hAnsi="Times New Roman"/>
        </w:rPr>
        <w:t xml:space="preserve">provided useful data in relation to claims in the area of Newcastle, Northumberland, Gateshead, South Tyneside, North Tyneside, </w:t>
      </w:r>
      <w:r w:rsidR="00862FA6" w:rsidRPr="00B53A5A">
        <w:rPr>
          <w:rFonts w:ascii="Times New Roman" w:eastAsia="Times New Roman" w:hAnsi="Times New Roman"/>
        </w:rPr>
        <w:t xml:space="preserve">Sunderland, </w:t>
      </w:r>
      <w:r w:rsidRPr="00B53A5A">
        <w:rPr>
          <w:rFonts w:ascii="Times New Roman" w:eastAsia="Times New Roman" w:hAnsi="Times New Roman"/>
        </w:rPr>
        <w:t>Durham and Cleveland, representing a large geographical area</w:t>
      </w:r>
      <w:r w:rsidR="00FE1AB2">
        <w:rPr>
          <w:rFonts w:ascii="Times New Roman" w:eastAsia="Times New Roman" w:hAnsi="Times New Roman"/>
        </w:rPr>
        <w:t xml:space="preserve"> covering the North East of England</w:t>
      </w:r>
      <w:r w:rsidRPr="00B53A5A">
        <w:rPr>
          <w:rFonts w:ascii="Times New Roman" w:eastAsia="Times New Roman" w:hAnsi="Times New Roman"/>
        </w:rPr>
        <w:t>. Limiting the fieldwork observation to one ET venue did place limitations on the extent to which generalisation across England and Wales are possible. The fieldwork observation in the Newcastle upon Tyne ET may not necessarily be representative of other ETs.</w:t>
      </w:r>
      <w:r w:rsidRPr="00B53A5A">
        <w:rPr>
          <w:rFonts w:ascii="Times New Roman" w:eastAsia="Times New Roman" w:hAnsi="Times New Roman" w:cs="Times New Roman"/>
        </w:rPr>
        <w:t xml:space="preserve"> However, the fieldwork observation is combined with a qualitative analysis of a wider research sample of ET published judgments to include direct age discrimination in ET cases across England and Wales</w:t>
      </w:r>
      <w:r w:rsidR="00FE1AB2">
        <w:rPr>
          <w:rFonts w:ascii="Times New Roman" w:eastAsia="Times New Roman" w:hAnsi="Times New Roman" w:cs="Times New Roman"/>
        </w:rPr>
        <w:t>, and therefore</w:t>
      </w:r>
      <w:r w:rsidR="00965727">
        <w:rPr>
          <w:rFonts w:ascii="Times New Roman" w:eastAsia="Times New Roman" w:hAnsi="Times New Roman" w:cs="Times New Roman"/>
        </w:rPr>
        <w:t xml:space="preserve"> the findings are reliable.</w:t>
      </w:r>
      <w:r w:rsidR="00FE1AB2">
        <w:rPr>
          <w:rFonts w:ascii="Times New Roman" w:eastAsia="Times New Roman" w:hAnsi="Times New Roman" w:cs="Times New Roman"/>
        </w:rPr>
        <w:t xml:space="preserve"> </w:t>
      </w:r>
      <w:r w:rsidRPr="00B53A5A">
        <w:rPr>
          <w:rFonts w:ascii="Times New Roman" w:eastAsia="Times New Roman" w:hAnsi="Times New Roman" w:cs="Times New Roman"/>
        </w:rPr>
        <w:t xml:space="preserve"> </w:t>
      </w:r>
    </w:p>
    <w:p w14:paraId="26DE8FCE" w14:textId="0AC2AB95" w:rsidR="00DC5548" w:rsidRPr="00B53A5A" w:rsidRDefault="00DC5548" w:rsidP="00374B26">
      <w:pPr>
        <w:spacing w:after="0" w:line="240" w:lineRule="auto"/>
        <w:ind w:firstLine="720"/>
        <w:jc w:val="both"/>
        <w:rPr>
          <w:rFonts w:ascii="Times New Roman" w:eastAsia="Times New Roman" w:hAnsi="Times New Roman" w:cs="Times New Roman"/>
        </w:rPr>
      </w:pPr>
      <w:r w:rsidRPr="00B53A5A">
        <w:rPr>
          <w:rFonts w:ascii="Times New Roman" w:eastAsia="Times New Roman" w:hAnsi="Times New Roman" w:cs="Times New Roman"/>
        </w:rPr>
        <w:t xml:space="preserve">During the </w:t>
      </w:r>
      <w:r w:rsidR="0039131C">
        <w:rPr>
          <w:rFonts w:ascii="Times New Roman" w:eastAsia="Times New Roman" w:hAnsi="Times New Roman" w:cs="Times New Roman"/>
        </w:rPr>
        <w:t>fieldwork research</w:t>
      </w:r>
      <w:r w:rsidRPr="00B53A5A">
        <w:rPr>
          <w:rFonts w:ascii="Times New Roman" w:eastAsia="Times New Roman" w:hAnsi="Times New Roman" w:cs="Times New Roman"/>
        </w:rPr>
        <w:t xml:space="preserve"> the clerk of the Newcastle upon Tyne ET assisted by providing each week </w:t>
      </w:r>
      <w:r w:rsidR="00795234" w:rsidRPr="00B53A5A">
        <w:rPr>
          <w:rFonts w:ascii="Times New Roman" w:eastAsia="Times New Roman" w:hAnsi="Times New Roman" w:cs="Times New Roman"/>
        </w:rPr>
        <w:t xml:space="preserve">details </w:t>
      </w:r>
      <w:r w:rsidRPr="00B53A5A">
        <w:rPr>
          <w:rFonts w:ascii="Times New Roman" w:eastAsia="Times New Roman" w:hAnsi="Times New Roman" w:cs="Times New Roman"/>
        </w:rPr>
        <w:t xml:space="preserve">of the direct age discrimination claims which were </w:t>
      </w:r>
      <w:r w:rsidR="00965727">
        <w:rPr>
          <w:rFonts w:ascii="Times New Roman" w:eastAsia="Times New Roman" w:hAnsi="Times New Roman" w:cs="Times New Roman"/>
        </w:rPr>
        <w:t>scheduled to be</w:t>
      </w:r>
      <w:r w:rsidRPr="00B53A5A">
        <w:rPr>
          <w:rFonts w:ascii="Times New Roman" w:eastAsia="Times New Roman" w:hAnsi="Times New Roman" w:cs="Times New Roman"/>
        </w:rPr>
        <w:t xml:space="preserve"> heard. A total of </w:t>
      </w:r>
      <w:r>
        <w:rPr>
          <w:rFonts w:ascii="Times New Roman" w:eastAsia="Times New Roman" w:hAnsi="Times New Roman" w:cs="Times New Roman"/>
        </w:rPr>
        <w:t xml:space="preserve">5 cases were observed during this period. </w:t>
      </w:r>
      <w:r w:rsidRPr="00B53A5A">
        <w:rPr>
          <w:rFonts w:ascii="Times New Roman" w:eastAsia="Times New Roman" w:hAnsi="Times New Roman" w:cs="Times New Roman"/>
        </w:rPr>
        <w:t xml:space="preserve">To promote consistency in recording </w:t>
      </w:r>
      <w:r w:rsidR="00DF1629">
        <w:rPr>
          <w:rFonts w:ascii="Times New Roman" w:eastAsia="Times New Roman" w:hAnsi="Times New Roman" w:cs="Times New Roman"/>
        </w:rPr>
        <w:t xml:space="preserve">the evidence </w:t>
      </w:r>
      <w:r w:rsidRPr="00B53A5A">
        <w:rPr>
          <w:rFonts w:ascii="Times New Roman" w:eastAsia="Times New Roman" w:hAnsi="Times New Roman" w:cs="Times New Roman"/>
        </w:rPr>
        <w:t>extensive shorthand notes were taken</w:t>
      </w:r>
      <w:r w:rsidR="002C20C7">
        <w:rPr>
          <w:rFonts w:ascii="Times New Roman" w:eastAsia="Times New Roman" w:hAnsi="Times New Roman" w:cs="Times New Roman"/>
        </w:rPr>
        <w:t xml:space="preserve"> during each ET hearing</w:t>
      </w:r>
      <w:r w:rsidR="00E91822">
        <w:rPr>
          <w:rFonts w:ascii="Times New Roman" w:eastAsia="Times New Roman" w:hAnsi="Times New Roman" w:cs="Times New Roman"/>
        </w:rPr>
        <w:t xml:space="preserve"> (</w:t>
      </w:r>
      <w:r w:rsidR="00F32BC3">
        <w:rPr>
          <w:rFonts w:ascii="Times New Roman" w:eastAsia="Times New Roman" w:hAnsi="Times New Roman" w:cs="Times New Roman"/>
        </w:rPr>
        <w:t>Emerson et al, 2011)</w:t>
      </w:r>
      <w:r w:rsidRPr="00B53A5A">
        <w:rPr>
          <w:rFonts w:ascii="Times New Roman" w:eastAsia="Times New Roman" w:hAnsi="Times New Roman" w:cs="Times New Roman"/>
        </w:rPr>
        <w:t xml:space="preserve">. </w:t>
      </w:r>
      <w:r w:rsidR="00B91541">
        <w:rPr>
          <w:rFonts w:ascii="Times New Roman" w:eastAsia="Times New Roman" w:hAnsi="Times New Roman" w:cs="Times New Roman"/>
        </w:rPr>
        <w:t>This notetaking technique was</w:t>
      </w:r>
      <w:r w:rsidR="00F32BC3">
        <w:rPr>
          <w:rFonts w:ascii="Times New Roman" w:eastAsia="Times New Roman" w:hAnsi="Times New Roman" w:cs="Times New Roman"/>
        </w:rPr>
        <w:t xml:space="preserve"> also considered</w:t>
      </w:r>
      <w:r w:rsidR="00B91541">
        <w:rPr>
          <w:rFonts w:ascii="Times New Roman" w:eastAsia="Times New Roman" w:hAnsi="Times New Roman" w:cs="Times New Roman"/>
        </w:rPr>
        <w:t xml:space="preserve"> </w:t>
      </w:r>
      <w:r w:rsidRPr="00B53A5A">
        <w:rPr>
          <w:rFonts w:ascii="Times New Roman" w:eastAsia="Times New Roman" w:hAnsi="Times New Roman" w:cs="Times New Roman"/>
        </w:rPr>
        <w:t xml:space="preserve">important </w:t>
      </w:r>
      <w:r w:rsidR="00F32BC3">
        <w:rPr>
          <w:rFonts w:ascii="Times New Roman" w:eastAsia="Times New Roman" w:hAnsi="Times New Roman" w:cs="Times New Roman"/>
        </w:rPr>
        <w:t xml:space="preserve">in order </w:t>
      </w:r>
      <w:r w:rsidRPr="00B53A5A">
        <w:rPr>
          <w:rFonts w:ascii="Times New Roman" w:eastAsia="Times New Roman" w:hAnsi="Times New Roman" w:cs="Times New Roman"/>
        </w:rPr>
        <w:t>to reduce any potential bias that fieldwork observation may bring to the research</w:t>
      </w:r>
      <w:r w:rsidR="00CD6421">
        <w:rPr>
          <w:rFonts w:ascii="Times New Roman" w:eastAsia="Times New Roman" w:hAnsi="Times New Roman" w:cs="Times New Roman"/>
        </w:rPr>
        <w:t>.</w:t>
      </w:r>
      <w:r w:rsidR="00D1488F">
        <w:rPr>
          <w:rFonts w:ascii="Times New Roman" w:eastAsia="Times New Roman" w:hAnsi="Times New Roman" w:cs="Times New Roman"/>
        </w:rPr>
        <w:t xml:space="preserve"> </w:t>
      </w:r>
      <w:r w:rsidRPr="00B53A5A">
        <w:rPr>
          <w:rFonts w:ascii="Times New Roman" w:eastAsia="Times New Roman" w:hAnsi="Times New Roman" w:cs="Times New Roman"/>
        </w:rPr>
        <w:t xml:space="preserve">Not taking a selective note of the evidence allowed a deeper and more objective analysis of the fieldwork evidence. </w:t>
      </w:r>
    </w:p>
    <w:p w14:paraId="7BD52716" w14:textId="6324FD23" w:rsidR="0002098B" w:rsidRPr="00B53A5A" w:rsidRDefault="00B91541" w:rsidP="00965727">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F</w:t>
      </w:r>
      <w:r w:rsidR="00DC5548" w:rsidRPr="00B53A5A">
        <w:rPr>
          <w:rFonts w:ascii="Times New Roman" w:eastAsia="Times New Roman" w:hAnsi="Times New Roman" w:cs="Times New Roman"/>
        </w:rPr>
        <w:t xml:space="preserve">ieldwork observation </w:t>
      </w:r>
      <w:r>
        <w:rPr>
          <w:rFonts w:ascii="Times New Roman" w:eastAsia="Times New Roman" w:hAnsi="Times New Roman" w:cs="Times New Roman"/>
        </w:rPr>
        <w:t xml:space="preserve">had the </w:t>
      </w:r>
      <w:r w:rsidR="00DC5548" w:rsidRPr="00B53A5A">
        <w:rPr>
          <w:rFonts w:ascii="Times New Roman" w:eastAsia="Times New Roman" w:hAnsi="Times New Roman" w:cs="Times New Roman"/>
        </w:rPr>
        <w:t xml:space="preserve">added benefit </w:t>
      </w:r>
      <w:r>
        <w:rPr>
          <w:rFonts w:ascii="Times New Roman" w:eastAsia="Times New Roman" w:hAnsi="Times New Roman" w:cs="Times New Roman"/>
        </w:rPr>
        <w:t xml:space="preserve">of hearing </w:t>
      </w:r>
      <w:r w:rsidR="00DC5548" w:rsidRPr="00B53A5A">
        <w:rPr>
          <w:rFonts w:ascii="Times New Roman" w:eastAsia="Times New Roman" w:hAnsi="Times New Roman" w:cs="Times New Roman"/>
        </w:rPr>
        <w:t>witness evidence in full</w:t>
      </w:r>
      <w:r w:rsidR="00794A4C">
        <w:rPr>
          <w:rFonts w:ascii="Times New Roman" w:eastAsia="Times New Roman" w:hAnsi="Times New Roman" w:cs="Times New Roman"/>
        </w:rPr>
        <w:t xml:space="preserve">. </w:t>
      </w:r>
      <w:r w:rsidR="00DC5548" w:rsidRPr="00B53A5A">
        <w:rPr>
          <w:rFonts w:ascii="Times New Roman" w:eastAsia="Times New Roman" w:hAnsi="Times New Roman" w:cs="Times New Roman"/>
        </w:rPr>
        <w:t xml:space="preserve">This meant that the witness’s evidence in chief, cross examination answers, </w:t>
      </w:r>
      <w:r w:rsidR="00CD6421">
        <w:rPr>
          <w:rFonts w:ascii="Times New Roman" w:eastAsia="Times New Roman" w:hAnsi="Times New Roman" w:cs="Times New Roman"/>
        </w:rPr>
        <w:t>responses</w:t>
      </w:r>
      <w:r w:rsidR="00CD6421" w:rsidRPr="00B53A5A">
        <w:rPr>
          <w:rFonts w:ascii="Times New Roman" w:eastAsia="Times New Roman" w:hAnsi="Times New Roman" w:cs="Times New Roman"/>
        </w:rPr>
        <w:t xml:space="preserve"> </w:t>
      </w:r>
      <w:r w:rsidR="00DC5548" w:rsidRPr="00B53A5A">
        <w:rPr>
          <w:rFonts w:ascii="Times New Roman" w:eastAsia="Times New Roman" w:hAnsi="Times New Roman" w:cs="Times New Roman"/>
        </w:rPr>
        <w:t xml:space="preserve">to questions from the ET panel and re-examination answers could all be observed. </w:t>
      </w:r>
      <w:r w:rsidR="00965727" w:rsidRPr="00B53A5A">
        <w:rPr>
          <w:rFonts w:ascii="Times New Roman" w:eastAsia="Times New Roman" w:hAnsi="Times New Roman" w:cs="Times New Roman"/>
          <w:lang w:val="en-US"/>
        </w:rPr>
        <w:t xml:space="preserve">During an ET hearing the witness evidence is given under oath and subject to cross examination by the other party’s representative and questioning by the ET panel to assess the accuracy of the evidence. This, in principle, would make it </w:t>
      </w:r>
      <w:r w:rsidR="00965727">
        <w:rPr>
          <w:rFonts w:ascii="Times New Roman" w:eastAsia="Times New Roman" w:hAnsi="Times New Roman" w:cs="Times New Roman"/>
          <w:lang w:val="en-US"/>
        </w:rPr>
        <w:t>very</w:t>
      </w:r>
      <w:r w:rsidR="00965727" w:rsidRPr="00B53A5A">
        <w:rPr>
          <w:rFonts w:ascii="Times New Roman" w:eastAsia="Times New Roman" w:hAnsi="Times New Roman" w:cs="Times New Roman"/>
          <w:lang w:val="en-US"/>
        </w:rPr>
        <w:t xml:space="preserve"> difficult for an employer </w:t>
      </w:r>
      <w:r w:rsidR="00700AB7">
        <w:rPr>
          <w:rFonts w:ascii="Times New Roman" w:eastAsia="Times New Roman" w:hAnsi="Times New Roman" w:cs="Times New Roman"/>
          <w:lang w:val="en-US"/>
        </w:rPr>
        <w:t xml:space="preserve">to </w:t>
      </w:r>
      <w:r w:rsidR="00965727" w:rsidRPr="00B53A5A">
        <w:rPr>
          <w:rFonts w:ascii="Times New Roman" w:eastAsia="Times New Roman" w:hAnsi="Times New Roman" w:cs="Times New Roman"/>
          <w:lang w:val="en-US"/>
        </w:rPr>
        <w:t xml:space="preserve">present a </w:t>
      </w:r>
      <w:r w:rsidR="00795234">
        <w:rPr>
          <w:rFonts w:ascii="Times New Roman" w:eastAsia="Times New Roman" w:hAnsi="Times New Roman" w:cs="Times New Roman"/>
          <w:lang w:val="en-US"/>
        </w:rPr>
        <w:t>more favourable</w:t>
      </w:r>
      <w:r w:rsidR="00965727" w:rsidRPr="00B53A5A">
        <w:rPr>
          <w:rFonts w:ascii="Times New Roman" w:eastAsia="Times New Roman" w:hAnsi="Times New Roman" w:cs="Times New Roman"/>
          <w:lang w:val="en-US"/>
        </w:rPr>
        <w:t xml:space="preserve"> picture of their actual view on older and younger workers/job applicants</w:t>
      </w:r>
      <w:r w:rsidR="00795234">
        <w:rPr>
          <w:rFonts w:ascii="Times New Roman" w:eastAsia="Times New Roman" w:hAnsi="Times New Roman" w:cs="Times New Roman"/>
          <w:lang w:val="en-US"/>
        </w:rPr>
        <w:t xml:space="preserve"> or fabricate their response to hide stereotypical views</w:t>
      </w:r>
      <w:r w:rsidR="00DF1629">
        <w:rPr>
          <w:rFonts w:ascii="Times New Roman" w:eastAsia="Times New Roman" w:hAnsi="Times New Roman" w:cs="Times New Roman"/>
          <w:lang w:val="en-US"/>
        </w:rPr>
        <w:t xml:space="preserve">. </w:t>
      </w:r>
      <w:r w:rsidR="00DC5548" w:rsidRPr="00B53A5A">
        <w:rPr>
          <w:rFonts w:ascii="Times New Roman" w:eastAsia="Times New Roman" w:hAnsi="Times New Roman" w:cs="Times New Roman"/>
        </w:rPr>
        <w:t xml:space="preserve">The witness may also refer to the employer’s policy or procedure and other key documents within the ET bundle of documents, allowing for the observation of both the questioning and the evidence relating to the documents. The value of fieldwork observation </w:t>
      </w:r>
      <w:r w:rsidR="00795234">
        <w:rPr>
          <w:rFonts w:ascii="Times New Roman" w:eastAsia="Times New Roman" w:hAnsi="Times New Roman" w:cs="Times New Roman"/>
        </w:rPr>
        <w:t>was</w:t>
      </w:r>
      <w:r w:rsidR="00DC5548" w:rsidRPr="00B53A5A">
        <w:rPr>
          <w:rFonts w:ascii="Times New Roman" w:eastAsia="Times New Roman" w:hAnsi="Times New Roman" w:cs="Times New Roman"/>
        </w:rPr>
        <w:t xml:space="preserve"> also the level of detail that </w:t>
      </w:r>
      <w:r w:rsidR="00700AB7">
        <w:rPr>
          <w:rFonts w:ascii="Times New Roman" w:eastAsia="Times New Roman" w:hAnsi="Times New Roman" w:cs="Times New Roman"/>
        </w:rPr>
        <w:t>it</w:t>
      </w:r>
      <w:r w:rsidR="00DC5548" w:rsidRPr="00B53A5A">
        <w:rPr>
          <w:rFonts w:ascii="Times New Roman" w:eastAsia="Times New Roman" w:hAnsi="Times New Roman" w:cs="Times New Roman"/>
        </w:rPr>
        <w:t xml:space="preserve"> would bring. Although an ET judgment is considered to be </w:t>
      </w:r>
      <w:r w:rsidR="00DC5548" w:rsidRPr="00B53A5A">
        <w:rPr>
          <w:rFonts w:ascii="Times New Roman" w:eastAsia="Times New Roman" w:hAnsi="Times New Roman" w:cs="Times New Roman"/>
          <w:i/>
        </w:rPr>
        <w:t>'often rich in detail about individual cases'</w:t>
      </w:r>
      <w:r w:rsidR="00DC5548">
        <w:rPr>
          <w:rFonts w:ascii="Times New Roman" w:eastAsia="Times New Roman" w:hAnsi="Times New Roman" w:cs="Times New Roman"/>
          <w:i/>
        </w:rPr>
        <w:t xml:space="preserve"> </w:t>
      </w:r>
      <w:r w:rsidR="005F1F16">
        <w:rPr>
          <w:rFonts w:ascii="Times New Roman" w:eastAsia="Times New Roman" w:hAnsi="Times New Roman" w:cs="Times New Roman"/>
        </w:rPr>
        <w:t>(Lockwood, 2008 p320)</w:t>
      </w:r>
      <w:r w:rsidR="00835FA3">
        <w:rPr>
          <w:rFonts w:ascii="Times New Roman" w:eastAsia="Times New Roman" w:hAnsi="Times New Roman" w:cs="Times New Roman"/>
        </w:rPr>
        <w:t>,</w:t>
      </w:r>
      <w:r w:rsidR="00DC5548" w:rsidRPr="00B53A5A">
        <w:rPr>
          <w:rFonts w:ascii="Times New Roman" w:eastAsia="Times New Roman" w:hAnsi="Times New Roman" w:cs="Times New Roman"/>
        </w:rPr>
        <w:t xml:space="preserve"> </w:t>
      </w:r>
      <w:r w:rsidR="00795234">
        <w:rPr>
          <w:rFonts w:ascii="Times New Roman" w:eastAsia="Times New Roman" w:hAnsi="Times New Roman" w:cs="Times New Roman"/>
        </w:rPr>
        <w:t>it does not include</w:t>
      </w:r>
      <w:r w:rsidR="00DC5548" w:rsidRPr="00B53A5A">
        <w:rPr>
          <w:rFonts w:ascii="Times New Roman" w:eastAsia="Times New Roman" w:hAnsi="Times New Roman" w:cs="Times New Roman"/>
        </w:rPr>
        <w:t xml:space="preserve"> everything that is said during an ET hearing.</w:t>
      </w:r>
    </w:p>
    <w:p w14:paraId="3B4974CC" w14:textId="77777777" w:rsidR="00DC5548" w:rsidRPr="00B53A5A" w:rsidRDefault="00DC5548" w:rsidP="0002098B">
      <w:pPr>
        <w:spacing w:after="0" w:line="240" w:lineRule="auto"/>
        <w:jc w:val="both"/>
        <w:rPr>
          <w:rFonts w:ascii="Times New Roman" w:hAnsi="Times New Roman" w:cs="Times New Roman"/>
          <w:b/>
        </w:rPr>
      </w:pPr>
      <w:r w:rsidRPr="00B53A5A">
        <w:rPr>
          <w:rFonts w:ascii="Times New Roman" w:hAnsi="Times New Roman" w:cs="Times New Roman"/>
          <w:b/>
        </w:rPr>
        <w:t xml:space="preserve">Age stereotyping - main research findings </w:t>
      </w:r>
    </w:p>
    <w:p w14:paraId="0C128F0E" w14:textId="678A65DD" w:rsidR="00DC5548" w:rsidRDefault="00DC5548" w:rsidP="0002098B">
      <w:pPr>
        <w:spacing w:after="0" w:line="240" w:lineRule="auto"/>
        <w:jc w:val="both"/>
        <w:rPr>
          <w:rFonts w:ascii="Times New Roman" w:hAnsi="Times New Roman" w:cs="Times New Roman"/>
        </w:rPr>
      </w:pPr>
      <w:r w:rsidRPr="00B53A5A">
        <w:rPr>
          <w:rFonts w:ascii="Times New Roman" w:hAnsi="Times New Roman" w:cs="Times New Roman"/>
        </w:rPr>
        <w:t>The decisions demonstrate to employers</w:t>
      </w:r>
      <w:r w:rsidR="00965727">
        <w:rPr>
          <w:rFonts w:ascii="Times New Roman" w:hAnsi="Times New Roman" w:cs="Times New Roman"/>
        </w:rPr>
        <w:t>,</w:t>
      </w:r>
      <w:r w:rsidR="00000DB2">
        <w:rPr>
          <w:rFonts w:ascii="Times New Roman" w:hAnsi="Times New Roman" w:cs="Times New Roman"/>
        </w:rPr>
        <w:t xml:space="preserve"> </w:t>
      </w:r>
      <w:r w:rsidRPr="00B53A5A">
        <w:rPr>
          <w:rFonts w:ascii="Times New Roman" w:hAnsi="Times New Roman" w:cs="Times New Roman"/>
        </w:rPr>
        <w:t xml:space="preserve">management </w:t>
      </w:r>
      <w:r w:rsidR="00965727">
        <w:rPr>
          <w:rFonts w:ascii="Times New Roman" w:hAnsi="Times New Roman" w:cs="Times New Roman"/>
        </w:rPr>
        <w:t xml:space="preserve">and other stakeholders </w:t>
      </w:r>
      <w:r>
        <w:rPr>
          <w:rFonts w:ascii="Times New Roman" w:hAnsi="Times New Roman" w:cs="Times New Roman"/>
        </w:rPr>
        <w:t xml:space="preserve">the </w:t>
      </w:r>
      <w:r w:rsidRPr="00B53A5A">
        <w:rPr>
          <w:rFonts w:ascii="Times New Roman" w:hAnsi="Times New Roman" w:cs="Times New Roman"/>
        </w:rPr>
        <w:t xml:space="preserve">range of circumstances in which stereotypical assumptions can manifest in the workplace and how crucial it is to proactively challenge age stereotyping. Although ET cases themselves probably </w:t>
      </w:r>
      <w:r w:rsidR="00F11E04" w:rsidRPr="00B53A5A">
        <w:rPr>
          <w:rFonts w:ascii="Times New Roman" w:hAnsi="Times New Roman" w:cs="Times New Roman"/>
        </w:rPr>
        <w:t>represent ‘</w:t>
      </w:r>
      <w:r w:rsidRPr="00B53A5A">
        <w:rPr>
          <w:rFonts w:ascii="Times New Roman" w:hAnsi="Times New Roman" w:cs="Times New Roman"/>
          <w:i/>
        </w:rPr>
        <w:t>the tip of the iceberg'</w:t>
      </w:r>
      <w:r>
        <w:rPr>
          <w:rFonts w:ascii="Times New Roman" w:hAnsi="Times New Roman" w:cs="Times New Roman"/>
          <w:i/>
        </w:rPr>
        <w:t xml:space="preserve"> </w:t>
      </w:r>
      <w:r w:rsidR="005F1F16">
        <w:rPr>
          <w:rFonts w:ascii="Times New Roman" w:hAnsi="Times New Roman" w:cs="Times New Roman"/>
        </w:rPr>
        <w:t>(Macnicol, 2005 p</w:t>
      </w:r>
      <w:r w:rsidR="0039131C">
        <w:rPr>
          <w:rFonts w:ascii="Times New Roman" w:hAnsi="Times New Roman" w:cs="Times New Roman"/>
        </w:rPr>
        <w:t>257</w:t>
      </w:r>
      <w:r w:rsidR="005F1F16">
        <w:rPr>
          <w:rFonts w:ascii="Times New Roman" w:hAnsi="Times New Roman" w:cs="Times New Roman"/>
        </w:rPr>
        <w:t>)</w:t>
      </w:r>
      <w:r w:rsidRPr="00B53A5A">
        <w:rPr>
          <w:rFonts w:ascii="Times New Roman" w:hAnsi="Times New Roman" w:cs="Times New Roman"/>
        </w:rPr>
        <w:t xml:space="preserve"> they nevertheless </w:t>
      </w:r>
      <w:r w:rsidR="00965727">
        <w:rPr>
          <w:rFonts w:ascii="Times New Roman" w:hAnsi="Times New Roman" w:cs="Times New Roman"/>
        </w:rPr>
        <w:t>reveal</w:t>
      </w:r>
      <w:r w:rsidRPr="00B53A5A">
        <w:rPr>
          <w:rFonts w:ascii="Times New Roman" w:hAnsi="Times New Roman" w:cs="Times New Roman"/>
        </w:rPr>
        <w:t xml:space="preserve"> the nature and existence of stereotyping in the context of ET claims. The decisions are also helpful in determining the types of action and inaction which constitute unlawful age stereotyping </w:t>
      </w:r>
      <w:r>
        <w:rPr>
          <w:rFonts w:ascii="Times New Roman" w:hAnsi="Times New Roman" w:cs="Times New Roman"/>
        </w:rPr>
        <w:t xml:space="preserve">under the Equality Act 2010 </w:t>
      </w:r>
      <w:r w:rsidRPr="00B53A5A">
        <w:rPr>
          <w:rFonts w:ascii="Times New Roman" w:hAnsi="Times New Roman" w:cs="Times New Roman"/>
        </w:rPr>
        <w:t xml:space="preserve">and in turn, what employers might do to prevent falling foul of the legislation. An analysis of the cases reveals the legal basis on which a claimant may proceed and </w:t>
      </w:r>
      <w:r w:rsidR="00CD6421">
        <w:rPr>
          <w:rFonts w:ascii="Times New Roman" w:hAnsi="Times New Roman" w:cs="Times New Roman"/>
        </w:rPr>
        <w:t xml:space="preserve">the </w:t>
      </w:r>
      <w:r w:rsidRPr="00B53A5A">
        <w:rPr>
          <w:rFonts w:ascii="Times New Roman" w:hAnsi="Times New Roman" w:cs="Times New Roman"/>
        </w:rPr>
        <w:t xml:space="preserve">ways in which employers can protect themselves from litigation. </w:t>
      </w:r>
      <w:r>
        <w:rPr>
          <w:rFonts w:ascii="Times New Roman" w:hAnsi="Times New Roman" w:cs="Times New Roman"/>
        </w:rPr>
        <w:t>The decisions also demonstrate the extent to which, if at all, the ETs and the courts are tackling age stereotyping in their judgments and</w:t>
      </w:r>
      <w:r w:rsidR="0039131C">
        <w:rPr>
          <w:rFonts w:ascii="Times New Roman" w:hAnsi="Times New Roman" w:cs="Times New Roman"/>
        </w:rPr>
        <w:t xml:space="preserve"> in the</w:t>
      </w:r>
      <w:r>
        <w:rPr>
          <w:rFonts w:ascii="Times New Roman" w:hAnsi="Times New Roman" w:cs="Times New Roman"/>
        </w:rPr>
        <w:t xml:space="preserve"> questioning of witnesses. </w:t>
      </w:r>
    </w:p>
    <w:p w14:paraId="3F06B080" w14:textId="77777777" w:rsidR="0002098B" w:rsidRPr="00B53A5A" w:rsidRDefault="0002098B" w:rsidP="0002098B">
      <w:pPr>
        <w:spacing w:after="0" w:line="240" w:lineRule="auto"/>
        <w:jc w:val="both"/>
        <w:rPr>
          <w:rFonts w:ascii="Times New Roman" w:hAnsi="Times New Roman" w:cs="Times New Roman"/>
        </w:rPr>
      </w:pPr>
    </w:p>
    <w:p w14:paraId="7EAE02FA" w14:textId="77777777" w:rsidR="00DC5548" w:rsidRPr="00B53A5A" w:rsidRDefault="00DC5548" w:rsidP="00374B26">
      <w:pPr>
        <w:spacing w:line="240" w:lineRule="auto"/>
        <w:contextualSpacing/>
        <w:jc w:val="both"/>
        <w:rPr>
          <w:rFonts w:ascii="Times New Roman" w:hAnsi="Times New Roman" w:cs="Times New Roman"/>
          <w:i/>
        </w:rPr>
      </w:pPr>
      <w:r w:rsidRPr="00B53A5A">
        <w:rPr>
          <w:rFonts w:ascii="Times New Roman" w:hAnsi="Times New Roman" w:cs="Times New Roman"/>
          <w:i/>
        </w:rPr>
        <w:t xml:space="preserve">Age stereotyping in the context of ET Claims </w:t>
      </w:r>
    </w:p>
    <w:p w14:paraId="74B520E9" w14:textId="13F6C77B" w:rsidR="00DC5548" w:rsidRDefault="00DC5548" w:rsidP="00374B26">
      <w:pPr>
        <w:spacing w:after="0" w:line="240" w:lineRule="auto"/>
        <w:contextualSpacing/>
        <w:jc w:val="both"/>
        <w:rPr>
          <w:rFonts w:ascii="Times New Roman" w:hAnsi="Times New Roman" w:cs="Times New Roman"/>
        </w:rPr>
      </w:pPr>
      <w:r w:rsidRPr="00B53A5A">
        <w:rPr>
          <w:rFonts w:ascii="Times New Roman" w:hAnsi="Times New Roman" w:cs="Times New Roman"/>
        </w:rPr>
        <w:t xml:space="preserve">Stereotypical assumptions by employers were apparent in the research sample, </w:t>
      </w:r>
      <w:r w:rsidR="0039131C">
        <w:rPr>
          <w:rFonts w:ascii="Times New Roman" w:hAnsi="Times New Roman" w:cs="Times New Roman"/>
        </w:rPr>
        <w:t>particularly in the early cases but less so in the later cases.  T</w:t>
      </w:r>
      <w:r w:rsidRPr="00B53A5A">
        <w:rPr>
          <w:rFonts w:ascii="Times New Roman" w:hAnsi="Times New Roman" w:cs="Times New Roman"/>
        </w:rPr>
        <w:t xml:space="preserve">he most notable stereotype </w:t>
      </w:r>
      <w:r w:rsidR="0039131C">
        <w:rPr>
          <w:rFonts w:ascii="Times New Roman" w:hAnsi="Times New Roman" w:cs="Times New Roman"/>
        </w:rPr>
        <w:t>was</w:t>
      </w:r>
      <w:r w:rsidRPr="00B53A5A">
        <w:rPr>
          <w:rFonts w:ascii="Times New Roman" w:hAnsi="Times New Roman" w:cs="Times New Roman"/>
        </w:rPr>
        <w:t xml:space="preserve"> that older workers cannot do the role by reason of physical or mental decline. This supports earlier studies (Taylor and Walker</w:t>
      </w:r>
      <w:r w:rsidR="0039131C">
        <w:rPr>
          <w:rFonts w:ascii="Times New Roman" w:hAnsi="Times New Roman" w:cs="Times New Roman"/>
        </w:rPr>
        <w:t>,</w:t>
      </w:r>
      <w:r w:rsidRPr="00B53A5A">
        <w:rPr>
          <w:rFonts w:ascii="Times New Roman" w:hAnsi="Times New Roman" w:cs="Times New Roman"/>
        </w:rPr>
        <w:t xml:space="preserve"> 1994) which suggested that the most prevalent negative stereotype held by employers was that older workers cannot do heavy physical work. A theme throughout</w:t>
      </w:r>
      <w:r>
        <w:rPr>
          <w:rFonts w:ascii="Times New Roman" w:hAnsi="Times New Roman" w:cs="Times New Roman"/>
        </w:rPr>
        <w:t>, particularly in the early cases,</w:t>
      </w:r>
      <w:r w:rsidRPr="00B53A5A">
        <w:rPr>
          <w:rFonts w:ascii="Times New Roman" w:hAnsi="Times New Roman" w:cs="Times New Roman"/>
        </w:rPr>
        <w:t xml:space="preserve"> was the absence of any attempt by the employers to obtain evidence to s</w:t>
      </w:r>
      <w:r>
        <w:rPr>
          <w:rFonts w:ascii="Times New Roman" w:hAnsi="Times New Roman" w:cs="Times New Roman"/>
        </w:rPr>
        <w:t>upport the conclusion that the c</w:t>
      </w:r>
      <w:r w:rsidRPr="00B53A5A">
        <w:rPr>
          <w:rFonts w:ascii="Times New Roman" w:hAnsi="Times New Roman" w:cs="Times New Roman"/>
        </w:rPr>
        <w:t>laimant could no longer perform the role and assumed the physical or mental decline solely by age</w:t>
      </w:r>
      <w:r w:rsidR="00835FA3">
        <w:rPr>
          <w:rFonts w:ascii="Times New Roman" w:hAnsi="Times New Roman" w:cs="Times New Roman"/>
        </w:rPr>
        <w:t>.</w:t>
      </w:r>
      <w:r w:rsidR="00DF1629">
        <w:rPr>
          <w:rFonts w:ascii="Times New Roman" w:hAnsi="Times New Roman" w:cs="Times New Roman"/>
        </w:rPr>
        <w:t xml:space="preserve"> </w:t>
      </w:r>
      <w:r w:rsidRPr="00B53A5A">
        <w:rPr>
          <w:rFonts w:ascii="Times New Roman" w:hAnsi="Times New Roman" w:cs="Times New Roman"/>
        </w:rPr>
        <w:t xml:space="preserve">  For example in </w:t>
      </w:r>
      <w:r w:rsidRPr="00B53A5A">
        <w:rPr>
          <w:rFonts w:ascii="Times New Roman" w:eastAsia="Calibri" w:hAnsi="Times New Roman" w:cs="Times New Roman"/>
          <w:i/>
        </w:rPr>
        <w:t>Hibbert v West End Working Mens Club &amp; Institute</w:t>
      </w:r>
      <w:r w:rsidR="005F1F16">
        <w:rPr>
          <w:rFonts w:ascii="Times New Roman" w:eastAsia="Calibri" w:hAnsi="Times New Roman" w:cs="Times New Roman"/>
        </w:rPr>
        <w:t>[6</w:t>
      </w:r>
      <w:r>
        <w:rPr>
          <w:rFonts w:ascii="Times New Roman" w:eastAsia="Calibri" w:hAnsi="Times New Roman" w:cs="Times New Roman"/>
        </w:rPr>
        <w:t>]</w:t>
      </w:r>
      <w:r w:rsidRPr="00B53A5A">
        <w:rPr>
          <w:rFonts w:ascii="Times New Roman" w:eastAsia="Calibri" w:hAnsi="Times New Roman" w:cs="Times New Roman"/>
        </w:rPr>
        <w:t xml:space="preserve"> and </w:t>
      </w:r>
      <w:r w:rsidRPr="00B53A5A">
        <w:rPr>
          <w:rFonts w:ascii="Times New Roman" w:eastAsia="Calibri" w:hAnsi="Times New Roman" w:cs="Times New Roman"/>
          <w:i/>
        </w:rPr>
        <w:t>Martin v SS Photay and Associates</w:t>
      </w:r>
      <w:r w:rsidR="005F1F16">
        <w:rPr>
          <w:rFonts w:ascii="Times New Roman" w:eastAsia="Calibri" w:hAnsi="Times New Roman" w:cs="Times New Roman"/>
        </w:rPr>
        <w:t>[7</w:t>
      </w:r>
      <w:r>
        <w:rPr>
          <w:rFonts w:ascii="Times New Roman" w:eastAsia="Calibri" w:hAnsi="Times New Roman" w:cs="Times New Roman"/>
        </w:rPr>
        <w:t>]</w:t>
      </w:r>
      <w:r w:rsidRPr="00B53A5A">
        <w:rPr>
          <w:rFonts w:ascii="Times New Roman" w:eastAsia="Calibri" w:hAnsi="Times New Roman" w:cs="Times New Roman"/>
        </w:rPr>
        <w:t xml:space="preserve"> </w:t>
      </w:r>
      <w:r>
        <w:rPr>
          <w:rFonts w:ascii="Times New Roman" w:eastAsia="Calibri" w:hAnsi="Times New Roman" w:cs="Times New Roman"/>
        </w:rPr>
        <w:t>the c</w:t>
      </w:r>
      <w:r w:rsidRPr="00B53A5A">
        <w:rPr>
          <w:rFonts w:ascii="Times New Roman" w:eastAsia="Calibri" w:hAnsi="Times New Roman" w:cs="Times New Roman"/>
        </w:rPr>
        <w:t>laimants were aged 64 and 70 years respectively and were both informed that they were to be dismissed from their roles because of a perceived increased risk to health and safety linked to their age.</w:t>
      </w:r>
      <w:r w:rsidRPr="00B53A5A">
        <w:rPr>
          <w:rFonts w:ascii="Times New Roman" w:hAnsi="Times New Roman" w:cs="Times New Roman"/>
        </w:rPr>
        <w:t xml:space="preserve"> </w:t>
      </w:r>
      <w:r w:rsidRPr="00B53A5A">
        <w:rPr>
          <w:rFonts w:ascii="Times New Roman" w:eastAsia="Calibri" w:hAnsi="Times New Roman" w:cs="Times New Roman"/>
        </w:rPr>
        <w:t>In</w:t>
      </w:r>
      <w:r w:rsidRPr="00B53A5A">
        <w:rPr>
          <w:rFonts w:ascii="Times New Roman" w:hAnsi="Times New Roman" w:cs="Times New Roman"/>
        </w:rPr>
        <w:t xml:space="preserve">  </w:t>
      </w:r>
      <w:r w:rsidRPr="00B53A5A">
        <w:rPr>
          <w:rFonts w:ascii="Times New Roman" w:eastAsia="Calibri" w:hAnsi="Times New Roman" w:cs="Times New Roman"/>
          <w:i/>
        </w:rPr>
        <w:t>Kerr v (1) O’Hara Brothers Surfacing Limited (2) Mr O’Hara</w:t>
      </w:r>
      <w:r w:rsidR="005F1F16">
        <w:rPr>
          <w:rFonts w:ascii="Times New Roman" w:eastAsia="Calibri" w:hAnsi="Times New Roman" w:cs="Times New Roman"/>
        </w:rPr>
        <w:t>[8</w:t>
      </w:r>
      <w:r>
        <w:rPr>
          <w:rFonts w:ascii="Times New Roman" w:eastAsia="Calibri" w:hAnsi="Times New Roman" w:cs="Times New Roman"/>
        </w:rPr>
        <w:t>]</w:t>
      </w:r>
      <w:r w:rsidRPr="00B53A5A">
        <w:rPr>
          <w:rFonts w:ascii="Times New Roman" w:eastAsia="Calibri" w:hAnsi="Times New Roman" w:cs="Times New Roman"/>
          <w:b/>
          <w:i/>
        </w:rPr>
        <w:t xml:space="preserve"> </w:t>
      </w:r>
      <w:r w:rsidRPr="00B53A5A">
        <w:rPr>
          <w:rFonts w:ascii="Times New Roman" w:hAnsi="Times New Roman" w:cs="Times New Roman"/>
        </w:rPr>
        <w:t xml:space="preserve">the </w:t>
      </w:r>
      <w:r w:rsidR="00965727">
        <w:rPr>
          <w:rFonts w:ascii="Times New Roman" w:hAnsi="Times New Roman" w:cs="Times New Roman"/>
        </w:rPr>
        <w:t>c</w:t>
      </w:r>
      <w:r w:rsidRPr="00B53A5A">
        <w:rPr>
          <w:rFonts w:ascii="Times New Roman" w:hAnsi="Times New Roman" w:cs="Times New Roman"/>
        </w:rPr>
        <w:t>laimant was, put simply,  ‘</w:t>
      </w:r>
      <w:r w:rsidRPr="00B53A5A">
        <w:rPr>
          <w:rFonts w:ascii="Times New Roman" w:hAnsi="Times New Roman" w:cs="Times New Roman"/>
          <w:i/>
        </w:rPr>
        <w:t>too ol</w:t>
      </w:r>
      <w:r w:rsidR="0039131C">
        <w:rPr>
          <w:rFonts w:ascii="Times New Roman" w:hAnsi="Times New Roman" w:cs="Times New Roman"/>
          <w:i/>
        </w:rPr>
        <w:t>d for that type of work</w:t>
      </w:r>
      <w:r w:rsidRPr="00B53A5A">
        <w:rPr>
          <w:rFonts w:ascii="Times New Roman" w:hAnsi="Times New Roman" w:cs="Times New Roman"/>
          <w:i/>
        </w:rPr>
        <w:t>’</w:t>
      </w:r>
      <w:r w:rsidR="005F1F16">
        <w:rPr>
          <w:rFonts w:ascii="Times New Roman" w:hAnsi="Times New Roman" w:cs="Times New Roman"/>
        </w:rPr>
        <w:t>[9</w:t>
      </w:r>
      <w:r>
        <w:rPr>
          <w:rFonts w:ascii="Times New Roman" w:hAnsi="Times New Roman" w:cs="Times New Roman"/>
        </w:rPr>
        <w:t>]</w:t>
      </w:r>
      <w:r w:rsidR="0039131C">
        <w:rPr>
          <w:rFonts w:ascii="Times New Roman" w:hAnsi="Times New Roman" w:cs="Times New Roman"/>
        </w:rPr>
        <w:t>.</w:t>
      </w:r>
    </w:p>
    <w:p w14:paraId="63BC80A8" w14:textId="6D01F409" w:rsidR="00374B26" w:rsidRDefault="00DC5548" w:rsidP="00374B26">
      <w:pPr>
        <w:spacing w:after="0" w:line="240" w:lineRule="auto"/>
        <w:ind w:firstLine="720"/>
        <w:contextualSpacing/>
        <w:jc w:val="both"/>
        <w:rPr>
          <w:rFonts w:ascii="Times New Roman" w:eastAsia="Calibri" w:hAnsi="Times New Roman" w:cs="Times New Roman"/>
        </w:rPr>
      </w:pPr>
      <w:r>
        <w:rPr>
          <w:rFonts w:ascii="Times New Roman" w:eastAsia="Calibri" w:hAnsi="Times New Roman" w:cs="Times New Roman"/>
        </w:rPr>
        <w:t xml:space="preserve">Another </w:t>
      </w:r>
      <w:r w:rsidRPr="003016F9">
        <w:rPr>
          <w:rFonts w:ascii="Times New Roman" w:eastAsia="Calibri" w:hAnsi="Times New Roman" w:cs="Times New Roman"/>
        </w:rPr>
        <w:t xml:space="preserve">stereotypical view </w:t>
      </w:r>
      <w:r w:rsidR="0096641D">
        <w:rPr>
          <w:rFonts w:ascii="Times New Roman" w:eastAsia="Calibri" w:hAnsi="Times New Roman" w:cs="Times New Roman"/>
        </w:rPr>
        <w:t xml:space="preserve">that </w:t>
      </w:r>
      <w:r w:rsidR="0039131C">
        <w:rPr>
          <w:rFonts w:ascii="Times New Roman" w:eastAsia="Calibri" w:hAnsi="Times New Roman" w:cs="Times New Roman"/>
        </w:rPr>
        <w:t>arose in</w:t>
      </w:r>
      <w:r w:rsidR="0096641D">
        <w:rPr>
          <w:rFonts w:ascii="Times New Roman" w:eastAsia="Calibri" w:hAnsi="Times New Roman" w:cs="Times New Roman"/>
        </w:rPr>
        <w:t xml:space="preserve"> the research sample wa</w:t>
      </w:r>
      <w:r w:rsidRPr="003016F9">
        <w:rPr>
          <w:rFonts w:ascii="Times New Roman" w:eastAsia="Calibri" w:hAnsi="Times New Roman" w:cs="Times New Roman"/>
        </w:rPr>
        <w:t xml:space="preserve">s that older workers are </w:t>
      </w:r>
      <w:r w:rsidR="00CB0442">
        <w:rPr>
          <w:rFonts w:ascii="Times New Roman" w:eastAsia="Calibri" w:hAnsi="Times New Roman" w:cs="Times New Roman"/>
        </w:rPr>
        <w:t>resistant to change</w:t>
      </w:r>
      <w:r w:rsidRPr="003016F9">
        <w:rPr>
          <w:rFonts w:ascii="Times New Roman" w:eastAsia="Calibri" w:hAnsi="Times New Roman" w:cs="Times New Roman"/>
        </w:rPr>
        <w:t xml:space="preserve">. </w:t>
      </w:r>
      <w:r w:rsidR="00236D0E">
        <w:rPr>
          <w:rFonts w:ascii="Times New Roman" w:eastAsia="Calibri" w:hAnsi="Times New Roman" w:cs="Times New Roman"/>
        </w:rPr>
        <w:t>T</w:t>
      </w:r>
      <w:r w:rsidR="0039131C">
        <w:rPr>
          <w:rFonts w:ascii="Times New Roman" w:eastAsia="Calibri" w:hAnsi="Times New Roman" w:cs="Times New Roman"/>
        </w:rPr>
        <w:t>his was apparent</w:t>
      </w:r>
      <w:r>
        <w:rPr>
          <w:rFonts w:ascii="Times New Roman" w:eastAsia="Calibri" w:hAnsi="Times New Roman" w:cs="Times New Roman"/>
        </w:rPr>
        <w:t xml:space="preserve"> where the employer made reference to senior workers being in their ‘</w:t>
      </w:r>
      <w:r w:rsidRPr="00B50028">
        <w:rPr>
          <w:rFonts w:ascii="Times New Roman" w:eastAsia="Calibri" w:hAnsi="Times New Roman" w:cs="Times New Roman"/>
          <w:i/>
        </w:rPr>
        <w:t>comfort zone</w:t>
      </w:r>
      <w:r w:rsidR="00CB0442">
        <w:rPr>
          <w:rFonts w:ascii="Times New Roman" w:eastAsia="Calibri" w:hAnsi="Times New Roman" w:cs="Times New Roman"/>
        </w:rPr>
        <w:t>’[10</w:t>
      </w:r>
      <w:r>
        <w:rPr>
          <w:rFonts w:ascii="Times New Roman" w:eastAsia="Calibri" w:hAnsi="Times New Roman" w:cs="Times New Roman"/>
        </w:rPr>
        <w:t>]</w:t>
      </w:r>
      <w:r w:rsidR="0039131C">
        <w:rPr>
          <w:rFonts w:ascii="Times New Roman" w:eastAsia="Calibri" w:hAnsi="Times New Roman" w:cs="Times New Roman"/>
        </w:rPr>
        <w:t>.</w:t>
      </w:r>
      <w:r w:rsidRPr="003016F9">
        <w:rPr>
          <w:rFonts w:ascii="Times New Roman" w:eastAsia="Calibri" w:hAnsi="Times New Roman" w:cs="Times New Roman"/>
        </w:rPr>
        <w:t xml:space="preserve"> </w:t>
      </w:r>
      <w:r>
        <w:rPr>
          <w:rFonts w:ascii="Times New Roman" w:eastAsia="Calibri" w:hAnsi="Times New Roman" w:cs="Times New Roman"/>
        </w:rPr>
        <w:t xml:space="preserve">The use of phrases such </w:t>
      </w:r>
      <w:r w:rsidRPr="003016F9">
        <w:rPr>
          <w:rFonts w:ascii="Times New Roman" w:eastAsia="Calibri" w:hAnsi="Times New Roman" w:cs="Times New Roman"/>
          <w:i/>
        </w:rPr>
        <w:t>‘going for a younger man’</w:t>
      </w:r>
      <w:r w:rsidR="00CB0442">
        <w:rPr>
          <w:rFonts w:ascii="Times New Roman" w:eastAsia="Calibri" w:hAnsi="Times New Roman" w:cs="Times New Roman"/>
        </w:rPr>
        <w:t>[11</w:t>
      </w:r>
      <w:r>
        <w:rPr>
          <w:rFonts w:ascii="Times New Roman" w:eastAsia="Calibri" w:hAnsi="Times New Roman" w:cs="Times New Roman"/>
        </w:rPr>
        <w:t>]</w:t>
      </w:r>
      <w:r w:rsidR="0039131C">
        <w:rPr>
          <w:rFonts w:ascii="Times New Roman" w:eastAsia="Calibri" w:hAnsi="Times New Roman" w:cs="Times New Roman"/>
        </w:rPr>
        <w:t>,</w:t>
      </w:r>
      <w:r w:rsidRPr="003016F9">
        <w:rPr>
          <w:rFonts w:ascii="Times New Roman" w:eastAsia="Calibri" w:hAnsi="Times New Roman" w:cs="Times New Roman"/>
          <w:i/>
        </w:rPr>
        <w:t xml:space="preserve"> </w:t>
      </w:r>
      <w:r w:rsidRPr="00DA30EF">
        <w:rPr>
          <w:rFonts w:ascii="Times New Roman" w:eastAsia="Calibri" w:hAnsi="Times New Roman" w:cs="Times New Roman"/>
        </w:rPr>
        <w:t>‘</w:t>
      </w:r>
      <w:r w:rsidRPr="005B5912">
        <w:rPr>
          <w:rFonts w:ascii="Times New Roman" w:eastAsia="Calibri" w:hAnsi="Times New Roman" w:cs="Times New Roman"/>
          <w:i/>
        </w:rPr>
        <w:t>set in his ways’</w:t>
      </w:r>
      <w:r w:rsidR="00CB0442">
        <w:rPr>
          <w:rFonts w:ascii="Times New Roman" w:eastAsia="Calibri" w:hAnsi="Times New Roman" w:cs="Times New Roman"/>
        </w:rPr>
        <w:t>[12</w:t>
      </w:r>
      <w:r>
        <w:rPr>
          <w:rFonts w:ascii="Times New Roman" w:eastAsia="Calibri" w:hAnsi="Times New Roman" w:cs="Times New Roman"/>
        </w:rPr>
        <w:t>]</w:t>
      </w:r>
      <w:r w:rsidR="0039131C">
        <w:rPr>
          <w:rFonts w:ascii="Times New Roman" w:eastAsia="Calibri" w:hAnsi="Times New Roman" w:cs="Times New Roman"/>
        </w:rPr>
        <w:t>,</w:t>
      </w:r>
      <w:r w:rsidRPr="00DA30EF">
        <w:rPr>
          <w:rFonts w:ascii="Times New Roman" w:eastAsia="Calibri" w:hAnsi="Times New Roman" w:cs="Times New Roman"/>
        </w:rPr>
        <w:t xml:space="preserve"> </w:t>
      </w:r>
      <w:r>
        <w:rPr>
          <w:rFonts w:ascii="Times New Roman" w:eastAsia="Calibri" w:hAnsi="Times New Roman" w:cs="Times New Roman"/>
          <w:i/>
        </w:rPr>
        <w:t>‘hungry/ fresh blood</w:t>
      </w:r>
      <w:r w:rsidRPr="003016F9">
        <w:rPr>
          <w:rFonts w:ascii="Times New Roman" w:eastAsia="Calibri" w:hAnsi="Times New Roman" w:cs="Times New Roman"/>
          <w:i/>
        </w:rPr>
        <w:t>’</w:t>
      </w:r>
      <w:r w:rsidR="00CB0442">
        <w:rPr>
          <w:rFonts w:ascii="Times New Roman" w:eastAsia="Calibri" w:hAnsi="Times New Roman" w:cs="Times New Roman"/>
        </w:rPr>
        <w:t>[13</w:t>
      </w:r>
      <w:r>
        <w:rPr>
          <w:rFonts w:ascii="Times New Roman" w:eastAsia="Calibri" w:hAnsi="Times New Roman" w:cs="Times New Roman"/>
        </w:rPr>
        <w:t>] and ‘</w:t>
      </w:r>
      <w:r w:rsidRPr="003016F9">
        <w:rPr>
          <w:rFonts w:ascii="Times New Roman" w:eastAsia="Calibri" w:hAnsi="Times New Roman" w:cs="Times New Roman"/>
          <w:i/>
        </w:rPr>
        <w:t>unlikely to change</w:t>
      </w:r>
      <w:r w:rsidR="00CB0442">
        <w:rPr>
          <w:rFonts w:ascii="Times New Roman" w:eastAsia="Calibri" w:hAnsi="Times New Roman" w:cs="Times New Roman"/>
        </w:rPr>
        <w:t>’[14</w:t>
      </w:r>
      <w:r>
        <w:rPr>
          <w:rFonts w:ascii="Times New Roman" w:eastAsia="Calibri" w:hAnsi="Times New Roman" w:cs="Times New Roman"/>
        </w:rPr>
        <w:t xml:space="preserve">] were </w:t>
      </w:r>
      <w:r w:rsidR="0039131C">
        <w:rPr>
          <w:rFonts w:ascii="Times New Roman" w:eastAsia="Calibri" w:hAnsi="Times New Roman" w:cs="Times New Roman"/>
        </w:rPr>
        <w:t>all</w:t>
      </w:r>
      <w:r>
        <w:rPr>
          <w:rFonts w:ascii="Times New Roman" w:eastAsia="Calibri" w:hAnsi="Times New Roman" w:cs="Times New Roman"/>
        </w:rPr>
        <w:t xml:space="preserve"> indicative of this stereotypical view. Such phrases are unlikely to be used in relation to a 25 year old. Indeed, this proposition was put forward during cross examination </w:t>
      </w:r>
      <w:r w:rsidR="00CB0442">
        <w:rPr>
          <w:rFonts w:ascii="Times New Roman" w:eastAsia="Calibri" w:hAnsi="Times New Roman" w:cs="Times New Roman"/>
        </w:rPr>
        <w:t xml:space="preserve">in the fieldwork observation </w:t>
      </w:r>
      <w:r>
        <w:rPr>
          <w:rFonts w:ascii="Times New Roman" w:eastAsia="Calibri" w:hAnsi="Times New Roman" w:cs="Times New Roman"/>
        </w:rPr>
        <w:t xml:space="preserve">and the </w:t>
      </w:r>
      <w:r w:rsidR="00000DB2">
        <w:rPr>
          <w:rFonts w:ascii="Times New Roman" w:eastAsia="Calibri" w:hAnsi="Times New Roman" w:cs="Times New Roman"/>
        </w:rPr>
        <w:t>r</w:t>
      </w:r>
      <w:r w:rsidR="00CB0442">
        <w:rPr>
          <w:rFonts w:ascii="Times New Roman" w:eastAsia="Calibri" w:hAnsi="Times New Roman" w:cs="Times New Roman"/>
        </w:rPr>
        <w:t xml:space="preserve">espondent’s </w:t>
      </w:r>
      <w:r>
        <w:rPr>
          <w:rFonts w:ascii="Times New Roman" w:eastAsia="Calibri" w:hAnsi="Times New Roman" w:cs="Times New Roman"/>
        </w:rPr>
        <w:t>witness gave evidence that “</w:t>
      </w:r>
      <w:r w:rsidRPr="005F1F16">
        <w:rPr>
          <w:rFonts w:ascii="Times New Roman" w:eastAsia="Calibri" w:hAnsi="Times New Roman" w:cs="Times New Roman"/>
          <w:i/>
        </w:rPr>
        <w:t>my approach would be the same if he w</w:t>
      </w:r>
      <w:r w:rsidR="005F1F16" w:rsidRPr="005F1F16">
        <w:rPr>
          <w:rFonts w:ascii="Times New Roman" w:eastAsia="Calibri" w:hAnsi="Times New Roman" w:cs="Times New Roman"/>
          <w:i/>
        </w:rPr>
        <w:t>ere a 25, 35 or 55 year old</w:t>
      </w:r>
      <w:r w:rsidR="00CB0442">
        <w:rPr>
          <w:rFonts w:ascii="Times New Roman" w:eastAsia="Calibri" w:hAnsi="Times New Roman" w:cs="Times New Roman"/>
        </w:rPr>
        <w:t>”[15</w:t>
      </w:r>
      <w:r>
        <w:rPr>
          <w:rFonts w:ascii="Times New Roman" w:eastAsia="Calibri" w:hAnsi="Times New Roman" w:cs="Times New Roman"/>
        </w:rPr>
        <w:t>]</w:t>
      </w:r>
      <w:r w:rsidR="00374B26">
        <w:rPr>
          <w:rFonts w:ascii="Times New Roman" w:eastAsia="Calibri" w:hAnsi="Times New Roman" w:cs="Times New Roman"/>
        </w:rPr>
        <w:t>.</w:t>
      </w:r>
    </w:p>
    <w:p w14:paraId="51A08A2B" w14:textId="01CC2691" w:rsidR="00DC5548" w:rsidRDefault="00DC5548" w:rsidP="00374B26">
      <w:pPr>
        <w:spacing w:after="0" w:line="240" w:lineRule="auto"/>
        <w:ind w:firstLine="720"/>
        <w:contextualSpacing/>
        <w:jc w:val="both"/>
        <w:rPr>
          <w:rFonts w:ascii="Times New Roman" w:eastAsia="Calibri" w:hAnsi="Times New Roman" w:cs="Times New Roman"/>
        </w:rPr>
      </w:pPr>
      <w:r>
        <w:rPr>
          <w:rFonts w:ascii="Times New Roman" w:eastAsia="Calibri" w:hAnsi="Times New Roman" w:cs="Times New Roman"/>
        </w:rPr>
        <w:t xml:space="preserve">Linked to </w:t>
      </w:r>
      <w:r w:rsidR="0039131C">
        <w:rPr>
          <w:rFonts w:ascii="Times New Roman" w:eastAsia="Calibri" w:hAnsi="Times New Roman" w:cs="Times New Roman"/>
        </w:rPr>
        <w:t>the resistan</w:t>
      </w:r>
      <w:r w:rsidR="0094061C">
        <w:rPr>
          <w:rFonts w:ascii="Times New Roman" w:eastAsia="Calibri" w:hAnsi="Times New Roman" w:cs="Times New Roman"/>
        </w:rPr>
        <w:t>ce</w:t>
      </w:r>
      <w:r w:rsidR="0039131C">
        <w:rPr>
          <w:rFonts w:ascii="Times New Roman" w:eastAsia="Calibri" w:hAnsi="Times New Roman" w:cs="Times New Roman"/>
        </w:rPr>
        <w:t xml:space="preserve"> to change stereotype</w:t>
      </w:r>
      <w:r>
        <w:rPr>
          <w:rFonts w:ascii="Times New Roman" w:eastAsia="Calibri" w:hAnsi="Times New Roman" w:cs="Times New Roman"/>
        </w:rPr>
        <w:t xml:space="preserve"> is the </w:t>
      </w:r>
      <w:r w:rsidR="0039131C">
        <w:rPr>
          <w:rFonts w:ascii="Times New Roman" w:eastAsia="Calibri" w:hAnsi="Times New Roman" w:cs="Times New Roman"/>
        </w:rPr>
        <w:t>assumption</w:t>
      </w:r>
      <w:r>
        <w:rPr>
          <w:rFonts w:ascii="Times New Roman" w:eastAsia="Calibri" w:hAnsi="Times New Roman" w:cs="Times New Roman"/>
        </w:rPr>
        <w:t xml:space="preserve"> that older workers</w:t>
      </w:r>
      <w:r w:rsidR="0096641D">
        <w:rPr>
          <w:rFonts w:ascii="Times New Roman" w:eastAsia="Calibri" w:hAnsi="Times New Roman" w:cs="Times New Roman"/>
        </w:rPr>
        <w:t xml:space="preserve"> cannot adapt to new technology.</w:t>
      </w:r>
      <w:r>
        <w:rPr>
          <w:rFonts w:ascii="Times New Roman" w:eastAsia="Calibri" w:hAnsi="Times New Roman" w:cs="Times New Roman"/>
        </w:rPr>
        <w:t xml:space="preserve"> </w:t>
      </w:r>
      <w:r w:rsidRPr="00DA30EF">
        <w:rPr>
          <w:rFonts w:ascii="Times New Roman" w:hAnsi="Times New Roman"/>
        </w:rPr>
        <w:t xml:space="preserve">The comments </w:t>
      </w:r>
      <w:r w:rsidR="0039131C">
        <w:rPr>
          <w:rFonts w:ascii="Times New Roman" w:hAnsi="Times New Roman"/>
        </w:rPr>
        <w:t>were blatant</w:t>
      </w:r>
      <w:r w:rsidRPr="00DA30EF">
        <w:rPr>
          <w:rFonts w:ascii="Times New Roman" w:hAnsi="Times New Roman"/>
        </w:rPr>
        <w:t xml:space="preserve"> in the case of </w:t>
      </w:r>
      <w:r w:rsidRPr="00DA30EF">
        <w:rPr>
          <w:rFonts w:ascii="Times New Roman" w:hAnsi="Times New Roman"/>
          <w:i/>
        </w:rPr>
        <w:t>James v Gina Shoes Ltd</w:t>
      </w:r>
      <w:r w:rsidR="00CB0442">
        <w:rPr>
          <w:rFonts w:ascii="Times New Roman" w:hAnsi="Times New Roman"/>
        </w:rPr>
        <w:t>[16</w:t>
      </w:r>
      <w:r>
        <w:rPr>
          <w:rFonts w:ascii="Times New Roman" w:hAnsi="Times New Roman"/>
        </w:rPr>
        <w:t>]</w:t>
      </w:r>
      <w:r w:rsidR="0094061C">
        <w:rPr>
          <w:rFonts w:ascii="Times New Roman" w:hAnsi="Times New Roman"/>
        </w:rPr>
        <w:t xml:space="preserve">, which concerned a </w:t>
      </w:r>
      <w:r w:rsidR="00000DB2">
        <w:rPr>
          <w:rFonts w:ascii="Times New Roman" w:hAnsi="Times New Roman"/>
        </w:rPr>
        <w:t>58</w:t>
      </w:r>
      <w:r w:rsidR="0094061C">
        <w:rPr>
          <w:rFonts w:ascii="Times New Roman" w:hAnsi="Times New Roman"/>
        </w:rPr>
        <w:t xml:space="preserve"> year old </w:t>
      </w:r>
      <w:r w:rsidR="00000DB2">
        <w:rPr>
          <w:rFonts w:ascii="Times New Roman" w:hAnsi="Times New Roman"/>
        </w:rPr>
        <w:t>c</w:t>
      </w:r>
      <w:r w:rsidR="0094061C">
        <w:rPr>
          <w:rFonts w:ascii="Times New Roman" w:hAnsi="Times New Roman"/>
        </w:rPr>
        <w:t>laimant</w:t>
      </w:r>
      <w:r w:rsidR="00CD6421">
        <w:rPr>
          <w:rFonts w:ascii="Times New Roman" w:hAnsi="Times New Roman"/>
        </w:rPr>
        <w:t>.</w:t>
      </w:r>
      <w:r w:rsidR="0094061C">
        <w:rPr>
          <w:rFonts w:ascii="Times New Roman" w:hAnsi="Times New Roman"/>
        </w:rPr>
        <w:t xml:space="preserve"> </w:t>
      </w:r>
      <w:r w:rsidRPr="00DA30EF">
        <w:rPr>
          <w:rFonts w:ascii="Times New Roman" w:eastAsia="Calibri" w:hAnsi="Times New Roman" w:cs="Times New Roman"/>
        </w:rPr>
        <w:t xml:space="preserve"> </w:t>
      </w:r>
      <w:r w:rsidR="00CD6421">
        <w:rPr>
          <w:rFonts w:ascii="Times New Roman" w:eastAsia="Calibri" w:hAnsi="Times New Roman" w:cs="Times New Roman"/>
        </w:rPr>
        <w:t>The</w:t>
      </w:r>
      <w:r>
        <w:rPr>
          <w:rFonts w:ascii="Times New Roman" w:eastAsia="Calibri" w:hAnsi="Times New Roman" w:cs="Times New Roman"/>
        </w:rPr>
        <w:t xml:space="preserve"> director </w:t>
      </w:r>
      <w:r w:rsidRPr="00DA30EF">
        <w:rPr>
          <w:rFonts w:ascii="Times New Roman" w:eastAsia="Calibri" w:hAnsi="Times New Roman" w:cs="Times New Roman"/>
        </w:rPr>
        <w:t>expressed his view that ‘</w:t>
      </w:r>
      <w:r w:rsidRPr="00DA30EF">
        <w:rPr>
          <w:rFonts w:ascii="Times New Roman" w:eastAsia="Calibri" w:hAnsi="Times New Roman" w:cs="Times New Roman"/>
          <w:i/>
        </w:rPr>
        <w:t>you can’t teach an old dog new tricks</w:t>
      </w:r>
      <w:r w:rsidRPr="00DA30EF">
        <w:rPr>
          <w:rFonts w:ascii="Times New Roman" w:eastAsia="Calibri" w:hAnsi="Times New Roman" w:cs="Times New Roman"/>
        </w:rPr>
        <w:t>’</w:t>
      </w:r>
      <w:r w:rsidR="00CB0442">
        <w:rPr>
          <w:rFonts w:ascii="Times New Roman" w:eastAsia="Calibri" w:hAnsi="Times New Roman" w:cs="Times New Roman"/>
        </w:rPr>
        <w:t>[17</w:t>
      </w:r>
      <w:r>
        <w:rPr>
          <w:rFonts w:ascii="Times New Roman" w:eastAsia="Calibri" w:hAnsi="Times New Roman" w:cs="Times New Roman"/>
        </w:rPr>
        <w:t>]</w:t>
      </w:r>
      <w:r w:rsidR="0039131C">
        <w:rPr>
          <w:rFonts w:ascii="Times New Roman" w:eastAsia="Calibri" w:hAnsi="Times New Roman" w:cs="Times New Roman"/>
        </w:rPr>
        <w:t>.</w:t>
      </w:r>
      <w:r>
        <w:rPr>
          <w:rFonts w:ascii="Times New Roman" w:eastAsia="Calibri" w:hAnsi="Times New Roman" w:cs="Times New Roman"/>
        </w:rPr>
        <w:t xml:space="preserve"> Evidence during the</w:t>
      </w:r>
      <w:r w:rsidRPr="00DA30EF">
        <w:rPr>
          <w:rFonts w:ascii="Times New Roman" w:eastAsia="Calibri" w:hAnsi="Times New Roman" w:cs="Times New Roman"/>
        </w:rPr>
        <w:t xml:space="preserve"> </w:t>
      </w:r>
      <w:r>
        <w:rPr>
          <w:rFonts w:ascii="Times New Roman" w:eastAsia="Calibri" w:hAnsi="Times New Roman" w:cs="Times New Roman"/>
        </w:rPr>
        <w:t xml:space="preserve">fieldwork </w:t>
      </w:r>
      <w:r w:rsidRPr="00DA30EF">
        <w:rPr>
          <w:rFonts w:ascii="Times New Roman" w:eastAsia="Calibri" w:hAnsi="Times New Roman" w:cs="Times New Roman"/>
        </w:rPr>
        <w:t xml:space="preserve">case of </w:t>
      </w:r>
      <w:r w:rsidRPr="00DA30EF">
        <w:rPr>
          <w:rFonts w:ascii="Times New Roman" w:eastAsia="Calibri" w:hAnsi="Times New Roman" w:cs="Times New Roman"/>
          <w:i/>
        </w:rPr>
        <w:t>Dixon v (1) Croglin Estates L</w:t>
      </w:r>
      <w:r w:rsidRPr="00DA30EF">
        <w:rPr>
          <w:rFonts w:ascii="Times New Roman" w:hAnsi="Times New Roman" w:cs="Times New Roman"/>
          <w:i/>
        </w:rPr>
        <w:t>td (2) Michael George and (3) Angus Gunning</w:t>
      </w:r>
      <w:r w:rsidR="0002098B">
        <w:rPr>
          <w:rFonts w:ascii="Times New Roman" w:eastAsia="Calibri" w:hAnsi="Times New Roman" w:cs="Times New Roman"/>
        </w:rPr>
        <w:t>[18</w:t>
      </w:r>
      <w:r>
        <w:rPr>
          <w:rFonts w:ascii="Times New Roman" w:eastAsia="Calibri" w:hAnsi="Times New Roman" w:cs="Times New Roman"/>
        </w:rPr>
        <w:t>]</w:t>
      </w:r>
      <w:r w:rsidRPr="00DA30EF">
        <w:rPr>
          <w:rFonts w:ascii="Times New Roman" w:eastAsia="Calibri" w:hAnsi="Times New Roman" w:cs="Times New Roman"/>
        </w:rPr>
        <w:t xml:space="preserve">  revealed </w:t>
      </w:r>
      <w:r w:rsidRPr="0039131C">
        <w:rPr>
          <w:rFonts w:ascii="Times New Roman" w:eastAsia="Calibri" w:hAnsi="Times New Roman" w:cs="Times New Roman"/>
        </w:rPr>
        <w:t>that the claimant was considered to be unlikely to perform ‘</w:t>
      </w:r>
      <w:r w:rsidRPr="0039131C">
        <w:rPr>
          <w:rFonts w:ascii="Times New Roman" w:eastAsia="Calibri" w:hAnsi="Times New Roman" w:cs="Times New Roman"/>
          <w:i/>
        </w:rPr>
        <w:t>GPS computer work’</w:t>
      </w:r>
      <w:r w:rsidR="0002098B" w:rsidRPr="0039131C">
        <w:rPr>
          <w:rFonts w:ascii="Times New Roman" w:eastAsia="Calibri" w:hAnsi="Times New Roman" w:cs="Times New Roman"/>
        </w:rPr>
        <w:t>[19</w:t>
      </w:r>
      <w:r w:rsidRPr="0039131C">
        <w:rPr>
          <w:rFonts w:ascii="Times New Roman" w:eastAsia="Calibri" w:hAnsi="Times New Roman" w:cs="Times New Roman"/>
        </w:rPr>
        <w:t>]</w:t>
      </w:r>
      <w:r w:rsidR="0039131C" w:rsidRPr="0039131C">
        <w:rPr>
          <w:rFonts w:ascii="Times New Roman" w:eastAsia="Calibri" w:hAnsi="Times New Roman" w:cs="Times New Roman"/>
        </w:rPr>
        <w:t>.</w:t>
      </w:r>
      <w:r w:rsidRPr="0039131C">
        <w:rPr>
          <w:rFonts w:ascii="Times New Roman" w:hAnsi="Times New Roman"/>
        </w:rPr>
        <w:t xml:space="preserve"> </w:t>
      </w:r>
      <w:r w:rsidRPr="0039131C">
        <w:rPr>
          <w:rFonts w:ascii="Times New Roman" w:eastAsia="Calibri" w:hAnsi="Times New Roman" w:cs="Times New Roman"/>
        </w:rPr>
        <w:t xml:space="preserve">The employer displayed the negative age stereotype that older workers lack the ability to absorb new ideas so that they cannot be trained. When asked whether the comments </w:t>
      </w:r>
      <w:r w:rsidR="005F1F16" w:rsidRPr="0039131C">
        <w:rPr>
          <w:rFonts w:ascii="Times New Roman" w:eastAsia="Calibri" w:hAnsi="Times New Roman" w:cs="Times New Roman"/>
        </w:rPr>
        <w:t>were viewed as compliments the c</w:t>
      </w:r>
      <w:r w:rsidRPr="0039131C">
        <w:rPr>
          <w:rFonts w:ascii="Times New Roman" w:eastAsia="Calibri" w:hAnsi="Times New Roman" w:cs="Times New Roman"/>
        </w:rPr>
        <w:t xml:space="preserve">laimant gave evidence that it </w:t>
      </w:r>
      <w:r w:rsidRPr="0039131C">
        <w:rPr>
          <w:rFonts w:ascii="Times New Roman" w:eastAsia="Calibri" w:hAnsi="Times New Roman" w:cs="Times New Roman"/>
          <w:i/>
        </w:rPr>
        <w:t xml:space="preserve">"reads as </w:t>
      </w:r>
      <w:r w:rsidR="0039131C" w:rsidRPr="0039131C">
        <w:rPr>
          <w:rFonts w:ascii="Times New Roman" w:eastAsia="Calibri" w:hAnsi="Times New Roman" w:cs="Times New Roman"/>
          <w:i/>
        </w:rPr>
        <w:t>though I’m too old to do my job</w:t>
      </w:r>
      <w:r w:rsidRPr="0039131C">
        <w:rPr>
          <w:rFonts w:ascii="Times New Roman" w:eastAsia="Calibri" w:hAnsi="Times New Roman" w:cs="Times New Roman"/>
        </w:rPr>
        <w:t>"</w:t>
      </w:r>
      <w:r w:rsidR="0002098B" w:rsidRPr="0039131C">
        <w:rPr>
          <w:rFonts w:ascii="Times New Roman" w:eastAsia="Calibri" w:hAnsi="Times New Roman" w:cs="Times New Roman"/>
        </w:rPr>
        <w:t>[20</w:t>
      </w:r>
      <w:r w:rsidRPr="0039131C">
        <w:rPr>
          <w:rFonts w:ascii="Times New Roman" w:eastAsia="Calibri" w:hAnsi="Times New Roman" w:cs="Times New Roman"/>
        </w:rPr>
        <w:t>]</w:t>
      </w:r>
      <w:r w:rsidR="0039131C" w:rsidRPr="0039131C">
        <w:rPr>
          <w:rFonts w:ascii="Times New Roman" w:eastAsia="Calibri" w:hAnsi="Times New Roman" w:cs="Times New Roman"/>
        </w:rPr>
        <w:t>.</w:t>
      </w:r>
      <w:r w:rsidRPr="0039131C">
        <w:rPr>
          <w:rFonts w:ascii="Times New Roman" w:eastAsia="Calibri" w:hAnsi="Times New Roman" w:cs="Times New Roman"/>
        </w:rPr>
        <w:t xml:space="preserve"> Using the word ‘</w:t>
      </w:r>
      <w:r w:rsidRPr="0039131C">
        <w:rPr>
          <w:rFonts w:ascii="Times New Roman" w:eastAsia="Calibri" w:hAnsi="Times New Roman" w:cs="Times New Roman"/>
          <w:i/>
        </w:rPr>
        <w:t>traditional’</w:t>
      </w:r>
      <w:r w:rsidRPr="0039131C">
        <w:rPr>
          <w:rFonts w:ascii="Times New Roman" w:eastAsia="Calibri" w:hAnsi="Times New Roman" w:cs="Times New Roman"/>
        </w:rPr>
        <w:t xml:space="preserve"> can also </w:t>
      </w:r>
      <w:r w:rsidR="005F1F16" w:rsidRPr="0039131C">
        <w:rPr>
          <w:rFonts w:ascii="Times New Roman" w:eastAsia="Calibri" w:hAnsi="Times New Roman" w:cs="Times New Roman"/>
        </w:rPr>
        <w:t>be indicative of</w:t>
      </w:r>
      <w:r w:rsidRPr="0039131C">
        <w:rPr>
          <w:rFonts w:ascii="Times New Roman" w:eastAsia="Calibri" w:hAnsi="Times New Roman" w:cs="Times New Roman"/>
        </w:rPr>
        <w:t xml:space="preserve"> this stereotypical view. In the recent case of </w:t>
      </w:r>
      <w:r w:rsidRPr="0039131C">
        <w:rPr>
          <w:rFonts w:ascii="Times New Roman" w:eastAsia="Calibri" w:hAnsi="Times New Roman" w:cs="Times New Roman"/>
          <w:i/>
        </w:rPr>
        <w:t>Gomes v (1) Henworth Ltd t/a Winkworth Estate</w:t>
      </w:r>
      <w:r w:rsidRPr="0039131C">
        <w:rPr>
          <w:rFonts w:ascii="Times New Roman" w:eastAsia="Calibri" w:hAnsi="Times New Roman" w:cs="Times New Roman"/>
        </w:rPr>
        <w:t xml:space="preserve"> </w:t>
      </w:r>
      <w:r w:rsidRPr="0039131C">
        <w:rPr>
          <w:rFonts w:ascii="Times New Roman" w:eastAsia="Calibri" w:hAnsi="Times New Roman" w:cs="Times New Roman"/>
          <w:i/>
        </w:rPr>
        <w:t>(2) Graham Gold</w:t>
      </w:r>
      <w:r w:rsidR="0002098B" w:rsidRPr="0039131C">
        <w:rPr>
          <w:rFonts w:ascii="Times New Roman" w:eastAsia="Calibri" w:hAnsi="Times New Roman" w:cs="Times New Roman"/>
        </w:rPr>
        <w:t>[21</w:t>
      </w:r>
      <w:r w:rsidRPr="0039131C">
        <w:rPr>
          <w:rFonts w:ascii="Times New Roman" w:eastAsia="Calibri" w:hAnsi="Times New Roman" w:cs="Times New Roman"/>
        </w:rPr>
        <w:t>]</w:t>
      </w:r>
      <w:r w:rsidRPr="0039131C">
        <w:rPr>
          <w:rFonts w:ascii="Times New Roman" w:eastAsia="Calibri" w:hAnsi="Times New Roman" w:cs="Times New Roman"/>
          <w:i/>
        </w:rPr>
        <w:t xml:space="preserve"> </w:t>
      </w:r>
      <w:r w:rsidRPr="0039131C">
        <w:rPr>
          <w:rFonts w:ascii="Times New Roman" w:eastAsia="Calibri" w:hAnsi="Times New Roman" w:cs="Times New Roman"/>
        </w:rPr>
        <w:t>the employer said that the claimant</w:t>
      </w:r>
      <w:r w:rsidRPr="0039131C">
        <w:rPr>
          <w:rFonts w:ascii="Times New Roman" w:eastAsia="Calibri" w:hAnsi="Times New Roman" w:cs="Times New Roman"/>
          <w:i/>
        </w:rPr>
        <w:t xml:space="preserve"> </w:t>
      </w:r>
      <w:r w:rsidRPr="0039131C">
        <w:rPr>
          <w:rFonts w:ascii="Times New Roman" w:eastAsia="Calibri" w:hAnsi="Times New Roman" w:cs="Times New Roman"/>
        </w:rPr>
        <w:t>was ‘</w:t>
      </w:r>
      <w:r w:rsidRPr="0039131C">
        <w:rPr>
          <w:rFonts w:ascii="Times New Roman" w:eastAsia="Calibri" w:hAnsi="Times New Roman" w:cs="Times New Roman"/>
          <w:i/>
        </w:rPr>
        <w:t>better suited to a traditional estate agency’</w:t>
      </w:r>
      <w:r w:rsidR="0002098B" w:rsidRPr="0039131C">
        <w:rPr>
          <w:rFonts w:ascii="Times New Roman" w:eastAsia="Calibri" w:hAnsi="Times New Roman" w:cs="Times New Roman"/>
        </w:rPr>
        <w:t>[22</w:t>
      </w:r>
      <w:r w:rsidRPr="0039131C">
        <w:rPr>
          <w:rFonts w:ascii="Times New Roman" w:eastAsia="Calibri" w:hAnsi="Times New Roman" w:cs="Times New Roman"/>
        </w:rPr>
        <w:t xml:space="preserve">] and could </w:t>
      </w:r>
      <w:r w:rsidR="005F1F16" w:rsidRPr="0039131C">
        <w:rPr>
          <w:rFonts w:ascii="Times New Roman" w:eastAsia="Calibri" w:hAnsi="Times New Roman" w:cs="Times New Roman"/>
        </w:rPr>
        <w:t xml:space="preserve">be thought of as </w:t>
      </w:r>
      <w:r w:rsidRPr="0039131C">
        <w:rPr>
          <w:rFonts w:ascii="Times New Roman" w:eastAsia="Calibri" w:hAnsi="Times New Roman" w:cs="Times New Roman"/>
        </w:rPr>
        <w:t>being old fashioned.</w:t>
      </w:r>
    </w:p>
    <w:p w14:paraId="16E164FF" w14:textId="0CD64624" w:rsidR="00374B26" w:rsidRDefault="00DC5548" w:rsidP="00374B26">
      <w:pPr>
        <w:spacing w:line="240" w:lineRule="auto"/>
        <w:ind w:firstLine="720"/>
        <w:contextualSpacing/>
        <w:jc w:val="both"/>
        <w:rPr>
          <w:rFonts w:ascii="Times New Roman" w:eastAsia="Calibri" w:hAnsi="Times New Roman" w:cs="Times New Roman"/>
        </w:rPr>
      </w:pPr>
      <w:r w:rsidRPr="00456514">
        <w:rPr>
          <w:rFonts w:ascii="Times New Roman" w:eastAsia="Calibri" w:hAnsi="Times New Roman" w:cs="Times New Roman"/>
        </w:rPr>
        <w:t xml:space="preserve">Another </w:t>
      </w:r>
      <w:r w:rsidR="0094061C" w:rsidRPr="00456514">
        <w:rPr>
          <w:rFonts w:ascii="Times New Roman" w:eastAsia="Calibri" w:hAnsi="Times New Roman" w:cs="Times New Roman"/>
        </w:rPr>
        <w:t xml:space="preserve">apparent </w:t>
      </w:r>
      <w:r w:rsidRPr="00456514">
        <w:rPr>
          <w:rFonts w:ascii="Times New Roman" w:eastAsia="Calibri" w:hAnsi="Times New Roman" w:cs="Times New Roman"/>
        </w:rPr>
        <w:t xml:space="preserve">stereotype was that older workers are costlier to employ than younger workers. </w:t>
      </w:r>
      <w:r w:rsidR="00456514" w:rsidRPr="00456514">
        <w:rPr>
          <w:rFonts w:ascii="Times New Roman" w:eastAsia="Calibri" w:hAnsi="Times New Roman" w:cs="Times New Roman"/>
        </w:rPr>
        <w:t>I</w:t>
      </w:r>
      <w:r w:rsidRPr="00456514">
        <w:rPr>
          <w:rFonts w:ascii="Times New Roman" w:eastAsia="Calibri" w:hAnsi="Times New Roman" w:cs="Times New Roman"/>
        </w:rPr>
        <w:t xml:space="preserve">n the case of </w:t>
      </w:r>
      <w:r w:rsidRPr="00456514">
        <w:rPr>
          <w:rFonts w:ascii="Times New Roman" w:hAnsi="Times New Roman"/>
          <w:i/>
        </w:rPr>
        <w:t>Court v Dennis Publishing Limited</w:t>
      </w:r>
      <w:r w:rsidR="0002098B">
        <w:rPr>
          <w:rFonts w:ascii="Times New Roman" w:hAnsi="Times New Roman"/>
        </w:rPr>
        <w:t>[23</w:t>
      </w:r>
      <w:r w:rsidRPr="00456514">
        <w:rPr>
          <w:rFonts w:ascii="Times New Roman" w:hAnsi="Times New Roman"/>
        </w:rPr>
        <w:t xml:space="preserve">] the employer stated </w:t>
      </w:r>
      <w:r w:rsidR="00456514" w:rsidRPr="00456514">
        <w:rPr>
          <w:rFonts w:ascii="Times New Roman" w:hAnsi="Times New Roman"/>
        </w:rPr>
        <w:t xml:space="preserve">in a published book </w:t>
      </w:r>
      <w:r w:rsidRPr="00456514">
        <w:rPr>
          <w:rFonts w:ascii="Times New Roman" w:hAnsi="Times New Roman"/>
        </w:rPr>
        <w:t>that ‘</w:t>
      </w:r>
      <w:r w:rsidR="00CD6421">
        <w:rPr>
          <w:rFonts w:ascii="Times New Roman" w:hAnsi="Times New Roman"/>
          <w:i/>
        </w:rPr>
        <w:t>b</w:t>
      </w:r>
      <w:r w:rsidRPr="00456514">
        <w:rPr>
          <w:rFonts w:ascii="Times New Roman" w:hAnsi="Times New Roman"/>
          <w:i/>
        </w:rPr>
        <w:t>y the time</w:t>
      </w:r>
      <w:r w:rsidRPr="00456514">
        <w:rPr>
          <w:rFonts w:ascii="Times New Roman" w:hAnsi="Times New Roman"/>
        </w:rPr>
        <w:t xml:space="preserve"> </w:t>
      </w:r>
      <w:r w:rsidRPr="00456514">
        <w:rPr>
          <w:rFonts w:ascii="Times New Roman" w:hAnsi="Times New Roman"/>
          <w:i/>
        </w:rPr>
        <w:t>talent is in its mid to late forties or early fifties, it will have become very, very expensive. Young talent can be found and underpaid for a short while, providing</w:t>
      </w:r>
      <w:r w:rsidR="0039131C">
        <w:rPr>
          <w:rFonts w:ascii="Times New Roman" w:hAnsi="Times New Roman"/>
          <w:i/>
        </w:rPr>
        <w:t xml:space="preserve"> the work is challenging enough</w:t>
      </w:r>
      <w:r w:rsidRPr="00456514">
        <w:rPr>
          <w:rFonts w:ascii="Times New Roman" w:hAnsi="Times New Roman"/>
        </w:rPr>
        <w:t>’</w:t>
      </w:r>
      <w:r w:rsidR="0002098B">
        <w:rPr>
          <w:rFonts w:ascii="Times New Roman" w:hAnsi="Times New Roman"/>
        </w:rPr>
        <w:t>[24</w:t>
      </w:r>
      <w:r w:rsidRPr="00456514">
        <w:rPr>
          <w:rFonts w:ascii="Times New Roman" w:hAnsi="Times New Roman"/>
        </w:rPr>
        <w:t xml:space="preserve">]. </w:t>
      </w:r>
      <w:r w:rsidR="0094061C">
        <w:rPr>
          <w:rFonts w:ascii="Times New Roman" w:hAnsi="Times New Roman"/>
        </w:rPr>
        <w:t xml:space="preserve">In </w:t>
      </w:r>
      <w:r w:rsidRPr="00456514">
        <w:rPr>
          <w:rFonts w:ascii="Times New Roman" w:hAnsi="Times New Roman"/>
          <w:i/>
        </w:rPr>
        <w:t>Jessemey v Rowstock Ltd and Mr Davis</w:t>
      </w:r>
      <w:r w:rsidR="0002098B">
        <w:rPr>
          <w:rFonts w:ascii="Times New Roman" w:hAnsi="Times New Roman"/>
        </w:rPr>
        <w:t>[25</w:t>
      </w:r>
      <w:r w:rsidRPr="00456514">
        <w:rPr>
          <w:rFonts w:ascii="Times New Roman" w:hAnsi="Times New Roman"/>
        </w:rPr>
        <w:t>]</w:t>
      </w:r>
      <w:r w:rsidRPr="00456514">
        <w:rPr>
          <w:rFonts w:ascii="Times New Roman" w:hAnsi="Times New Roman"/>
          <w:i/>
        </w:rPr>
        <w:t xml:space="preserve"> </w:t>
      </w:r>
      <w:r w:rsidR="00456514">
        <w:rPr>
          <w:rFonts w:ascii="Times New Roman" w:hAnsi="Times New Roman"/>
        </w:rPr>
        <w:t>the claimant</w:t>
      </w:r>
      <w:r w:rsidRPr="001A59FC">
        <w:rPr>
          <w:rFonts w:ascii="Times New Roman" w:hAnsi="Times New Roman"/>
        </w:rPr>
        <w:t xml:space="preserve"> was informed that it ‘</w:t>
      </w:r>
      <w:r w:rsidRPr="001A59FC">
        <w:rPr>
          <w:rFonts w:ascii="Times New Roman" w:hAnsi="Times New Roman"/>
          <w:i/>
        </w:rPr>
        <w:t>would cost too much in insurance pre</w:t>
      </w:r>
      <w:r w:rsidR="0039131C">
        <w:rPr>
          <w:rFonts w:ascii="Times New Roman" w:hAnsi="Times New Roman"/>
          <w:i/>
        </w:rPr>
        <w:t>miums to continue employing him</w:t>
      </w:r>
      <w:r w:rsidRPr="001A59FC">
        <w:rPr>
          <w:rFonts w:ascii="Times New Roman" w:hAnsi="Times New Roman"/>
          <w:i/>
        </w:rPr>
        <w:t>’</w:t>
      </w:r>
      <w:r w:rsidR="0002098B">
        <w:rPr>
          <w:rFonts w:ascii="Times New Roman" w:hAnsi="Times New Roman"/>
        </w:rPr>
        <w:t>[26</w:t>
      </w:r>
      <w:r>
        <w:rPr>
          <w:rFonts w:ascii="Times New Roman" w:hAnsi="Times New Roman"/>
        </w:rPr>
        <w:t>]</w:t>
      </w:r>
      <w:r w:rsidR="0039131C">
        <w:rPr>
          <w:rFonts w:ascii="Times New Roman" w:hAnsi="Times New Roman"/>
        </w:rPr>
        <w:t>.</w:t>
      </w:r>
      <w:r w:rsidRPr="001A59FC">
        <w:rPr>
          <w:rFonts w:ascii="Times New Roman" w:hAnsi="Times New Roman"/>
        </w:rPr>
        <w:t xml:space="preserve"> However there was no reference within the ET </w:t>
      </w:r>
      <w:r w:rsidR="00CD6421">
        <w:rPr>
          <w:rFonts w:ascii="Times New Roman" w:hAnsi="Times New Roman"/>
        </w:rPr>
        <w:t>j</w:t>
      </w:r>
      <w:r w:rsidRPr="001A59FC">
        <w:rPr>
          <w:rFonts w:ascii="Times New Roman" w:hAnsi="Times New Roman"/>
        </w:rPr>
        <w:t>udgmen</w:t>
      </w:r>
      <w:r w:rsidR="00456514">
        <w:rPr>
          <w:rFonts w:ascii="Times New Roman" w:hAnsi="Times New Roman"/>
        </w:rPr>
        <w:t>t to evidence submitted by the r</w:t>
      </w:r>
      <w:r w:rsidRPr="001A59FC">
        <w:rPr>
          <w:rFonts w:ascii="Times New Roman" w:hAnsi="Times New Roman"/>
        </w:rPr>
        <w:t>espondent in support of the comment.</w:t>
      </w:r>
    </w:p>
    <w:p w14:paraId="5FEC4827" w14:textId="134D8B47" w:rsidR="00DC5548" w:rsidRPr="00374B26" w:rsidRDefault="00DC5548" w:rsidP="00374B26">
      <w:pPr>
        <w:spacing w:line="240" w:lineRule="auto"/>
        <w:ind w:firstLine="720"/>
        <w:contextualSpacing/>
        <w:jc w:val="both"/>
        <w:rPr>
          <w:rFonts w:ascii="Times New Roman" w:eastAsia="Calibri" w:hAnsi="Times New Roman" w:cs="Times New Roman"/>
        </w:rPr>
      </w:pPr>
      <w:r>
        <w:rPr>
          <w:rFonts w:ascii="Times New Roman" w:hAnsi="Times New Roman" w:cs="Times New Roman"/>
        </w:rPr>
        <w:t xml:space="preserve">Workers </w:t>
      </w:r>
      <w:r w:rsidR="00AE0CFF">
        <w:rPr>
          <w:rFonts w:ascii="Times New Roman" w:hAnsi="Times New Roman" w:cs="Times New Roman"/>
        </w:rPr>
        <w:t>were</w:t>
      </w:r>
      <w:r>
        <w:rPr>
          <w:rFonts w:ascii="Times New Roman" w:hAnsi="Times New Roman" w:cs="Times New Roman"/>
        </w:rPr>
        <w:t xml:space="preserve"> also considered ‘</w:t>
      </w:r>
      <w:r w:rsidRPr="001757A8">
        <w:rPr>
          <w:rFonts w:ascii="Times New Roman" w:hAnsi="Times New Roman" w:cs="Times New Roman"/>
          <w:i/>
        </w:rPr>
        <w:t>too young’</w:t>
      </w:r>
      <w:r>
        <w:rPr>
          <w:rFonts w:ascii="Times New Roman" w:hAnsi="Times New Roman" w:cs="Times New Roman"/>
        </w:rPr>
        <w:t xml:space="preserve"> for </w:t>
      </w:r>
      <w:r w:rsidR="00AE0CFF">
        <w:rPr>
          <w:rFonts w:ascii="Times New Roman" w:hAnsi="Times New Roman" w:cs="Times New Roman"/>
        </w:rPr>
        <w:t>employment</w:t>
      </w:r>
      <w:r>
        <w:rPr>
          <w:rFonts w:ascii="Times New Roman" w:hAnsi="Times New Roman" w:cs="Times New Roman"/>
        </w:rPr>
        <w:t xml:space="preserve"> within the research sample</w:t>
      </w:r>
      <w:r w:rsidR="0039131C">
        <w:rPr>
          <w:rFonts w:ascii="Times New Roman" w:hAnsi="Times New Roman" w:cs="Times New Roman"/>
        </w:rPr>
        <w:t xml:space="preserve"> as the stereotypical link between youth and maturity/inexperience was apparent</w:t>
      </w:r>
      <w:r w:rsidRPr="001757A8">
        <w:rPr>
          <w:rFonts w:ascii="Times New Roman" w:hAnsi="Times New Roman" w:cs="Times New Roman"/>
          <w:i/>
        </w:rPr>
        <w:t>.</w:t>
      </w:r>
      <w:r>
        <w:rPr>
          <w:rFonts w:ascii="Times New Roman" w:hAnsi="Times New Roman" w:cs="Times New Roman"/>
        </w:rPr>
        <w:t xml:space="preserve"> </w:t>
      </w:r>
      <w:r w:rsidR="003023A1">
        <w:rPr>
          <w:rFonts w:ascii="Times New Roman" w:hAnsi="Times New Roman" w:cs="Times New Roman"/>
        </w:rPr>
        <w:t>In one case the c</w:t>
      </w:r>
      <w:r w:rsidR="003023A1" w:rsidRPr="00B53A5A">
        <w:rPr>
          <w:rFonts w:ascii="Times New Roman" w:hAnsi="Times New Roman" w:cs="Times New Roman"/>
        </w:rPr>
        <w:t>laimant gave evidence that she was informed that she was too young for the job at the age of 19</w:t>
      </w:r>
      <w:r w:rsidR="003023A1">
        <w:rPr>
          <w:rFonts w:ascii="Times New Roman" w:hAnsi="Times New Roman" w:cs="Times New Roman"/>
        </w:rPr>
        <w:t>[27]. In another case the c</w:t>
      </w:r>
      <w:r w:rsidR="003023A1" w:rsidRPr="00B53A5A">
        <w:rPr>
          <w:rFonts w:ascii="Times New Roman" w:hAnsi="Times New Roman" w:cs="Times New Roman"/>
        </w:rPr>
        <w:t>laimant alleged that she was told that at 18 years she was too young</w:t>
      </w:r>
      <w:r w:rsidR="003023A1">
        <w:rPr>
          <w:rFonts w:ascii="Times New Roman" w:hAnsi="Times New Roman" w:cs="Times New Roman"/>
        </w:rPr>
        <w:t>[28]</w:t>
      </w:r>
      <w:r w:rsidR="003023A1" w:rsidRPr="00B53A5A">
        <w:rPr>
          <w:rFonts w:ascii="Times New Roman" w:hAnsi="Times New Roman" w:cs="Times New Roman"/>
        </w:rPr>
        <w:t>. However even if those words had not been said</w:t>
      </w:r>
      <w:r w:rsidR="00FA6BAD">
        <w:rPr>
          <w:rFonts w:ascii="Times New Roman" w:hAnsi="Times New Roman" w:cs="Times New Roman"/>
        </w:rPr>
        <w:t>,</w:t>
      </w:r>
      <w:r w:rsidR="003023A1" w:rsidRPr="00B53A5A">
        <w:rPr>
          <w:rFonts w:ascii="Times New Roman" w:hAnsi="Times New Roman" w:cs="Times New Roman"/>
        </w:rPr>
        <w:t xml:space="preserve"> stereotyping was the predominant reason for the decision to dismiss and </w:t>
      </w:r>
      <w:r w:rsidR="00000DB2">
        <w:rPr>
          <w:rFonts w:ascii="Times New Roman" w:hAnsi="Times New Roman" w:cs="Times New Roman"/>
        </w:rPr>
        <w:t>the employer</w:t>
      </w:r>
      <w:r w:rsidR="00000DB2" w:rsidRPr="00B53A5A">
        <w:rPr>
          <w:rFonts w:ascii="Times New Roman" w:hAnsi="Times New Roman" w:cs="Times New Roman"/>
        </w:rPr>
        <w:t xml:space="preserve"> </w:t>
      </w:r>
      <w:r w:rsidR="003023A1" w:rsidRPr="00B53A5A">
        <w:rPr>
          <w:rFonts w:ascii="Times New Roman" w:hAnsi="Times New Roman" w:cs="Times New Roman"/>
        </w:rPr>
        <w:t xml:space="preserve">had relied upon the stereotypical assumption that capability equals experience and experience equals older age. </w:t>
      </w:r>
      <w:r w:rsidR="003023A1">
        <w:rPr>
          <w:rFonts w:ascii="Times New Roman" w:hAnsi="Times New Roman" w:cs="Times New Roman"/>
        </w:rPr>
        <w:t>Stereotyping towards younger workers</w:t>
      </w:r>
      <w:r w:rsidRPr="00B53A5A">
        <w:rPr>
          <w:rFonts w:ascii="Times New Roman" w:hAnsi="Times New Roman" w:cs="Times New Roman"/>
        </w:rPr>
        <w:t xml:space="preserve"> </w:t>
      </w:r>
      <w:r w:rsidR="0039131C">
        <w:rPr>
          <w:rFonts w:ascii="Times New Roman" w:hAnsi="Times New Roman" w:cs="Times New Roman"/>
        </w:rPr>
        <w:t>was</w:t>
      </w:r>
      <w:r w:rsidRPr="00B53A5A">
        <w:rPr>
          <w:rFonts w:ascii="Times New Roman" w:hAnsi="Times New Roman" w:cs="Times New Roman"/>
        </w:rPr>
        <w:t xml:space="preserve"> </w:t>
      </w:r>
      <w:r w:rsidR="0039131C">
        <w:rPr>
          <w:rFonts w:ascii="Times New Roman" w:hAnsi="Times New Roman" w:cs="Times New Roman"/>
        </w:rPr>
        <w:t>not</w:t>
      </w:r>
      <w:r w:rsidRPr="00B53A5A">
        <w:rPr>
          <w:rFonts w:ascii="Times New Roman" w:hAnsi="Times New Roman" w:cs="Times New Roman"/>
        </w:rPr>
        <w:t xml:space="preserve"> as prevalent as negative stereotypes affecting older workers. This </w:t>
      </w:r>
      <w:r w:rsidR="00236D0E">
        <w:rPr>
          <w:rFonts w:ascii="Times New Roman" w:hAnsi="Times New Roman" w:cs="Times New Roman"/>
        </w:rPr>
        <w:t>supports</w:t>
      </w:r>
      <w:r w:rsidRPr="00B53A5A">
        <w:rPr>
          <w:rFonts w:ascii="Times New Roman" w:hAnsi="Times New Roman" w:cs="Times New Roman"/>
        </w:rPr>
        <w:t xml:space="preserve"> a recent study</w:t>
      </w:r>
      <w:r w:rsidR="00FA6BAD">
        <w:rPr>
          <w:rFonts w:ascii="Times New Roman" w:hAnsi="Times New Roman" w:cs="Times New Roman"/>
        </w:rPr>
        <w:t>,</w:t>
      </w:r>
      <w:r w:rsidRPr="00B53A5A">
        <w:rPr>
          <w:rFonts w:ascii="Times New Roman" w:hAnsi="Times New Roman" w:cs="Times New Roman"/>
        </w:rPr>
        <w:t xml:space="preserve"> which demonstrates that </w:t>
      </w:r>
      <w:r w:rsidR="00236D0E">
        <w:rPr>
          <w:rFonts w:ascii="Times New Roman" w:hAnsi="Times New Roman" w:cs="Times New Roman"/>
        </w:rPr>
        <w:t>although those</w:t>
      </w:r>
      <w:r w:rsidRPr="00B53A5A">
        <w:rPr>
          <w:rFonts w:ascii="Times New Roman" w:hAnsi="Times New Roman" w:cs="Times New Roman"/>
        </w:rPr>
        <w:t xml:space="preserve"> aged between 25 and 34 feel most</w:t>
      </w:r>
      <w:r w:rsidR="00456514">
        <w:rPr>
          <w:rFonts w:ascii="Times New Roman" w:hAnsi="Times New Roman" w:cs="Times New Roman"/>
        </w:rPr>
        <w:t xml:space="preserve"> affected by age discrimination, this </w:t>
      </w:r>
      <w:r>
        <w:rPr>
          <w:rFonts w:ascii="Times New Roman" w:hAnsi="Times New Roman" w:cs="Times New Roman"/>
        </w:rPr>
        <w:t>age group</w:t>
      </w:r>
      <w:r w:rsidRPr="00B53A5A">
        <w:rPr>
          <w:rFonts w:ascii="Times New Roman" w:hAnsi="Times New Roman" w:cs="Times New Roman"/>
        </w:rPr>
        <w:t xml:space="preserve"> </w:t>
      </w:r>
      <w:r>
        <w:rPr>
          <w:rFonts w:ascii="Times New Roman" w:hAnsi="Times New Roman" w:cs="Times New Roman"/>
        </w:rPr>
        <w:t>are</w:t>
      </w:r>
      <w:r w:rsidRPr="00B53A5A">
        <w:rPr>
          <w:rFonts w:ascii="Times New Roman" w:hAnsi="Times New Roman" w:cs="Times New Roman"/>
        </w:rPr>
        <w:t xml:space="preserve"> more likely to take action by leaving their jobs and </w:t>
      </w:r>
      <w:r w:rsidR="0002098B" w:rsidRPr="00B53A5A">
        <w:rPr>
          <w:rFonts w:ascii="Times New Roman" w:hAnsi="Times New Roman" w:cs="Times New Roman"/>
        </w:rPr>
        <w:t>finding alternative</w:t>
      </w:r>
      <w:r w:rsidRPr="00B53A5A">
        <w:rPr>
          <w:rFonts w:ascii="Times New Roman" w:hAnsi="Times New Roman" w:cs="Times New Roman"/>
        </w:rPr>
        <w:t xml:space="preserve"> work</w:t>
      </w:r>
      <w:r w:rsidR="00456514">
        <w:rPr>
          <w:rFonts w:ascii="Times New Roman" w:hAnsi="Times New Roman" w:cs="Times New Roman"/>
        </w:rPr>
        <w:t xml:space="preserve"> (</w:t>
      </w:r>
      <w:r w:rsidR="0002098B">
        <w:rPr>
          <w:rFonts w:ascii="Times New Roman" w:hAnsi="Times New Roman" w:cs="Times New Roman"/>
        </w:rPr>
        <w:t>CMI, 2017</w:t>
      </w:r>
      <w:r w:rsidR="00456514">
        <w:rPr>
          <w:rFonts w:ascii="Times New Roman" w:hAnsi="Times New Roman" w:cs="Times New Roman"/>
        </w:rPr>
        <w:t>)</w:t>
      </w:r>
      <w:r w:rsidRPr="00B53A5A">
        <w:rPr>
          <w:rFonts w:ascii="Times New Roman" w:hAnsi="Times New Roman" w:cs="Times New Roman"/>
        </w:rPr>
        <w:t>.</w:t>
      </w:r>
      <w:r w:rsidR="00456514">
        <w:rPr>
          <w:rFonts w:ascii="Times New Roman" w:hAnsi="Times New Roman" w:cs="Times New Roman"/>
        </w:rPr>
        <w:t xml:space="preserve"> </w:t>
      </w:r>
      <w:r w:rsidRPr="00B53A5A">
        <w:rPr>
          <w:rFonts w:ascii="Times New Roman" w:hAnsi="Times New Roman" w:cs="Times New Roman"/>
        </w:rPr>
        <w:t xml:space="preserve"> This may therefore </w:t>
      </w:r>
      <w:r w:rsidR="00236D0E">
        <w:rPr>
          <w:rFonts w:ascii="Times New Roman" w:hAnsi="Times New Roman" w:cs="Times New Roman"/>
        </w:rPr>
        <w:t>provide an answer</w:t>
      </w:r>
      <w:r w:rsidRPr="00B53A5A">
        <w:rPr>
          <w:rFonts w:ascii="Times New Roman" w:hAnsi="Times New Roman" w:cs="Times New Roman"/>
        </w:rPr>
        <w:t xml:space="preserve"> why there were not many instances of younger worker stereotyping</w:t>
      </w:r>
      <w:r>
        <w:rPr>
          <w:rFonts w:ascii="Times New Roman" w:hAnsi="Times New Roman" w:cs="Times New Roman"/>
        </w:rPr>
        <w:t xml:space="preserve"> in this research sample</w:t>
      </w:r>
      <w:r w:rsidR="00456514">
        <w:rPr>
          <w:rFonts w:ascii="Times New Roman" w:hAnsi="Times New Roman" w:cs="Times New Roman"/>
        </w:rPr>
        <w:t xml:space="preserve">.  </w:t>
      </w:r>
    </w:p>
    <w:p w14:paraId="0698DEE2" w14:textId="72953E69" w:rsidR="00AE0CFF" w:rsidRDefault="0002098B" w:rsidP="00374B26">
      <w:pPr>
        <w:ind w:firstLine="720"/>
        <w:contextualSpacing/>
        <w:jc w:val="both"/>
        <w:rPr>
          <w:rFonts w:ascii="Times New Roman" w:eastAsia="Calibri" w:hAnsi="Times New Roman" w:cs="Times New Roman"/>
        </w:rPr>
      </w:pPr>
      <w:r>
        <w:rPr>
          <w:rFonts w:ascii="Times New Roman" w:eastAsia="Calibri" w:hAnsi="Times New Roman" w:cs="Times New Roman"/>
        </w:rPr>
        <w:t>Finally,</w:t>
      </w:r>
      <w:r w:rsidR="00AE0CFF">
        <w:rPr>
          <w:rFonts w:ascii="Times New Roman" w:eastAsia="Calibri" w:hAnsi="Times New Roman" w:cs="Times New Roman"/>
        </w:rPr>
        <w:t xml:space="preserve"> in</w:t>
      </w:r>
      <w:r w:rsidR="00AE0CFF" w:rsidRPr="00B53A5A">
        <w:rPr>
          <w:rFonts w:ascii="Times New Roman" w:eastAsia="Calibri" w:hAnsi="Times New Roman" w:cs="Times New Roman"/>
        </w:rPr>
        <w:t xml:space="preserve"> </w:t>
      </w:r>
      <w:r w:rsidR="00AE0CFF">
        <w:rPr>
          <w:rFonts w:ascii="Times New Roman" w:eastAsia="Calibri" w:hAnsi="Times New Roman" w:cs="Times New Roman"/>
        </w:rPr>
        <w:t xml:space="preserve">two of the </w:t>
      </w:r>
      <w:r w:rsidR="00AE0CFF" w:rsidRPr="001757A8">
        <w:rPr>
          <w:rFonts w:ascii="Times New Roman" w:eastAsia="Calibri" w:hAnsi="Times New Roman" w:cs="Times New Roman"/>
        </w:rPr>
        <w:t>fieldwork</w:t>
      </w:r>
      <w:r w:rsidR="00AE0CFF">
        <w:rPr>
          <w:rFonts w:ascii="Times New Roman" w:eastAsia="Calibri" w:hAnsi="Times New Roman" w:cs="Times New Roman"/>
        </w:rPr>
        <w:t xml:space="preserve"> cases</w:t>
      </w:r>
      <w:r w:rsidR="00AE0CFF" w:rsidRPr="00B53A5A">
        <w:rPr>
          <w:rFonts w:ascii="Times New Roman" w:eastAsia="Calibri" w:hAnsi="Times New Roman" w:cs="Times New Roman"/>
        </w:rPr>
        <w:t xml:space="preserve"> </w:t>
      </w:r>
      <w:r w:rsidR="00AE0CFF">
        <w:rPr>
          <w:rFonts w:ascii="Times New Roman" w:eastAsia="Calibri" w:hAnsi="Times New Roman" w:cs="Times New Roman"/>
        </w:rPr>
        <w:t>the claimants</w:t>
      </w:r>
      <w:r w:rsidR="00AE0CFF" w:rsidRPr="00B53A5A">
        <w:rPr>
          <w:rFonts w:ascii="Times New Roman" w:eastAsia="Calibri" w:hAnsi="Times New Roman" w:cs="Times New Roman"/>
        </w:rPr>
        <w:t xml:space="preserve"> </w:t>
      </w:r>
      <w:r w:rsidR="00606D7D">
        <w:rPr>
          <w:rFonts w:ascii="Times New Roman" w:eastAsia="Calibri" w:hAnsi="Times New Roman" w:cs="Times New Roman"/>
        </w:rPr>
        <w:t>appeared to rely</w:t>
      </w:r>
      <w:r w:rsidR="00AE0CFF" w:rsidRPr="00B53A5A">
        <w:rPr>
          <w:rFonts w:ascii="Times New Roman" w:eastAsia="Calibri" w:hAnsi="Times New Roman" w:cs="Times New Roman"/>
        </w:rPr>
        <w:t xml:space="preserve"> upon</w:t>
      </w:r>
      <w:r w:rsidR="00AE0CFF">
        <w:rPr>
          <w:rFonts w:ascii="Times New Roman" w:eastAsia="Calibri" w:hAnsi="Times New Roman" w:cs="Times New Roman"/>
        </w:rPr>
        <w:t xml:space="preserve"> </w:t>
      </w:r>
      <w:r w:rsidR="003023A1">
        <w:rPr>
          <w:rFonts w:ascii="Times New Roman" w:eastAsia="Calibri" w:hAnsi="Times New Roman" w:cs="Times New Roman"/>
        </w:rPr>
        <w:t>societ</w:t>
      </w:r>
      <w:r w:rsidR="0058567A">
        <w:rPr>
          <w:rFonts w:ascii="Times New Roman" w:eastAsia="Calibri" w:hAnsi="Times New Roman" w:cs="Times New Roman"/>
        </w:rPr>
        <w:t>y’s</w:t>
      </w:r>
      <w:r w:rsidR="003023A1">
        <w:rPr>
          <w:rFonts w:ascii="Times New Roman" w:eastAsia="Calibri" w:hAnsi="Times New Roman" w:cs="Times New Roman"/>
        </w:rPr>
        <w:t xml:space="preserve"> </w:t>
      </w:r>
      <w:r w:rsidR="00AE0CFF">
        <w:rPr>
          <w:rFonts w:ascii="Times New Roman" w:eastAsia="Calibri" w:hAnsi="Times New Roman" w:cs="Times New Roman"/>
        </w:rPr>
        <w:t>negative</w:t>
      </w:r>
      <w:r w:rsidR="00AE0CFF" w:rsidRPr="00B53A5A">
        <w:rPr>
          <w:rFonts w:ascii="Times New Roman" w:eastAsia="Calibri" w:hAnsi="Times New Roman" w:cs="Times New Roman"/>
        </w:rPr>
        <w:t xml:space="preserve"> stereotypical </w:t>
      </w:r>
      <w:r w:rsidR="00AE0CFF">
        <w:rPr>
          <w:rFonts w:ascii="Times New Roman" w:eastAsia="Calibri" w:hAnsi="Times New Roman" w:cs="Times New Roman"/>
        </w:rPr>
        <w:t>views</w:t>
      </w:r>
      <w:r w:rsidR="00AE0CFF" w:rsidRPr="00B53A5A">
        <w:rPr>
          <w:rFonts w:ascii="Times New Roman" w:eastAsia="Calibri" w:hAnsi="Times New Roman" w:cs="Times New Roman"/>
        </w:rPr>
        <w:t xml:space="preserve"> of older</w:t>
      </w:r>
      <w:r w:rsidR="00AE0CFF">
        <w:rPr>
          <w:rFonts w:ascii="Times New Roman" w:eastAsia="Calibri" w:hAnsi="Times New Roman" w:cs="Times New Roman"/>
        </w:rPr>
        <w:t xml:space="preserve"> workers in making out arguments</w:t>
      </w:r>
      <w:r w:rsidR="00AE0CFF" w:rsidRPr="00B53A5A">
        <w:rPr>
          <w:rFonts w:ascii="Times New Roman" w:eastAsia="Calibri" w:hAnsi="Times New Roman" w:cs="Times New Roman"/>
        </w:rPr>
        <w:t xml:space="preserve"> </w:t>
      </w:r>
      <w:r w:rsidR="00AE0CFF">
        <w:rPr>
          <w:rFonts w:ascii="Times New Roman" w:eastAsia="Calibri" w:hAnsi="Times New Roman" w:cs="Times New Roman"/>
        </w:rPr>
        <w:t>in support of their duty to mitigate</w:t>
      </w:r>
      <w:r w:rsidR="00AE0CFF" w:rsidRPr="00B53A5A">
        <w:rPr>
          <w:rFonts w:ascii="Times New Roman" w:eastAsia="Calibri" w:hAnsi="Times New Roman" w:cs="Times New Roman"/>
        </w:rPr>
        <w:t xml:space="preserve"> loss. </w:t>
      </w:r>
      <w:r w:rsidR="00AE0CFF">
        <w:rPr>
          <w:rFonts w:ascii="Times New Roman" w:eastAsia="Calibri" w:hAnsi="Times New Roman" w:cs="Times New Roman"/>
        </w:rPr>
        <w:t xml:space="preserve">In </w:t>
      </w:r>
      <w:r w:rsidR="00AE0CFF" w:rsidRPr="001757A8">
        <w:rPr>
          <w:rFonts w:ascii="Times New Roman" w:eastAsia="Calibri" w:hAnsi="Times New Roman" w:cs="Times New Roman"/>
          <w:i/>
        </w:rPr>
        <w:t>Dixon</w:t>
      </w:r>
      <w:r w:rsidR="00AE0CFF">
        <w:rPr>
          <w:rFonts w:ascii="Times New Roman" w:eastAsia="Calibri" w:hAnsi="Times New Roman" w:cs="Times New Roman"/>
        </w:rPr>
        <w:t xml:space="preserve"> the c</w:t>
      </w:r>
      <w:r w:rsidR="00AE0CFF" w:rsidRPr="00B53A5A">
        <w:rPr>
          <w:rFonts w:ascii="Times New Roman" w:eastAsia="Calibri" w:hAnsi="Times New Roman" w:cs="Times New Roman"/>
        </w:rPr>
        <w:t>laimant gave evidence that “</w:t>
      </w:r>
      <w:r w:rsidR="00AE0CFF" w:rsidRPr="00B53A5A">
        <w:rPr>
          <w:rFonts w:ascii="Times New Roman" w:eastAsia="Calibri" w:hAnsi="Times New Roman" w:cs="Times New Roman"/>
          <w:i/>
        </w:rPr>
        <w:t>At 58 I will never get another job as a head game keeper. Simple as that</w:t>
      </w:r>
      <w:r w:rsidR="00AE0CFF" w:rsidRPr="00B53A5A">
        <w:rPr>
          <w:rFonts w:ascii="Times New Roman" w:eastAsia="Calibri" w:hAnsi="Times New Roman" w:cs="Times New Roman"/>
        </w:rPr>
        <w:t>”</w:t>
      </w:r>
      <w:r>
        <w:rPr>
          <w:rFonts w:ascii="Times New Roman" w:eastAsia="Calibri" w:hAnsi="Times New Roman" w:cs="Times New Roman"/>
        </w:rPr>
        <w:t>[29</w:t>
      </w:r>
      <w:r w:rsidR="00AE0CFF">
        <w:rPr>
          <w:rFonts w:ascii="Times New Roman" w:eastAsia="Calibri" w:hAnsi="Times New Roman" w:cs="Times New Roman"/>
        </w:rPr>
        <w:t>].</w:t>
      </w:r>
      <w:r w:rsidR="00AE0CFF" w:rsidRPr="00B53A5A">
        <w:rPr>
          <w:rFonts w:ascii="Times New Roman" w:eastAsia="Calibri" w:hAnsi="Times New Roman" w:cs="Times New Roman"/>
        </w:rPr>
        <w:t xml:space="preserve"> O</w:t>
      </w:r>
      <w:r w:rsidR="00AE0CFF">
        <w:rPr>
          <w:rFonts w:ascii="Times New Roman" w:eastAsia="Calibri" w:hAnsi="Times New Roman" w:cs="Times New Roman"/>
        </w:rPr>
        <w:t>ne witness for the r</w:t>
      </w:r>
      <w:r w:rsidR="00AE0CFF" w:rsidRPr="00B53A5A">
        <w:rPr>
          <w:rFonts w:ascii="Times New Roman" w:eastAsia="Calibri" w:hAnsi="Times New Roman" w:cs="Times New Roman"/>
        </w:rPr>
        <w:t>espondent who was an agent with experienc</w:t>
      </w:r>
      <w:r w:rsidR="003023A1">
        <w:rPr>
          <w:rFonts w:ascii="Times New Roman" w:eastAsia="Calibri" w:hAnsi="Times New Roman" w:cs="Times New Roman"/>
        </w:rPr>
        <w:t>e in the relevant field of the c</w:t>
      </w:r>
      <w:r w:rsidR="00AE0CFF" w:rsidRPr="00B53A5A">
        <w:rPr>
          <w:rFonts w:ascii="Times New Roman" w:eastAsia="Calibri" w:hAnsi="Times New Roman" w:cs="Times New Roman"/>
        </w:rPr>
        <w:t xml:space="preserve">laimant’s </w:t>
      </w:r>
      <w:r w:rsidR="00374B26" w:rsidRPr="00B53A5A">
        <w:rPr>
          <w:rFonts w:ascii="Times New Roman" w:eastAsia="Calibri" w:hAnsi="Times New Roman" w:cs="Times New Roman"/>
        </w:rPr>
        <w:t>work</w:t>
      </w:r>
      <w:r w:rsidR="00374B26">
        <w:rPr>
          <w:rFonts w:ascii="Times New Roman" w:eastAsia="Calibri" w:hAnsi="Times New Roman" w:cs="Times New Roman"/>
        </w:rPr>
        <w:t xml:space="preserve"> initially</w:t>
      </w:r>
      <w:r w:rsidR="00AE0CFF">
        <w:rPr>
          <w:rFonts w:ascii="Times New Roman" w:eastAsia="Calibri" w:hAnsi="Times New Roman" w:cs="Times New Roman"/>
        </w:rPr>
        <w:t xml:space="preserve"> commented that the c</w:t>
      </w:r>
      <w:r w:rsidR="00AE0CFF" w:rsidRPr="00B53A5A">
        <w:rPr>
          <w:rFonts w:ascii="Times New Roman" w:eastAsia="Calibri" w:hAnsi="Times New Roman" w:cs="Times New Roman"/>
        </w:rPr>
        <w:t xml:space="preserve">laimant </w:t>
      </w:r>
      <w:r w:rsidR="00AE0CFF" w:rsidRPr="00B53A5A">
        <w:rPr>
          <w:rFonts w:ascii="Times New Roman" w:eastAsia="Calibri" w:hAnsi="Times New Roman" w:cs="Times New Roman"/>
          <w:i/>
        </w:rPr>
        <w:t>“would be top of the pile with his experience”</w:t>
      </w:r>
      <w:r>
        <w:rPr>
          <w:rFonts w:ascii="Times New Roman" w:eastAsia="Calibri" w:hAnsi="Times New Roman" w:cs="Times New Roman"/>
        </w:rPr>
        <w:t>[30</w:t>
      </w:r>
      <w:r w:rsidR="00AE0CFF" w:rsidRPr="009658D2">
        <w:rPr>
          <w:rFonts w:ascii="Times New Roman" w:eastAsia="Calibri" w:hAnsi="Times New Roman" w:cs="Times New Roman"/>
        </w:rPr>
        <w:t>]</w:t>
      </w:r>
      <w:r w:rsidR="00AE0CFF" w:rsidRPr="00B53A5A">
        <w:rPr>
          <w:rFonts w:ascii="Times New Roman" w:eastAsia="Calibri" w:hAnsi="Times New Roman" w:cs="Times New Roman"/>
          <w:vertAlign w:val="superscript"/>
        </w:rPr>
        <w:t xml:space="preserve"> </w:t>
      </w:r>
      <w:r w:rsidR="00AE0CFF">
        <w:rPr>
          <w:rFonts w:ascii="Times New Roman" w:eastAsia="Calibri" w:hAnsi="Times New Roman" w:cs="Times New Roman"/>
        </w:rPr>
        <w:t xml:space="preserve">and that he would consider </w:t>
      </w:r>
      <w:r w:rsidR="003023A1">
        <w:rPr>
          <w:rFonts w:ascii="Times New Roman" w:eastAsia="Calibri" w:hAnsi="Times New Roman" w:cs="Times New Roman"/>
        </w:rPr>
        <w:t>him</w:t>
      </w:r>
      <w:r w:rsidR="00AE0CFF" w:rsidRPr="00B53A5A">
        <w:rPr>
          <w:rFonts w:ascii="Times New Roman" w:eastAsia="Calibri" w:hAnsi="Times New Roman" w:cs="Times New Roman"/>
        </w:rPr>
        <w:t xml:space="preserve"> for a role. However later in the questioning, the witness acknowledged that looking purely at the ages without knowing the candidates by recommendation, he would be unlikely to recruit a 58 year old. In </w:t>
      </w:r>
      <w:r w:rsidR="00AE0CFF">
        <w:rPr>
          <w:rFonts w:ascii="Times New Roman" w:eastAsia="Calibri" w:hAnsi="Times New Roman" w:cs="Times New Roman"/>
        </w:rPr>
        <w:t>the case of</w:t>
      </w:r>
      <w:r w:rsidR="00AE0CFF" w:rsidRPr="00B53A5A">
        <w:rPr>
          <w:rFonts w:ascii="Times New Roman" w:hAnsi="Times New Roman"/>
          <w:i/>
        </w:rPr>
        <w:t xml:space="preserve"> Mr P Hickman v Astral Control Services Ltd</w:t>
      </w:r>
      <w:r>
        <w:rPr>
          <w:rFonts w:ascii="Times New Roman" w:hAnsi="Times New Roman"/>
        </w:rPr>
        <w:t>[31</w:t>
      </w:r>
      <w:r w:rsidR="00AE0CFF">
        <w:rPr>
          <w:rFonts w:ascii="Times New Roman" w:hAnsi="Times New Roman"/>
        </w:rPr>
        <w:t>]</w:t>
      </w:r>
      <w:r w:rsidR="00AE0CFF" w:rsidRPr="00B53A5A">
        <w:rPr>
          <w:rFonts w:ascii="Times New Roman" w:eastAsia="Calibri" w:hAnsi="Times New Roman" w:cs="Times New Roman"/>
        </w:rPr>
        <w:t xml:space="preserve"> the claimant considered that he was left on the ‘</w:t>
      </w:r>
      <w:r w:rsidR="00AE0CFF" w:rsidRPr="00B53A5A">
        <w:rPr>
          <w:rFonts w:ascii="Times New Roman" w:eastAsia="Calibri" w:hAnsi="Times New Roman" w:cs="Times New Roman"/>
          <w:i/>
        </w:rPr>
        <w:t>scrap heap’</w:t>
      </w:r>
      <w:r>
        <w:rPr>
          <w:rFonts w:ascii="Times New Roman" w:eastAsia="Calibri" w:hAnsi="Times New Roman" w:cs="Times New Roman"/>
        </w:rPr>
        <w:t>[32</w:t>
      </w:r>
      <w:r w:rsidR="00AE0CFF">
        <w:rPr>
          <w:rFonts w:ascii="Times New Roman" w:eastAsia="Calibri" w:hAnsi="Times New Roman" w:cs="Times New Roman"/>
        </w:rPr>
        <w:t>]</w:t>
      </w:r>
      <w:r w:rsidR="00AE0CFF" w:rsidRPr="00B53A5A">
        <w:rPr>
          <w:rFonts w:ascii="Times New Roman" w:eastAsia="Calibri" w:hAnsi="Times New Roman" w:cs="Times New Roman"/>
        </w:rPr>
        <w:t xml:space="preserve"> and that at his age of 67 the opportunity to find work would be slim, stating that “</w:t>
      </w:r>
      <w:r w:rsidR="00AE0CFF" w:rsidRPr="00B53A5A">
        <w:rPr>
          <w:rFonts w:ascii="Times New Roman" w:eastAsia="Calibri" w:hAnsi="Times New Roman" w:cs="Times New Roman"/>
          <w:i/>
        </w:rPr>
        <w:t>I’m at an age where not many opportunities com</w:t>
      </w:r>
      <w:r w:rsidR="003023A1">
        <w:rPr>
          <w:rFonts w:ascii="Times New Roman" w:eastAsia="Calibri" w:hAnsi="Times New Roman" w:cs="Times New Roman"/>
          <w:i/>
        </w:rPr>
        <w:t>e up. I have tried to find work</w:t>
      </w:r>
      <w:r w:rsidR="00AE0CFF" w:rsidRPr="00B53A5A">
        <w:rPr>
          <w:rFonts w:ascii="Times New Roman" w:eastAsia="Calibri" w:hAnsi="Times New Roman" w:cs="Times New Roman"/>
          <w:i/>
        </w:rPr>
        <w:t>”</w:t>
      </w:r>
      <w:r>
        <w:rPr>
          <w:rFonts w:ascii="Times New Roman" w:eastAsia="Calibri" w:hAnsi="Times New Roman" w:cs="Times New Roman"/>
        </w:rPr>
        <w:t>[33</w:t>
      </w:r>
      <w:r w:rsidR="00AE0CFF">
        <w:rPr>
          <w:rFonts w:ascii="Times New Roman" w:eastAsia="Calibri" w:hAnsi="Times New Roman" w:cs="Times New Roman"/>
        </w:rPr>
        <w:t>]</w:t>
      </w:r>
      <w:r w:rsidR="003023A1">
        <w:rPr>
          <w:rFonts w:ascii="Times New Roman" w:eastAsia="Calibri" w:hAnsi="Times New Roman" w:cs="Times New Roman"/>
        </w:rPr>
        <w:t>.</w:t>
      </w:r>
      <w:r w:rsidR="00AE0CFF" w:rsidRPr="00B53A5A">
        <w:rPr>
          <w:rFonts w:ascii="Times New Roman" w:eastAsia="Calibri" w:hAnsi="Times New Roman" w:cs="Times New Roman"/>
        </w:rPr>
        <w:t xml:space="preserve"> It was accepted</w:t>
      </w:r>
      <w:r w:rsidR="00AE0CFF">
        <w:rPr>
          <w:rFonts w:ascii="Times New Roman" w:eastAsia="Calibri" w:hAnsi="Times New Roman" w:cs="Times New Roman"/>
        </w:rPr>
        <w:t xml:space="preserve"> by the r</w:t>
      </w:r>
      <w:r w:rsidR="00AE0CFF" w:rsidRPr="00B53A5A">
        <w:rPr>
          <w:rFonts w:ascii="Times New Roman" w:eastAsia="Calibri" w:hAnsi="Times New Roman" w:cs="Times New Roman"/>
        </w:rPr>
        <w:t>espondent in that case that it would be “</w:t>
      </w:r>
      <w:r w:rsidR="00AE0CFF" w:rsidRPr="00B53A5A">
        <w:rPr>
          <w:rFonts w:ascii="Times New Roman" w:eastAsia="Calibri" w:hAnsi="Times New Roman" w:cs="Times New Roman"/>
          <w:i/>
        </w:rPr>
        <w:t>more difficult to bounce back into the employment market</w:t>
      </w:r>
      <w:r w:rsidR="00AE0CFF" w:rsidRPr="00B53A5A">
        <w:rPr>
          <w:rFonts w:ascii="Times New Roman" w:eastAsia="Calibri" w:hAnsi="Times New Roman" w:cs="Times New Roman"/>
        </w:rPr>
        <w:t>”</w:t>
      </w:r>
      <w:r>
        <w:rPr>
          <w:rFonts w:ascii="Times New Roman" w:eastAsia="Calibri" w:hAnsi="Times New Roman" w:cs="Times New Roman"/>
        </w:rPr>
        <w:t>[34</w:t>
      </w:r>
      <w:r w:rsidR="00AE0CFF">
        <w:rPr>
          <w:rFonts w:ascii="Times New Roman" w:eastAsia="Calibri" w:hAnsi="Times New Roman" w:cs="Times New Roman"/>
        </w:rPr>
        <w:t>]</w:t>
      </w:r>
      <w:r w:rsidR="00AE0CFF" w:rsidRPr="00B53A5A">
        <w:rPr>
          <w:rFonts w:ascii="Times New Roman" w:eastAsia="Calibri" w:hAnsi="Times New Roman" w:cs="Times New Roman"/>
        </w:rPr>
        <w:t xml:space="preserve"> but it was “</w:t>
      </w:r>
      <w:r w:rsidR="00AE0CFF" w:rsidRPr="00B53A5A">
        <w:rPr>
          <w:rFonts w:ascii="Times New Roman" w:eastAsia="Calibri" w:hAnsi="Times New Roman" w:cs="Times New Roman"/>
          <w:i/>
        </w:rPr>
        <w:t>not impossible given his skills set</w:t>
      </w:r>
      <w:r w:rsidR="00AE0CFF" w:rsidRPr="00B53A5A">
        <w:rPr>
          <w:rFonts w:ascii="Times New Roman" w:eastAsia="Calibri" w:hAnsi="Times New Roman" w:cs="Times New Roman"/>
        </w:rPr>
        <w:t>”</w:t>
      </w:r>
      <w:r>
        <w:rPr>
          <w:rFonts w:ascii="Times New Roman" w:eastAsia="Calibri" w:hAnsi="Times New Roman" w:cs="Times New Roman"/>
        </w:rPr>
        <w:t>[35</w:t>
      </w:r>
      <w:r w:rsidR="00AE0CFF">
        <w:rPr>
          <w:rFonts w:ascii="Times New Roman" w:eastAsia="Calibri" w:hAnsi="Times New Roman" w:cs="Times New Roman"/>
        </w:rPr>
        <w:t>]</w:t>
      </w:r>
      <w:r w:rsidR="00606D7D">
        <w:rPr>
          <w:rFonts w:ascii="Times New Roman" w:eastAsia="Calibri" w:hAnsi="Times New Roman" w:cs="Times New Roman"/>
        </w:rPr>
        <w:t>.</w:t>
      </w:r>
    </w:p>
    <w:p w14:paraId="31AB27FE" w14:textId="77777777" w:rsidR="00AE0CFF" w:rsidRDefault="00AE0CFF" w:rsidP="00AE0CFF">
      <w:pPr>
        <w:contextualSpacing/>
        <w:jc w:val="both"/>
        <w:rPr>
          <w:rFonts w:ascii="Times New Roman" w:eastAsia="Calibri" w:hAnsi="Times New Roman" w:cs="Times New Roman"/>
        </w:rPr>
      </w:pPr>
    </w:p>
    <w:p w14:paraId="7F816AD1" w14:textId="77777777" w:rsidR="00DC5548" w:rsidRPr="00B53A5A" w:rsidRDefault="00DC5548" w:rsidP="0002098B">
      <w:pPr>
        <w:spacing w:after="0" w:line="240" w:lineRule="auto"/>
        <w:jc w:val="both"/>
        <w:rPr>
          <w:rFonts w:ascii="Times New Roman" w:eastAsia="Calibri" w:hAnsi="Times New Roman" w:cs="Times New Roman"/>
          <w:i/>
        </w:rPr>
      </w:pPr>
      <w:r>
        <w:rPr>
          <w:rFonts w:ascii="Times New Roman" w:eastAsia="Calibri" w:hAnsi="Times New Roman" w:cs="Times New Roman"/>
          <w:i/>
        </w:rPr>
        <w:t xml:space="preserve">How old is ‘too old’? </w:t>
      </w:r>
    </w:p>
    <w:p w14:paraId="22EBC751" w14:textId="7DC8A643" w:rsidR="00456514" w:rsidRDefault="00DC5548" w:rsidP="0002098B">
      <w:pPr>
        <w:spacing w:after="0" w:line="240" w:lineRule="auto"/>
        <w:jc w:val="both"/>
        <w:rPr>
          <w:rFonts w:ascii="Times New Roman" w:eastAsia="Calibri" w:hAnsi="Times New Roman" w:cs="Times New Roman"/>
        </w:rPr>
      </w:pPr>
      <w:r w:rsidRPr="00B53A5A">
        <w:rPr>
          <w:rFonts w:ascii="Times New Roman" w:eastAsia="Calibri" w:hAnsi="Times New Roman" w:cs="Times New Roman"/>
        </w:rPr>
        <w:t xml:space="preserve">The research demonstrates that the </w:t>
      </w:r>
      <w:r w:rsidR="00456514">
        <w:rPr>
          <w:rFonts w:ascii="Times New Roman" w:eastAsia="Calibri" w:hAnsi="Times New Roman" w:cs="Times New Roman"/>
        </w:rPr>
        <w:t>assume</w:t>
      </w:r>
      <w:r w:rsidR="003023A1">
        <w:rPr>
          <w:rFonts w:ascii="Times New Roman" w:eastAsia="Calibri" w:hAnsi="Times New Roman" w:cs="Times New Roman"/>
        </w:rPr>
        <w:t>d</w:t>
      </w:r>
      <w:r w:rsidR="00456514">
        <w:rPr>
          <w:rFonts w:ascii="Times New Roman" w:eastAsia="Calibri" w:hAnsi="Times New Roman" w:cs="Times New Roman"/>
        </w:rPr>
        <w:t xml:space="preserve"> </w:t>
      </w:r>
      <w:r w:rsidRPr="00B53A5A">
        <w:rPr>
          <w:rFonts w:ascii="Times New Roman" w:eastAsia="Calibri" w:hAnsi="Times New Roman" w:cs="Times New Roman"/>
        </w:rPr>
        <w:t xml:space="preserve">link between age and ability may potentially span a wide age range, therefore it is only right that the legislation </w:t>
      </w:r>
      <w:r>
        <w:rPr>
          <w:rFonts w:ascii="Times New Roman" w:eastAsia="Calibri" w:hAnsi="Times New Roman" w:cs="Times New Roman"/>
        </w:rPr>
        <w:t>applies</w:t>
      </w:r>
      <w:r w:rsidR="00795234">
        <w:rPr>
          <w:rFonts w:ascii="Times New Roman" w:eastAsia="Calibri" w:hAnsi="Times New Roman" w:cs="Times New Roman"/>
        </w:rPr>
        <w:t xml:space="preserve"> to all age</w:t>
      </w:r>
      <w:r w:rsidR="00862FA6">
        <w:rPr>
          <w:rFonts w:ascii="Times New Roman" w:eastAsia="Calibri" w:hAnsi="Times New Roman" w:cs="Times New Roman"/>
        </w:rPr>
        <w:t>s</w:t>
      </w:r>
      <w:r w:rsidRPr="00B53A5A">
        <w:rPr>
          <w:rFonts w:ascii="Times New Roman" w:eastAsia="Calibri" w:hAnsi="Times New Roman" w:cs="Times New Roman"/>
        </w:rPr>
        <w:t>. Employers may well consider a worker to be ‘</w:t>
      </w:r>
      <w:r w:rsidRPr="00B53A5A">
        <w:rPr>
          <w:rFonts w:ascii="Times New Roman" w:eastAsia="Calibri" w:hAnsi="Times New Roman" w:cs="Times New Roman"/>
          <w:i/>
        </w:rPr>
        <w:t>too old’</w:t>
      </w:r>
      <w:r w:rsidRPr="00B53A5A">
        <w:rPr>
          <w:rFonts w:ascii="Times New Roman" w:eastAsia="Calibri" w:hAnsi="Times New Roman" w:cs="Times New Roman"/>
        </w:rPr>
        <w:t xml:space="preserve"> as young as 36 on the basis of a stereotypical view, which was the case for air traffic controllers</w:t>
      </w:r>
      <w:r>
        <w:rPr>
          <w:rFonts w:ascii="Times New Roman" w:eastAsia="Calibri" w:hAnsi="Times New Roman" w:cs="Times New Roman"/>
        </w:rPr>
        <w:t>[</w:t>
      </w:r>
      <w:r w:rsidR="00D064CD">
        <w:rPr>
          <w:rFonts w:ascii="Times New Roman" w:eastAsia="Calibri" w:hAnsi="Times New Roman" w:cs="Times New Roman"/>
        </w:rPr>
        <w:t>36</w:t>
      </w:r>
      <w:r>
        <w:rPr>
          <w:rFonts w:ascii="Times New Roman" w:eastAsia="Calibri" w:hAnsi="Times New Roman" w:cs="Times New Roman"/>
        </w:rPr>
        <w:t>]</w:t>
      </w:r>
      <w:r w:rsidRPr="00B53A5A">
        <w:rPr>
          <w:rFonts w:ascii="Times New Roman" w:eastAsia="Calibri" w:hAnsi="Times New Roman" w:cs="Times New Roman"/>
        </w:rPr>
        <w:t xml:space="preserve">. </w:t>
      </w:r>
      <w:r>
        <w:rPr>
          <w:rFonts w:ascii="Times New Roman" w:eastAsia="Calibri" w:hAnsi="Times New Roman" w:cs="Times New Roman"/>
        </w:rPr>
        <w:t>B</w:t>
      </w:r>
      <w:r w:rsidRPr="00B53A5A">
        <w:rPr>
          <w:rFonts w:ascii="Times New Roman" w:eastAsia="Calibri" w:hAnsi="Times New Roman" w:cs="Times New Roman"/>
        </w:rPr>
        <w:t xml:space="preserve">y contrast the younger comparator relied upon in the </w:t>
      </w:r>
      <w:r w:rsidRPr="00B53A5A">
        <w:rPr>
          <w:rFonts w:ascii="Times New Roman" w:eastAsia="Calibri" w:hAnsi="Times New Roman" w:cs="Times New Roman"/>
          <w:i/>
        </w:rPr>
        <w:t>Dixon</w:t>
      </w:r>
      <w:r w:rsidRPr="00B53A5A">
        <w:rPr>
          <w:rFonts w:ascii="Times New Roman" w:eastAsia="Calibri" w:hAnsi="Times New Roman" w:cs="Times New Roman"/>
        </w:rPr>
        <w:t xml:space="preserve"> case for </w:t>
      </w:r>
      <w:r>
        <w:rPr>
          <w:rFonts w:ascii="Times New Roman" w:eastAsia="Calibri" w:hAnsi="Times New Roman" w:cs="Times New Roman"/>
        </w:rPr>
        <w:t>the</w:t>
      </w:r>
      <w:r w:rsidRPr="00B53A5A">
        <w:rPr>
          <w:rFonts w:ascii="Times New Roman" w:eastAsia="Calibri" w:hAnsi="Times New Roman" w:cs="Times New Roman"/>
        </w:rPr>
        <w:t xml:space="preserve"> physically demanding role of Head Gamekeeper </w:t>
      </w:r>
      <w:r>
        <w:rPr>
          <w:rFonts w:ascii="Times New Roman" w:eastAsia="Calibri" w:hAnsi="Times New Roman" w:cs="Times New Roman"/>
        </w:rPr>
        <w:t>was</w:t>
      </w:r>
      <w:r w:rsidRPr="00B53A5A">
        <w:rPr>
          <w:rFonts w:ascii="Times New Roman" w:eastAsia="Calibri" w:hAnsi="Times New Roman" w:cs="Times New Roman"/>
        </w:rPr>
        <w:t xml:space="preserve"> </w:t>
      </w:r>
      <w:r w:rsidR="00456514">
        <w:rPr>
          <w:rFonts w:ascii="Times New Roman" w:eastAsia="Calibri" w:hAnsi="Times New Roman" w:cs="Times New Roman"/>
        </w:rPr>
        <w:t>42 ye</w:t>
      </w:r>
      <w:r w:rsidR="00606D7D">
        <w:rPr>
          <w:rFonts w:ascii="Times New Roman" w:eastAsia="Calibri" w:hAnsi="Times New Roman" w:cs="Times New Roman"/>
        </w:rPr>
        <w:t>ars of age</w:t>
      </w:r>
      <w:r w:rsidR="00D064CD">
        <w:rPr>
          <w:rFonts w:ascii="Times New Roman" w:eastAsia="Calibri" w:hAnsi="Times New Roman" w:cs="Times New Roman"/>
        </w:rPr>
        <w:t>[37</w:t>
      </w:r>
      <w:r>
        <w:rPr>
          <w:rFonts w:ascii="Times New Roman" w:eastAsia="Calibri" w:hAnsi="Times New Roman" w:cs="Times New Roman"/>
        </w:rPr>
        <w:t>].</w:t>
      </w:r>
      <w:r w:rsidRPr="00B53A5A">
        <w:rPr>
          <w:rFonts w:ascii="Times New Roman" w:eastAsia="Calibri" w:hAnsi="Times New Roman" w:cs="Times New Roman"/>
        </w:rPr>
        <w:t xml:space="preserve"> This demonstrates that it is extremely difficult to identify at what age you may be subject to a stereotypical view that you are </w:t>
      </w:r>
      <w:r>
        <w:rPr>
          <w:rFonts w:ascii="Times New Roman" w:eastAsia="Calibri" w:hAnsi="Times New Roman" w:cs="Times New Roman"/>
        </w:rPr>
        <w:t>‘</w:t>
      </w:r>
      <w:r w:rsidRPr="00126853">
        <w:rPr>
          <w:rFonts w:ascii="Times New Roman" w:eastAsia="Calibri" w:hAnsi="Times New Roman" w:cs="Times New Roman"/>
          <w:i/>
        </w:rPr>
        <w:t>too old’</w:t>
      </w:r>
      <w:r w:rsidRPr="00B53A5A">
        <w:rPr>
          <w:rFonts w:ascii="Times New Roman" w:eastAsia="Calibri" w:hAnsi="Times New Roman" w:cs="Times New Roman"/>
        </w:rPr>
        <w:t xml:space="preserve"> and that it may span a wide age range. </w:t>
      </w:r>
    </w:p>
    <w:p w14:paraId="0655EEF7" w14:textId="26A18926" w:rsidR="00FA6BAD" w:rsidRDefault="00DC5548" w:rsidP="00C96D73">
      <w:pPr>
        <w:spacing w:after="0" w:line="240" w:lineRule="auto"/>
        <w:ind w:firstLine="720"/>
        <w:jc w:val="both"/>
        <w:rPr>
          <w:rFonts w:ascii="Times New Roman" w:eastAsia="Calibri" w:hAnsi="Times New Roman" w:cs="Times New Roman"/>
          <w:i/>
        </w:rPr>
      </w:pPr>
      <w:r w:rsidRPr="00B53A5A">
        <w:rPr>
          <w:rFonts w:ascii="Times New Roman" w:eastAsia="Calibri" w:hAnsi="Times New Roman" w:cs="Times New Roman"/>
        </w:rPr>
        <w:t xml:space="preserve">However, by far the most common age subject to age stereotyping </w:t>
      </w:r>
      <w:r>
        <w:rPr>
          <w:rFonts w:ascii="Times New Roman" w:eastAsia="Calibri" w:hAnsi="Times New Roman" w:cs="Times New Roman"/>
        </w:rPr>
        <w:t xml:space="preserve">in the research sample </w:t>
      </w:r>
      <w:r w:rsidRPr="00B53A5A">
        <w:rPr>
          <w:rFonts w:ascii="Times New Roman" w:eastAsia="Calibri" w:hAnsi="Times New Roman" w:cs="Times New Roman"/>
        </w:rPr>
        <w:t xml:space="preserve">and considered </w:t>
      </w:r>
      <w:r w:rsidRPr="00B53A5A">
        <w:rPr>
          <w:rFonts w:ascii="Times New Roman" w:eastAsia="Calibri" w:hAnsi="Times New Roman" w:cs="Times New Roman"/>
          <w:i/>
        </w:rPr>
        <w:t>'too old'</w:t>
      </w:r>
      <w:r w:rsidRPr="00B53A5A">
        <w:rPr>
          <w:rFonts w:ascii="Times New Roman" w:eastAsia="Calibri" w:hAnsi="Times New Roman" w:cs="Times New Roman"/>
        </w:rPr>
        <w:t xml:space="preserve"> were those </w:t>
      </w:r>
      <w:r w:rsidR="00456514">
        <w:rPr>
          <w:rFonts w:ascii="Times New Roman" w:eastAsia="Calibri" w:hAnsi="Times New Roman" w:cs="Times New Roman"/>
        </w:rPr>
        <w:t xml:space="preserve">aged </w:t>
      </w:r>
      <w:r w:rsidRPr="00B53A5A">
        <w:rPr>
          <w:rFonts w:ascii="Times New Roman" w:eastAsia="Calibri" w:hAnsi="Times New Roman" w:cs="Times New Roman"/>
        </w:rPr>
        <w:t xml:space="preserve">65 and over. This is a slightly higher age than the earlier study by Taylor and Walker </w:t>
      </w:r>
      <w:r w:rsidR="00456514">
        <w:rPr>
          <w:rFonts w:ascii="Times New Roman" w:eastAsia="Calibri" w:hAnsi="Times New Roman" w:cs="Times New Roman"/>
        </w:rPr>
        <w:t>(1</w:t>
      </w:r>
      <w:r w:rsidRPr="00B53A5A">
        <w:rPr>
          <w:rFonts w:ascii="Times New Roman" w:eastAsia="Calibri" w:hAnsi="Times New Roman" w:cs="Times New Roman"/>
        </w:rPr>
        <w:t>992</w:t>
      </w:r>
      <w:r w:rsidR="00456514">
        <w:rPr>
          <w:rFonts w:ascii="Times New Roman" w:eastAsia="Calibri" w:hAnsi="Times New Roman" w:cs="Times New Roman"/>
        </w:rPr>
        <w:t>)</w:t>
      </w:r>
      <w:r w:rsidRPr="00B53A5A">
        <w:rPr>
          <w:rFonts w:ascii="Times New Roman" w:eastAsia="Calibri" w:hAnsi="Times New Roman" w:cs="Times New Roman"/>
        </w:rPr>
        <w:t xml:space="preserve"> which </w:t>
      </w:r>
      <w:r w:rsidR="00CD6421">
        <w:rPr>
          <w:rFonts w:ascii="Times New Roman" w:eastAsia="Calibri" w:hAnsi="Times New Roman" w:cs="Times New Roman"/>
        </w:rPr>
        <w:t>indicated</w:t>
      </w:r>
      <w:r w:rsidR="00CD6421" w:rsidRPr="00B53A5A">
        <w:rPr>
          <w:rFonts w:ascii="Times New Roman" w:eastAsia="Calibri" w:hAnsi="Times New Roman" w:cs="Times New Roman"/>
        </w:rPr>
        <w:t xml:space="preserve"> </w:t>
      </w:r>
      <w:r w:rsidRPr="00B53A5A">
        <w:rPr>
          <w:rFonts w:ascii="Times New Roman" w:eastAsia="Calibri" w:hAnsi="Times New Roman" w:cs="Times New Roman"/>
        </w:rPr>
        <w:t xml:space="preserve">that 60% of employers felt that at the age of 60 an individual would be </w:t>
      </w:r>
      <w:r w:rsidRPr="00B53A5A">
        <w:rPr>
          <w:rFonts w:ascii="Times New Roman" w:eastAsia="Calibri" w:hAnsi="Times New Roman" w:cs="Times New Roman"/>
          <w:i/>
        </w:rPr>
        <w:t>'too old'</w:t>
      </w:r>
      <w:r w:rsidRPr="00B53A5A">
        <w:rPr>
          <w:rFonts w:ascii="Times New Roman" w:eastAsia="Calibri" w:hAnsi="Times New Roman" w:cs="Times New Roman"/>
        </w:rPr>
        <w:t xml:space="preserve"> to employ. This suggests that there may have been a shift in view as to what age an individual </w:t>
      </w:r>
      <w:r>
        <w:rPr>
          <w:rFonts w:ascii="Times New Roman" w:eastAsia="Calibri" w:hAnsi="Times New Roman" w:cs="Times New Roman"/>
        </w:rPr>
        <w:t>is more likely to be</w:t>
      </w:r>
      <w:r w:rsidRPr="00B53A5A">
        <w:rPr>
          <w:rFonts w:ascii="Times New Roman" w:eastAsia="Calibri" w:hAnsi="Times New Roman" w:cs="Times New Roman"/>
        </w:rPr>
        <w:t xml:space="preserve"> assumed to be </w:t>
      </w:r>
      <w:r w:rsidR="00CD6421">
        <w:rPr>
          <w:rFonts w:ascii="Times New Roman" w:eastAsia="Calibri" w:hAnsi="Times New Roman" w:cs="Times New Roman"/>
        </w:rPr>
        <w:t>‘</w:t>
      </w:r>
      <w:r w:rsidRPr="00B53A5A">
        <w:rPr>
          <w:rFonts w:ascii="Times New Roman" w:eastAsia="Calibri" w:hAnsi="Times New Roman" w:cs="Times New Roman"/>
        </w:rPr>
        <w:t>too old</w:t>
      </w:r>
      <w:r w:rsidR="00CD6421">
        <w:rPr>
          <w:rFonts w:ascii="Times New Roman" w:eastAsia="Calibri" w:hAnsi="Times New Roman" w:cs="Times New Roman"/>
        </w:rPr>
        <w:t>’</w:t>
      </w:r>
      <w:r w:rsidRPr="00B53A5A">
        <w:rPr>
          <w:rFonts w:ascii="Times New Roman" w:eastAsia="Calibri" w:hAnsi="Times New Roman" w:cs="Times New Roman"/>
        </w:rPr>
        <w:t xml:space="preserve">. </w:t>
      </w:r>
    </w:p>
    <w:p w14:paraId="53CF2BFD" w14:textId="1FB1B78B" w:rsidR="001C5EA9" w:rsidRDefault="001C5EA9" w:rsidP="00624902">
      <w:pPr>
        <w:spacing w:after="0" w:line="240" w:lineRule="auto"/>
        <w:jc w:val="both"/>
        <w:rPr>
          <w:rFonts w:ascii="Times New Roman" w:eastAsia="Calibri" w:hAnsi="Times New Roman" w:cs="Times New Roman"/>
          <w:i/>
        </w:rPr>
      </w:pPr>
    </w:p>
    <w:p w14:paraId="7FDB1DB8" w14:textId="14100DF6" w:rsidR="004F1DDE" w:rsidRDefault="004F1DDE" w:rsidP="00624902">
      <w:pPr>
        <w:spacing w:after="0" w:line="240" w:lineRule="auto"/>
        <w:jc w:val="both"/>
        <w:rPr>
          <w:rFonts w:ascii="Times New Roman" w:eastAsia="Calibri" w:hAnsi="Times New Roman" w:cs="Times New Roman"/>
          <w:i/>
        </w:rPr>
      </w:pPr>
    </w:p>
    <w:p w14:paraId="46F4626B" w14:textId="77777777" w:rsidR="004F1DDE" w:rsidRDefault="004F1DDE" w:rsidP="00624902">
      <w:pPr>
        <w:spacing w:after="0" w:line="240" w:lineRule="auto"/>
        <w:jc w:val="both"/>
        <w:rPr>
          <w:rFonts w:ascii="Times New Roman" w:eastAsia="Calibri" w:hAnsi="Times New Roman" w:cs="Times New Roman"/>
          <w:i/>
        </w:rPr>
      </w:pPr>
    </w:p>
    <w:p w14:paraId="1D30BC7C" w14:textId="21DF15D9" w:rsidR="00DC5548" w:rsidRPr="001E2CF3" w:rsidRDefault="00DC5548" w:rsidP="00624902">
      <w:pPr>
        <w:spacing w:after="0" w:line="240" w:lineRule="auto"/>
        <w:jc w:val="both"/>
        <w:rPr>
          <w:rFonts w:ascii="Times New Roman" w:eastAsia="Calibri" w:hAnsi="Times New Roman" w:cs="Times New Roman"/>
        </w:rPr>
      </w:pPr>
      <w:r w:rsidRPr="00B53A5A">
        <w:rPr>
          <w:rFonts w:ascii="Times New Roman" w:eastAsia="Calibri" w:hAnsi="Times New Roman" w:cs="Times New Roman"/>
          <w:i/>
        </w:rPr>
        <w:t xml:space="preserve">How </w:t>
      </w:r>
      <w:r>
        <w:rPr>
          <w:rFonts w:ascii="Times New Roman" w:eastAsia="Calibri" w:hAnsi="Times New Roman" w:cs="Times New Roman"/>
          <w:i/>
        </w:rPr>
        <w:t xml:space="preserve">the age stereotyping </w:t>
      </w:r>
      <w:r w:rsidR="001C08E0">
        <w:rPr>
          <w:rFonts w:ascii="Times New Roman" w:eastAsia="Calibri" w:hAnsi="Times New Roman" w:cs="Times New Roman"/>
          <w:i/>
        </w:rPr>
        <w:t>manifested</w:t>
      </w:r>
    </w:p>
    <w:p w14:paraId="71BB9592" w14:textId="738EC0FD" w:rsidR="00DC5548" w:rsidRPr="0002098B" w:rsidRDefault="00DC5548" w:rsidP="00DC5548">
      <w:pPr>
        <w:spacing w:after="0" w:line="240" w:lineRule="auto"/>
        <w:jc w:val="both"/>
        <w:rPr>
          <w:rFonts w:ascii="Times New Roman" w:hAnsi="Times New Roman"/>
        </w:rPr>
      </w:pPr>
      <w:r w:rsidRPr="00B53A5A">
        <w:rPr>
          <w:rFonts w:ascii="Times New Roman" w:hAnsi="Times New Roman" w:cs="Times New Roman"/>
        </w:rPr>
        <w:t xml:space="preserve">Age stereotyping was </w:t>
      </w:r>
      <w:r>
        <w:rPr>
          <w:rFonts w:ascii="Times New Roman" w:hAnsi="Times New Roman" w:cs="Times New Roman"/>
        </w:rPr>
        <w:t>most</w:t>
      </w:r>
      <w:r w:rsidRPr="00B53A5A">
        <w:rPr>
          <w:rFonts w:ascii="Times New Roman" w:hAnsi="Times New Roman" w:cs="Times New Roman"/>
        </w:rPr>
        <w:t xml:space="preserve"> likely to manifest in the form of verbal comments by the employer to the individual concerned, particularly </w:t>
      </w:r>
      <w:r>
        <w:rPr>
          <w:rFonts w:ascii="Times New Roman" w:hAnsi="Times New Roman" w:cs="Times New Roman"/>
        </w:rPr>
        <w:t>where there ha</w:t>
      </w:r>
      <w:r w:rsidR="00CD6421">
        <w:rPr>
          <w:rFonts w:ascii="Times New Roman" w:hAnsi="Times New Roman" w:cs="Times New Roman"/>
        </w:rPr>
        <w:t>d</w:t>
      </w:r>
      <w:r>
        <w:rPr>
          <w:rFonts w:ascii="Times New Roman" w:hAnsi="Times New Roman" w:cs="Times New Roman"/>
        </w:rPr>
        <w:t xml:space="preserve"> been an assumed decline in their physical or mental ability</w:t>
      </w:r>
      <w:r w:rsidRPr="00B53A5A">
        <w:rPr>
          <w:rFonts w:ascii="Times New Roman" w:hAnsi="Times New Roman" w:cs="Times New Roman"/>
        </w:rPr>
        <w:t>.</w:t>
      </w:r>
      <w:r w:rsidRPr="00B53A5A">
        <w:rPr>
          <w:rFonts w:ascii="Times New Roman" w:eastAsia="Calibri" w:hAnsi="Times New Roman" w:cs="Times New Roman"/>
        </w:rPr>
        <w:t xml:space="preserve"> </w:t>
      </w:r>
      <w:r>
        <w:rPr>
          <w:rFonts w:ascii="Times New Roman" w:hAnsi="Times New Roman"/>
        </w:rPr>
        <w:t>In one case</w:t>
      </w:r>
      <w:r w:rsidRPr="00B53A5A">
        <w:rPr>
          <w:rFonts w:ascii="Times New Roman" w:hAnsi="Times New Roman"/>
        </w:rPr>
        <w:t xml:space="preserve"> the employee was specifically told that the employer </w:t>
      </w:r>
      <w:r w:rsidR="00CD6421">
        <w:rPr>
          <w:rFonts w:ascii="Times New Roman" w:hAnsi="Times New Roman"/>
        </w:rPr>
        <w:t>would</w:t>
      </w:r>
      <w:r w:rsidR="00CD6421" w:rsidRPr="00B53A5A">
        <w:rPr>
          <w:rFonts w:ascii="Times New Roman" w:hAnsi="Times New Roman"/>
        </w:rPr>
        <w:t xml:space="preserve"> </w:t>
      </w:r>
      <w:r w:rsidRPr="00B53A5A">
        <w:rPr>
          <w:rFonts w:ascii="Times New Roman" w:hAnsi="Times New Roman"/>
        </w:rPr>
        <w:t>not employ anyone over a particular age due to assumed concerns over health and safety</w:t>
      </w:r>
      <w:r w:rsidR="001C08E0">
        <w:rPr>
          <w:rFonts w:ascii="Times New Roman" w:hAnsi="Times New Roman"/>
        </w:rPr>
        <w:t>[38</w:t>
      </w:r>
      <w:r>
        <w:rPr>
          <w:rFonts w:ascii="Times New Roman" w:hAnsi="Times New Roman"/>
        </w:rPr>
        <w:t>]</w:t>
      </w:r>
      <w:r w:rsidRPr="00B53A5A">
        <w:rPr>
          <w:rFonts w:ascii="Times New Roman" w:hAnsi="Times New Roman"/>
        </w:rPr>
        <w:t xml:space="preserve">. In some cases the stereotype manifested in a malevolent way. For example in </w:t>
      </w:r>
      <w:r w:rsidRPr="00B53A5A">
        <w:rPr>
          <w:rFonts w:ascii="Times New Roman" w:hAnsi="Times New Roman"/>
          <w:i/>
        </w:rPr>
        <w:t>Berrill v W Corbetts and Company (Galvanising) Ltd</w:t>
      </w:r>
      <w:r w:rsidR="001C08E0">
        <w:rPr>
          <w:rFonts w:ascii="Times New Roman" w:hAnsi="Times New Roman"/>
        </w:rPr>
        <w:t>[39</w:t>
      </w:r>
      <w:r>
        <w:rPr>
          <w:rFonts w:ascii="Times New Roman" w:hAnsi="Times New Roman"/>
        </w:rPr>
        <w:t>]</w:t>
      </w:r>
      <w:r w:rsidRPr="00B53A5A">
        <w:rPr>
          <w:rFonts w:ascii="Times New Roman" w:hAnsi="Times New Roman"/>
        </w:rPr>
        <w:t xml:space="preserve"> the employer openly mocked </w:t>
      </w:r>
      <w:r w:rsidR="00456514">
        <w:rPr>
          <w:rFonts w:ascii="Times New Roman" w:hAnsi="Times New Roman"/>
        </w:rPr>
        <w:t>the claimant that he</w:t>
      </w:r>
      <w:r w:rsidRPr="00B53A5A">
        <w:rPr>
          <w:rFonts w:ascii="Times New Roman" w:hAnsi="Times New Roman"/>
        </w:rPr>
        <w:t xml:space="preserve"> was</w:t>
      </w:r>
      <w:r w:rsidR="0058567A">
        <w:rPr>
          <w:rFonts w:ascii="Times New Roman" w:hAnsi="Times New Roman"/>
        </w:rPr>
        <w:t xml:space="preserve"> </w:t>
      </w:r>
      <w:r w:rsidRPr="00B53A5A">
        <w:rPr>
          <w:rFonts w:ascii="Times New Roman" w:hAnsi="Times New Roman"/>
        </w:rPr>
        <w:t>‘</w:t>
      </w:r>
      <w:r>
        <w:rPr>
          <w:rFonts w:ascii="Times New Roman" w:hAnsi="Times New Roman"/>
          <w:i/>
        </w:rPr>
        <w:t>past it granddad</w:t>
      </w:r>
      <w:r w:rsidRPr="00B53A5A">
        <w:rPr>
          <w:rFonts w:ascii="Times New Roman" w:hAnsi="Times New Roman"/>
          <w:i/>
        </w:rPr>
        <w:t>’</w:t>
      </w:r>
      <w:r w:rsidR="00A05DE4">
        <w:rPr>
          <w:rFonts w:ascii="Times New Roman" w:hAnsi="Times New Roman"/>
        </w:rPr>
        <w:t xml:space="preserve"> who should ‘</w:t>
      </w:r>
      <w:r w:rsidR="00A05DE4" w:rsidRPr="00A05DE4">
        <w:rPr>
          <w:rFonts w:ascii="Times New Roman" w:hAnsi="Times New Roman"/>
          <w:i/>
        </w:rPr>
        <w:t>move on’</w:t>
      </w:r>
      <w:r w:rsidR="001C08E0">
        <w:rPr>
          <w:rFonts w:ascii="Times New Roman" w:hAnsi="Times New Roman"/>
        </w:rPr>
        <w:t>[40</w:t>
      </w:r>
      <w:r>
        <w:rPr>
          <w:rFonts w:ascii="Times New Roman" w:hAnsi="Times New Roman"/>
        </w:rPr>
        <w:t>]</w:t>
      </w:r>
      <w:r w:rsidRPr="00B53A5A">
        <w:rPr>
          <w:rFonts w:ascii="Times New Roman" w:hAnsi="Times New Roman"/>
        </w:rPr>
        <w:t xml:space="preserve"> and in another the employee was to be replaced by a </w:t>
      </w:r>
      <w:r w:rsidRPr="00B53A5A">
        <w:rPr>
          <w:rFonts w:ascii="Times New Roman" w:hAnsi="Times New Roman"/>
          <w:i/>
        </w:rPr>
        <w:t>'young, fit blonde</w:t>
      </w:r>
      <w:r w:rsidRPr="00B53A5A">
        <w:rPr>
          <w:rFonts w:ascii="Times New Roman" w:hAnsi="Times New Roman"/>
        </w:rPr>
        <w:t>'</w:t>
      </w:r>
      <w:r w:rsidR="001C08E0">
        <w:rPr>
          <w:rFonts w:ascii="Times New Roman" w:hAnsi="Times New Roman"/>
        </w:rPr>
        <w:t>[41</w:t>
      </w:r>
      <w:r>
        <w:rPr>
          <w:rFonts w:ascii="Times New Roman" w:hAnsi="Times New Roman"/>
        </w:rPr>
        <w:t>]</w:t>
      </w:r>
      <w:r w:rsidR="001C08E0">
        <w:rPr>
          <w:rFonts w:ascii="Times New Roman" w:hAnsi="Times New Roman"/>
        </w:rPr>
        <w:t>.</w:t>
      </w:r>
      <w:r w:rsidR="00606D7D">
        <w:rPr>
          <w:rFonts w:ascii="Times New Roman" w:hAnsi="Times New Roman"/>
        </w:rPr>
        <w:t xml:space="preserve"> Where the </w:t>
      </w:r>
      <w:r>
        <w:rPr>
          <w:rFonts w:ascii="Times New Roman" w:hAnsi="Times New Roman"/>
        </w:rPr>
        <w:t>employer</w:t>
      </w:r>
      <w:r w:rsidRPr="00B53A5A">
        <w:rPr>
          <w:rFonts w:ascii="Times New Roman" w:hAnsi="Times New Roman"/>
        </w:rPr>
        <w:t xml:space="preserve"> wanted ‘</w:t>
      </w:r>
      <w:r w:rsidRPr="00B53A5A">
        <w:rPr>
          <w:rFonts w:ascii="Times New Roman" w:hAnsi="Times New Roman"/>
          <w:i/>
        </w:rPr>
        <w:t>fresh blood’</w:t>
      </w:r>
      <w:r w:rsidR="001C08E0">
        <w:rPr>
          <w:rFonts w:ascii="Times New Roman" w:hAnsi="Times New Roman"/>
        </w:rPr>
        <w:t>[42</w:t>
      </w:r>
      <w:r>
        <w:rPr>
          <w:rFonts w:ascii="Times New Roman" w:hAnsi="Times New Roman"/>
        </w:rPr>
        <w:t>]</w:t>
      </w:r>
      <w:r w:rsidRPr="00B53A5A">
        <w:rPr>
          <w:rFonts w:ascii="Times New Roman" w:hAnsi="Times New Roman"/>
          <w:i/>
        </w:rPr>
        <w:t xml:space="preserve"> </w:t>
      </w:r>
      <w:r>
        <w:rPr>
          <w:rFonts w:ascii="Times New Roman" w:hAnsi="Times New Roman"/>
        </w:rPr>
        <w:t xml:space="preserve">the claimant’s evidence </w:t>
      </w:r>
      <w:r w:rsidR="00606D7D">
        <w:rPr>
          <w:rFonts w:ascii="Times New Roman" w:hAnsi="Times New Roman"/>
        </w:rPr>
        <w:t xml:space="preserve">was </w:t>
      </w:r>
      <w:r>
        <w:rPr>
          <w:rFonts w:ascii="Times New Roman" w:hAnsi="Times New Roman"/>
        </w:rPr>
        <w:t xml:space="preserve">that he was threatened </w:t>
      </w:r>
      <w:r w:rsidR="00456514">
        <w:rPr>
          <w:rFonts w:ascii="Times New Roman" w:hAnsi="Times New Roman"/>
        </w:rPr>
        <w:t>by his employer that</w:t>
      </w:r>
      <w:r w:rsidRPr="00B53A5A">
        <w:rPr>
          <w:rFonts w:ascii="Times New Roman" w:hAnsi="Times New Roman"/>
        </w:rPr>
        <w:t xml:space="preserve"> </w:t>
      </w:r>
      <w:r>
        <w:rPr>
          <w:rFonts w:ascii="Times New Roman" w:hAnsi="Times New Roman"/>
        </w:rPr>
        <w:t>if</w:t>
      </w:r>
      <w:r w:rsidRPr="00B53A5A">
        <w:rPr>
          <w:rFonts w:ascii="Times New Roman" w:hAnsi="Times New Roman"/>
        </w:rPr>
        <w:t xml:space="preserve"> he brought an ET claim he would not receive more </w:t>
      </w:r>
      <w:r w:rsidR="00795234">
        <w:rPr>
          <w:rFonts w:ascii="Times New Roman" w:hAnsi="Times New Roman"/>
        </w:rPr>
        <w:t xml:space="preserve">compensation </w:t>
      </w:r>
      <w:r w:rsidRPr="00B53A5A">
        <w:rPr>
          <w:rFonts w:ascii="Times New Roman" w:hAnsi="Times New Roman"/>
        </w:rPr>
        <w:t>than the</w:t>
      </w:r>
      <w:r>
        <w:rPr>
          <w:rFonts w:ascii="Times New Roman" w:hAnsi="Times New Roman"/>
        </w:rPr>
        <w:t xml:space="preserve"> p</w:t>
      </w:r>
      <w:r w:rsidR="001C08E0">
        <w:rPr>
          <w:rFonts w:ascii="Times New Roman" w:hAnsi="Times New Roman"/>
        </w:rPr>
        <w:t>ayment they were offering him[43</w:t>
      </w:r>
      <w:r>
        <w:rPr>
          <w:rFonts w:ascii="Times New Roman" w:hAnsi="Times New Roman"/>
        </w:rPr>
        <w:t>].</w:t>
      </w:r>
      <w:r w:rsidRPr="00B53A5A">
        <w:rPr>
          <w:rFonts w:ascii="Times New Roman" w:hAnsi="Times New Roman"/>
        </w:rPr>
        <w:t xml:space="preserve"> </w:t>
      </w:r>
    </w:p>
    <w:p w14:paraId="4465E88B" w14:textId="2571FFA7" w:rsidR="001C08E0" w:rsidRDefault="001C08E0" w:rsidP="001C08E0">
      <w:pPr>
        <w:spacing w:after="0" w:line="240" w:lineRule="auto"/>
        <w:ind w:firstLine="720"/>
        <w:jc w:val="both"/>
        <w:rPr>
          <w:rFonts w:ascii="Times New Roman" w:eastAsia="Calibri" w:hAnsi="Times New Roman" w:cs="Times New Roman"/>
        </w:rPr>
      </w:pPr>
      <w:r>
        <w:rPr>
          <w:rFonts w:ascii="Times New Roman" w:hAnsi="Times New Roman" w:cs="Times New Roman"/>
        </w:rPr>
        <w:t>I</w:t>
      </w:r>
      <w:r w:rsidR="00DC5548" w:rsidRPr="00B53A5A">
        <w:rPr>
          <w:rFonts w:ascii="Times New Roman" w:hAnsi="Times New Roman" w:cs="Times New Roman"/>
        </w:rPr>
        <w:t xml:space="preserve">n some </w:t>
      </w:r>
      <w:r w:rsidR="00606D7D">
        <w:rPr>
          <w:rFonts w:ascii="Times New Roman" w:hAnsi="Times New Roman" w:cs="Times New Roman"/>
        </w:rPr>
        <w:t>cases,</w:t>
      </w:r>
      <w:r w:rsidR="00DC5548" w:rsidRPr="00B53A5A">
        <w:rPr>
          <w:rFonts w:ascii="Times New Roman" w:hAnsi="Times New Roman" w:cs="Times New Roman"/>
        </w:rPr>
        <w:t xml:space="preserve"> age stereotyping manifested in written communication. </w:t>
      </w:r>
      <w:r w:rsidR="00DC5548">
        <w:rPr>
          <w:rFonts w:ascii="Times New Roman" w:hAnsi="Times New Roman" w:cs="Times New Roman"/>
        </w:rPr>
        <w:t>One</w:t>
      </w:r>
      <w:r w:rsidR="00DC5548">
        <w:rPr>
          <w:rFonts w:ascii="Times New Roman" w:eastAsia="Calibri" w:hAnsi="Times New Roman" w:cs="Times New Roman"/>
        </w:rPr>
        <w:t xml:space="preserve"> employer had an </w:t>
      </w:r>
      <w:r w:rsidR="00DC5548" w:rsidRPr="00B53A5A">
        <w:rPr>
          <w:rFonts w:ascii="Times New Roman" w:hAnsi="Times New Roman"/>
          <w:i/>
        </w:rPr>
        <w:t>‘age category’</w:t>
      </w:r>
      <w:r w:rsidR="00DC5548" w:rsidRPr="00B53A5A">
        <w:rPr>
          <w:rFonts w:ascii="Times New Roman" w:hAnsi="Times New Roman"/>
        </w:rPr>
        <w:t xml:space="preserve"> within the</w:t>
      </w:r>
      <w:r w:rsidR="00DC5548">
        <w:rPr>
          <w:rFonts w:ascii="Times New Roman" w:hAnsi="Times New Roman"/>
        </w:rPr>
        <w:t>ir</w:t>
      </w:r>
      <w:r w:rsidR="00DC5548" w:rsidRPr="00B53A5A">
        <w:rPr>
          <w:rFonts w:ascii="Times New Roman" w:hAnsi="Times New Roman"/>
        </w:rPr>
        <w:t xml:space="preserve"> interview notes</w:t>
      </w:r>
      <w:r>
        <w:rPr>
          <w:rFonts w:ascii="Times New Roman" w:hAnsi="Times New Roman"/>
        </w:rPr>
        <w:t>[44</w:t>
      </w:r>
      <w:r w:rsidR="00DC5548">
        <w:rPr>
          <w:rFonts w:ascii="Times New Roman" w:hAnsi="Times New Roman"/>
        </w:rPr>
        <w:t>]</w:t>
      </w:r>
      <w:r w:rsidR="00700AB7">
        <w:rPr>
          <w:rFonts w:ascii="Times New Roman" w:hAnsi="Times New Roman"/>
        </w:rPr>
        <w:t>.</w:t>
      </w:r>
      <w:r w:rsidR="00835FA3">
        <w:rPr>
          <w:rFonts w:ascii="Times New Roman" w:hAnsi="Times New Roman" w:cs="Times New Roman"/>
        </w:rPr>
        <w:t xml:space="preserve"> </w:t>
      </w:r>
      <w:r w:rsidR="00700AB7">
        <w:rPr>
          <w:rFonts w:ascii="Times New Roman" w:hAnsi="Times New Roman" w:cs="Times New Roman"/>
        </w:rPr>
        <w:t>I</w:t>
      </w:r>
      <w:r w:rsidR="00DC5548">
        <w:rPr>
          <w:rFonts w:ascii="Times New Roman" w:hAnsi="Times New Roman" w:cs="Times New Roman"/>
        </w:rPr>
        <w:t xml:space="preserve">n another </w:t>
      </w:r>
      <w:r w:rsidR="00700AB7">
        <w:rPr>
          <w:rFonts w:ascii="Times New Roman" w:hAnsi="Times New Roman" w:cs="Times New Roman"/>
        </w:rPr>
        <w:t xml:space="preserve">case </w:t>
      </w:r>
      <w:r w:rsidR="00DC5548">
        <w:rPr>
          <w:rFonts w:ascii="Times New Roman" w:hAnsi="Times New Roman" w:cs="Times New Roman"/>
        </w:rPr>
        <w:t xml:space="preserve">the </w:t>
      </w:r>
      <w:r w:rsidR="00DC5548" w:rsidRPr="00B53A5A">
        <w:rPr>
          <w:rFonts w:ascii="Times New Roman" w:hAnsi="Times New Roman" w:cs="Times New Roman"/>
        </w:rPr>
        <w:t>stereotyping was appar</w:t>
      </w:r>
      <w:r w:rsidR="00DC5548">
        <w:rPr>
          <w:rFonts w:ascii="Times New Roman" w:hAnsi="Times New Roman" w:cs="Times New Roman"/>
        </w:rPr>
        <w:t>ent in two letters sent by the respondent to the c</w:t>
      </w:r>
      <w:r w:rsidR="00DC5548" w:rsidRPr="00B53A5A">
        <w:rPr>
          <w:rFonts w:ascii="Times New Roman" w:hAnsi="Times New Roman" w:cs="Times New Roman"/>
        </w:rPr>
        <w:t>laimant</w:t>
      </w:r>
      <w:r w:rsidR="0058567A">
        <w:rPr>
          <w:rFonts w:ascii="Times New Roman" w:hAnsi="Times New Roman" w:cs="Times New Roman"/>
        </w:rPr>
        <w:t>,</w:t>
      </w:r>
      <w:r w:rsidR="00DC5548">
        <w:rPr>
          <w:rFonts w:ascii="Times New Roman" w:hAnsi="Times New Roman" w:cs="Times New Roman"/>
        </w:rPr>
        <w:t xml:space="preserve"> one of which </w:t>
      </w:r>
      <w:r w:rsidR="00DC5548" w:rsidRPr="00B53A5A">
        <w:rPr>
          <w:rFonts w:ascii="Times New Roman" w:hAnsi="Times New Roman" w:cs="Times New Roman"/>
        </w:rPr>
        <w:t xml:space="preserve">enquired whether she was tired after her shift and </w:t>
      </w:r>
      <w:r w:rsidR="00DC5548" w:rsidRPr="00B53A5A">
        <w:rPr>
          <w:rFonts w:ascii="Times New Roman" w:hAnsi="Times New Roman" w:cs="Times New Roman"/>
          <w:i/>
        </w:rPr>
        <w:t xml:space="preserve">‘if so, considering your age, perhaps you are telling me you would wish to </w:t>
      </w:r>
      <w:r>
        <w:rPr>
          <w:rFonts w:ascii="Times New Roman" w:hAnsi="Times New Roman" w:cs="Times New Roman"/>
          <w:i/>
        </w:rPr>
        <w:t>cut your hours back</w:t>
      </w:r>
      <w:r w:rsidR="00DC5548" w:rsidRPr="00B53A5A">
        <w:rPr>
          <w:rFonts w:ascii="Times New Roman" w:hAnsi="Times New Roman" w:cs="Times New Roman"/>
          <w:i/>
        </w:rPr>
        <w:t>’</w:t>
      </w:r>
      <w:r>
        <w:rPr>
          <w:rFonts w:ascii="Times New Roman" w:hAnsi="Times New Roman" w:cs="Times New Roman"/>
        </w:rPr>
        <w:t>[45</w:t>
      </w:r>
      <w:r w:rsidR="00DC5548">
        <w:rPr>
          <w:rFonts w:ascii="Times New Roman" w:hAnsi="Times New Roman" w:cs="Times New Roman"/>
        </w:rPr>
        <w:t>]</w:t>
      </w:r>
      <w:r>
        <w:rPr>
          <w:rFonts w:ascii="Times New Roman" w:hAnsi="Times New Roman" w:cs="Times New Roman"/>
        </w:rPr>
        <w:t>.</w:t>
      </w:r>
      <w:r w:rsidR="00DC5548" w:rsidRPr="00B53A5A">
        <w:rPr>
          <w:rFonts w:ascii="Times New Roman" w:hAnsi="Times New Roman" w:cs="Times New Roman"/>
        </w:rPr>
        <w:t xml:space="preserve"> In </w:t>
      </w:r>
      <w:r w:rsidR="009B104B">
        <w:rPr>
          <w:rFonts w:ascii="Times New Roman" w:hAnsi="Times New Roman" w:cs="Times New Roman"/>
        </w:rPr>
        <w:t xml:space="preserve">the </w:t>
      </w:r>
      <w:r w:rsidR="00DC5548" w:rsidRPr="00B53A5A">
        <w:rPr>
          <w:rFonts w:ascii="Times New Roman" w:hAnsi="Times New Roman" w:cs="Times New Roman"/>
          <w:i/>
        </w:rPr>
        <w:t>Court</w:t>
      </w:r>
      <w:r w:rsidR="009B104B">
        <w:rPr>
          <w:rFonts w:ascii="Times New Roman" w:hAnsi="Times New Roman" w:cs="Times New Roman"/>
          <w:i/>
        </w:rPr>
        <w:t xml:space="preserve"> </w:t>
      </w:r>
      <w:r w:rsidR="009B104B" w:rsidRPr="00624902">
        <w:rPr>
          <w:rFonts w:ascii="Times New Roman" w:hAnsi="Times New Roman" w:cs="Times New Roman"/>
        </w:rPr>
        <w:t>case</w:t>
      </w:r>
      <w:r w:rsidR="00000DB2">
        <w:rPr>
          <w:rFonts w:ascii="Times New Roman" w:hAnsi="Times New Roman" w:cs="Times New Roman"/>
        </w:rPr>
        <w:t>[</w:t>
      </w:r>
      <w:r>
        <w:rPr>
          <w:rFonts w:ascii="Times New Roman" w:hAnsi="Times New Roman" w:cs="Times New Roman"/>
        </w:rPr>
        <w:t>46</w:t>
      </w:r>
      <w:r w:rsidR="00DC5548">
        <w:rPr>
          <w:rFonts w:ascii="Times New Roman" w:hAnsi="Times New Roman" w:cs="Times New Roman"/>
        </w:rPr>
        <w:t>]</w:t>
      </w:r>
      <w:r w:rsidR="00DC5548" w:rsidRPr="00B53A5A">
        <w:rPr>
          <w:rFonts w:ascii="Times New Roman" w:hAnsi="Times New Roman" w:cs="Times New Roman"/>
        </w:rPr>
        <w:t xml:space="preserve"> the ET </w:t>
      </w:r>
      <w:r w:rsidR="00456514">
        <w:rPr>
          <w:rFonts w:ascii="Times New Roman" w:hAnsi="Times New Roman" w:cs="Times New Roman"/>
        </w:rPr>
        <w:t>considered</w:t>
      </w:r>
      <w:r w:rsidR="00DC5548" w:rsidRPr="00B53A5A">
        <w:rPr>
          <w:rFonts w:ascii="Times New Roman" w:hAnsi="Times New Roman" w:cs="Times New Roman"/>
        </w:rPr>
        <w:t xml:space="preserve"> </w:t>
      </w:r>
      <w:r w:rsidR="00DC5548" w:rsidRPr="00B53A5A">
        <w:rPr>
          <w:rFonts w:ascii="Times New Roman" w:eastAsia="Calibri" w:hAnsi="Times New Roman" w:cs="Times New Roman"/>
        </w:rPr>
        <w:t xml:space="preserve">a </w:t>
      </w:r>
      <w:r w:rsidR="00456514">
        <w:rPr>
          <w:rFonts w:ascii="Times New Roman" w:eastAsia="Calibri" w:hAnsi="Times New Roman" w:cs="Times New Roman"/>
        </w:rPr>
        <w:t>book that the owner had written and s</w:t>
      </w:r>
      <w:r w:rsidR="00DC5548" w:rsidRPr="00B53A5A">
        <w:rPr>
          <w:rFonts w:ascii="Times New Roman" w:eastAsia="Calibri" w:hAnsi="Times New Roman" w:cs="Times New Roman"/>
        </w:rPr>
        <w:t xml:space="preserve">ections of that book were quoted during the hearing, in particular: </w:t>
      </w:r>
    </w:p>
    <w:p w14:paraId="1496E28F" w14:textId="77777777" w:rsidR="00456514" w:rsidRDefault="00DC5548" w:rsidP="001C08E0">
      <w:pPr>
        <w:spacing w:after="0" w:line="240" w:lineRule="auto"/>
        <w:ind w:firstLine="720"/>
        <w:jc w:val="both"/>
        <w:rPr>
          <w:rFonts w:ascii="Times New Roman" w:eastAsia="Calibri" w:hAnsi="Times New Roman" w:cs="Times New Roman"/>
        </w:rPr>
      </w:pPr>
      <w:r w:rsidRPr="00BA5850">
        <w:rPr>
          <w:rFonts w:ascii="Times New Roman" w:eastAsia="Calibri" w:hAnsi="Times New Roman" w:cs="Times New Roman"/>
        </w:rPr>
        <w:br/>
      </w:r>
      <w:r w:rsidR="00AE0CFF">
        <w:rPr>
          <w:rFonts w:ascii="Times New Roman" w:eastAsia="Calibri" w:hAnsi="Times New Roman" w:cs="Times New Roman"/>
          <w:i/>
        </w:rPr>
        <w:tab/>
      </w:r>
      <w:r w:rsidRPr="00BA5850">
        <w:rPr>
          <w:rFonts w:ascii="Times New Roman" w:eastAsia="Calibri" w:hAnsi="Times New Roman" w:cs="Times New Roman"/>
          <w:i/>
        </w:rPr>
        <w:t xml:space="preserve">Young talent can be found and underpaid for a short while, providing the work is challenging </w:t>
      </w:r>
      <w:r w:rsidR="00AE0CFF">
        <w:rPr>
          <w:rFonts w:ascii="Times New Roman" w:eastAsia="Calibri" w:hAnsi="Times New Roman" w:cs="Times New Roman"/>
          <w:i/>
        </w:rPr>
        <w:tab/>
      </w:r>
      <w:r w:rsidRPr="00BA5850">
        <w:rPr>
          <w:rFonts w:ascii="Times New Roman" w:eastAsia="Calibri" w:hAnsi="Times New Roman" w:cs="Times New Roman"/>
          <w:i/>
        </w:rPr>
        <w:t xml:space="preserve">enough. Then it will be paid at the market rate. Finally, it will reach a stage where it is being </w:t>
      </w:r>
      <w:r w:rsidR="00AE0CFF">
        <w:rPr>
          <w:rFonts w:ascii="Times New Roman" w:eastAsia="Calibri" w:hAnsi="Times New Roman" w:cs="Times New Roman"/>
          <w:i/>
        </w:rPr>
        <w:tab/>
      </w:r>
      <w:r w:rsidRPr="00BA5850">
        <w:rPr>
          <w:rFonts w:ascii="Times New Roman" w:eastAsia="Calibri" w:hAnsi="Times New Roman" w:cs="Times New Roman"/>
          <w:i/>
        </w:rPr>
        <w:t>paid based on past reputation alone. That is whe</w:t>
      </w:r>
      <w:r w:rsidR="001C08E0">
        <w:rPr>
          <w:rFonts w:ascii="Times New Roman" w:eastAsia="Calibri" w:hAnsi="Times New Roman" w:cs="Times New Roman"/>
          <w:i/>
        </w:rPr>
        <w:t>n you must part company with it</w:t>
      </w:r>
      <w:r w:rsidR="001C08E0">
        <w:rPr>
          <w:rFonts w:ascii="Times New Roman" w:eastAsia="Calibri" w:hAnsi="Times New Roman" w:cs="Times New Roman"/>
        </w:rPr>
        <w:t>[47</w:t>
      </w:r>
      <w:r>
        <w:rPr>
          <w:rFonts w:ascii="Times New Roman" w:eastAsia="Calibri" w:hAnsi="Times New Roman" w:cs="Times New Roman"/>
        </w:rPr>
        <w:t>]</w:t>
      </w:r>
      <w:r w:rsidR="001C08E0">
        <w:rPr>
          <w:rFonts w:ascii="Times New Roman" w:eastAsia="Calibri" w:hAnsi="Times New Roman" w:cs="Times New Roman"/>
        </w:rPr>
        <w:t>.</w:t>
      </w:r>
    </w:p>
    <w:p w14:paraId="7B7E350E" w14:textId="77777777" w:rsidR="001C08E0" w:rsidRPr="00B53A5A" w:rsidRDefault="001C08E0" w:rsidP="001C08E0">
      <w:pPr>
        <w:spacing w:after="0" w:line="240" w:lineRule="auto"/>
        <w:ind w:firstLine="720"/>
        <w:jc w:val="both"/>
        <w:rPr>
          <w:rFonts w:ascii="Times New Roman" w:eastAsia="Calibri" w:hAnsi="Times New Roman" w:cs="Times New Roman"/>
        </w:rPr>
      </w:pPr>
    </w:p>
    <w:p w14:paraId="57C285D3" w14:textId="6EB719FD" w:rsidR="00606D7D" w:rsidRDefault="00DC5548" w:rsidP="00624902">
      <w:pPr>
        <w:spacing w:line="240" w:lineRule="auto"/>
        <w:ind w:firstLine="720"/>
        <w:jc w:val="both"/>
        <w:rPr>
          <w:rFonts w:ascii="Times New Roman" w:eastAsia="Calibri" w:hAnsi="Times New Roman" w:cs="Times New Roman"/>
        </w:rPr>
      </w:pPr>
      <w:r w:rsidRPr="00B53A5A">
        <w:rPr>
          <w:rFonts w:ascii="Times New Roman" w:eastAsia="Calibri" w:hAnsi="Times New Roman" w:cs="Times New Roman"/>
        </w:rPr>
        <w:t>In a nu</w:t>
      </w:r>
      <w:r w:rsidR="00456514">
        <w:rPr>
          <w:rFonts w:ascii="Times New Roman" w:eastAsia="Calibri" w:hAnsi="Times New Roman" w:cs="Times New Roman"/>
        </w:rPr>
        <w:t>mber of cases the stereotyping wa</w:t>
      </w:r>
      <w:r w:rsidRPr="00B53A5A">
        <w:rPr>
          <w:rFonts w:ascii="Times New Roman" w:eastAsia="Calibri" w:hAnsi="Times New Roman" w:cs="Times New Roman"/>
        </w:rPr>
        <w:t xml:space="preserve">s masked by a retirement </w:t>
      </w:r>
      <w:r w:rsidR="00456514">
        <w:rPr>
          <w:rFonts w:ascii="Times New Roman" w:eastAsia="Calibri" w:hAnsi="Times New Roman" w:cs="Times New Roman"/>
        </w:rPr>
        <w:t xml:space="preserve">age or recruitment age limit, the purpose of which was </w:t>
      </w:r>
      <w:r>
        <w:rPr>
          <w:rFonts w:ascii="Times New Roman" w:eastAsia="Calibri" w:hAnsi="Times New Roman" w:cs="Times New Roman"/>
        </w:rPr>
        <w:t>an attempt by the employer to plan their workforce</w:t>
      </w:r>
      <w:r w:rsidR="00CD6421">
        <w:rPr>
          <w:rFonts w:ascii="Times New Roman" w:eastAsia="Calibri" w:hAnsi="Times New Roman" w:cs="Times New Roman"/>
        </w:rPr>
        <w:t>.</w:t>
      </w:r>
      <w:r w:rsidRPr="00B53A5A">
        <w:rPr>
          <w:rFonts w:ascii="Times New Roman" w:eastAsia="Calibri" w:hAnsi="Times New Roman" w:cs="Times New Roman"/>
        </w:rPr>
        <w:t xml:space="preserve"> </w:t>
      </w:r>
      <w:r w:rsidR="001C08E0">
        <w:rPr>
          <w:rFonts w:ascii="Times New Roman" w:eastAsia="Calibri" w:hAnsi="Times New Roman" w:cs="Times New Roman"/>
        </w:rPr>
        <w:t xml:space="preserve">Linked to </w:t>
      </w:r>
      <w:r w:rsidR="00606D7D">
        <w:rPr>
          <w:rFonts w:ascii="Times New Roman" w:eastAsia="Calibri" w:hAnsi="Times New Roman" w:cs="Times New Roman"/>
        </w:rPr>
        <w:t>this is</w:t>
      </w:r>
      <w:r w:rsidR="001C08E0">
        <w:rPr>
          <w:rFonts w:ascii="Times New Roman" w:eastAsia="Calibri" w:hAnsi="Times New Roman" w:cs="Times New Roman"/>
        </w:rPr>
        <w:t xml:space="preserve"> a reliance upon the</w:t>
      </w:r>
      <w:r w:rsidRPr="00B53A5A">
        <w:rPr>
          <w:rFonts w:ascii="Times New Roman" w:eastAsia="Calibri" w:hAnsi="Times New Roman" w:cs="Times New Roman"/>
        </w:rPr>
        <w:t xml:space="preserve"> </w:t>
      </w:r>
      <w:r w:rsidRPr="00B53A5A">
        <w:rPr>
          <w:rFonts w:ascii="Times New Roman" w:eastAsia="Calibri" w:hAnsi="Times New Roman" w:cs="Times New Roman"/>
          <w:i/>
        </w:rPr>
        <w:t>'fair innings'</w:t>
      </w:r>
      <w:r w:rsidR="00606D7D">
        <w:rPr>
          <w:rFonts w:ascii="Times New Roman" w:eastAsia="Calibri" w:hAnsi="Times New Roman" w:cs="Times New Roman"/>
        </w:rPr>
        <w:t xml:space="preserve"> argument that older workers </w:t>
      </w:r>
      <w:r w:rsidRPr="00B53A5A">
        <w:rPr>
          <w:rFonts w:ascii="Times New Roman" w:eastAsia="Calibri" w:hAnsi="Times New Roman" w:cs="Times New Roman"/>
        </w:rPr>
        <w:t>have had their time in employment and should make way for younger workers. On this basis the concept of equality does not turn on a</w:t>
      </w:r>
      <w:r w:rsidR="00795234">
        <w:rPr>
          <w:rFonts w:ascii="Times New Roman" w:eastAsia="Calibri" w:hAnsi="Times New Roman" w:cs="Times New Roman"/>
        </w:rPr>
        <w:t xml:space="preserve"> direct comparison between a 60 year old and a 20 year old</w:t>
      </w:r>
      <w:r w:rsidRPr="00B53A5A">
        <w:rPr>
          <w:rFonts w:ascii="Times New Roman" w:eastAsia="Calibri" w:hAnsi="Times New Roman" w:cs="Times New Roman"/>
        </w:rPr>
        <w:t xml:space="preserve"> but </w:t>
      </w:r>
      <w:r w:rsidR="00795234">
        <w:rPr>
          <w:rFonts w:ascii="Times New Roman" w:eastAsia="Calibri" w:hAnsi="Times New Roman" w:cs="Times New Roman"/>
        </w:rPr>
        <w:t>assumes that a 60</w:t>
      </w:r>
      <w:r w:rsidRPr="00B53A5A">
        <w:rPr>
          <w:rFonts w:ascii="Times New Roman" w:eastAsia="Calibri" w:hAnsi="Times New Roman" w:cs="Times New Roman"/>
        </w:rPr>
        <w:t xml:space="preserve"> year old has had their time in employm</w:t>
      </w:r>
      <w:r w:rsidR="00795234">
        <w:rPr>
          <w:rFonts w:ascii="Times New Roman" w:eastAsia="Calibri" w:hAnsi="Times New Roman" w:cs="Times New Roman"/>
        </w:rPr>
        <w:t xml:space="preserve">ent and </w:t>
      </w:r>
      <w:r w:rsidR="00CD6421">
        <w:rPr>
          <w:rFonts w:ascii="Times New Roman" w:eastAsia="Calibri" w:hAnsi="Times New Roman" w:cs="Times New Roman"/>
        </w:rPr>
        <w:t xml:space="preserve">should </w:t>
      </w:r>
      <w:r w:rsidR="00795234">
        <w:rPr>
          <w:rFonts w:ascii="Times New Roman" w:eastAsia="Calibri" w:hAnsi="Times New Roman" w:cs="Times New Roman"/>
        </w:rPr>
        <w:t>allow the 20</w:t>
      </w:r>
      <w:r w:rsidRPr="00B53A5A">
        <w:rPr>
          <w:rFonts w:ascii="Times New Roman" w:eastAsia="Calibri" w:hAnsi="Times New Roman" w:cs="Times New Roman"/>
        </w:rPr>
        <w:t xml:space="preserve"> year old to step into the</w:t>
      </w:r>
      <w:r w:rsidR="00795234">
        <w:rPr>
          <w:rFonts w:ascii="Times New Roman" w:eastAsia="Calibri" w:hAnsi="Times New Roman" w:cs="Times New Roman"/>
        </w:rPr>
        <w:t>ir</w:t>
      </w:r>
      <w:r w:rsidRPr="00B53A5A">
        <w:rPr>
          <w:rFonts w:ascii="Times New Roman" w:eastAsia="Calibri" w:hAnsi="Times New Roman" w:cs="Times New Roman"/>
        </w:rPr>
        <w:t xml:space="preserve"> role. This argument, in itself, is based upon a stereotype as older workers may well have not had their </w:t>
      </w:r>
      <w:r w:rsidRPr="00D25E14">
        <w:rPr>
          <w:rFonts w:ascii="Times New Roman" w:eastAsia="Calibri" w:hAnsi="Times New Roman" w:cs="Times New Roman"/>
          <w:i/>
        </w:rPr>
        <w:t>'fair innings'</w:t>
      </w:r>
      <w:r w:rsidRPr="00B53A5A">
        <w:rPr>
          <w:rFonts w:ascii="Times New Roman" w:eastAsia="Calibri" w:hAnsi="Times New Roman" w:cs="Times New Roman"/>
        </w:rPr>
        <w:t xml:space="preserve"> and has been </w:t>
      </w:r>
      <w:r>
        <w:rPr>
          <w:rFonts w:ascii="Times New Roman" w:eastAsia="Calibri" w:hAnsi="Times New Roman" w:cs="Times New Roman"/>
        </w:rPr>
        <w:t>the subject of criticism</w:t>
      </w:r>
      <w:r w:rsidR="00AE0CFF">
        <w:rPr>
          <w:rFonts w:ascii="Times New Roman" w:eastAsia="Calibri" w:hAnsi="Times New Roman" w:cs="Times New Roman"/>
        </w:rPr>
        <w:t xml:space="preserve"> by academics (Manfredi and Vickers, 2009; Fredman, 2003; Vickers and Manfredi, 2013). </w:t>
      </w:r>
      <w:r w:rsidRPr="00B53A5A">
        <w:rPr>
          <w:rFonts w:ascii="Times New Roman" w:eastAsia="Calibri" w:hAnsi="Times New Roman" w:cs="Times New Roman"/>
        </w:rPr>
        <w:t xml:space="preserve">Some individuals may have qualified in their profession later in life. Women may have had inactive years </w:t>
      </w:r>
      <w:r w:rsidR="00795234">
        <w:rPr>
          <w:rFonts w:ascii="Times New Roman" w:eastAsia="Calibri" w:hAnsi="Times New Roman" w:cs="Times New Roman"/>
        </w:rPr>
        <w:t xml:space="preserve">in employment </w:t>
      </w:r>
      <w:r w:rsidRPr="00B53A5A">
        <w:rPr>
          <w:rFonts w:ascii="Times New Roman" w:eastAsia="Calibri" w:hAnsi="Times New Roman" w:cs="Times New Roman"/>
        </w:rPr>
        <w:t xml:space="preserve">due to childcare commitments and may not </w:t>
      </w:r>
      <w:r w:rsidR="00795234">
        <w:rPr>
          <w:rFonts w:ascii="Times New Roman" w:eastAsia="Calibri" w:hAnsi="Times New Roman" w:cs="Times New Roman"/>
        </w:rPr>
        <w:t xml:space="preserve">have </w:t>
      </w:r>
      <w:r w:rsidRPr="00B53A5A">
        <w:rPr>
          <w:rFonts w:ascii="Times New Roman" w:eastAsia="Calibri" w:hAnsi="Times New Roman" w:cs="Times New Roman"/>
        </w:rPr>
        <w:t>had their ‘</w:t>
      </w:r>
      <w:r w:rsidRPr="00B53A5A">
        <w:rPr>
          <w:rFonts w:ascii="Times New Roman" w:eastAsia="Calibri" w:hAnsi="Times New Roman" w:cs="Times New Roman"/>
          <w:i/>
        </w:rPr>
        <w:t>fair innings</w:t>
      </w:r>
      <w:r w:rsidRPr="00B53A5A">
        <w:rPr>
          <w:rFonts w:ascii="Times New Roman" w:eastAsia="Calibri" w:hAnsi="Times New Roman" w:cs="Times New Roman"/>
        </w:rPr>
        <w:t xml:space="preserve">.’ </w:t>
      </w:r>
      <w:r w:rsidR="001C08E0">
        <w:rPr>
          <w:rFonts w:ascii="Times New Roman" w:eastAsia="Calibri" w:hAnsi="Times New Roman" w:cs="Times New Roman"/>
        </w:rPr>
        <w:t>Connected to</w:t>
      </w:r>
      <w:r w:rsidRPr="00B53A5A">
        <w:rPr>
          <w:rFonts w:ascii="Times New Roman" w:eastAsia="Calibri" w:hAnsi="Times New Roman" w:cs="Times New Roman"/>
        </w:rPr>
        <w:t xml:space="preserve"> this is the ‘</w:t>
      </w:r>
      <w:r w:rsidRPr="00B53A5A">
        <w:rPr>
          <w:rFonts w:ascii="Times New Roman" w:eastAsia="Calibri" w:hAnsi="Times New Roman" w:cs="Times New Roman"/>
          <w:i/>
        </w:rPr>
        <w:t>job blocking’</w:t>
      </w:r>
      <w:r w:rsidRPr="00B53A5A">
        <w:rPr>
          <w:rFonts w:ascii="Times New Roman" w:eastAsia="Calibri" w:hAnsi="Times New Roman" w:cs="Times New Roman"/>
        </w:rPr>
        <w:t xml:space="preserve"> argument, that older workers block the way for younger workers. This argument was put forward in support of the</w:t>
      </w:r>
      <w:r w:rsidR="008E5F8E">
        <w:rPr>
          <w:rFonts w:ascii="Times New Roman" w:eastAsia="Calibri" w:hAnsi="Times New Roman" w:cs="Times New Roman"/>
        </w:rPr>
        <w:t xml:space="preserve"> </w:t>
      </w:r>
      <w:r w:rsidR="0058567A">
        <w:rPr>
          <w:rFonts w:ascii="Times New Roman" w:eastAsia="Calibri" w:hAnsi="Times New Roman" w:cs="Times New Roman"/>
        </w:rPr>
        <w:t xml:space="preserve">now repealed </w:t>
      </w:r>
      <w:r w:rsidR="008E5F8E">
        <w:rPr>
          <w:rFonts w:ascii="Times New Roman" w:eastAsia="Calibri" w:hAnsi="Times New Roman" w:cs="Times New Roman"/>
        </w:rPr>
        <w:t>default retirement age</w:t>
      </w:r>
      <w:r w:rsidR="001C08E0">
        <w:rPr>
          <w:rFonts w:ascii="Times New Roman" w:eastAsia="Calibri" w:hAnsi="Times New Roman" w:cs="Times New Roman"/>
        </w:rPr>
        <w:t>[48</w:t>
      </w:r>
      <w:r>
        <w:rPr>
          <w:rFonts w:ascii="Times New Roman" w:eastAsia="Calibri" w:hAnsi="Times New Roman" w:cs="Times New Roman"/>
        </w:rPr>
        <w:t>]</w:t>
      </w:r>
      <w:r w:rsidRPr="00B53A5A">
        <w:rPr>
          <w:rFonts w:ascii="Times New Roman" w:eastAsia="Calibri" w:hAnsi="Times New Roman" w:cs="Times New Roman"/>
        </w:rPr>
        <w:t xml:space="preserve"> </w:t>
      </w:r>
      <w:r w:rsidR="00AE0CFF">
        <w:rPr>
          <w:rFonts w:ascii="Times New Roman" w:eastAsia="Calibri" w:hAnsi="Times New Roman" w:cs="Times New Roman"/>
        </w:rPr>
        <w:t>however t</w:t>
      </w:r>
      <w:r w:rsidRPr="00B53A5A">
        <w:rPr>
          <w:rFonts w:ascii="Times New Roman" w:eastAsia="Calibri" w:hAnsi="Times New Roman" w:cs="Times New Roman"/>
        </w:rPr>
        <w:t>he Government has now said that it considers it is not often the case that younger and older</w:t>
      </w:r>
      <w:r w:rsidR="00AE0CFF">
        <w:rPr>
          <w:rFonts w:ascii="Times New Roman" w:eastAsia="Calibri" w:hAnsi="Times New Roman" w:cs="Times New Roman"/>
        </w:rPr>
        <w:t xml:space="preserve"> workers are direct substitutes (</w:t>
      </w:r>
      <w:r w:rsidR="001C08E0">
        <w:rPr>
          <w:rFonts w:ascii="Times New Roman" w:eastAsia="Calibri" w:hAnsi="Times New Roman" w:cs="Times New Roman"/>
        </w:rPr>
        <w:t>DBIS, 2011</w:t>
      </w:r>
      <w:r w:rsidR="00AE0CFF">
        <w:rPr>
          <w:rFonts w:ascii="Times New Roman" w:eastAsia="Calibri" w:hAnsi="Times New Roman" w:cs="Times New Roman"/>
        </w:rPr>
        <w:t>)</w:t>
      </w:r>
      <w:r>
        <w:rPr>
          <w:rFonts w:ascii="Times New Roman" w:eastAsia="Calibri" w:hAnsi="Times New Roman" w:cs="Times New Roman"/>
        </w:rPr>
        <w:t xml:space="preserve"> However the argument may be made</w:t>
      </w:r>
      <w:r w:rsidR="001C08E0">
        <w:rPr>
          <w:rFonts w:ascii="Times New Roman" w:eastAsia="Calibri" w:hAnsi="Times New Roman" w:cs="Times New Roman"/>
        </w:rPr>
        <w:t>,</w:t>
      </w:r>
      <w:r>
        <w:rPr>
          <w:rFonts w:ascii="Times New Roman" w:eastAsia="Calibri" w:hAnsi="Times New Roman" w:cs="Times New Roman"/>
        </w:rPr>
        <w:t xml:space="preserve"> with </w:t>
      </w:r>
      <w:r w:rsidR="001C08E0">
        <w:rPr>
          <w:rFonts w:ascii="Times New Roman" w:eastAsia="Calibri" w:hAnsi="Times New Roman" w:cs="Times New Roman"/>
        </w:rPr>
        <w:t>evidence, at</w:t>
      </w:r>
      <w:r>
        <w:rPr>
          <w:rFonts w:ascii="Times New Roman" w:eastAsia="Calibri" w:hAnsi="Times New Roman" w:cs="Times New Roman"/>
        </w:rPr>
        <w:t xml:space="preserve"> the </w:t>
      </w:r>
      <w:r w:rsidR="00AE0CFF">
        <w:rPr>
          <w:rFonts w:ascii="Times New Roman" w:eastAsia="Calibri" w:hAnsi="Times New Roman" w:cs="Times New Roman"/>
        </w:rPr>
        <w:t>level of an individual firm (Dewhurst,</w:t>
      </w:r>
      <w:r w:rsidR="001C08E0">
        <w:rPr>
          <w:rFonts w:ascii="Times New Roman" w:eastAsia="Calibri" w:hAnsi="Times New Roman" w:cs="Times New Roman"/>
        </w:rPr>
        <w:t xml:space="preserve"> 2013</w:t>
      </w:r>
      <w:r w:rsidR="00AE0CFF">
        <w:rPr>
          <w:rFonts w:ascii="Times New Roman" w:eastAsia="Calibri" w:hAnsi="Times New Roman" w:cs="Times New Roman"/>
        </w:rPr>
        <w:t>).</w:t>
      </w:r>
      <w:r w:rsidR="00606D7D" w:rsidRPr="00606D7D">
        <w:rPr>
          <w:rFonts w:ascii="Times New Roman" w:eastAsia="Calibri" w:hAnsi="Times New Roman" w:cs="Times New Roman"/>
        </w:rPr>
        <w:t xml:space="preserve"> </w:t>
      </w:r>
      <w:r w:rsidR="00606D7D">
        <w:rPr>
          <w:rFonts w:ascii="Times New Roman" w:eastAsia="Calibri" w:hAnsi="Times New Roman" w:cs="Times New Roman"/>
        </w:rPr>
        <w:t>The consequences of the ‘</w:t>
      </w:r>
      <w:r w:rsidR="00606D7D" w:rsidRPr="00606D7D">
        <w:rPr>
          <w:rFonts w:ascii="Times New Roman" w:eastAsia="Calibri" w:hAnsi="Times New Roman" w:cs="Times New Roman"/>
          <w:i/>
        </w:rPr>
        <w:t>job blocking’</w:t>
      </w:r>
      <w:r w:rsidR="00606D7D">
        <w:rPr>
          <w:rFonts w:ascii="Times New Roman" w:eastAsia="Calibri" w:hAnsi="Times New Roman" w:cs="Times New Roman"/>
        </w:rPr>
        <w:t xml:space="preserve"> and ‘</w:t>
      </w:r>
      <w:r w:rsidR="00606D7D" w:rsidRPr="00606D7D">
        <w:rPr>
          <w:rFonts w:ascii="Times New Roman" w:eastAsia="Calibri" w:hAnsi="Times New Roman" w:cs="Times New Roman"/>
          <w:i/>
        </w:rPr>
        <w:t>intergenerational fairness’</w:t>
      </w:r>
      <w:r w:rsidR="00606D7D">
        <w:rPr>
          <w:rFonts w:ascii="Times New Roman" w:eastAsia="Calibri" w:hAnsi="Times New Roman" w:cs="Times New Roman"/>
        </w:rPr>
        <w:t xml:space="preserve"> aim </w:t>
      </w:r>
      <w:r w:rsidR="00795234">
        <w:rPr>
          <w:rFonts w:ascii="Times New Roman" w:eastAsia="Calibri" w:hAnsi="Times New Roman" w:cs="Times New Roman"/>
        </w:rPr>
        <w:t>are</w:t>
      </w:r>
      <w:r w:rsidR="00606D7D">
        <w:rPr>
          <w:rFonts w:ascii="Times New Roman" w:eastAsia="Calibri" w:hAnsi="Times New Roman" w:cs="Times New Roman"/>
        </w:rPr>
        <w:t xml:space="preserve"> that they result</w:t>
      </w:r>
      <w:r w:rsidR="00606D7D" w:rsidRPr="00B53A5A">
        <w:rPr>
          <w:rFonts w:ascii="Times New Roman" w:eastAsia="Calibri" w:hAnsi="Times New Roman" w:cs="Times New Roman"/>
        </w:rPr>
        <w:t xml:space="preserve"> in the competing interests of different age groups, </w:t>
      </w:r>
      <w:r w:rsidR="00795234">
        <w:rPr>
          <w:rFonts w:ascii="Times New Roman" w:eastAsia="Calibri" w:hAnsi="Times New Roman" w:cs="Times New Roman"/>
        </w:rPr>
        <w:t>a conflict</w:t>
      </w:r>
      <w:r w:rsidR="00606D7D" w:rsidRPr="00B53A5A">
        <w:rPr>
          <w:rFonts w:ascii="Times New Roman" w:eastAsia="Calibri" w:hAnsi="Times New Roman" w:cs="Times New Roman"/>
        </w:rPr>
        <w:t xml:space="preserve"> between the older worker and the younger worker. It also assumes that the rights of a younger </w:t>
      </w:r>
      <w:r w:rsidR="00A4648F">
        <w:rPr>
          <w:rFonts w:ascii="Times New Roman" w:eastAsia="Calibri" w:hAnsi="Times New Roman" w:cs="Times New Roman"/>
        </w:rPr>
        <w:t xml:space="preserve">staff member </w:t>
      </w:r>
      <w:r w:rsidR="00606D7D" w:rsidRPr="00B53A5A">
        <w:rPr>
          <w:rFonts w:ascii="Times New Roman" w:eastAsia="Calibri" w:hAnsi="Times New Roman" w:cs="Times New Roman"/>
        </w:rPr>
        <w:t>to work are greate</w:t>
      </w:r>
      <w:r w:rsidR="00606D7D">
        <w:rPr>
          <w:rFonts w:ascii="Times New Roman" w:eastAsia="Calibri" w:hAnsi="Times New Roman" w:cs="Times New Roman"/>
        </w:rPr>
        <w:t>r than that of an older worker.</w:t>
      </w:r>
    </w:p>
    <w:p w14:paraId="5C94CB5D" w14:textId="77777777" w:rsidR="00DC5548" w:rsidRPr="001C08E0" w:rsidRDefault="00DC5548" w:rsidP="001C08E0">
      <w:pPr>
        <w:spacing w:line="240" w:lineRule="auto"/>
        <w:contextualSpacing/>
        <w:jc w:val="both"/>
        <w:rPr>
          <w:rFonts w:ascii="Times New Roman" w:eastAsia="Calibri" w:hAnsi="Times New Roman" w:cs="Times New Roman"/>
        </w:rPr>
      </w:pPr>
      <w:r w:rsidRPr="00B53A5A">
        <w:rPr>
          <w:rFonts w:ascii="Times New Roman" w:hAnsi="Times New Roman" w:cs="Times New Roman"/>
          <w:i/>
        </w:rPr>
        <w:t>Tackling age stereotypes in ET Judgments</w:t>
      </w:r>
    </w:p>
    <w:p w14:paraId="534A9536" w14:textId="7077C415" w:rsidR="00DC5548" w:rsidRDefault="00AE0CFF" w:rsidP="0002098B">
      <w:pPr>
        <w:spacing w:after="0" w:line="240" w:lineRule="auto"/>
        <w:contextualSpacing/>
        <w:jc w:val="both"/>
        <w:rPr>
          <w:rFonts w:ascii="Times New Roman" w:hAnsi="Times New Roman" w:cs="Times New Roman"/>
        </w:rPr>
      </w:pPr>
      <w:r>
        <w:rPr>
          <w:rFonts w:ascii="Times New Roman" w:hAnsi="Times New Roman" w:cs="Times New Roman"/>
        </w:rPr>
        <w:t>The ET judgments often contained detailed facts and reasoning.</w:t>
      </w:r>
      <w:r w:rsidR="00DC5548">
        <w:rPr>
          <w:rFonts w:ascii="Times New Roman" w:hAnsi="Times New Roman" w:cs="Times New Roman"/>
        </w:rPr>
        <w:t xml:space="preserve"> They</w:t>
      </w:r>
      <w:r w:rsidR="00DC5548" w:rsidRPr="00B53A5A">
        <w:rPr>
          <w:rFonts w:ascii="Times New Roman" w:hAnsi="Times New Roman" w:cs="Times New Roman"/>
        </w:rPr>
        <w:t xml:space="preserve"> largely demonstrate the ETs tackling stereotypical assumptions displayed by employers. </w:t>
      </w:r>
      <w:r w:rsidR="00A4648F">
        <w:rPr>
          <w:rFonts w:ascii="Times New Roman" w:hAnsi="Times New Roman" w:cs="Times New Roman"/>
        </w:rPr>
        <w:t>Similarly, i</w:t>
      </w:r>
      <w:r w:rsidR="00DC5548">
        <w:rPr>
          <w:rFonts w:ascii="Times New Roman" w:hAnsi="Times New Roman" w:cs="Times New Roman"/>
        </w:rPr>
        <w:t>n the fi</w:t>
      </w:r>
      <w:r>
        <w:rPr>
          <w:rFonts w:ascii="Times New Roman" w:hAnsi="Times New Roman" w:cs="Times New Roman"/>
        </w:rPr>
        <w:t>eldwork observation the ET</w:t>
      </w:r>
      <w:r w:rsidR="00835FA3">
        <w:rPr>
          <w:rFonts w:ascii="Times New Roman" w:hAnsi="Times New Roman" w:cs="Times New Roman"/>
        </w:rPr>
        <w:t>s</w:t>
      </w:r>
      <w:r>
        <w:rPr>
          <w:rFonts w:ascii="Times New Roman" w:hAnsi="Times New Roman" w:cs="Times New Roman"/>
        </w:rPr>
        <w:t xml:space="preserve"> were </w:t>
      </w:r>
      <w:r w:rsidR="00DC5548">
        <w:rPr>
          <w:rFonts w:ascii="Times New Roman" w:hAnsi="Times New Roman" w:cs="Times New Roman"/>
        </w:rPr>
        <w:t xml:space="preserve">conscious of the existence of stereotyping and </w:t>
      </w:r>
      <w:r w:rsidR="001E2CF3">
        <w:rPr>
          <w:rFonts w:ascii="Times New Roman" w:hAnsi="Times New Roman" w:cs="Times New Roman"/>
        </w:rPr>
        <w:t>in both their</w:t>
      </w:r>
      <w:r w:rsidR="00DC5548">
        <w:rPr>
          <w:rFonts w:ascii="Times New Roman" w:hAnsi="Times New Roman" w:cs="Times New Roman"/>
        </w:rPr>
        <w:t xml:space="preserve"> </w:t>
      </w:r>
      <w:r>
        <w:rPr>
          <w:rFonts w:ascii="Times New Roman" w:hAnsi="Times New Roman" w:cs="Times New Roman"/>
        </w:rPr>
        <w:t>questions</w:t>
      </w:r>
      <w:r w:rsidR="00DC5548">
        <w:rPr>
          <w:rFonts w:ascii="Times New Roman" w:hAnsi="Times New Roman" w:cs="Times New Roman"/>
        </w:rPr>
        <w:t xml:space="preserve"> and judgment </w:t>
      </w:r>
      <w:r w:rsidR="001E2CF3">
        <w:rPr>
          <w:rFonts w:ascii="Times New Roman" w:hAnsi="Times New Roman" w:cs="Times New Roman"/>
        </w:rPr>
        <w:t xml:space="preserve">addressed age stereotypes. </w:t>
      </w:r>
      <w:r w:rsidR="001C5EA9">
        <w:rPr>
          <w:rFonts w:ascii="Times New Roman" w:hAnsi="Times New Roman" w:cs="Times New Roman"/>
        </w:rPr>
        <w:t xml:space="preserve">This supports a recent study by Dewhurst </w:t>
      </w:r>
      <w:r w:rsidR="00FD31BA">
        <w:rPr>
          <w:rFonts w:ascii="Times New Roman" w:hAnsi="Times New Roman" w:cs="Times New Roman"/>
        </w:rPr>
        <w:t>(2015) who,</w:t>
      </w:r>
      <w:r w:rsidR="001C5EA9">
        <w:rPr>
          <w:rFonts w:ascii="Times New Roman" w:hAnsi="Times New Roman" w:cs="Times New Roman"/>
        </w:rPr>
        <w:t xml:space="preserve"> in the context of whether claimant</w:t>
      </w:r>
      <w:r w:rsidR="00FD31BA">
        <w:rPr>
          <w:rFonts w:ascii="Times New Roman" w:hAnsi="Times New Roman" w:cs="Times New Roman"/>
        </w:rPr>
        <w:t xml:space="preserve">s have received adequate remedy, </w:t>
      </w:r>
      <w:r w:rsidR="005B2F8A">
        <w:rPr>
          <w:rFonts w:ascii="Times New Roman" w:hAnsi="Times New Roman" w:cs="Times New Roman"/>
        </w:rPr>
        <w:t>has concluded</w:t>
      </w:r>
      <w:r w:rsidR="00FD31BA">
        <w:rPr>
          <w:rFonts w:ascii="Times New Roman" w:hAnsi="Times New Roman" w:cs="Times New Roman"/>
        </w:rPr>
        <w:t xml:space="preserve"> that the courts have moved towards an acceptance of individualisation and seek to protect older workers from the </w:t>
      </w:r>
      <w:r w:rsidR="00E66B7A">
        <w:rPr>
          <w:rFonts w:ascii="Times New Roman" w:hAnsi="Times New Roman" w:cs="Times New Roman"/>
        </w:rPr>
        <w:t xml:space="preserve">negative </w:t>
      </w:r>
      <w:r w:rsidR="00FD31BA">
        <w:rPr>
          <w:rFonts w:ascii="Times New Roman" w:hAnsi="Times New Roman" w:cs="Times New Roman"/>
        </w:rPr>
        <w:t xml:space="preserve">effects of age stereotyping. </w:t>
      </w:r>
    </w:p>
    <w:p w14:paraId="6F4B1E11" w14:textId="016CE9B0" w:rsidR="00DC5548" w:rsidRPr="0002098B" w:rsidRDefault="00DC5548" w:rsidP="00374B26">
      <w:pPr>
        <w:spacing w:line="240" w:lineRule="auto"/>
        <w:ind w:firstLine="720"/>
        <w:contextualSpacing/>
        <w:jc w:val="both"/>
        <w:rPr>
          <w:rFonts w:ascii="Times New Roman" w:eastAsia="Calibri" w:hAnsi="Times New Roman" w:cs="Times New Roman"/>
          <w:iCs/>
        </w:rPr>
      </w:pPr>
      <w:r>
        <w:rPr>
          <w:rFonts w:ascii="Times New Roman" w:hAnsi="Times New Roman" w:cs="Times New Roman"/>
        </w:rPr>
        <w:t>I</w:t>
      </w:r>
      <w:r w:rsidRPr="00B53A5A">
        <w:rPr>
          <w:rFonts w:ascii="Times New Roman" w:hAnsi="Times New Roman" w:cs="Times New Roman"/>
        </w:rPr>
        <w:t xml:space="preserve">n many of the early judgments the ETs were </w:t>
      </w:r>
      <w:r w:rsidR="00862FA6">
        <w:rPr>
          <w:rFonts w:ascii="Times New Roman" w:hAnsi="Times New Roman" w:cs="Times New Roman"/>
        </w:rPr>
        <w:t>focussed</w:t>
      </w:r>
      <w:r w:rsidRPr="00B53A5A">
        <w:rPr>
          <w:rFonts w:ascii="Times New Roman" w:hAnsi="Times New Roman" w:cs="Times New Roman"/>
        </w:rPr>
        <w:t xml:space="preserve"> upon</w:t>
      </w:r>
      <w:r w:rsidR="00862FA6">
        <w:rPr>
          <w:rFonts w:ascii="Times New Roman" w:hAnsi="Times New Roman" w:cs="Times New Roman"/>
        </w:rPr>
        <w:t xml:space="preserve"> the employer’s</w:t>
      </w:r>
      <w:r w:rsidRPr="00B53A5A">
        <w:rPr>
          <w:rFonts w:ascii="Times New Roman" w:hAnsi="Times New Roman" w:cs="Times New Roman"/>
        </w:rPr>
        <w:t xml:space="preserve"> </w:t>
      </w:r>
      <w:r w:rsidR="001E2CF3">
        <w:rPr>
          <w:rFonts w:ascii="Times New Roman" w:hAnsi="Times New Roman" w:cs="Times New Roman"/>
        </w:rPr>
        <w:t>stereotypical views</w:t>
      </w:r>
      <w:r w:rsidRPr="00B53A5A">
        <w:rPr>
          <w:rFonts w:ascii="Times New Roman" w:hAnsi="Times New Roman" w:cs="Times New Roman"/>
        </w:rPr>
        <w:t xml:space="preserve"> and reach</w:t>
      </w:r>
      <w:r w:rsidR="00862FA6">
        <w:rPr>
          <w:rFonts w:ascii="Times New Roman" w:hAnsi="Times New Roman" w:cs="Times New Roman"/>
        </w:rPr>
        <w:t>ed</w:t>
      </w:r>
      <w:r w:rsidRPr="00B53A5A">
        <w:rPr>
          <w:rFonts w:ascii="Times New Roman" w:hAnsi="Times New Roman" w:cs="Times New Roman"/>
        </w:rPr>
        <w:t xml:space="preserve"> the decision that there was unlawful direct age discrimination</w:t>
      </w:r>
      <w:r w:rsidR="001C08E0">
        <w:rPr>
          <w:rFonts w:ascii="Times New Roman" w:hAnsi="Times New Roman" w:cs="Times New Roman"/>
        </w:rPr>
        <w:t>[49</w:t>
      </w:r>
      <w:r>
        <w:rPr>
          <w:rFonts w:ascii="Times New Roman" w:hAnsi="Times New Roman" w:cs="Times New Roman"/>
        </w:rPr>
        <w:t>]</w:t>
      </w:r>
      <w:r w:rsidR="00AD76A4">
        <w:rPr>
          <w:rFonts w:ascii="Times New Roman" w:hAnsi="Times New Roman" w:cs="Times New Roman"/>
        </w:rPr>
        <w:t>.</w:t>
      </w:r>
      <w:r w:rsidR="001E2CF3">
        <w:rPr>
          <w:rFonts w:ascii="Times New Roman" w:hAnsi="Times New Roman" w:cs="Times New Roman"/>
        </w:rPr>
        <w:t xml:space="preserve"> </w:t>
      </w:r>
      <w:r w:rsidR="00AD76A4">
        <w:rPr>
          <w:rFonts w:ascii="Times New Roman" w:hAnsi="Times New Roman" w:cs="Times New Roman"/>
        </w:rPr>
        <w:t>I</w:t>
      </w:r>
      <w:r w:rsidRPr="00B53A5A">
        <w:rPr>
          <w:rFonts w:ascii="Times New Roman" w:hAnsi="Times New Roman" w:cs="Times New Roman"/>
        </w:rPr>
        <w:t>n</w:t>
      </w:r>
      <w:r>
        <w:rPr>
          <w:rFonts w:ascii="Times New Roman" w:hAnsi="Times New Roman" w:cs="Times New Roman"/>
        </w:rPr>
        <w:t xml:space="preserve"> the case of</w:t>
      </w:r>
      <w:r w:rsidRPr="00B53A5A">
        <w:rPr>
          <w:rFonts w:ascii="Times New Roman" w:hAnsi="Times New Roman" w:cs="Times New Roman"/>
        </w:rPr>
        <w:t xml:space="preserve"> </w:t>
      </w:r>
      <w:r w:rsidRPr="00B53A5A">
        <w:rPr>
          <w:rFonts w:ascii="Times New Roman" w:hAnsi="Times New Roman" w:cs="Times New Roman"/>
          <w:i/>
        </w:rPr>
        <w:t>Koh v Sainsburys Supermarkets</w:t>
      </w:r>
      <w:r w:rsidR="001C08E0">
        <w:rPr>
          <w:rFonts w:ascii="Times New Roman" w:hAnsi="Times New Roman" w:cs="Times New Roman"/>
        </w:rPr>
        <w:t>[50</w:t>
      </w:r>
      <w:r>
        <w:rPr>
          <w:rFonts w:ascii="Times New Roman" w:hAnsi="Times New Roman" w:cs="Times New Roman"/>
        </w:rPr>
        <w:t>]</w:t>
      </w:r>
      <w:r w:rsidRPr="00B53A5A">
        <w:rPr>
          <w:rFonts w:ascii="Times New Roman" w:hAnsi="Times New Roman" w:cs="Times New Roman"/>
        </w:rPr>
        <w:t xml:space="preserve"> t</w:t>
      </w:r>
      <w:r w:rsidRPr="00B53A5A">
        <w:rPr>
          <w:rFonts w:ascii="Times New Roman" w:eastAsia="Calibri" w:hAnsi="Times New Roman" w:cs="Times New Roman"/>
        </w:rPr>
        <w:t>he ET held tha</w:t>
      </w:r>
      <w:r>
        <w:rPr>
          <w:rFonts w:ascii="Times New Roman" w:eastAsia="Calibri" w:hAnsi="Times New Roman" w:cs="Times New Roman"/>
        </w:rPr>
        <w:t>t the comments referred to the c</w:t>
      </w:r>
      <w:r w:rsidRPr="00B53A5A">
        <w:rPr>
          <w:rFonts w:ascii="Times New Roman" w:eastAsia="Calibri" w:hAnsi="Times New Roman" w:cs="Times New Roman"/>
        </w:rPr>
        <w:t>laimant's age '</w:t>
      </w:r>
      <w:r w:rsidRPr="00B53A5A">
        <w:rPr>
          <w:rFonts w:ascii="Times New Roman" w:eastAsia="Calibri" w:hAnsi="Times New Roman" w:cs="Times New Roman"/>
          <w:i/>
          <w:iCs/>
        </w:rPr>
        <w:t>in a way that stereotyped someone in their early 50s as flagging in some way and unsuitable for</w:t>
      </w:r>
      <w:r w:rsidR="001C08E0">
        <w:rPr>
          <w:rFonts w:ascii="Times New Roman" w:eastAsia="Calibri" w:hAnsi="Times New Roman" w:cs="Times New Roman"/>
          <w:i/>
          <w:iCs/>
        </w:rPr>
        <w:t xml:space="preserve"> the job of duty manager</w:t>
      </w:r>
      <w:r w:rsidRPr="00B53A5A">
        <w:rPr>
          <w:rFonts w:ascii="Times New Roman" w:eastAsia="Calibri" w:hAnsi="Times New Roman" w:cs="Times New Roman"/>
          <w:i/>
          <w:iCs/>
        </w:rPr>
        <w:t>'</w:t>
      </w:r>
      <w:r w:rsidR="00795234">
        <w:rPr>
          <w:rFonts w:ascii="Times New Roman" w:eastAsia="Calibri" w:hAnsi="Times New Roman" w:cs="Times New Roman"/>
          <w:iCs/>
        </w:rPr>
        <w:t>[51</w:t>
      </w:r>
      <w:r>
        <w:rPr>
          <w:rFonts w:ascii="Times New Roman" w:eastAsia="Calibri" w:hAnsi="Times New Roman" w:cs="Times New Roman"/>
          <w:iCs/>
        </w:rPr>
        <w:t>]</w:t>
      </w:r>
      <w:r w:rsidR="00795234">
        <w:rPr>
          <w:rFonts w:ascii="Times New Roman" w:eastAsia="Calibri" w:hAnsi="Times New Roman" w:cs="Times New Roman"/>
          <w:iCs/>
        </w:rPr>
        <w:t>.</w:t>
      </w:r>
      <w:r w:rsidRPr="00B53A5A">
        <w:rPr>
          <w:rFonts w:ascii="Times New Roman" w:eastAsia="Calibri" w:hAnsi="Times New Roman" w:cs="Times New Roman"/>
        </w:rPr>
        <w:t xml:space="preserve"> In </w:t>
      </w:r>
      <w:r w:rsidRPr="00B53A5A">
        <w:rPr>
          <w:rFonts w:ascii="Times New Roman" w:eastAsia="Calibri" w:hAnsi="Times New Roman" w:cs="Times New Roman"/>
          <w:i/>
        </w:rPr>
        <w:t>Wilkinson v Springwell Engineering</w:t>
      </w:r>
      <w:r w:rsidR="001C08E0">
        <w:rPr>
          <w:rFonts w:ascii="Times New Roman" w:eastAsia="Calibri" w:hAnsi="Times New Roman" w:cs="Times New Roman"/>
        </w:rPr>
        <w:t>[52</w:t>
      </w:r>
      <w:r>
        <w:rPr>
          <w:rFonts w:ascii="Times New Roman" w:eastAsia="Calibri" w:hAnsi="Times New Roman" w:cs="Times New Roman"/>
        </w:rPr>
        <w:t>]</w:t>
      </w:r>
      <w:r w:rsidRPr="00B53A5A">
        <w:rPr>
          <w:rFonts w:ascii="Times New Roman" w:eastAsia="Calibri" w:hAnsi="Times New Roman" w:cs="Times New Roman"/>
        </w:rPr>
        <w:t xml:space="preserve"> the ET held </w:t>
      </w:r>
      <w:r>
        <w:rPr>
          <w:rFonts w:ascii="Times New Roman" w:eastAsia="Calibri" w:hAnsi="Times New Roman" w:cs="Times New Roman"/>
        </w:rPr>
        <w:t>that in dismissing the claimant the r</w:t>
      </w:r>
      <w:r w:rsidRPr="00B53A5A">
        <w:rPr>
          <w:rFonts w:ascii="Times New Roman" w:eastAsia="Calibri" w:hAnsi="Times New Roman" w:cs="Times New Roman"/>
        </w:rPr>
        <w:t xml:space="preserve">espondent was assuming a link between age and experience and </w:t>
      </w:r>
      <w:r w:rsidRPr="00B53A5A">
        <w:rPr>
          <w:rFonts w:ascii="Times New Roman" w:eastAsia="Calibri" w:hAnsi="Times New Roman" w:cs="Times New Roman"/>
          <w:i/>
          <w:iCs/>
        </w:rPr>
        <w:t>'</w:t>
      </w:r>
      <w:r w:rsidR="00CD6421">
        <w:rPr>
          <w:rFonts w:ascii="Times New Roman" w:eastAsia="Calibri" w:hAnsi="Times New Roman" w:cs="Times New Roman"/>
          <w:i/>
          <w:iCs/>
        </w:rPr>
        <w:t>t</w:t>
      </w:r>
      <w:r w:rsidRPr="00B53A5A">
        <w:rPr>
          <w:rFonts w:ascii="Times New Roman" w:eastAsia="Calibri" w:hAnsi="Times New Roman" w:cs="Times New Roman"/>
          <w:i/>
          <w:iCs/>
        </w:rPr>
        <w:t xml:space="preserve">hey were thus making a stereotypical assumption to the prejudice of </w:t>
      </w:r>
      <w:r w:rsidR="001C08E0">
        <w:rPr>
          <w:rFonts w:ascii="Times New Roman" w:eastAsia="Calibri" w:hAnsi="Times New Roman" w:cs="Times New Roman"/>
          <w:i/>
          <w:iCs/>
        </w:rPr>
        <w:t>the claimant</w:t>
      </w:r>
      <w:r w:rsidRPr="00B53A5A">
        <w:rPr>
          <w:rFonts w:ascii="Times New Roman" w:eastAsia="Calibri" w:hAnsi="Times New Roman" w:cs="Times New Roman"/>
          <w:i/>
          <w:iCs/>
        </w:rPr>
        <w:t>'</w:t>
      </w:r>
      <w:r w:rsidR="001C08E0">
        <w:rPr>
          <w:rFonts w:ascii="Times New Roman" w:eastAsia="Calibri" w:hAnsi="Times New Roman" w:cs="Times New Roman"/>
          <w:iCs/>
        </w:rPr>
        <w:t>[53</w:t>
      </w:r>
      <w:r>
        <w:rPr>
          <w:rFonts w:ascii="Times New Roman" w:eastAsia="Calibri" w:hAnsi="Times New Roman" w:cs="Times New Roman"/>
          <w:iCs/>
        </w:rPr>
        <w:t>]</w:t>
      </w:r>
      <w:r w:rsidR="001C08E0">
        <w:rPr>
          <w:rFonts w:ascii="Times New Roman" w:eastAsia="Calibri" w:hAnsi="Times New Roman" w:cs="Times New Roman"/>
          <w:iCs/>
        </w:rPr>
        <w:t>.</w:t>
      </w:r>
      <w:r>
        <w:rPr>
          <w:rFonts w:ascii="Times New Roman" w:eastAsia="Calibri" w:hAnsi="Times New Roman" w:cs="Times New Roman"/>
          <w:iCs/>
        </w:rPr>
        <w:t xml:space="preserve"> </w:t>
      </w:r>
      <w:r w:rsidR="00A4648F">
        <w:rPr>
          <w:rFonts w:ascii="Times New Roman" w:eastAsia="Calibri" w:hAnsi="Times New Roman" w:cs="Times New Roman"/>
          <w:iCs/>
        </w:rPr>
        <w:t>More recently in</w:t>
      </w:r>
      <w:r w:rsidR="00D27E01">
        <w:rPr>
          <w:rFonts w:ascii="Times New Roman" w:eastAsia="Calibri" w:hAnsi="Times New Roman" w:cs="Times New Roman"/>
          <w:iCs/>
        </w:rPr>
        <w:t xml:space="preserve"> </w:t>
      </w:r>
      <w:r w:rsidRPr="00006E4B">
        <w:rPr>
          <w:rFonts w:ascii="Times New Roman" w:eastAsia="Calibri" w:hAnsi="Times New Roman" w:cs="Times New Roman"/>
          <w:i/>
          <w:iCs/>
        </w:rPr>
        <w:t>Gomes</w:t>
      </w:r>
      <w:r w:rsidR="001C08E0">
        <w:rPr>
          <w:rFonts w:ascii="Times New Roman" w:eastAsia="Calibri" w:hAnsi="Times New Roman" w:cs="Times New Roman"/>
          <w:iCs/>
        </w:rPr>
        <w:t>[54</w:t>
      </w:r>
      <w:r>
        <w:rPr>
          <w:rFonts w:ascii="Times New Roman" w:eastAsia="Calibri" w:hAnsi="Times New Roman" w:cs="Times New Roman"/>
          <w:iCs/>
        </w:rPr>
        <w:t>] the ET tackled  stereotyping by connecting the word ‘</w:t>
      </w:r>
      <w:r w:rsidRPr="00006E4B">
        <w:rPr>
          <w:rFonts w:ascii="Times New Roman" w:eastAsia="Calibri" w:hAnsi="Times New Roman" w:cs="Times New Roman"/>
          <w:i/>
          <w:iCs/>
        </w:rPr>
        <w:t>traditional’</w:t>
      </w:r>
      <w:r>
        <w:rPr>
          <w:rFonts w:ascii="Times New Roman" w:eastAsia="Calibri" w:hAnsi="Times New Roman" w:cs="Times New Roman"/>
          <w:iCs/>
        </w:rPr>
        <w:t xml:space="preserve"> to other stereotypical phrases</w:t>
      </w:r>
      <w:r w:rsidR="00000DB2">
        <w:rPr>
          <w:rFonts w:ascii="Times New Roman" w:eastAsia="Calibri" w:hAnsi="Times New Roman" w:cs="Times New Roman"/>
          <w:iCs/>
        </w:rPr>
        <w:t>, namely:</w:t>
      </w:r>
      <w:r>
        <w:rPr>
          <w:rFonts w:ascii="Times New Roman" w:eastAsia="Calibri" w:hAnsi="Times New Roman" w:cs="Times New Roman"/>
          <w:iCs/>
        </w:rPr>
        <w:t xml:space="preserve"> ‘</w:t>
      </w:r>
      <w:r w:rsidRPr="00006E4B">
        <w:rPr>
          <w:rFonts w:ascii="Times New Roman" w:eastAsia="Calibri" w:hAnsi="Times New Roman" w:cs="Times New Roman"/>
          <w:i/>
          <w:iCs/>
        </w:rPr>
        <w:t>old fashioned’</w:t>
      </w:r>
      <w:r>
        <w:rPr>
          <w:rFonts w:ascii="Times New Roman" w:eastAsia="Calibri" w:hAnsi="Times New Roman" w:cs="Times New Roman"/>
          <w:iCs/>
        </w:rPr>
        <w:t xml:space="preserve"> and ‘</w:t>
      </w:r>
      <w:r w:rsidRPr="00006E4B">
        <w:rPr>
          <w:rFonts w:ascii="Times New Roman" w:eastAsia="Calibri" w:hAnsi="Times New Roman" w:cs="Times New Roman"/>
          <w:i/>
          <w:iCs/>
        </w:rPr>
        <w:t>set in his ways’</w:t>
      </w:r>
      <w:r>
        <w:rPr>
          <w:rFonts w:ascii="Times New Roman" w:eastAsia="Calibri" w:hAnsi="Times New Roman" w:cs="Times New Roman"/>
          <w:iCs/>
        </w:rPr>
        <w:t xml:space="preserve"> and held that the comment would not have been said to a younger assistant. </w:t>
      </w:r>
    </w:p>
    <w:p w14:paraId="2FCD7022" w14:textId="6488BA87" w:rsidR="00DC5548" w:rsidRPr="00B53A5A" w:rsidRDefault="00DC5548" w:rsidP="00374B26">
      <w:pPr>
        <w:spacing w:line="240" w:lineRule="auto"/>
        <w:ind w:firstLine="720"/>
        <w:contextualSpacing/>
        <w:jc w:val="both"/>
        <w:rPr>
          <w:rFonts w:ascii="Times New Roman" w:eastAsia="Calibri" w:hAnsi="Times New Roman" w:cs="Times New Roman"/>
        </w:rPr>
      </w:pPr>
      <w:r w:rsidRPr="00B53A5A">
        <w:rPr>
          <w:rFonts w:ascii="Times New Roman" w:hAnsi="Times New Roman" w:cs="Times New Roman"/>
          <w:iCs/>
        </w:rPr>
        <w:t>In the fieldwork observation case of</w:t>
      </w:r>
      <w:r w:rsidRPr="00B53A5A">
        <w:rPr>
          <w:rFonts w:ascii="Times New Roman" w:hAnsi="Times New Roman" w:cs="Times New Roman"/>
          <w:i/>
          <w:iCs/>
        </w:rPr>
        <w:t xml:space="preserve"> Dixon</w:t>
      </w:r>
      <w:r w:rsidR="001C08E0">
        <w:rPr>
          <w:rFonts w:ascii="Times New Roman" w:hAnsi="Times New Roman" w:cs="Times New Roman"/>
          <w:iCs/>
        </w:rPr>
        <w:t>[55</w:t>
      </w:r>
      <w:r>
        <w:rPr>
          <w:rFonts w:ascii="Times New Roman" w:hAnsi="Times New Roman" w:cs="Times New Roman"/>
          <w:iCs/>
        </w:rPr>
        <w:t>]</w:t>
      </w:r>
      <w:r w:rsidRPr="00B53A5A">
        <w:rPr>
          <w:rFonts w:ascii="Times New Roman" w:hAnsi="Times New Roman" w:cs="Times New Roman"/>
        </w:rPr>
        <w:t xml:space="preserve"> the ET provided a detailed judgment and this was an </w:t>
      </w:r>
      <w:r w:rsidR="00795234">
        <w:rPr>
          <w:rFonts w:ascii="Times New Roman" w:hAnsi="Times New Roman" w:cs="Times New Roman"/>
        </w:rPr>
        <w:t xml:space="preserve">excellent </w:t>
      </w:r>
      <w:r w:rsidRPr="00B53A5A">
        <w:rPr>
          <w:rFonts w:ascii="Times New Roman" w:hAnsi="Times New Roman" w:cs="Times New Roman"/>
        </w:rPr>
        <w:t xml:space="preserve">example of the ET applying the legislation </w:t>
      </w:r>
      <w:r w:rsidR="00795234">
        <w:rPr>
          <w:rFonts w:ascii="Times New Roman" w:hAnsi="Times New Roman" w:cs="Times New Roman"/>
        </w:rPr>
        <w:t>so as to tackle</w:t>
      </w:r>
      <w:r w:rsidRPr="00B53A5A">
        <w:rPr>
          <w:rFonts w:ascii="Times New Roman" w:hAnsi="Times New Roman" w:cs="Times New Roman"/>
        </w:rPr>
        <w:t xml:space="preserve"> stereotypical assumptions</w:t>
      </w:r>
      <w:r w:rsidR="00835FA3">
        <w:rPr>
          <w:rFonts w:ascii="Times New Roman" w:hAnsi="Times New Roman" w:cs="Times New Roman"/>
        </w:rPr>
        <w:t>.</w:t>
      </w:r>
      <w:r w:rsidRPr="00B53A5A">
        <w:rPr>
          <w:rFonts w:ascii="Times New Roman" w:eastAsia="Calibri" w:hAnsi="Times New Roman" w:cs="Times New Roman"/>
        </w:rPr>
        <w:t xml:space="preserve"> </w:t>
      </w:r>
      <w:r w:rsidR="008013C4">
        <w:rPr>
          <w:rFonts w:ascii="Times New Roman" w:eastAsia="Calibri" w:hAnsi="Times New Roman" w:cs="Times New Roman"/>
        </w:rPr>
        <w:t>Despite uncovering</w:t>
      </w:r>
      <w:r>
        <w:rPr>
          <w:rFonts w:ascii="Times New Roman" w:eastAsia="Calibri" w:hAnsi="Times New Roman" w:cs="Times New Roman"/>
        </w:rPr>
        <w:t xml:space="preserve"> that the c</w:t>
      </w:r>
      <w:r w:rsidRPr="00B53A5A">
        <w:rPr>
          <w:rFonts w:ascii="Times New Roman" w:eastAsia="Calibri" w:hAnsi="Times New Roman" w:cs="Times New Roman"/>
        </w:rPr>
        <w:t xml:space="preserve">laimant had lied </w:t>
      </w:r>
      <w:r w:rsidR="008013C4">
        <w:rPr>
          <w:rFonts w:ascii="Times New Roman" w:eastAsia="Calibri" w:hAnsi="Times New Roman" w:cs="Times New Roman"/>
        </w:rPr>
        <w:t>under</w:t>
      </w:r>
      <w:r w:rsidR="008013C4" w:rsidRPr="00B53A5A">
        <w:rPr>
          <w:rFonts w:ascii="Times New Roman" w:eastAsia="Calibri" w:hAnsi="Times New Roman" w:cs="Times New Roman"/>
        </w:rPr>
        <w:t xml:space="preserve"> </w:t>
      </w:r>
      <w:r w:rsidRPr="00B53A5A">
        <w:rPr>
          <w:rFonts w:ascii="Times New Roman" w:eastAsia="Calibri" w:hAnsi="Times New Roman" w:cs="Times New Roman"/>
        </w:rPr>
        <w:t>oath with regards to his employment</w:t>
      </w:r>
      <w:r w:rsidR="008013C4" w:rsidRPr="008013C4">
        <w:rPr>
          <w:rFonts w:ascii="Times New Roman" w:eastAsia="Calibri" w:hAnsi="Times New Roman" w:cs="Times New Roman"/>
        </w:rPr>
        <w:t xml:space="preserve"> </w:t>
      </w:r>
      <w:r w:rsidR="008013C4" w:rsidRPr="00B53A5A">
        <w:rPr>
          <w:rFonts w:ascii="Times New Roman" w:eastAsia="Calibri" w:hAnsi="Times New Roman" w:cs="Times New Roman"/>
        </w:rPr>
        <w:t>post dismissal</w:t>
      </w:r>
      <w:r w:rsidRPr="00B53A5A">
        <w:rPr>
          <w:rFonts w:ascii="Times New Roman" w:eastAsia="Calibri" w:hAnsi="Times New Roman" w:cs="Times New Roman"/>
        </w:rPr>
        <w:t xml:space="preserve">, the ET </w:t>
      </w:r>
      <w:r>
        <w:rPr>
          <w:rFonts w:ascii="Times New Roman" w:eastAsia="Calibri" w:hAnsi="Times New Roman" w:cs="Times New Roman"/>
        </w:rPr>
        <w:t>did not lose sight of</w:t>
      </w:r>
      <w:r w:rsidRPr="00B53A5A">
        <w:rPr>
          <w:rFonts w:ascii="Times New Roman" w:eastAsia="Calibri" w:hAnsi="Times New Roman" w:cs="Times New Roman"/>
        </w:rPr>
        <w:t xml:space="preserve"> the use of stereotypical assumptions </w:t>
      </w:r>
      <w:r>
        <w:rPr>
          <w:rFonts w:ascii="Times New Roman" w:eastAsia="Calibri" w:hAnsi="Times New Roman" w:cs="Times New Roman"/>
        </w:rPr>
        <w:t xml:space="preserve">held by the employer </w:t>
      </w:r>
      <w:r w:rsidRPr="00B53A5A">
        <w:rPr>
          <w:rFonts w:ascii="Times New Roman" w:eastAsia="Calibri" w:hAnsi="Times New Roman" w:cs="Times New Roman"/>
        </w:rPr>
        <w:t>that were a theme throughout the evidence</w:t>
      </w:r>
      <w:r w:rsidR="00FA6BAD">
        <w:rPr>
          <w:rFonts w:ascii="Times New Roman" w:eastAsia="Calibri" w:hAnsi="Times New Roman" w:cs="Times New Roman"/>
        </w:rPr>
        <w:t>. The ET</w:t>
      </w:r>
      <w:r w:rsidR="00700AB7">
        <w:rPr>
          <w:rFonts w:ascii="Times New Roman" w:eastAsia="Calibri" w:hAnsi="Times New Roman" w:cs="Times New Roman"/>
        </w:rPr>
        <w:t xml:space="preserve"> </w:t>
      </w:r>
      <w:r w:rsidRPr="00B53A5A">
        <w:rPr>
          <w:rFonts w:ascii="Times New Roman" w:eastAsia="Calibri" w:hAnsi="Times New Roman" w:cs="Times New Roman"/>
        </w:rPr>
        <w:t>held that:</w:t>
      </w:r>
    </w:p>
    <w:p w14:paraId="775388DD" w14:textId="77777777" w:rsidR="00DC5548" w:rsidRPr="00B53A5A" w:rsidRDefault="00DC5548" w:rsidP="00DC5548">
      <w:pPr>
        <w:spacing w:after="0" w:line="240" w:lineRule="auto"/>
        <w:ind w:left="454"/>
        <w:contextualSpacing/>
        <w:jc w:val="both"/>
        <w:rPr>
          <w:rFonts w:ascii="Times New Roman" w:eastAsia="Calibri" w:hAnsi="Times New Roman" w:cs="Times New Roman"/>
        </w:rPr>
      </w:pPr>
    </w:p>
    <w:p w14:paraId="5AB66F2F" w14:textId="77777777" w:rsidR="00DC5548" w:rsidRPr="00B53A5A" w:rsidRDefault="00DC5548" w:rsidP="00DC5548">
      <w:pPr>
        <w:spacing w:after="0" w:line="240" w:lineRule="auto"/>
        <w:ind w:left="1134"/>
        <w:contextualSpacing/>
        <w:jc w:val="both"/>
        <w:rPr>
          <w:rFonts w:ascii="Times New Roman" w:eastAsia="Calibri" w:hAnsi="Times New Roman" w:cs="Times New Roman"/>
        </w:rPr>
      </w:pPr>
      <w:r w:rsidRPr="00B53A5A">
        <w:rPr>
          <w:rFonts w:ascii="Times New Roman" w:eastAsia="Calibri" w:hAnsi="Times New Roman" w:cs="Times New Roman"/>
          <w:i/>
          <w:iCs/>
        </w:rPr>
        <w:t>The use of phrases such as ‘set in his ways to change’ and ‘he is keeper not an organiser-you cannot see David Dixon doing all the GPS computer work’ indicated that the Respondent’s directors had formed the view that the Claimant was old fashioned and either unable or unwilling to learn more modern methods. No evidence was produced by the Respondent to support these conclusions</w:t>
      </w:r>
      <w:r w:rsidR="001C08E0">
        <w:rPr>
          <w:rFonts w:ascii="Times New Roman" w:eastAsia="Calibri" w:hAnsi="Times New Roman" w:cs="Times New Roman"/>
          <w:iCs/>
        </w:rPr>
        <w:t>[56</w:t>
      </w:r>
      <w:r w:rsidRPr="00D630B7">
        <w:rPr>
          <w:rFonts w:ascii="Times New Roman" w:eastAsia="Calibri" w:hAnsi="Times New Roman" w:cs="Times New Roman"/>
          <w:iCs/>
        </w:rPr>
        <w:t>]</w:t>
      </w:r>
      <w:r w:rsidRPr="00B53A5A">
        <w:rPr>
          <w:rFonts w:ascii="Times New Roman" w:eastAsia="Calibri" w:hAnsi="Times New Roman" w:cs="Times New Roman"/>
        </w:rPr>
        <w:t>.</w:t>
      </w:r>
    </w:p>
    <w:p w14:paraId="23D4434E" w14:textId="77777777" w:rsidR="00DC5548" w:rsidRPr="00B53A5A" w:rsidRDefault="00DC5548" w:rsidP="00DC5548">
      <w:pPr>
        <w:spacing w:after="0" w:line="240" w:lineRule="auto"/>
        <w:contextualSpacing/>
        <w:jc w:val="both"/>
        <w:rPr>
          <w:rFonts w:ascii="Times New Roman" w:eastAsia="Calibri" w:hAnsi="Times New Roman" w:cs="Times New Roman"/>
        </w:rPr>
      </w:pPr>
    </w:p>
    <w:p w14:paraId="2126CA06" w14:textId="735FE6C3" w:rsidR="00374B26" w:rsidRDefault="00FA6BAD" w:rsidP="005E093D">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The</w:t>
      </w:r>
      <w:r w:rsidR="00DC5548" w:rsidRPr="00B53A5A">
        <w:rPr>
          <w:rFonts w:ascii="Times New Roman" w:eastAsia="Calibri" w:hAnsi="Times New Roman" w:cs="Times New Roman"/>
        </w:rPr>
        <w:t xml:space="preserve"> ET focussed on the use of these phrases by the employer</w:t>
      </w:r>
      <w:r w:rsidR="008013C4">
        <w:rPr>
          <w:rFonts w:ascii="Times New Roman" w:eastAsia="Calibri" w:hAnsi="Times New Roman" w:cs="Times New Roman"/>
        </w:rPr>
        <w:t xml:space="preserve">, </w:t>
      </w:r>
      <w:r w:rsidR="00DC5548" w:rsidRPr="00B53A5A">
        <w:rPr>
          <w:rFonts w:ascii="Times New Roman" w:eastAsia="Calibri" w:hAnsi="Times New Roman" w:cs="Times New Roman"/>
        </w:rPr>
        <w:t>linked t</w:t>
      </w:r>
      <w:r w:rsidR="00DC5548">
        <w:rPr>
          <w:rFonts w:ascii="Times New Roman" w:eastAsia="Calibri" w:hAnsi="Times New Roman" w:cs="Times New Roman"/>
        </w:rPr>
        <w:t>hese phrases to the age of the c</w:t>
      </w:r>
      <w:r w:rsidR="00DC5548" w:rsidRPr="00B53A5A">
        <w:rPr>
          <w:rFonts w:ascii="Times New Roman" w:eastAsia="Calibri" w:hAnsi="Times New Roman" w:cs="Times New Roman"/>
        </w:rPr>
        <w:t xml:space="preserve">laimant and </w:t>
      </w:r>
      <w:r w:rsidR="00795234">
        <w:rPr>
          <w:rFonts w:ascii="Times New Roman" w:eastAsia="Calibri" w:hAnsi="Times New Roman" w:cs="Times New Roman"/>
        </w:rPr>
        <w:t>reached the decision</w:t>
      </w:r>
      <w:r w:rsidR="00DC5548" w:rsidRPr="00B53A5A">
        <w:rPr>
          <w:rFonts w:ascii="Times New Roman" w:eastAsia="Calibri" w:hAnsi="Times New Roman" w:cs="Times New Roman"/>
        </w:rPr>
        <w:t xml:space="preserve"> t</w:t>
      </w:r>
      <w:r w:rsidR="00DC5548">
        <w:rPr>
          <w:rFonts w:ascii="Times New Roman" w:eastAsia="Calibri" w:hAnsi="Times New Roman" w:cs="Times New Roman"/>
        </w:rPr>
        <w:t>hat the r</w:t>
      </w:r>
      <w:r w:rsidR="00DC5548" w:rsidRPr="00B53A5A">
        <w:rPr>
          <w:rFonts w:ascii="Times New Roman" w:eastAsia="Calibri" w:hAnsi="Times New Roman" w:cs="Times New Roman"/>
        </w:rPr>
        <w:t>espondent’s director</w:t>
      </w:r>
      <w:r w:rsidR="00DC5548">
        <w:rPr>
          <w:rFonts w:ascii="Times New Roman" w:eastAsia="Calibri" w:hAnsi="Times New Roman" w:cs="Times New Roman"/>
        </w:rPr>
        <w:t>s had formed the view that the c</w:t>
      </w:r>
      <w:r w:rsidR="00DC5548" w:rsidRPr="00B53A5A">
        <w:rPr>
          <w:rFonts w:ascii="Times New Roman" w:eastAsia="Calibri" w:hAnsi="Times New Roman" w:cs="Times New Roman"/>
        </w:rPr>
        <w:t>laimant was unable or unwilling to learn more modern methods because of his age. Based upon the stereotypical assumptions, the ET fo</w:t>
      </w:r>
      <w:r w:rsidR="00DC5548">
        <w:rPr>
          <w:rFonts w:ascii="Times New Roman" w:eastAsia="Calibri" w:hAnsi="Times New Roman" w:cs="Times New Roman"/>
        </w:rPr>
        <w:t xml:space="preserve">und that </w:t>
      </w:r>
      <w:r w:rsidR="00000DB2">
        <w:rPr>
          <w:rFonts w:ascii="Times New Roman" w:eastAsia="Calibri" w:hAnsi="Times New Roman" w:cs="Times New Roman"/>
        </w:rPr>
        <w:t xml:space="preserve">some </w:t>
      </w:r>
      <w:r w:rsidR="00D27E01">
        <w:rPr>
          <w:rFonts w:ascii="Times New Roman" w:eastAsia="Calibri" w:hAnsi="Times New Roman" w:cs="Times New Roman"/>
        </w:rPr>
        <w:t xml:space="preserve">21 months before </w:t>
      </w:r>
      <w:r>
        <w:rPr>
          <w:rFonts w:ascii="Times New Roman" w:eastAsia="Calibri" w:hAnsi="Times New Roman" w:cs="Times New Roman"/>
        </w:rPr>
        <w:t xml:space="preserve">the claimant’s </w:t>
      </w:r>
      <w:r w:rsidR="00D27E01">
        <w:rPr>
          <w:rFonts w:ascii="Times New Roman" w:eastAsia="Calibri" w:hAnsi="Times New Roman" w:cs="Times New Roman"/>
        </w:rPr>
        <w:t xml:space="preserve">dismissal </w:t>
      </w:r>
      <w:r w:rsidR="00DC5548">
        <w:rPr>
          <w:rFonts w:ascii="Times New Roman" w:eastAsia="Calibri" w:hAnsi="Times New Roman" w:cs="Times New Roman"/>
        </w:rPr>
        <w:t>the r</w:t>
      </w:r>
      <w:r w:rsidR="00DC5548" w:rsidRPr="00B53A5A">
        <w:rPr>
          <w:rFonts w:ascii="Times New Roman" w:eastAsia="Calibri" w:hAnsi="Times New Roman" w:cs="Times New Roman"/>
        </w:rPr>
        <w:t xml:space="preserve">espondent’s directors had already begun to form the view that they wanted a younger, fresher Head Keeper to replace the </w:t>
      </w:r>
      <w:r w:rsidR="007D3991">
        <w:rPr>
          <w:rFonts w:ascii="Times New Roman" w:eastAsia="Calibri" w:hAnsi="Times New Roman" w:cs="Times New Roman"/>
        </w:rPr>
        <w:t>c</w:t>
      </w:r>
      <w:r w:rsidR="00DC5548" w:rsidRPr="00B53A5A">
        <w:rPr>
          <w:rFonts w:ascii="Times New Roman" w:eastAsia="Calibri" w:hAnsi="Times New Roman" w:cs="Times New Roman"/>
        </w:rPr>
        <w:t xml:space="preserve">laimant. </w:t>
      </w:r>
      <w:r w:rsidR="00DC5548">
        <w:rPr>
          <w:rFonts w:ascii="Times New Roman" w:eastAsia="Calibri" w:hAnsi="Times New Roman" w:cs="Times New Roman"/>
        </w:rPr>
        <w:t xml:space="preserve">This </w:t>
      </w:r>
      <w:r w:rsidR="00795234">
        <w:rPr>
          <w:rFonts w:ascii="Times New Roman" w:eastAsia="Calibri" w:hAnsi="Times New Roman" w:cs="Times New Roman"/>
        </w:rPr>
        <w:t>is when</w:t>
      </w:r>
      <w:r w:rsidR="00DC5548">
        <w:rPr>
          <w:rFonts w:ascii="Times New Roman" w:eastAsia="Calibri" w:hAnsi="Times New Roman" w:cs="Times New Roman"/>
        </w:rPr>
        <w:t xml:space="preserve"> the r</w:t>
      </w:r>
      <w:r w:rsidR="00DC5548" w:rsidRPr="00B53A5A">
        <w:rPr>
          <w:rFonts w:ascii="Times New Roman" w:eastAsia="Calibri" w:hAnsi="Times New Roman" w:cs="Times New Roman"/>
        </w:rPr>
        <w:t>espondent produced a report known as the ‘</w:t>
      </w:r>
      <w:r w:rsidR="00DC5548" w:rsidRPr="00B53A5A">
        <w:rPr>
          <w:rFonts w:ascii="Times New Roman" w:eastAsia="Calibri" w:hAnsi="Times New Roman" w:cs="Times New Roman"/>
          <w:i/>
          <w:iCs/>
        </w:rPr>
        <w:t>Maxcap’</w:t>
      </w:r>
      <w:r w:rsidR="00DC5548">
        <w:rPr>
          <w:rFonts w:ascii="Times New Roman" w:eastAsia="Calibri" w:hAnsi="Times New Roman" w:cs="Times New Roman"/>
        </w:rPr>
        <w:t xml:space="preserve"> report, which stated the c</w:t>
      </w:r>
      <w:r w:rsidR="00DC5548" w:rsidRPr="00B53A5A">
        <w:rPr>
          <w:rFonts w:ascii="Times New Roman" w:eastAsia="Calibri" w:hAnsi="Times New Roman" w:cs="Times New Roman"/>
        </w:rPr>
        <w:t xml:space="preserve">laimant was </w:t>
      </w:r>
      <w:r w:rsidR="00DC5548" w:rsidRPr="00B53A5A">
        <w:rPr>
          <w:rFonts w:ascii="Times New Roman" w:eastAsia="Calibri" w:hAnsi="Times New Roman" w:cs="Times New Roman"/>
          <w:i/>
          <w:iCs/>
        </w:rPr>
        <w:t>‘unlikely to change’, ‘is very set in his ways’</w:t>
      </w:r>
      <w:r w:rsidR="00DC5548">
        <w:rPr>
          <w:rFonts w:ascii="Times New Roman" w:eastAsia="Calibri" w:hAnsi="Times New Roman" w:cs="Times New Roman"/>
        </w:rPr>
        <w:t xml:space="preserve"> and they could not see </w:t>
      </w:r>
      <w:r w:rsidR="00000DB2">
        <w:rPr>
          <w:rFonts w:ascii="Times New Roman" w:eastAsia="Calibri" w:hAnsi="Times New Roman" w:cs="Times New Roman"/>
        </w:rPr>
        <w:t>him</w:t>
      </w:r>
      <w:r w:rsidR="00DC5548" w:rsidRPr="00B53A5A">
        <w:rPr>
          <w:rFonts w:ascii="Times New Roman" w:eastAsia="Calibri" w:hAnsi="Times New Roman" w:cs="Times New Roman"/>
        </w:rPr>
        <w:t xml:space="preserve"> doing ‘</w:t>
      </w:r>
      <w:r w:rsidR="00DC5548" w:rsidRPr="00B53A5A">
        <w:rPr>
          <w:rFonts w:ascii="Times New Roman" w:eastAsia="Calibri" w:hAnsi="Times New Roman" w:cs="Times New Roman"/>
          <w:i/>
          <w:iCs/>
        </w:rPr>
        <w:t>GPS computer work</w:t>
      </w:r>
      <w:r w:rsidR="00DC5548" w:rsidRPr="00B53A5A">
        <w:rPr>
          <w:rFonts w:ascii="Times New Roman" w:eastAsia="Calibri" w:hAnsi="Times New Roman" w:cs="Times New Roman"/>
        </w:rPr>
        <w:t>’</w:t>
      </w:r>
      <w:r w:rsidR="002E27E4">
        <w:rPr>
          <w:rFonts w:ascii="Times New Roman" w:eastAsia="Calibri" w:hAnsi="Times New Roman" w:cs="Times New Roman"/>
        </w:rPr>
        <w:t>[57</w:t>
      </w:r>
      <w:r w:rsidR="00DC5548">
        <w:rPr>
          <w:rFonts w:ascii="Times New Roman" w:eastAsia="Calibri" w:hAnsi="Times New Roman" w:cs="Times New Roman"/>
        </w:rPr>
        <w:t>]</w:t>
      </w:r>
      <w:r w:rsidR="002E27E4">
        <w:rPr>
          <w:rFonts w:ascii="Times New Roman" w:eastAsia="Calibri" w:hAnsi="Times New Roman" w:cs="Times New Roman"/>
        </w:rPr>
        <w:t>.</w:t>
      </w:r>
      <w:r w:rsidR="00DC5548" w:rsidRPr="00B53A5A">
        <w:rPr>
          <w:rFonts w:ascii="Times New Roman" w:eastAsia="Calibri" w:hAnsi="Times New Roman" w:cs="Times New Roman"/>
        </w:rPr>
        <w:t xml:space="preserve"> The ET did not however address the use of another stereotypical phrase obtained from the fieldwork evidence that th</w:t>
      </w:r>
      <w:r w:rsidR="00DC5548">
        <w:rPr>
          <w:rFonts w:ascii="Times New Roman" w:eastAsia="Calibri" w:hAnsi="Times New Roman" w:cs="Times New Roman"/>
        </w:rPr>
        <w:t>e directors were looking for a “</w:t>
      </w:r>
      <w:r w:rsidR="00DC5548">
        <w:rPr>
          <w:rFonts w:ascii="Times New Roman" w:eastAsia="Calibri" w:hAnsi="Times New Roman" w:cs="Times New Roman"/>
          <w:i/>
          <w:iCs/>
        </w:rPr>
        <w:t>dynamic keeper”</w:t>
      </w:r>
      <w:r w:rsidR="00DC5548" w:rsidRPr="00B53A5A">
        <w:rPr>
          <w:rFonts w:ascii="Times New Roman" w:eastAsia="Calibri" w:hAnsi="Times New Roman" w:cs="Times New Roman"/>
          <w:i/>
          <w:iCs/>
        </w:rPr>
        <w:t xml:space="preserve"> </w:t>
      </w:r>
      <w:r w:rsidR="002E27E4">
        <w:rPr>
          <w:rFonts w:ascii="Times New Roman" w:eastAsia="Calibri" w:hAnsi="Times New Roman" w:cs="Times New Roman"/>
          <w:iCs/>
        </w:rPr>
        <w:t>which arose from the evidence[58</w:t>
      </w:r>
      <w:r w:rsidR="00DC5548">
        <w:rPr>
          <w:rFonts w:ascii="Times New Roman" w:eastAsia="Calibri" w:hAnsi="Times New Roman" w:cs="Times New Roman"/>
          <w:iCs/>
        </w:rPr>
        <w:t>]</w:t>
      </w:r>
      <w:r w:rsidR="002E27E4">
        <w:rPr>
          <w:rFonts w:ascii="Times New Roman" w:eastAsia="Calibri" w:hAnsi="Times New Roman" w:cs="Times New Roman"/>
          <w:iCs/>
        </w:rPr>
        <w:t>.</w:t>
      </w:r>
      <w:r w:rsidR="00DC5548" w:rsidRPr="00B53A5A">
        <w:rPr>
          <w:rFonts w:ascii="Times New Roman" w:eastAsia="Calibri" w:hAnsi="Times New Roman" w:cs="Times New Roman"/>
          <w:vertAlign w:val="superscript"/>
        </w:rPr>
        <w:t xml:space="preserve"> </w:t>
      </w:r>
      <w:r w:rsidR="00DC5548" w:rsidRPr="00B53A5A">
        <w:rPr>
          <w:rFonts w:ascii="Times New Roman" w:eastAsia="Calibri" w:hAnsi="Times New Roman" w:cs="Times New Roman"/>
        </w:rPr>
        <w:t>It is therefore unclear what the ET thought of the use of this phrase and indeed</w:t>
      </w:r>
      <w:r w:rsidR="002D6F05">
        <w:rPr>
          <w:rFonts w:ascii="Times New Roman" w:eastAsia="Calibri" w:hAnsi="Times New Roman" w:cs="Times New Roman"/>
        </w:rPr>
        <w:t>,</w:t>
      </w:r>
      <w:r w:rsidR="00DC5548" w:rsidRPr="00B53A5A">
        <w:rPr>
          <w:rFonts w:ascii="Times New Roman" w:eastAsia="Calibri" w:hAnsi="Times New Roman" w:cs="Times New Roman"/>
        </w:rPr>
        <w:t xml:space="preserve"> whether the same decision would have been reached if this </w:t>
      </w:r>
      <w:r w:rsidR="00CD6421">
        <w:rPr>
          <w:rFonts w:ascii="Times New Roman" w:eastAsia="Calibri" w:hAnsi="Times New Roman" w:cs="Times New Roman"/>
        </w:rPr>
        <w:t>were</w:t>
      </w:r>
      <w:r w:rsidR="002D6F05">
        <w:rPr>
          <w:rFonts w:ascii="Times New Roman" w:eastAsia="Calibri" w:hAnsi="Times New Roman" w:cs="Times New Roman"/>
        </w:rPr>
        <w:t xml:space="preserve"> the only </w:t>
      </w:r>
      <w:r w:rsidR="00DC5548" w:rsidRPr="00B53A5A">
        <w:rPr>
          <w:rFonts w:ascii="Times New Roman" w:eastAsia="Calibri" w:hAnsi="Times New Roman" w:cs="Times New Roman"/>
        </w:rPr>
        <w:t>phrase referred to in the evidence</w:t>
      </w:r>
      <w:r>
        <w:rPr>
          <w:rFonts w:ascii="Times New Roman" w:eastAsia="Calibri" w:hAnsi="Times New Roman" w:cs="Times New Roman"/>
        </w:rPr>
        <w:t>.</w:t>
      </w:r>
      <w:r w:rsidR="00DC5548" w:rsidRPr="00B53A5A">
        <w:rPr>
          <w:rFonts w:ascii="Times New Roman" w:eastAsia="Calibri" w:hAnsi="Times New Roman" w:cs="Times New Roman"/>
        </w:rPr>
        <w:t xml:space="preserve">  Nevertheless in the ET</w:t>
      </w:r>
      <w:r w:rsidR="00CD6421">
        <w:rPr>
          <w:rFonts w:ascii="Times New Roman" w:eastAsia="Calibri" w:hAnsi="Times New Roman" w:cs="Times New Roman"/>
        </w:rPr>
        <w:t>’</w:t>
      </w:r>
      <w:r w:rsidR="00DC5548" w:rsidRPr="00B53A5A">
        <w:rPr>
          <w:rFonts w:ascii="Times New Roman" w:eastAsia="Calibri" w:hAnsi="Times New Roman" w:cs="Times New Roman"/>
        </w:rPr>
        <w:t>s words</w:t>
      </w:r>
      <w:r w:rsidR="00DC5548">
        <w:rPr>
          <w:rFonts w:ascii="Times New Roman" w:eastAsia="Calibri" w:hAnsi="Times New Roman" w:cs="Times New Roman"/>
        </w:rPr>
        <w:t xml:space="preserve"> the c</w:t>
      </w:r>
      <w:r w:rsidR="00DC5548" w:rsidRPr="00B53A5A">
        <w:rPr>
          <w:rFonts w:ascii="Times New Roman" w:eastAsia="Calibri" w:hAnsi="Times New Roman" w:cs="Times New Roman"/>
        </w:rPr>
        <w:t>laimant had been ‘</w:t>
      </w:r>
      <w:r w:rsidR="00DC5548" w:rsidRPr="00B53A5A">
        <w:rPr>
          <w:rFonts w:ascii="Times New Roman" w:eastAsia="Calibri" w:hAnsi="Times New Roman" w:cs="Times New Roman"/>
          <w:i/>
          <w:iCs/>
        </w:rPr>
        <w:t>the victim of a grave injusti</w:t>
      </w:r>
      <w:r w:rsidR="002E27E4">
        <w:rPr>
          <w:rFonts w:ascii="Times New Roman" w:eastAsia="Calibri" w:hAnsi="Times New Roman" w:cs="Times New Roman"/>
          <w:i/>
          <w:iCs/>
        </w:rPr>
        <w:t>ce at the hands of his employer</w:t>
      </w:r>
      <w:r w:rsidR="00DC5548" w:rsidRPr="00B53A5A">
        <w:rPr>
          <w:rFonts w:ascii="Times New Roman" w:eastAsia="Calibri" w:hAnsi="Times New Roman" w:cs="Times New Roman"/>
          <w:i/>
          <w:iCs/>
        </w:rPr>
        <w:t>’</w:t>
      </w:r>
      <w:r w:rsidR="002E27E4">
        <w:rPr>
          <w:rFonts w:ascii="Times New Roman" w:eastAsia="Calibri" w:hAnsi="Times New Roman" w:cs="Times New Roman"/>
          <w:iCs/>
        </w:rPr>
        <w:t>[59</w:t>
      </w:r>
      <w:r w:rsidR="00DC5548">
        <w:rPr>
          <w:rFonts w:ascii="Times New Roman" w:eastAsia="Calibri" w:hAnsi="Times New Roman" w:cs="Times New Roman"/>
          <w:iCs/>
        </w:rPr>
        <w:t>]</w:t>
      </w:r>
      <w:r w:rsidR="002E27E4">
        <w:rPr>
          <w:rFonts w:ascii="Times New Roman" w:eastAsia="Calibri" w:hAnsi="Times New Roman" w:cs="Times New Roman"/>
          <w:iCs/>
        </w:rPr>
        <w:t>.</w:t>
      </w:r>
    </w:p>
    <w:p w14:paraId="682114FB" w14:textId="68CE813B" w:rsidR="00DC5548" w:rsidRDefault="0096641D" w:rsidP="00374B26">
      <w:pPr>
        <w:spacing w:after="0" w:line="240" w:lineRule="auto"/>
        <w:ind w:firstLine="720"/>
        <w:contextualSpacing/>
        <w:jc w:val="both"/>
        <w:rPr>
          <w:rFonts w:ascii="Times New Roman" w:eastAsia="Calibri" w:hAnsi="Times New Roman" w:cs="Times New Roman"/>
        </w:rPr>
      </w:pPr>
      <w:r>
        <w:rPr>
          <w:rFonts w:ascii="Times New Roman" w:hAnsi="Times New Roman" w:cs="Times New Roman"/>
        </w:rPr>
        <w:t>In the other fieldwork cases there was no evidence to suggest the employers were acting on the basis of stereotypical assumptions</w:t>
      </w:r>
      <w:r w:rsidR="008013C4">
        <w:rPr>
          <w:rFonts w:ascii="Times New Roman" w:hAnsi="Times New Roman" w:cs="Times New Roman"/>
        </w:rPr>
        <w:t xml:space="preserve">. </w:t>
      </w:r>
      <w:r>
        <w:rPr>
          <w:rFonts w:ascii="Times New Roman" w:hAnsi="Times New Roman" w:cs="Times New Roman"/>
        </w:rPr>
        <w:t>Although there was no stereotyping in the</w:t>
      </w:r>
      <w:r w:rsidR="00DC5548" w:rsidRPr="00FF64D3">
        <w:rPr>
          <w:rFonts w:ascii="Times New Roman" w:hAnsi="Times New Roman" w:cs="Times New Roman"/>
        </w:rPr>
        <w:t xml:space="preserve"> </w:t>
      </w:r>
      <w:r>
        <w:rPr>
          <w:rFonts w:ascii="Times New Roman" w:hAnsi="Times New Roman" w:cs="Times New Roman"/>
        </w:rPr>
        <w:t xml:space="preserve">fieldwork </w:t>
      </w:r>
      <w:r w:rsidR="00DC5548" w:rsidRPr="00FF64D3">
        <w:rPr>
          <w:rFonts w:ascii="Times New Roman" w:hAnsi="Times New Roman" w:cs="Times New Roman"/>
        </w:rPr>
        <w:t>case of</w:t>
      </w:r>
      <w:r w:rsidR="00DC5548" w:rsidRPr="00B53A5A">
        <w:rPr>
          <w:rFonts w:ascii="Times New Roman" w:hAnsi="Times New Roman" w:cs="Times New Roman"/>
          <w:i/>
        </w:rPr>
        <w:t xml:space="preserve"> Hickman</w:t>
      </w:r>
      <w:r w:rsidR="002E27E4">
        <w:rPr>
          <w:rFonts w:ascii="Times New Roman" w:hAnsi="Times New Roman" w:cs="Times New Roman"/>
        </w:rPr>
        <w:t>[60</w:t>
      </w:r>
      <w:r w:rsidR="00DC5548">
        <w:rPr>
          <w:rFonts w:ascii="Times New Roman" w:hAnsi="Times New Roman" w:cs="Times New Roman"/>
        </w:rPr>
        <w:t xml:space="preserve">] </w:t>
      </w:r>
      <w:r>
        <w:rPr>
          <w:rFonts w:ascii="Times New Roman" w:hAnsi="Times New Roman" w:cs="Times New Roman"/>
        </w:rPr>
        <w:t xml:space="preserve">it is nevertheless </w:t>
      </w:r>
      <w:r w:rsidR="00DC5548">
        <w:rPr>
          <w:rFonts w:ascii="Times New Roman" w:hAnsi="Times New Roman" w:cs="Times New Roman"/>
        </w:rPr>
        <w:t xml:space="preserve">is </w:t>
      </w:r>
      <w:r>
        <w:rPr>
          <w:rFonts w:ascii="Times New Roman" w:hAnsi="Times New Roman" w:cs="Times New Roman"/>
        </w:rPr>
        <w:t>an</w:t>
      </w:r>
      <w:r w:rsidR="00DC5548">
        <w:rPr>
          <w:rFonts w:ascii="Times New Roman" w:hAnsi="Times New Roman" w:cs="Times New Roman"/>
        </w:rPr>
        <w:t xml:space="preserve"> example of the ET </w:t>
      </w:r>
      <w:r>
        <w:rPr>
          <w:rFonts w:ascii="Times New Roman" w:hAnsi="Times New Roman" w:cs="Times New Roman"/>
        </w:rPr>
        <w:t xml:space="preserve">directing its </w:t>
      </w:r>
      <w:r w:rsidR="002E27E4">
        <w:rPr>
          <w:rFonts w:ascii="Times New Roman" w:hAnsi="Times New Roman" w:cs="Times New Roman"/>
        </w:rPr>
        <w:t>questions</w:t>
      </w:r>
      <w:r>
        <w:rPr>
          <w:rFonts w:ascii="Times New Roman" w:hAnsi="Times New Roman" w:cs="Times New Roman"/>
        </w:rPr>
        <w:t xml:space="preserve"> to actions and comments to determine the existence of an age stereotype</w:t>
      </w:r>
      <w:r w:rsidR="008013C4">
        <w:rPr>
          <w:rFonts w:ascii="Times New Roman" w:hAnsi="Times New Roman" w:cs="Times New Roman"/>
        </w:rPr>
        <w:t xml:space="preserve"> (Martin, 2016)</w:t>
      </w:r>
      <w:r>
        <w:rPr>
          <w:rFonts w:ascii="Times New Roman" w:hAnsi="Times New Roman" w:cs="Times New Roman"/>
        </w:rPr>
        <w:t xml:space="preserve">. </w:t>
      </w:r>
      <w:r w:rsidR="00DC5548">
        <w:rPr>
          <w:rFonts w:ascii="Times New Roman" w:eastAsia="Calibri" w:hAnsi="Times New Roman" w:cs="Times New Roman"/>
        </w:rPr>
        <w:t>T</w:t>
      </w:r>
      <w:r>
        <w:rPr>
          <w:rFonts w:ascii="Times New Roman" w:eastAsia="Calibri" w:hAnsi="Times New Roman" w:cs="Times New Roman"/>
        </w:rPr>
        <w:t>he c</w:t>
      </w:r>
      <w:r w:rsidR="00DC5548" w:rsidRPr="00B53A5A">
        <w:rPr>
          <w:rFonts w:ascii="Times New Roman" w:eastAsia="Calibri" w:hAnsi="Times New Roman" w:cs="Times New Roman"/>
        </w:rPr>
        <w:t xml:space="preserve">laimant was allocated </w:t>
      </w:r>
      <w:r w:rsidR="00DC5548" w:rsidRPr="000F2AC0">
        <w:rPr>
          <w:rFonts w:ascii="Times New Roman" w:eastAsia="Calibri" w:hAnsi="Times New Roman" w:cs="Times New Roman"/>
        </w:rPr>
        <w:t>an apprentice</w:t>
      </w:r>
      <w:r w:rsidR="00DC5548" w:rsidRPr="00B53A5A">
        <w:rPr>
          <w:rFonts w:ascii="Times New Roman" w:eastAsia="Calibri" w:hAnsi="Times New Roman" w:cs="Times New Roman"/>
        </w:rPr>
        <w:t xml:space="preserve"> in March 2011 </w:t>
      </w:r>
      <w:r w:rsidR="00DC5548">
        <w:rPr>
          <w:rFonts w:ascii="Times New Roman" w:eastAsia="Calibri" w:hAnsi="Times New Roman" w:cs="Times New Roman"/>
        </w:rPr>
        <w:t>to help him with his work. The c</w:t>
      </w:r>
      <w:r w:rsidR="00DC5548" w:rsidRPr="00B53A5A">
        <w:rPr>
          <w:rFonts w:ascii="Times New Roman" w:eastAsia="Calibri" w:hAnsi="Times New Roman" w:cs="Times New Roman"/>
        </w:rPr>
        <w:t xml:space="preserve">laimant </w:t>
      </w:r>
      <w:r w:rsidR="008013C4">
        <w:rPr>
          <w:rFonts w:ascii="Times New Roman" w:eastAsia="Calibri" w:hAnsi="Times New Roman" w:cs="Times New Roman"/>
        </w:rPr>
        <w:t>felt he did not need</w:t>
      </w:r>
      <w:r w:rsidR="00F04B6E" w:rsidRPr="00B53A5A">
        <w:rPr>
          <w:rFonts w:ascii="Times New Roman" w:eastAsia="Calibri" w:hAnsi="Times New Roman" w:cs="Times New Roman"/>
        </w:rPr>
        <w:t xml:space="preserve"> help with his work </w:t>
      </w:r>
      <w:r w:rsidR="00F04B6E">
        <w:rPr>
          <w:rFonts w:ascii="Times New Roman" w:eastAsia="Calibri" w:hAnsi="Times New Roman" w:cs="Times New Roman"/>
        </w:rPr>
        <w:t xml:space="preserve">and </w:t>
      </w:r>
      <w:r w:rsidR="00DC5548" w:rsidRPr="00B53A5A">
        <w:rPr>
          <w:rFonts w:ascii="Times New Roman" w:eastAsia="Calibri" w:hAnsi="Times New Roman" w:cs="Times New Roman"/>
        </w:rPr>
        <w:t>considered that this was evidence that his dismissal was because of his age. The potential existence of a stereotypical link between age and the claimant’s ability was explored by the ET in its question</w:t>
      </w:r>
      <w:r w:rsidR="00DC5548">
        <w:rPr>
          <w:rFonts w:ascii="Times New Roman" w:eastAsia="Calibri" w:hAnsi="Times New Roman" w:cs="Times New Roman"/>
        </w:rPr>
        <w:t xml:space="preserve">ing and it </w:t>
      </w:r>
      <w:r w:rsidR="00795234">
        <w:rPr>
          <w:rFonts w:ascii="Times New Roman" w:eastAsia="Calibri" w:hAnsi="Times New Roman" w:cs="Times New Roman"/>
        </w:rPr>
        <w:t>uncovered</w:t>
      </w:r>
      <w:r w:rsidR="00DC5548">
        <w:rPr>
          <w:rFonts w:ascii="Times New Roman" w:eastAsia="Calibri" w:hAnsi="Times New Roman" w:cs="Times New Roman"/>
        </w:rPr>
        <w:t xml:space="preserve"> that the c</w:t>
      </w:r>
      <w:r w:rsidR="00DC5548" w:rsidRPr="00B53A5A">
        <w:rPr>
          <w:rFonts w:ascii="Times New Roman" w:eastAsia="Calibri" w:hAnsi="Times New Roman" w:cs="Times New Roman"/>
        </w:rPr>
        <w:t>laimant had certain difficulties with his feet in accessing required spaces and climbing ladders, which the apprentice would help with. Due to the questioning</w:t>
      </w:r>
      <w:r w:rsidR="0031177E">
        <w:rPr>
          <w:rFonts w:ascii="Times New Roman" w:eastAsia="Calibri" w:hAnsi="Times New Roman" w:cs="Times New Roman"/>
        </w:rPr>
        <w:t>,</w:t>
      </w:r>
      <w:r w:rsidR="00DC5548" w:rsidRPr="00B53A5A">
        <w:rPr>
          <w:rFonts w:ascii="Times New Roman" w:eastAsia="Calibri" w:hAnsi="Times New Roman" w:cs="Times New Roman"/>
        </w:rPr>
        <w:t xml:space="preserve"> the ET determined that the employer</w:t>
      </w:r>
      <w:r w:rsidR="00F04B6E">
        <w:rPr>
          <w:rFonts w:ascii="Times New Roman" w:eastAsia="Calibri" w:hAnsi="Times New Roman" w:cs="Times New Roman"/>
        </w:rPr>
        <w:t xml:space="preserve"> was</w:t>
      </w:r>
      <w:r w:rsidR="008013C4">
        <w:rPr>
          <w:rFonts w:ascii="Times New Roman" w:eastAsia="Calibri" w:hAnsi="Times New Roman" w:cs="Times New Roman"/>
        </w:rPr>
        <w:t xml:space="preserve"> </w:t>
      </w:r>
      <w:r w:rsidR="00DC5548" w:rsidRPr="00B53A5A">
        <w:rPr>
          <w:rFonts w:ascii="Times New Roman" w:eastAsia="Calibri" w:hAnsi="Times New Roman" w:cs="Times New Roman"/>
        </w:rPr>
        <w:t>not acting upon any stereotypical assumption</w:t>
      </w:r>
      <w:r w:rsidR="00835FA3">
        <w:rPr>
          <w:rFonts w:ascii="Times New Roman" w:eastAsia="Calibri" w:hAnsi="Times New Roman" w:cs="Times New Roman"/>
        </w:rPr>
        <w:t>.</w:t>
      </w:r>
      <w:r w:rsidR="00DC5548" w:rsidRPr="00B53A5A">
        <w:rPr>
          <w:rFonts w:ascii="Times New Roman" w:eastAsia="Calibri" w:hAnsi="Times New Roman" w:cs="Times New Roman"/>
        </w:rPr>
        <w:t xml:space="preserve"> </w:t>
      </w:r>
      <w:r w:rsidR="00DC5548">
        <w:rPr>
          <w:rFonts w:ascii="Times New Roman" w:eastAsia="Calibri" w:hAnsi="Times New Roman" w:cs="Times New Roman"/>
        </w:rPr>
        <w:t xml:space="preserve">At one point during the </w:t>
      </w:r>
      <w:r w:rsidR="00F04B6E">
        <w:rPr>
          <w:rFonts w:ascii="Times New Roman" w:eastAsia="Calibri" w:hAnsi="Times New Roman" w:cs="Times New Roman"/>
        </w:rPr>
        <w:t xml:space="preserve">hearing, the </w:t>
      </w:r>
      <w:r w:rsidR="00DC5548">
        <w:rPr>
          <w:rFonts w:ascii="Times New Roman" w:eastAsia="Calibri" w:hAnsi="Times New Roman" w:cs="Times New Roman"/>
        </w:rPr>
        <w:t>ET questioned whether the claimant would be made redundant in due course if he had not been dismissed. Evidence given by a witness for the respondent was that it would be unfair to score a 67 year old worker for efficiency on a redundancy matrix, however the Employment Judge challenged the assumed link between age and ability and highlighted that “</w:t>
      </w:r>
      <w:r w:rsidR="00DC5548" w:rsidRPr="00FF64D3">
        <w:rPr>
          <w:rFonts w:ascii="Times New Roman" w:eastAsia="Calibri" w:hAnsi="Times New Roman" w:cs="Times New Roman"/>
          <w:i/>
        </w:rPr>
        <w:t>some judges go on</w:t>
      </w:r>
      <w:r w:rsidR="002E27E4">
        <w:rPr>
          <w:rFonts w:ascii="Times New Roman" w:eastAsia="Calibri" w:hAnsi="Times New Roman" w:cs="Times New Roman"/>
          <w:i/>
        </w:rPr>
        <w:t xml:space="preserve"> working well when they are 80</w:t>
      </w:r>
      <w:r w:rsidR="00DC5548">
        <w:rPr>
          <w:rFonts w:ascii="Times New Roman" w:eastAsia="Calibri" w:hAnsi="Times New Roman" w:cs="Times New Roman"/>
          <w:i/>
        </w:rPr>
        <w:t>”</w:t>
      </w:r>
      <w:r w:rsidR="002E27E4">
        <w:rPr>
          <w:rFonts w:ascii="Times New Roman" w:eastAsia="Calibri" w:hAnsi="Times New Roman" w:cs="Times New Roman"/>
        </w:rPr>
        <w:t>[61</w:t>
      </w:r>
      <w:r w:rsidR="00DC5548">
        <w:rPr>
          <w:rFonts w:ascii="Times New Roman" w:eastAsia="Calibri" w:hAnsi="Times New Roman" w:cs="Times New Roman"/>
        </w:rPr>
        <w:t>]</w:t>
      </w:r>
      <w:r w:rsidR="002E27E4">
        <w:rPr>
          <w:rFonts w:ascii="Times New Roman" w:eastAsia="Calibri" w:hAnsi="Times New Roman" w:cs="Times New Roman"/>
        </w:rPr>
        <w:t>.</w:t>
      </w:r>
    </w:p>
    <w:p w14:paraId="582EC1FD" w14:textId="77777777" w:rsidR="002E27E4" w:rsidRPr="00374B26" w:rsidRDefault="002E27E4" w:rsidP="00374B26">
      <w:pPr>
        <w:spacing w:after="0" w:line="240" w:lineRule="auto"/>
        <w:ind w:firstLine="720"/>
        <w:contextualSpacing/>
        <w:jc w:val="both"/>
        <w:rPr>
          <w:rFonts w:ascii="Times New Roman" w:eastAsia="Calibri" w:hAnsi="Times New Roman" w:cs="Times New Roman"/>
        </w:rPr>
      </w:pPr>
    </w:p>
    <w:p w14:paraId="14D4FAD4" w14:textId="5540ABCB" w:rsidR="00DC5548" w:rsidRPr="00E23657" w:rsidRDefault="00E00A46" w:rsidP="00374B26">
      <w:pPr>
        <w:spacing w:line="240" w:lineRule="auto"/>
        <w:contextualSpacing/>
        <w:jc w:val="both"/>
        <w:rPr>
          <w:rFonts w:ascii="Times New Roman" w:hAnsi="Times New Roman" w:cs="Times New Roman"/>
          <w:i/>
        </w:rPr>
      </w:pPr>
      <w:r>
        <w:rPr>
          <w:rFonts w:ascii="Times New Roman" w:hAnsi="Times New Roman" w:cs="Times New Roman"/>
          <w:i/>
        </w:rPr>
        <w:t xml:space="preserve">Tackling age stereotyping </w:t>
      </w:r>
      <w:r w:rsidR="00700AB7">
        <w:rPr>
          <w:rFonts w:ascii="Times New Roman" w:hAnsi="Times New Roman" w:cs="Times New Roman"/>
          <w:i/>
        </w:rPr>
        <w:t>–</w:t>
      </w:r>
      <w:r>
        <w:rPr>
          <w:rFonts w:ascii="Times New Roman" w:hAnsi="Times New Roman" w:cs="Times New Roman"/>
          <w:i/>
        </w:rPr>
        <w:t xml:space="preserve"> </w:t>
      </w:r>
      <w:r w:rsidR="00700AB7">
        <w:rPr>
          <w:rFonts w:ascii="Times New Roman" w:hAnsi="Times New Roman" w:cs="Times New Roman"/>
          <w:i/>
        </w:rPr>
        <w:t>reliance upon a</w:t>
      </w:r>
      <w:r>
        <w:rPr>
          <w:rFonts w:ascii="Times New Roman" w:hAnsi="Times New Roman" w:cs="Times New Roman"/>
          <w:i/>
        </w:rPr>
        <w:t xml:space="preserve"> legitimate aim</w:t>
      </w:r>
    </w:p>
    <w:p w14:paraId="49A74A6B" w14:textId="5280E6EA" w:rsidR="00DC5548" w:rsidRPr="00727763" w:rsidRDefault="00DC5548" w:rsidP="00374B26">
      <w:pPr>
        <w:spacing w:line="240" w:lineRule="auto"/>
        <w:contextualSpacing/>
        <w:jc w:val="both"/>
        <w:rPr>
          <w:rFonts w:ascii="Times New Roman" w:eastAsia="Calibri" w:hAnsi="Times New Roman" w:cs="Times New Roman"/>
        </w:rPr>
      </w:pPr>
      <w:r w:rsidRPr="00B53A5A">
        <w:rPr>
          <w:rFonts w:ascii="Times New Roman" w:hAnsi="Times New Roman"/>
        </w:rPr>
        <w:t xml:space="preserve">The approach </w:t>
      </w:r>
      <w:r w:rsidR="008013C4" w:rsidRPr="00B53A5A">
        <w:rPr>
          <w:rFonts w:ascii="Times New Roman" w:hAnsi="Times New Roman"/>
        </w:rPr>
        <w:t xml:space="preserve">of </w:t>
      </w:r>
      <w:r w:rsidR="00795234">
        <w:rPr>
          <w:rFonts w:ascii="Times New Roman" w:hAnsi="Times New Roman"/>
        </w:rPr>
        <w:t xml:space="preserve">the </w:t>
      </w:r>
      <w:r w:rsidR="008013C4" w:rsidRPr="00B53A5A">
        <w:rPr>
          <w:rFonts w:ascii="Times New Roman" w:hAnsi="Times New Roman"/>
        </w:rPr>
        <w:t>ETs</w:t>
      </w:r>
      <w:r w:rsidRPr="00B53A5A">
        <w:rPr>
          <w:rFonts w:ascii="Times New Roman" w:hAnsi="Times New Roman"/>
        </w:rPr>
        <w:t xml:space="preserve"> in tackling age stereotyping should be praised</w:t>
      </w:r>
      <w:r w:rsidR="00F04B6E">
        <w:rPr>
          <w:rFonts w:ascii="Times New Roman" w:hAnsi="Times New Roman"/>
        </w:rPr>
        <w:t>,</w:t>
      </w:r>
      <w:r w:rsidRPr="00B53A5A">
        <w:rPr>
          <w:rFonts w:ascii="Times New Roman" w:hAnsi="Times New Roman"/>
        </w:rPr>
        <w:t xml:space="preserve"> particularly when placed in the context of </w:t>
      </w:r>
      <w:r>
        <w:rPr>
          <w:rFonts w:ascii="Times New Roman" w:hAnsi="Times New Roman"/>
        </w:rPr>
        <w:t xml:space="preserve">the </w:t>
      </w:r>
      <w:r w:rsidRPr="00B53A5A">
        <w:rPr>
          <w:rFonts w:ascii="Times New Roman" w:hAnsi="Times New Roman"/>
        </w:rPr>
        <w:t xml:space="preserve">vague </w:t>
      </w:r>
      <w:r w:rsidR="002E27E4">
        <w:rPr>
          <w:rFonts w:ascii="Times New Roman" w:hAnsi="Times New Roman"/>
        </w:rPr>
        <w:t>definition</w:t>
      </w:r>
      <w:r w:rsidR="00E93109">
        <w:rPr>
          <w:rFonts w:ascii="Times New Roman" w:hAnsi="Times New Roman"/>
        </w:rPr>
        <w:t xml:space="preserve"> of direct age discrimination</w:t>
      </w:r>
      <w:r w:rsidR="00E00A46">
        <w:rPr>
          <w:rFonts w:ascii="Times New Roman" w:hAnsi="Times New Roman"/>
        </w:rPr>
        <w:t>.</w:t>
      </w:r>
      <w:r w:rsidR="00627D2A">
        <w:rPr>
          <w:rFonts w:ascii="Times New Roman" w:hAnsi="Times New Roman"/>
        </w:rPr>
        <w:t xml:space="preserve"> </w:t>
      </w:r>
      <w:r>
        <w:rPr>
          <w:rFonts w:ascii="Times New Roman" w:hAnsi="Times New Roman"/>
        </w:rPr>
        <w:t>I</w:t>
      </w:r>
      <w:r w:rsidRPr="00B53A5A">
        <w:rPr>
          <w:rFonts w:ascii="Times New Roman" w:hAnsi="Times New Roman"/>
        </w:rPr>
        <w:t xml:space="preserve">n </w:t>
      </w:r>
      <w:r w:rsidRPr="00B53A5A">
        <w:rPr>
          <w:rFonts w:ascii="Times New Roman" w:hAnsi="Times New Roman"/>
          <w:i/>
        </w:rPr>
        <w:t>Baker v National Air Traffic Control</w:t>
      </w:r>
      <w:r w:rsidR="002E27E4">
        <w:rPr>
          <w:rFonts w:ascii="Times New Roman" w:hAnsi="Times New Roman"/>
        </w:rPr>
        <w:t>[62</w:t>
      </w:r>
      <w:r>
        <w:rPr>
          <w:rFonts w:ascii="Times New Roman" w:hAnsi="Times New Roman"/>
        </w:rPr>
        <w:t>]</w:t>
      </w:r>
      <w:r w:rsidRPr="00B53A5A">
        <w:rPr>
          <w:rFonts w:ascii="Times New Roman" w:hAnsi="Times New Roman"/>
        </w:rPr>
        <w:t xml:space="preserve"> the ET acknowledged that it was unclear </w:t>
      </w:r>
      <w:r w:rsidRPr="00B53A5A">
        <w:rPr>
          <w:rFonts w:ascii="Times New Roman" w:hAnsi="Times New Roman"/>
          <w:i/>
          <w:iCs/>
        </w:rPr>
        <w:t>‘what exactly is meant b</w:t>
      </w:r>
      <w:r w:rsidR="002E27E4">
        <w:rPr>
          <w:rFonts w:ascii="Times New Roman" w:hAnsi="Times New Roman"/>
          <w:i/>
          <w:iCs/>
        </w:rPr>
        <w:t>y legitimate in the legislation</w:t>
      </w:r>
      <w:r w:rsidRPr="00B53A5A">
        <w:rPr>
          <w:rFonts w:ascii="Times New Roman" w:hAnsi="Times New Roman"/>
          <w:i/>
          <w:iCs/>
        </w:rPr>
        <w:t>’</w:t>
      </w:r>
      <w:r w:rsidR="002E27E4">
        <w:rPr>
          <w:rFonts w:ascii="Times New Roman" w:hAnsi="Times New Roman"/>
          <w:iCs/>
        </w:rPr>
        <w:t>[63</w:t>
      </w:r>
      <w:r>
        <w:rPr>
          <w:rFonts w:ascii="Times New Roman" w:hAnsi="Times New Roman"/>
          <w:iCs/>
        </w:rPr>
        <w:t>]</w:t>
      </w:r>
      <w:r w:rsidR="002E27E4">
        <w:rPr>
          <w:rFonts w:ascii="Times New Roman" w:hAnsi="Times New Roman"/>
        </w:rPr>
        <w:t xml:space="preserve"> but despite the confusion, it </w:t>
      </w:r>
      <w:r>
        <w:rPr>
          <w:rFonts w:ascii="Times New Roman" w:hAnsi="Times New Roman"/>
        </w:rPr>
        <w:t>went on to tackle the age</w:t>
      </w:r>
      <w:r w:rsidRPr="00B53A5A">
        <w:rPr>
          <w:rFonts w:ascii="Times New Roman" w:hAnsi="Times New Roman"/>
        </w:rPr>
        <w:t xml:space="preserve"> stereotyping.</w:t>
      </w:r>
      <w:r>
        <w:rPr>
          <w:rFonts w:ascii="Times New Roman" w:hAnsi="Times New Roman"/>
        </w:rPr>
        <w:t xml:space="preserve"> A</w:t>
      </w:r>
      <w:r w:rsidRPr="00B53A5A">
        <w:rPr>
          <w:rFonts w:ascii="Times New Roman" w:hAnsi="Times New Roman"/>
        </w:rPr>
        <w:t>s the case law</w:t>
      </w:r>
      <w:r w:rsidR="00FD31BA">
        <w:rPr>
          <w:rFonts w:ascii="Times New Roman" w:hAnsi="Times New Roman"/>
        </w:rPr>
        <w:t xml:space="preserve"> has</w:t>
      </w:r>
      <w:r w:rsidRPr="00B53A5A">
        <w:rPr>
          <w:rFonts w:ascii="Times New Roman" w:hAnsi="Times New Roman"/>
        </w:rPr>
        <w:t xml:space="preserve"> evolved it has been clarified that a social policy objective must be attached to the aim relied upon, thus limiting the </w:t>
      </w:r>
      <w:r w:rsidR="00E93109">
        <w:rPr>
          <w:rFonts w:ascii="Times New Roman" w:hAnsi="Times New Roman"/>
        </w:rPr>
        <w:t xml:space="preserve">scope of </w:t>
      </w:r>
      <w:r w:rsidR="00FD31BA">
        <w:rPr>
          <w:rFonts w:ascii="Times New Roman" w:hAnsi="Times New Roman"/>
        </w:rPr>
        <w:t>what</w:t>
      </w:r>
      <w:r w:rsidR="00E93109">
        <w:rPr>
          <w:rFonts w:ascii="Times New Roman" w:hAnsi="Times New Roman"/>
        </w:rPr>
        <w:t xml:space="preserve"> may be classed as legitimate</w:t>
      </w:r>
      <w:r w:rsidR="00B11556">
        <w:rPr>
          <w:rFonts w:ascii="Times New Roman" w:hAnsi="Times New Roman"/>
        </w:rPr>
        <w:t>.</w:t>
      </w:r>
      <w:r w:rsidRPr="00B53A5A">
        <w:rPr>
          <w:rFonts w:ascii="Times New Roman" w:hAnsi="Times New Roman"/>
        </w:rPr>
        <w:t xml:space="preserve"> Notably </w:t>
      </w:r>
      <w:r>
        <w:rPr>
          <w:rFonts w:ascii="Times New Roman" w:hAnsi="Times New Roman"/>
        </w:rPr>
        <w:t>in</w:t>
      </w:r>
      <w:r w:rsidRPr="00B53A5A">
        <w:rPr>
          <w:rFonts w:ascii="Times New Roman" w:hAnsi="Times New Roman"/>
        </w:rPr>
        <w:t xml:space="preserve"> </w:t>
      </w:r>
      <w:r w:rsidRPr="00B53A5A">
        <w:rPr>
          <w:rFonts w:ascii="Times New Roman" w:eastAsia="Calibri" w:hAnsi="Times New Roman" w:cs="Times New Roman"/>
          <w:i/>
          <w:iCs/>
        </w:rPr>
        <w:t>Martin &amp; Others v Professional Game Match Officials Limited</w:t>
      </w:r>
      <w:r w:rsidR="002E27E4">
        <w:rPr>
          <w:rFonts w:ascii="Times New Roman" w:eastAsia="Calibri" w:hAnsi="Times New Roman" w:cs="Times New Roman"/>
          <w:iCs/>
        </w:rPr>
        <w:t>[64</w:t>
      </w:r>
      <w:r>
        <w:rPr>
          <w:rFonts w:ascii="Times New Roman" w:eastAsia="Calibri" w:hAnsi="Times New Roman" w:cs="Times New Roman"/>
          <w:iCs/>
        </w:rPr>
        <w:t>]</w:t>
      </w:r>
      <w:r w:rsidRPr="00B53A5A">
        <w:rPr>
          <w:rFonts w:ascii="Times New Roman" w:hAnsi="Times New Roman"/>
        </w:rPr>
        <w:t xml:space="preserve"> </w:t>
      </w:r>
      <w:r w:rsidRPr="00B53A5A">
        <w:rPr>
          <w:rFonts w:ascii="Times New Roman" w:eastAsia="Calibri" w:hAnsi="Times New Roman" w:cs="Times New Roman"/>
        </w:rPr>
        <w:t>the ET held that the aim must have a ‘</w:t>
      </w:r>
      <w:r w:rsidRPr="00B53A5A">
        <w:rPr>
          <w:rFonts w:ascii="Times New Roman" w:eastAsia="Calibri" w:hAnsi="Times New Roman" w:cs="Times New Roman"/>
          <w:i/>
          <w:iCs/>
        </w:rPr>
        <w:t>social policy objective</w:t>
      </w:r>
      <w:r>
        <w:rPr>
          <w:rFonts w:ascii="Times New Roman" w:eastAsia="Calibri" w:hAnsi="Times New Roman" w:cs="Times New Roman"/>
        </w:rPr>
        <w:t>’</w:t>
      </w:r>
      <w:r w:rsidRPr="00B53A5A">
        <w:rPr>
          <w:rFonts w:ascii="Times New Roman" w:eastAsia="Calibri" w:hAnsi="Times New Roman" w:cs="Times New Roman"/>
        </w:rPr>
        <w:t xml:space="preserve"> </w:t>
      </w:r>
      <w:r w:rsidR="00141D09">
        <w:rPr>
          <w:rFonts w:ascii="Times New Roman" w:eastAsia="Calibri" w:hAnsi="Times New Roman" w:cs="Times New Roman"/>
        </w:rPr>
        <w:t xml:space="preserve">and </w:t>
      </w:r>
      <w:r w:rsidRPr="00B53A5A">
        <w:rPr>
          <w:rFonts w:ascii="Times New Roman" w:eastAsia="Calibri" w:hAnsi="Times New Roman" w:cs="Times New Roman"/>
        </w:rPr>
        <w:t>not s</w:t>
      </w:r>
      <w:r>
        <w:rPr>
          <w:rFonts w:ascii="Times New Roman" w:eastAsia="Calibri" w:hAnsi="Times New Roman" w:cs="Times New Roman"/>
        </w:rPr>
        <w:t>imply relate to the individual</w:t>
      </w:r>
      <w:r w:rsidRPr="0096641D">
        <w:rPr>
          <w:rFonts w:ascii="Times New Roman" w:eastAsia="Calibri" w:hAnsi="Times New Roman" w:cs="Times New Roman"/>
        </w:rPr>
        <w:t xml:space="preserve"> respondent’s needs.</w:t>
      </w:r>
      <w:r w:rsidR="00136556">
        <w:rPr>
          <w:rFonts w:ascii="Times New Roman" w:eastAsia="Calibri" w:hAnsi="Times New Roman" w:cs="Times New Roman"/>
        </w:rPr>
        <w:t xml:space="preserve"> </w:t>
      </w:r>
      <w:r w:rsidR="001D3831">
        <w:rPr>
          <w:rFonts w:ascii="Times New Roman" w:eastAsia="Calibri" w:hAnsi="Times New Roman" w:cs="Times New Roman"/>
        </w:rPr>
        <w:t xml:space="preserve"> </w:t>
      </w:r>
      <w:r w:rsidR="00835FA3">
        <w:rPr>
          <w:rFonts w:ascii="Times New Roman" w:eastAsia="Calibri" w:hAnsi="Times New Roman" w:cs="Times New Roman"/>
        </w:rPr>
        <w:t>It is important to highlight that this</w:t>
      </w:r>
      <w:r w:rsidR="001D3831">
        <w:rPr>
          <w:rFonts w:ascii="Times New Roman" w:eastAsia="Calibri" w:hAnsi="Times New Roman" w:cs="Times New Roman"/>
        </w:rPr>
        <w:t xml:space="preserve"> is the position of the</w:t>
      </w:r>
      <w:r w:rsidR="00136556">
        <w:rPr>
          <w:rFonts w:ascii="Times New Roman" w:eastAsia="Calibri" w:hAnsi="Times New Roman" w:cs="Times New Roman"/>
        </w:rPr>
        <w:t xml:space="preserve"> </w:t>
      </w:r>
      <w:r w:rsidR="001D3831">
        <w:rPr>
          <w:rFonts w:ascii="Times New Roman" w:eastAsia="Calibri" w:hAnsi="Times New Roman" w:cs="Times New Roman"/>
        </w:rPr>
        <w:t xml:space="preserve">CJEU who </w:t>
      </w:r>
      <w:r w:rsidR="00835FA3">
        <w:rPr>
          <w:rFonts w:ascii="Times New Roman" w:eastAsia="Calibri" w:hAnsi="Times New Roman" w:cs="Times New Roman"/>
        </w:rPr>
        <w:t>has</w:t>
      </w:r>
      <w:r w:rsidR="001D3831">
        <w:rPr>
          <w:rFonts w:ascii="Times New Roman" w:eastAsia="Calibri" w:hAnsi="Times New Roman" w:cs="Times New Roman"/>
        </w:rPr>
        <w:t xml:space="preserve"> held</w:t>
      </w:r>
      <w:r w:rsidR="00136556">
        <w:rPr>
          <w:rFonts w:ascii="Times New Roman" w:eastAsia="Calibri" w:hAnsi="Times New Roman" w:cs="Times New Roman"/>
        </w:rPr>
        <w:t xml:space="preserve"> that a legitimate aim must have a social policy objective[65].   </w:t>
      </w:r>
      <w:r w:rsidRPr="0096641D">
        <w:rPr>
          <w:rFonts w:ascii="Times New Roman" w:eastAsia="Calibri" w:hAnsi="Times New Roman" w:cs="Times New Roman"/>
        </w:rPr>
        <w:t xml:space="preserve"> </w:t>
      </w:r>
    </w:p>
    <w:p w14:paraId="31DEB593" w14:textId="2163BBA1" w:rsidR="002E27E4" w:rsidRDefault="00DC5548" w:rsidP="00374B26">
      <w:pPr>
        <w:spacing w:line="240" w:lineRule="auto"/>
        <w:ind w:firstLine="720"/>
        <w:contextualSpacing/>
        <w:jc w:val="both"/>
        <w:rPr>
          <w:rFonts w:ascii="Times New Roman" w:eastAsia="Calibri" w:hAnsi="Times New Roman" w:cs="Times New Roman"/>
          <w:bCs/>
          <w:i/>
        </w:rPr>
      </w:pPr>
      <w:r>
        <w:rPr>
          <w:rFonts w:ascii="Times New Roman" w:hAnsi="Times New Roman" w:cs="Times New Roman"/>
        </w:rPr>
        <w:t>In</w:t>
      </w:r>
      <w:r w:rsidRPr="00B53A5A">
        <w:rPr>
          <w:rFonts w:ascii="Times New Roman" w:hAnsi="Times New Roman" w:cs="Times New Roman"/>
        </w:rPr>
        <w:t xml:space="preserve"> the early cases it appeared that</w:t>
      </w:r>
      <w:r w:rsidR="002E27E4">
        <w:rPr>
          <w:rFonts w:ascii="Times New Roman" w:hAnsi="Times New Roman" w:cs="Times New Roman"/>
        </w:rPr>
        <w:t>,</w:t>
      </w:r>
      <w:r w:rsidRPr="00B53A5A">
        <w:rPr>
          <w:rFonts w:ascii="Times New Roman" w:hAnsi="Times New Roman" w:cs="Times New Roman"/>
        </w:rPr>
        <w:t xml:space="preserve"> </w:t>
      </w:r>
      <w:r>
        <w:rPr>
          <w:rFonts w:ascii="Times New Roman" w:hAnsi="Times New Roman" w:cs="Times New Roman"/>
        </w:rPr>
        <w:t>on the whole</w:t>
      </w:r>
      <w:r w:rsidR="002E27E4">
        <w:rPr>
          <w:rFonts w:ascii="Times New Roman" w:hAnsi="Times New Roman" w:cs="Times New Roman"/>
        </w:rPr>
        <w:t>,</w:t>
      </w:r>
      <w:r>
        <w:rPr>
          <w:rFonts w:ascii="Times New Roman" w:hAnsi="Times New Roman" w:cs="Times New Roman"/>
        </w:rPr>
        <w:t xml:space="preserve"> </w:t>
      </w:r>
      <w:r w:rsidRPr="00B53A5A">
        <w:rPr>
          <w:rFonts w:ascii="Times New Roman" w:hAnsi="Times New Roman" w:cs="Times New Roman"/>
        </w:rPr>
        <w:t xml:space="preserve">employers found it difficult to successfully </w:t>
      </w:r>
      <w:r w:rsidR="00FD1C7B">
        <w:rPr>
          <w:rFonts w:ascii="Times New Roman" w:hAnsi="Times New Roman" w:cs="Times New Roman"/>
        </w:rPr>
        <w:t>argue that</w:t>
      </w:r>
      <w:r w:rsidR="00FD1C7B" w:rsidRPr="00B53A5A">
        <w:rPr>
          <w:rFonts w:ascii="Times New Roman" w:hAnsi="Times New Roman" w:cs="Times New Roman"/>
        </w:rPr>
        <w:t xml:space="preserve"> </w:t>
      </w:r>
      <w:r w:rsidRPr="00B53A5A">
        <w:rPr>
          <w:rFonts w:ascii="Times New Roman" w:hAnsi="Times New Roman" w:cs="Times New Roman"/>
        </w:rPr>
        <w:t>a particular fixed retirement or recruitment age</w:t>
      </w:r>
      <w:r w:rsidR="00FD1C7B">
        <w:rPr>
          <w:rFonts w:ascii="Times New Roman" w:hAnsi="Times New Roman" w:cs="Times New Roman"/>
        </w:rPr>
        <w:t xml:space="preserve"> was a proportionate means of achieving a legitimate aim</w:t>
      </w:r>
      <w:r w:rsidR="0096642B">
        <w:rPr>
          <w:rFonts w:ascii="Times New Roman" w:hAnsi="Times New Roman" w:cs="Times New Roman"/>
        </w:rPr>
        <w:t>.</w:t>
      </w:r>
      <w:r w:rsidRPr="00B53A5A">
        <w:rPr>
          <w:rFonts w:ascii="Times New Roman" w:hAnsi="Times New Roman" w:cs="Times New Roman"/>
        </w:rPr>
        <w:t xml:space="preserve"> </w:t>
      </w:r>
      <w:r>
        <w:rPr>
          <w:rFonts w:ascii="Times New Roman" w:hAnsi="Times New Roman" w:cs="Times New Roman"/>
        </w:rPr>
        <w:t xml:space="preserve">The </w:t>
      </w:r>
      <w:r w:rsidRPr="00B53A5A">
        <w:rPr>
          <w:rFonts w:ascii="Times New Roman" w:eastAsia="Calibri" w:hAnsi="Times New Roman" w:cs="Times New Roman"/>
        </w:rPr>
        <w:t xml:space="preserve">ETs </w:t>
      </w:r>
      <w:r w:rsidR="002E27E4">
        <w:rPr>
          <w:rFonts w:ascii="Times New Roman" w:eastAsia="Calibri" w:hAnsi="Times New Roman" w:cs="Times New Roman"/>
        </w:rPr>
        <w:t xml:space="preserve">will </w:t>
      </w:r>
      <w:r w:rsidR="008013C4">
        <w:rPr>
          <w:rFonts w:ascii="Times New Roman" w:eastAsia="Calibri" w:hAnsi="Times New Roman" w:cs="Times New Roman"/>
        </w:rPr>
        <w:t>critically consider the</w:t>
      </w:r>
      <w:r w:rsidR="002E27E4">
        <w:rPr>
          <w:rFonts w:ascii="Times New Roman" w:eastAsia="Calibri" w:hAnsi="Times New Roman" w:cs="Times New Roman"/>
        </w:rPr>
        <w:t xml:space="preserve"> respondent’s evidence in support of the legitimate aim relied upon and there should be a clear correlation between any age limit and the achievement of the aim. The ETs </w:t>
      </w:r>
      <w:r w:rsidR="008013C4">
        <w:rPr>
          <w:rFonts w:ascii="Times New Roman" w:eastAsia="Calibri" w:hAnsi="Times New Roman" w:cs="Times New Roman"/>
        </w:rPr>
        <w:t xml:space="preserve">have </w:t>
      </w:r>
      <w:r w:rsidR="00795234">
        <w:rPr>
          <w:rFonts w:ascii="Times New Roman" w:eastAsia="Calibri" w:hAnsi="Times New Roman" w:cs="Times New Roman"/>
        </w:rPr>
        <w:t>signalled</w:t>
      </w:r>
      <w:r w:rsidR="002E27E4">
        <w:rPr>
          <w:rFonts w:ascii="Times New Roman" w:eastAsia="Calibri" w:hAnsi="Times New Roman" w:cs="Times New Roman"/>
        </w:rPr>
        <w:t xml:space="preserve"> that </w:t>
      </w:r>
      <w:r>
        <w:rPr>
          <w:rFonts w:ascii="Times New Roman" w:eastAsia="Calibri" w:hAnsi="Times New Roman" w:cs="Times New Roman"/>
        </w:rPr>
        <w:t>they are</w:t>
      </w:r>
      <w:r w:rsidRPr="00B53A5A">
        <w:rPr>
          <w:rFonts w:ascii="Times New Roman" w:eastAsia="Calibri" w:hAnsi="Times New Roman" w:cs="Times New Roman"/>
        </w:rPr>
        <w:t xml:space="preserve"> looking for evidence to support the argument for an age limit (and indeed</w:t>
      </w:r>
      <w:r w:rsidR="0096642B">
        <w:rPr>
          <w:rFonts w:ascii="Times New Roman" w:eastAsia="Calibri" w:hAnsi="Times New Roman" w:cs="Times New Roman"/>
        </w:rPr>
        <w:t>,</w:t>
      </w:r>
      <w:r w:rsidRPr="00B53A5A">
        <w:rPr>
          <w:rFonts w:ascii="Times New Roman" w:eastAsia="Calibri" w:hAnsi="Times New Roman" w:cs="Times New Roman"/>
        </w:rPr>
        <w:t xml:space="preserve"> why that particular age has been chosen) and </w:t>
      </w:r>
      <w:r w:rsidR="0096642B">
        <w:rPr>
          <w:rFonts w:ascii="Times New Roman" w:eastAsia="Calibri" w:hAnsi="Times New Roman" w:cs="Times New Roman"/>
        </w:rPr>
        <w:t>made</w:t>
      </w:r>
      <w:r w:rsidR="0096642B" w:rsidRPr="00B53A5A">
        <w:rPr>
          <w:rFonts w:ascii="Times New Roman" w:eastAsia="Calibri" w:hAnsi="Times New Roman" w:cs="Times New Roman"/>
        </w:rPr>
        <w:t xml:space="preserve"> </w:t>
      </w:r>
      <w:r w:rsidRPr="00B53A5A">
        <w:rPr>
          <w:rFonts w:ascii="Times New Roman" w:eastAsia="Calibri" w:hAnsi="Times New Roman" w:cs="Times New Roman"/>
        </w:rPr>
        <w:t>it clear a stereotypical assumption would not suffice.</w:t>
      </w:r>
      <w:r w:rsidR="002021EE">
        <w:rPr>
          <w:rFonts w:ascii="Times New Roman" w:eastAsia="Calibri" w:hAnsi="Times New Roman" w:cs="Times New Roman"/>
        </w:rPr>
        <w:t xml:space="preserve"> Although trade union agreements may be a factor to take into account in assessing </w:t>
      </w:r>
      <w:r w:rsidR="00C246D1">
        <w:rPr>
          <w:rFonts w:ascii="Times New Roman" w:eastAsia="Calibri" w:hAnsi="Times New Roman" w:cs="Times New Roman"/>
        </w:rPr>
        <w:t>proportionality</w:t>
      </w:r>
      <w:r w:rsidR="002021EE">
        <w:rPr>
          <w:rFonts w:ascii="Times New Roman" w:eastAsia="Calibri" w:hAnsi="Times New Roman" w:cs="Times New Roman"/>
        </w:rPr>
        <w:t xml:space="preserve">, the EAT has held that </w:t>
      </w:r>
      <w:r w:rsidR="002021EE" w:rsidRPr="00482B90">
        <w:rPr>
          <w:rFonts w:ascii="Times New Roman" w:hAnsi="Times New Roman"/>
          <w:bCs/>
        </w:rPr>
        <w:t>any agreement with trade unions should be critically appraised by the ETs and courts to ensure that the employers are not influenced by stereotypical views</w:t>
      </w:r>
      <w:r w:rsidR="002E27E4">
        <w:rPr>
          <w:rFonts w:ascii="Times New Roman" w:hAnsi="Times New Roman"/>
          <w:bCs/>
        </w:rPr>
        <w:t>[6</w:t>
      </w:r>
      <w:r w:rsidR="00136556">
        <w:rPr>
          <w:rFonts w:ascii="Times New Roman" w:hAnsi="Times New Roman"/>
          <w:bCs/>
        </w:rPr>
        <w:t>6</w:t>
      </w:r>
      <w:r w:rsidR="002E27E4">
        <w:rPr>
          <w:rFonts w:ascii="Times New Roman" w:hAnsi="Times New Roman"/>
          <w:bCs/>
        </w:rPr>
        <w:t>]</w:t>
      </w:r>
      <w:r w:rsidR="002021EE" w:rsidRPr="00482B90">
        <w:rPr>
          <w:rFonts w:ascii="Times New Roman" w:hAnsi="Times New Roman"/>
          <w:bCs/>
        </w:rPr>
        <w:t xml:space="preserve">. </w:t>
      </w:r>
      <w:r w:rsidR="002021EE">
        <w:rPr>
          <w:rFonts w:ascii="Times New Roman" w:hAnsi="Times New Roman"/>
          <w:bCs/>
        </w:rPr>
        <w:t xml:space="preserve">The EAT </w:t>
      </w:r>
      <w:r w:rsidR="002021EE" w:rsidRPr="00482B90">
        <w:rPr>
          <w:rFonts w:ascii="Times New Roman" w:eastAsia="Calibri" w:hAnsi="Times New Roman" w:cs="Times New Roman"/>
          <w:bCs/>
        </w:rPr>
        <w:t>cautioned that there is ‘</w:t>
      </w:r>
      <w:r w:rsidR="002021EE" w:rsidRPr="00482B90">
        <w:rPr>
          <w:rFonts w:ascii="Times New Roman" w:eastAsia="Calibri" w:hAnsi="Times New Roman" w:cs="Times New Roman"/>
          <w:bCs/>
          <w:i/>
        </w:rPr>
        <w:t>always the risk that the parties will have been influenced, consciously or subconsciously, by traditio</w:t>
      </w:r>
      <w:r w:rsidR="002E27E4">
        <w:rPr>
          <w:rFonts w:ascii="Times New Roman" w:eastAsia="Calibri" w:hAnsi="Times New Roman" w:cs="Times New Roman"/>
          <w:bCs/>
          <w:i/>
        </w:rPr>
        <w:t>nal assumptions relating to age</w:t>
      </w:r>
      <w:r w:rsidR="002021EE" w:rsidRPr="00482B90">
        <w:rPr>
          <w:rFonts w:ascii="Times New Roman" w:eastAsia="Calibri" w:hAnsi="Times New Roman" w:cs="Times New Roman"/>
          <w:bCs/>
          <w:i/>
        </w:rPr>
        <w:t>’</w:t>
      </w:r>
      <w:r w:rsidR="002E27E4">
        <w:rPr>
          <w:rFonts w:ascii="Times New Roman" w:eastAsia="Calibri" w:hAnsi="Times New Roman" w:cs="Times New Roman"/>
          <w:bCs/>
        </w:rPr>
        <w:t>[6</w:t>
      </w:r>
      <w:r w:rsidR="00136556">
        <w:rPr>
          <w:rFonts w:ascii="Times New Roman" w:eastAsia="Calibri" w:hAnsi="Times New Roman" w:cs="Times New Roman"/>
          <w:bCs/>
        </w:rPr>
        <w:t>7</w:t>
      </w:r>
      <w:r w:rsidR="002021EE" w:rsidRPr="00DC5548">
        <w:rPr>
          <w:rFonts w:ascii="Times New Roman" w:eastAsia="Calibri" w:hAnsi="Times New Roman" w:cs="Times New Roman"/>
          <w:bCs/>
        </w:rPr>
        <w:t>]</w:t>
      </w:r>
      <w:r w:rsidR="002E27E4">
        <w:rPr>
          <w:rFonts w:ascii="Times New Roman" w:eastAsia="Calibri" w:hAnsi="Times New Roman" w:cs="Times New Roman"/>
          <w:bCs/>
        </w:rPr>
        <w:t>.</w:t>
      </w:r>
      <w:r w:rsidR="002021EE">
        <w:rPr>
          <w:rFonts w:ascii="Times New Roman" w:eastAsia="Calibri" w:hAnsi="Times New Roman" w:cs="Times New Roman"/>
          <w:bCs/>
          <w:i/>
        </w:rPr>
        <w:t xml:space="preserve"> </w:t>
      </w:r>
    </w:p>
    <w:p w14:paraId="47E8A5EA" w14:textId="39A9A35F" w:rsidR="00374B26" w:rsidRDefault="00F04B6E" w:rsidP="00374B26">
      <w:pPr>
        <w:spacing w:line="240" w:lineRule="auto"/>
        <w:ind w:firstLine="720"/>
        <w:contextualSpacing/>
        <w:jc w:val="both"/>
        <w:rPr>
          <w:rFonts w:ascii="Times New Roman" w:eastAsia="Calibri" w:hAnsi="Times New Roman" w:cs="Times New Roman"/>
        </w:rPr>
      </w:pPr>
      <w:r>
        <w:rPr>
          <w:rFonts w:ascii="Times New Roman" w:eastAsia="Calibri" w:hAnsi="Times New Roman" w:cs="Times New Roman"/>
          <w:bCs/>
        </w:rPr>
        <w:t>Further,</w:t>
      </w:r>
      <w:r w:rsidR="002021EE">
        <w:rPr>
          <w:rFonts w:ascii="Times New Roman" w:eastAsia="Calibri" w:hAnsi="Times New Roman" w:cs="Times New Roman"/>
          <w:bCs/>
        </w:rPr>
        <w:t xml:space="preserve"> </w:t>
      </w:r>
      <w:r w:rsidR="00DC5548" w:rsidRPr="00B53A5A">
        <w:rPr>
          <w:rFonts w:ascii="Times New Roman" w:eastAsia="Calibri" w:hAnsi="Times New Roman" w:cs="Times New Roman"/>
        </w:rPr>
        <w:t>ETs also expect employers to consider other ways of achieving the aim, or minimising the discrimination. If there has been little or no consideration by employers as to alternatives and an alternative is clearly available, then the ET judgments suggest that the employer’s arguments will fail at the proporti</w:t>
      </w:r>
      <w:r w:rsidR="00374B26">
        <w:rPr>
          <w:rFonts w:ascii="Times New Roman" w:eastAsia="Calibri" w:hAnsi="Times New Roman" w:cs="Times New Roman"/>
        </w:rPr>
        <w:t>onality stage.</w:t>
      </w:r>
      <w:r w:rsidR="002E27E4">
        <w:rPr>
          <w:rFonts w:ascii="Times New Roman" w:eastAsia="Calibri" w:hAnsi="Times New Roman" w:cs="Times New Roman"/>
        </w:rPr>
        <w:t xml:space="preserve"> So, for example, in </w:t>
      </w:r>
      <w:r w:rsidR="002E27E4" w:rsidRPr="002E27E4">
        <w:rPr>
          <w:rFonts w:ascii="Times New Roman" w:eastAsia="Calibri" w:hAnsi="Times New Roman" w:cs="Times New Roman"/>
          <w:i/>
        </w:rPr>
        <w:t>Baker</w:t>
      </w:r>
      <w:r w:rsidR="002E27E4">
        <w:rPr>
          <w:rFonts w:ascii="Times New Roman" w:eastAsia="Calibri" w:hAnsi="Times New Roman" w:cs="Times New Roman"/>
        </w:rPr>
        <w:t>[6</w:t>
      </w:r>
      <w:r w:rsidR="00136556">
        <w:rPr>
          <w:rFonts w:ascii="Times New Roman" w:eastAsia="Calibri" w:hAnsi="Times New Roman" w:cs="Times New Roman"/>
        </w:rPr>
        <w:t>8</w:t>
      </w:r>
      <w:r w:rsidR="002E27E4">
        <w:rPr>
          <w:rFonts w:ascii="Times New Roman" w:eastAsia="Calibri" w:hAnsi="Times New Roman" w:cs="Times New Roman"/>
        </w:rPr>
        <w:t xml:space="preserve">] there were other more appropriate ways of achieving the aim relied upon such as testing suitable candidates whatever their age.  </w:t>
      </w:r>
    </w:p>
    <w:p w14:paraId="4331CFDC" w14:textId="01021B2D" w:rsidR="00DC5548" w:rsidRDefault="00DC5548" w:rsidP="00374B26">
      <w:pPr>
        <w:spacing w:line="240" w:lineRule="auto"/>
        <w:ind w:firstLine="720"/>
        <w:contextualSpacing/>
        <w:jc w:val="both"/>
        <w:rPr>
          <w:rFonts w:ascii="Times New Roman" w:eastAsia="Calibri" w:hAnsi="Times New Roman" w:cs="Times New Roman"/>
        </w:rPr>
      </w:pPr>
      <w:r>
        <w:rPr>
          <w:rFonts w:ascii="Times New Roman" w:eastAsia="Calibri" w:hAnsi="Times New Roman" w:cs="Times New Roman"/>
        </w:rPr>
        <w:t>However, six years after the introduction of the legislation</w:t>
      </w:r>
      <w:r w:rsidR="00F04B6E">
        <w:rPr>
          <w:rFonts w:ascii="Times New Roman" w:eastAsia="Calibri" w:hAnsi="Times New Roman" w:cs="Times New Roman"/>
        </w:rPr>
        <w:t>,</w:t>
      </w:r>
      <w:r w:rsidRPr="00B53A5A">
        <w:rPr>
          <w:rFonts w:ascii="Times New Roman" w:eastAsia="Calibri" w:hAnsi="Times New Roman" w:cs="Times New Roman"/>
        </w:rPr>
        <w:t xml:space="preserve"> ETs were still expressing their confusion about the circumstances in which</w:t>
      </w:r>
      <w:r w:rsidR="00A93E1D">
        <w:rPr>
          <w:rFonts w:ascii="Times New Roman" w:eastAsia="Calibri" w:hAnsi="Times New Roman" w:cs="Times New Roman"/>
        </w:rPr>
        <w:t xml:space="preserve"> employers can successfully argue </w:t>
      </w:r>
      <w:r w:rsidR="00E93109">
        <w:rPr>
          <w:rFonts w:ascii="Times New Roman" w:eastAsia="Calibri" w:hAnsi="Times New Roman" w:cs="Times New Roman"/>
        </w:rPr>
        <w:t>whether</w:t>
      </w:r>
      <w:r w:rsidR="00A93E1D">
        <w:rPr>
          <w:rFonts w:ascii="Times New Roman" w:eastAsia="Calibri" w:hAnsi="Times New Roman" w:cs="Times New Roman"/>
        </w:rPr>
        <w:t xml:space="preserve"> a retirement age is a proportionate means of achieving a legitimate aim.</w:t>
      </w:r>
      <w:r w:rsidRPr="00B53A5A">
        <w:rPr>
          <w:rFonts w:ascii="Times New Roman" w:eastAsia="Calibri" w:hAnsi="Times New Roman" w:cs="Times New Roman"/>
        </w:rPr>
        <w:t xml:space="preserve"> </w:t>
      </w:r>
      <w:r w:rsidR="002E27E4">
        <w:rPr>
          <w:rFonts w:ascii="Times New Roman" w:eastAsia="Calibri" w:hAnsi="Times New Roman" w:cs="Times New Roman"/>
          <w:bCs/>
          <w:iCs/>
        </w:rPr>
        <w:t>T</w:t>
      </w:r>
      <w:r w:rsidRPr="00B53A5A">
        <w:rPr>
          <w:rFonts w:ascii="Times New Roman" w:eastAsia="Calibri" w:hAnsi="Times New Roman" w:cs="Times New Roman"/>
        </w:rPr>
        <w:t xml:space="preserve">he ET asked itself the question </w:t>
      </w:r>
      <w:r w:rsidRPr="00B53A5A">
        <w:rPr>
          <w:rFonts w:ascii="Times New Roman" w:eastAsia="Calibri" w:hAnsi="Times New Roman" w:cs="Times New Roman"/>
          <w:i/>
        </w:rPr>
        <w:t>‘What evidence do we need of the appropriateness of the selected retirement age?</w:t>
      </w:r>
      <w:r w:rsidR="002E27E4">
        <w:rPr>
          <w:rFonts w:ascii="Times New Roman" w:eastAsia="Calibri" w:hAnsi="Times New Roman" w:cs="Times New Roman"/>
        </w:rPr>
        <w:t>’ i</w:t>
      </w:r>
      <w:r w:rsidR="002E27E4" w:rsidRPr="00B53A5A">
        <w:rPr>
          <w:rFonts w:ascii="Times New Roman" w:eastAsia="Calibri" w:hAnsi="Times New Roman" w:cs="Times New Roman"/>
        </w:rPr>
        <w:t xml:space="preserve">n the case of </w:t>
      </w:r>
      <w:r w:rsidR="002E27E4">
        <w:rPr>
          <w:rFonts w:ascii="Times New Roman" w:eastAsia="Calibri" w:hAnsi="Times New Roman" w:cs="Times New Roman"/>
          <w:i/>
          <w:iCs/>
        </w:rPr>
        <w:t xml:space="preserve">Engel </w:t>
      </w:r>
      <w:r w:rsidR="002E27E4" w:rsidRPr="00B53A5A">
        <w:rPr>
          <w:rFonts w:ascii="Times New Roman" w:eastAsia="Calibri" w:hAnsi="Times New Roman" w:cs="Times New Roman"/>
          <w:i/>
          <w:iCs/>
        </w:rPr>
        <w:t>v Transport and Environment Committee of London Councils</w:t>
      </w:r>
      <w:r w:rsidR="002E27E4">
        <w:rPr>
          <w:rFonts w:ascii="Times New Roman" w:eastAsia="Calibri" w:hAnsi="Times New Roman" w:cs="Times New Roman"/>
          <w:iCs/>
        </w:rPr>
        <w:t>[6</w:t>
      </w:r>
      <w:r w:rsidR="00136556">
        <w:rPr>
          <w:rFonts w:ascii="Times New Roman" w:eastAsia="Calibri" w:hAnsi="Times New Roman" w:cs="Times New Roman"/>
          <w:iCs/>
        </w:rPr>
        <w:t>9</w:t>
      </w:r>
      <w:r w:rsidR="002E27E4">
        <w:rPr>
          <w:rFonts w:ascii="Times New Roman" w:eastAsia="Calibri" w:hAnsi="Times New Roman" w:cs="Times New Roman"/>
          <w:iCs/>
        </w:rPr>
        <w:t>]</w:t>
      </w:r>
      <w:r w:rsidR="00795234">
        <w:rPr>
          <w:rFonts w:ascii="Times New Roman" w:eastAsia="Calibri" w:hAnsi="Times New Roman" w:cs="Times New Roman"/>
          <w:iCs/>
        </w:rPr>
        <w:t>.</w:t>
      </w:r>
      <w:r w:rsidR="002E27E4" w:rsidRPr="00B53A5A">
        <w:rPr>
          <w:rFonts w:ascii="Times New Roman" w:eastAsia="Calibri" w:hAnsi="Times New Roman" w:cs="Times New Roman"/>
          <w:b/>
          <w:bCs/>
          <w:i/>
          <w:iCs/>
        </w:rPr>
        <w:t xml:space="preserve"> </w:t>
      </w:r>
      <w:r w:rsidR="0031177E">
        <w:rPr>
          <w:rFonts w:ascii="Times New Roman" w:eastAsia="Calibri" w:hAnsi="Times New Roman" w:cs="Times New Roman"/>
        </w:rPr>
        <w:t xml:space="preserve">The ET acknowledged </w:t>
      </w:r>
      <w:r w:rsidRPr="00B53A5A">
        <w:rPr>
          <w:rFonts w:ascii="Times New Roman" w:eastAsia="Calibri" w:hAnsi="Times New Roman" w:cs="Times New Roman"/>
        </w:rPr>
        <w:t xml:space="preserve">that it had reviewed the case law from the national courts but they could not find </w:t>
      </w:r>
      <w:r w:rsidRPr="00B53A5A">
        <w:rPr>
          <w:rFonts w:ascii="Times New Roman" w:eastAsia="Calibri" w:hAnsi="Times New Roman" w:cs="Times New Roman"/>
          <w:i/>
        </w:rPr>
        <w:t>‘anything that clearly directs us on the sort of evidence or the quantity of evidence we should expect. Therefore we have</w:t>
      </w:r>
      <w:r w:rsidR="002E27E4">
        <w:rPr>
          <w:rFonts w:ascii="Times New Roman" w:eastAsia="Calibri" w:hAnsi="Times New Roman" w:cs="Times New Roman"/>
          <w:i/>
        </w:rPr>
        <w:t xml:space="preserve"> had to reach a view of our own</w:t>
      </w:r>
      <w:r w:rsidRPr="00B53A5A">
        <w:rPr>
          <w:rFonts w:ascii="Times New Roman" w:eastAsia="Calibri" w:hAnsi="Times New Roman" w:cs="Times New Roman"/>
          <w:i/>
        </w:rPr>
        <w:t>’</w:t>
      </w:r>
      <w:r w:rsidR="002E27E4">
        <w:rPr>
          <w:rFonts w:ascii="Times New Roman" w:eastAsia="Calibri" w:hAnsi="Times New Roman" w:cs="Times New Roman"/>
        </w:rPr>
        <w:t>[</w:t>
      </w:r>
      <w:r w:rsidR="00136556">
        <w:rPr>
          <w:rFonts w:ascii="Times New Roman" w:eastAsia="Calibri" w:hAnsi="Times New Roman" w:cs="Times New Roman"/>
        </w:rPr>
        <w:t>70</w:t>
      </w:r>
      <w:r>
        <w:rPr>
          <w:rFonts w:ascii="Times New Roman" w:eastAsia="Calibri" w:hAnsi="Times New Roman" w:cs="Times New Roman"/>
        </w:rPr>
        <w:t>]</w:t>
      </w:r>
      <w:r w:rsidR="002E27E4">
        <w:rPr>
          <w:rFonts w:ascii="Times New Roman" w:eastAsia="Calibri" w:hAnsi="Times New Roman" w:cs="Times New Roman"/>
        </w:rPr>
        <w:t>.</w:t>
      </w:r>
      <w:r w:rsidRPr="00B53A5A">
        <w:rPr>
          <w:rFonts w:ascii="Times New Roman" w:eastAsia="Calibri" w:hAnsi="Times New Roman" w:cs="Times New Roman"/>
        </w:rPr>
        <w:t xml:space="preserve"> The ET stated that they required more than a mere assertion but evidence in support of why the age was chosen. There was insufficient evidence for the ET to conclude that the retirement age of 70 </w:t>
      </w:r>
      <w:r w:rsidR="002021EE">
        <w:rPr>
          <w:rFonts w:ascii="Times New Roman" w:eastAsia="Calibri" w:hAnsi="Times New Roman" w:cs="Times New Roman"/>
        </w:rPr>
        <w:t>was appropriate and necessary. T</w:t>
      </w:r>
      <w:r w:rsidRPr="00B53A5A">
        <w:rPr>
          <w:rFonts w:ascii="Times New Roman" w:eastAsia="Calibri" w:hAnsi="Times New Roman" w:cs="Times New Roman"/>
        </w:rPr>
        <w:t>he ET's observations in this regard were as follows:</w:t>
      </w:r>
    </w:p>
    <w:p w14:paraId="68FFFA32" w14:textId="77777777" w:rsidR="00374B26" w:rsidRPr="00374B26" w:rsidRDefault="00374B26" w:rsidP="00374B26">
      <w:pPr>
        <w:spacing w:line="240" w:lineRule="auto"/>
        <w:ind w:firstLine="720"/>
        <w:contextualSpacing/>
        <w:jc w:val="both"/>
        <w:rPr>
          <w:rFonts w:ascii="Times New Roman" w:eastAsia="Calibri" w:hAnsi="Times New Roman" w:cs="Times New Roman"/>
          <w:bCs/>
        </w:rPr>
      </w:pPr>
    </w:p>
    <w:p w14:paraId="3F2E30BF" w14:textId="48D92B52" w:rsidR="00DC5548" w:rsidRPr="00B53A5A" w:rsidRDefault="00DC5548" w:rsidP="00DC5548">
      <w:pPr>
        <w:tabs>
          <w:tab w:val="left" w:pos="1134"/>
        </w:tabs>
        <w:spacing w:after="0" w:line="240" w:lineRule="auto"/>
        <w:ind w:left="1134"/>
        <w:contextualSpacing/>
        <w:jc w:val="both"/>
        <w:rPr>
          <w:rFonts w:ascii="Times New Roman" w:eastAsia="Calibri" w:hAnsi="Times New Roman" w:cs="Times New Roman"/>
          <w:i/>
          <w:iCs/>
        </w:rPr>
      </w:pPr>
      <w:r w:rsidRPr="00B53A5A">
        <w:rPr>
          <w:rFonts w:ascii="Times New Roman" w:eastAsia="Calibri" w:hAnsi="Times New Roman" w:cs="Times New Roman"/>
          <w:i/>
          <w:iCs/>
        </w:rPr>
        <w:t>We are concerned that if we were to assume that age 70 is a reasonable retirement age for parking adjudicators, without some evidence as to why that age is appropriate, we might be falling into the trap of stereotyping and/or discrimination ourselves</w:t>
      </w:r>
      <w:r w:rsidR="002E27E4">
        <w:rPr>
          <w:rFonts w:ascii="Times New Roman" w:eastAsia="Calibri" w:hAnsi="Times New Roman" w:cs="Times New Roman"/>
        </w:rPr>
        <w:t>[7</w:t>
      </w:r>
      <w:r w:rsidR="00136556">
        <w:rPr>
          <w:rFonts w:ascii="Times New Roman" w:eastAsia="Calibri" w:hAnsi="Times New Roman" w:cs="Times New Roman"/>
        </w:rPr>
        <w:t>1</w:t>
      </w:r>
      <w:r>
        <w:rPr>
          <w:rFonts w:ascii="Times New Roman" w:eastAsia="Calibri" w:hAnsi="Times New Roman" w:cs="Times New Roman"/>
        </w:rPr>
        <w:t>]</w:t>
      </w:r>
      <w:r w:rsidR="002E27E4">
        <w:rPr>
          <w:rFonts w:ascii="Times New Roman" w:eastAsia="Calibri" w:hAnsi="Times New Roman" w:cs="Times New Roman"/>
        </w:rPr>
        <w:t>.</w:t>
      </w:r>
    </w:p>
    <w:p w14:paraId="6A10EE65" w14:textId="77777777" w:rsidR="00DC5548" w:rsidRPr="00B53A5A" w:rsidRDefault="00DC5548" w:rsidP="00DC5548">
      <w:pPr>
        <w:spacing w:line="240" w:lineRule="auto"/>
        <w:contextualSpacing/>
        <w:jc w:val="both"/>
        <w:rPr>
          <w:rFonts w:ascii="Times New Roman" w:eastAsia="Calibri" w:hAnsi="Times New Roman" w:cs="Times New Roman"/>
          <w:i/>
          <w:iCs/>
        </w:rPr>
      </w:pPr>
    </w:p>
    <w:p w14:paraId="26967ED2" w14:textId="48C08E63" w:rsidR="00DC5548" w:rsidRDefault="00DC5548" w:rsidP="00DC5548">
      <w:pPr>
        <w:spacing w:line="240" w:lineRule="auto"/>
        <w:contextualSpacing/>
        <w:jc w:val="both"/>
        <w:rPr>
          <w:rFonts w:ascii="Times New Roman" w:eastAsia="Calibri" w:hAnsi="Times New Roman" w:cs="Times New Roman"/>
        </w:rPr>
      </w:pPr>
      <w:r w:rsidRPr="00B53A5A">
        <w:rPr>
          <w:rFonts w:ascii="Times New Roman" w:eastAsia="Calibri" w:hAnsi="Times New Roman" w:cs="Times New Roman"/>
        </w:rPr>
        <w:t xml:space="preserve">In </w:t>
      </w:r>
      <w:r w:rsidRPr="00B53A5A">
        <w:rPr>
          <w:rFonts w:ascii="Times New Roman" w:eastAsia="Calibri" w:hAnsi="Times New Roman" w:cs="Times New Roman"/>
          <w:i/>
        </w:rPr>
        <w:t>Engel</w:t>
      </w:r>
      <w:r w:rsidRPr="00B53A5A">
        <w:rPr>
          <w:rFonts w:ascii="Times New Roman" w:eastAsia="Calibri" w:hAnsi="Times New Roman" w:cs="Times New Roman"/>
        </w:rPr>
        <w:t xml:space="preserve"> before delving into its conclusions</w:t>
      </w:r>
      <w:r w:rsidR="0096642B">
        <w:rPr>
          <w:rFonts w:ascii="Times New Roman" w:eastAsia="Calibri" w:hAnsi="Times New Roman" w:cs="Times New Roman"/>
        </w:rPr>
        <w:t>,</w:t>
      </w:r>
      <w:r w:rsidRPr="00B53A5A">
        <w:rPr>
          <w:rFonts w:ascii="Times New Roman" w:eastAsia="Calibri" w:hAnsi="Times New Roman" w:cs="Times New Roman"/>
        </w:rPr>
        <w:t xml:space="preserve"> the ET had</w:t>
      </w:r>
      <w:r>
        <w:rPr>
          <w:rFonts w:ascii="Times New Roman" w:eastAsia="Calibri" w:hAnsi="Times New Roman" w:cs="Times New Roman"/>
        </w:rPr>
        <w:t xml:space="preserve"> some words of warning for the r</w:t>
      </w:r>
      <w:r w:rsidRPr="00B53A5A">
        <w:rPr>
          <w:rFonts w:ascii="Times New Roman" w:eastAsia="Calibri" w:hAnsi="Times New Roman" w:cs="Times New Roman"/>
        </w:rPr>
        <w:t>espondent with regards to its use of language i</w:t>
      </w:r>
      <w:r>
        <w:rPr>
          <w:rFonts w:ascii="Times New Roman" w:eastAsia="Calibri" w:hAnsi="Times New Roman" w:cs="Times New Roman"/>
        </w:rPr>
        <w:t>n its written submissions. The r</w:t>
      </w:r>
      <w:r w:rsidRPr="00B53A5A">
        <w:rPr>
          <w:rFonts w:ascii="Times New Roman" w:eastAsia="Calibri" w:hAnsi="Times New Roman" w:cs="Times New Roman"/>
        </w:rPr>
        <w:t>espondent had used the words ‘</w:t>
      </w:r>
      <w:r w:rsidRPr="00B53A5A">
        <w:rPr>
          <w:rFonts w:ascii="Times New Roman" w:eastAsia="Calibri" w:hAnsi="Times New Roman" w:cs="Times New Roman"/>
          <w:i/>
          <w:iCs/>
        </w:rPr>
        <w:t>old a</w:t>
      </w:r>
      <w:r w:rsidR="001E2BBE">
        <w:rPr>
          <w:rFonts w:ascii="Times New Roman" w:eastAsia="Calibri" w:hAnsi="Times New Roman" w:cs="Times New Roman"/>
          <w:i/>
          <w:iCs/>
        </w:rPr>
        <w:t>ge'</w:t>
      </w:r>
      <w:r w:rsidRPr="00B53A5A">
        <w:rPr>
          <w:rFonts w:ascii="Times New Roman" w:eastAsia="Calibri" w:hAnsi="Times New Roman" w:cs="Times New Roman"/>
        </w:rPr>
        <w:t xml:space="preserve"> twice which, in the ET’s view, was ‘</w:t>
      </w:r>
      <w:r w:rsidRPr="00B53A5A">
        <w:rPr>
          <w:rFonts w:ascii="Times New Roman" w:eastAsia="Calibri" w:hAnsi="Times New Roman" w:cs="Times New Roman"/>
          <w:i/>
          <w:iCs/>
        </w:rPr>
        <w:t>unfortunate lang</w:t>
      </w:r>
      <w:r w:rsidR="002E27E4">
        <w:rPr>
          <w:rFonts w:ascii="Times New Roman" w:eastAsia="Calibri" w:hAnsi="Times New Roman" w:cs="Times New Roman"/>
          <w:i/>
          <w:iCs/>
        </w:rPr>
        <w:t>uage in the context in question</w:t>
      </w:r>
      <w:r w:rsidRPr="00B53A5A">
        <w:rPr>
          <w:rFonts w:ascii="Times New Roman" w:eastAsia="Calibri" w:hAnsi="Times New Roman" w:cs="Times New Roman"/>
          <w:i/>
          <w:iCs/>
        </w:rPr>
        <w:t>’</w:t>
      </w:r>
      <w:r w:rsidR="002E27E4">
        <w:rPr>
          <w:rFonts w:ascii="Times New Roman" w:eastAsia="Calibri" w:hAnsi="Times New Roman" w:cs="Times New Roman"/>
          <w:iCs/>
        </w:rPr>
        <w:t>[7</w:t>
      </w:r>
      <w:r w:rsidR="00136556">
        <w:rPr>
          <w:rFonts w:ascii="Times New Roman" w:eastAsia="Calibri" w:hAnsi="Times New Roman" w:cs="Times New Roman"/>
          <w:iCs/>
        </w:rPr>
        <w:t>2</w:t>
      </w:r>
      <w:r w:rsidR="00D1077B">
        <w:rPr>
          <w:rFonts w:ascii="Times New Roman" w:eastAsia="Calibri" w:hAnsi="Times New Roman" w:cs="Times New Roman"/>
          <w:iCs/>
        </w:rPr>
        <w:t>]</w:t>
      </w:r>
      <w:r w:rsidR="002E27E4">
        <w:rPr>
          <w:rFonts w:ascii="Times New Roman" w:eastAsia="Calibri" w:hAnsi="Times New Roman" w:cs="Times New Roman"/>
          <w:iCs/>
        </w:rPr>
        <w:t>.</w:t>
      </w:r>
      <w:r w:rsidRPr="00B53A5A">
        <w:rPr>
          <w:rFonts w:ascii="Times New Roman" w:eastAsia="Calibri" w:hAnsi="Times New Roman" w:cs="Times New Roman"/>
        </w:rPr>
        <w:t xml:space="preserve"> The ET considered that there are some terms which offend people and it would be</w:t>
      </w:r>
      <w:r w:rsidRPr="00B53A5A">
        <w:rPr>
          <w:rFonts w:ascii="Times New Roman" w:eastAsia="Calibri" w:hAnsi="Times New Roman" w:cs="Times New Roman"/>
          <w:i/>
          <w:iCs/>
        </w:rPr>
        <w:t xml:space="preserve"> ‘respect</w:t>
      </w:r>
      <w:r w:rsidR="002E27E4">
        <w:rPr>
          <w:rFonts w:ascii="Times New Roman" w:eastAsia="Calibri" w:hAnsi="Times New Roman" w:cs="Times New Roman"/>
          <w:i/>
          <w:iCs/>
        </w:rPr>
        <w:t>ful not to use that terminology</w:t>
      </w:r>
      <w:r w:rsidRPr="00B53A5A">
        <w:rPr>
          <w:rFonts w:ascii="Times New Roman" w:eastAsia="Calibri" w:hAnsi="Times New Roman" w:cs="Times New Roman"/>
          <w:i/>
          <w:iCs/>
        </w:rPr>
        <w:t>’</w:t>
      </w:r>
      <w:r w:rsidR="002E27E4">
        <w:rPr>
          <w:rFonts w:ascii="Times New Roman" w:eastAsia="Calibri" w:hAnsi="Times New Roman" w:cs="Times New Roman"/>
          <w:iCs/>
        </w:rPr>
        <w:t>[7</w:t>
      </w:r>
      <w:r w:rsidR="00136556">
        <w:rPr>
          <w:rFonts w:ascii="Times New Roman" w:eastAsia="Calibri" w:hAnsi="Times New Roman" w:cs="Times New Roman"/>
          <w:iCs/>
        </w:rPr>
        <w:t>3</w:t>
      </w:r>
      <w:r w:rsidR="00D1077B">
        <w:rPr>
          <w:rFonts w:ascii="Times New Roman" w:eastAsia="Calibri" w:hAnsi="Times New Roman" w:cs="Times New Roman"/>
          <w:iCs/>
        </w:rPr>
        <w:t>]</w:t>
      </w:r>
      <w:r w:rsidR="002E27E4">
        <w:rPr>
          <w:rFonts w:ascii="Times New Roman" w:eastAsia="Calibri" w:hAnsi="Times New Roman" w:cs="Times New Roman"/>
          <w:iCs/>
        </w:rPr>
        <w:t>.</w:t>
      </w:r>
      <w:r w:rsidRPr="00B53A5A">
        <w:rPr>
          <w:rFonts w:ascii="Times New Roman" w:eastAsia="Calibri" w:hAnsi="Times New Roman" w:cs="Times New Roman"/>
          <w:i/>
          <w:iCs/>
        </w:rPr>
        <w:t xml:space="preserve"> </w:t>
      </w:r>
      <w:r w:rsidR="008013C4" w:rsidRPr="00B53A5A">
        <w:rPr>
          <w:rFonts w:ascii="Times New Roman" w:eastAsia="Calibri" w:hAnsi="Times New Roman" w:cs="Times New Roman"/>
        </w:rPr>
        <w:t>Therefore,</w:t>
      </w:r>
      <w:r w:rsidRPr="00B53A5A">
        <w:rPr>
          <w:rFonts w:ascii="Times New Roman" w:eastAsia="Calibri" w:hAnsi="Times New Roman" w:cs="Times New Roman"/>
        </w:rPr>
        <w:t xml:space="preserve"> </w:t>
      </w:r>
      <w:r>
        <w:rPr>
          <w:rFonts w:ascii="Times New Roman" w:eastAsia="Calibri" w:hAnsi="Times New Roman" w:cs="Times New Roman"/>
        </w:rPr>
        <w:t xml:space="preserve">despite </w:t>
      </w:r>
      <w:r w:rsidR="00D1077B">
        <w:rPr>
          <w:rFonts w:ascii="Times New Roman" w:eastAsia="Calibri" w:hAnsi="Times New Roman" w:cs="Times New Roman"/>
        </w:rPr>
        <w:t>acknowledging</w:t>
      </w:r>
      <w:r>
        <w:rPr>
          <w:rFonts w:ascii="Times New Roman" w:eastAsia="Calibri" w:hAnsi="Times New Roman" w:cs="Times New Roman"/>
        </w:rPr>
        <w:t xml:space="preserve"> confusion as to the boundaries of direct age discrimination the ET</w:t>
      </w:r>
      <w:r w:rsidR="00D1077B">
        <w:rPr>
          <w:rFonts w:ascii="Times New Roman" w:eastAsia="Calibri" w:hAnsi="Times New Roman" w:cs="Times New Roman"/>
        </w:rPr>
        <w:t xml:space="preserve"> nevertheless</w:t>
      </w:r>
      <w:r>
        <w:rPr>
          <w:rFonts w:ascii="Times New Roman" w:eastAsia="Calibri" w:hAnsi="Times New Roman" w:cs="Times New Roman"/>
        </w:rPr>
        <w:t xml:space="preserve"> </w:t>
      </w:r>
      <w:r w:rsidRPr="00B53A5A">
        <w:rPr>
          <w:rFonts w:ascii="Times New Roman" w:eastAsia="Calibri" w:hAnsi="Times New Roman" w:cs="Times New Roman"/>
        </w:rPr>
        <w:t>tackled the use of inappropriate language a</w:t>
      </w:r>
      <w:r>
        <w:rPr>
          <w:rFonts w:ascii="Times New Roman" w:eastAsia="Calibri" w:hAnsi="Times New Roman" w:cs="Times New Roman"/>
        </w:rPr>
        <w:t>nd sent a warning to the r</w:t>
      </w:r>
      <w:r w:rsidRPr="00B53A5A">
        <w:rPr>
          <w:rFonts w:ascii="Times New Roman" w:eastAsia="Calibri" w:hAnsi="Times New Roman" w:cs="Times New Roman"/>
        </w:rPr>
        <w:t>espondent</w:t>
      </w:r>
      <w:r>
        <w:rPr>
          <w:rFonts w:ascii="Times New Roman" w:eastAsia="Calibri" w:hAnsi="Times New Roman" w:cs="Times New Roman"/>
        </w:rPr>
        <w:t xml:space="preserve"> that age stereotyping will </w:t>
      </w:r>
      <w:r w:rsidR="00795234">
        <w:rPr>
          <w:rFonts w:ascii="Times New Roman" w:eastAsia="Calibri" w:hAnsi="Times New Roman" w:cs="Times New Roman"/>
        </w:rPr>
        <w:t>be tackled.</w:t>
      </w:r>
    </w:p>
    <w:p w14:paraId="768C07DE" w14:textId="77777777" w:rsidR="00DC5548" w:rsidRPr="00766001" w:rsidRDefault="00DC5548" w:rsidP="00DC5548">
      <w:pPr>
        <w:spacing w:line="240" w:lineRule="auto"/>
        <w:contextualSpacing/>
        <w:jc w:val="both"/>
        <w:rPr>
          <w:rFonts w:ascii="Times New Roman" w:eastAsia="Calibri" w:hAnsi="Times New Roman" w:cs="Times New Roman"/>
        </w:rPr>
      </w:pPr>
    </w:p>
    <w:p w14:paraId="7516B7B9" w14:textId="77777777" w:rsidR="00DC5548" w:rsidRPr="00B53A5A" w:rsidRDefault="001E2BBE" w:rsidP="00374B26">
      <w:pPr>
        <w:spacing w:line="240" w:lineRule="auto"/>
        <w:contextualSpacing/>
        <w:jc w:val="both"/>
        <w:rPr>
          <w:rFonts w:ascii="Times New Roman" w:eastAsia="Calibri" w:hAnsi="Times New Roman" w:cs="Times New Roman"/>
          <w:i/>
          <w:iCs/>
        </w:rPr>
      </w:pPr>
      <w:r>
        <w:rPr>
          <w:rFonts w:ascii="Times New Roman" w:eastAsia="Calibri" w:hAnsi="Times New Roman" w:cs="Times New Roman"/>
          <w:i/>
        </w:rPr>
        <w:t>Endorsing age s</w:t>
      </w:r>
      <w:r w:rsidR="00DC5548" w:rsidRPr="00B53A5A">
        <w:rPr>
          <w:rFonts w:ascii="Times New Roman" w:eastAsia="Calibri" w:hAnsi="Times New Roman" w:cs="Times New Roman"/>
          <w:i/>
        </w:rPr>
        <w:t>tereotypes</w:t>
      </w:r>
    </w:p>
    <w:p w14:paraId="03931997" w14:textId="193217FB" w:rsidR="00374B26" w:rsidRDefault="00FD31BA" w:rsidP="00374B26">
      <w:pPr>
        <w:spacing w:line="240" w:lineRule="auto"/>
        <w:contextualSpacing/>
        <w:jc w:val="both"/>
        <w:rPr>
          <w:rFonts w:ascii="Times New Roman" w:eastAsia="Calibri" w:hAnsi="Times New Roman" w:cs="Times New Roman"/>
        </w:rPr>
      </w:pPr>
      <w:r>
        <w:rPr>
          <w:rFonts w:ascii="Times New Roman" w:eastAsia="Calibri" w:hAnsi="Times New Roman" w:cs="Times New Roman"/>
        </w:rPr>
        <w:t>A</w:t>
      </w:r>
      <w:r w:rsidR="001E2BBE">
        <w:rPr>
          <w:rFonts w:ascii="Times New Roman" w:eastAsia="Calibri" w:hAnsi="Times New Roman" w:cs="Times New Roman"/>
        </w:rPr>
        <w:t xml:space="preserve"> small number of </w:t>
      </w:r>
      <w:r w:rsidR="00000DB2">
        <w:rPr>
          <w:rFonts w:ascii="Times New Roman" w:eastAsia="Calibri" w:hAnsi="Times New Roman" w:cs="Times New Roman"/>
        </w:rPr>
        <w:t xml:space="preserve">worrying </w:t>
      </w:r>
      <w:r w:rsidR="001E2BBE">
        <w:rPr>
          <w:rFonts w:ascii="Times New Roman" w:eastAsia="Calibri" w:hAnsi="Times New Roman" w:cs="Times New Roman"/>
        </w:rPr>
        <w:t>cases</w:t>
      </w:r>
      <w:r w:rsidR="00DC5548" w:rsidRPr="00B53A5A">
        <w:rPr>
          <w:rFonts w:ascii="Times New Roman" w:eastAsia="Calibri" w:hAnsi="Times New Roman" w:cs="Times New Roman"/>
        </w:rPr>
        <w:t xml:space="preserve"> </w:t>
      </w:r>
      <w:r w:rsidR="001E2BBE">
        <w:rPr>
          <w:rFonts w:ascii="Times New Roman" w:eastAsia="Calibri" w:hAnsi="Times New Roman" w:cs="Times New Roman"/>
        </w:rPr>
        <w:t>were</w:t>
      </w:r>
      <w:r w:rsidR="00DC5548" w:rsidRPr="00B53A5A">
        <w:rPr>
          <w:rFonts w:ascii="Times New Roman" w:eastAsia="Calibri" w:hAnsi="Times New Roman" w:cs="Times New Roman"/>
        </w:rPr>
        <w:t xml:space="preserve"> identified in the analysis of the ET judgments.  </w:t>
      </w:r>
      <w:r w:rsidR="001E2BBE">
        <w:rPr>
          <w:rFonts w:ascii="Times New Roman" w:eastAsia="Calibri" w:hAnsi="Times New Roman" w:cs="Times New Roman"/>
        </w:rPr>
        <w:t>In these cases there was</w:t>
      </w:r>
      <w:r w:rsidR="00DC5548" w:rsidRPr="00B53A5A">
        <w:rPr>
          <w:rFonts w:ascii="Times New Roman" w:eastAsia="Calibri" w:hAnsi="Times New Roman" w:cs="Times New Roman"/>
        </w:rPr>
        <w:t xml:space="preserve"> </w:t>
      </w:r>
      <w:r w:rsidR="00DC5548" w:rsidRPr="00B53A5A">
        <w:rPr>
          <w:rFonts w:ascii="Times New Roman" w:hAnsi="Times New Roman" w:cs="Times New Roman"/>
        </w:rPr>
        <w:t>some evidence that claims were hampered</w:t>
      </w:r>
      <w:r w:rsidR="00DC5548">
        <w:rPr>
          <w:rFonts w:ascii="Times New Roman" w:hAnsi="Times New Roman" w:cs="Times New Roman"/>
        </w:rPr>
        <w:t xml:space="preserve"> by ETs own stereotypical views and in some cases this was</w:t>
      </w:r>
      <w:r w:rsidR="00DC5548" w:rsidRPr="00B53A5A">
        <w:rPr>
          <w:rFonts w:ascii="Times New Roman" w:hAnsi="Times New Roman" w:cs="Times New Roman"/>
        </w:rPr>
        <w:t xml:space="preserve"> facilitated by </w:t>
      </w:r>
      <w:r w:rsidR="0096642B">
        <w:rPr>
          <w:rFonts w:ascii="Times New Roman" w:hAnsi="Times New Roman" w:cs="Times New Roman"/>
        </w:rPr>
        <w:t>the definition of direct age discrimination</w:t>
      </w:r>
      <w:r w:rsidR="00DC5548" w:rsidRPr="00B53A5A">
        <w:rPr>
          <w:rFonts w:ascii="Times New Roman" w:eastAsia="Calibri" w:hAnsi="Times New Roman" w:cs="Times New Roman"/>
        </w:rPr>
        <w:t xml:space="preserve">. </w:t>
      </w:r>
    </w:p>
    <w:p w14:paraId="3D496031" w14:textId="0950F588" w:rsidR="00EB105E" w:rsidRDefault="00DC5548" w:rsidP="00EB105E">
      <w:pPr>
        <w:spacing w:after="0" w:line="240" w:lineRule="auto"/>
        <w:ind w:firstLine="720"/>
        <w:jc w:val="both"/>
        <w:rPr>
          <w:rFonts w:ascii="Times New Roman" w:eastAsia="Calibri" w:hAnsi="Times New Roman" w:cs="Times New Roman"/>
        </w:rPr>
      </w:pPr>
      <w:r w:rsidRPr="00B53A5A">
        <w:rPr>
          <w:rFonts w:ascii="Times New Roman" w:eastAsia="Calibri" w:hAnsi="Times New Roman" w:cs="Times New Roman"/>
        </w:rPr>
        <w:t>In the early case</w:t>
      </w:r>
      <w:r>
        <w:rPr>
          <w:rFonts w:ascii="Times New Roman" w:eastAsia="Calibri" w:hAnsi="Times New Roman" w:cs="Times New Roman"/>
        </w:rPr>
        <w:t>s</w:t>
      </w:r>
      <w:r w:rsidRPr="00B53A5A">
        <w:rPr>
          <w:rFonts w:ascii="Times New Roman" w:eastAsia="Calibri" w:hAnsi="Times New Roman" w:cs="Times New Roman"/>
        </w:rPr>
        <w:t xml:space="preserve"> of</w:t>
      </w:r>
      <w:r w:rsidR="001F3AB3">
        <w:rPr>
          <w:rFonts w:ascii="Times New Roman" w:eastAsia="Calibri" w:hAnsi="Times New Roman" w:cs="Times New Roman"/>
        </w:rPr>
        <w:t xml:space="preserve"> </w:t>
      </w:r>
      <w:r w:rsidR="001F3AB3" w:rsidRPr="001F3AB3">
        <w:rPr>
          <w:rFonts w:ascii="Times New Roman" w:eastAsia="Calibri" w:hAnsi="Times New Roman" w:cs="Times New Roman"/>
          <w:i/>
        </w:rPr>
        <w:t>James v Gina Shoes</w:t>
      </w:r>
      <w:r w:rsidR="001F3AB3">
        <w:rPr>
          <w:rFonts w:ascii="Times New Roman" w:eastAsia="Calibri" w:hAnsi="Times New Roman" w:cs="Times New Roman"/>
        </w:rPr>
        <w:t>[7</w:t>
      </w:r>
      <w:r w:rsidR="00136556">
        <w:rPr>
          <w:rFonts w:ascii="Times New Roman" w:eastAsia="Calibri" w:hAnsi="Times New Roman" w:cs="Times New Roman"/>
        </w:rPr>
        <w:t>4</w:t>
      </w:r>
      <w:r w:rsidR="001F3AB3">
        <w:rPr>
          <w:rFonts w:ascii="Times New Roman" w:eastAsia="Calibri" w:hAnsi="Times New Roman" w:cs="Times New Roman"/>
        </w:rPr>
        <w:t>],</w:t>
      </w:r>
      <w:r w:rsidRPr="00B53A5A">
        <w:rPr>
          <w:rFonts w:ascii="Times New Roman" w:eastAsia="Calibri" w:hAnsi="Times New Roman" w:cs="Times New Roman"/>
        </w:rPr>
        <w:t xml:space="preserve"> </w:t>
      </w:r>
      <w:r w:rsidRPr="00B53A5A">
        <w:rPr>
          <w:rFonts w:ascii="Times New Roman" w:eastAsia="Calibri" w:hAnsi="Times New Roman" w:cs="Times New Roman"/>
          <w:i/>
        </w:rPr>
        <w:t>Fryett</w:t>
      </w:r>
      <w:r>
        <w:rPr>
          <w:rFonts w:ascii="Times New Roman" w:eastAsia="Calibri" w:hAnsi="Times New Roman" w:cs="Times New Roman"/>
          <w:i/>
        </w:rPr>
        <w:t xml:space="preserve"> v Suncrust Bakery</w:t>
      </w:r>
      <w:r w:rsidR="00223320">
        <w:rPr>
          <w:rFonts w:ascii="Times New Roman" w:eastAsia="Calibri" w:hAnsi="Times New Roman" w:cs="Times New Roman"/>
        </w:rPr>
        <w:t>[7</w:t>
      </w:r>
      <w:r w:rsidR="00136556">
        <w:rPr>
          <w:rFonts w:ascii="Times New Roman" w:eastAsia="Calibri" w:hAnsi="Times New Roman" w:cs="Times New Roman"/>
        </w:rPr>
        <w:t>5</w:t>
      </w:r>
      <w:r w:rsidR="00D1077B">
        <w:rPr>
          <w:rFonts w:ascii="Times New Roman" w:eastAsia="Calibri" w:hAnsi="Times New Roman" w:cs="Times New Roman"/>
        </w:rPr>
        <w:t>]</w:t>
      </w:r>
      <w:r w:rsidRPr="00B53A5A">
        <w:rPr>
          <w:rFonts w:ascii="Times New Roman" w:eastAsia="Calibri" w:hAnsi="Times New Roman" w:cs="Times New Roman"/>
        </w:rPr>
        <w:t xml:space="preserve"> </w:t>
      </w:r>
      <w:r>
        <w:rPr>
          <w:rFonts w:ascii="Times New Roman" w:eastAsia="Calibri" w:hAnsi="Times New Roman" w:cs="Times New Roman"/>
        </w:rPr>
        <w:t xml:space="preserve">and </w:t>
      </w:r>
      <w:r w:rsidRPr="00B53A5A">
        <w:rPr>
          <w:rFonts w:ascii="Times New Roman" w:eastAsia="Calibri" w:hAnsi="Times New Roman" w:cs="Times New Roman"/>
        </w:rPr>
        <w:t xml:space="preserve">the well-known case of </w:t>
      </w:r>
      <w:r w:rsidRPr="00B53A5A">
        <w:rPr>
          <w:rFonts w:ascii="Times New Roman" w:eastAsia="Calibri" w:hAnsi="Times New Roman" w:cs="Times New Roman"/>
          <w:i/>
        </w:rPr>
        <w:t>Seldon v Clarkson Wright and Jakes</w:t>
      </w:r>
      <w:r w:rsidR="00110058">
        <w:rPr>
          <w:rFonts w:ascii="Times New Roman" w:eastAsia="Calibri" w:hAnsi="Times New Roman" w:cs="Times New Roman"/>
        </w:rPr>
        <w:t>[7</w:t>
      </w:r>
      <w:r w:rsidR="00136556">
        <w:rPr>
          <w:rFonts w:ascii="Times New Roman" w:eastAsia="Calibri" w:hAnsi="Times New Roman" w:cs="Times New Roman"/>
        </w:rPr>
        <w:t>6</w:t>
      </w:r>
      <w:r w:rsidR="00D1077B">
        <w:rPr>
          <w:rFonts w:ascii="Times New Roman" w:eastAsia="Calibri" w:hAnsi="Times New Roman" w:cs="Times New Roman"/>
        </w:rPr>
        <w:t>]</w:t>
      </w:r>
      <w:r>
        <w:rPr>
          <w:rFonts w:ascii="Times New Roman" w:eastAsia="Calibri" w:hAnsi="Times New Roman" w:cs="Times New Roman"/>
          <w:vertAlign w:val="superscript"/>
        </w:rPr>
        <w:t xml:space="preserve"> </w:t>
      </w:r>
      <w:r w:rsidR="00EB105E">
        <w:rPr>
          <w:rFonts w:ascii="Times New Roman" w:eastAsia="Calibri" w:hAnsi="Times New Roman" w:cs="Times New Roman"/>
        </w:rPr>
        <w:t>each</w:t>
      </w:r>
      <w:r>
        <w:rPr>
          <w:rFonts w:ascii="Times New Roman" w:eastAsia="Calibri" w:hAnsi="Times New Roman" w:cs="Times New Roman"/>
        </w:rPr>
        <w:t xml:space="preserve"> ET</w:t>
      </w:r>
      <w:r w:rsidR="00EB105E">
        <w:rPr>
          <w:rFonts w:ascii="Times New Roman" w:eastAsia="Calibri" w:hAnsi="Times New Roman" w:cs="Times New Roman"/>
        </w:rPr>
        <w:t xml:space="preserve"> endorsed </w:t>
      </w:r>
      <w:r w:rsidR="00387497">
        <w:rPr>
          <w:rFonts w:ascii="Times New Roman" w:eastAsia="Calibri" w:hAnsi="Times New Roman" w:cs="Times New Roman"/>
        </w:rPr>
        <w:t>age</w:t>
      </w:r>
      <w:r w:rsidR="00EB105E">
        <w:rPr>
          <w:rFonts w:ascii="Times New Roman" w:eastAsia="Calibri" w:hAnsi="Times New Roman" w:cs="Times New Roman"/>
        </w:rPr>
        <w:t xml:space="preserve"> stereotyping</w:t>
      </w:r>
      <w:r w:rsidR="00387497">
        <w:rPr>
          <w:rFonts w:ascii="Times New Roman" w:eastAsia="Calibri" w:hAnsi="Times New Roman" w:cs="Times New Roman"/>
        </w:rPr>
        <w:t xml:space="preserve"> in its </w:t>
      </w:r>
      <w:r w:rsidR="0031177E">
        <w:rPr>
          <w:rFonts w:ascii="Times New Roman" w:eastAsia="Calibri" w:hAnsi="Times New Roman" w:cs="Times New Roman"/>
        </w:rPr>
        <w:t>j</w:t>
      </w:r>
      <w:r w:rsidR="00387497">
        <w:rPr>
          <w:rFonts w:ascii="Times New Roman" w:eastAsia="Calibri" w:hAnsi="Times New Roman" w:cs="Times New Roman"/>
        </w:rPr>
        <w:t>udgment</w:t>
      </w:r>
      <w:r>
        <w:rPr>
          <w:rFonts w:ascii="Times New Roman" w:eastAsia="Calibri" w:hAnsi="Times New Roman" w:cs="Times New Roman"/>
        </w:rPr>
        <w:t xml:space="preserve">. </w:t>
      </w:r>
      <w:r w:rsidR="001F3AB3">
        <w:rPr>
          <w:rFonts w:ascii="Times New Roman" w:eastAsia="Calibri" w:hAnsi="Times New Roman" w:cs="Times New Roman"/>
        </w:rPr>
        <w:t xml:space="preserve">In </w:t>
      </w:r>
      <w:r w:rsidR="001F3AB3" w:rsidRPr="001F3AB3">
        <w:rPr>
          <w:rFonts w:ascii="Times New Roman" w:eastAsia="Calibri" w:hAnsi="Times New Roman" w:cs="Times New Roman"/>
          <w:i/>
        </w:rPr>
        <w:t>James</w:t>
      </w:r>
      <w:r w:rsidR="001F3AB3">
        <w:rPr>
          <w:rFonts w:ascii="Times New Roman" w:eastAsia="Calibri" w:hAnsi="Times New Roman" w:cs="Times New Roman"/>
        </w:rPr>
        <w:t xml:space="preserve"> the ET surprisingly felt there was insufficient evidence to raise a prima facie case of age discrimination as the comment ‘</w:t>
      </w:r>
      <w:r w:rsidR="001F3AB3" w:rsidRPr="00387497">
        <w:rPr>
          <w:rFonts w:ascii="Times New Roman" w:eastAsia="Calibri" w:hAnsi="Times New Roman" w:cs="Times New Roman"/>
          <w:i/>
        </w:rPr>
        <w:t>you can’t teach an old dog new tricks’</w:t>
      </w:r>
      <w:r w:rsidR="001F3AB3">
        <w:rPr>
          <w:rFonts w:ascii="Times New Roman" w:eastAsia="Calibri" w:hAnsi="Times New Roman" w:cs="Times New Roman"/>
        </w:rPr>
        <w:t xml:space="preserve"> was taken out of context. However on appeal to the EAT the stereotyping was ultimately tackled</w:t>
      </w:r>
      <w:r w:rsidR="00EB105E">
        <w:rPr>
          <w:rFonts w:ascii="Times New Roman" w:eastAsia="Calibri" w:hAnsi="Times New Roman" w:cs="Times New Roman"/>
        </w:rPr>
        <w:t xml:space="preserve"> by the finding that it plainly raised a prima facie case</w:t>
      </w:r>
      <w:r w:rsidR="00110058">
        <w:rPr>
          <w:rFonts w:ascii="Times New Roman" w:eastAsia="Calibri" w:hAnsi="Times New Roman" w:cs="Times New Roman"/>
        </w:rPr>
        <w:t>[7</w:t>
      </w:r>
      <w:r w:rsidR="00136556">
        <w:rPr>
          <w:rFonts w:ascii="Times New Roman" w:eastAsia="Calibri" w:hAnsi="Times New Roman" w:cs="Times New Roman"/>
        </w:rPr>
        <w:t>7</w:t>
      </w:r>
      <w:r w:rsidR="001F3AB3">
        <w:rPr>
          <w:rFonts w:ascii="Times New Roman" w:eastAsia="Calibri" w:hAnsi="Times New Roman" w:cs="Times New Roman"/>
        </w:rPr>
        <w:t xml:space="preserve">]. </w:t>
      </w:r>
    </w:p>
    <w:p w14:paraId="42FC0354" w14:textId="07937EE2" w:rsidR="00DC5548" w:rsidRDefault="001F3AB3" w:rsidP="00EB105E">
      <w:pPr>
        <w:spacing w:after="0" w:line="240" w:lineRule="auto"/>
        <w:ind w:firstLine="720"/>
        <w:jc w:val="both"/>
        <w:rPr>
          <w:rFonts w:ascii="Times New Roman" w:eastAsia="Calibri" w:hAnsi="Times New Roman" w:cs="Times New Roman"/>
        </w:rPr>
      </w:pPr>
      <w:r>
        <w:rPr>
          <w:rFonts w:ascii="Times New Roman" w:eastAsia="Calibri" w:hAnsi="Times New Roman" w:cs="Times New Roman"/>
        </w:rPr>
        <w:t xml:space="preserve"> </w:t>
      </w:r>
      <w:r w:rsidRPr="001F3AB3">
        <w:rPr>
          <w:rFonts w:ascii="Times New Roman" w:eastAsia="Calibri" w:hAnsi="Times New Roman" w:cs="Times New Roman"/>
          <w:i/>
        </w:rPr>
        <w:t>Fryett</w:t>
      </w:r>
      <w:r>
        <w:rPr>
          <w:rFonts w:ascii="Times New Roman" w:eastAsia="Calibri" w:hAnsi="Times New Roman" w:cs="Times New Roman"/>
        </w:rPr>
        <w:t xml:space="preserve"> and </w:t>
      </w:r>
      <w:r w:rsidRPr="001F3AB3">
        <w:rPr>
          <w:rFonts w:ascii="Times New Roman" w:eastAsia="Calibri" w:hAnsi="Times New Roman" w:cs="Times New Roman"/>
          <w:i/>
        </w:rPr>
        <w:t>Seldon</w:t>
      </w:r>
      <w:r w:rsidR="00DC5548">
        <w:rPr>
          <w:rFonts w:ascii="Times New Roman" w:eastAsia="Calibri" w:hAnsi="Times New Roman" w:cs="Times New Roman"/>
        </w:rPr>
        <w:t xml:space="preserve"> </w:t>
      </w:r>
      <w:r w:rsidR="00DC5548" w:rsidRPr="00B53A5A">
        <w:rPr>
          <w:rFonts w:ascii="Times New Roman" w:eastAsia="Calibri" w:hAnsi="Times New Roman" w:cs="Times New Roman"/>
        </w:rPr>
        <w:t xml:space="preserve">illustrate </w:t>
      </w:r>
      <w:r w:rsidR="00862FA6">
        <w:rPr>
          <w:rFonts w:ascii="Times New Roman" w:eastAsia="Calibri" w:hAnsi="Times New Roman" w:cs="Times New Roman"/>
        </w:rPr>
        <w:t>the extent to which</w:t>
      </w:r>
      <w:r w:rsidR="00DC5548" w:rsidRPr="00B53A5A">
        <w:rPr>
          <w:rFonts w:ascii="Times New Roman" w:eastAsia="Calibri" w:hAnsi="Times New Roman" w:cs="Times New Roman"/>
        </w:rPr>
        <w:t xml:space="preserve"> the </w:t>
      </w:r>
      <w:r w:rsidR="0096642B">
        <w:rPr>
          <w:rFonts w:ascii="Times New Roman" w:eastAsia="Calibri" w:hAnsi="Times New Roman" w:cs="Times New Roman"/>
        </w:rPr>
        <w:t>definition of direct age discrimination</w:t>
      </w:r>
      <w:r w:rsidR="00DC5548" w:rsidRPr="00B53A5A">
        <w:rPr>
          <w:rFonts w:ascii="Times New Roman" w:eastAsia="Calibri" w:hAnsi="Times New Roman" w:cs="Times New Roman"/>
        </w:rPr>
        <w:t xml:space="preserve"> gives ETs flexibility in judging whether </w:t>
      </w:r>
      <w:r w:rsidR="0096642B">
        <w:rPr>
          <w:rFonts w:ascii="Times New Roman" w:eastAsia="Calibri" w:hAnsi="Times New Roman" w:cs="Times New Roman"/>
        </w:rPr>
        <w:t>an</w:t>
      </w:r>
      <w:r w:rsidR="00DC5548" w:rsidRPr="00B53A5A">
        <w:rPr>
          <w:rFonts w:ascii="Times New Roman" w:eastAsia="Calibri" w:hAnsi="Times New Roman" w:cs="Times New Roman"/>
        </w:rPr>
        <w:t xml:space="preserve"> act is </w:t>
      </w:r>
      <w:r w:rsidR="0096642B">
        <w:rPr>
          <w:rFonts w:ascii="Times New Roman" w:eastAsia="Calibri" w:hAnsi="Times New Roman" w:cs="Times New Roman"/>
        </w:rPr>
        <w:t>unlawful direct age discrimination</w:t>
      </w:r>
      <w:r w:rsidR="00DC5548" w:rsidRPr="00B53A5A">
        <w:rPr>
          <w:rFonts w:ascii="Times New Roman" w:eastAsia="Calibri" w:hAnsi="Times New Roman" w:cs="Times New Roman"/>
        </w:rPr>
        <w:t xml:space="preserve">, resulting in the stereotyping not being tackled.  </w:t>
      </w:r>
      <w:r w:rsidR="00DC5548">
        <w:rPr>
          <w:rFonts w:ascii="Times New Roman" w:eastAsia="Calibri" w:hAnsi="Times New Roman" w:cs="Times New Roman"/>
        </w:rPr>
        <w:t>In the former case</w:t>
      </w:r>
      <w:r w:rsidR="0096642B">
        <w:rPr>
          <w:rFonts w:ascii="Times New Roman" w:eastAsia="Calibri" w:hAnsi="Times New Roman" w:cs="Times New Roman"/>
        </w:rPr>
        <w:t>,</w:t>
      </w:r>
      <w:r w:rsidR="00DC5548">
        <w:rPr>
          <w:rFonts w:ascii="Times New Roman" w:eastAsia="Calibri" w:hAnsi="Times New Roman" w:cs="Times New Roman"/>
        </w:rPr>
        <w:t xml:space="preserve"> the</w:t>
      </w:r>
      <w:r w:rsidR="00DC5548" w:rsidRPr="00B53A5A">
        <w:rPr>
          <w:rFonts w:ascii="Times New Roman" w:eastAsia="Calibri" w:hAnsi="Times New Roman" w:cs="Times New Roman"/>
        </w:rPr>
        <w:t xml:space="preserve"> em</w:t>
      </w:r>
      <w:r w:rsidR="00DC5548">
        <w:rPr>
          <w:rFonts w:ascii="Times New Roman" w:eastAsia="Calibri" w:hAnsi="Times New Roman" w:cs="Times New Roman"/>
        </w:rPr>
        <w:t>ployer assumed because of the c</w:t>
      </w:r>
      <w:r w:rsidR="00DC5548" w:rsidRPr="00B53A5A">
        <w:rPr>
          <w:rFonts w:ascii="Times New Roman" w:eastAsia="Calibri" w:hAnsi="Times New Roman" w:cs="Times New Roman"/>
        </w:rPr>
        <w:t xml:space="preserve">laimant's age, that she was tired and wanted to reduce her hours. </w:t>
      </w:r>
      <w:r w:rsidR="00DC5548">
        <w:rPr>
          <w:rFonts w:ascii="Times New Roman" w:eastAsia="Calibri" w:hAnsi="Times New Roman" w:cs="Times New Roman"/>
        </w:rPr>
        <w:t>However, t</w:t>
      </w:r>
      <w:r w:rsidR="00DC5548" w:rsidRPr="00B53A5A">
        <w:rPr>
          <w:rFonts w:ascii="Times New Roman" w:eastAsia="Calibri" w:hAnsi="Times New Roman" w:cs="Times New Roman"/>
        </w:rPr>
        <w:t xml:space="preserve">he ET considered that the employer </w:t>
      </w:r>
      <w:r w:rsidR="00D1077B">
        <w:rPr>
          <w:rFonts w:ascii="Times New Roman" w:eastAsia="Calibri" w:hAnsi="Times New Roman" w:cs="Times New Roman"/>
        </w:rPr>
        <w:t>acted out of concern about the c</w:t>
      </w:r>
      <w:r w:rsidR="00DC5548" w:rsidRPr="00B53A5A">
        <w:rPr>
          <w:rFonts w:ascii="Times New Roman" w:eastAsia="Calibri" w:hAnsi="Times New Roman" w:cs="Times New Roman"/>
        </w:rPr>
        <w:t xml:space="preserve">laimant's health and welfare. </w:t>
      </w:r>
      <w:r w:rsidR="00DC5548">
        <w:rPr>
          <w:rFonts w:ascii="Times New Roman" w:eastAsia="Calibri" w:hAnsi="Times New Roman" w:cs="Times New Roman"/>
        </w:rPr>
        <w:t xml:space="preserve">In the latter case </w:t>
      </w:r>
      <w:r w:rsidR="00DC5548" w:rsidRPr="00B53A5A">
        <w:rPr>
          <w:rFonts w:ascii="Times New Roman" w:eastAsia="Calibri" w:hAnsi="Times New Roman" w:cs="Times New Roman"/>
        </w:rPr>
        <w:t xml:space="preserve">the </w:t>
      </w:r>
      <w:r w:rsidR="00DC5548">
        <w:rPr>
          <w:rFonts w:ascii="Times New Roman" w:eastAsia="Calibri" w:hAnsi="Times New Roman" w:cs="Times New Roman"/>
        </w:rPr>
        <w:t>r</w:t>
      </w:r>
      <w:r w:rsidR="00DC5548" w:rsidRPr="00B53A5A">
        <w:rPr>
          <w:rFonts w:ascii="Times New Roman" w:hAnsi="Times New Roman" w:cs="Times New Roman"/>
        </w:rPr>
        <w:t xml:space="preserve">espondent law firm relied upon a number of aims, one of which was the </w:t>
      </w:r>
      <w:r w:rsidR="00DC5548">
        <w:rPr>
          <w:rFonts w:ascii="Times New Roman" w:hAnsi="Times New Roman" w:cs="Times New Roman"/>
        </w:rPr>
        <w:t xml:space="preserve">controversial </w:t>
      </w:r>
      <w:r w:rsidR="00DC5548" w:rsidRPr="00B53A5A">
        <w:rPr>
          <w:rFonts w:ascii="Times New Roman" w:hAnsi="Times New Roman" w:cs="Times New Roman"/>
        </w:rPr>
        <w:t>‘</w:t>
      </w:r>
      <w:r w:rsidR="00DC5548" w:rsidRPr="00B53A5A">
        <w:rPr>
          <w:rFonts w:ascii="Times New Roman" w:hAnsi="Times New Roman" w:cs="Times New Roman"/>
          <w:i/>
        </w:rPr>
        <w:t>dignity’</w:t>
      </w:r>
      <w:r w:rsidR="00DC5548" w:rsidRPr="00B53A5A">
        <w:rPr>
          <w:rFonts w:ascii="Times New Roman" w:hAnsi="Times New Roman" w:cs="Times New Roman"/>
        </w:rPr>
        <w:t xml:space="preserve"> aim. </w:t>
      </w:r>
      <w:r w:rsidR="00DC5548" w:rsidRPr="00B53A5A">
        <w:rPr>
          <w:rFonts w:ascii="Times New Roman" w:eastAsia="Calibri" w:hAnsi="Times New Roman" w:cs="Times New Roman"/>
        </w:rPr>
        <w:t xml:space="preserve">The argument </w:t>
      </w:r>
      <w:r w:rsidR="00DC5548">
        <w:rPr>
          <w:rFonts w:ascii="Times New Roman" w:eastAsia="Calibri" w:hAnsi="Times New Roman" w:cs="Times New Roman"/>
        </w:rPr>
        <w:t xml:space="preserve">made </w:t>
      </w:r>
      <w:r w:rsidR="00DC5548" w:rsidRPr="00B53A5A">
        <w:rPr>
          <w:rFonts w:ascii="Times New Roman" w:eastAsia="Calibri" w:hAnsi="Times New Roman" w:cs="Times New Roman"/>
        </w:rPr>
        <w:t xml:space="preserve">was that because an individual’s mental and/or physical capacity declines with age and having a retirement age avoids the need to performance manage that partner out of the workplace. </w:t>
      </w:r>
      <w:r w:rsidR="00DC5548">
        <w:rPr>
          <w:rFonts w:ascii="Times New Roman" w:eastAsia="Calibri" w:hAnsi="Times New Roman" w:cs="Times New Roman"/>
        </w:rPr>
        <w:t>No evidence was adduced by the r</w:t>
      </w:r>
      <w:r w:rsidR="00DC5548" w:rsidRPr="00B53A5A">
        <w:rPr>
          <w:rFonts w:ascii="Times New Roman" w:eastAsia="Calibri" w:hAnsi="Times New Roman" w:cs="Times New Roman"/>
        </w:rPr>
        <w:t>espondent that partners of around the age of 65 had particular diffi</w:t>
      </w:r>
      <w:r w:rsidR="00DC5548">
        <w:rPr>
          <w:rFonts w:ascii="Times New Roman" w:eastAsia="Calibri" w:hAnsi="Times New Roman" w:cs="Times New Roman"/>
        </w:rPr>
        <w:t>culties with their performance and t</w:t>
      </w:r>
      <w:r w:rsidR="00DC5548" w:rsidRPr="00B53A5A">
        <w:rPr>
          <w:rFonts w:ascii="Times New Roman" w:eastAsia="Calibri" w:hAnsi="Times New Roman" w:cs="Times New Roman"/>
        </w:rPr>
        <w:t>he ET considered that it was not unreasonable to link age and pe</w:t>
      </w:r>
      <w:r w:rsidR="00DC5548">
        <w:rPr>
          <w:rFonts w:ascii="Times New Roman" w:eastAsia="Calibri" w:hAnsi="Times New Roman" w:cs="Times New Roman"/>
        </w:rPr>
        <w:t>rformance</w:t>
      </w:r>
      <w:r w:rsidR="00EB105E">
        <w:rPr>
          <w:rFonts w:ascii="Times New Roman" w:eastAsia="Calibri" w:hAnsi="Times New Roman" w:cs="Times New Roman"/>
        </w:rPr>
        <w:t>:</w:t>
      </w:r>
    </w:p>
    <w:p w14:paraId="59188AF3" w14:textId="77777777" w:rsidR="00EB105E" w:rsidRPr="00B53A5A" w:rsidRDefault="00EB105E" w:rsidP="00EB105E">
      <w:pPr>
        <w:spacing w:after="0" w:line="240" w:lineRule="auto"/>
        <w:ind w:firstLine="720"/>
        <w:jc w:val="both"/>
        <w:rPr>
          <w:rFonts w:ascii="Times New Roman" w:eastAsia="Calibri" w:hAnsi="Times New Roman" w:cs="Times New Roman"/>
        </w:rPr>
      </w:pPr>
    </w:p>
    <w:p w14:paraId="1D977986" w14:textId="407756C1" w:rsidR="00DC5548" w:rsidRPr="00B53A5A" w:rsidRDefault="00DC5548" w:rsidP="00DC5548">
      <w:pPr>
        <w:spacing w:after="0" w:line="240" w:lineRule="auto"/>
        <w:ind w:left="1134"/>
        <w:contextualSpacing/>
        <w:jc w:val="both"/>
        <w:rPr>
          <w:rFonts w:ascii="Times New Roman" w:eastAsia="Calibri" w:hAnsi="Times New Roman" w:cs="Times New Roman"/>
        </w:rPr>
      </w:pPr>
      <w:r w:rsidRPr="00B53A5A">
        <w:rPr>
          <w:rFonts w:ascii="Times New Roman" w:eastAsia="Calibri" w:hAnsi="Times New Roman" w:cs="Times New Roman"/>
          <w:i/>
          <w:iCs/>
        </w:rPr>
        <w:t>It is also not unreasonable to assume that some partners who have reached the age of 65 are not able to make as great a contribution as they had done in the past. In the absence of a compulsory retirement age it will become necessary to confront such a person with his or her underperformance</w:t>
      </w:r>
      <w:r w:rsidR="00223320">
        <w:rPr>
          <w:rFonts w:ascii="Times New Roman" w:eastAsia="Calibri" w:hAnsi="Times New Roman" w:cs="Times New Roman"/>
          <w:iCs/>
        </w:rPr>
        <w:t>[7</w:t>
      </w:r>
      <w:r w:rsidR="00136556">
        <w:rPr>
          <w:rFonts w:ascii="Times New Roman" w:eastAsia="Calibri" w:hAnsi="Times New Roman" w:cs="Times New Roman"/>
          <w:iCs/>
        </w:rPr>
        <w:t>8</w:t>
      </w:r>
      <w:r w:rsidR="00D1077B">
        <w:rPr>
          <w:rFonts w:ascii="Times New Roman" w:eastAsia="Calibri" w:hAnsi="Times New Roman" w:cs="Times New Roman"/>
          <w:iCs/>
        </w:rPr>
        <w:t>]</w:t>
      </w:r>
      <w:r w:rsidRPr="00B53A5A">
        <w:rPr>
          <w:rFonts w:ascii="Times New Roman" w:eastAsia="Calibri" w:hAnsi="Times New Roman" w:cs="Times New Roman"/>
        </w:rPr>
        <w:t>.</w:t>
      </w:r>
    </w:p>
    <w:p w14:paraId="571DDD13" w14:textId="77777777" w:rsidR="00DC5548" w:rsidRPr="00B53A5A" w:rsidRDefault="00DC5548" w:rsidP="00DC5548">
      <w:pPr>
        <w:spacing w:after="0" w:line="240" w:lineRule="auto"/>
        <w:ind w:left="454"/>
        <w:jc w:val="both"/>
        <w:rPr>
          <w:rFonts w:ascii="Times New Roman" w:eastAsia="Calibri" w:hAnsi="Times New Roman" w:cs="Times New Roman"/>
        </w:rPr>
      </w:pPr>
    </w:p>
    <w:p w14:paraId="2FB7021D" w14:textId="3D47FBDC" w:rsidR="00374B26" w:rsidRDefault="00DC5548" w:rsidP="00374B26">
      <w:pPr>
        <w:spacing w:line="240" w:lineRule="auto"/>
        <w:contextualSpacing/>
        <w:jc w:val="both"/>
        <w:rPr>
          <w:rFonts w:ascii="Times New Roman" w:eastAsia="Calibri" w:hAnsi="Times New Roman" w:cs="Times New Roman"/>
        </w:rPr>
      </w:pPr>
      <w:r w:rsidRPr="00B53A5A">
        <w:rPr>
          <w:rFonts w:ascii="Times New Roman" w:eastAsia="Calibri" w:hAnsi="Times New Roman" w:cs="Times New Roman"/>
        </w:rPr>
        <w:t>The EAT, however, held that Mr Seldon had the right to say that there had been a stereotypical assumption that partners will, by the age of 65, be underperforming and therefore reliance upon the aim was not proportionate</w:t>
      </w:r>
      <w:r w:rsidR="00223320">
        <w:rPr>
          <w:rFonts w:ascii="Times New Roman" w:eastAsia="Calibri" w:hAnsi="Times New Roman" w:cs="Times New Roman"/>
        </w:rPr>
        <w:t>[7</w:t>
      </w:r>
      <w:r w:rsidR="00136556">
        <w:rPr>
          <w:rFonts w:ascii="Times New Roman" w:eastAsia="Calibri" w:hAnsi="Times New Roman" w:cs="Times New Roman"/>
        </w:rPr>
        <w:t>9</w:t>
      </w:r>
      <w:r w:rsidR="00D1077B">
        <w:rPr>
          <w:rFonts w:ascii="Times New Roman" w:eastAsia="Calibri" w:hAnsi="Times New Roman" w:cs="Times New Roman"/>
        </w:rPr>
        <w:t>]</w:t>
      </w:r>
      <w:r w:rsidRPr="00B53A5A">
        <w:rPr>
          <w:rFonts w:ascii="Times New Roman" w:eastAsia="Calibri" w:hAnsi="Times New Roman" w:cs="Times New Roman"/>
        </w:rPr>
        <w:t xml:space="preserve">. It is interesting, therefore, that the EAT acknowledged that there had been stereotyping by the law firm, a point </w:t>
      </w:r>
      <w:r>
        <w:rPr>
          <w:rFonts w:ascii="Times New Roman" w:eastAsia="Calibri" w:hAnsi="Times New Roman" w:cs="Times New Roman"/>
        </w:rPr>
        <w:t>the ET had not previously made.</w:t>
      </w:r>
    </w:p>
    <w:p w14:paraId="6C75BA57" w14:textId="0D960748" w:rsidR="002723A7" w:rsidRPr="00A80619" w:rsidRDefault="002723A7" w:rsidP="00A80619">
      <w:pPr>
        <w:spacing w:line="240" w:lineRule="auto"/>
        <w:ind w:firstLine="720"/>
        <w:contextualSpacing/>
        <w:jc w:val="both"/>
        <w:rPr>
          <w:rFonts w:ascii="Times New Roman" w:hAnsi="Times New Roman" w:cs="Times New Roman"/>
        </w:rPr>
      </w:pPr>
      <w:r>
        <w:rPr>
          <w:rFonts w:ascii="Times New Roman" w:eastAsia="Calibri" w:hAnsi="Times New Roman" w:cs="Times New Roman"/>
        </w:rPr>
        <w:t>The ‘</w:t>
      </w:r>
      <w:r>
        <w:rPr>
          <w:rFonts w:ascii="Times New Roman" w:eastAsia="Calibri" w:hAnsi="Times New Roman" w:cs="Times New Roman"/>
          <w:i/>
        </w:rPr>
        <w:t>dignity’</w:t>
      </w:r>
      <w:r>
        <w:rPr>
          <w:rFonts w:ascii="Times New Roman" w:eastAsia="Calibri" w:hAnsi="Times New Roman" w:cs="Times New Roman"/>
        </w:rPr>
        <w:t xml:space="preserve"> aim has been subject of academic criticism (Vickers and Manfredi, 2013) and</w:t>
      </w:r>
      <w:r w:rsidR="001C1B11">
        <w:rPr>
          <w:rFonts w:ascii="Times New Roman" w:eastAsia="Calibri" w:hAnsi="Times New Roman" w:cs="Times New Roman"/>
        </w:rPr>
        <w:t xml:space="preserve"> the acceptance of this aim as legitimate in a number of cases has endorsed age stereotyping as</w:t>
      </w:r>
      <w:r>
        <w:rPr>
          <w:rFonts w:ascii="Times New Roman" w:eastAsia="Calibri" w:hAnsi="Times New Roman" w:cs="Times New Roman"/>
        </w:rPr>
        <w:t xml:space="preserve"> it conflates age with capacity. </w:t>
      </w:r>
      <w:r>
        <w:rPr>
          <w:rFonts w:ascii="Times New Roman" w:hAnsi="Times New Roman" w:cs="Times New Roman"/>
        </w:rPr>
        <w:t xml:space="preserve">Hepple (2014) highlights that the legislation attempts to reconcile two conceptions of age inequality. The first being that age discrimination is </w:t>
      </w:r>
      <w:r w:rsidRPr="00FD31BA">
        <w:rPr>
          <w:rFonts w:ascii="Times New Roman" w:hAnsi="Times New Roman" w:cs="Times New Roman"/>
        </w:rPr>
        <w:t>wrong to individual dignity</w:t>
      </w:r>
      <w:r>
        <w:rPr>
          <w:rFonts w:ascii="Times New Roman" w:hAnsi="Times New Roman" w:cs="Times New Roman"/>
        </w:rPr>
        <w:t xml:space="preserve"> and the second being that it is a </w:t>
      </w:r>
      <w:r w:rsidR="00FD31BA">
        <w:rPr>
          <w:rFonts w:ascii="Times New Roman" w:hAnsi="Times New Roman" w:cs="Times New Roman"/>
        </w:rPr>
        <w:t>‘</w:t>
      </w:r>
      <w:r w:rsidRPr="00A80619">
        <w:rPr>
          <w:rFonts w:ascii="Times New Roman" w:hAnsi="Times New Roman" w:cs="Times New Roman"/>
          <w:i/>
        </w:rPr>
        <w:t>social wrong</w:t>
      </w:r>
      <w:r w:rsidR="00FD31BA" w:rsidRPr="00A80619">
        <w:rPr>
          <w:rFonts w:ascii="Times New Roman" w:hAnsi="Times New Roman" w:cs="Times New Roman"/>
          <w:i/>
        </w:rPr>
        <w:t xml:space="preserve"> to particular age groups</w:t>
      </w:r>
      <w:r w:rsidRPr="00A80619">
        <w:rPr>
          <w:rFonts w:ascii="Times New Roman" w:hAnsi="Times New Roman" w:cs="Times New Roman"/>
          <w:i/>
        </w:rPr>
        <w:t>, which must be balanced against the</w:t>
      </w:r>
      <w:r w:rsidR="00FD31BA" w:rsidRPr="00A80619">
        <w:rPr>
          <w:rFonts w:ascii="Times New Roman" w:hAnsi="Times New Roman" w:cs="Times New Roman"/>
          <w:i/>
        </w:rPr>
        <w:t xml:space="preserve"> rights and interests of others</w:t>
      </w:r>
      <w:r w:rsidR="00FD31BA">
        <w:rPr>
          <w:rFonts w:ascii="Times New Roman" w:hAnsi="Times New Roman" w:cs="Times New Roman"/>
        </w:rPr>
        <w:t>’</w:t>
      </w:r>
      <w:r>
        <w:rPr>
          <w:rFonts w:ascii="Times New Roman" w:hAnsi="Times New Roman" w:cs="Times New Roman"/>
        </w:rPr>
        <w:t xml:space="preserve"> </w:t>
      </w:r>
      <w:r w:rsidR="00FD31BA">
        <w:rPr>
          <w:rFonts w:ascii="Times New Roman" w:hAnsi="Times New Roman" w:cs="Times New Roman"/>
        </w:rPr>
        <w:t xml:space="preserve">(Hepple, 2014, </w:t>
      </w:r>
      <w:r w:rsidR="00C57974">
        <w:rPr>
          <w:rFonts w:ascii="Times New Roman" w:hAnsi="Times New Roman" w:cs="Times New Roman"/>
        </w:rPr>
        <w:t>p</w:t>
      </w:r>
      <w:r w:rsidR="00C246D1">
        <w:rPr>
          <w:rFonts w:ascii="Times New Roman" w:hAnsi="Times New Roman" w:cs="Times New Roman"/>
        </w:rPr>
        <w:t xml:space="preserve">38 and 39). </w:t>
      </w:r>
      <w:r w:rsidR="001C1B11">
        <w:rPr>
          <w:rFonts w:ascii="Times New Roman" w:hAnsi="Times New Roman" w:cs="Times New Roman"/>
        </w:rPr>
        <w:t>Adopting</w:t>
      </w:r>
      <w:r>
        <w:rPr>
          <w:rFonts w:ascii="Times New Roman" w:hAnsi="Times New Roman" w:cs="Times New Roman"/>
        </w:rPr>
        <w:t xml:space="preserve"> this second approach</w:t>
      </w:r>
      <w:r w:rsidR="00FD31BA">
        <w:rPr>
          <w:rFonts w:ascii="Times New Roman" w:hAnsi="Times New Roman" w:cs="Times New Roman"/>
        </w:rPr>
        <w:t>,</w:t>
      </w:r>
      <w:r>
        <w:rPr>
          <w:rFonts w:ascii="Times New Roman" w:hAnsi="Times New Roman" w:cs="Times New Roman"/>
        </w:rPr>
        <w:t xml:space="preserve"> the definition of direct age discrimination provides a ‘</w:t>
      </w:r>
      <w:r>
        <w:rPr>
          <w:rFonts w:ascii="Times New Roman" w:hAnsi="Times New Roman" w:cs="Times New Roman"/>
          <w:i/>
        </w:rPr>
        <w:t>mechanism for balancing competing interests’</w:t>
      </w:r>
      <w:r w:rsidR="00C57974">
        <w:rPr>
          <w:rFonts w:ascii="Times New Roman" w:hAnsi="Times New Roman" w:cs="Times New Roman"/>
        </w:rPr>
        <w:t xml:space="preserve"> (Hepple, 2014, p</w:t>
      </w:r>
      <w:r w:rsidR="0085583C">
        <w:rPr>
          <w:rFonts w:ascii="Times New Roman" w:hAnsi="Times New Roman" w:cs="Times New Roman"/>
        </w:rPr>
        <w:t>39)</w:t>
      </w:r>
      <w:r>
        <w:rPr>
          <w:rFonts w:ascii="Times New Roman" w:hAnsi="Times New Roman" w:cs="Times New Roman"/>
        </w:rPr>
        <w:t xml:space="preserve">. Competing interests include government social policy, </w:t>
      </w:r>
      <w:r w:rsidR="00C246D1">
        <w:rPr>
          <w:rFonts w:ascii="Times New Roman" w:hAnsi="Times New Roman" w:cs="Times New Roman"/>
        </w:rPr>
        <w:t xml:space="preserve">an employer’s </w:t>
      </w:r>
      <w:r>
        <w:rPr>
          <w:rFonts w:ascii="Times New Roman" w:hAnsi="Times New Roman" w:cs="Times New Roman"/>
        </w:rPr>
        <w:t xml:space="preserve">workforce planning needs and the interests of other disadvantaged groups such as women and younger workers. </w:t>
      </w:r>
      <w:r w:rsidR="001C1B11">
        <w:rPr>
          <w:rFonts w:ascii="Times New Roman" w:hAnsi="Times New Roman" w:cs="Times New Roman"/>
        </w:rPr>
        <w:t>I</w:t>
      </w:r>
      <w:r>
        <w:rPr>
          <w:rFonts w:ascii="Times New Roman" w:hAnsi="Times New Roman" w:cs="Times New Roman"/>
        </w:rPr>
        <w:t>t is difficult to see how the ‘</w:t>
      </w:r>
      <w:r>
        <w:rPr>
          <w:rFonts w:ascii="Times New Roman" w:hAnsi="Times New Roman" w:cs="Times New Roman"/>
          <w:i/>
        </w:rPr>
        <w:t>dignity’</w:t>
      </w:r>
      <w:r w:rsidR="00DE60BD">
        <w:rPr>
          <w:rFonts w:ascii="Times New Roman" w:hAnsi="Times New Roman" w:cs="Times New Roman"/>
        </w:rPr>
        <w:t xml:space="preserve"> aim achieves this balance. Furthermore t</w:t>
      </w:r>
      <w:r>
        <w:rPr>
          <w:rFonts w:ascii="Times New Roman" w:hAnsi="Times New Roman" w:cs="Times New Roman"/>
        </w:rPr>
        <w:t xml:space="preserve">he aim </w:t>
      </w:r>
      <w:r>
        <w:rPr>
          <w:rFonts w:ascii="Times New Roman" w:eastAsia="Calibri" w:hAnsi="Times New Roman" w:cs="Times New Roman"/>
        </w:rPr>
        <w:t>assumes that it is more dignified for an individual to be retired at a particular age rather than be subject to performance management, however it does not acknowledge the indignity experienced by</w:t>
      </w:r>
      <w:r>
        <w:rPr>
          <w:rFonts w:ascii="Times New Roman" w:hAnsi="Times New Roman" w:cs="Times New Roman"/>
        </w:rPr>
        <w:t xml:space="preserve"> individuals when they are forced to leave employment against their will. </w:t>
      </w:r>
    </w:p>
    <w:p w14:paraId="1AD8CEB5" w14:textId="469D9226" w:rsidR="0073619E" w:rsidRPr="00A80619" w:rsidRDefault="005B2F8A" w:rsidP="000A32A1">
      <w:pPr>
        <w:spacing w:line="240" w:lineRule="auto"/>
        <w:ind w:firstLine="720"/>
        <w:contextualSpacing/>
        <w:jc w:val="both"/>
        <w:rPr>
          <w:rFonts w:ascii="Times New Roman" w:hAnsi="Times New Roman" w:cs="Times New Roman"/>
        </w:rPr>
      </w:pPr>
      <w:r>
        <w:rPr>
          <w:rFonts w:ascii="Times New Roman" w:hAnsi="Times New Roman" w:cs="Times New Roman"/>
        </w:rPr>
        <w:t>It is important to highlight that t</w:t>
      </w:r>
      <w:r w:rsidR="00635C50">
        <w:rPr>
          <w:rFonts w:ascii="Times New Roman" w:hAnsi="Times New Roman" w:cs="Times New Roman"/>
        </w:rPr>
        <w:t xml:space="preserve">he case law of the </w:t>
      </w:r>
      <w:r w:rsidR="00051CD9">
        <w:rPr>
          <w:rFonts w:ascii="Times New Roman" w:hAnsi="Times New Roman" w:cs="Times New Roman"/>
        </w:rPr>
        <w:t xml:space="preserve">CJEU </w:t>
      </w:r>
      <w:r w:rsidR="00635C50">
        <w:rPr>
          <w:rFonts w:ascii="Times New Roman" w:hAnsi="Times New Roman" w:cs="Times New Roman"/>
        </w:rPr>
        <w:t xml:space="preserve">has been particularly influential upon the UK courts and ETs as to what may or may not be a legitimate aim. </w:t>
      </w:r>
      <w:r w:rsidR="00C57974">
        <w:rPr>
          <w:rFonts w:ascii="Times New Roman" w:hAnsi="Times New Roman" w:cs="Times New Roman"/>
        </w:rPr>
        <w:t>Indeed</w:t>
      </w:r>
      <w:r w:rsidR="00141CC5">
        <w:rPr>
          <w:rFonts w:ascii="Times New Roman" w:hAnsi="Times New Roman" w:cs="Times New Roman"/>
        </w:rPr>
        <w:t>, it</w:t>
      </w:r>
      <w:r w:rsidR="00635C50">
        <w:rPr>
          <w:rFonts w:ascii="Times New Roman" w:hAnsi="Times New Roman" w:cs="Times New Roman"/>
        </w:rPr>
        <w:t xml:space="preserve"> has </w:t>
      </w:r>
      <w:r w:rsidR="00136556">
        <w:rPr>
          <w:rFonts w:ascii="Times New Roman" w:hAnsi="Times New Roman" w:cs="Times New Roman"/>
        </w:rPr>
        <w:t xml:space="preserve">repeatedly </w:t>
      </w:r>
      <w:r w:rsidR="00635C50">
        <w:rPr>
          <w:rFonts w:ascii="Times New Roman" w:hAnsi="Times New Roman" w:cs="Times New Roman"/>
        </w:rPr>
        <w:t>held that the ‘</w:t>
      </w:r>
      <w:r w:rsidR="00635C50" w:rsidRPr="009960CE">
        <w:rPr>
          <w:rFonts w:ascii="Times New Roman" w:hAnsi="Times New Roman" w:cs="Times New Roman"/>
          <w:i/>
        </w:rPr>
        <w:t>dignity’</w:t>
      </w:r>
      <w:r w:rsidR="001C5EA9">
        <w:rPr>
          <w:rFonts w:ascii="Times New Roman" w:hAnsi="Times New Roman" w:cs="Times New Roman"/>
        </w:rPr>
        <w:t xml:space="preserve"> aim is legitimate</w:t>
      </w:r>
      <w:r w:rsidR="00081D89">
        <w:rPr>
          <w:rFonts w:ascii="Times New Roman" w:hAnsi="Times New Roman" w:cs="Times New Roman"/>
        </w:rPr>
        <w:t>[80</w:t>
      </w:r>
      <w:r w:rsidR="00635C50">
        <w:rPr>
          <w:rFonts w:ascii="Times New Roman" w:hAnsi="Times New Roman" w:cs="Times New Roman"/>
        </w:rPr>
        <w:t xml:space="preserve">]. </w:t>
      </w:r>
      <w:r w:rsidR="00223320" w:rsidRPr="00B53A5A">
        <w:rPr>
          <w:rFonts w:ascii="Times New Roman" w:eastAsia="Calibri" w:hAnsi="Times New Roman" w:cs="Times New Roman"/>
        </w:rPr>
        <w:t>However,</w:t>
      </w:r>
      <w:r w:rsidR="00DC5548" w:rsidRPr="00B53A5A">
        <w:rPr>
          <w:rFonts w:ascii="Times New Roman" w:eastAsia="Calibri" w:hAnsi="Times New Roman" w:cs="Times New Roman"/>
        </w:rPr>
        <w:t xml:space="preserve"> </w:t>
      </w:r>
      <w:r w:rsidR="00DC5548">
        <w:rPr>
          <w:rFonts w:ascii="Times New Roman" w:eastAsia="Calibri" w:hAnsi="Times New Roman" w:cs="Times New Roman"/>
        </w:rPr>
        <w:t xml:space="preserve">as the </w:t>
      </w:r>
      <w:r w:rsidR="00141CC5">
        <w:rPr>
          <w:rFonts w:ascii="Times New Roman" w:eastAsia="Calibri" w:hAnsi="Times New Roman" w:cs="Times New Roman"/>
        </w:rPr>
        <w:t xml:space="preserve">UK </w:t>
      </w:r>
      <w:r w:rsidR="00DC5548">
        <w:rPr>
          <w:rFonts w:ascii="Times New Roman" w:eastAsia="Calibri" w:hAnsi="Times New Roman" w:cs="Times New Roman"/>
        </w:rPr>
        <w:t>case law evolved the courts have tried</w:t>
      </w:r>
      <w:r w:rsidR="00DC5548" w:rsidRPr="00B53A5A">
        <w:rPr>
          <w:rFonts w:ascii="Times New Roman" w:eastAsia="Calibri" w:hAnsi="Times New Roman" w:cs="Times New Roman"/>
        </w:rPr>
        <w:t xml:space="preserve"> to rein in </w:t>
      </w:r>
      <w:r w:rsidR="00223320">
        <w:rPr>
          <w:rFonts w:ascii="Times New Roman" w:eastAsia="Calibri" w:hAnsi="Times New Roman" w:cs="Times New Roman"/>
        </w:rPr>
        <w:t>the</w:t>
      </w:r>
      <w:r w:rsidR="00DC5548" w:rsidRPr="00B53A5A">
        <w:rPr>
          <w:rFonts w:ascii="Times New Roman" w:eastAsia="Calibri" w:hAnsi="Times New Roman" w:cs="Times New Roman"/>
        </w:rPr>
        <w:t xml:space="preserve"> application</w:t>
      </w:r>
      <w:r w:rsidR="00223320">
        <w:rPr>
          <w:rFonts w:ascii="Times New Roman" w:eastAsia="Calibri" w:hAnsi="Times New Roman" w:cs="Times New Roman"/>
        </w:rPr>
        <w:t xml:space="preserve"> of this aim</w:t>
      </w:r>
      <w:r w:rsidR="00DC5548" w:rsidRPr="00B53A5A">
        <w:rPr>
          <w:rFonts w:ascii="Times New Roman" w:eastAsia="Calibri" w:hAnsi="Times New Roman" w:cs="Times New Roman"/>
        </w:rPr>
        <w:t xml:space="preserve">, in particular by the cautioning that </w:t>
      </w:r>
      <w:r w:rsidR="00DC5548">
        <w:rPr>
          <w:rFonts w:ascii="Times New Roman" w:eastAsia="Calibri" w:hAnsi="Times New Roman" w:cs="Times New Roman"/>
        </w:rPr>
        <w:t>reliance upon the aim</w:t>
      </w:r>
      <w:r w:rsidR="00DC5548" w:rsidRPr="00B53A5A">
        <w:rPr>
          <w:rFonts w:ascii="Times New Roman" w:eastAsia="Calibri" w:hAnsi="Times New Roman" w:cs="Times New Roman"/>
        </w:rPr>
        <w:t xml:space="preserve"> will not be </w:t>
      </w:r>
      <w:r w:rsidR="00DC5548">
        <w:rPr>
          <w:rFonts w:ascii="Times New Roman" w:eastAsia="Calibri" w:hAnsi="Times New Roman" w:cs="Times New Roman"/>
        </w:rPr>
        <w:t>proportionate</w:t>
      </w:r>
      <w:r w:rsidR="00DC5548" w:rsidRPr="00B53A5A">
        <w:rPr>
          <w:rFonts w:ascii="Times New Roman" w:eastAsia="Calibri" w:hAnsi="Times New Roman" w:cs="Times New Roman"/>
        </w:rPr>
        <w:t xml:space="preserve"> if the employer has a performance management system in place</w:t>
      </w:r>
      <w:r w:rsidR="0073619E">
        <w:rPr>
          <w:rFonts w:ascii="Times New Roman" w:eastAsia="Calibri" w:hAnsi="Times New Roman" w:cs="Times New Roman"/>
        </w:rPr>
        <w:t xml:space="preserve"> which employers would be well advised to have in any event.</w:t>
      </w:r>
      <w:r w:rsidR="00DC5548" w:rsidRPr="00B53A5A">
        <w:rPr>
          <w:rFonts w:ascii="Times New Roman" w:eastAsia="Calibri" w:hAnsi="Times New Roman" w:cs="Times New Roman"/>
        </w:rPr>
        <w:t xml:space="preserve"> The appeal decisions in </w:t>
      </w:r>
      <w:r w:rsidR="00DC5548" w:rsidRPr="00B53A5A">
        <w:rPr>
          <w:rFonts w:ascii="Times New Roman" w:eastAsia="Calibri" w:hAnsi="Times New Roman" w:cs="Times New Roman"/>
          <w:i/>
        </w:rPr>
        <w:t xml:space="preserve">Seldon </w:t>
      </w:r>
      <w:r w:rsidR="00DC5548" w:rsidRPr="00B53A5A">
        <w:rPr>
          <w:rFonts w:ascii="Times New Roman" w:eastAsia="Calibri" w:hAnsi="Times New Roman" w:cs="Times New Roman"/>
        </w:rPr>
        <w:t xml:space="preserve">demonstrate that the ETs and courts are conscious of the risk and </w:t>
      </w:r>
      <w:r w:rsidR="00835FA3">
        <w:rPr>
          <w:rFonts w:ascii="Times New Roman" w:eastAsia="Calibri" w:hAnsi="Times New Roman" w:cs="Times New Roman"/>
        </w:rPr>
        <w:t xml:space="preserve">will </w:t>
      </w:r>
      <w:r w:rsidR="00DC5548" w:rsidRPr="00225A1F">
        <w:rPr>
          <w:rFonts w:ascii="Times New Roman" w:eastAsia="Calibri" w:hAnsi="Times New Roman" w:cs="Times New Roman"/>
        </w:rPr>
        <w:t xml:space="preserve">try not to allow </w:t>
      </w:r>
      <w:r w:rsidR="0096642B">
        <w:rPr>
          <w:rFonts w:ascii="Times New Roman" w:eastAsia="Calibri" w:hAnsi="Times New Roman" w:cs="Times New Roman"/>
        </w:rPr>
        <w:t>reliance upon a legitimate aim</w:t>
      </w:r>
      <w:r w:rsidR="0096642B" w:rsidRPr="00225A1F">
        <w:rPr>
          <w:rFonts w:ascii="Times New Roman" w:eastAsia="Calibri" w:hAnsi="Times New Roman" w:cs="Times New Roman"/>
        </w:rPr>
        <w:t xml:space="preserve"> </w:t>
      </w:r>
      <w:r w:rsidR="00DC5548" w:rsidRPr="00225A1F">
        <w:rPr>
          <w:rFonts w:ascii="Times New Roman" w:eastAsia="Calibri" w:hAnsi="Times New Roman" w:cs="Times New Roman"/>
        </w:rPr>
        <w:t xml:space="preserve"> to mask age stereotyping</w:t>
      </w:r>
      <w:r w:rsidR="003A19CE">
        <w:rPr>
          <w:rFonts w:ascii="Times New Roman" w:eastAsia="Calibri" w:hAnsi="Times New Roman" w:cs="Times New Roman"/>
        </w:rPr>
        <w:t>.</w:t>
      </w:r>
      <w:r w:rsidR="00DC5548" w:rsidRPr="00225A1F">
        <w:rPr>
          <w:rFonts w:ascii="Times New Roman" w:eastAsia="Calibri" w:hAnsi="Times New Roman" w:cs="Times New Roman"/>
        </w:rPr>
        <w:t xml:space="preserve"> Lady Hale in the Supreme Court acknowledged that the assumptions underlying the </w:t>
      </w:r>
      <w:r w:rsidR="00DC5548" w:rsidRPr="00225A1F">
        <w:rPr>
          <w:rFonts w:ascii="Times New Roman" w:eastAsia="Calibri" w:hAnsi="Times New Roman" w:cs="Times New Roman"/>
          <w:i/>
        </w:rPr>
        <w:t>'dignity'</w:t>
      </w:r>
      <w:r w:rsidR="00DC5548" w:rsidRPr="00225A1F">
        <w:rPr>
          <w:rFonts w:ascii="Times New Roman" w:eastAsia="Calibri" w:hAnsi="Times New Roman" w:cs="Times New Roman"/>
        </w:rPr>
        <w:t xml:space="preserve"> aim look '</w:t>
      </w:r>
      <w:r w:rsidR="00DC5548">
        <w:rPr>
          <w:rFonts w:ascii="Times New Roman" w:eastAsia="Calibri" w:hAnsi="Times New Roman" w:cs="Times New Roman"/>
          <w:i/>
        </w:rPr>
        <w:t>suspiciously like stereotyping</w:t>
      </w:r>
      <w:r w:rsidR="004A295E">
        <w:rPr>
          <w:rFonts w:ascii="Times New Roman" w:eastAsia="Calibri" w:hAnsi="Times New Roman" w:cs="Times New Roman"/>
          <w:i/>
        </w:rPr>
        <w:t>'</w:t>
      </w:r>
      <w:r w:rsidR="00110058">
        <w:rPr>
          <w:rFonts w:ascii="Times New Roman" w:eastAsia="Calibri" w:hAnsi="Times New Roman" w:cs="Times New Roman"/>
        </w:rPr>
        <w:t>[</w:t>
      </w:r>
      <w:r w:rsidR="00081D89">
        <w:rPr>
          <w:rFonts w:ascii="Times New Roman" w:eastAsia="Calibri" w:hAnsi="Times New Roman" w:cs="Times New Roman"/>
        </w:rPr>
        <w:t>81</w:t>
      </w:r>
      <w:r w:rsidR="00D1077B" w:rsidRPr="00D1077B">
        <w:rPr>
          <w:rFonts w:ascii="Times New Roman" w:eastAsia="Calibri" w:hAnsi="Times New Roman" w:cs="Times New Roman"/>
        </w:rPr>
        <w:t>]</w:t>
      </w:r>
      <w:r w:rsidR="00000DB2">
        <w:rPr>
          <w:rFonts w:ascii="Times New Roman" w:eastAsia="Calibri" w:hAnsi="Times New Roman" w:cs="Times New Roman"/>
        </w:rPr>
        <w:t>.</w:t>
      </w:r>
      <w:r w:rsidR="00D1077B">
        <w:rPr>
          <w:rFonts w:ascii="Times New Roman" w:eastAsia="Calibri" w:hAnsi="Times New Roman" w:cs="Times New Roman"/>
          <w:i/>
        </w:rPr>
        <w:t xml:space="preserve"> </w:t>
      </w:r>
      <w:r w:rsidR="00DC5548" w:rsidRPr="00225A1F">
        <w:rPr>
          <w:rFonts w:ascii="Times New Roman" w:eastAsia="Calibri" w:hAnsi="Times New Roman" w:cs="Times New Roman"/>
        </w:rPr>
        <w:t>She gave the example that ‘</w:t>
      </w:r>
      <w:r w:rsidR="00DC5548" w:rsidRPr="00225A1F">
        <w:rPr>
          <w:rFonts w:ascii="Times New Roman" w:eastAsia="Calibri" w:hAnsi="Times New Roman" w:cs="Times New Roman"/>
          <w:i/>
          <w:iCs/>
        </w:rPr>
        <w:t>most women are less physically strong than most men’</w:t>
      </w:r>
      <w:r w:rsidR="00110058">
        <w:rPr>
          <w:rFonts w:ascii="Times New Roman" w:eastAsia="Calibri" w:hAnsi="Times New Roman" w:cs="Times New Roman"/>
        </w:rPr>
        <w:t>[8</w:t>
      </w:r>
      <w:r w:rsidR="00081D89">
        <w:rPr>
          <w:rFonts w:ascii="Times New Roman" w:eastAsia="Calibri" w:hAnsi="Times New Roman" w:cs="Times New Roman"/>
        </w:rPr>
        <w:t>2</w:t>
      </w:r>
      <w:r w:rsidR="00D1077B">
        <w:rPr>
          <w:rFonts w:ascii="Times New Roman" w:eastAsia="Calibri" w:hAnsi="Times New Roman" w:cs="Times New Roman"/>
        </w:rPr>
        <w:t>] a</w:t>
      </w:r>
      <w:r w:rsidR="00DC5548" w:rsidRPr="00225A1F">
        <w:rPr>
          <w:rFonts w:ascii="Times New Roman" w:eastAsia="Calibri" w:hAnsi="Times New Roman" w:cs="Times New Roman"/>
        </w:rPr>
        <w:t xml:space="preserve">nd this does not justify refusing a job to a woman applicant based upon this stereotypical assumption. </w:t>
      </w:r>
      <w:r w:rsidR="00223320" w:rsidRPr="00225A1F">
        <w:rPr>
          <w:rFonts w:ascii="Times New Roman" w:eastAsia="Calibri" w:hAnsi="Times New Roman" w:cs="Times New Roman"/>
        </w:rPr>
        <w:t>However,</w:t>
      </w:r>
      <w:r w:rsidR="00DC5548" w:rsidRPr="00225A1F">
        <w:rPr>
          <w:rFonts w:ascii="Times New Roman" w:eastAsia="Calibri" w:hAnsi="Times New Roman" w:cs="Times New Roman"/>
        </w:rPr>
        <w:t xml:space="preserve"> she deferred to the higher authority of Europe</w:t>
      </w:r>
      <w:r w:rsidR="00110058">
        <w:rPr>
          <w:rFonts w:ascii="Times New Roman" w:eastAsia="Calibri" w:hAnsi="Times New Roman" w:cs="Times New Roman"/>
        </w:rPr>
        <w:t>[8</w:t>
      </w:r>
      <w:r w:rsidR="00081D89">
        <w:rPr>
          <w:rFonts w:ascii="Times New Roman" w:eastAsia="Calibri" w:hAnsi="Times New Roman" w:cs="Times New Roman"/>
        </w:rPr>
        <w:t>3</w:t>
      </w:r>
      <w:r w:rsidR="00110058">
        <w:rPr>
          <w:rFonts w:ascii="Times New Roman" w:eastAsia="Calibri" w:hAnsi="Times New Roman" w:cs="Times New Roman"/>
        </w:rPr>
        <w:t>]</w:t>
      </w:r>
      <w:r w:rsidR="00DC5548" w:rsidRPr="00225A1F">
        <w:rPr>
          <w:rFonts w:ascii="Times New Roman" w:eastAsia="Calibri" w:hAnsi="Times New Roman" w:cs="Times New Roman"/>
        </w:rPr>
        <w:t xml:space="preserve"> and acknowledged that the CJEU had approved the aim as legitimate in principle.</w:t>
      </w:r>
      <w:r w:rsidR="00DC5548" w:rsidRPr="00B53A5A">
        <w:rPr>
          <w:rFonts w:ascii="Times New Roman" w:eastAsia="Calibri" w:hAnsi="Times New Roman" w:cs="Times New Roman"/>
        </w:rPr>
        <w:t xml:space="preserve"> </w:t>
      </w:r>
      <w:r w:rsidR="004A295E">
        <w:rPr>
          <w:rFonts w:ascii="Times New Roman" w:eastAsia="Calibri" w:hAnsi="Times New Roman" w:cs="Times New Roman"/>
        </w:rPr>
        <w:t>Lady Hale also cautioned that there</w:t>
      </w:r>
      <w:r w:rsidR="00DC5548" w:rsidRPr="00B53A5A">
        <w:rPr>
          <w:rFonts w:ascii="Times New Roman" w:eastAsia="Calibri" w:hAnsi="Times New Roman" w:cs="Times New Roman"/>
        </w:rPr>
        <w:t xml:space="preserve"> must</w:t>
      </w:r>
      <w:r w:rsidR="0073619E">
        <w:rPr>
          <w:rFonts w:ascii="Times New Roman" w:eastAsia="Calibri" w:hAnsi="Times New Roman" w:cs="Times New Roman"/>
        </w:rPr>
        <w:t xml:space="preserve"> </w:t>
      </w:r>
      <w:r w:rsidR="00DC5548" w:rsidRPr="00B53A5A">
        <w:rPr>
          <w:rFonts w:ascii="Times New Roman" w:eastAsia="Calibri" w:hAnsi="Times New Roman" w:cs="Times New Roman"/>
        </w:rPr>
        <w:t xml:space="preserve">be an evidential basis for assuming that performance would diminish at the age of 65 for there to be a need for a retirement age of 65. </w:t>
      </w:r>
    </w:p>
    <w:p w14:paraId="0A7EA3C3" w14:textId="66C36413" w:rsidR="00374B26" w:rsidRDefault="00DC5548" w:rsidP="00374B26">
      <w:pPr>
        <w:spacing w:line="240" w:lineRule="auto"/>
        <w:ind w:firstLine="720"/>
        <w:contextualSpacing/>
        <w:jc w:val="both"/>
        <w:rPr>
          <w:rFonts w:ascii="Times New Roman" w:eastAsia="Calibri" w:hAnsi="Times New Roman" w:cs="Times New Roman"/>
        </w:rPr>
      </w:pPr>
      <w:r w:rsidRPr="00B53A5A">
        <w:rPr>
          <w:rFonts w:ascii="Times New Roman" w:eastAsia="Calibri" w:hAnsi="Times New Roman" w:cs="Times New Roman"/>
          <w:i/>
        </w:rPr>
        <w:t>Seldon</w:t>
      </w:r>
      <w:r w:rsidRPr="00B53A5A">
        <w:rPr>
          <w:rFonts w:ascii="Times New Roman" w:eastAsia="Calibri" w:hAnsi="Times New Roman" w:cs="Times New Roman"/>
        </w:rPr>
        <w:t xml:space="preserve"> must </w:t>
      </w:r>
      <w:r w:rsidR="008013C4">
        <w:rPr>
          <w:rFonts w:ascii="Times New Roman" w:eastAsia="Calibri" w:hAnsi="Times New Roman" w:cs="Times New Roman"/>
        </w:rPr>
        <w:t>be considered</w:t>
      </w:r>
      <w:r w:rsidRPr="00B53A5A">
        <w:rPr>
          <w:rFonts w:ascii="Times New Roman" w:eastAsia="Calibri" w:hAnsi="Times New Roman" w:cs="Times New Roman"/>
        </w:rPr>
        <w:t xml:space="preserve"> in the social context </w:t>
      </w:r>
      <w:r w:rsidR="008013C4">
        <w:rPr>
          <w:rFonts w:ascii="Times New Roman" w:eastAsia="Calibri" w:hAnsi="Times New Roman" w:cs="Times New Roman"/>
        </w:rPr>
        <w:t>at the time of the judgment</w:t>
      </w:r>
      <w:r w:rsidRPr="00B53A5A">
        <w:rPr>
          <w:rFonts w:ascii="Times New Roman" w:eastAsia="Calibri" w:hAnsi="Times New Roman" w:cs="Times New Roman"/>
        </w:rPr>
        <w:t xml:space="preserve">. </w:t>
      </w:r>
      <w:r w:rsidR="008013C4">
        <w:rPr>
          <w:rFonts w:ascii="Times New Roman" w:eastAsia="Calibri" w:hAnsi="Times New Roman" w:cs="Times New Roman"/>
        </w:rPr>
        <w:t>In particular,</w:t>
      </w:r>
      <w:r w:rsidR="008013C4" w:rsidRPr="00B53A5A">
        <w:rPr>
          <w:rFonts w:ascii="Times New Roman" w:eastAsia="Calibri" w:hAnsi="Times New Roman" w:cs="Times New Roman"/>
        </w:rPr>
        <w:t xml:space="preserve"> </w:t>
      </w:r>
      <w:r w:rsidRPr="00B53A5A">
        <w:rPr>
          <w:rFonts w:ascii="Times New Roman" w:eastAsia="Calibri" w:hAnsi="Times New Roman" w:cs="Times New Roman"/>
        </w:rPr>
        <w:t xml:space="preserve">it was </w:t>
      </w:r>
      <w:r w:rsidR="00000DB2">
        <w:rPr>
          <w:rFonts w:ascii="Times New Roman" w:eastAsia="Calibri" w:hAnsi="Times New Roman" w:cs="Times New Roman"/>
        </w:rPr>
        <w:t xml:space="preserve">decided </w:t>
      </w:r>
      <w:r w:rsidRPr="00B53A5A">
        <w:rPr>
          <w:rFonts w:ascii="Times New Roman" w:eastAsia="Calibri" w:hAnsi="Times New Roman" w:cs="Times New Roman"/>
        </w:rPr>
        <w:t>when the former default retirement age of 65 was in force, which was considered at that time to be an appropriate retirement age and this public policy influenced the courts</w:t>
      </w:r>
      <w:r w:rsidR="008013C4">
        <w:rPr>
          <w:rFonts w:ascii="Times New Roman" w:eastAsia="Calibri" w:hAnsi="Times New Roman" w:cs="Times New Roman"/>
        </w:rPr>
        <w:t xml:space="preserve">. </w:t>
      </w:r>
      <w:r w:rsidR="00000DB2">
        <w:rPr>
          <w:rFonts w:ascii="Times New Roman" w:eastAsia="Calibri" w:hAnsi="Times New Roman" w:cs="Times New Roman"/>
        </w:rPr>
        <w:t>Nonetheless</w:t>
      </w:r>
      <w:r w:rsidR="00627D2A">
        <w:rPr>
          <w:rFonts w:ascii="Times New Roman" w:eastAsia="Calibri" w:hAnsi="Times New Roman" w:cs="Times New Roman"/>
        </w:rPr>
        <w:t>,</w:t>
      </w:r>
      <w:r w:rsidR="00000DB2">
        <w:rPr>
          <w:rFonts w:ascii="Times New Roman" w:eastAsia="Calibri" w:hAnsi="Times New Roman" w:cs="Times New Roman"/>
        </w:rPr>
        <w:t xml:space="preserve"> </w:t>
      </w:r>
      <w:r w:rsidR="00000DB2" w:rsidRPr="00624902">
        <w:rPr>
          <w:rFonts w:ascii="Times New Roman" w:eastAsia="Calibri" w:hAnsi="Times New Roman" w:cs="Times New Roman"/>
          <w:i/>
        </w:rPr>
        <w:t>Seldon</w:t>
      </w:r>
      <w:r>
        <w:rPr>
          <w:rFonts w:ascii="Times New Roman" w:eastAsia="Calibri" w:hAnsi="Times New Roman" w:cs="Times New Roman"/>
        </w:rPr>
        <w:t xml:space="preserve"> is important for future cases in </w:t>
      </w:r>
      <w:r w:rsidRPr="009B104B">
        <w:rPr>
          <w:rFonts w:ascii="Times New Roman" w:eastAsia="Calibri" w:hAnsi="Times New Roman" w:cs="Times New Roman"/>
        </w:rPr>
        <w:t>reining in</w:t>
      </w:r>
      <w:r>
        <w:rPr>
          <w:rFonts w:ascii="Times New Roman" w:eastAsia="Calibri" w:hAnsi="Times New Roman" w:cs="Times New Roman"/>
        </w:rPr>
        <w:t xml:space="preserve"> the application of </w:t>
      </w:r>
      <w:r w:rsidR="00D1077B">
        <w:rPr>
          <w:rFonts w:ascii="Times New Roman" w:eastAsia="Calibri" w:hAnsi="Times New Roman" w:cs="Times New Roman"/>
        </w:rPr>
        <w:t>this controversial</w:t>
      </w:r>
      <w:r>
        <w:rPr>
          <w:rFonts w:ascii="Times New Roman" w:eastAsia="Calibri" w:hAnsi="Times New Roman" w:cs="Times New Roman"/>
        </w:rPr>
        <w:t xml:space="preserve"> aim. </w:t>
      </w:r>
      <w:r>
        <w:rPr>
          <w:rFonts w:ascii="Times New Roman" w:hAnsi="Times New Roman" w:cs="Times New Roman"/>
        </w:rPr>
        <w:t xml:space="preserve">Lending support to </w:t>
      </w:r>
      <w:r w:rsidR="00000DB2">
        <w:rPr>
          <w:rFonts w:ascii="Times New Roman" w:hAnsi="Times New Roman" w:cs="Times New Roman"/>
        </w:rPr>
        <w:t>this proposition</w:t>
      </w:r>
      <w:r>
        <w:rPr>
          <w:rFonts w:ascii="Times New Roman" w:hAnsi="Times New Roman" w:cs="Times New Roman"/>
        </w:rPr>
        <w:t xml:space="preserve"> is </w:t>
      </w:r>
      <w:r w:rsidRPr="00B53A5A">
        <w:rPr>
          <w:rFonts w:ascii="Times New Roman" w:hAnsi="Times New Roman" w:cs="Times New Roman"/>
        </w:rPr>
        <w:t xml:space="preserve">the </w:t>
      </w:r>
      <w:r>
        <w:rPr>
          <w:rFonts w:ascii="Times New Roman" w:hAnsi="Times New Roman" w:cs="Times New Roman"/>
        </w:rPr>
        <w:t>case of</w:t>
      </w:r>
      <w:r w:rsidRPr="00B53A5A">
        <w:rPr>
          <w:rFonts w:ascii="Times New Roman" w:hAnsi="Times New Roman" w:cs="Times New Roman"/>
        </w:rPr>
        <w:t xml:space="preserve"> </w:t>
      </w:r>
      <w:r w:rsidRPr="00B53A5A">
        <w:rPr>
          <w:rFonts w:ascii="Times New Roman" w:hAnsi="Times New Roman" w:cs="Times New Roman"/>
          <w:i/>
        </w:rPr>
        <w:t>Engel</w:t>
      </w:r>
      <w:r w:rsidRPr="00B53A5A">
        <w:rPr>
          <w:rFonts w:ascii="Times New Roman" w:hAnsi="Times New Roman" w:cs="Times New Roman"/>
        </w:rPr>
        <w:t xml:space="preserve"> </w:t>
      </w:r>
      <w:r>
        <w:rPr>
          <w:rFonts w:ascii="Times New Roman" w:hAnsi="Times New Roman" w:cs="Times New Roman"/>
        </w:rPr>
        <w:t xml:space="preserve">where the ET </w:t>
      </w:r>
      <w:r w:rsidRPr="00B53A5A">
        <w:rPr>
          <w:rFonts w:ascii="Times New Roman" w:hAnsi="Times New Roman" w:cs="Times New Roman"/>
        </w:rPr>
        <w:t>reluctantly accepted th</w:t>
      </w:r>
      <w:r>
        <w:rPr>
          <w:rFonts w:ascii="Times New Roman" w:hAnsi="Times New Roman" w:cs="Times New Roman"/>
        </w:rPr>
        <w:t>e aim as pote</w:t>
      </w:r>
      <w:r w:rsidR="004A295E">
        <w:rPr>
          <w:rFonts w:ascii="Times New Roman" w:hAnsi="Times New Roman" w:cs="Times New Roman"/>
        </w:rPr>
        <w:t>ntially legitimate however the r</w:t>
      </w:r>
      <w:r w:rsidRPr="00B53A5A">
        <w:rPr>
          <w:rFonts w:ascii="Times New Roman" w:hAnsi="Times New Roman" w:cs="Times New Roman"/>
        </w:rPr>
        <w:t xml:space="preserve">espondent's retirement age of 70 failed the proportionality stage. It failed due to the lack of evidence to support why the age of 70 was appropriate in the circumstances. This case demonstrates </w:t>
      </w:r>
      <w:r w:rsidR="00795234">
        <w:rPr>
          <w:rFonts w:ascii="Times New Roman" w:hAnsi="Times New Roman" w:cs="Times New Roman"/>
        </w:rPr>
        <w:t>the extent to which</w:t>
      </w:r>
      <w:r w:rsidRPr="00B53A5A">
        <w:rPr>
          <w:rFonts w:ascii="Times New Roman" w:hAnsi="Times New Roman" w:cs="Times New Roman"/>
        </w:rPr>
        <w:t xml:space="preserve"> the prohibition against age discrimination has </w:t>
      </w:r>
      <w:r w:rsidR="008013C4">
        <w:rPr>
          <w:rFonts w:ascii="Times New Roman" w:hAnsi="Times New Roman" w:cs="Times New Roman"/>
        </w:rPr>
        <w:t>evolved</w:t>
      </w:r>
      <w:r w:rsidRPr="00B53A5A">
        <w:rPr>
          <w:rFonts w:ascii="Times New Roman" w:hAnsi="Times New Roman" w:cs="Times New Roman"/>
        </w:rPr>
        <w:t>.</w:t>
      </w:r>
      <w:r w:rsidRPr="00B53A5A">
        <w:rPr>
          <w:rFonts w:ascii="Times New Roman" w:eastAsia="Calibri" w:hAnsi="Times New Roman" w:cs="Times New Roman"/>
        </w:rPr>
        <w:t xml:space="preserve"> The ET considered the retirement age of 70 was not proportionate, acknowledging that it would have been easy for it to ‘</w:t>
      </w:r>
      <w:r>
        <w:rPr>
          <w:rFonts w:ascii="Times New Roman" w:eastAsia="Calibri" w:hAnsi="Times New Roman" w:cs="Times New Roman"/>
          <w:i/>
        </w:rPr>
        <w:t>fall into the trap</w:t>
      </w:r>
      <w:r>
        <w:rPr>
          <w:rFonts w:ascii="Times New Roman" w:eastAsia="Calibri" w:hAnsi="Times New Roman" w:cs="Times New Roman"/>
          <w:vertAlign w:val="superscript"/>
        </w:rPr>
        <w:t>’</w:t>
      </w:r>
      <w:r w:rsidR="00110058">
        <w:rPr>
          <w:rFonts w:ascii="Times New Roman" w:eastAsia="Calibri" w:hAnsi="Times New Roman" w:cs="Times New Roman"/>
        </w:rPr>
        <w:t>[8</w:t>
      </w:r>
      <w:r w:rsidR="00081D89">
        <w:rPr>
          <w:rFonts w:ascii="Times New Roman" w:eastAsia="Calibri" w:hAnsi="Times New Roman" w:cs="Times New Roman"/>
        </w:rPr>
        <w:t>4</w:t>
      </w:r>
      <w:r w:rsidR="004A295E">
        <w:rPr>
          <w:rFonts w:ascii="Times New Roman" w:eastAsia="Calibri" w:hAnsi="Times New Roman" w:cs="Times New Roman"/>
        </w:rPr>
        <w:t xml:space="preserve">] </w:t>
      </w:r>
      <w:r w:rsidRPr="00B53A5A">
        <w:rPr>
          <w:rFonts w:ascii="Times New Roman" w:eastAsia="Calibri" w:hAnsi="Times New Roman" w:cs="Times New Roman"/>
        </w:rPr>
        <w:t xml:space="preserve">of considering it an appropriate age given it is five years older than the former default retirement age. </w:t>
      </w:r>
    </w:p>
    <w:p w14:paraId="375D378C" w14:textId="7B753FBE" w:rsidR="00DC5548" w:rsidRPr="0073619E" w:rsidRDefault="004A295E" w:rsidP="00374B26">
      <w:pPr>
        <w:spacing w:line="240" w:lineRule="auto"/>
        <w:ind w:firstLine="720"/>
        <w:contextualSpacing/>
        <w:jc w:val="both"/>
        <w:rPr>
          <w:rFonts w:ascii="Times New Roman" w:eastAsia="Calibri" w:hAnsi="Times New Roman" w:cs="Times New Roman"/>
        </w:rPr>
      </w:pPr>
      <w:r>
        <w:rPr>
          <w:rFonts w:ascii="Times New Roman" w:eastAsia="Calibri" w:hAnsi="Times New Roman" w:cs="Times New Roman"/>
        </w:rPr>
        <w:t>Furthermore, in</w:t>
      </w:r>
      <w:r w:rsidR="00DC5548">
        <w:rPr>
          <w:rFonts w:ascii="Times New Roman" w:eastAsia="Calibri" w:hAnsi="Times New Roman" w:cs="Times New Roman"/>
        </w:rPr>
        <w:t xml:space="preserve"> the more recent case of</w:t>
      </w:r>
      <w:r w:rsidR="00DC5548" w:rsidRPr="00B53A5A">
        <w:rPr>
          <w:rFonts w:ascii="Times New Roman" w:eastAsia="Calibri" w:hAnsi="Times New Roman" w:cs="Times New Roman"/>
        </w:rPr>
        <w:t xml:space="preserve"> </w:t>
      </w:r>
      <w:r w:rsidR="00DC5548" w:rsidRPr="00B53A5A">
        <w:rPr>
          <w:rFonts w:ascii="Times New Roman" w:eastAsia="Calibri" w:hAnsi="Times New Roman" w:cs="Times New Roman"/>
          <w:i/>
        </w:rPr>
        <w:t>Willey and Sharpe v England and Wales Cricket Board Limited</w:t>
      </w:r>
      <w:r w:rsidR="00110058">
        <w:rPr>
          <w:rFonts w:ascii="Times New Roman" w:eastAsia="Calibri" w:hAnsi="Times New Roman" w:cs="Times New Roman"/>
        </w:rPr>
        <w:t>[8</w:t>
      </w:r>
      <w:r w:rsidR="00081D89">
        <w:rPr>
          <w:rFonts w:ascii="Times New Roman" w:eastAsia="Calibri" w:hAnsi="Times New Roman" w:cs="Times New Roman"/>
        </w:rPr>
        <w:t>5</w:t>
      </w:r>
      <w:r w:rsidR="0073619E" w:rsidRPr="0073619E">
        <w:rPr>
          <w:rFonts w:ascii="Times New Roman" w:eastAsia="Calibri" w:hAnsi="Times New Roman" w:cs="Times New Roman"/>
        </w:rPr>
        <w:t>]</w:t>
      </w:r>
      <w:r w:rsidR="00DC5548" w:rsidRPr="00B53A5A">
        <w:rPr>
          <w:rFonts w:ascii="Times New Roman" w:eastAsia="Calibri" w:hAnsi="Times New Roman" w:cs="Times New Roman"/>
        </w:rPr>
        <w:t xml:space="preserve"> </w:t>
      </w:r>
      <w:r w:rsidR="00DC5548">
        <w:rPr>
          <w:rFonts w:ascii="Times New Roman" w:eastAsia="Calibri" w:hAnsi="Times New Roman" w:cs="Times New Roman"/>
        </w:rPr>
        <w:t>the ET gave a careful judgment in respect of a</w:t>
      </w:r>
      <w:r w:rsidR="00DC5548" w:rsidRPr="00B53A5A">
        <w:rPr>
          <w:rFonts w:ascii="Times New Roman" w:eastAsia="Calibri" w:hAnsi="Times New Roman" w:cs="Times New Roman"/>
        </w:rPr>
        <w:t xml:space="preserve"> retirement age of 65 for umpire off</w:t>
      </w:r>
      <w:r>
        <w:rPr>
          <w:rFonts w:ascii="Times New Roman" w:eastAsia="Calibri" w:hAnsi="Times New Roman" w:cs="Times New Roman"/>
        </w:rPr>
        <w:t>icials. The ET acknowledged the</w:t>
      </w:r>
      <w:r w:rsidR="00DC5548" w:rsidRPr="00B53A5A">
        <w:rPr>
          <w:rFonts w:ascii="Times New Roman" w:eastAsia="Calibri" w:hAnsi="Times New Roman" w:cs="Times New Roman"/>
        </w:rPr>
        <w:t xml:space="preserve"> </w:t>
      </w:r>
      <w:r w:rsidR="00DC5548">
        <w:rPr>
          <w:rFonts w:ascii="Times New Roman" w:eastAsia="Calibri" w:hAnsi="Times New Roman" w:cs="Times New Roman"/>
        </w:rPr>
        <w:t>‘</w:t>
      </w:r>
      <w:r w:rsidR="00DC5548" w:rsidRPr="005725DD">
        <w:rPr>
          <w:rFonts w:ascii="Times New Roman" w:eastAsia="Calibri" w:hAnsi="Times New Roman" w:cs="Times New Roman"/>
          <w:i/>
        </w:rPr>
        <w:t>dignity’</w:t>
      </w:r>
      <w:r w:rsidR="00DC5548" w:rsidRPr="00B53A5A">
        <w:rPr>
          <w:rFonts w:ascii="Times New Roman" w:eastAsia="Calibri" w:hAnsi="Times New Roman" w:cs="Times New Roman"/>
        </w:rPr>
        <w:t xml:space="preserve"> </w:t>
      </w:r>
      <w:r>
        <w:rPr>
          <w:rFonts w:ascii="Times New Roman" w:eastAsia="Calibri" w:hAnsi="Times New Roman" w:cs="Times New Roman"/>
        </w:rPr>
        <w:t xml:space="preserve">aim </w:t>
      </w:r>
      <w:r w:rsidR="00DC5548" w:rsidRPr="00B53A5A">
        <w:rPr>
          <w:rFonts w:ascii="Times New Roman" w:eastAsia="Calibri" w:hAnsi="Times New Roman" w:cs="Times New Roman"/>
        </w:rPr>
        <w:t xml:space="preserve">to be legitimate, as it was bound by the decision in </w:t>
      </w:r>
      <w:r w:rsidR="00DC5548" w:rsidRPr="00B53A5A">
        <w:rPr>
          <w:rFonts w:ascii="Times New Roman" w:eastAsia="Calibri" w:hAnsi="Times New Roman" w:cs="Times New Roman"/>
          <w:i/>
        </w:rPr>
        <w:t>Seldon</w:t>
      </w:r>
      <w:r w:rsidR="00DC5548" w:rsidRPr="00B53A5A">
        <w:rPr>
          <w:rFonts w:ascii="Times New Roman" w:eastAsia="Calibri" w:hAnsi="Times New Roman" w:cs="Times New Roman"/>
        </w:rPr>
        <w:t xml:space="preserve">, however the respondent failed to demonstrate that the retirement age of 65 for cricket umpires was appropriate and necessary to preserve the dignity of </w:t>
      </w:r>
      <w:r w:rsidR="00000DB2">
        <w:rPr>
          <w:rFonts w:ascii="Times New Roman" w:eastAsia="Calibri" w:hAnsi="Times New Roman" w:cs="Times New Roman"/>
        </w:rPr>
        <w:t>umpire officials</w:t>
      </w:r>
      <w:r w:rsidR="00DC5548" w:rsidRPr="00B53A5A">
        <w:rPr>
          <w:rFonts w:ascii="Times New Roman" w:eastAsia="Calibri" w:hAnsi="Times New Roman" w:cs="Times New Roman"/>
        </w:rPr>
        <w:t xml:space="preserve">. The ET highlighted that </w:t>
      </w:r>
      <w:r w:rsidR="00C07267">
        <w:rPr>
          <w:rFonts w:ascii="Times New Roman" w:eastAsia="Calibri" w:hAnsi="Times New Roman" w:cs="Times New Roman"/>
        </w:rPr>
        <w:t>it</w:t>
      </w:r>
      <w:r w:rsidR="00DC5548" w:rsidRPr="00B53A5A">
        <w:rPr>
          <w:rFonts w:ascii="Times New Roman" w:eastAsia="Calibri" w:hAnsi="Times New Roman" w:cs="Times New Roman"/>
        </w:rPr>
        <w:t xml:space="preserve"> had not seen </w:t>
      </w:r>
      <w:r w:rsidR="00DC5548" w:rsidRPr="00B53A5A">
        <w:rPr>
          <w:rFonts w:ascii="Times New Roman" w:eastAsia="Calibri" w:hAnsi="Times New Roman" w:cs="Times New Roman"/>
          <w:i/>
        </w:rPr>
        <w:t>'any evidence that there is a pattern whereby umpires start to make more mistakes as they enter their 60s'</w:t>
      </w:r>
      <w:r w:rsidR="00110058">
        <w:rPr>
          <w:rFonts w:ascii="Times New Roman" w:eastAsia="Calibri" w:hAnsi="Times New Roman" w:cs="Times New Roman"/>
        </w:rPr>
        <w:t>[8</w:t>
      </w:r>
      <w:r w:rsidR="00081D89">
        <w:rPr>
          <w:rFonts w:ascii="Times New Roman" w:eastAsia="Calibri" w:hAnsi="Times New Roman" w:cs="Times New Roman"/>
        </w:rPr>
        <w:t>6</w:t>
      </w:r>
      <w:r w:rsidR="0073619E">
        <w:rPr>
          <w:rFonts w:ascii="Times New Roman" w:eastAsia="Calibri" w:hAnsi="Times New Roman" w:cs="Times New Roman"/>
        </w:rPr>
        <w:t>]</w:t>
      </w:r>
      <w:r w:rsidR="00DC5548" w:rsidRPr="00B53A5A">
        <w:rPr>
          <w:rFonts w:ascii="Times New Roman" w:eastAsia="Calibri" w:hAnsi="Times New Roman" w:cs="Times New Roman"/>
        </w:rPr>
        <w:t xml:space="preserve"> and they had been </w:t>
      </w:r>
      <w:r w:rsidR="00DC5548" w:rsidRPr="00B53A5A">
        <w:rPr>
          <w:rFonts w:ascii="Times New Roman" w:eastAsia="Calibri" w:hAnsi="Times New Roman" w:cs="Times New Roman"/>
          <w:i/>
        </w:rPr>
        <w:t>'shown no medical reason</w:t>
      </w:r>
      <w:r w:rsidR="00DC5548" w:rsidRPr="00B53A5A">
        <w:rPr>
          <w:rFonts w:ascii="Times New Roman" w:eastAsia="Calibri" w:hAnsi="Times New Roman" w:cs="Times New Roman"/>
        </w:rPr>
        <w:t>'</w:t>
      </w:r>
      <w:r w:rsidR="00110058">
        <w:rPr>
          <w:rFonts w:ascii="Times New Roman" w:eastAsia="Calibri" w:hAnsi="Times New Roman" w:cs="Times New Roman"/>
        </w:rPr>
        <w:t>[8</w:t>
      </w:r>
      <w:r w:rsidR="00081D89">
        <w:rPr>
          <w:rFonts w:ascii="Times New Roman" w:eastAsia="Calibri" w:hAnsi="Times New Roman" w:cs="Times New Roman"/>
        </w:rPr>
        <w:t>7</w:t>
      </w:r>
      <w:r w:rsidR="0073619E">
        <w:rPr>
          <w:rFonts w:ascii="Times New Roman" w:eastAsia="Calibri" w:hAnsi="Times New Roman" w:cs="Times New Roman"/>
        </w:rPr>
        <w:t>]</w:t>
      </w:r>
      <w:r w:rsidR="00DC5548" w:rsidRPr="00B53A5A">
        <w:rPr>
          <w:rFonts w:ascii="Times New Roman" w:eastAsia="Calibri" w:hAnsi="Times New Roman" w:cs="Times New Roman"/>
        </w:rPr>
        <w:t xml:space="preserve"> why 65 years old needed to be </w:t>
      </w:r>
      <w:r w:rsidR="00DC5548" w:rsidRPr="00B53A5A">
        <w:rPr>
          <w:rFonts w:ascii="Times New Roman" w:eastAsia="Calibri" w:hAnsi="Times New Roman" w:cs="Times New Roman"/>
          <w:i/>
        </w:rPr>
        <w:t>'saved from themselves</w:t>
      </w:r>
      <w:r w:rsidR="00DC5548" w:rsidRPr="00B53A5A">
        <w:rPr>
          <w:rFonts w:ascii="Times New Roman" w:eastAsia="Calibri" w:hAnsi="Times New Roman" w:cs="Times New Roman"/>
        </w:rPr>
        <w:t>'</w:t>
      </w:r>
      <w:r w:rsidR="00110058">
        <w:rPr>
          <w:rFonts w:ascii="Times New Roman" w:eastAsia="Calibri" w:hAnsi="Times New Roman" w:cs="Times New Roman"/>
        </w:rPr>
        <w:t>[</w:t>
      </w:r>
      <w:r w:rsidR="00081D89">
        <w:rPr>
          <w:rFonts w:ascii="Times New Roman" w:eastAsia="Calibri" w:hAnsi="Times New Roman" w:cs="Times New Roman"/>
        </w:rPr>
        <w:t>88</w:t>
      </w:r>
      <w:r w:rsidR="0073619E">
        <w:rPr>
          <w:rFonts w:ascii="Times New Roman" w:eastAsia="Calibri" w:hAnsi="Times New Roman" w:cs="Times New Roman"/>
        </w:rPr>
        <w:t>]</w:t>
      </w:r>
      <w:r>
        <w:rPr>
          <w:rFonts w:ascii="Times New Roman" w:eastAsia="Calibri" w:hAnsi="Times New Roman" w:cs="Times New Roman"/>
        </w:rPr>
        <w:t>.</w:t>
      </w:r>
      <w:r w:rsidR="00DC5548" w:rsidRPr="00B53A5A">
        <w:rPr>
          <w:rFonts w:ascii="Times New Roman" w:eastAsia="Calibri" w:hAnsi="Times New Roman" w:cs="Times New Roman"/>
        </w:rPr>
        <w:t xml:space="preserve"> </w:t>
      </w:r>
      <w:r w:rsidR="0073619E">
        <w:rPr>
          <w:rFonts w:ascii="Times New Roman" w:eastAsia="Calibri" w:hAnsi="Times New Roman" w:cs="Times New Roman"/>
        </w:rPr>
        <w:t>T</w:t>
      </w:r>
      <w:r w:rsidR="00DC5548" w:rsidRPr="00B53A5A">
        <w:rPr>
          <w:rFonts w:ascii="Times New Roman" w:eastAsia="Calibri" w:hAnsi="Times New Roman" w:cs="Times New Roman"/>
        </w:rPr>
        <w:t xml:space="preserve">he compulsory retirement age </w:t>
      </w:r>
      <w:r w:rsidR="0073619E">
        <w:rPr>
          <w:rFonts w:ascii="Times New Roman" w:eastAsia="Calibri" w:hAnsi="Times New Roman" w:cs="Times New Roman"/>
        </w:rPr>
        <w:t xml:space="preserve">must </w:t>
      </w:r>
      <w:r w:rsidR="0073619E">
        <w:rPr>
          <w:rFonts w:ascii="Times New Roman" w:eastAsia="Calibri" w:hAnsi="Times New Roman" w:cs="Times New Roman"/>
          <w:i/>
        </w:rPr>
        <w:t>'</w:t>
      </w:r>
      <w:r w:rsidR="00DC5548" w:rsidRPr="00B53A5A">
        <w:rPr>
          <w:rFonts w:ascii="Times New Roman" w:eastAsia="Calibri" w:hAnsi="Times New Roman" w:cs="Times New Roman"/>
          <w:i/>
        </w:rPr>
        <w:t>be at a point before major problems start to occur, but no problems had started to manifest by the age of 65</w:t>
      </w:r>
      <w:r w:rsidR="00DC5548" w:rsidRPr="00B53A5A">
        <w:rPr>
          <w:rFonts w:ascii="Times New Roman" w:eastAsia="Calibri" w:hAnsi="Times New Roman" w:cs="Times New Roman"/>
        </w:rPr>
        <w:t>’</w:t>
      </w:r>
      <w:r w:rsidR="00110058">
        <w:rPr>
          <w:rFonts w:ascii="Times New Roman" w:eastAsia="Calibri" w:hAnsi="Times New Roman" w:cs="Times New Roman"/>
        </w:rPr>
        <w:t>[</w:t>
      </w:r>
      <w:r w:rsidR="00081D89">
        <w:rPr>
          <w:rFonts w:ascii="Times New Roman" w:eastAsia="Calibri" w:hAnsi="Times New Roman" w:cs="Times New Roman"/>
        </w:rPr>
        <w:t>89</w:t>
      </w:r>
      <w:r w:rsidR="0073619E">
        <w:rPr>
          <w:rFonts w:ascii="Times New Roman" w:eastAsia="Calibri" w:hAnsi="Times New Roman" w:cs="Times New Roman"/>
        </w:rPr>
        <w:t>]</w:t>
      </w:r>
      <w:r>
        <w:rPr>
          <w:rFonts w:ascii="Times New Roman" w:eastAsia="Calibri" w:hAnsi="Times New Roman" w:cs="Times New Roman"/>
        </w:rPr>
        <w:t>.</w:t>
      </w:r>
      <w:r w:rsidR="0073619E">
        <w:rPr>
          <w:rFonts w:ascii="Times New Roman" w:eastAsia="Calibri" w:hAnsi="Times New Roman" w:cs="Times New Roman"/>
        </w:rPr>
        <w:t xml:space="preserve"> The c</w:t>
      </w:r>
      <w:r w:rsidR="00DC5548" w:rsidRPr="00B53A5A">
        <w:rPr>
          <w:rFonts w:ascii="Times New Roman" w:eastAsia="Calibri" w:hAnsi="Times New Roman" w:cs="Times New Roman"/>
        </w:rPr>
        <w:t xml:space="preserve">laimants did not wish to outstay their welcome but they felt that at </w:t>
      </w:r>
      <w:r>
        <w:rPr>
          <w:rFonts w:ascii="Times New Roman" w:eastAsia="Calibri" w:hAnsi="Times New Roman" w:cs="Times New Roman"/>
        </w:rPr>
        <w:t xml:space="preserve">age </w:t>
      </w:r>
      <w:r w:rsidR="00DC5548" w:rsidRPr="00B53A5A">
        <w:rPr>
          <w:rFonts w:ascii="Times New Roman" w:eastAsia="Calibri" w:hAnsi="Times New Roman" w:cs="Times New Roman"/>
        </w:rPr>
        <w:t>65</w:t>
      </w:r>
      <w:r w:rsidR="0073619E">
        <w:rPr>
          <w:rFonts w:ascii="Times New Roman" w:eastAsia="Calibri" w:hAnsi="Times New Roman" w:cs="Times New Roman"/>
        </w:rPr>
        <w:t xml:space="preserve"> they still had plenty to give.</w:t>
      </w:r>
      <w:r w:rsidR="00DC5548" w:rsidRPr="00B53A5A">
        <w:rPr>
          <w:rFonts w:ascii="Times New Roman" w:eastAsia="Calibri" w:hAnsi="Times New Roman" w:cs="Times New Roman"/>
        </w:rPr>
        <w:t xml:space="preserve"> There was no medical evidence before the ET to demonstrate that the retirement age of 65 was appropriate to ensure that </w:t>
      </w:r>
      <w:r w:rsidR="0073619E">
        <w:rPr>
          <w:rFonts w:ascii="Times New Roman" w:eastAsia="Calibri" w:hAnsi="Times New Roman" w:cs="Times New Roman"/>
        </w:rPr>
        <w:t xml:space="preserve">the </w:t>
      </w:r>
      <w:r w:rsidR="00DC5548" w:rsidRPr="00B53A5A">
        <w:rPr>
          <w:rFonts w:ascii="Times New Roman" w:eastAsia="Calibri" w:hAnsi="Times New Roman" w:cs="Times New Roman"/>
        </w:rPr>
        <w:t>dignity</w:t>
      </w:r>
      <w:r w:rsidR="0073619E">
        <w:rPr>
          <w:rFonts w:ascii="Times New Roman" w:eastAsia="Calibri" w:hAnsi="Times New Roman" w:cs="Times New Roman"/>
        </w:rPr>
        <w:t xml:space="preserve"> of the umpire officials were</w:t>
      </w:r>
      <w:r w:rsidR="00DC5548" w:rsidRPr="00B53A5A">
        <w:rPr>
          <w:rFonts w:ascii="Times New Roman" w:eastAsia="Calibri" w:hAnsi="Times New Roman" w:cs="Times New Roman"/>
        </w:rPr>
        <w:t xml:space="preserve"> protected. For the ET </w:t>
      </w:r>
      <w:r w:rsidR="00DC5548" w:rsidRPr="00B53A5A">
        <w:rPr>
          <w:rFonts w:ascii="Times New Roman" w:eastAsia="Calibri" w:hAnsi="Times New Roman" w:cs="Times New Roman"/>
          <w:i/>
        </w:rPr>
        <w:t>'it would obviously be unnecessarily discriminatory t</w:t>
      </w:r>
      <w:r>
        <w:rPr>
          <w:rFonts w:ascii="Times New Roman" w:eastAsia="Calibri" w:hAnsi="Times New Roman" w:cs="Times New Roman"/>
          <w:i/>
        </w:rPr>
        <w:t>o cut off their career too soon</w:t>
      </w:r>
      <w:r w:rsidR="00DC5548" w:rsidRPr="00B53A5A">
        <w:rPr>
          <w:rFonts w:ascii="Times New Roman" w:eastAsia="Calibri" w:hAnsi="Times New Roman" w:cs="Times New Roman"/>
          <w:i/>
        </w:rPr>
        <w:t>'</w:t>
      </w:r>
      <w:r w:rsidR="00110058">
        <w:rPr>
          <w:rFonts w:ascii="Times New Roman" w:eastAsia="Calibri" w:hAnsi="Times New Roman" w:cs="Times New Roman"/>
        </w:rPr>
        <w:t>[</w:t>
      </w:r>
      <w:r w:rsidR="00081D89">
        <w:rPr>
          <w:rFonts w:ascii="Times New Roman" w:eastAsia="Calibri" w:hAnsi="Times New Roman" w:cs="Times New Roman"/>
        </w:rPr>
        <w:t>90</w:t>
      </w:r>
      <w:r w:rsidR="0073619E">
        <w:rPr>
          <w:rFonts w:ascii="Times New Roman" w:eastAsia="Calibri" w:hAnsi="Times New Roman" w:cs="Times New Roman"/>
        </w:rPr>
        <w:t>].</w:t>
      </w:r>
    </w:p>
    <w:p w14:paraId="0E28C92F" w14:textId="3FFC60A9" w:rsidR="00DC5548" w:rsidRDefault="00DC5548" w:rsidP="004A295E">
      <w:pPr>
        <w:spacing w:after="0" w:line="240" w:lineRule="auto"/>
        <w:ind w:firstLine="720"/>
        <w:jc w:val="both"/>
        <w:rPr>
          <w:rFonts w:ascii="Times New Roman" w:eastAsia="Calibri" w:hAnsi="Times New Roman" w:cs="Times New Roman"/>
        </w:rPr>
      </w:pPr>
      <w:r>
        <w:rPr>
          <w:rFonts w:ascii="Times New Roman" w:eastAsia="Calibri" w:hAnsi="Times New Roman" w:cs="Times New Roman"/>
        </w:rPr>
        <w:t xml:space="preserve">However in contrast, in </w:t>
      </w:r>
      <w:r w:rsidRPr="00B53A5A">
        <w:rPr>
          <w:rFonts w:ascii="Times New Roman" w:eastAsia="Calibri" w:hAnsi="Times New Roman" w:cs="Times New Roman"/>
          <w:i/>
        </w:rPr>
        <w:t>White v Ministry of Justice</w:t>
      </w:r>
      <w:r w:rsidR="00110058">
        <w:rPr>
          <w:rFonts w:ascii="Times New Roman" w:eastAsia="Calibri" w:hAnsi="Times New Roman" w:cs="Times New Roman"/>
        </w:rPr>
        <w:t>[</w:t>
      </w:r>
      <w:r w:rsidR="00081D89">
        <w:rPr>
          <w:rFonts w:ascii="Times New Roman" w:eastAsia="Calibri" w:hAnsi="Times New Roman" w:cs="Times New Roman"/>
        </w:rPr>
        <w:t>91</w:t>
      </w:r>
      <w:r w:rsidR="0073619E" w:rsidRPr="0073619E">
        <w:rPr>
          <w:rFonts w:ascii="Times New Roman" w:eastAsia="Calibri" w:hAnsi="Times New Roman" w:cs="Times New Roman"/>
        </w:rPr>
        <w:t>]</w:t>
      </w:r>
      <w:r w:rsidRPr="00B53A5A">
        <w:rPr>
          <w:rFonts w:ascii="Times New Roman" w:eastAsia="Calibri" w:hAnsi="Times New Roman" w:cs="Times New Roman"/>
        </w:rPr>
        <w:t xml:space="preserve"> no problems had started to manifest </w:t>
      </w:r>
      <w:r w:rsidR="0073619E">
        <w:rPr>
          <w:rFonts w:ascii="Times New Roman" w:eastAsia="Calibri" w:hAnsi="Times New Roman" w:cs="Times New Roman"/>
        </w:rPr>
        <w:t xml:space="preserve">in the judiciary </w:t>
      </w:r>
      <w:r w:rsidRPr="00B53A5A">
        <w:rPr>
          <w:rFonts w:ascii="Times New Roman" w:eastAsia="Calibri" w:hAnsi="Times New Roman" w:cs="Times New Roman"/>
        </w:rPr>
        <w:t>by the retirement age</w:t>
      </w:r>
      <w:r w:rsidR="0073619E">
        <w:rPr>
          <w:rFonts w:ascii="Times New Roman" w:eastAsia="Calibri" w:hAnsi="Times New Roman" w:cs="Times New Roman"/>
        </w:rPr>
        <w:t xml:space="preserve"> of 70 </w:t>
      </w:r>
      <w:r w:rsidRPr="00B53A5A">
        <w:rPr>
          <w:rFonts w:ascii="Times New Roman" w:eastAsia="Calibri" w:hAnsi="Times New Roman" w:cs="Times New Roman"/>
        </w:rPr>
        <w:t xml:space="preserve"> and the careers of the claimants </w:t>
      </w:r>
      <w:r w:rsidR="0073619E">
        <w:rPr>
          <w:rFonts w:ascii="Times New Roman" w:eastAsia="Calibri" w:hAnsi="Times New Roman" w:cs="Times New Roman"/>
        </w:rPr>
        <w:t xml:space="preserve">in this case </w:t>
      </w:r>
      <w:r w:rsidRPr="00B53A5A">
        <w:rPr>
          <w:rFonts w:ascii="Times New Roman" w:eastAsia="Calibri" w:hAnsi="Times New Roman" w:cs="Times New Roman"/>
        </w:rPr>
        <w:t>were ended whilst they were</w:t>
      </w:r>
      <w:r>
        <w:rPr>
          <w:rFonts w:ascii="Times New Roman" w:eastAsia="Calibri" w:hAnsi="Times New Roman" w:cs="Times New Roman"/>
        </w:rPr>
        <w:t xml:space="preserve"> still </w:t>
      </w:r>
      <w:r w:rsidRPr="001671C7">
        <w:rPr>
          <w:rFonts w:ascii="Times New Roman" w:eastAsia="Calibri" w:hAnsi="Times New Roman" w:cs="Times New Roman"/>
          <w:i/>
        </w:rPr>
        <w:t>‘in good health mentally and physically</w:t>
      </w:r>
      <w:r>
        <w:rPr>
          <w:rFonts w:ascii="Times New Roman" w:eastAsia="Calibri" w:hAnsi="Times New Roman" w:cs="Times New Roman"/>
        </w:rPr>
        <w:t>’</w:t>
      </w:r>
      <w:r w:rsidR="00110058">
        <w:rPr>
          <w:rFonts w:ascii="Times New Roman" w:eastAsia="Calibri" w:hAnsi="Times New Roman" w:cs="Times New Roman"/>
        </w:rPr>
        <w:t>[9</w:t>
      </w:r>
      <w:r w:rsidR="00081D89">
        <w:rPr>
          <w:rFonts w:ascii="Times New Roman" w:eastAsia="Calibri" w:hAnsi="Times New Roman" w:cs="Times New Roman"/>
        </w:rPr>
        <w:t>2</w:t>
      </w:r>
      <w:r w:rsidR="0073619E">
        <w:rPr>
          <w:rFonts w:ascii="Times New Roman" w:eastAsia="Calibri" w:hAnsi="Times New Roman" w:cs="Times New Roman"/>
        </w:rPr>
        <w:t>]</w:t>
      </w:r>
      <w:r w:rsidR="004A295E">
        <w:rPr>
          <w:rFonts w:ascii="Times New Roman" w:eastAsia="Calibri" w:hAnsi="Times New Roman" w:cs="Times New Roman"/>
        </w:rPr>
        <w:t>.</w:t>
      </w:r>
      <w:r w:rsidRPr="00B53A5A">
        <w:rPr>
          <w:rFonts w:ascii="Times New Roman" w:eastAsia="Calibri" w:hAnsi="Times New Roman" w:cs="Times New Roman"/>
        </w:rPr>
        <w:t xml:space="preserve"> </w:t>
      </w:r>
      <w:r>
        <w:rPr>
          <w:rFonts w:ascii="Times New Roman" w:eastAsia="Calibri" w:hAnsi="Times New Roman" w:cs="Times New Roman"/>
        </w:rPr>
        <w:t>T</w:t>
      </w:r>
      <w:r w:rsidR="0073619E">
        <w:rPr>
          <w:rFonts w:ascii="Times New Roman" w:eastAsia="Calibri" w:hAnsi="Times New Roman" w:cs="Times New Roman"/>
        </w:rPr>
        <w:t>he retirement age</w:t>
      </w:r>
      <w:r w:rsidRPr="00B53A5A">
        <w:rPr>
          <w:rFonts w:ascii="Times New Roman" w:eastAsia="Calibri" w:hAnsi="Times New Roman" w:cs="Times New Roman"/>
        </w:rPr>
        <w:t xml:space="preserve"> was </w:t>
      </w:r>
      <w:r w:rsidR="00835FA3">
        <w:rPr>
          <w:rFonts w:ascii="Times New Roman" w:eastAsia="Calibri" w:hAnsi="Times New Roman" w:cs="Times New Roman"/>
        </w:rPr>
        <w:t>lawful</w:t>
      </w:r>
      <w:r w:rsidRPr="00B53A5A">
        <w:rPr>
          <w:rFonts w:ascii="Times New Roman" w:eastAsia="Calibri" w:hAnsi="Times New Roman" w:cs="Times New Roman"/>
        </w:rPr>
        <w:t xml:space="preserve"> and one of the aims </w:t>
      </w:r>
      <w:r>
        <w:rPr>
          <w:rFonts w:ascii="Times New Roman" w:eastAsia="Calibri" w:hAnsi="Times New Roman" w:cs="Times New Roman"/>
        </w:rPr>
        <w:t xml:space="preserve">relied upon </w:t>
      </w:r>
      <w:r w:rsidRPr="00B53A5A">
        <w:rPr>
          <w:rFonts w:ascii="Times New Roman" w:eastAsia="Calibri" w:hAnsi="Times New Roman" w:cs="Times New Roman"/>
        </w:rPr>
        <w:t xml:space="preserve">was to preserve the </w:t>
      </w:r>
      <w:r>
        <w:rPr>
          <w:rFonts w:ascii="Times New Roman" w:eastAsia="Calibri" w:hAnsi="Times New Roman" w:cs="Times New Roman"/>
        </w:rPr>
        <w:t>‘</w:t>
      </w:r>
      <w:r w:rsidRPr="001671C7">
        <w:rPr>
          <w:rFonts w:ascii="Times New Roman" w:eastAsia="Calibri" w:hAnsi="Times New Roman" w:cs="Times New Roman"/>
          <w:i/>
        </w:rPr>
        <w:t>dignity’</w:t>
      </w:r>
      <w:r w:rsidRPr="00B53A5A">
        <w:rPr>
          <w:rFonts w:ascii="Times New Roman" w:eastAsia="Calibri" w:hAnsi="Times New Roman" w:cs="Times New Roman"/>
        </w:rPr>
        <w:t xml:space="preserve"> of the judiciary by avoiding the need for individual assessment of health and capacity.</w:t>
      </w:r>
      <w:r>
        <w:rPr>
          <w:rFonts w:ascii="Times New Roman" w:eastAsia="Calibri" w:hAnsi="Times New Roman" w:cs="Times New Roman"/>
        </w:rPr>
        <w:t xml:space="preserve"> Relying upon societ</w:t>
      </w:r>
      <w:r w:rsidR="00C07267">
        <w:rPr>
          <w:rFonts w:ascii="Times New Roman" w:eastAsia="Calibri" w:hAnsi="Times New Roman" w:cs="Times New Roman"/>
        </w:rPr>
        <w:t>y’s</w:t>
      </w:r>
      <w:r>
        <w:rPr>
          <w:rFonts w:ascii="Times New Roman" w:eastAsia="Calibri" w:hAnsi="Times New Roman" w:cs="Times New Roman"/>
        </w:rPr>
        <w:t xml:space="preserve"> stereotypical views on age and capability i</w:t>
      </w:r>
      <w:r w:rsidRPr="00B53A5A">
        <w:rPr>
          <w:rFonts w:ascii="Times New Roman" w:eastAsia="Calibri" w:hAnsi="Times New Roman" w:cs="Times New Roman"/>
        </w:rPr>
        <w:t>t was held that the retirement age for the judiciary must be set at a point where they were not perceived by the public to be ‘</w:t>
      </w:r>
      <w:r w:rsidRPr="001671C7">
        <w:rPr>
          <w:rFonts w:ascii="Times New Roman" w:eastAsia="Calibri" w:hAnsi="Times New Roman" w:cs="Times New Roman"/>
          <w:i/>
        </w:rPr>
        <w:t>past it</w:t>
      </w:r>
      <w:r w:rsidRPr="00B53A5A">
        <w:rPr>
          <w:rFonts w:ascii="Times New Roman" w:eastAsia="Calibri" w:hAnsi="Times New Roman" w:cs="Times New Roman"/>
        </w:rPr>
        <w:t>’</w:t>
      </w:r>
      <w:r>
        <w:rPr>
          <w:rFonts w:ascii="Times New Roman" w:eastAsia="Calibri" w:hAnsi="Times New Roman" w:cs="Times New Roman"/>
        </w:rPr>
        <w:t xml:space="preserve"> and that</w:t>
      </w:r>
      <w:r w:rsidRPr="00B53A5A">
        <w:rPr>
          <w:rFonts w:ascii="Times New Roman" w:eastAsia="Calibri" w:hAnsi="Times New Roman" w:cs="Times New Roman"/>
        </w:rPr>
        <w:t xml:space="preserve"> age </w:t>
      </w:r>
      <w:r>
        <w:rPr>
          <w:rFonts w:ascii="Times New Roman" w:eastAsia="Calibri" w:hAnsi="Times New Roman" w:cs="Times New Roman"/>
        </w:rPr>
        <w:t xml:space="preserve">was </w:t>
      </w:r>
      <w:r w:rsidRPr="00B53A5A">
        <w:rPr>
          <w:rFonts w:ascii="Times New Roman" w:eastAsia="Calibri" w:hAnsi="Times New Roman" w:cs="Times New Roman"/>
        </w:rPr>
        <w:t>70.</w:t>
      </w:r>
      <w:r>
        <w:rPr>
          <w:rFonts w:ascii="Times New Roman" w:eastAsia="Calibri" w:hAnsi="Times New Roman" w:cs="Times New Roman"/>
        </w:rPr>
        <w:t xml:space="preserve"> T</w:t>
      </w:r>
      <w:r w:rsidRPr="00B53A5A">
        <w:rPr>
          <w:rFonts w:ascii="Times New Roman" w:eastAsia="Calibri" w:hAnsi="Times New Roman" w:cs="Times New Roman"/>
        </w:rPr>
        <w:t xml:space="preserve">he aim of maintaining the public confidence in the capacity and health of the judiciary was also </w:t>
      </w:r>
      <w:r w:rsidR="00C57974">
        <w:rPr>
          <w:rFonts w:ascii="Times New Roman" w:eastAsia="Calibri" w:hAnsi="Times New Roman" w:cs="Times New Roman"/>
        </w:rPr>
        <w:t>proportionate</w:t>
      </w:r>
      <w:r>
        <w:rPr>
          <w:rFonts w:ascii="Times New Roman" w:eastAsia="Calibri" w:hAnsi="Times New Roman" w:cs="Times New Roman"/>
        </w:rPr>
        <w:t xml:space="preserve">. This case </w:t>
      </w:r>
      <w:r w:rsidRPr="00B53A5A">
        <w:rPr>
          <w:rFonts w:ascii="Times New Roman" w:eastAsia="Calibri" w:hAnsi="Times New Roman" w:cs="Times New Roman"/>
        </w:rPr>
        <w:t xml:space="preserve">demonstrates inconsistency in the judgments with regards to what needs to be proven and when assumptions are sufficient. </w:t>
      </w:r>
      <w:r>
        <w:rPr>
          <w:rFonts w:ascii="Times New Roman" w:eastAsia="Calibri" w:hAnsi="Times New Roman" w:cs="Times New Roman"/>
        </w:rPr>
        <w:t xml:space="preserve">The </w:t>
      </w:r>
      <w:r w:rsidR="002F5C8E">
        <w:rPr>
          <w:rFonts w:ascii="Times New Roman" w:eastAsia="Calibri" w:hAnsi="Times New Roman" w:cs="Times New Roman"/>
        </w:rPr>
        <w:t>difficulty with this case is the unique role of the judiciary and how</w:t>
      </w:r>
      <w:r w:rsidRPr="00B53A5A">
        <w:rPr>
          <w:rFonts w:ascii="Times New Roman" w:eastAsia="Calibri" w:hAnsi="Times New Roman" w:cs="Times New Roman"/>
        </w:rPr>
        <w:t xml:space="preserve"> to devise a procedure that achieves judicial independence, does not jeopardise the rule of law but </w:t>
      </w:r>
      <w:r>
        <w:rPr>
          <w:rFonts w:ascii="Times New Roman" w:eastAsia="Calibri" w:hAnsi="Times New Roman" w:cs="Times New Roman"/>
        </w:rPr>
        <w:t xml:space="preserve">also </w:t>
      </w:r>
      <w:r w:rsidRPr="00B53A5A">
        <w:rPr>
          <w:rFonts w:ascii="Times New Roman" w:eastAsia="Calibri" w:hAnsi="Times New Roman" w:cs="Times New Roman"/>
        </w:rPr>
        <w:t>does not stereotype judges on grounds of age</w:t>
      </w:r>
      <w:r>
        <w:rPr>
          <w:rFonts w:ascii="Times New Roman" w:eastAsia="Calibri" w:hAnsi="Times New Roman" w:cs="Times New Roman"/>
        </w:rPr>
        <w:t xml:space="preserve"> and lead to a loss of judicial expertise</w:t>
      </w:r>
      <w:r w:rsidRPr="00B53A5A">
        <w:rPr>
          <w:rFonts w:ascii="Times New Roman" w:eastAsia="Calibri" w:hAnsi="Times New Roman" w:cs="Times New Roman"/>
        </w:rPr>
        <w:t xml:space="preserve">. </w:t>
      </w:r>
    </w:p>
    <w:p w14:paraId="4DBAC2F3" w14:textId="5014FA80" w:rsidR="00606D7D" w:rsidRDefault="00606D7D" w:rsidP="00136556">
      <w:pPr>
        <w:spacing w:after="0" w:line="240" w:lineRule="auto"/>
        <w:ind w:firstLine="720"/>
        <w:jc w:val="both"/>
        <w:rPr>
          <w:rFonts w:ascii="Times New Roman" w:hAnsi="Times New Roman"/>
          <w:bCs/>
        </w:rPr>
      </w:pPr>
      <w:r>
        <w:rPr>
          <w:rFonts w:ascii="Times New Roman" w:eastAsia="Calibri" w:hAnsi="Times New Roman" w:cs="Times New Roman"/>
        </w:rPr>
        <w:t>Finally, another</w:t>
      </w:r>
      <w:r w:rsidR="00DC5548">
        <w:rPr>
          <w:rFonts w:ascii="Times New Roman" w:eastAsia="Calibri" w:hAnsi="Times New Roman" w:cs="Times New Roman"/>
        </w:rPr>
        <w:t xml:space="preserve"> </w:t>
      </w:r>
      <w:r w:rsidR="002F5C8E">
        <w:rPr>
          <w:rFonts w:ascii="Times New Roman" w:eastAsia="Calibri" w:hAnsi="Times New Roman" w:cs="Times New Roman"/>
        </w:rPr>
        <w:t xml:space="preserve">aim </w:t>
      </w:r>
      <w:r w:rsidR="00DC5548">
        <w:rPr>
          <w:rFonts w:ascii="Times New Roman" w:eastAsia="Calibri" w:hAnsi="Times New Roman" w:cs="Times New Roman"/>
        </w:rPr>
        <w:t xml:space="preserve">which has been accepted as legitimate in the research sample, albeit classed as </w:t>
      </w:r>
      <w:r w:rsidR="00DC5548" w:rsidRPr="00B53A5A">
        <w:rPr>
          <w:rFonts w:ascii="Times New Roman" w:eastAsia="Calibri" w:hAnsi="Times New Roman" w:cs="Times New Roman"/>
        </w:rPr>
        <w:t>‘</w:t>
      </w:r>
      <w:r w:rsidR="00DC5548" w:rsidRPr="00B53A5A">
        <w:rPr>
          <w:rFonts w:ascii="Times New Roman" w:eastAsia="Calibri" w:hAnsi="Times New Roman" w:cs="Times New Roman"/>
          <w:i/>
        </w:rPr>
        <w:t>comparatively uncontroversial’</w:t>
      </w:r>
      <w:r w:rsidR="007A6B0E">
        <w:rPr>
          <w:rFonts w:ascii="Times New Roman" w:eastAsia="Calibri" w:hAnsi="Times New Roman" w:cs="Times New Roman"/>
        </w:rPr>
        <w:t>[9</w:t>
      </w:r>
      <w:r w:rsidR="00081D89">
        <w:rPr>
          <w:rFonts w:ascii="Times New Roman" w:eastAsia="Calibri" w:hAnsi="Times New Roman" w:cs="Times New Roman"/>
        </w:rPr>
        <w:t>3</w:t>
      </w:r>
      <w:r w:rsidR="002F5C8E" w:rsidRPr="002F5C8E">
        <w:rPr>
          <w:rFonts w:ascii="Times New Roman" w:eastAsia="Calibri" w:hAnsi="Times New Roman" w:cs="Times New Roman"/>
        </w:rPr>
        <w:t>]</w:t>
      </w:r>
      <w:r w:rsidR="002F5C8E">
        <w:rPr>
          <w:rFonts w:ascii="Times New Roman" w:eastAsia="Calibri" w:hAnsi="Times New Roman" w:cs="Times New Roman"/>
          <w:vertAlign w:val="superscript"/>
        </w:rPr>
        <w:t xml:space="preserve"> </w:t>
      </w:r>
      <w:r w:rsidR="00DC5548" w:rsidRPr="00B53A5A">
        <w:rPr>
          <w:rFonts w:ascii="Times New Roman" w:eastAsia="Calibri" w:hAnsi="Times New Roman" w:cs="Times New Roman"/>
        </w:rPr>
        <w:t xml:space="preserve"> </w:t>
      </w:r>
      <w:r w:rsidR="00DC5548">
        <w:rPr>
          <w:rFonts w:ascii="Times New Roman" w:eastAsia="Calibri" w:hAnsi="Times New Roman" w:cs="Times New Roman"/>
        </w:rPr>
        <w:t>is t</w:t>
      </w:r>
      <w:r w:rsidR="00DC5548" w:rsidRPr="00B53A5A">
        <w:rPr>
          <w:rFonts w:ascii="Times New Roman" w:eastAsia="Calibri" w:hAnsi="Times New Roman" w:cs="Times New Roman"/>
        </w:rPr>
        <w:t>he ‘</w:t>
      </w:r>
      <w:r w:rsidR="00DC5548">
        <w:rPr>
          <w:rFonts w:ascii="Times New Roman" w:eastAsia="Calibri" w:hAnsi="Times New Roman" w:cs="Times New Roman"/>
          <w:i/>
        </w:rPr>
        <w:t>intergenerational fairness’</w:t>
      </w:r>
      <w:r w:rsidR="00DC5548" w:rsidRPr="00B53A5A">
        <w:rPr>
          <w:rFonts w:ascii="Times New Roman" w:eastAsia="Calibri" w:hAnsi="Times New Roman" w:cs="Times New Roman"/>
        </w:rPr>
        <w:t xml:space="preserve"> aim. </w:t>
      </w:r>
      <w:r w:rsidR="00DC5548">
        <w:rPr>
          <w:rFonts w:ascii="Times New Roman" w:eastAsia="Calibri" w:hAnsi="Times New Roman" w:cs="Times New Roman"/>
        </w:rPr>
        <w:t xml:space="preserve">This is the need to facilitate workforce planning by giving younger workers a realistic expectation as to when vacancies arise. The argument is closely linked </w:t>
      </w:r>
      <w:r w:rsidR="00C07267">
        <w:rPr>
          <w:rFonts w:ascii="Times New Roman" w:eastAsia="Calibri" w:hAnsi="Times New Roman" w:cs="Times New Roman"/>
        </w:rPr>
        <w:t xml:space="preserve">to </w:t>
      </w:r>
      <w:r w:rsidR="00DC5548">
        <w:rPr>
          <w:rFonts w:ascii="Times New Roman" w:eastAsia="Calibri" w:hAnsi="Times New Roman" w:cs="Times New Roman"/>
        </w:rPr>
        <w:t xml:space="preserve">other </w:t>
      </w:r>
      <w:r w:rsidR="00DC5548" w:rsidRPr="00B53A5A">
        <w:rPr>
          <w:rFonts w:ascii="Times New Roman" w:eastAsia="Calibri" w:hAnsi="Times New Roman" w:cs="Times New Roman"/>
        </w:rPr>
        <w:t>aims</w:t>
      </w:r>
      <w:r w:rsidR="00DC5548">
        <w:rPr>
          <w:rFonts w:ascii="Times New Roman" w:eastAsia="Calibri" w:hAnsi="Times New Roman" w:cs="Times New Roman"/>
        </w:rPr>
        <w:t xml:space="preserve"> referred to as </w:t>
      </w:r>
      <w:r w:rsidR="002F5C8E" w:rsidRPr="002F5C8E">
        <w:rPr>
          <w:rFonts w:ascii="Times New Roman" w:eastAsia="Calibri" w:hAnsi="Times New Roman" w:cs="Times New Roman"/>
          <w:i/>
        </w:rPr>
        <w:t>'</w:t>
      </w:r>
      <w:r w:rsidR="00DC5548" w:rsidRPr="002F5C8E">
        <w:rPr>
          <w:rFonts w:ascii="Times New Roman" w:eastAsia="Calibri" w:hAnsi="Times New Roman" w:cs="Times New Roman"/>
          <w:i/>
        </w:rPr>
        <w:t>checking unemployment</w:t>
      </w:r>
      <w:r w:rsidR="002F5C8E" w:rsidRPr="002F5C8E">
        <w:rPr>
          <w:rFonts w:ascii="Times New Roman" w:eastAsia="Calibri" w:hAnsi="Times New Roman" w:cs="Times New Roman"/>
          <w:i/>
        </w:rPr>
        <w:t>'</w:t>
      </w:r>
      <w:r w:rsidR="00DC5548" w:rsidRPr="00B35A7D">
        <w:rPr>
          <w:rFonts w:ascii="Times New Roman" w:eastAsia="Calibri" w:hAnsi="Times New Roman" w:cs="Times New Roman"/>
        </w:rPr>
        <w:t xml:space="preserve">, </w:t>
      </w:r>
      <w:r w:rsidR="002F5C8E" w:rsidRPr="002F5C8E">
        <w:rPr>
          <w:rFonts w:ascii="Times New Roman" w:eastAsia="Calibri" w:hAnsi="Times New Roman" w:cs="Times New Roman"/>
          <w:i/>
        </w:rPr>
        <w:t>'</w:t>
      </w:r>
      <w:r w:rsidR="00DC5548" w:rsidRPr="002F5C8E">
        <w:rPr>
          <w:rFonts w:ascii="Times New Roman" w:eastAsia="Calibri" w:hAnsi="Times New Roman" w:cs="Times New Roman"/>
          <w:i/>
        </w:rPr>
        <w:t>job blocking</w:t>
      </w:r>
      <w:r w:rsidR="002F5C8E" w:rsidRPr="002F5C8E">
        <w:rPr>
          <w:rFonts w:ascii="Times New Roman" w:eastAsia="Calibri" w:hAnsi="Times New Roman" w:cs="Times New Roman"/>
          <w:i/>
        </w:rPr>
        <w:t>'</w:t>
      </w:r>
      <w:r w:rsidR="00DC5548" w:rsidRPr="00B35A7D">
        <w:rPr>
          <w:rFonts w:ascii="Times New Roman" w:eastAsia="Calibri" w:hAnsi="Times New Roman" w:cs="Times New Roman"/>
        </w:rPr>
        <w:t xml:space="preserve"> and </w:t>
      </w:r>
      <w:r w:rsidR="002F5C8E" w:rsidRPr="002F5C8E">
        <w:rPr>
          <w:rFonts w:ascii="Times New Roman" w:eastAsia="Calibri" w:hAnsi="Times New Roman" w:cs="Times New Roman"/>
          <w:i/>
        </w:rPr>
        <w:t>'</w:t>
      </w:r>
      <w:r w:rsidR="00DC5548" w:rsidRPr="002F5C8E">
        <w:rPr>
          <w:rFonts w:ascii="Times New Roman" w:eastAsia="Calibri" w:hAnsi="Times New Roman" w:cs="Times New Roman"/>
          <w:i/>
        </w:rPr>
        <w:t>fair innings</w:t>
      </w:r>
      <w:r w:rsidR="002F5C8E" w:rsidRPr="002F5C8E">
        <w:rPr>
          <w:rFonts w:ascii="Times New Roman" w:eastAsia="Calibri" w:hAnsi="Times New Roman" w:cs="Times New Roman"/>
          <w:i/>
        </w:rPr>
        <w:t>'</w:t>
      </w:r>
      <w:r w:rsidR="00DC5548" w:rsidRPr="00B35A7D">
        <w:rPr>
          <w:rFonts w:ascii="Times New Roman" w:eastAsia="Calibri" w:hAnsi="Times New Roman" w:cs="Times New Roman"/>
        </w:rPr>
        <w:t>.</w:t>
      </w:r>
      <w:r w:rsidR="00DC5548" w:rsidRPr="00B53A5A">
        <w:rPr>
          <w:rFonts w:ascii="Times New Roman" w:eastAsia="Calibri" w:hAnsi="Times New Roman" w:cs="Times New Roman"/>
        </w:rPr>
        <w:t xml:space="preserve"> </w:t>
      </w:r>
      <w:r w:rsidR="001D3831">
        <w:rPr>
          <w:rFonts w:ascii="Times New Roman" w:eastAsia="Calibri" w:hAnsi="Times New Roman" w:cs="Times New Roman"/>
        </w:rPr>
        <w:t>T</w:t>
      </w:r>
      <w:r w:rsidR="00136556">
        <w:rPr>
          <w:rFonts w:ascii="Times New Roman" w:eastAsia="Calibri" w:hAnsi="Times New Roman" w:cs="Times New Roman"/>
        </w:rPr>
        <w:t>his aim has also been accepted by the CJE</w:t>
      </w:r>
      <w:r w:rsidR="00835FA3">
        <w:rPr>
          <w:rFonts w:ascii="Times New Roman" w:eastAsia="Calibri" w:hAnsi="Times New Roman" w:cs="Times New Roman"/>
        </w:rPr>
        <w:t>U as legitimate in a number of judgments</w:t>
      </w:r>
      <w:r w:rsidR="00081D89">
        <w:rPr>
          <w:rFonts w:ascii="Times New Roman" w:eastAsia="Calibri" w:hAnsi="Times New Roman" w:cs="Times New Roman"/>
        </w:rPr>
        <w:t>[94</w:t>
      </w:r>
      <w:r w:rsidR="000E495A">
        <w:rPr>
          <w:rFonts w:ascii="Times New Roman" w:eastAsia="Calibri" w:hAnsi="Times New Roman" w:cs="Times New Roman"/>
        </w:rPr>
        <w:t xml:space="preserve">]. </w:t>
      </w:r>
      <w:r w:rsidR="00DC5548">
        <w:rPr>
          <w:rFonts w:ascii="Times New Roman" w:eastAsia="Calibri" w:hAnsi="Times New Roman" w:cs="Times New Roman"/>
        </w:rPr>
        <w:t xml:space="preserve">The assumption underpinning this </w:t>
      </w:r>
      <w:r w:rsidR="00DC5548" w:rsidRPr="00B53A5A">
        <w:rPr>
          <w:rFonts w:ascii="Times New Roman" w:eastAsia="Calibri" w:hAnsi="Times New Roman" w:cs="Times New Roman"/>
        </w:rPr>
        <w:t>is that there are a fixed number of jobs available within the economy and that a person’s lifespan will be 40 years and upon completion of the 40 years they have earned enough to retire</w:t>
      </w:r>
      <w:r w:rsidR="00DC5548">
        <w:rPr>
          <w:rFonts w:ascii="Times New Roman" w:eastAsia="Calibri" w:hAnsi="Times New Roman" w:cs="Times New Roman"/>
        </w:rPr>
        <w:t xml:space="preserve"> (Vickers and</w:t>
      </w:r>
      <w:r w:rsidR="004A295E">
        <w:rPr>
          <w:rFonts w:ascii="Times New Roman" w:eastAsia="Calibri" w:hAnsi="Times New Roman" w:cs="Times New Roman"/>
        </w:rPr>
        <w:t xml:space="preserve"> Manfredi, 2013</w:t>
      </w:r>
      <w:r w:rsidR="00DC5548">
        <w:rPr>
          <w:rFonts w:ascii="Times New Roman" w:eastAsia="Calibri" w:hAnsi="Times New Roman" w:cs="Times New Roman"/>
        </w:rPr>
        <w:t>)</w:t>
      </w:r>
      <w:r w:rsidR="00DC5548" w:rsidRPr="00B53A5A">
        <w:rPr>
          <w:rFonts w:ascii="Times New Roman" w:eastAsia="Calibri" w:hAnsi="Times New Roman" w:cs="Times New Roman"/>
        </w:rPr>
        <w:t>.</w:t>
      </w:r>
      <w:r w:rsidR="00DC5548">
        <w:rPr>
          <w:rFonts w:ascii="Times New Roman" w:eastAsia="Calibri" w:hAnsi="Times New Roman" w:cs="Times New Roman"/>
        </w:rPr>
        <w:t xml:space="preserve"> It also presumes </w:t>
      </w:r>
      <w:r w:rsidR="00DC5548" w:rsidRPr="00B53A5A">
        <w:rPr>
          <w:rFonts w:ascii="Times New Roman" w:eastAsia="Calibri" w:hAnsi="Times New Roman" w:cs="Times New Roman"/>
        </w:rPr>
        <w:t xml:space="preserve">that older </w:t>
      </w:r>
      <w:r w:rsidR="00C07267">
        <w:rPr>
          <w:rFonts w:ascii="Times New Roman" w:eastAsia="Calibri" w:hAnsi="Times New Roman" w:cs="Times New Roman"/>
        </w:rPr>
        <w:t>staff</w:t>
      </w:r>
      <w:r w:rsidR="00DC5548" w:rsidRPr="00B53A5A">
        <w:rPr>
          <w:rFonts w:ascii="Times New Roman" w:eastAsia="Calibri" w:hAnsi="Times New Roman" w:cs="Times New Roman"/>
        </w:rPr>
        <w:t xml:space="preserve"> block the employment of younger workers and should therefore leave employment to make way for those younger workers</w:t>
      </w:r>
      <w:r w:rsidR="00DC5548">
        <w:rPr>
          <w:rFonts w:ascii="Times New Roman" w:eastAsia="Calibri" w:hAnsi="Times New Roman" w:cs="Times New Roman"/>
        </w:rPr>
        <w:t xml:space="preserve">. </w:t>
      </w:r>
      <w:r w:rsidR="00DC5548" w:rsidRPr="00B53A5A">
        <w:rPr>
          <w:rFonts w:ascii="Times New Roman" w:hAnsi="Times New Roman"/>
        </w:rPr>
        <w:t>It would be a stereotype to rely upon such aims without evidence to support the contention that there was a difficulty in recruiting younger workers.</w:t>
      </w:r>
      <w:r w:rsidR="00DC5548" w:rsidRPr="00B53A5A">
        <w:rPr>
          <w:rFonts w:ascii="Times New Roman" w:hAnsi="Times New Roman"/>
          <w:bCs/>
        </w:rPr>
        <w:t xml:space="preserve"> </w:t>
      </w:r>
    </w:p>
    <w:p w14:paraId="10D5CAEF" w14:textId="1C21D452" w:rsidR="00DC5548" w:rsidRDefault="00606D7D" w:rsidP="001F64D4">
      <w:pPr>
        <w:spacing w:after="0" w:line="240" w:lineRule="auto"/>
        <w:ind w:firstLine="720"/>
        <w:jc w:val="both"/>
        <w:rPr>
          <w:rFonts w:ascii="Times New Roman" w:eastAsia="Calibri" w:hAnsi="Times New Roman" w:cs="Times New Roman"/>
        </w:rPr>
      </w:pPr>
      <w:r>
        <w:rPr>
          <w:rFonts w:ascii="Times New Roman" w:hAnsi="Times New Roman"/>
          <w:bCs/>
        </w:rPr>
        <w:t xml:space="preserve">However, the application of this aim has resulted in decisions where evidence was not </w:t>
      </w:r>
      <w:r w:rsidRPr="001F64D4">
        <w:rPr>
          <w:rFonts w:ascii="Times New Roman" w:hAnsi="Times New Roman"/>
          <w:bCs/>
        </w:rPr>
        <w:t xml:space="preserve">submitted. </w:t>
      </w:r>
      <w:r w:rsidR="007C28A1">
        <w:rPr>
          <w:rFonts w:ascii="Times New Roman" w:eastAsia="Calibri" w:hAnsi="Times New Roman" w:cs="Times New Roman"/>
        </w:rPr>
        <w:t>In particular in</w:t>
      </w:r>
      <w:r w:rsidR="00593797" w:rsidRPr="001F64D4">
        <w:rPr>
          <w:rFonts w:ascii="Times New Roman" w:eastAsia="Calibri" w:hAnsi="Times New Roman" w:cs="Times New Roman"/>
        </w:rPr>
        <w:t xml:space="preserve"> </w:t>
      </w:r>
      <w:r w:rsidR="00593797" w:rsidRPr="001F64D4">
        <w:rPr>
          <w:rFonts w:ascii="Times New Roman" w:hAnsi="Times New Roman"/>
          <w:i/>
        </w:rPr>
        <w:t>Macculloch v Imperial Chemical Industries Plc</w:t>
      </w:r>
      <w:r w:rsidRPr="001F64D4">
        <w:rPr>
          <w:rFonts w:ascii="Times New Roman" w:hAnsi="Times New Roman"/>
        </w:rPr>
        <w:t>[9</w:t>
      </w:r>
      <w:r w:rsidR="00081D89">
        <w:rPr>
          <w:rFonts w:ascii="Times New Roman" w:hAnsi="Times New Roman"/>
        </w:rPr>
        <w:t>5</w:t>
      </w:r>
      <w:r w:rsidRPr="001F64D4">
        <w:rPr>
          <w:rFonts w:ascii="Times New Roman" w:hAnsi="Times New Roman"/>
        </w:rPr>
        <w:t>] t</w:t>
      </w:r>
      <w:r w:rsidR="00593797" w:rsidRPr="001F64D4">
        <w:rPr>
          <w:rFonts w:ascii="Times New Roman" w:hAnsi="Times New Roman"/>
        </w:rPr>
        <w:t>he respondent relied upon the '</w:t>
      </w:r>
      <w:r w:rsidR="00593797" w:rsidRPr="001F64D4">
        <w:rPr>
          <w:rFonts w:ascii="Times New Roman" w:hAnsi="Times New Roman"/>
          <w:i/>
        </w:rPr>
        <w:t>job blocking</w:t>
      </w:r>
      <w:r w:rsidR="00593797" w:rsidRPr="001F64D4">
        <w:rPr>
          <w:rFonts w:ascii="Times New Roman" w:hAnsi="Times New Roman"/>
        </w:rPr>
        <w:t xml:space="preserve">' aim that a more generous redundancy package for older workers </w:t>
      </w:r>
      <w:r w:rsidR="009B104B">
        <w:rPr>
          <w:rFonts w:ascii="Times New Roman" w:hAnsi="Times New Roman"/>
        </w:rPr>
        <w:t>gives support</w:t>
      </w:r>
      <w:r w:rsidR="009B104B" w:rsidRPr="001F64D4">
        <w:rPr>
          <w:rFonts w:ascii="Times New Roman" w:hAnsi="Times New Roman"/>
        </w:rPr>
        <w:t xml:space="preserve"> </w:t>
      </w:r>
      <w:r w:rsidR="009B104B">
        <w:rPr>
          <w:rFonts w:ascii="Times New Roman" w:hAnsi="Times New Roman"/>
        </w:rPr>
        <w:t xml:space="preserve">to </w:t>
      </w:r>
      <w:r w:rsidR="00593797" w:rsidRPr="001F64D4">
        <w:rPr>
          <w:rFonts w:ascii="Times New Roman" w:hAnsi="Times New Roman"/>
        </w:rPr>
        <w:t xml:space="preserve">them </w:t>
      </w:r>
      <w:r w:rsidR="009B104B">
        <w:rPr>
          <w:rFonts w:ascii="Times New Roman" w:hAnsi="Times New Roman"/>
        </w:rPr>
        <w:t>leaving</w:t>
      </w:r>
      <w:r w:rsidR="00593797" w:rsidRPr="001F64D4">
        <w:rPr>
          <w:rFonts w:ascii="Times New Roman" w:hAnsi="Times New Roman"/>
        </w:rPr>
        <w:t xml:space="preserve"> the employment market and thereby make way for younger workers. </w:t>
      </w:r>
      <w:r w:rsidR="00593797" w:rsidRPr="001F64D4">
        <w:rPr>
          <w:rFonts w:ascii="Times New Roman" w:eastAsia="Calibri" w:hAnsi="Times New Roman" w:cs="Times New Roman"/>
        </w:rPr>
        <w:t xml:space="preserve">This may </w:t>
      </w:r>
      <w:r w:rsidR="00593797" w:rsidRPr="009B104B">
        <w:rPr>
          <w:rFonts w:ascii="Times New Roman" w:eastAsia="Calibri" w:hAnsi="Times New Roman" w:cs="Times New Roman"/>
        </w:rPr>
        <w:t>encourage</w:t>
      </w:r>
      <w:r w:rsidR="00593797" w:rsidRPr="001F64D4">
        <w:rPr>
          <w:rFonts w:ascii="Times New Roman" w:eastAsia="Calibri" w:hAnsi="Times New Roman" w:cs="Times New Roman"/>
        </w:rPr>
        <w:t xml:space="preserve"> a worker to leave and </w:t>
      </w:r>
      <w:r w:rsidR="009B104B">
        <w:rPr>
          <w:rFonts w:ascii="Times New Roman" w:eastAsia="Calibri" w:hAnsi="Times New Roman" w:cs="Times New Roman"/>
        </w:rPr>
        <w:t>in turn increase</w:t>
      </w:r>
      <w:r w:rsidR="00593797" w:rsidRPr="001F64D4">
        <w:rPr>
          <w:rFonts w:ascii="Times New Roman" w:eastAsia="Calibri" w:hAnsi="Times New Roman" w:cs="Times New Roman"/>
        </w:rPr>
        <w:t xml:space="preserve"> turnover, but it was </w:t>
      </w:r>
      <w:r w:rsidR="00593797" w:rsidRPr="009B104B">
        <w:rPr>
          <w:rFonts w:ascii="Times New Roman" w:eastAsia="Calibri" w:hAnsi="Times New Roman" w:cs="Times New Roman"/>
        </w:rPr>
        <w:t>unclear</w:t>
      </w:r>
      <w:r w:rsidR="00593797" w:rsidRPr="001F64D4">
        <w:rPr>
          <w:rFonts w:ascii="Times New Roman" w:eastAsia="Calibri" w:hAnsi="Times New Roman" w:cs="Times New Roman"/>
        </w:rPr>
        <w:t xml:space="preserve"> exactly why it was necessary for older workers to be targeted. It was also </w:t>
      </w:r>
      <w:r w:rsidR="00593797" w:rsidRPr="009B104B">
        <w:rPr>
          <w:rFonts w:ascii="Times New Roman" w:eastAsia="Calibri" w:hAnsi="Times New Roman" w:cs="Times New Roman"/>
        </w:rPr>
        <w:t>unclear</w:t>
      </w:r>
      <w:r w:rsidR="00593797" w:rsidRPr="001F64D4">
        <w:rPr>
          <w:rFonts w:ascii="Times New Roman" w:eastAsia="Calibri" w:hAnsi="Times New Roman" w:cs="Times New Roman"/>
        </w:rPr>
        <w:t xml:space="preserve"> </w:t>
      </w:r>
      <w:r w:rsidRPr="001F64D4">
        <w:rPr>
          <w:rFonts w:ascii="Times New Roman" w:eastAsia="Calibri" w:hAnsi="Times New Roman" w:cs="Times New Roman"/>
        </w:rPr>
        <w:t xml:space="preserve">in that case </w:t>
      </w:r>
      <w:r w:rsidR="00593797" w:rsidRPr="001F64D4">
        <w:rPr>
          <w:rFonts w:ascii="Times New Roman" w:eastAsia="Calibri" w:hAnsi="Times New Roman" w:cs="Times New Roman"/>
        </w:rPr>
        <w:t xml:space="preserve">how there was a job blocking problem arising from older workers being in employment. </w:t>
      </w:r>
      <w:r w:rsidR="00352AD1" w:rsidRPr="001F64D4">
        <w:rPr>
          <w:rFonts w:ascii="Times New Roman" w:hAnsi="Times New Roman"/>
          <w:bCs/>
        </w:rPr>
        <w:t>On the one hand in</w:t>
      </w:r>
      <w:r w:rsidR="00835FA3">
        <w:rPr>
          <w:rFonts w:ascii="Times New Roman" w:hAnsi="Times New Roman"/>
          <w:bCs/>
        </w:rPr>
        <w:t xml:space="preserve"> the</w:t>
      </w:r>
      <w:r w:rsidR="00352AD1" w:rsidRPr="001F64D4">
        <w:rPr>
          <w:rFonts w:ascii="Times New Roman" w:hAnsi="Times New Roman"/>
          <w:bCs/>
        </w:rPr>
        <w:t xml:space="preserve"> </w:t>
      </w:r>
      <w:r w:rsidR="00472B2E">
        <w:rPr>
          <w:rFonts w:ascii="Times New Roman" w:hAnsi="Times New Roman"/>
          <w:bCs/>
        </w:rPr>
        <w:t xml:space="preserve">first instance </w:t>
      </w:r>
      <w:r w:rsidR="008013C4">
        <w:rPr>
          <w:rFonts w:ascii="Times New Roman" w:hAnsi="Times New Roman"/>
          <w:bCs/>
        </w:rPr>
        <w:t xml:space="preserve">decision </w:t>
      </w:r>
      <w:r w:rsidR="008013C4" w:rsidRPr="001F64D4">
        <w:rPr>
          <w:rFonts w:ascii="Times New Roman" w:hAnsi="Times New Roman"/>
          <w:bCs/>
        </w:rPr>
        <w:t>of</w:t>
      </w:r>
      <w:r w:rsidR="00352AD1" w:rsidRPr="001F64D4">
        <w:rPr>
          <w:rFonts w:ascii="Times New Roman" w:hAnsi="Times New Roman"/>
          <w:bCs/>
        </w:rPr>
        <w:t xml:space="preserve"> </w:t>
      </w:r>
      <w:r w:rsidR="00352AD1" w:rsidRPr="00472B2E">
        <w:rPr>
          <w:rFonts w:ascii="Times New Roman" w:hAnsi="Times New Roman"/>
          <w:bCs/>
          <w:i/>
        </w:rPr>
        <w:t>Galt</w:t>
      </w:r>
      <w:r w:rsidR="007C28A1" w:rsidRPr="00D27E01">
        <w:rPr>
          <w:rFonts w:ascii="Times New Roman" w:hAnsi="Times New Roman"/>
          <w:i/>
        </w:rPr>
        <w:t xml:space="preserve"> and others v National Starch and Chemical Limited</w:t>
      </w:r>
      <w:r w:rsidR="007C28A1" w:rsidRPr="00472B2E">
        <w:rPr>
          <w:rFonts w:ascii="Times New Roman" w:hAnsi="Times New Roman"/>
          <w:bCs/>
        </w:rPr>
        <w:t>[9</w:t>
      </w:r>
      <w:r w:rsidR="00081D89">
        <w:rPr>
          <w:rFonts w:ascii="Times New Roman" w:hAnsi="Times New Roman"/>
          <w:bCs/>
        </w:rPr>
        <w:t>6</w:t>
      </w:r>
      <w:r w:rsidR="007C28A1" w:rsidRPr="007C28A1">
        <w:rPr>
          <w:rFonts w:ascii="Times New Roman" w:hAnsi="Times New Roman"/>
          <w:bCs/>
        </w:rPr>
        <w:t>]</w:t>
      </w:r>
      <w:r w:rsidR="00352AD1" w:rsidRPr="001F64D4">
        <w:rPr>
          <w:rFonts w:ascii="Times New Roman" w:hAnsi="Times New Roman"/>
          <w:bCs/>
        </w:rPr>
        <w:t xml:space="preserve"> the need for statistical evidence was emphasised but on the other hand the EAT considered in </w:t>
      </w:r>
      <w:r w:rsidR="00352AD1" w:rsidRPr="001F64D4">
        <w:rPr>
          <w:rFonts w:ascii="Times New Roman" w:hAnsi="Times New Roman"/>
          <w:bCs/>
          <w:i/>
        </w:rPr>
        <w:t>Macculloch</w:t>
      </w:r>
      <w:r w:rsidR="00352AD1" w:rsidRPr="001F64D4">
        <w:rPr>
          <w:rFonts w:ascii="Times New Roman" w:hAnsi="Times New Roman"/>
          <w:bCs/>
        </w:rPr>
        <w:t xml:space="preserve"> that an ET is entitled to draw from its own experience</w:t>
      </w:r>
      <w:r w:rsidR="001F64D4" w:rsidRPr="001F64D4">
        <w:rPr>
          <w:rFonts w:ascii="Times New Roman" w:eastAsia="Calibri" w:hAnsi="Times New Roman" w:cs="Times New Roman"/>
        </w:rPr>
        <w:t>.</w:t>
      </w:r>
      <w:r w:rsidR="001F64D4">
        <w:rPr>
          <w:rFonts w:ascii="Times New Roman" w:eastAsia="Calibri" w:hAnsi="Times New Roman" w:cs="Times New Roman"/>
        </w:rPr>
        <w:t xml:space="preserve"> </w:t>
      </w:r>
    </w:p>
    <w:p w14:paraId="74D6E074" w14:textId="77777777" w:rsidR="001F64D4" w:rsidRPr="001F64D4" w:rsidRDefault="001F64D4" w:rsidP="001F64D4">
      <w:pPr>
        <w:spacing w:after="0" w:line="240" w:lineRule="auto"/>
        <w:ind w:firstLine="720"/>
        <w:jc w:val="both"/>
        <w:rPr>
          <w:rFonts w:ascii="Times New Roman" w:eastAsia="Calibri" w:hAnsi="Times New Roman" w:cs="Times New Roman"/>
          <w:sz w:val="24"/>
          <w:szCs w:val="24"/>
        </w:rPr>
      </w:pPr>
    </w:p>
    <w:p w14:paraId="726DB3BB" w14:textId="77777777" w:rsidR="00DC5548" w:rsidRPr="00B53A5A" w:rsidRDefault="00DC5548" w:rsidP="00374B26">
      <w:pPr>
        <w:spacing w:line="240" w:lineRule="auto"/>
        <w:contextualSpacing/>
        <w:jc w:val="both"/>
        <w:rPr>
          <w:rFonts w:ascii="Times New Roman" w:hAnsi="Times New Roman" w:cs="Times New Roman"/>
          <w:b/>
        </w:rPr>
      </w:pPr>
      <w:r w:rsidRPr="00B53A5A">
        <w:rPr>
          <w:rFonts w:ascii="Times New Roman" w:hAnsi="Times New Roman" w:cs="Times New Roman"/>
          <w:b/>
        </w:rPr>
        <w:t xml:space="preserve">Conclusion </w:t>
      </w:r>
    </w:p>
    <w:p w14:paraId="7594F4DB" w14:textId="58DB0B14" w:rsidR="00374B26" w:rsidRDefault="008013C4" w:rsidP="00387497">
      <w:pPr>
        <w:spacing w:after="0" w:line="240" w:lineRule="auto"/>
        <w:contextualSpacing/>
        <w:jc w:val="both"/>
        <w:rPr>
          <w:rFonts w:ascii="Times New Roman" w:hAnsi="Times New Roman" w:cs="Times New Roman"/>
        </w:rPr>
      </w:pPr>
      <w:r>
        <w:rPr>
          <w:rFonts w:ascii="Times New Roman" w:eastAsia="Calibri" w:hAnsi="Times New Roman" w:cs="Times New Roman"/>
        </w:rPr>
        <w:t>T</w:t>
      </w:r>
      <w:r w:rsidR="00DC5548" w:rsidRPr="00B53A5A">
        <w:rPr>
          <w:rFonts w:ascii="Times New Roman" w:eastAsia="Calibri" w:hAnsi="Times New Roman" w:cs="Times New Roman"/>
        </w:rPr>
        <w:t xml:space="preserve">he </w:t>
      </w:r>
      <w:r w:rsidR="009B104B">
        <w:rPr>
          <w:rFonts w:ascii="Times New Roman" w:eastAsia="Calibri" w:hAnsi="Times New Roman" w:cs="Times New Roman"/>
        </w:rPr>
        <w:t>Equality Act 2010</w:t>
      </w:r>
      <w:r w:rsidR="009B104B" w:rsidRPr="00B53A5A">
        <w:rPr>
          <w:rFonts w:ascii="Times New Roman" w:eastAsia="Calibri" w:hAnsi="Times New Roman" w:cs="Times New Roman"/>
        </w:rPr>
        <w:t xml:space="preserve"> </w:t>
      </w:r>
      <w:r>
        <w:rPr>
          <w:rFonts w:ascii="Times New Roman" w:eastAsia="Calibri" w:hAnsi="Times New Roman" w:cs="Times New Roman"/>
        </w:rPr>
        <w:t>gives</w:t>
      </w:r>
      <w:r w:rsidR="009B104B" w:rsidRPr="00B53A5A">
        <w:rPr>
          <w:rFonts w:ascii="Times New Roman" w:eastAsia="Calibri" w:hAnsi="Times New Roman" w:cs="Times New Roman"/>
        </w:rPr>
        <w:t xml:space="preserve"> </w:t>
      </w:r>
      <w:r w:rsidR="00DC5548" w:rsidRPr="00B53A5A">
        <w:rPr>
          <w:rFonts w:ascii="Times New Roman" w:eastAsia="Calibri" w:hAnsi="Times New Roman" w:cs="Times New Roman"/>
        </w:rPr>
        <w:t xml:space="preserve">courts and ETs </w:t>
      </w:r>
      <w:r>
        <w:rPr>
          <w:rFonts w:ascii="Times New Roman" w:eastAsia="Calibri" w:hAnsi="Times New Roman" w:cs="Times New Roman"/>
        </w:rPr>
        <w:t xml:space="preserve">the </w:t>
      </w:r>
      <w:r w:rsidR="00DC5548" w:rsidRPr="00B53A5A">
        <w:rPr>
          <w:rFonts w:ascii="Times New Roman" w:eastAsia="Calibri" w:hAnsi="Times New Roman" w:cs="Times New Roman"/>
        </w:rPr>
        <w:t xml:space="preserve">flexibility </w:t>
      </w:r>
      <w:r>
        <w:rPr>
          <w:rFonts w:ascii="Times New Roman" w:eastAsia="Calibri" w:hAnsi="Times New Roman" w:cs="Times New Roman"/>
        </w:rPr>
        <w:t>to determine</w:t>
      </w:r>
      <w:r w:rsidR="00DC5548" w:rsidRPr="00B53A5A">
        <w:rPr>
          <w:rFonts w:ascii="Times New Roman" w:eastAsia="Calibri" w:hAnsi="Times New Roman" w:cs="Times New Roman"/>
        </w:rPr>
        <w:t xml:space="preserve"> the boundaries of the prohibition against direct age discrimination </w:t>
      </w:r>
      <w:r w:rsidR="00DC5548">
        <w:rPr>
          <w:rFonts w:ascii="Times New Roman" w:eastAsia="Calibri" w:hAnsi="Times New Roman" w:cs="Times New Roman"/>
        </w:rPr>
        <w:t xml:space="preserve">and </w:t>
      </w:r>
      <w:r w:rsidR="002F5C8E">
        <w:rPr>
          <w:rFonts w:ascii="Times New Roman" w:eastAsia="Calibri" w:hAnsi="Times New Roman" w:cs="Times New Roman"/>
        </w:rPr>
        <w:t xml:space="preserve">therefore </w:t>
      </w:r>
      <w:r>
        <w:rPr>
          <w:rFonts w:ascii="Times New Roman" w:eastAsia="Calibri" w:hAnsi="Times New Roman" w:cs="Times New Roman"/>
        </w:rPr>
        <w:t xml:space="preserve">this left </w:t>
      </w:r>
      <w:r w:rsidR="001C2107">
        <w:rPr>
          <w:rFonts w:ascii="Times New Roman" w:eastAsia="Calibri" w:hAnsi="Times New Roman" w:cs="Times New Roman"/>
        </w:rPr>
        <w:t xml:space="preserve">a </w:t>
      </w:r>
      <w:r w:rsidR="002F5C8E">
        <w:rPr>
          <w:rFonts w:ascii="Times New Roman" w:eastAsia="Calibri" w:hAnsi="Times New Roman" w:cs="Times New Roman"/>
        </w:rPr>
        <w:t>question</w:t>
      </w:r>
      <w:r w:rsidR="00DC5548">
        <w:rPr>
          <w:rFonts w:ascii="Times New Roman" w:eastAsia="Calibri" w:hAnsi="Times New Roman" w:cs="Times New Roman"/>
        </w:rPr>
        <w:t xml:space="preserve"> whether age stereotyping would be </w:t>
      </w:r>
      <w:r w:rsidR="002F5C8E">
        <w:rPr>
          <w:rFonts w:ascii="Times New Roman" w:eastAsia="Calibri" w:hAnsi="Times New Roman" w:cs="Times New Roman"/>
        </w:rPr>
        <w:t>tackled through legislation</w:t>
      </w:r>
      <w:r w:rsidR="00DC5548" w:rsidRPr="00B53A5A">
        <w:rPr>
          <w:rFonts w:ascii="Times New Roman" w:eastAsia="Calibri" w:hAnsi="Times New Roman" w:cs="Times New Roman"/>
        </w:rPr>
        <w:t xml:space="preserve">. </w:t>
      </w:r>
      <w:r w:rsidR="00DC5548">
        <w:rPr>
          <w:rFonts w:ascii="Times New Roman" w:eastAsia="Calibri" w:hAnsi="Times New Roman" w:cs="Times New Roman"/>
        </w:rPr>
        <w:t>As the</w:t>
      </w:r>
      <w:r w:rsidR="00DC5548" w:rsidRPr="00B53A5A">
        <w:rPr>
          <w:rFonts w:ascii="Times New Roman" w:eastAsia="Calibri" w:hAnsi="Times New Roman" w:cs="Times New Roman"/>
        </w:rPr>
        <w:t xml:space="preserve"> path of UK age discrimination legislation has been </w:t>
      </w:r>
      <w:r w:rsidR="00DC5548" w:rsidRPr="00D27E01">
        <w:rPr>
          <w:rFonts w:ascii="Times New Roman" w:eastAsia="Calibri" w:hAnsi="Times New Roman" w:cs="Times New Roman"/>
        </w:rPr>
        <w:t>left</w:t>
      </w:r>
      <w:r w:rsidR="00DC5548" w:rsidRPr="00B53A5A">
        <w:rPr>
          <w:rFonts w:ascii="Times New Roman" w:eastAsia="Calibri" w:hAnsi="Times New Roman" w:cs="Times New Roman"/>
        </w:rPr>
        <w:t xml:space="preserve"> to the ETs and courts to </w:t>
      </w:r>
      <w:r w:rsidR="00DC5548" w:rsidRPr="00B53A5A">
        <w:rPr>
          <w:rFonts w:ascii="Times New Roman" w:hAnsi="Times New Roman" w:cs="Times New Roman"/>
        </w:rPr>
        <w:t xml:space="preserve">interpret </w:t>
      </w:r>
      <w:r w:rsidR="00771783">
        <w:rPr>
          <w:rFonts w:ascii="Times New Roman" w:hAnsi="Times New Roman" w:cs="Times New Roman"/>
        </w:rPr>
        <w:t xml:space="preserve">the vague concepts of what is a legitimate aim and proportionality, </w:t>
      </w:r>
      <w:r w:rsidR="00835FA3">
        <w:rPr>
          <w:rFonts w:ascii="Times New Roman" w:hAnsi="Times New Roman" w:cs="Times New Roman"/>
        </w:rPr>
        <w:t xml:space="preserve">this </w:t>
      </w:r>
      <w:r w:rsidR="00DC5548" w:rsidRPr="00B53A5A">
        <w:rPr>
          <w:rFonts w:ascii="Times New Roman" w:hAnsi="Times New Roman" w:cs="Times New Roman"/>
        </w:rPr>
        <w:t xml:space="preserve">makes it even harder for employers to understand the extent of their potential legal liability. </w:t>
      </w:r>
      <w:r w:rsidR="00B440AA" w:rsidRPr="00B53A5A">
        <w:rPr>
          <w:rFonts w:ascii="Times New Roman" w:hAnsi="Times New Roman" w:cs="Times New Roman"/>
        </w:rPr>
        <w:t xml:space="preserve">An analysis of direct age discrimination cases is helpful in informing any discussions a worker may have with their employer about their treatment at work, whether it is likely to be unlawful and in preparing their </w:t>
      </w:r>
      <w:r w:rsidR="00000DB2">
        <w:rPr>
          <w:rFonts w:ascii="Times New Roman" w:hAnsi="Times New Roman" w:cs="Times New Roman"/>
        </w:rPr>
        <w:t>ET</w:t>
      </w:r>
      <w:r w:rsidR="00B440AA" w:rsidRPr="00B53A5A">
        <w:rPr>
          <w:rFonts w:ascii="Times New Roman" w:hAnsi="Times New Roman" w:cs="Times New Roman"/>
        </w:rPr>
        <w:t xml:space="preserve"> case.</w:t>
      </w:r>
      <w:r w:rsidR="00B440AA">
        <w:rPr>
          <w:rFonts w:ascii="Times New Roman" w:hAnsi="Times New Roman" w:cs="Times New Roman"/>
        </w:rPr>
        <w:t xml:space="preserve"> Fieldwork observation is</w:t>
      </w:r>
      <w:r w:rsidR="00B440AA" w:rsidRPr="00B53A5A">
        <w:rPr>
          <w:rFonts w:ascii="Times New Roman" w:hAnsi="Times New Roman" w:cs="Times New Roman"/>
        </w:rPr>
        <w:t xml:space="preserve"> </w:t>
      </w:r>
      <w:r w:rsidR="00B440AA">
        <w:rPr>
          <w:rFonts w:ascii="Times New Roman" w:hAnsi="Times New Roman" w:cs="Times New Roman"/>
        </w:rPr>
        <w:t xml:space="preserve">further helpful to gain that deeper insight into the questioning by the ET and whether the judgments ultimately tackle </w:t>
      </w:r>
      <w:r w:rsidR="001C2107">
        <w:rPr>
          <w:rFonts w:ascii="Times New Roman" w:hAnsi="Times New Roman" w:cs="Times New Roman"/>
        </w:rPr>
        <w:t xml:space="preserve">any evidence of </w:t>
      </w:r>
      <w:r w:rsidR="00B440AA">
        <w:rPr>
          <w:rFonts w:ascii="Times New Roman" w:hAnsi="Times New Roman" w:cs="Times New Roman"/>
        </w:rPr>
        <w:t xml:space="preserve">age stereotyping that </w:t>
      </w:r>
      <w:r w:rsidR="001C2107">
        <w:rPr>
          <w:rFonts w:ascii="Times New Roman" w:hAnsi="Times New Roman" w:cs="Times New Roman"/>
        </w:rPr>
        <w:t>was</w:t>
      </w:r>
      <w:r w:rsidR="00B440AA">
        <w:rPr>
          <w:rFonts w:ascii="Times New Roman" w:hAnsi="Times New Roman" w:cs="Times New Roman"/>
        </w:rPr>
        <w:t xml:space="preserve"> apparent during the</w:t>
      </w:r>
      <w:r w:rsidR="001C2107">
        <w:rPr>
          <w:rFonts w:ascii="Times New Roman" w:hAnsi="Times New Roman" w:cs="Times New Roman"/>
        </w:rPr>
        <w:t xml:space="preserve"> fieldwork</w:t>
      </w:r>
      <w:r w:rsidR="00B440AA">
        <w:rPr>
          <w:rFonts w:ascii="Times New Roman" w:hAnsi="Times New Roman" w:cs="Times New Roman"/>
        </w:rPr>
        <w:t xml:space="preserve"> observation. </w:t>
      </w:r>
      <w:r w:rsidR="00387497">
        <w:rPr>
          <w:rFonts w:ascii="Times New Roman" w:hAnsi="Times New Roman" w:cs="Times New Roman"/>
        </w:rPr>
        <w:t>This</w:t>
      </w:r>
      <w:r w:rsidR="00387497" w:rsidRPr="00B53A5A">
        <w:rPr>
          <w:rFonts w:ascii="Times New Roman" w:hAnsi="Times New Roman" w:cs="Times New Roman"/>
        </w:rPr>
        <w:t xml:space="preserve"> article reveals some pertinent learning outcomes for </w:t>
      </w:r>
      <w:r w:rsidR="00387497">
        <w:rPr>
          <w:rFonts w:ascii="Times New Roman" w:hAnsi="Times New Roman" w:cs="Times New Roman"/>
        </w:rPr>
        <w:t>workers</w:t>
      </w:r>
      <w:r w:rsidR="00387497" w:rsidRPr="00B53A5A">
        <w:rPr>
          <w:rFonts w:ascii="Times New Roman" w:hAnsi="Times New Roman" w:cs="Times New Roman"/>
        </w:rPr>
        <w:t xml:space="preserve"> and employers and can assist in their understanding of the legislation.</w:t>
      </w:r>
    </w:p>
    <w:p w14:paraId="6E82735C" w14:textId="168A6C7E" w:rsidR="00387497" w:rsidRDefault="001C2107" w:rsidP="00387497">
      <w:pPr>
        <w:spacing w:before="240" w:after="0" w:line="240" w:lineRule="auto"/>
        <w:ind w:firstLine="720"/>
        <w:contextualSpacing/>
        <w:jc w:val="both"/>
        <w:rPr>
          <w:rFonts w:ascii="Times New Roman" w:hAnsi="Times New Roman" w:cs="Times New Roman"/>
        </w:rPr>
      </w:pPr>
      <w:r>
        <w:rPr>
          <w:rFonts w:ascii="Times New Roman" w:hAnsi="Times New Roman" w:cs="Times New Roman"/>
        </w:rPr>
        <w:t>Firstly, some</w:t>
      </w:r>
      <w:r w:rsidR="00DC5548" w:rsidRPr="00B53A5A">
        <w:rPr>
          <w:rFonts w:ascii="Times New Roman" w:hAnsi="Times New Roman" w:cs="Times New Roman"/>
        </w:rPr>
        <w:t xml:space="preserve"> important messages have emerged from the research</w:t>
      </w:r>
      <w:r w:rsidR="00B440AA">
        <w:rPr>
          <w:rFonts w:ascii="Times New Roman" w:hAnsi="Times New Roman" w:cs="Times New Roman"/>
        </w:rPr>
        <w:t xml:space="preserve"> for workers. </w:t>
      </w:r>
      <w:r>
        <w:rPr>
          <w:rFonts w:ascii="Times New Roman" w:hAnsi="Times New Roman" w:cs="Times New Roman"/>
        </w:rPr>
        <w:t>The signal from ETs</w:t>
      </w:r>
      <w:r w:rsidR="00387497">
        <w:rPr>
          <w:rFonts w:ascii="Times New Roman" w:hAnsi="Times New Roman" w:cs="Times New Roman"/>
        </w:rPr>
        <w:t xml:space="preserve"> </w:t>
      </w:r>
      <w:r>
        <w:rPr>
          <w:rFonts w:ascii="Times New Roman" w:hAnsi="Times New Roman" w:cs="Times New Roman"/>
        </w:rPr>
        <w:t>is that</w:t>
      </w:r>
      <w:r w:rsidR="00387497">
        <w:rPr>
          <w:rFonts w:ascii="Times New Roman" w:hAnsi="Times New Roman" w:cs="Times New Roman"/>
        </w:rPr>
        <w:t xml:space="preserve"> age</w:t>
      </w:r>
      <w:r>
        <w:rPr>
          <w:rFonts w:ascii="Times New Roman" w:hAnsi="Times New Roman" w:cs="Times New Roman"/>
        </w:rPr>
        <w:t xml:space="preserve"> stereotyping is not tolerated </w:t>
      </w:r>
      <w:r w:rsidR="00B440AA">
        <w:rPr>
          <w:rFonts w:ascii="Times New Roman" w:hAnsi="Times New Roman" w:cs="Times New Roman"/>
        </w:rPr>
        <w:t xml:space="preserve">and </w:t>
      </w:r>
      <w:r>
        <w:rPr>
          <w:rFonts w:ascii="Times New Roman" w:hAnsi="Times New Roman" w:cs="Times New Roman"/>
        </w:rPr>
        <w:t xml:space="preserve">the ET will focus </w:t>
      </w:r>
      <w:r w:rsidR="00472B2E">
        <w:rPr>
          <w:rFonts w:ascii="Times New Roman" w:hAnsi="Times New Roman" w:cs="Times New Roman"/>
        </w:rPr>
        <w:t>its</w:t>
      </w:r>
      <w:r>
        <w:rPr>
          <w:rFonts w:ascii="Times New Roman" w:hAnsi="Times New Roman" w:cs="Times New Roman"/>
        </w:rPr>
        <w:t xml:space="preserve"> questioning during the hearing so as to </w:t>
      </w:r>
      <w:r w:rsidR="00387497">
        <w:rPr>
          <w:rFonts w:ascii="Times New Roman" w:hAnsi="Times New Roman" w:cs="Times New Roman"/>
        </w:rPr>
        <w:t>determine</w:t>
      </w:r>
      <w:r>
        <w:rPr>
          <w:rFonts w:ascii="Times New Roman" w:hAnsi="Times New Roman" w:cs="Times New Roman"/>
        </w:rPr>
        <w:t xml:space="preserve"> whether employers have acted on the basis of a stereotypical assumption</w:t>
      </w:r>
      <w:r w:rsidR="00771783">
        <w:rPr>
          <w:rFonts w:ascii="Times New Roman" w:hAnsi="Times New Roman" w:cs="Times New Roman"/>
        </w:rPr>
        <w:t xml:space="preserve">. </w:t>
      </w:r>
      <w:r>
        <w:rPr>
          <w:rFonts w:ascii="Times New Roman" w:hAnsi="Times New Roman" w:cs="Times New Roman"/>
        </w:rPr>
        <w:t xml:space="preserve">Also the ETs have, on the whole, tackled age stereotyping in their judgments. </w:t>
      </w:r>
      <w:r w:rsidR="00387497">
        <w:rPr>
          <w:rFonts w:ascii="Times New Roman" w:hAnsi="Times New Roman" w:cs="Times New Roman"/>
        </w:rPr>
        <w:t>However,</w:t>
      </w:r>
      <w:r>
        <w:rPr>
          <w:rFonts w:ascii="Times New Roman" w:hAnsi="Times New Roman" w:cs="Times New Roman"/>
        </w:rPr>
        <w:t xml:space="preserve"> an </w:t>
      </w:r>
      <w:r w:rsidR="00D530C4">
        <w:rPr>
          <w:rFonts w:ascii="Times New Roman" w:hAnsi="Times New Roman" w:cs="Times New Roman"/>
        </w:rPr>
        <w:t>uncomfortable message to workers, especially older workers, is that</w:t>
      </w:r>
      <w:r>
        <w:rPr>
          <w:rFonts w:ascii="Times New Roman" w:hAnsi="Times New Roman" w:cs="Times New Roman"/>
        </w:rPr>
        <w:t xml:space="preserve"> there</w:t>
      </w:r>
      <w:r w:rsidR="00DC5548" w:rsidRPr="00B53A5A">
        <w:rPr>
          <w:rFonts w:ascii="Times New Roman" w:hAnsi="Times New Roman" w:cs="Times New Roman"/>
        </w:rPr>
        <w:t xml:space="preserve"> is some evidence that the </w:t>
      </w:r>
      <w:r w:rsidR="00B11556">
        <w:rPr>
          <w:rFonts w:ascii="Times New Roman" w:hAnsi="Times New Roman" w:cs="Times New Roman"/>
        </w:rPr>
        <w:t xml:space="preserve">definition of direct age discrimination </w:t>
      </w:r>
      <w:r w:rsidR="00DC5548" w:rsidRPr="00B53A5A">
        <w:rPr>
          <w:rFonts w:ascii="Times New Roman" w:hAnsi="Times New Roman" w:cs="Times New Roman"/>
        </w:rPr>
        <w:t xml:space="preserve">allows </w:t>
      </w:r>
      <w:r w:rsidR="00DC5548">
        <w:rPr>
          <w:rFonts w:ascii="Times New Roman" w:hAnsi="Times New Roman" w:cs="Times New Roman"/>
        </w:rPr>
        <w:t>stereotyping</w:t>
      </w:r>
      <w:r w:rsidR="00DC5548" w:rsidRPr="00B53A5A">
        <w:rPr>
          <w:rFonts w:ascii="Times New Roman" w:hAnsi="Times New Roman" w:cs="Times New Roman"/>
        </w:rPr>
        <w:t xml:space="preserve"> to be endorsed</w:t>
      </w:r>
      <w:r w:rsidR="00387497">
        <w:rPr>
          <w:rFonts w:ascii="Times New Roman" w:hAnsi="Times New Roman" w:cs="Times New Roman"/>
        </w:rPr>
        <w:t xml:space="preserve"> by ETs and courts</w:t>
      </w:r>
      <w:r w:rsidR="00DC5548" w:rsidRPr="00B53A5A">
        <w:rPr>
          <w:rFonts w:ascii="Times New Roman" w:hAnsi="Times New Roman" w:cs="Times New Roman"/>
        </w:rPr>
        <w:t xml:space="preserve">. This is particularly so given that the interests of older workers in remaining in employment are treated as subordinate to the interests of younger workers in the acceptance of the </w:t>
      </w:r>
      <w:r w:rsidR="00DC5548">
        <w:rPr>
          <w:rFonts w:ascii="Times New Roman" w:hAnsi="Times New Roman" w:cs="Times New Roman"/>
        </w:rPr>
        <w:t>‘</w:t>
      </w:r>
      <w:r w:rsidR="00DC5548" w:rsidRPr="00B32324">
        <w:rPr>
          <w:rFonts w:ascii="Times New Roman" w:hAnsi="Times New Roman" w:cs="Times New Roman"/>
          <w:i/>
        </w:rPr>
        <w:t>intergenerational fairness’</w:t>
      </w:r>
      <w:r w:rsidR="00DC5548" w:rsidRPr="00B53A5A">
        <w:rPr>
          <w:rFonts w:ascii="Times New Roman" w:hAnsi="Times New Roman" w:cs="Times New Roman"/>
        </w:rPr>
        <w:t xml:space="preserve"> and </w:t>
      </w:r>
      <w:r w:rsidR="00DC5548">
        <w:rPr>
          <w:rFonts w:ascii="Times New Roman" w:hAnsi="Times New Roman" w:cs="Times New Roman"/>
        </w:rPr>
        <w:t>‘</w:t>
      </w:r>
      <w:r w:rsidR="00DC5548" w:rsidRPr="00B32324">
        <w:rPr>
          <w:rFonts w:ascii="Times New Roman" w:hAnsi="Times New Roman" w:cs="Times New Roman"/>
          <w:i/>
        </w:rPr>
        <w:t>dignity’</w:t>
      </w:r>
      <w:r w:rsidR="00DC5548" w:rsidRPr="00B53A5A">
        <w:rPr>
          <w:rFonts w:ascii="Times New Roman" w:hAnsi="Times New Roman" w:cs="Times New Roman"/>
        </w:rPr>
        <w:t xml:space="preserve"> </w:t>
      </w:r>
      <w:r w:rsidR="00B11556">
        <w:rPr>
          <w:rFonts w:ascii="Times New Roman" w:hAnsi="Times New Roman" w:cs="Times New Roman"/>
        </w:rPr>
        <w:t xml:space="preserve">as legitimate </w:t>
      </w:r>
      <w:r w:rsidR="00DC5548" w:rsidRPr="00B53A5A">
        <w:rPr>
          <w:rFonts w:ascii="Times New Roman" w:hAnsi="Times New Roman" w:cs="Times New Roman"/>
        </w:rPr>
        <w:t xml:space="preserve">aims. </w:t>
      </w:r>
      <w:r w:rsidR="00387497" w:rsidRPr="00B53A5A">
        <w:rPr>
          <w:rFonts w:ascii="Times New Roman" w:hAnsi="Times New Roman" w:cs="Times New Roman"/>
        </w:rPr>
        <w:t xml:space="preserve"> </w:t>
      </w:r>
      <w:r w:rsidR="00387497">
        <w:rPr>
          <w:rFonts w:ascii="Times New Roman" w:hAnsi="Times New Roman" w:cs="Times New Roman"/>
        </w:rPr>
        <w:t xml:space="preserve">Although the claimant was unsuccessful in </w:t>
      </w:r>
      <w:r w:rsidR="00387497" w:rsidRPr="00387497">
        <w:rPr>
          <w:rFonts w:ascii="Times New Roman" w:hAnsi="Times New Roman" w:cs="Times New Roman"/>
          <w:i/>
        </w:rPr>
        <w:t>Seldon</w:t>
      </w:r>
      <w:r w:rsidR="00387497">
        <w:rPr>
          <w:rFonts w:ascii="Times New Roman" w:hAnsi="Times New Roman" w:cs="Times New Roman"/>
        </w:rPr>
        <w:t>, the decision</w:t>
      </w:r>
      <w:r w:rsidR="00387497" w:rsidRPr="00B53A5A">
        <w:rPr>
          <w:rFonts w:ascii="Times New Roman" w:eastAsia="Calibri" w:hAnsi="Times New Roman" w:cs="Times New Roman"/>
        </w:rPr>
        <w:t xml:space="preserve"> has laid down important principles for future cases in tackling age stereotyping. One reason the ET </w:t>
      </w:r>
      <w:r w:rsidR="00387497">
        <w:rPr>
          <w:rFonts w:ascii="Times New Roman" w:eastAsia="Calibri" w:hAnsi="Times New Roman" w:cs="Times New Roman"/>
        </w:rPr>
        <w:t>in 2007</w:t>
      </w:r>
      <w:r w:rsidR="00387497" w:rsidRPr="00B53A5A">
        <w:rPr>
          <w:rFonts w:ascii="Times New Roman" w:eastAsia="Calibri" w:hAnsi="Times New Roman" w:cs="Times New Roman"/>
        </w:rPr>
        <w:t xml:space="preserve"> may have failed to tackle the stereotyping is that the </w:t>
      </w:r>
      <w:r w:rsidR="00387497">
        <w:rPr>
          <w:rFonts w:ascii="Times New Roman" w:eastAsia="Calibri" w:hAnsi="Times New Roman" w:cs="Times New Roman"/>
        </w:rPr>
        <w:t>Employment Equality (Age)</w:t>
      </w:r>
      <w:r w:rsidR="00387497" w:rsidRPr="00B53A5A">
        <w:rPr>
          <w:rFonts w:ascii="Times New Roman" w:eastAsia="Calibri" w:hAnsi="Times New Roman" w:cs="Times New Roman"/>
        </w:rPr>
        <w:t xml:space="preserve"> Regulations 2006</w:t>
      </w:r>
      <w:r w:rsidR="00387497">
        <w:rPr>
          <w:rFonts w:ascii="Times New Roman" w:eastAsia="Calibri" w:hAnsi="Times New Roman" w:cs="Times New Roman"/>
        </w:rPr>
        <w:t>[9</w:t>
      </w:r>
      <w:r w:rsidR="00081D89">
        <w:rPr>
          <w:rFonts w:ascii="Times New Roman" w:eastAsia="Calibri" w:hAnsi="Times New Roman" w:cs="Times New Roman"/>
        </w:rPr>
        <w:t>7</w:t>
      </w:r>
      <w:r w:rsidR="00387497">
        <w:rPr>
          <w:rFonts w:ascii="Times New Roman" w:eastAsia="Calibri" w:hAnsi="Times New Roman" w:cs="Times New Roman"/>
        </w:rPr>
        <w:t>]</w:t>
      </w:r>
      <w:r w:rsidR="00387497" w:rsidRPr="00B53A5A">
        <w:rPr>
          <w:rFonts w:ascii="Times New Roman" w:eastAsia="Calibri" w:hAnsi="Times New Roman" w:cs="Times New Roman"/>
        </w:rPr>
        <w:t xml:space="preserve"> had </w:t>
      </w:r>
      <w:r w:rsidR="00203077">
        <w:rPr>
          <w:rFonts w:ascii="Times New Roman" w:eastAsia="Calibri" w:hAnsi="Times New Roman" w:cs="Times New Roman"/>
        </w:rPr>
        <w:t xml:space="preserve">just come into force against the history </w:t>
      </w:r>
      <w:r w:rsidR="00387497" w:rsidRPr="00B53A5A">
        <w:rPr>
          <w:rFonts w:ascii="Times New Roman" w:eastAsia="Calibri" w:hAnsi="Times New Roman" w:cs="Times New Roman"/>
        </w:rPr>
        <w:t xml:space="preserve">of age </w:t>
      </w:r>
      <w:r w:rsidR="00387497">
        <w:rPr>
          <w:rFonts w:ascii="Times New Roman" w:eastAsia="Calibri" w:hAnsi="Times New Roman" w:cs="Times New Roman"/>
        </w:rPr>
        <w:t xml:space="preserve">being frequently used </w:t>
      </w:r>
      <w:r w:rsidR="00203077">
        <w:rPr>
          <w:rFonts w:ascii="Times New Roman" w:eastAsia="Calibri" w:hAnsi="Times New Roman" w:cs="Times New Roman"/>
        </w:rPr>
        <w:t>in</w:t>
      </w:r>
      <w:r w:rsidR="00387497" w:rsidRPr="00B53A5A">
        <w:rPr>
          <w:rFonts w:ascii="Times New Roman" w:eastAsia="Calibri" w:hAnsi="Times New Roman" w:cs="Times New Roman"/>
        </w:rPr>
        <w:t xml:space="preserve"> decision making</w:t>
      </w:r>
      <w:r w:rsidR="0041351F">
        <w:rPr>
          <w:rFonts w:ascii="Times New Roman" w:eastAsia="Calibri" w:hAnsi="Times New Roman" w:cs="Times New Roman"/>
        </w:rPr>
        <w:t xml:space="preserve"> (Martin, 2016)</w:t>
      </w:r>
      <w:r w:rsidR="00387497" w:rsidRPr="00B53A5A">
        <w:rPr>
          <w:rFonts w:ascii="Times New Roman" w:eastAsia="Calibri" w:hAnsi="Times New Roman" w:cs="Times New Roman"/>
        </w:rPr>
        <w:t xml:space="preserve">. </w:t>
      </w:r>
      <w:r w:rsidR="0041351F">
        <w:rPr>
          <w:rFonts w:ascii="Times New Roman" w:eastAsia="Calibri" w:hAnsi="Times New Roman" w:cs="Times New Roman"/>
        </w:rPr>
        <w:t>The case law had</w:t>
      </w:r>
      <w:r w:rsidR="00387497" w:rsidRPr="00B53A5A">
        <w:rPr>
          <w:rFonts w:ascii="Times New Roman" w:eastAsia="Calibri" w:hAnsi="Times New Roman" w:cs="Times New Roman"/>
        </w:rPr>
        <w:t xml:space="preserve"> evolved alongside public policy so as </w:t>
      </w:r>
      <w:r w:rsidR="00387497">
        <w:rPr>
          <w:rFonts w:ascii="Times New Roman" w:eastAsia="Calibri" w:hAnsi="Times New Roman" w:cs="Times New Roman"/>
        </w:rPr>
        <w:t xml:space="preserve">to tackle </w:t>
      </w:r>
      <w:r w:rsidR="0041351F">
        <w:rPr>
          <w:rFonts w:ascii="Times New Roman" w:eastAsia="Calibri" w:hAnsi="Times New Roman" w:cs="Times New Roman"/>
        </w:rPr>
        <w:t>age stereotyping</w:t>
      </w:r>
      <w:r w:rsidR="00387497" w:rsidRPr="00B53A5A">
        <w:rPr>
          <w:rFonts w:ascii="Times New Roman" w:eastAsia="Calibri" w:hAnsi="Times New Roman" w:cs="Times New Roman"/>
        </w:rPr>
        <w:t xml:space="preserve">.  As a result of the limitations placed upon the </w:t>
      </w:r>
      <w:r w:rsidR="00387497" w:rsidRPr="00B53A5A">
        <w:rPr>
          <w:rFonts w:ascii="Times New Roman" w:eastAsia="Calibri" w:hAnsi="Times New Roman" w:cs="Times New Roman"/>
          <w:i/>
        </w:rPr>
        <w:t>'dignity'</w:t>
      </w:r>
      <w:r w:rsidR="00387497" w:rsidRPr="00B53A5A">
        <w:rPr>
          <w:rFonts w:ascii="Times New Roman" w:eastAsia="Calibri" w:hAnsi="Times New Roman" w:cs="Times New Roman"/>
        </w:rPr>
        <w:t xml:space="preserve"> aim and the </w:t>
      </w:r>
      <w:r w:rsidR="00B11556">
        <w:rPr>
          <w:rFonts w:ascii="Times New Roman" w:eastAsia="Calibri" w:hAnsi="Times New Roman" w:cs="Times New Roman"/>
        </w:rPr>
        <w:t>definition of direct age discrimination</w:t>
      </w:r>
      <w:r w:rsidR="00387497" w:rsidRPr="00B53A5A">
        <w:rPr>
          <w:rFonts w:ascii="Times New Roman" w:eastAsia="Calibri" w:hAnsi="Times New Roman" w:cs="Times New Roman"/>
        </w:rPr>
        <w:t xml:space="preserve"> in general by the Supreme Court in this case, a message </w:t>
      </w:r>
      <w:r w:rsidR="00387497">
        <w:rPr>
          <w:rFonts w:ascii="Times New Roman" w:eastAsia="Calibri" w:hAnsi="Times New Roman" w:cs="Times New Roman"/>
        </w:rPr>
        <w:t xml:space="preserve">has been </w:t>
      </w:r>
      <w:r w:rsidR="00387497" w:rsidRPr="00B53A5A">
        <w:rPr>
          <w:rFonts w:ascii="Times New Roman" w:eastAsia="Calibri" w:hAnsi="Times New Roman" w:cs="Times New Roman"/>
        </w:rPr>
        <w:t xml:space="preserve">sent to society that age stereotyping is </w:t>
      </w:r>
      <w:r w:rsidR="00771783">
        <w:rPr>
          <w:rFonts w:ascii="Times New Roman" w:eastAsia="Calibri" w:hAnsi="Times New Roman" w:cs="Times New Roman"/>
        </w:rPr>
        <w:t>not</w:t>
      </w:r>
      <w:r w:rsidR="00387497" w:rsidRPr="00B53A5A">
        <w:rPr>
          <w:rFonts w:ascii="Times New Roman" w:eastAsia="Calibri" w:hAnsi="Times New Roman" w:cs="Times New Roman"/>
        </w:rPr>
        <w:t xml:space="preserve"> </w:t>
      </w:r>
      <w:r w:rsidR="00771783">
        <w:rPr>
          <w:rFonts w:ascii="Times New Roman" w:eastAsia="Calibri" w:hAnsi="Times New Roman" w:cs="Times New Roman"/>
        </w:rPr>
        <w:t>tolerated</w:t>
      </w:r>
      <w:r w:rsidR="00387497" w:rsidRPr="00B53A5A">
        <w:rPr>
          <w:rFonts w:ascii="Times New Roman" w:eastAsia="Calibri" w:hAnsi="Times New Roman" w:cs="Times New Roman"/>
        </w:rPr>
        <w:t>.</w:t>
      </w:r>
    </w:p>
    <w:p w14:paraId="1D908FBA" w14:textId="672AA127" w:rsidR="00387497" w:rsidRDefault="00DC5548" w:rsidP="00387497">
      <w:pPr>
        <w:spacing w:before="240" w:after="0" w:line="240" w:lineRule="auto"/>
        <w:ind w:firstLine="720"/>
        <w:contextualSpacing/>
        <w:jc w:val="both"/>
        <w:rPr>
          <w:rFonts w:ascii="Times New Roman" w:hAnsi="Times New Roman" w:cs="Times New Roman"/>
        </w:rPr>
      </w:pPr>
      <w:r w:rsidRPr="00B53A5A">
        <w:rPr>
          <w:rFonts w:ascii="Times New Roman" w:eastAsia="Calibri" w:hAnsi="Times New Roman" w:cs="Times New Roman"/>
        </w:rPr>
        <w:t>Turning next to employers</w:t>
      </w:r>
      <w:r w:rsidR="00203077">
        <w:rPr>
          <w:rFonts w:ascii="Times New Roman" w:eastAsia="Calibri" w:hAnsi="Times New Roman" w:cs="Times New Roman"/>
        </w:rPr>
        <w:t>,</w:t>
      </w:r>
      <w:r w:rsidR="00B440AA">
        <w:rPr>
          <w:rFonts w:ascii="Times New Roman" w:eastAsia="Calibri" w:hAnsi="Times New Roman" w:cs="Times New Roman"/>
        </w:rPr>
        <w:t xml:space="preserve"> </w:t>
      </w:r>
      <w:r w:rsidR="00387497">
        <w:rPr>
          <w:rFonts w:ascii="Times New Roman" w:hAnsi="Times New Roman" w:cs="Times New Roman"/>
        </w:rPr>
        <w:t>they should be aware of the range of stereotypical assumptions that were app</w:t>
      </w:r>
      <w:r w:rsidR="00203077">
        <w:rPr>
          <w:rFonts w:ascii="Times New Roman" w:hAnsi="Times New Roman" w:cs="Times New Roman"/>
        </w:rPr>
        <w:t>arent from the research sample. T</w:t>
      </w:r>
      <w:r w:rsidR="00387497">
        <w:rPr>
          <w:rFonts w:ascii="Times New Roman" w:hAnsi="Times New Roman" w:cs="Times New Roman"/>
        </w:rPr>
        <w:t xml:space="preserve">he most common stereotype being an assumed link between age and the mental or physical ability of the worker. </w:t>
      </w:r>
      <w:r w:rsidR="00387497" w:rsidRPr="00B53A5A">
        <w:rPr>
          <w:rFonts w:ascii="Times New Roman" w:hAnsi="Times New Roman" w:cs="Times New Roman"/>
        </w:rPr>
        <w:t xml:space="preserve">Although those over 65 </w:t>
      </w:r>
      <w:r w:rsidR="00387497">
        <w:rPr>
          <w:rFonts w:ascii="Times New Roman" w:hAnsi="Times New Roman" w:cs="Times New Roman"/>
        </w:rPr>
        <w:t>were</w:t>
      </w:r>
      <w:r w:rsidR="00387497" w:rsidRPr="00B53A5A">
        <w:rPr>
          <w:rFonts w:ascii="Times New Roman" w:hAnsi="Times New Roman" w:cs="Times New Roman"/>
        </w:rPr>
        <w:t xml:space="preserve"> most at risk of being subject to age stereotyping, </w:t>
      </w:r>
      <w:r w:rsidR="00387497">
        <w:rPr>
          <w:rFonts w:ascii="Times New Roman" w:hAnsi="Times New Roman" w:cs="Times New Roman"/>
        </w:rPr>
        <w:t>stereotyping occurred</w:t>
      </w:r>
      <w:r w:rsidR="00387497" w:rsidRPr="00B53A5A">
        <w:rPr>
          <w:rFonts w:ascii="Times New Roman" w:hAnsi="Times New Roman" w:cs="Times New Roman"/>
        </w:rPr>
        <w:t xml:space="preserve"> across a very wide age span. Therefore, it is right that legislation does not specify a particular age group that is covered </w:t>
      </w:r>
      <w:r w:rsidR="00387497">
        <w:rPr>
          <w:rFonts w:ascii="Times New Roman" w:hAnsi="Times New Roman" w:cs="Times New Roman"/>
        </w:rPr>
        <w:t>by the protection as it makes a</w:t>
      </w:r>
      <w:r w:rsidR="00387497" w:rsidRPr="00B53A5A">
        <w:rPr>
          <w:rFonts w:ascii="Times New Roman" w:hAnsi="Times New Roman" w:cs="Times New Roman"/>
        </w:rPr>
        <w:t xml:space="preserve"> wide age range vulnerable to the assu</w:t>
      </w:r>
      <w:r w:rsidR="00387497">
        <w:rPr>
          <w:rFonts w:ascii="Times New Roman" w:hAnsi="Times New Roman" w:cs="Times New Roman"/>
        </w:rPr>
        <w:t>mption that they are ‘</w:t>
      </w:r>
      <w:r w:rsidR="00387497" w:rsidRPr="00B440AA">
        <w:rPr>
          <w:rFonts w:ascii="Times New Roman" w:hAnsi="Times New Roman" w:cs="Times New Roman"/>
          <w:i/>
        </w:rPr>
        <w:t>too old</w:t>
      </w:r>
      <w:r w:rsidR="00387497">
        <w:rPr>
          <w:rFonts w:ascii="Times New Roman" w:hAnsi="Times New Roman" w:cs="Times New Roman"/>
        </w:rPr>
        <w:t>.’</w:t>
      </w:r>
      <w:r w:rsidR="00387497" w:rsidRPr="00B53A5A">
        <w:rPr>
          <w:rFonts w:ascii="Times New Roman" w:hAnsi="Times New Roman" w:cs="Times New Roman"/>
        </w:rPr>
        <w:t xml:space="preserve"> </w:t>
      </w:r>
    </w:p>
    <w:p w14:paraId="4DE69D6C" w14:textId="27F9AF35" w:rsidR="00374B26" w:rsidRDefault="00387497" w:rsidP="00374B26">
      <w:pPr>
        <w:spacing w:after="0" w:line="240" w:lineRule="auto"/>
        <w:ind w:firstLine="720"/>
        <w:contextualSpacing/>
        <w:jc w:val="both"/>
        <w:rPr>
          <w:rFonts w:ascii="Times New Roman" w:hAnsi="Times New Roman" w:cs="Times New Roman"/>
        </w:rPr>
      </w:pPr>
      <w:r>
        <w:rPr>
          <w:rFonts w:ascii="Times New Roman" w:eastAsia="Calibri" w:hAnsi="Times New Roman" w:cs="Times New Roman"/>
        </w:rPr>
        <w:t>I</w:t>
      </w:r>
      <w:r w:rsidR="00B440AA">
        <w:rPr>
          <w:rFonts w:ascii="Times New Roman" w:eastAsia="Calibri" w:hAnsi="Times New Roman" w:cs="Times New Roman"/>
        </w:rPr>
        <w:t>t is evident from the ET judgments that employers must be alert to age stereotyping manifesting in verbal comments in particular, as</w:t>
      </w:r>
      <w:r w:rsidR="00DC5548" w:rsidRPr="00B53A5A">
        <w:rPr>
          <w:rFonts w:ascii="Times New Roman" w:eastAsia="Calibri" w:hAnsi="Times New Roman" w:cs="Times New Roman"/>
        </w:rPr>
        <w:t xml:space="preserve"> age stereotyping </w:t>
      </w:r>
      <w:r w:rsidR="00DC5548">
        <w:rPr>
          <w:rFonts w:ascii="Times New Roman" w:eastAsia="Calibri" w:hAnsi="Times New Roman" w:cs="Times New Roman"/>
        </w:rPr>
        <w:t>was</w:t>
      </w:r>
      <w:r w:rsidR="00DC5548" w:rsidRPr="00B53A5A">
        <w:rPr>
          <w:rFonts w:ascii="Times New Roman" w:eastAsia="Calibri" w:hAnsi="Times New Roman" w:cs="Times New Roman"/>
        </w:rPr>
        <w:t xml:space="preserve"> </w:t>
      </w:r>
      <w:r w:rsidR="00DC5548" w:rsidRPr="00B53A5A">
        <w:rPr>
          <w:rFonts w:ascii="Times New Roman" w:hAnsi="Times New Roman" w:cs="Times New Roman"/>
        </w:rPr>
        <w:t>more likely to manifest in verbal communi</w:t>
      </w:r>
      <w:r w:rsidR="00DC5548">
        <w:rPr>
          <w:rFonts w:ascii="Times New Roman" w:hAnsi="Times New Roman" w:cs="Times New Roman"/>
        </w:rPr>
        <w:t>cation</w:t>
      </w:r>
      <w:r w:rsidR="00B440AA">
        <w:rPr>
          <w:rFonts w:ascii="Times New Roman" w:hAnsi="Times New Roman" w:cs="Times New Roman"/>
        </w:rPr>
        <w:t xml:space="preserve"> to the worker</w:t>
      </w:r>
      <w:r w:rsidR="00BC4822">
        <w:rPr>
          <w:rFonts w:ascii="Times New Roman" w:hAnsi="Times New Roman" w:cs="Times New Roman"/>
        </w:rPr>
        <w:t xml:space="preserve">, even when they consider that they are acting out of genuine concern for the individual </w:t>
      </w:r>
      <w:r w:rsidR="00472B2E">
        <w:rPr>
          <w:rFonts w:ascii="Times New Roman" w:hAnsi="Times New Roman" w:cs="Times New Roman"/>
        </w:rPr>
        <w:t>in question</w:t>
      </w:r>
      <w:r w:rsidR="00DC5548">
        <w:rPr>
          <w:rFonts w:ascii="Times New Roman" w:hAnsi="Times New Roman" w:cs="Times New Roman"/>
        </w:rPr>
        <w:t>.</w:t>
      </w:r>
      <w:r>
        <w:rPr>
          <w:rFonts w:ascii="Times New Roman" w:hAnsi="Times New Roman" w:cs="Times New Roman"/>
        </w:rPr>
        <w:t xml:space="preserve"> E</w:t>
      </w:r>
      <w:r w:rsidR="00DC5548">
        <w:rPr>
          <w:rFonts w:ascii="Times New Roman" w:hAnsi="Times New Roman" w:cs="Times New Roman"/>
        </w:rPr>
        <w:t xml:space="preserve">mployers would be well advised to train all managers to be </w:t>
      </w:r>
      <w:r w:rsidR="00B440AA">
        <w:rPr>
          <w:rFonts w:ascii="Times New Roman" w:hAnsi="Times New Roman" w:cs="Times New Roman"/>
        </w:rPr>
        <w:t>extremely</w:t>
      </w:r>
      <w:r w:rsidR="00DC5548">
        <w:rPr>
          <w:rFonts w:ascii="Times New Roman" w:hAnsi="Times New Roman" w:cs="Times New Roman"/>
        </w:rPr>
        <w:t xml:space="preserve"> careful how they communicate </w:t>
      </w:r>
      <w:r w:rsidR="00472B2E">
        <w:rPr>
          <w:rFonts w:ascii="Times New Roman" w:hAnsi="Times New Roman" w:cs="Times New Roman"/>
        </w:rPr>
        <w:t>with</w:t>
      </w:r>
      <w:r w:rsidR="00DC5548">
        <w:rPr>
          <w:rFonts w:ascii="Times New Roman" w:hAnsi="Times New Roman" w:cs="Times New Roman"/>
        </w:rPr>
        <w:t xml:space="preserve"> their workforce and ensure they do not link age with ability, without</w:t>
      </w:r>
      <w:r w:rsidR="00BC4822">
        <w:rPr>
          <w:rFonts w:ascii="Times New Roman" w:hAnsi="Times New Roman" w:cs="Times New Roman"/>
        </w:rPr>
        <w:t xml:space="preserve"> there being</w:t>
      </w:r>
      <w:r w:rsidR="00DC5548">
        <w:rPr>
          <w:rFonts w:ascii="Times New Roman" w:hAnsi="Times New Roman" w:cs="Times New Roman"/>
        </w:rPr>
        <w:t xml:space="preserve"> evidence in support. </w:t>
      </w:r>
      <w:r w:rsidR="00DC5548" w:rsidRPr="00B53A5A">
        <w:rPr>
          <w:rFonts w:ascii="Times New Roman" w:hAnsi="Times New Roman" w:cs="Times New Roman"/>
        </w:rPr>
        <w:t>Training all members of staff, especially those responsible for recruitment and di</w:t>
      </w:r>
      <w:r w:rsidR="00BC4822">
        <w:rPr>
          <w:rFonts w:ascii="Times New Roman" w:hAnsi="Times New Roman" w:cs="Times New Roman"/>
        </w:rPr>
        <w:t>smissal, is the key to challenging</w:t>
      </w:r>
      <w:r w:rsidR="00DC5548" w:rsidRPr="00B53A5A">
        <w:rPr>
          <w:rFonts w:ascii="Times New Roman" w:hAnsi="Times New Roman" w:cs="Times New Roman"/>
        </w:rPr>
        <w:t xml:space="preserve"> stereotypes and to change entrenched views. In particular employers must adopt a practice that actively challenges assumptions that age does not necessa</w:t>
      </w:r>
      <w:r w:rsidR="00F11E04">
        <w:rPr>
          <w:rFonts w:ascii="Times New Roman" w:hAnsi="Times New Roman" w:cs="Times New Roman"/>
        </w:rPr>
        <w:t xml:space="preserve">rily reflect a person’s ability. </w:t>
      </w:r>
      <w:r w:rsidR="00000DB2">
        <w:rPr>
          <w:rFonts w:ascii="Times New Roman" w:hAnsi="Times New Roman" w:cs="Times New Roman"/>
        </w:rPr>
        <w:t xml:space="preserve">Employers </w:t>
      </w:r>
      <w:r w:rsidR="00DC5548" w:rsidRPr="00B53A5A">
        <w:rPr>
          <w:rFonts w:ascii="Times New Roman" w:hAnsi="Times New Roman" w:cs="Times New Roman"/>
        </w:rPr>
        <w:t xml:space="preserve">must also be careful in their use of terminology, </w:t>
      </w:r>
      <w:r w:rsidR="00DC5548">
        <w:rPr>
          <w:rFonts w:ascii="Times New Roman" w:hAnsi="Times New Roman" w:cs="Times New Roman"/>
        </w:rPr>
        <w:t>not just</w:t>
      </w:r>
      <w:r w:rsidR="00DC5548" w:rsidRPr="00B53A5A">
        <w:rPr>
          <w:rFonts w:ascii="Times New Roman" w:hAnsi="Times New Roman" w:cs="Times New Roman"/>
        </w:rPr>
        <w:t xml:space="preserve"> </w:t>
      </w:r>
      <w:r w:rsidR="00F11E04">
        <w:rPr>
          <w:rFonts w:ascii="Times New Roman" w:hAnsi="Times New Roman" w:cs="Times New Roman"/>
        </w:rPr>
        <w:t>in</w:t>
      </w:r>
      <w:r w:rsidR="00DC5548" w:rsidRPr="00B53A5A">
        <w:rPr>
          <w:rFonts w:ascii="Times New Roman" w:hAnsi="Times New Roman" w:cs="Times New Roman"/>
        </w:rPr>
        <w:t xml:space="preserve"> reference to ‘</w:t>
      </w:r>
      <w:r w:rsidR="00DC5548" w:rsidRPr="00B53A5A">
        <w:rPr>
          <w:rFonts w:ascii="Times New Roman" w:hAnsi="Times New Roman" w:cs="Times New Roman"/>
          <w:i/>
        </w:rPr>
        <w:t>old age’</w:t>
      </w:r>
      <w:r w:rsidR="00DC5548" w:rsidRPr="00B53A5A">
        <w:rPr>
          <w:rFonts w:ascii="Times New Roman" w:hAnsi="Times New Roman" w:cs="Times New Roman"/>
        </w:rPr>
        <w:t xml:space="preserve"> </w:t>
      </w:r>
      <w:r w:rsidR="00DC5548">
        <w:rPr>
          <w:rFonts w:ascii="Times New Roman" w:hAnsi="Times New Roman" w:cs="Times New Roman"/>
        </w:rPr>
        <w:t>but also the subtler words that connote stereotyping such as ‘</w:t>
      </w:r>
      <w:r w:rsidR="00DC5548" w:rsidRPr="00B32324">
        <w:rPr>
          <w:rFonts w:ascii="Times New Roman" w:hAnsi="Times New Roman" w:cs="Times New Roman"/>
          <w:i/>
        </w:rPr>
        <w:t>traditional’</w:t>
      </w:r>
      <w:r w:rsidR="00DC5548">
        <w:rPr>
          <w:rFonts w:ascii="Times New Roman" w:hAnsi="Times New Roman" w:cs="Times New Roman"/>
        </w:rPr>
        <w:t>, ‘</w:t>
      </w:r>
      <w:r w:rsidR="00DC5548" w:rsidRPr="00B32324">
        <w:rPr>
          <w:rFonts w:ascii="Times New Roman" w:hAnsi="Times New Roman" w:cs="Times New Roman"/>
          <w:i/>
        </w:rPr>
        <w:t>fresh’</w:t>
      </w:r>
      <w:r w:rsidR="00DC5548">
        <w:rPr>
          <w:rFonts w:ascii="Times New Roman" w:hAnsi="Times New Roman" w:cs="Times New Roman"/>
        </w:rPr>
        <w:t xml:space="preserve"> and ‘</w:t>
      </w:r>
      <w:r w:rsidR="00DC5548" w:rsidRPr="00B32324">
        <w:rPr>
          <w:rFonts w:ascii="Times New Roman" w:hAnsi="Times New Roman" w:cs="Times New Roman"/>
          <w:i/>
        </w:rPr>
        <w:t>dynamic’</w:t>
      </w:r>
      <w:r w:rsidR="00DC5548">
        <w:rPr>
          <w:rFonts w:ascii="Times New Roman" w:hAnsi="Times New Roman" w:cs="Times New Roman"/>
        </w:rPr>
        <w:t xml:space="preserve">. </w:t>
      </w:r>
      <w:r w:rsidR="00DC5548" w:rsidRPr="00B53A5A">
        <w:rPr>
          <w:rFonts w:ascii="Times New Roman" w:hAnsi="Times New Roman" w:cs="Times New Roman"/>
        </w:rPr>
        <w:t xml:space="preserve"> Those over </w:t>
      </w:r>
      <w:r w:rsidR="00F11E04">
        <w:rPr>
          <w:rFonts w:ascii="Times New Roman" w:hAnsi="Times New Roman" w:cs="Times New Roman"/>
        </w:rPr>
        <w:t xml:space="preserve">the age of </w:t>
      </w:r>
      <w:r w:rsidR="00DC5548" w:rsidRPr="00B53A5A">
        <w:rPr>
          <w:rFonts w:ascii="Times New Roman" w:hAnsi="Times New Roman" w:cs="Times New Roman"/>
        </w:rPr>
        <w:t xml:space="preserve">65 are particularly vulnerable to being subjected to age stereotyping </w:t>
      </w:r>
      <w:r w:rsidR="00F11E04">
        <w:rPr>
          <w:rFonts w:ascii="Times New Roman" w:hAnsi="Times New Roman" w:cs="Times New Roman"/>
        </w:rPr>
        <w:t xml:space="preserve">within the research </w:t>
      </w:r>
      <w:r w:rsidR="00DC5548" w:rsidRPr="00B53A5A">
        <w:rPr>
          <w:rFonts w:ascii="Times New Roman" w:hAnsi="Times New Roman" w:cs="Times New Roman"/>
        </w:rPr>
        <w:t xml:space="preserve">and therefore particular focus should be made by employers to </w:t>
      </w:r>
      <w:r w:rsidR="00BC4822">
        <w:rPr>
          <w:rFonts w:ascii="Times New Roman" w:hAnsi="Times New Roman" w:cs="Times New Roman"/>
        </w:rPr>
        <w:t xml:space="preserve">this age group to </w:t>
      </w:r>
      <w:r w:rsidR="00DC5548" w:rsidRPr="00B53A5A">
        <w:rPr>
          <w:rFonts w:ascii="Times New Roman" w:hAnsi="Times New Roman" w:cs="Times New Roman"/>
        </w:rPr>
        <w:t xml:space="preserve">ensure any </w:t>
      </w:r>
      <w:r w:rsidR="00BC4822">
        <w:rPr>
          <w:rFonts w:ascii="Times New Roman" w:hAnsi="Times New Roman" w:cs="Times New Roman"/>
        </w:rPr>
        <w:t xml:space="preserve">assumed </w:t>
      </w:r>
      <w:r w:rsidR="00DC5548" w:rsidRPr="00B53A5A">
        <w:rPr>
          <w:rFonts w:ascii="Times New Roman" w:hAnsi="Times New Roman" w:cs="Times New Roman"/>
        </w:rPr>
        <w:t>link between age and capability is not made</w:t>
      </w:r>
      <w:r w:rsidR="00BC4822">
        <w:rPr>
          <w:rFonts w:ascii="Times New Roman" w:hAnsi="Times New Roman" w:cs="Times New Roman"/>
        </w:rPr>
        <w:t xml:space="preserve">. Should the employer find themselves before an ET in a claim for direct age discrimination, the </w:t>
      </w:r>
      <w:r w:rsidR="00F11E04">
        <w:rPr>
          <w:rFonts w:ascii="Times New Roman" w:hAnsi="Times New Roman" w:cs="Times New Roman"/>
        </w:rPr>
        <w:t>signal from the ET is that it will critically consider</w:t>
      </w:r>
      <w:r w:rsidR="00BC4822">
        <w:rPr>
          <w:rFonts w:ascii="Times New Roman" w:hAnsi="Times New Roman" w:cs="Times New Roman"/>
        </w:rPr>
        <w:t xml:space="preserve"> all the evidence including instructions to any expert and all information written by the managers which could suggest stereotyping. If there is any suggestion of stereotyping, then the fieldwork observation demonstrates that ETs will question this and ultimately tackle these </w:t>
      </w:r>
      <w:r w:rsidR="00203077">
        <w:rPr>
          <w:rFonts w:ascii="Times New Roman" w:hAnsi="Times New Roman" w:cs="Times New Roman"/>
        </w:rPr>
        <w:t>unlawful views in its judgment</w:t>
      </w:r>
      <w:r w:rsidR="00F11E04">
        <w:rPr>
          <w:rFonts w:ascii="Times New Roman" w:hAnsi="Times New Roman" w:cs="Times New Roman"/>
        </w:rPr>
        <w:t xml:space="preserve">. Further fieldwork observation in this area in other ETs would be beneficial to build upon this </w:t>
      </w:r>
      <w:r w:rsidR="00203077">
        <w:rPr>
          <w:rFonts w:ascii="Times New Roman" w:hAnsi="Times New Roman" w:cs="Times New Roman"/>
        </w:rPr>
        <w:t xml:space="preserve">fieldwork </w:t>
      </w:r>
      <w:r w:rsidR="00F11E04">
        <w:rPr>
          <w:rFonts w:ascii="Times New Roman" w:hAnsi="Times New Roman" w:cs="Times New Roman"/>
        </w:rPr>
        <w:t>research.</w:t>
      </w:r>
    </w:p>
    <w:p w14:paraId="233223AF" w14:textId="1765A7B0" w:rsidR="00DC5548" w:rsidRDefault="00387497" w:rsidP="00387497">
      <w:pPr>
        <w:spacing w:after="0" w:line="240" w:lineRule="auto"/>
        <w:ind w:firstLine="720"/>
        <w:contextualSpacing/>
        <w:jc w:val="both"/>
        <w:rPr>
          <w:rFonts w:ascii="Times New Roman" w:hAnsi="Times New Roman" w:cs="Times New Roman"/>
        </w:rPr>
      </w:pPr>
      <w:r>
        <w:rPr>
          <w:rFonts w:ascii="Times New Roman" w:hAnsi="Times New Roman" w:cs="Times New Roman"/>
        </w:rPr>
        <w:t>Going forward the</w:t>
      </w:r>
      <w:r w:rsidR="00D530C4" w:rsidRPr="00B53A5A">
        <w:rPr>
          <w:rFonts w:ascii="Times New Roman" w:hAnsi="Times New Roman" w:cs="Times New Roman"/>
        </w:rPr>
        <w:t xml:space="preserve"> </w:t>
      </w:r>
      <w:r w:rsidR="00D530C4" w:rsidRPr="00B32324">
        <w:rPr>
          <w:rFonts w:ascii="Times New Roman" w:hAnsi="Times New Roman" w:cs="Times New Roman"/>
          <w:i/>
        </w:rPr>
        <w:t>'dignity'</w:t>
      </w:r>
      <w:r w:rsidR="00D530C4" w:rsidRPr="00B53A5A">
        <w:rPr>
          <w:rFonts w:ascii="Times New Roman" w:hAnsi="Times New Roman" w:cs="Times New Roman"/>
        </w:rPr>
        <w:t xml:space="preserve"> argument </w:t>
      </w:r>
      <w:r w:rsidR="00D530C4">
        <w:rPr>
          <w:rFonts w:ascii="Times New Roman" w:hAnsi="Times New Roman" w:cs="Times New Roman"/>
        </w:rPr>
        <w:t>does require</w:t>
      </w:r>
      <w:r w:rsidR="00D530C4" w:rsidRPr="00B53A5A">
        <w:rPr>
          <w:rFonts w:ascii="Times New Roman" w:hAnsi="Times New Roman" w:cs="Times New Roman"/>
        </w:rPr>
        <w:t xml:space="preserve"> greater reflection by the </w:t>
      </w:r>
      <w:r w:rsidRPr="00B53A5A">
        <w:rPr>
          <w:rFonts w:ascii="Times New Roman" w:hAnsi="Times New Roman" w:cs="Times New Roman"/>
        </w:rPr>
        <w:t>courts</w:t>
      </w:r>
      <w:r>
        <w:rPr>
          <w:rFonts w:ascii="Times New Roman" w:hAnsi="Times New Roman" w:cs="Times New Roman"/>
        </w:rPr>
        <w:t>, in particular whether it should be a potentially legitimate aim for employers. U</w:t>
      </w:r>
      <w:r w:rsidR="00F11E04">
        <w:rPr>
          <w:rFonts w:ascii="Times New Roman" w:eastAsia="Calibri" w:hAnsi="Times New Roman" w:cs="Times New Roman"/>
        </w:rPr>
        <w:t>nfortunately the</w:t>
      </w:r>
      <w:r w:rsidR="00DC5548">
        <w:rPr>
          <w:rFonts w:ascii="Times New Roman" w:eastAsia="Calibri" w:hAnsi="Times New Roman" w:cs="Times New Roman"/>
        </w:rPr>
        <w:t xml:space="preserve"> inconsistent decisions in </w:t>
      </w:r>
      <w:r w:rsidR="00DC5548" w:rsidRPr="007A6B0E">
        <w:rPr>
          <w:rFonts w:ascii="Times New Roman" w:eastAsia="Calibri" w:hAnsi="Times New Roman" w:cs="Times New Roman"/>
          <w:i/>
        </w:rPr>
        <w:t>Willey</w:t>
      </w:r>
      <w:r w:rsidR="00F11E04">
        <w:rPr>
          <w:rFonts w:ascii="Times New Roman" w:eastAsia="Calibri" w:hAnsi="Times New Roman" w:cs="Times New Roman"/>
        </w:rPr>
        <w:t>[</w:t>
      </w:r>
      <w:r w:rsidR="00081D89">
        <w:rPr>
          <w:rFonts w:ascii="Times New Roman" w:eastAsia="Calibri" w:hAnsi="Times New Roman" w:cs="Times New Roman"/>
        </w:rPr>
        <w:t>98</w:t>
      </w:r>
      <w:r w:rsidR="00F11E04">
        <w:rPr>
          <w:rFonts w:ascii="Times New Roman" w:eastAsia="Calibri" w:hAnsi="Times New Roman" w:cs="Times New Roman"/>
        </w:rPr>
        <w:t>]</w:t>
      </w:r>
      <w:r w:rsidR="00DC5548">
        <w:rPr>
          <w:rFonts w:ascii="Times New Roman" w:eastAsia="Calibri" w:hAnsi="Times New Roman" w:cs="Times New Roman"/>
        </w:rPr>
        <w:t xml:space="preserve"> and </w:t>
      </w:r>
      <w:r w:rsidR="00374B26" w:rsidRPr="00B32324">
        <w:rPr>
          <w:rFonts w:ascii="Times New Roman" w:eastAsia="Calibri" w:hAnsi="Times New Roman" w:cs="Times New Roman"/>
          <w:i/>
        </w:rPr>
        <w:t>White</w:t>
      </w:r>
      <w:r>
        <w:rPr>
          <w:rFonts w:ascii="Times New Roman" w:eastAsia="Calibri" w:hAnsi="Times New Roman" w:cs="Times New Roman"/>
        </w:rPr>
        <w:t>[</w:t>
      </w:r>
      <w:r w:rsidR="00081D89">
        <w:rPr>
          <w:rFonts w:ascii="Times New Roman" w:eastAsia="Calibri" w:hAnsi="Times New Roman" w:cs="Times New Roman"/>
        </w:rPr>
        <w:t>99</w:t>
      </w:r>
      <w:r w:rsidR="00F11E04" w:rsidRPr="00F11E04">
        <w:rPr>
          <w:rFonts w:ascii="Times New Roman" w:eastAsia="Calibri" w:hAnsi="Times New Roman" w:cs="Times New Roman"/>
        </w:rPr>
        <w:t>]</w:t>
      </w:r>
      <w:r w:rsidR="00374B26">
        <w:rPr>
          <w:rFonts w:ascii="Times New Roman" w:eastAsia="Calibri" w:hAnsi="Times New Roman" w:cs="Times New Roman"/>
        </w:rPr>
        <w:t xml:space="preserve"> </w:t>
      </w:r>
      <w:r w:rsidR="00374B26" w:rsidRPr="00F11E04">
        <w:rPr>
          <w:rFonts w:ascii="Times New Roman" w:eastAsia="Calibri" w:hAnsi="Times New Roman" w:cs="Times New Roman"/>
        </w:rPr>
        <w:t>demonstrate</w:t>
      </w:r>
      <w:r w:rsidR="00DC5548">
        <w:rPr>
          <w:rFonts w:ascii="Times New Roman" w:eastAsia="Calibri" w:hAnsi="Times New Roman" w:cs="Times New Roman"/>
        </w:rPr>
        <w:t xml:space="preserve"> that Lady Hale’s words remain </w:t>
      </w:r>
      <w:r w:rsidR="00F11E04">
        <w:rPr>
          <w:rFonts w:ascii="Times New Roman" w:eastAsia="Calibri" w:hAnsi="Times New Roman" w:cs="Times New Roman"/>
        </w:rPr>
        <w:t>true in 2017</w:t>
      </w:r>
      <w:r w:rsidR="00DC5548">
        <w:rPr>
          <w:rFonts w:ascii="Times New Roman" w:eastAsia="Calibri" w:hAnsi="Times New Roman" w:cs="Times New Roman"/>
        </w:rPr>
        <w:t xml:space="preserve"> that ‘</w:t>
      </w:r>
      <w:r w:rsidR="0031177E">
        <w:rPr>
          <w:rFonts w:ascii="Times New Roman" w:hAnsi="Times New Roman" w:cs="Times New Roman"/>
          <w:i/>
        </w:rPr>
        <w:t>w</w:t>
      </w:r>
      <w:r w:rsidR="00DC5548" w:rsidRPr="00B53A5A">
        <w:rPr>
          <w:rFonts w:ascii="Times New Roman" w:hAnsi="Times New Roman" w:cs="Times New Roman"/>
          <w:i/>
        </w:rPr>
        <w:t>e all have a lot of learning to do'</w:t>
      </w:r>
      <w:r>
        <w:rPr>
          <w:rFonts w:ascii="Times New Roman" w:hAnsi="Times New Roman" w:cs="Times New Roman"/>
        </w:rPr>
        <w:t>[</w:t>
      </w:r>
      <w:r w:rsidR="00081D89">
        <w:rPr>
          <w:rFonts w:ascii="Times New Roman" w:hAnsi="Times New Roman" w:cs="Times New Roman"/>
        </w:rPr>
        <w:t>100</w:t>
      </w:r>
      <w:r w:rsidR="00F11E04">
        <w:rPr>
          <w:rFonts w:ascii="Times New Roman" w:hAnsi="Times New Roman" w:cs="Times New Roman"/>
        </w:rPr>
        <w:t>].</w:t>
      </w:r>
      <w:r w:rsidR="00DC5548">
        <w:rPr>
          <w:rFonts w:ascii="Times New Roman" w:hAnsi="Times New Roman" w:cs="Times New Roman"/>
          <w:i/>
        </w:rPr>
        <w:t xml:space="preserve"> </w:t>
      </w:r>
      <w:r w:rsidR="00DC5548">
        <w:rPr>
          <w:rFonts w:ascii="Times New Roman" w:hAnsi="Times New Roman" w:cs="Times New Roman"/>
        </w:rPr>
        <w:t xml:space="preserve">The abolition of the default retirement age (which could be applied by each and every employer regardless of the job role) was a major step in tackling age stereotyping. Employers can no longer mask stereotyping by relying upon the default retirement age of 65. </w:t>
      </w:r>
      <w:r w:rsidR="00701BA9">
        <w:rPr>
          <w:rFonts w:ascii="Times New Roman" w:hAnsi="Times New Roman" w:cs="Times New Roman"/>
        </w:rPr>
        <w:t>However,</w:t>
      </w:r>
      <w:r>
        <w:rPr>
          <w:rFonts w:ascii="Times New Roman" w:hAnsi="Times New Roman" w:cs="Times New Roman"/>
        </w:rPr>
        <w:t xml:space="preserve"> </w:t>
      </w:r>
      <w:r w:rsidR="00DC5548">
        <w:rPr>
          <w:rFonts w:ascii="Times New Roman" w:hAnsi="Times New Roman" w:cs="Times New Roman"/>
        </w:rPr>
        <w:t xml:space="preserve">to </w:t>
      </w:r>
      <w:r>
        <w:rPr>
          <w:rFonts w:ascii="Times New Roman" w:hAnsi="Times New Roman" w:cs="Times New Roman"/>
        </w:rPr>
        <w:t xml:space="preserve">effectively </w:t>
      </w:r>
      <w:r w:rsidR="00DC5548">
        <w:rPr>
          <w:rFonts w:ascii="Times New Roman" w:hAnsi="Times New Roman" w:cs="Times New Roman"/>
        </w:rPr>
        <w:t xml:space="preserve">tackle age stereotyping </w:t>
      </w:r>
      <w:r w:rsidR="00F11E04">
        <w:rPr>
          <w:rFonts w:ascii="Times New Roman" w:hAnsi="Times New Roman" w:cs="Times New Roman"/>
        </w:rPr>
        <w:t xml:space="preserve">the aims </w:t>
      </w:r>
      <w:r>
        <w:rPr>
          <w:rFonts w:ascii="Times New Roman" w:hAnsi="Times New Roman" w:cs="Times New Roman"/>
        </w:rPr>
        <w:t xml:space="preserve">which are </w:t>
      </w:r>
      <w:r w:rsidR="00701BA9">
        <w:rPr>
          <w:rFonts w:ascii="Times New Roman" w:hAnsi="Times New Roman" w:cs="Times New Roman"/>
        </w:rPr>
        <w:t>considered potentially</w:t>
      </w:r>
      <w:r w:rsidR="00DC5548">
        <w:rPr>
          <w:rFonts w:ascii="Times New Roman" w:hAnsi="Times New Roman" w:cs="Times New Roman"/>
        </w:rPr>
        <w:t xml:space="preserve"> legitimate should be </w:t>
      </w:r>
      <w:r w:rsidR="00F11E04">
        <w:rPr>
          <w:rFonts w:ascii="Times New Roman" w:hAnsi="Times New Roman" w:cs="Times New Roman"/>
        </w:rPr>
        <w:t>narrower</w:t>
      </w:r>
      <w:r w:rsidR="00701BA9">
        <w:rPr>
          <w:rFonts w:ascii="Times New Roman" w:hAnsi="Times New Roman" w:cs="Times New Roman"/>
        </w:rPr>
        <w:t>. Furthermore</w:t>
      </w:r>
      <w:r w:rsidR="007D6A3B">
        <w:rPr>
          <w:rFonts w:ascii="Times New Roman" w:hAnsi="Times New Roman" w:cs="Times New Roman"/>
        </w:rPr>
        <w:t>,</w:t>
      </w:r>
      <w:r w:rsidR="00701BA9">
        <w:rPr>
          <w:rFonts w:ascii="Times New Roman" w:hAnsi="Times New Roman" w:cs="Times New Roman"/>
        </w:rPr>
        <w:t xml:space="preserve"> </w:t>
      </w:r>
      <w:r w:rsidR="00DC5548">
        <w:rPr>
          <w:rFonts w:ascii="Times New Roman" w:hAnsi="Times New Roman" w:cs="Times New Roman"/>
        </w:rPr>
        <w:t xml:space="preserve">employers should </w:t>
      </w:r>
      <w:r>
        <w:rPr>
          <w:rFonts w:ascii="Times New Roman" w:hAnsi="Times New Roman" w:cs="Times New Roman"/>
        </w:rPr>
        <w:t>be alert to the nature of stereotyping in the workplace and how it can manifest so as to adopt</w:t>
      </w:r>
      <w:r w:rsidR="00DC5548">
        <w:rPr>
          <w:rFonts w:ascii="Times New Roman" w:hAnsi="Times New Roman" w:cs="Times New Roman"/>
        </w:rPr>
        <w:t xml:space="preserve"> more proactive measures to chall</w:t>
      </w:r>
      <w:r w:rsidR="00F11E04">
        <w:rPr>
          <w:rFonts w:ascii="Times New Roman" w:hAnsi="Times New Roman" w:cs="Times New Roman"/>
        </w:rPr>
        <w:t xml:space="preserve">enge entrenched views about age, particularly for those over 65. </w:t>
      </w:r>
    </w:p>
    <w:p w14:paraId="558FB62E" w14:textId="6D0DF12B" w:rsidR="00701BA9" w:rsidRDefault="00701BA9" w:rsidP="00843F17">
      <w:pPr>
        <w:spacing w:after="0" w:line="240" w:lineRule="auto"/>
        <w:contextualSpacing/>
        <w:jc w:val="both"/>
        <w:rPr>
          <w:rFonts w:ascii="Times New Roman" w:hAnsi="Times New Roman" w:cs="Times New Roman"/>
        </w:rPr>
      </w:pPr>
    </w:p>
    <w:p w14:paraId="43D975F1" w14:textId="77777777" w:rsidR="00C57974" w:rsidRDefault="00C57974" w:rsidP="00843F17">
      <w:pPr>
        <w:spacing w:after="0" w:line="240" w:lineRule="auto"/>
        <w:contextualSpacing/>
        <w:jc w:val="both"/>
        <w:rPr>
          <w:rFonts w:ascii="Times New Roman" w:hAnsi="Times New Roman" w:cs="Times New Roman"/>
        </w:rPr>
      </w:pPr>
    </w:p>
    <w:p w14:paraId="62E3FBB4" w14:textId="77777777" w:rsidR="00DE60BD" w:rsidRPr="00374B26" w:rsidRDefault="00DE60BD" w:rsidP="00843F17">
      <w:pPr>
        <w:spacing w:after="0" w:line="240" w:lineRule="auto"/>
        <w:contextualSpacing/>
        <w:jc w:val="both"/>
        <w:rPr>
          <w:rFonts w:ascii="Times New Roman" w:hAnsi="Times New Roman" w:cs="Times New Roman"/>
        </w:rPr>
      </w:pPr>
    </w:p>
    <w:p w14:paraId="74FD0D9E" w14:textId="77777777" w:rsidR="00DC5548" w:rsidRPr="007C28A1" w:rsidRDefault="00623FA8" w:rsidP="007A6B0E">
      <w:pPr>
        <w:spacing w:line="240" w:lineRule="auto"/>
        <w:contextualSpacing/>
        <w:jc w:val="both"/>
        <w:rPr>
          <w:rFonts w:ascii="Times New Roman" w:hAnsi="Times New Roman" w:cs="Times New Roman"/>
          <w:b/>
        </w:rPr>
      </w:pPr>
      <w:r w:rsidRPr="007C28A1">
        <w:rPr>
          <w:rFonts w:ascii="Times New Roman" w:hAnsi="Times New Roman" w:cs="Times New Roman"/>
          <w:b/>
        </w:rPr>
        <w:t xml:space="preserve">Notes </w:t>
      </w:r>
    </w:p>
    <w:p w14:paraId="2B0068ED" w14:textId="77777777" w:rsidR="00623FA8" w:rsidRPr="007C28A1" w:rsidRDefault="00623FA8"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hAnsi="Times New Roman" w:cs="Times New Roman"/>
        </w:rPr>
        <w:t xml:space="preserve">Section 13 Equality Act 2010. </w:t>
      </w:r>
    </w:p>
    <w:p w14:paraId="49C60FC2" w14:textId="77777777" w:rsidR="00623FA8" w:rsidRPr="007C28A1" w:rsidRDefault="00623FA8"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hAnsi="Times New Roman" w:cs="Times New Roman"/>
        </w:rPr>
        <w:t>[2012] UWSC 16.</w:t>
      </w:r>
    </w:p>
    <w:p w14:paraId="4E576024" w14:textId="77777777" w:rsidR="00623FA8" w:rsidRPr="007C28A1" w:rsidRDefault="00623FA8"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hAnsi="Times New Roman" w:cs="Times New Roman"/>
        </w:rPr>
        <w:t>Ibid [15] (Lady Hale).</w:t>
      </w:r>
    </w:p>
    <w:p w14:paraId="091016AE" w14:textId="77777777" w:rsidR="00623FA8" w:rsidRPr="007C28A1" w:rsidRDefault="0006357F" w:rsidP="007A6B0E">
      <w:pPr>
        <w:pStyle w:val="ListParagraph"/>
        <w:numPr>
          <w:ilvl w:val="0"/>
          <w:numId w:val="17"/>
        </w:numPr>
        <w:spacing w:after="0" w:line="240" w:lineRule="auto"/>
        <w:ind w:left="714" w:hanging="357"/>
        <w:jc w:val="both"/>
        <w:rPr>
          <w:rFonts w:ascii="Times New Roman" w:hAnsi="Times New Roman" w:cs="Times New Roman"/>
        </w:rPr>
      </w:pPr>
      <w:hyperlink r:id="rId8" w:history="1">
        <w:r w:rsidR="00623FA8" w:rsidRPr="007C28A1">
          <w:rPr>
            <w:rFonts w:ascii="Times New Roman" w:hAnsi="Times New Roman" w:cs="Times New Roman"/>
            <w:bCs/>
          </w:rPr>
          <w:t>https://www.gov.uk/employment-tribunal-decisions</w:t>
        </w:r>
      </w:hyperlink>
      <w:r w:rsidR="00623FA8" w:rsidRPr="007C28A1">
        <w:rPr>
          <w:rFonts w:ascii="Times New Roman" w:hAnsi="Times New Roman" w:cs="Times New Roman"/>
          <w:bCs/>
        </w:rPr>
        <w:t>.</w:t>
      </w:r>
    </w:p>
    <w:p w14:paraId="4942BD45" w14:textId="77777777" w:rsidR="00623FA8" w:rsidRPr="004A2F4D" w:rsidRDefault="0006357F" w:rsidP="007A6B0E">
      <w:pPr>
        <w:pStyle w:val="ListParagraph"/>
        <w:numPr>
          <w:ilvl w:val="0"/>
          <w:numId w:val="17"/>
        </w:numPr>
        <w:spacing w:after="0" w:line="240" w:lineRule="auto"/>
        <w:ind w:left="714" w:hanging="357"/>
        <w:jc w:val="both"/>
        <w:rPr>
          <w:rFonts w:ascii="Times New Roman" w:hAnsi="Times New Roman" w:cs="Times New Roman"/>
        </w:rPr>
      </w:pPr>
      <w:hyperlink r:id="rId9" w:history="1">
        <w:r w:rsidR="00623FA8" w:rsidRPr="00A80619">
          <w:rPr>
            <w:rStyle w:val="Hyperlink"/>
            <w:rFonts w:ascii="Times New Roman" w:hAnsi="Times New Roman"/>
            <w:u w:val="none"/>
          </w:rPr>
          <w:t>http://www.rubensteinpublishing.com/</w:t>
        </w:r>
      </w:hyperlink>
    </w:p>
    <w:p w14:paraId="2063D26A" w14:textId="77777777" w:rsidR="00623FA8" w:rsidRPr="007C28A1" w:rsidRDefault="00623FA8"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hAnsi="Times New Roman" w:cs="Times New Roman"/>
        </w:rPr>
        <w:t>ET Case Number 1402145/2007.</w:t>
      </w:r>
    </w:p>
    <w:p w14:paraId="308BF7E3" w14:textId="77777777" w:rsidR="00623FA8" w:rsidRPr="007C28A1" w:rsidRDefault="00623FA8"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hAnsi="Times New Roman" w:cs="Times New Roman"/>
        </w:rPr>
        <w:t>ET Case Number 1100242/2007.</w:t>
      </w:r>
    </w:p>
    <w:p w14:paraId="04B18EF8" w14:textId="77777777" w:rsidR="00623FA8" w:rsidRPr="007C28A1" w:rsidRDefault="00623FA8" w:rsidP="007A6B0E">
      <w:pPr>
        <w:pStyle w:val="FootnoteText"/>
        <w:numPr>
          <w:ilvl w:val="0"/>
          <w:numId w:val="17"/>
        </w:numPr>
        <w:ind w:left="714" w:hanging="357"/>
        <w:contextualSpacing/>
        <w:rPr>
          <w:sz w:val="22"/>
          <w:szCs w:val="22"/>
        </w:rPr>
      </w:pPr>
      <w:r w:rsidRPr="007C28A1">
        <w:rPr>
          <w:sz w:val="22"/>
          <w:szCs w:val="22"/>
        </w:rPr>
        <w:t>ET Case Number 3302349/2012.</w:t>
      </w:r>
    </w:p>
    <w:p w14:paraId="2AC668DB" w14:textId="77777777" w:rsidR="00623FA8" w:rsidRPr="007C28A1" w:rsidRDefault="00623FA8"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hAnsi="Times New Roman" w:cs="Times New Roman"/>
        </w:rPr>
        <w:t xml:space="preserve">Ibid [22]. </w:t>
      </w:r>
    </w:p>
    <w:p w14:paraId="18B16C35" w14:textId="77777777" w:rsidR="00CB0442" w:rsidRPr="007C28A1" w:rsidRDefault="00CB0442"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hAnsi="Times New Roman" w:cs="Times New Roman"/>
          <w:i/>
        </w:rPr>
        <w:t>Court v Dennis Publishing</w:t>
      </w:r>
      <w:r w:rsidRPr="007C28A1">
        <w:rPr>
          <w:rFonts w:ascii="Times New Roman" w:hAnsi="Times New Roman" w:cs="Times New Roman"/>
        </w:rPr>
        <w:t xml:space="preserve"> ET Case Number 2200327/2007 [38].</w:t>
      </w:r>
    </w:p>
    <w:p w14:paraId="6990EE24" w14:textId="77777777" w:rsidR="00CB0442" w:rsidRPr="007C28A1" w:rsidRDefault="00CB0442"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eastAsia="Calibri" w:hAnsi="Times New Roman" w:cs="Times New Roman"/>
          <w:i/>
        </w:rPr>
        <w:t xml:space="preserve">Dixon </w:t>
      </w:r>
      <w:r w:rsidRPr="007C28A1">
        <w:rPr>
          <w:rFonts w:ascii="Times New Roman" w:hAnsi="Times New Roman" w:cs="Times New Roman"/>
          <w:i/>
        </w:rPr>
        <w:t>v (1) Croglin Estate Co Ltd (2) Michael George and (3) Angus Gunning</w:t>
      </w:r>
      <w:r w:rsidRPr="007C28A1">
        <w:rPr>
          <w:rFonts w:ascii="Times New Roman" w:hAnsi="Times New Roman" w:cs="Times New Roman"/>
        </w:rPr>
        <w:t xml:space="preserve"> ET Case Number</w:t>
      </w:r>
      <w:r w:rsidRPr="007C28A1">
        <w:rPr>
          <w:rFonts w:ascii="Times New Roman" w:hAnsi="Times New Roman" w:cs="Times New Roman"/>
          <w:i/>
        </w:rPr>
        <w:t xml:space="preserve"> </w:t>
      </w:r>
      <w:r w:rsidRPr="007C28A1">
        <w:rPr>
          <w:rFonts w:ascii="Times New Roman" w:hAnsi="Times New Roman" w:cs="Times New Roman"/>
        </w:rPr>
        <w:t>2502955/2011</w:t>
      </w:r>
      <w:r w:rsidRPr="007C28A1">
        <w:rPr>
          <w:rFonts w:ascii="Times New Roman" w:hAnsi="Times New Roman" w:cs="Times New Roman"/>
          <w:i/>
        </w:rPr>
        <w:t>.</w:t>
      </w:r>
    </w:p>
    <w:p w14:paraId="780CC074" w14:textId="77777777" w:rsidR="00CB0442" w:rsidRPr="007C28A1" w:rsidRDefault="00CB0442"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eastAsia="Calibri" w:hAnsi="Times New Roman" w:cs="Times New Roman"/>
        </w:rPr>
        <w:t xml:space="preserve">Ibid. </w:t>
      </w:r>
    </w:p>
    <w:p w14:paraId="1C401921" w14:textId="77777777" w:rsidR="00CB0442" w:rsidRPr="007C28A1" w:rsidRDefault="00CB0442"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eastAsia="Calibri" w:hAnsi="Times New Roman" w:cs="Times New Roman"/>
        </w:rPr>
        <w:t xml:space="preserve">Ibid. </w:t>
      </w:r>
    </w:p>
    <w:p w14:paraId="6210CB8C" w14:textId="77777777" w:rsidR="00CB0442" w:rsidRPr="007C28A1" w:rsidRDefault="00CB0442"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eastAsia="Calibri" w:hAnsi="Times New Roman" w:cs="Times New Roman"/>
        </w:rPr>
        <w:t xml:space="preserve">Ibid. </w:t>
      </w:r>
    </w:p>
    <w:p w14:paraId="395D9B6B" w14:textId="77777777" w:rsidR="00CB0442" w:rsidRPr="007C28A1" w:rsidRDefault="00CB0442"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hAnsi="Times New Roman" w:cs="Times New Roman"/>
        </w:rPr>
        <w:t>Day two of the hearing on 6</w:t>
      </w:r>
      <w:r w:rsidRPr="007C28A1">
        <w:rPr>
          <w:rFonts w:ascii="Times New Roman" w:hAnsi="Times New Roman" w:cs="Times New Roman"/>
          <w:vertAlign w:val="superscript"/>
        </w:rPr>
        <w:t>th</w:t>
      </w:r>
      <w:r w:rsidRPr="007C28A1">
        <w:rPr>
          <w:rFonts w:ascii="Times New Roman" w:hAnsi="Times New Roman" w:cs="Times New Roman"/>
        </w:rPr>
        <w:t xml:space="preserve"> December 2011.</w:t>
      </w:r>
    </w:p>
    <w:p w14:paraId="57201E61" w14:textId="77777777" w:rsidR="00CB0442" w:rsidRPr="007C28A1" w:rsidRDefault="00CB0442"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hAnsi="Times New Roman" w:cs="Times New Roman"/>
        </w:rPr>
        <w:t>ET Case Number 3204495/2009.</w:t>
      </w:r>
    </w:p>
    <w:p w14:paraId="063A4629" w14:textId="77777777" w:rsidR="00CB0442" w:rsidRPr="007C28A1" w:rsidRDefault="00CB0442"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hAnsi="Times New Roman" w:cs="Times New Roman"/>
        </w:rPr>
        <w:t>Ibid [58].</w:t>
      </w:r>
    </w:p>
    <w:p w14:paraId="04A23AFC" w14:textId="77777777" w:rsidR="00CB0442" w:rsidRPr="007C28A1" w:rsidRDefault="0002098B"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hAnsi="Times New Roman" w:cs="Times New Roman"/>
        </w:rPr>
        <w:t>ET Case Number 2502955/2011.</w:t>
      </w:r>
    </w:p>
    <w:p w14:paraId="5EBD8FD7" w14:textId="77777777" w:rsidR="0002098B" w:rsidRPr="007C28A1" w:rsidRDefault="0002098B"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hAnsi="Times New Roman" w:cs="Times New Roman"/>
        </w:rPr>
        <w:t>Day three of the hearing on 7</w:t>
      </w:r>
      <w:r w:rsidRPr="007C28A1">
        <w:rPr>
          <w:rFonts w:ascii="Times New Roman" w:hAnsi="Times New Roman" w:cs="Times New Roman"/>
          <w:vertAlign w:val="superscript"/>
        </w:rPr>
        <w:t>th</w:t>
      </w:r>
      <w:r w:rsidRPr="007C28A1">
        <w:rPr>
          <w:rFonts w:ascii="Times New Roman" w:hAnsi="Times New Roman" w:cs="Times New Roman"/>
        </w:rPr>
        <w:t xml:space="preserve"> December 2011.</w:t>
      </w:r>
    </w:p>
    <w:p w14:paraId="29441116" w14:textId="77777777" w:rsidR="0002098B" w:rsidRPr="007C28A1" w:rsidRDefault="0002098B"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hAnsi="Times New Roman" w:cs="Times New Roman"/>
        </w:rPr>
        <w:t xml:space="preserve">Ibid. </w:t>
      </w:r>
    </w:p>
    <w:p w14:paraId="335034A3" w14:textId="77777777" w:rsidR="0002098B" w:rsidRPr="007C28A1" w:rsidRDefault="0002098B"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hAnsi="Times New Roman" w:cs="Times New Roman"/>
        </w:rPr>
        <w:t>ET Case Number 3323775/2016.</w:t>
      </w:r>
    </w:p>
    <w:p w14:paraId="27001B2C" w14:textId="77777777" w:rsidR="0002098B" w:rsidRPr="007C28A1" w:rsidRDefault="0002098B"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hAnsi="Times New Roman" w:cs="Times New Roman"/>
        </w:rPr>
        <w:t>Ibid [4.1.2].</w:t>
      </w:r>
    </w:p>
    <w:p w14:paraId="4A1F252D" w14:textId="77777777" w:rsidR="0002098B" w:rsidRPr="007C28A1" w:rsidRDefault="0002098B"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hAnsi="Times New Roman" w:cs="Times New Roman"/>
        </w:rPr>
        <w:t>ET Case Number 2200327/2007.</w:t>
      </w:r>
    </w:p>
    <w:p w14:paraId="27E2000C" w14:textId="77777777" w:rsidR="0002098B" w:rsidRPr="007C28A1" w:rsidRDefault="0002098B"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hAnsi="Times New Roman" w:cs="Times New Roman"/>
        </w:rPr>
        <w:t>Ibid [37].</w:t>
      </w:r>
    </w:p>
    <w:p w14:paraId="242897E4" w14:textId="77777777" w:rsidR="0002098B" w:rsidRPr="007C28A1" w:rsidRDefault="0002098B"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hAnsi="Times New Roman" w:cs="Times New Roman"/>
        </w:rPr>
        <w:t>ET Case Number 2700838/2011 and 2701156/2011.</w:t>
      </w:r>
    </w:p>
    <w:p w14:paraId="4457BCE7" w14:textId="77777777" w:rsidR="0002098B" w:rsidRPr="007C28A1" w:rsidRDefault="0002098B"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hAnsi="Times New Roman" w:cs="Times New Roman"/>
        </w:rPr>
        <w:t>Ibid [3.5].</w:t>
      </w:r>
    </w:p>
    <w:p w14:paraId="74F6B0CC" w14:textId="6A2DDC86" w:rsidR="0002098B" w:rsidRPr="007C28A1" w:rsidRDefault="0002098B" w:rsidP="007A6B0E">
      <w:pPr>
        <w:pStyle w:val="FootnoteText"/>
        <w:numPr>
          <w:ilvl w:val="0"/>
          <w:numId w:val="17"/>
        </w:numPr>
        <w:contextualSpacing/>
        <w:rPr>
          <w:sz w:val="22"/>
          <w:szCs w:val="22"/>
          <w:lang w:val="en-GB"/>
        </w:rPr>
      </w:pPr>
      <w:r w:rsidRPr="007C28A1">
        <w:rPr>
          <w:i/>
          <w:sz w:val="22"/>
          <w:szCs w:val="22"/>
        </w:rPr>
        <w:t xml:space="preserve">Thomas v (1) Eight Members Club (2) Killip </w:t>
      </w:r>
      <w:r w:rsidRPr="007C28A1">
        <w:rPr>
          <w:sz w:val="22"/>
          <w:szCs w:val="22"/>
        </w:rPr>
        <w:t>ET Case Number 2202603/2007</w:t>
      </w:r>
      <w:r w:rsidR="00D27E01">
        <w:rPr>
          <w:sz w:val="22"/>
          <w:szCs w:val="22"/>
        </w:rPr>
        <w:t>.</w:t>
      </w:r>
    </w:p>
    <w:p w14:paraId="36E97BDE" w14:textId="6D3F6654" w:rsidR="0002098B" w:rsidRPr="007C28A1" w:rsidRDefault="0002098B" w:rsidP="007A6B0E">
      <w:pPr>
        <w:pStyle w:val="FootnoteText"/>
        <w:numPr>
          <w:ilvl w:val="0"/>
          <w:numId w:val="17"/>
        </w:numPr>
        <w:contextualSpacing/>
        <w:rPr>
          <w:sz w:val="22"/>
          <w:szCs w:val="22"/>
          <w:lang w:val="en-GB"/>
        </w:rPr>
      </w:pPr>
      <w:r w:rsidRPr="007C28A1">
        <w:rPr>
          <w:i/>
          <w:sz w:val="22"/>
          <w:szCs w:val="22"/>
        </w:rPr>
        <w:t>Wilkinson v Sprin</w:t>
      </w:r>
      <w:r w:rsidR="00620BB6">
        <w:rPr>
          <w:i/>
          <w:sz w:val="22"/>
          <w:szCs w:val="22"/>
        </w:rPr>
        <w:t>g</w:t>
      </w:r>
      <w:r w:rsidRPr="007C28A1">
        <w:rPr>
          <w:i/>
          <w:sz w:val="22"/>
          <w:szCs w:val="22"/>
        </w:rPr>
        <w:t>well Engineering Ltd</w:t>
      </w:r>
      <w:r w:rsidRPr="007C28A1">
        <w:rPr>
          <w:sz w:val="22"/>
          <w:szCs w:val="22"/>
        </w:rPr>
        <w:t xml:space="preserve"> ET Case Number 2507420/2007</w:t>
      </w:r>
    </w:p>
    <w:p w14:paraId="3641D3EF" w14:textId="77777777" w:rsidR="0002098B" w:rsidRPr="007C28A1" w:rsidRDefault="0002098B" w:rsidP="007A6B0E">
      <w:pPr>
        <w:pStyle w:val="FootnoteText"/>
        <w:numPr>
          <w:ilvl w:val="0"/>
          <w:numId w:val="17"/>
        </w:numPr>
        <w:contextualSpacing/>
        <w:rPr>
          <w:sz w:val="22"/>
          <w:szCs w:val="22"/>
        </w:rPr>
      </w:pPr>
      <w:r w:rsidRPr="007C28A1">
        <w:rPr>
          <w:sz w:val="22"/>
          <w:szCs w:val="22"/>
        </w:rPr>
        <w:t>Day three of the hearing on 7</w:t>
      </w:r>
      <w:r w:rsidRPr="007C28A1">
        <w:rPr>
          <w:sz w:val="22"/>
          <w:szCs w:val="22"/>
          <w:vertAlign w:val="superscript"/>
        </w:rPr>
        <w:t>th</w:t>
      </w:r>
      <w:r w:rsidRPr="007C28A1">
        <w:rPr>
          <w:sz w:val="22"/>
          <w:szCs w:val="22"/>
        </w:rPr>
        <w:t xml:space="preserve"> December 2011. </w:t>
      </w:r>
    </w:p>
    <w:p w14:paraId="166C3AF6" w14:textId="77777777" w:rsidR="0002098B" w:rsidRPr="007C28A1" w:rsidRDefault="0002098B" w:rsidP="007A6B0E">
      <w:pPr>
        <w:pStyle w:val="FootnoteText"/>
        <w:numPr>
          <w:ilvl w:val="0"/>
          <w:numId w:val="17"/>
        </w:numPr>
        <w:contextualSpacing/>
        <w:rPr>
          <w:sz w:val="22"/>
          <w:szCs w:val="22"/>
        </w:rPr>
      </w:pPr>
      <w:r w:rsidRPr="007C28A1">
        <w:rPr>
          <w:sz w:val="22"/>
          <w:szCs w:val="22"/>
        </w:rPr>
        <w:t xml:space="preserve">Ibid. </w:t>
      </w:r>
    </w:p>
    <w:p w14:paraId="511EBF9D" w14:textId="77777777" w:rsidR="0002098B" w:rsidRPr="007C28A1" w:rsidRDefault="0002098B" w:rsidP="007A6B0E">
      <w:pPr>
        <w:pStyle w:val="FootnoteText"/>
        <w:numPr>
          <w:ilvl w:val="0"/>
          <w:numId w:val="17"/>
        </w:numPr>
        <w:contextualSpacing/>
        <w:rPr>
          <w:sz w:val="22"/>
          <w:szCs w:val="22"/>
          <w:lang w:val="en-GB"/>
        </w:rPr>
      </w:pPr>
      <w:r w:rsidRPr="007C28A1">
        <w:rPr>
          <w:sz w:val="22"/>
          <w:szCs w:val="22"/>
        </w:rPr>
        <w:t>ET Case Number 2505011/2012.</w:t>
      </w:r>
    </w:p>
    <w:p w14:paraId="23A9D87B" w14:textId="77777777" w:rsidR="0002098B" w:rsidRPr="007C28A1" w:rsidRDefault="0002098B" w:rsidP="007A6B0E">
      <w:pPr>
        <w:pStyle w:val="FootnoteText"/>
        <w:numPr>
          <w:ilvl w:val="0"/>
          <w:numId w:val="17"/>
        </w:numPr>
        <w:contextualSpacing/>
        <w:rPr>
          <w:sz w:val="22"/>
          <w:szCs w:val="22"/>
          <w:lang w:val="en-GB"/>
        </w:rPr>
      </w:pPr>
      <w:r w:rsidRPr="007C28A1">
        <w:rPr>
          <w:sz w:val="22"/>
          <w:szCs w:val="22"/>
        </w:rPr>
        <w:t>Day one of the hearing on 26</w:t>
      </w:r>
      <w:r w:rsidRPr="007C28A1">
        <w:rPr>
          <w:sz w:val="22"/>
          <w:szCs w:val="22"/>
          <w:vertAlign w:val="superscript"/>
        </w:rPr>
        <w:t>th</w:t>
      </w:r>
      <w:r w:rsidRPr="007C28A1">
        <w:rPr>
          <w:sz w:val="22"/>
          <w:szCs w:val="22"/>
        </w:rPr>
        <w:t xml:space="preserve"> November 2012.</w:t>
      </w:r>
    </w:p>
    <w:p w14:paraId="45E2B67B" w14:textId="77777777" w:rsidR="0002098B" w:rsidRPr="007C28A1" w:rsidRDefault="0002098B" w:rsidP="007A6B0E">
      <w:pPr>
        <w:pStyle w:val="FootnoteText"/>
        <w:numPr>
          <w:ilvl w:val="0"/>
          <w:numId w:val="17"/>
        </w:numPr>
        <w:contextualSpacing/>
        <w:rPr>
          <w:sz w:val="22"/>
          <w:szCs w:val="22"/>
          <w:lang w:val="en-GB"/>
        </w:rPr>
      </w:pPr>
      <w:r w:rsidRPr="007C28A1">
        <w:rPr>
          <w:sz w:val="22"/>
          <w:szCs w:val="22"/>
        </w:rPr>
        <w:t>Ibid.</w:t>
      </w:r>
    </w:p>
    <w:p w14:paraId="257F77AF" w14:textId="77777777" w:rsidR="0002098B" w:rsidRPr="007C28A1" w:rsidRDefault="0002098B" w:rsidP="007A6B0E">
      <w:pPr>
        <w:pStyle w:val="FootnoteText"/>
        <w:numPr>
          <w:ilvl w:val="0"/>
          <w:numId w:val="17"/>
        </w:numPr>
        <w:contextualSpacing/>
        <w:rPr>
          <w:sz w:val="22"/>
          <w:szCs w:val="22"/>
          <w:lang w:val="en-GB"/>
        </w:rPr>
      </w:pPr>
      <w:r w:rsidRPr="007C28A1">
        <w:rPr>
          <w:sz w:val="22"/>
          <w:szCs w:val="22"/>
          <w:lang w:val="en-GB"/>
        </w:rPr>
        <w:t xml:space="preserve">Ibid. </w:t>
      </w:r>
    </w:p>
    <w:p w14:paraId="261F36BD" w14:textId="77777777" w:rsidR="0002098B" w:rsidRPr="007C28A1" w:rsidRDefault="0002098B" w:rsidP="007A6B0E">
      <w:pPr>
        <w:pStyle w:val="FootnoteText"/>
        <w:numPr>
          <w:ilvl w:val="0"/>
          <w:numId w:val="17"/>
        </w:numPr>
        <w:contextualSpacing/>
        <w:rPr>
          <w:sz w:val="22"/>
          <w:szCs w:val="22"/>
          <w:lang w:val="en-GB"/>
        </w:rPr>
      </w:pPr>
      <w:r w:rsidRPr="007C28A1">
        <w:rPr>
          <w:sz w:val="22"/>
          <w:szCs w:val="22"/>
        </w:rPr>
        <w:t xml:space="preserve">Ibid. </w:t>
      </w:r>
    </w:p>
    <w:p w14:paraId="1683B30D" w14:textId="77777777" w:rsidR="0002098B" w:rsidRPr="007C28A1" w:rsidRDefault="00D064CD" w:rsidP="007A6B0E">
      <w:pPr>
        <w:pStyle w:val="ListParagraph"/>
        <w:numPr>
          <w:ilvl w:val="0"/>
          <w:numId w:val="17"/>
        </w:numPr>
        <w:spacing w:after="0" w:line="240" w:lineRule="auto"/>
        <w:ind w:left="714" w:hanging="357"/>
        <w:jc w:val="both"/>
        <w:rPr>
          <w:rFonts w:ascii="Times New Roman" w:hAnsi="Times New Roman" w:cs="Times New Roman"/>
        </w:rPr>
      </w:pPr>
      <w:r w:rsidRPr="007C28A1">
        <w:rPr>
          <w:rFonts w:ascii="Times New Roman" w:hAnsi="Times New Roman" w:cs="Times New Roman"/>
          <w:i/>
        </w:rPr>
        <w:t>Baker v National Air Traffic Control</w:t>
      </w:r>
      <w:r w:rsidRPr="007C28A1">
        <w:rPr>
          <w:rFonts w:ascii="Times New Roman" w:hAnsi="Times New Roman" w:cs="Times New Roman"/>
        </w:rPr>
        <w:t xml:space="preserve"> ET Case Number 2203501/2007.</w:t>
      </w:r>
    </w:p>
    <w:p w14:paraId="5578AAA6" w14:textId="77777777" w:rsidR="00A05DE4" w:rsidRPr="007C28A1" w:rsidRDefault="00D064CD" w:rsidP="007A6B0E">
      <w:pPr>
        <w:pStyle w:val="FootnoteText"/>
        <w:numPr>
          <w:ilvl w:val="0"/>
          <w:numId w:val="17"/>
        </w:numPr>
        <w:contextualSpacing/>
        <w:rPr>
          <w:sz w:val="22"/>
          <w:szCs w:val="22"/>
          <w:lang w:val="en-GB"/>
        </w:rPr>
      </w:pPr>
      <w:r w:rsidRPr="007C28A1">
        <w:rPr>
          <w:rFonts w:eastAsia="Calibri"/>
          <w:i/>
          <w:sz w:val="22"/>
          <w:szCs w:val="22"/>
        </w:rPr>
        <w:t>Dixon v (1) Croglin Estates L</w:t>
      </w:r>
      <w:r w:rsidRPr="007C28A1">
        <w:rPr>
          <w:i/>
          <w:sz w:val="22"/>
          <w:szCs w:val="22"/>
        </w:rPr>
        <w:t xml:space="preserve">td (2) Michael George and (3) Angus Gunning </w:t>
      </w:r>
      <w:r w:rsidRPr="007C28A1">
        <w:rPr>
          <w:sz w:val="22"/>
          <w:szCs w:val="22"/>
        </w:rPr>
        <w:t>ET Case Number 2502955/2011.</w:t>
      </w:r>
    </w:p>
    <w:p w14:paraId="11379399" w14:textId="77777777" w:rsidR="00D064CD" w:rsidRPr="007C28A1" w:rsidRDefault="00A05DE4" w:rsidP="007A6B0E">
      <w:pPr>
        <w:pStyle w:val="FootnoteText"/>
        <w:numPr>
          <w:ilvl w:val="0"/>
          <w:numId w:val="17"/>
        </w:numPr>
        <w:contextualSpacing/>
        <w:rPr>
          <w:sz w:val="22"/>
          <w:szCs w:val="22"/>
          <w:lang w:val="en-GB"/>
        </w:rPr>
      </w:pPr>
      <w:r w:rsidRPr="007C28A1">
        <w:rPr>
          <w:i/>
          <w:sz w:val="22"/>
          <w:szCs w:val="22"/>
        </w:rPr>
        <w:t xml:space="preserve">Hibbert v West End Working Mens Club </w:t>
      </w:r>
      <w:r w:rsidRPr="007C28A1">
        <w:rPr>
          <w:sz w:val="22"/>
          <w:szCs w:val="22"/>
        </w:rPr>
        <w:t>ET Case Number 1402145/2007.</w:t>
      </w:r>
    </w:p>
    <w:p w14:paraId="1C2620A3" w14:textId="77777777" w:rsidR="00A05DE4" w:rsidRPr="007C28A1" w:rsidRDefault="00A05DE4" w:rsidP="007A6B0E">
      <w:pPr>
        <w:pStyle w:val="FootnoteText"/>
        <w:numPr>
          <w:ilvl w:val="0"/>
          <w:numId w:val="17"/>
        </w:numPr>
        <w:contextualSpacing/>
        <w:rPr>
          <w:sz w:val="22"/>
          <w:szCs w:val="22"/>
          <w:lang w:val="en-GB"/>
        </w:rPr>
      </w:pPr>
      <w:r w:rsidRPr="007C28A1">
        <w:rPr>
          <w:sz w:val="22"/>
          <w:szCs w:val="22"/>
        </w:rPr>
        <w:t>ET Case Number 1302495/2010</w:t>
      </w:r>
    </w:p>
    <w:p w14:paraId="7DBECEB3" w14:textId="77777777" w:rsidR="00A05DE4" w:rsidRPr="007C28A1" w:rsidRDefault="00A05DE4" w:rsidP="007A6B0E">
      <w:pPr>
        <w:pStyle w:val="FootnoteText"/>
        <w:numPr>
          <w:ilvl w:val="0"/>
          <w:numId w:val="17"/>
        </w:numPr>
        <w:contextualSpacing/>
        <w:rPr>
          <w:sz w:val="22"/>
          <w:szCs w:val="22"/>
          <w:lang w:val="en-GB"/>
        </w:rPr>
      </w:pPr>
      <w:r w:rsidRPr="007C28A1">
        <w:rPr>
          <w:sz w:val="22"/>
          <w:szCs w:val="22"/>
        </w:rPr>
        <w:t>Ibid [4.9].</w:t>
      </w:r>
    </w:p>
    <w:p w14:paraId="1C0C9FCB" w14:textId="77777777" w:rsidR="00A05DE4" w:rsidRPr="007C28A1" w:rsidRDefault="00A05DE4" w:rsidP="007A6B0E">
      <w:pPr>
        <w:pStyle w:val="FootnoteText"/>
        <w:numPr>
          <w:ilvl w:val="0"/>
          <w:numId w:val="17"/>
        </w:numPr>
        <w:contextualSpacing/>
        <w:rPr>
          <w:sz w:val="22"/>
          <w:szCs w:val="22"/>
          <w:lang w:val="en-GB"/>
        </w:rPr>
      </w:pPr>
      <w:r w:rsidRPr="007C28A1">
        <w:rPr>
          <w:i/>
          <w:sz w:val="22"/>
          <w:szCs w:val="22"/>
        </w:rPr>
        <w:t xml:space="preserve">Perrin v Fred Christopher Ltd </w:t>
      </w:r>
      <w:r w:rsidRPr="007C28A1">
        <w:rPr>
          <w:sz w:val="22"/>
          <w:szCs w:val="22"/>
        </w:rPr>
        <w:t>ET Case Number 1401278/2014.</w:t>
      </w:r>
    </w:p>
    <w:p w14:paraId="2B5ADE7A" w14:textId="7F16F2FB" w:rsidR="00A05DE4" w:rsidRPr="007C28A1" w:rsidRDefault="007C28A1" w:rsidP="007A6B0E">
      <w:pPr>
        <w:pStyle w:val="FootnoteText"/>
        <w:numPr>
          <w:ilvl w:val="0"/>
          <w:numId w:val="17"/>
        </w:numPr>
        <w:contextualSpacing/>
        <w:rPr>
          <w:sz w:val="22"/>
          <w:szCs w:val="22"/>
          <w:lang w:val="en-GB"/>
        </w:rPr>
      </w:pPr>
      <w:r w:rsidRPr="007C28A1">
        <w:rPr>
          <w:rFonts w:eastAsia="Calibri"/>
          <w:i/>
          <w:sz w:val="22"/>
          <w:szCs w:val="22"/>
        </w:rPr>
        <w:t xml:space="preserve">Dixon </w:t>
      </w:r>
      <w:r w:rsidRPr="007C28A1">
        <w:rPr>
          <w:i/>
          <w:sz w:val="22"/>
          <w:szCs w:val="22"/>
        </w:rPr>
        <w:t>v (1) Croglin Estate Co Ltd (2) Michael George and (3) Angus Gunning</w:t>
      </w:r>
      <w:r w:rsidRPr="007C28A1">
        <w:rPr>
          <w:sz w:val="22"/>
          <w:szCs w:val="22"/>
        </w:rPr>
        <w:t xml:space="preserve"> </w:t>
      </w:r>
      <w:r w:rsidR="00A05DE4" w:rsidRPr="007C28A1">
        <w:rPr>
          <w:sz w:val="22"/>
          <w:szCs w:val="22"/>
        </w:rPr>
        <w:t xml:space="preserve">ET Case Number </w:t>
      </w:r>
      <w:r w:rsidR="00620BB6">
        <w:rPr>
          <w:sz w:val="22"/>
          <w:szCs w:val="22"/>
        </w:rPr>
        <w:t>2</w:t>
      </w:r>
      <w:r w:rsidR="00A05DE4" w:rsidRPr="007C28A1">
        <w:rPr>
          <w:sz w:val="22"/>
          <w:szCs w:val="22"/>
        </w:rPr>
        <w:t>502955/2011.</w:t>
      </w:r>
    </w:p>
    <w:p w14:paraId="5815BCD8" w14:textId="77777777" w:rsidR="00A05DE4" w:rsidRPr="007C28A1" w:rsidRDefault="00A05DE4" w:rsidP="007A6B0E">
      <w:pPr>
        <w:pStyle w:val="FootnoteText"/>
        <w:numPr>
          <w:ilvl w:val="0"/>
          <w:numId w:val="17"/>
        </w:numPr>
        <w:contextualSpacing/>
        <w:rPr>
          <w:sz w:val="22"/>
          <w:szCs w:val="22"/>
          <w:lang w:val="en-GB"/>
        </w:rPr>
      </w:pPr>
      <w:r w:rsidRPr="007C28A1">
        <w:rPr>
          <w:sz w:val="22"/>
          <w:szCs w:val="22"/>
        </w:rPr>
        <w:t>Day one of the hearing on 5</w:t>
      </w:r>
      <w:r w:rsidRPr="007C28A1">
        <w:rPr>
          <w:sz w:val="22"/>
          <w:szCs w:val="22"/>
          <w:vertAlign w:val="superscript"/>
        </w:rPr>
        <w:t>th</w:t>
      </w:r>
      <w:r w:rsidRPr="007C28A1">
        <w:rPr>
          <w:sz w:val="22"/>
          <w:szCs w:val="22"/>
        </w:rPr>
        <w:t xml:space="preserve"> December 2011.</w:t>
      </w:r>
    </w:p>
    <w:p w14:paraId="54FA9218" w14:textId="2206EB86" w:rsidR="00A05DE4" w:rsidRPr="007C28A1" w:rsidRDefault="00A05DE4" w:rsidP="007A6B0E">
      <w:pPr>
        <w:pStyle w:val="FootnoteText"/>
        <w:numPr>
          <w:ilvl w:val="0"/>
          <w:numId w:val="17"/>
        </w:numPr>
        <w:contextualSpacing/>
        <w:rPr>
          <w:sz w:val="22"/>
          <w:szCs w:val="22"/>
          <w:lang w:val="en-GB"/>
        </w:rPr>
      </w:pPr>
      <w:r w:rsidRPr="007C28A1">
        <w:rPr>
          <w:i/>
          <w:sz w:val="22"/>
          <w:szCs w:val="22"/>
        </w:rPr>
        <w:t>Frost v David Harber Ltd</w:t>
      </w:r>
      <w:r w:rsidRPr="007C28A1">
        <w:rPr>
          <w:sz w:val="22"/>
          <w:szCs w:val="22"/>
        </w:rPr>
        <w:t xml:space="preserve"> ET Case Number 2703446/200</w:t>
      </w:r>
      <w:r w:rsidR="00890ADF">
        <w:rPr>
          <w:sz w:val="22"/>
          <w:szCs w:val="22"/>
        </w:rPr>
        <w:t>9.</w:t>
      </w:r>
    </w:p>
    <w:p w14:paraId="2BC38494" w14:textId="77777777" w:rsidR="008E5F8E" w:rsidRPr="007C28A1" w:rsidRDefault="00A05DE4" w:rsidP="007A6B0E">
      <w:pPr>
        <w:pStyle w:val="FootnoteText"/>
        <w:numPr>
          <w:ilvl w:val="0"/>
          <w:numId w:val="17"/>
        </w:numPr>
        <w:contextualSpacing/>
        <w:rPr>
          <w:sz w:val="22"/>
          <w:szCs w:val="22"/>
          <w:lang w:val="en-GB"/>
        </w:rPr>
      </w:pPr>
      <w:r w:rsidRPr="007C28A1">
        <w:rPr>
          <w:i/>
          <w:sz w:val="22"/>
          <w:szCs w:val="22"/>
        </w:rPr>
        <w:t>Fryett v Suncrust Bakery</w:t>
      </w:r>
      <w:r w:rsidRPr="007C28A1">
        <w:rPr>
          <w:sz w:val="22"/>
          <w:szCs w:val="22"/>
        </w:rPr>
        <w:t xml:space="preserve"> ET Case Number 1501483/2008 [36]. </w:t>
      </w:r>
    </w:p>
    <w:p w14:paraId="06C1DDC9" w14:textId="77777777" w:rsidR="008E5F8E" w:rsidRPr="007C28A1" w:rsidRDefault="008E5F8E" w:rsidP="007A6B0E">
      <w:pPr>
        <w:pStyle w:val="FootnoteText"/>
        <w:numPr>
          <w:ilvl w:val="0"/>
          <w:numId w:val="17"/>
        </w:numPr>
        <w:contextualSpacing/>
        <w:rPr>
          <w:sz w:val="22"/>
          <w:szCs w:val="22"/>
          <w:lang w:val="en-GB"/>
        </w:rPr>
      </w:pPr>
      <w:r w:rsidRPr="007C28A1">
        <w:rPr>
          <w:sz w:val="22"/>
          <w:szCs w:val="22"/>
        </w:rPr>
        <w:t>ET Case Number 2200327/2007.</w:t>
      </w:r>
    </w:p>
    <w:p w14:paraId="56662E73" w14:textId="77777777" w:rsidR="008E5F8E" w:rsidRPr="007C28A1" w:rsidRDefault="008E5F8E" w:rsidP="007A6B0E">
      <w:pPr>
        <w:pStyle w:val="FootnoteText"/>
        <w:numPr>
          <w:ilvl w:val="0"/>
          <w:numId w:val="17"/>
        </w:numPr>
        <w:contextualSpacing/>
        <w:rPr>
          <w:sz w:val="22"/>
          <w:szCs w:val="22"/>
          <w:lang w:val="en-GB"/>
        </w:rPr>
      </w:pPr>
      <w:r w:rsidRPr="007C28A1">
        <w:rPr>
          <w:sz w:val="22"/>
          <w:szCs w:val="22"/>
          <w:lang w:val="en-GB"/>
        </w:rPr>
        <w:t>Ibid [37].</w:t>
      </w:r>
    </w:p>
    <w:p w14:paraId="2910E817" w14:textId="77777777" w:rsidR="008E5F8E" w:rsidRPr="007C28A1" w:rsidRDefault="008E5F8E" w:rsidP="007A6B0E">
      <w:pPr>
        <w:pStyle w:val="FootnoteText"/>
        <w:numPr>
          <w:ilvl w:val="0"/>
          <w:numId w:val="17"/>
        </w:numPr>
        <w:contextualSpacing/>
        <w:rPr>
          <w:sz w:val="22"/>
          <w:szCs w:val="22"/>
          <w:lang w:val="en-GB"/>
        </w:rPr>
      </w:pPr>
      <w:r w:rsidRPr="007C28A1">
        <w:rPr>
          <w:i/>
          <w:sz w:val="22"/>
          <w:szCs w:val="22"/>
        </w:rPr>
        <w:t>The</w:t>
      </w:r>
      <w:r w:rsidRPr="007C28A1">
        <w:rPr>
          <w:i/>
          <w:iCs/>
          <w:sz w:val="22"/>
          <w:szCs w:val="22"/>
        </w:rPr>
        <w:t xml:space="preserve"> Queen on the Application of the Incorporated Trustees of the National Council on Ageing (Age Concern England) v Secretary of State for Business, Innovation and Skills</w:t>
      </w:r>
      <w:r w:rsidRPr="007C28A1">
        <w:rPr>
          <w:sz w:val="22"/>
          <w:szCs w:val="22"/>
        </w:rPr>
        <w:t xml:space="preserve"> Case C-388/07.</w:t>
      </w:r>
    </w:p>
    <w:p w14:paraId="08A48CEE" w14:textId="7E863E74" w:rsidR="001E2CF3" w:rsidRPr="007C28A1" w:rsidRDefault="001E2CF3" w:rsidP="007A6B0E">
      <w:pPr>
        <w:pStyle w:val="FootnoteText"/>
        <w:numPr>
          <w:ilvl w:val="0"/>
          <w:numId w:val="17"/>
        </w:numPr>
        <w:contextualSpacing/>
        <w:rPr>
          <w:sz w:val="22"/>
          <w:szCs w:val="22"/>
          <w:lang w:val="en-GB"/>
        </w:rPr>
      </w:pPr>
      <w:r w:rsidRPr="007C28A1">
        <w:rPr>
          <w:i/>
          <w:sz w:val="22"/>
          <w:szCs w:val="22"/>
        </w:rPr>
        <w:t>Koh v Sainsburys Supermarkets</w:t>
      </w:r>
      <w:r w:rsidRPr="007C28A1">
        <w:rPr>
          <w:sz w:val="22"/>
          <w:szCs w:val="22"/>
        </w:rPr>
        <w:t xml:space="preserve"> ET Case Number 23122</w:t>
      </w:r>
      <w:r w:rsidR="00620BB6">
        <w:rPr>
          <w:sz w:val="22"/>
          <w:szCs w:val="22"/>
        </w:rPr>
        <w:t>6</w:t>
      </w:r>
      <w:r w:rsidRPr="007C28A1">
        <w:rPr>
          <w:sz w:val="22"/>
          <w:szCs w:val="22"/>
        </w:rPr>
        <w:t xml:space="preserve">7/2008, </w:t>
      </w:r>
      <w:r w:rsidRPr="007C28A1">
        <w:rPr>
          <w:i/>
          <w:iCs/>
          <w:sz w:val="22"/>
          <w:szCs w:val="22"/>
        </w:rPr>
        <w:t>Court v Dennis Publishing Ltd</w:t>
      </w:r>
      <w:r w:rsidRPr="007C28A1">
        <w:rPr>
          <w:i/>
          <w:sz w:val="22"/>
          <w:szCs w:val="22"/>
        </w:rPr>
        <w:t xml:space="preserve"> </w:t>
      </w:r>
      <w:r w:rsidRPr="007C28A1">
        <w:rPr>
          <w:sz w:val="22"/>
          <w:szCs w:val="22"/>
        </w:rPr>
        <w:t>ET Case Number 2</w:t>
      </w:r>
      <w:r w:rsidR="00620BB6">
        <w:rPr>
          <w:sz w:val="22"/>
          <w:szCs w:val="22"/>
        </w:rPr>
        <w:t>20032</w:t>
      </w:r>
      <w:r w:rsidRPr="007C28A1">
        <w:rPr>
          <w:sz w:val="22"/>
          <w:szCs w:val="22"/>
        </w:rPr>
        <w:t>7/200</w:t>
      </w:r>
      <w:r w:rsidR="00620BB6">
        <w:rPr>
          <w:sz w:val="22"/>
          <w:szCs w:val="22"/>
        </w:rPr>
        <w:t>7</w:t>
      </w:r>
      <w:r w:rsidRPr="007C28A1">
        <w:rPr>
          <w:i/>
          <w:sz w:val="22"/>
          <w:szCs w:val="22"/>
        </w:rPr>
        <w:t xml:space="preserve">, </w:t>
      </w:r>
      <w:r w:rsidRPr="007C28A1">
        <w:rPr>
          <w:i/>
          <w:iCs/>
          <w:sz w:val="22"/>
          <w:szCs w:val="22"/>
        </w:rPr>
        <w:t>Wilkinson v Springwell Engineering</w:t>
      </w:r>
      <w:r w:rsidRPr="007C28A1">
        <w:rPr>
          <w:i/>
          <w:sz w:val="22"/>
          <w:szCs w:val="22"/>
        </w:rPr>
        <w:t xml:space="preserve"> </w:t>
      </w:r>
      <w:r w:rsidRPr="007C28A1">
        <w:rPr>
          <w:sz w:val="22"/>
          <w:szCs w:val="22"/>
        </w:rPr>
        <w:t xml:space="preserve">ET Case Number 2507420/2007,  </w:t>
      </w:r>
      <w:r w:rsidRPr="007C28A1">
        <w:rPr>
          <w:i/>
          <w:sz w:val="22"/>
          <w:szCs w:val="22"/>
        </w:rPr>
        <w:t>Baker v National Air Traffic Services</w:t>
      </w:r>
      <w:r w:rsidRPr="007C28A1">
        <w:rPr>
          <w:sz w:val="22"/>
          <w:szCs w:val="22"/>
        </w:rPr>
        <w:t xml:space="preserve"> ET Case Number 2203501/2007,</w:t>
      </w:r>
      <w:r w:rsidRPr="007C28A1">
        <w:rPr>
          <w:i/>
          <w:sz w:val="22"/>
          <w:szCs w:val="22"/>
        </w:rPr>
        <w:t xml:space="preserve"> Hampton v The Lord Chancellor and The Ministry of Justice </w:t>
      </w:r>
      <w:r w:rsidRPr="007C28A1">
        <w:rPr>
          <w:sz w:val="22"/>
          <w:szCs w:val="22"/>
        </w:rPr>
        <w:t>ET Case Number 2300835/2007,</w:t>
      </w:r>
      <w:r w:rsidRPr="007C28A1">
        <w:rPr>
          <w:i/>
          <w:iCs/>
          <w:sz w:val="22"/>
          <w:szCs w:val="22"/>
        </w:rPr>
        <w:t xml:space="preserve"> Berrill v Corbetts and Company (Galvanising) Ltd</w:t>
      </w:r>
      <w:r w:rsidRPr="007C28A1">
        <w:rPr>
          <w:i/>
          <w:sz w:val="22"/>
          <w:szCs w:val="22"/>
        </w:rPr>
        <w:t xml:space="preserve"> </w:t>
      </w:r>
      <w:r w:rsidRPr="007C28A1">
        <w:rPr>
          <w:sz w:val="22"/>
          <w:szCs w:val="22"/>
        </w:rPr>
        <w:t>ET Case Number 1302495/2010.</w:t>
      </w:r>
    </w:p>
    <w:p w14:paraId="2BBF4062" w14:textId="0047DED6" w:rsidR="008E5F8E" w:rsidRPr="007C28A1" w:rsidRDefault="008E5F8E" w:rsidP="007A6B0E">
      <w:pPr>
        <w:pStyle w:val="FootnoteText"/>
        <w:numPr>
          <w:ilvl w:val="0"/>
          <w:numId w:val="17"/>
        </w:numPr>
        <w:contextualSpacing/>
        <w:rPr>
          <w:sz w:val="22"/>
          <w:szCs w:val="22"/>
          <w:lang w:val="en-GB"/>
        </w:rPr>
      </w:pPr>
      <w:r w:rsidRPr="007C28A1">
        <w:rPr>
          <w:sz w:val="22"/>
          <w:szCs w:val="22"/>
        </w:rPr>
        <w:t>ET Case Number 23122</w:t>
      </w:r>
      <w:r w:rsidR="00620BB6">
        <w:rPr>
          <w:sz w:val="22"/>
          <w:szCs w:val="22"/>
        </w:rPr>
        <w:t>6</w:t>
      </w:r>
      <w:r w:rsidRPr="007C28A1">
        <w:rPr>
          <w:sz w:val="22"/>
          <w:szCs w:val="22"/>
        </w:rPr>
        <w:t>7/2008.</w:t>
      </w:r>
    </w:p>
    <w:p w14:paraId="6315B2BC" w14:textId="77777777" w:rsidR="008E5F8E" w:rsidRPr="007C28A1" w:rsidRDefault="008E5F8E" w:rsidP="007A6B0E">
      <w:pPr>
        <w:pStyle w:val="FootnoteText"/>
        <w:numPr>
          <w:ilvl w:val="0"/>
          <w:numId w:val="17"/>
        </w:numPr>
        <w:contextualSpacing/>
        <w:rPr>
          <w:sz w:val="22"/>
          <w:szCs w:val="22"/>
          <w:lang w:val="en-GB"/>
        </w:rPr>
      </w:pPr>
      <w:r w:rsidRPr="007C28A1">
        <w:rPr>
          <w:sz w:val="22"/>
          <w:szCs w:val="22"/>
        </w:rPr>
        <w:t>Ibid [77].</w:t>
      </w:r>
    </w:p>
    <w:p w14:paraId="5276CCE8" w14:textId="77777777" w:rsidR="008E5F8E" w:rsidRPr="007C28A1" w:rsidRDefault="008E5F8E" w:rsidP="007A6B0E">
      <w:pPr>
        <w:pStyle w:val="FootnoteText"/>
        <w:numPr>
          <w:ilvl w:val="0"/>
          <w:numId w:val="17"/>
        </w:numPr>
        <w:contextualSpacing/>
        <w:rPr>
          <w:sz w:val="22"/>
          <w:szCs w:val="22"/>
          <w:lang w:val="en-GB"/>
        </w:rPr>
      </w:pPr>
      <w:r w:rsidRPr="007C28A1">
        <w:rPr>
          <w:sz w:val="22"/>
          <w:szCs w:val="22"/>
        </w:rPr>
        <w:t>ET Case Number 2507420/2007.</w:t>
      </w:r>
    </w:p>
    <w:p w14:paraId="329FCEBA" w14:textId="77777777" w:rsidR="0002098B" w:rsidRPr="007C28A1" w:rsidRDefault="008E5F8E" w:rsidP="007A6B0E">
      <w:pPr>
        <w:pStyle w:val="FootnoteText"/>
        <w:numPr>
          <w:ilvl w:val="0"/>
          <w:numId w:val="17"/>
        </w:numPr>
        <w:contextualSpacing/>
        <w:rPr>
          <w:sz w:val="22"/>
          <w:szCs w:val="22"/>
          <w:lang w:val="en-GB"/>
        </w:rPr>
      </w:pPr>
      <w:r w:rsidRPr="007C28A1">
        <w:rPr>
          <w:sz w:val="22"/>
          <w:szCs w:val="22"/>
        </w:rPr>
        <w:t>Ibid [10.5].</w:t>
      </w:r>
    </w:p>
    <w:p w14:paraId="37CA855F" w14:textId="77777777" w:rsidR="008E5F8E" w:rsidRPr="007C28A1" w:rsidRDefault="008E5F8E" w:rsidP="007A6B0E">
      <w:pPr>
        <w:pStyle w:val="FootnoteText"/>
        <w:numPr>
          <w:ilvl w:val="0"/>
          <w:numId w:val="17"/>
        </w:numPr>
        <w:contextualSpacing/>
        <w:rPr>
          <w:sz w:val="22"/>
          <w:szCs w:val="22"/>
          <w:lang w:val="en-GB"/>
        </w:rPr>
      </w:pPr>
      <w:r w:rsidRPr="007C28A1">
        <w:rPr>
          <w:sz w:val="22"/>
          <w:szCs w:val="22"/>
          <w:lang w:val="en-GB"/>
        </w:rPr>
        <w:t>ET Case Number 3323775/2016.</w:t>
      </w:r>
    </w:p>
    <w:p w14:paraId="6F6B5225" w14:textId="77777777" w:rsidR="008E5F8E" w:rsidRPr="007C28A1" w:rsidRDefault="008E5F8E" w:rsidP="007A6B0E">
      <w:pPr>
        <w:pStyle w:val="FootnoteText"/>
        <w:numPr>
          <w:ilvl w:val="0"/>
          <w:numId w:val="17"/>
        </w:numPr>
        <w:contextualSpacing/>
        <w:rPr>
          <w:sz w:val="22"/>
          <w:szCs w:val="22"/>
          <w:lang w:val="en-GB"/>
        </w:rPr>
      </w:pPr>
      <w:r w:rsidRPr="007C28A1">
        <w:rPr>
          <w:sz w:val="22"/>
          <w:szCs w:val="22"/>
        </w:rPr>
        <w:t>ET Case Number 2502955/2011.</w:t>
      </w:r>
    </w:p>
    <w:p w14:paraId="033B3DF8" w14:textId="77777777" w:rsidR="008E5F8E" w:rsidRPr="007C28A1" w:rsidRDefault="008E5F8E" w:rsidP="007A6B0E">
      <w:pPr>
        <w:pStyle w:val="FootnoteText"/>
        <w:numPr>
          <w:ilvl w:val="0"/>
          <w:numId w:val="17"/>
        </w:numPr>
        <w:contextualSpacing/>
        <w:rPr>
          <w:sz w:val="22"/>
          <w:szCs w:val="22"/>
          <w:lang w:val="en-GB"/>
        </w:rPr>
      </w:pPr>
      <w:r w:rsidRPr="007C28A1">
        <w:rPr>
          <w:sz w:val="22"/>
          <w:szCs w:val="22"/>
        </w:rPr>
        <w:t>Ibid [9.10].</w:t>
      </w:r>
    </w:p>
    <w:p w14:paraId="12C5158F" w14:textId="77777777" w:rsidR="008E5F8E" w:rsidRPr="007C28A1" w:rsidRDefault="008E5F8E" w:rsidP="007A6B0E">
      <w:pPr>
        <w:pStyle w:val="FootnoteText"/>
        <w:numPr>
          <w:ilvl w:val="0"/>
          <w:numId w:val="17"/>
        </w:numPr>
        <w:contextualSpacing/>
        <w:rPr>
          <w:sz w:val="22"/>
          <w:szCs w:val="22"/>
          <w:lang w:val="en-GB"/>
        </w:rPr>
      </w:pPr>
      <w:r w:rsidRPr="007C28A1">
        <w:rPr>
          <w:sz w:val="22"/>
          <w:szCs w:val="22"/>
          <w:lang w:val="en-GB"/>
        </w:rPr>
        <w:t xml:space="preserve">Ibid. </w:t>
      </w:r>
    </w:p>
    <w:p w14:paraId="2DD8C6D9" w14:textId="77777777" w:rsidR="008E5F8E" w:rsidRPr="007C28A1" w:rsidRDefault="008E5F8E" w:rsidP="007A6B0E">
      <w:pPr>
        <w:pStyle w:val="FootnoteText"/>
        <w:numPr>
          <w:ilvl w:val="0"/>
          <w:numId w:val="17"/>
        </w:numPr>
        <w:contextualSpacing/>
        <w:rPr>
          <w:sz w:val="22"/>
          <w:szCs w:val="22"/>
        </w:rPr>
      </w:pPr>
      <w:r w:rsidRPr="007C28A1">
        <w:rPr>
          <w:sz w:val="22"/>
          <w:szCs w:val="22"/>
        </w:rPr>
        <w:t>The comment was contained in the minutes of a management meeting on 14</w:t>
      </w:r>
      <w:r w:rsidRPr="007C28A1">
        <w:rPr>
          <w:sz w:val="22"/>
          <w:szCs w:val="22"/>
          <w:vertAlign w:val="superscript"/>
        </w:rPr>
        <w:t>th</w:t>
      </w:r>
      <w:r w:rsidRPr="007C28A1">
        <w:rPr>
          <w:sz w:val="22"/>
          <w:szCs w:val="22"/>
        </w:rPr>
        <w:t xml:space="preserve"> January 2011 disclosed on the first day of the hearing. </w:t>
      </w:r>
    </w:p>
    <w:p w14:paraId="705150A4" w14:textId="2EEF9A7B" w:rsidR="008E5F8E" w:rsidRPr="007C28A1" w:rsidRDefault="008E5F8E" w:rsidP="007A6B0E">
      <w:pPr>
        <w:pStyle w:val="FootnoteText"/>
        <w:numPr>
          <w:ilvl w:val="0"/>
          <w:numId w:val="17"/>
        </w:numPr>
        <w:contextualSpacing/>
        <w:rPr>
          <w:sz w:val="22"/>
          <w:szCs w:val="22"/>
        </w:rPr>
      </w:pPr>
      <w:r w:rsidRPr="007C28A1">
        <w:rPr>
          <w:sz w:val="22"/>
          <w:szCs w:val="22"/>
        </w:rPr>
        <w:t>ET Case Number 2502955/2011 [8.7].</w:t>
      </w:r>
      <w:r w:rsidR="005E093D">
        <w:rPr>
          <w:sz w:val="22"/>
          <w:szCs w:val="22"/>
        </w:rPr>
        <w:t xml:space="preserve"> For a discussion of this case in the context of compensation reduction see Dewhurst, E. (2015)</w:t>
      </w:r>
      <w:r w:rsidR="00984D9E">
        <w:rPr>
          <w:sz w:val="22"/>
          <w:szCs w:val="22"/>
        </w:rPr>
        <w:t>,</w:t>
      </w:r>
      <w:r w:rsidR="005E093D">
        <w:rPr>
          <w:sz w:val="22"/>
          <w:szCs w:val="22"/>
        </w:rPr>
        <w:t xml:space="preserve"> </w:t>
      </w:r>
      <w:r w:rsidR="00984D9E">
        <w:rPr>
          <w:sz w:val="22"/>
          <w:szCs w:val="22"/>
        </w:rPr>
        <w:t>“</w:t>
      </w:r>
      <w:r w:rsidR="005E093D">
        <w:rPr>
          <w:sz w:val="22"/>
          <w:szCs w:val="22"/>
        </w:rPr>
        <w:t>Are Older Workers Past Their Sell-by-Date? A View</w:t>
      </w:r>
      <w:r w:rsidR="00984D9E">
        <w:rPr>
          <w:sz w:val="22"/>
          <w:szCs w:val="22"/>
        </w:rPr>
        <w:t xml:space="preserve"> from UK Age Discrimination Law”, </w:t>
      </w:r>
      <w:r w:rsidR="00984D9E" w:rsidRPr="00A80619">
        <w:rPr>
          <w:i/>
          <w:sz w:val="22"/>
          <w:szCs w:val="22"/>
        </w:rPr>
        <w:t>Modern Law Review</w:t>
      </w:r>
      <w:r w:rsidR="00984D9E">
        <w:rPr>
          <w:sz w:val="22"/>
          <w:szCs w:val="22"/>
        </w:rPr>
        <w:t>, Vol. 78, Issue. 2, pp 189-215.</w:t>
      </w:r>
      <w:r w:rsidR="005E093D">
        <w:rPr>
          <w:sz w:val="22"/>
          <w:szCs w:val="22"/>
        </w:rPr>
        <w:t xml:space="preserve"> </w:t>
      </w:r>
    </w:p>
    <w:p w14:paraId="7A8F8D4C" w14:textId="77777777" w:rsidR="008E5F8E" w:rsidRPr="007C28A1" w:rsidRDefault="008E5F8E" w:rsidP="007A6B0E">
      <w:pPr>
        <w:pStyle w:val="FootnoteText"/>
        <w:numPr>
          <w:ilvl w:val="0"/>
          <w:numId w:val="17"/>
        </w:numPr>
        <w:contextualSpacing/>
        <w:rPr>
          <w:sz w:val="22"/>
          <w:szCs w:val="22"/>
        </w:rPr>
      </w:pPr>
      <w:r w:rsidRPr="007C28A1">
        <w:rPr>
          <w:sz w:val="22"/>
          <w:szCs w:val="22"/>
        </w:rPr>
        <w:t>ET Case Number 2505011/2012.</w:t>
      </w:r>
    </w:p>
    <w:p w14:paraId="702CA833" w14:textId="77777777" w:rsidR="008E5F8E" w:rsidRPr="007C28A1" w:rsidRDefault="008E5F8E" w:rsidP="007A6B0E">
      <w:pPr>
        <w:pStyle w:val="FootnoteText"/>
        <w:numPr>
          <w:ilvl w:val="0"/>
          <w:numId w:val="17"/>
        </w:numPr>
        <w:contextualSpacing/>
        <w:rPr>
          <w:sz w:val="22"/>
          <w:szCs w:val="22"/>
          <w:lang w:val="en-GB"/>
        </w:rPr>
      </w:pPr>
      <w:r w:rsidRPr="007C28A1">
        <w:rPr>
          <w:sz w:val="22"/>
          <w:szCs w:val="22"/>
        </w:rPr>
        <w:t>Day two of the evidence on 27</w:t>
      </w:r>
      <w:r w:rsidRPr="007C28A1">
        <w:rPr>
          <w:sz w:val="22"/>
          <w:szCs w:val="22"/>
          <w:vertAlign w:val="superscript"/>
        </w:rPr>
        <w:t>th</w:t>
      </w:r>
      <w:r w:rsidRPr="007C28A1">
        <w:rPr>
          <w:sz w:val="22"/>
          <w:szCs w:val="22"/>
        </w:rPr>
        <w:t xml:space="preserve"> November 2012.</w:t>
      </w:r>
    </w:p>
    <w:p w14:paraId="7C3D95A6" w14:textId="77777777" w:rsidR="008E5F8E" w:rsidRPr="007C28A1" w:rsidRDefault="008E5F8E" w:rsidP="007A6B0E">
      <w:pPr>
        <w:pStyle w:val="FootnoteText"/>
        <w:numPr>
          <w:ilvl w:val="0"/>
          <w:numId w:val="17"/>
        </w:numPr>
        <w:contextualSpacing/>
        <w:rPr>
          <w:sz w:val="22"/>
          <w:szCs w:val="22"/>
        </w:rPr>
      </w:pPr>
      <w:r w:rsidRPr="007C28A1">
        <w:rPr>
          <w:sz w:val="22"/>
          <w:szCs w:val="22"/>
        </w:rPr>
        <w:t>ET Case Number 2203501/2007.</w:t>
      </w:r>
    </w:p>
    <w:p w14:paraId="61A2FB83" w14:textId="77777777" w:rsidR="008E5F8E" w:rsidRPr="007C28A1" w:rsidRDefault="008E5F8E" w:rsidP="007A6B0E">
      <w:pPr>
        <w:pStyle w:val="FootnoteText"/>
        <w:numPr>
          <w:ilvl w:val="0"/>
          <w:numId w:val="17"/>
        </w:numPr>
        <w:contextualSpacing/>
        <w:rPr>
          <w:sz w:val="22"/>
          <w:szCs w:val="22"/>
        </w:rPr>
      </w:pPr>
      <w:r w:rsidRPr="007C28A1">
        <w:rPr>
          <w:sz w:val="22"/>
          <w:szCs w:val="22"/>
        </w:rPr>
        <w:t>Ibid [7.5].</w:t>
      </w:r>
    </w:p>
    <w:p w14:paraId="4497B452" w14:textId="77777777" w:rsidR="008E5F8E" w:rsidRPr="007C28A1" w:rsidRDefault="008E5F8E" w:rsidP="007A6B0E">
      <w:pPr>
        <w:pStyle w:val="FootnoteText"/>
        <w:numPr>
          <w:ilvl w:val="0"/>
          <w:numId w:val="17"/>
        </w:numPr>
        <w:contextualSpacing/>
        <w:rPr>
          <w:sz w:val="22"/>
          <w:szCs w:val="22"/>
        </w:rPr>
      </w:pPr>
      <w:r w:rsidRPr="007C28A1">
        <w:rPr>
          <w:sz w:val="22"/>
          <w:szCs w:val="22"/>
        </w:rPr>
        <w:t xml:space="preserve">ET Case Number 2802438/2009. </w:t>
      </w:r>
    </w:p>
    <w:p w14:paraId="3105CFBE" w14:textId="77777777" w:rsidR="00987D16" w:rsidRDefault="001D3831" w:rsidP="00987D16">
      <w:pPr>
        <w:pStyle w:val="FootnoteText"/>
        <w:numPr>
          <w:ilvl w:val="0"/>
          <w:numId w:val="17"/>
        </w:numPr>
        <w:contextualSpacing/>
        <w:rPr>
          <w:sz w:val="22"/>
          <w:szCs w:val="22"/>
        </w:rPr>
      </w:pPr>
      <w:r w:rsidRPr="00A80619">
        <w:rPr>
          <w:i/>
          <w:sz w:val="22"/>
          <w:szCs w:val="22"/>
        </w:rPr>
        <w:t>The Incorporated Trustees of the National Council on Ageing (Age Concern England) v Secretary of State for Business, Enterprise and Regulatory Reform</w:t>
      </w:r>
      <w:r w:rsidRPr="00A80619">
        <w:rPr>
          <w:sz w:val="22"/>
          <w:szCs w:val="22"/>
        </w:rPr>
        <w:t xml:space="preserve"> Case C-388/97.</w:t>
      </w:r>
    </w:p>
    <w:p w14:paraId="0AED7E91" w14:textId="2B77E12A" w:rsidR="008E5F8E" w:rsidRPr="00713C8D" w:rsidRDefault="008E5F8E" w:rsidP="00987D16">
      <w:pPr>
        <w:pStyle w:val="FootnoteText"/>
        <w:numPr>
          <w:ilvl w:val="0"/>
          <w:numId w:val="17"/>
        </w:numPr>
        <w:contextualSpacing/>
        <w:rPr>
          <w:sz w:val="22"/>
          <w:szCs w:val="22"/>
        </w:rPr>
      </w:pPr>
      <w:r w:rsidRPr="00987D16">
        <w:rPr>
          <w:bCs/>
          <w:i/>
          <w:sz w:val="22"/>
          <w:szCs w:val="22"/>
        </w:rPr>
        <w:t>Loxley</w:t>
      </w:r>
      <w:r w:rsidRPr="00987D16">
        <w:rPr>
          <w:bCs/>
          <w:sz w:val="22"/>
          <w:szCs w:val="22"/>
        </w:rPr>
        <w:t xml:space="preserve"> </w:t>
      </w:r>
      <w:r w:rsidRPr="00987D16">
        <w:rPr>
          <w:bCs/>
          <w:i/>
          <w:sz w:val="22"/>
          <w:szCs w:val="22"/>
        </w:rPr>
        <w:t xml:space="preserve">v BAE Systems (Munitions and Ordnance) </w:t>
      </w:r>
      <w:r w:rsidR="00000DB2" w:rsidRPr="00987D16">
        <w:rPr>
          <w:bCs/>
          <w:i/>
          <w:sz w:val="22"/>
          <w:szCs w:val="22"/>
        </w:rPr>
        <w:t>Limited</w:t>
      </w:r>
      <w:r w:rsidR="00000DB2" w:rsidRPr="00987D16">
        <w:rPr>
          <w:bCs/>
          <w:sz w:val="22"/>
          <w:szCs w:val="22"/>
        </w:rPr>
        <w:t xml:space="preserve"> EAT</w:t>
      </w:r>
      <w:r w:rsidRPr="00987D16">
        <w:rPr>
          <w:sz w:val="22"/>
          <w:szCs w:val="22"/>
        </w:rPr>
        <w:t>/0156/08/RN</w:t>
      </w:r>
      <w:r w:rsidRPr="00713C8D">
        <w:rPr>
          <w:bCs/>
          <w:sz w:val="22"/>
          <w:szCs w:val="22"/>
        </w:rPr>
        <w:t xml:space="preserve"> and </w:t>
      </w:r>
      <w:r w:rsidRPr="00713C8D">
        <w:rPr>
          <w:bCs/>
          <w:i/>
          <w:sz w:val="22"/>
          <w:szCs w:val="22"/>
        </w:rPr>
        <w:t>Pulham and Others v London Borough of Barking and Dagenham</w:t>
      </w:r>
      <w:r w:rsidRPr="00713C8D">
        <w:rPr>
          <w:sz w:val="22"/>
          <w:szCs w:val="22"/>
        </w:rPr>
        <w:t xml:space="preserve"> UKEAT/0516/08/RN.</w:t>
      </w:r>
    </w:p>
    <w:p w14:paraId="541D2CCF" w14:textId="00538CD0" w:rsidR="008E5F8E" w:rsidRPr="007C28A1" w:rsidRDefault="008E5F8E" w:rsidP="007A6B0E">
      <w:pPr>
        <w:pStyle w:val="FootnoteText"/>
        <w:numPr>
          <w:ilvl w:val="0"/>
          <w:numId w:val="17"/>
        </w:numPr>
        <w:contextualSpacing/>
        <w:rPr>
          <w:sz w:val="22"/>
          <w:szCs w:val="22"/>
        </w:rPr>
      </w:pPr>
      <w:r w:rsidRPr="007C28A1">
        <w:rPr>
          <w:bCs/>
          <w:i/>
          <w:sz w:val="22"/>
          <w:szCs w:val="22"/>
        </w:rPr>
        <w:t>Loxley</w:t>
      </w:r>
      <w:r w:rsidRPr="007C28A1">
        <w:rPr>
          <w:bCs/>
          <w:sz w:val="22"/>
          <w:szCs w:val="22"/>
        </w:rPr>
        <w:t xml:space="preserve"> </w:t>
      </w:r>
      <w:r w:rsidRPr="007C28A1">
        <w:rPr>
          <w:bCs/>
          <w:i/>
          <w:sz w:val="22"/>
          <w:szCs w:val="22"/>
        </w:rPr>
        <w:t xml:space="preserve">v BAE Systems (Munitions and Ordnance) </w:t>
      </w:r>
      <w:r w:rsidR="00000DB2" w:rsidRPr="007C28A1">
        <w:rPr>
          <w:bCs/>
          <w:i/>
          <w:sz w:val="22"/>
          <w:szCs w:val="22"/>
        </w:rPr>
        <w:t>Limited</w:t>
      </w:r>
      <w:r w:rsidR="00000DB2" w:rsidRPr="007C28A1">
        <w:rPr>
          <w:bCs/>
          <w:sz w:val="22"/>
          <w:szCs w:val="22"/>
        </w:rPr>
        <w:t xml:space="preserve"> EAT</w:t>
      </w:r>
      <w:r w:rsidRPr="007C28A1">
        <w:rPr>
          <w:sz w:val="22"/>
          <w:szCs w:val="22"/>
        </w:rPr>
        <w:t>/0156/08/RN [43].</w:t>
      </w:r>
    </w:p>
    <w:p w14:paraId="7E4CDA83" w14:textId="77777777" w:rsidR="008E5F8E" w:rsidRPr="007C28A1" w:rsidRDefault="008E5F8E" w:rsidP="007A6B0E">
      <w:pPr>
        <w:pStyle w:val="FootnoteText"/>
        <w:numPr>
          <w:ilvl w:val="0"/>
          <w:numId w:val="17"/>
        </w:numPr>
        <w:contextualSpacing/>
        <w:rPr>
          <w:sz w:val="22"/>
          <w:szCs w:val="22"/>
        </w:rPr>
      </w:pPr>
      <w:r w:rsidRPr="007C28A1">
        <w:rPr>
          <w:i/>
          <w:iCs/>
          <w:sz w:val="22"/>
          <w:szCs w:val="22"/>
        </w:rPr>
        <w:t>Baker v National Air Traffic Services</w:t>
      </w:r>
      <w:r w:rsidRPr="007C28A1">
        <w:rPr>
          <w:sz w:val="22"/>
          <w:szCs w:val="22"/>
        </w:rPr>
        <w:t xml:space="preserve"> ET Case Number 2203501/2007.</w:t>
      </w:r>
    </w:p>
    <w:p w14:paraId="6567C135" w14:textId="42806C69" w:rsidR="00110058" w:rsidRPr="007C28A1" w:rsidRDefault="00110058" w:rsidP="007A6B0E">
      <w:pPr>
        <w:pStyle w:val="FootnoteText"/>
        <w:numPr>
          <w:ilvl w:val="0"/>
          <w:numId w:val="17"/>
        </w:numPr>
        <w:contextualSpacing/>
        <w:rPr>
          <w:sz w:val="22"/>
          <w:szCs w:val="22"/>
        </w:rPr>
      </w:pPr>
      <w:r w:rsidRPr="007C28A1">
        <w:rPr>
          <w:sz w:val="22"/>
          <w:szCs w:val="22"/>
        </w:rPr>
        <w:t>ET Case Number 2200472/2012</w:t>
      </w:r>
      <w:r w:rsidR="00987D16">
        <w:rPr>
          <w:sz w:val="22"/>
          <w:szCs w:val="22"/>
        </w:rPr>
        <w:t xml:space="preserve"> [62</w:t>
      </w:r>
      <w:r w:rsidR="00BA0408">
        <w:rPr>
          <w:sz w:val="22"/>
          <w:szCs w:val="22"/>
        </w:rPr>
        <w:t>]</w:t>
      </w:r>
      <w:r w:rsidRPr="007C28A1">
        <w:rPr>
          <w:sz w:val="22"/>
          <w:szCs w:val="22"/>
        </w:rPr>
        <w:t>.</w:t>
      </w:r>
    </w:p>
    <w:p w14:paraId="586C0491" w14:textId="0801A90D" w:rsidR="008E5F8E" w:rsidRPr="007C28A1" w:rsidRDefault="00110058" w:rsidP="007A6B0E">
      <w:pPr>
        <w:pStyle w:val="FootnoteText"/>
        <w:numPr>
          <w:ilvl w:val="0"/>
          <w:numId w:val="17"/>
        </w:numPr>
        <w:contextualSpacing/>
        <w:rPr>
          <w:sz w:val="22"/>
          <w:szCs w:val="22"/>
        </w:rPr>
      </w:pPr>
      <w:r w:rsidRPr="007C28A1">
        <w:rPr>
          <w:sz w:val="22"/>
          <w:szCs w:val="22"/>
        </w:rPr>
        <w:t>Ibid</w:t>
      </w:r>
      <w:r w:rsidR="00987D16">
        <w:rPr>
          <w:sz w:val="22"/>
          <w:szCs w:val="22"/>
        </w:rPr>
        <w:t xml:space="preserve"> [64]</w:t>
      </w:r>
      <w:r w:rsidR="00BA0408">
        <w:rPr>
          <w:sz w:val="22"/>
          <w:szCs w:val="22"/>
        </w:rPr>
        <w:t>.</w:t>
      </w:r>
    </w:p>
    <w:p w14:paraId="42F8013F" w14:textId="77777777" w:rsidR="00110058" w:rsidRPr="007C28A1" w:rsidRDefault="00110058" w:rsidP="007A6B0E">
      <w:pPr>
        <w:pStyle w:val="FootnoteText"/>
        <w:numPr>
          <w:ilvl w:val="0"/>
          <w:numId w:val="17"/>
        </w:numPr>
        <w:contextualSpacing/>
        <w:rPr>
          <w:sz w:val="22"/>
          <w:szCs w:val="22"/>
        </w:rPr>
      </w:pPr>
      <w:r w:rsidRPr="007C28A1">
        <w:rPr>
          <w:sz w:val="22"/>
          <w:szCs w:val="22"/>
        </w:rPr>
        <w:t>Ibid [69].</w:t>
      </w:r>
    </w:p>
    <w:p w14:paraId="3F54AE2C" w14:textId="77777777" w:rsidR="00110058" w:rsidRPr="007C28A1" w:rsidRDefault="00110058" w:rsidP="007A6B0E">
      <w:pPr>
        <w:pStyle w:val="FootnoteText"/>
        <w:numPr>
          <w:ilvl w:val="0"/>
          <w:numId w:val="17"/>
        </w:numPr>
        <w:contextualSpacing/>
        <w:rPr>
          <w:sz w:val="22"/>
          <w:szCs w:val="22"/>
        </w:rPr>
      </w:pPr>
      <w:r w:rsidRPr="007C28A1">
        <w:rPr>
          <w:sz w:val="22"/>
          <w:szCs w:val="22"/>
        </w:rPr>
        <w:t>Ibid [40].</w:t>
      </w:r>
    </w:p>
    <w:p w14:paraId="2EAA911F" w14:textId="77777777" w:rsidR="00110058" w:rsidRPr="007C28A1" w:rsidRDefault="00110058" w:rsidP="007A6B0E">
      <w:pPr>
        <w:pStyle w:val="FootnoteText"/>
        <w:numPr>
          <w:ilvl w:val="0"/>
          <w:numId w:val="17"/>
        </w:numPr>
        <w:contextualSpacing/>
        <w:rPr>
          <w:sz w:val="22"/>
          <w:szCs w:val="22"/>
        </w:rPr>
      </w:pPr>
      <w:r w:rsidRPr="007C28A1">
        <w:rPr>
          <w:sz w:val="22"/>
          <w:szCs w:val="22"/>
        </w:rPr>
        <w:t xml:space="preserve">Ibid. </w:t>
      </w:r>
    </w:p>
    <w:p w14:paraId="608E2282" w14:textId="77777777" w:rsidR="00110058" w:rsidRPr="007C28A1" w:rsidRDefault="00110058" w:rsidP="007A6B0E">
      <w:pPr>
        <w:pStyle w:val="FootnoteText"/>
        <w:numPr>
          <w:ilvl w:val="0"/>
          <w:numId w:val="17"/>
        </w:numPr>
        <w:contextualSpacing/>
        <w:rPr>
          <w:sz w:val="22"/>
          <w:szCs w:val="22"/>
        </w:rPr>
      </w:pPr>
      <w:r w:rsidRPr="007C28A1">
        <w:rPr>
          <w:sz w:val="22"/>
          <w:szCs w:val="22"/>
        </w:rPr>
        <w:t xml:space="preserve">ET Case Number 3204495/2009. </w:t>
      </w:r>
    </w:p>
    <w:p w14:paraId="47CEC3AC" w14:textId="77777777" w:rsidR="00110058" w:rsidRPr="007C28A1" w:rsidRDefault="00110058" w:rsidP="007A6B0E">
      <w:pPr>
        <w:pStyle w:val="FootnoteText"/>
        <w:numPr>
          <w:ilvl w:val="0"/>
          <w:numId w:val="17"/>
        </w:numPr>
        <w:contextualSpacing/>
        <w:rPr>
          <w:sz w:val="22"/>
          <w:szCs w:val="22"/>
          <w:lang w:val="en-GB"/>
        </w:rPr>
      </w:pPr>
      <w:r w:rsidRPr="007C28A1">
        <w:rPr>
          <w:sz w:val="22"/>
          <w:szCs w:val="22"/>
        </w:rPr>
        <w:t>ET Case Number 1501483/2008.</w:t>
      </w:r>
    </w:p>
    <w:p w14:paraId="62356D48" w14:textId="77777777" w:rsidR="00110058" w:rsidRPr="007C28A1" w:rsidRDefault="00110058" w:rsidP="007A6B0E">
      <w:pPr>
        <w:pStyle w:val="FootnoteText"/>
        <w:numPr>
          <w:ilvl w:val="0"/>
          <w:numId w:val="17"/>
        </w:numPr>
        <w:contextualSpacing/>
        <w:rPr>
          <w:sz w:val="22"/>
          <w:szCs w:val="22"/>
          <w:lang w:val="en-GB"/>
        </w:rPr>
      </w:pPr>
      <w:r w:rsidRPr="007C28A1">
        <w:rPr>
          <w:sz w:val="22"/>
          <w:szCs w:val="22"/>
        </w:rPr>
        <w:t>ET Case Number 1100275/2007.</w:t>
      </w:r>
    </w:p>
    <w:p w14:paraId="36AE4E28" w14:textId="77777777" w:rsidR="00110058" w:rsidRPr="007C28A1" w:rsidRDefault="00110058" w:rsidP="007A6B0E">
      <w:pPr>
        <w:pStyle w:val="FootnoteText"/>
        <w:numPr>
          <w:ilvl w:val="0"/>
          <w:numId w:val="17"/>
        </w:numPr>
        <w:contextualSpacing/>
        <w:rPr>
          <w:sz w:val="22"/>
          <w:szCs w:val="22"/>
          <w:lang w:val="en-GB"/>
        </w:rPr>
      </w:pPr>
      <w:r w:rsidRPr="007C28A1">
        <w:rPr>
          <w:sz w:val="22"/>
          <w:szCs w:val="22"/>
        </w:rPr>
        <w:t>UKEAT/0384/11.</w:t>
      </w:r>
    </w:p>
    <w:p w14:paraId="57F916B1" w14:textId="77777777" w:rsidR="00110058" w:rsidRPr="007C28A1" w:rsidRDefault="00110058" w:rsidP="007A6B0E">
      <w:pPr>
        <w:pStyle w:val="FootnoteText"/>
        <w:numPr>
          <w:ilvl w:val="0"/>
          <w:numId w:val="17"/>
        </w:numPr>
        <w:contextualSpacing/>
        <w:rPr>
          <w:sz w:val="22"/>
          <w:szCs w:val="22"/>
        </w:rPr>
      </w:pPr>
      <w:r w:rsidRPr="007C28A1">
        <w:rPr>
          <w:sz w:val="22"/>
          <w:szCs w:val="22"/>
        </w:rPr>
        <w:t>ET Case Number 1100275/2007 [59.8].</w:t>
      </w:r>
    </w:p>
    <w:p w14:paraId="02D3C160" w14:textId="4F607153" w:rsidR="00BA0408" w:rsidRPr="00A80619" w:rsidRDefault="00BA0408" w:rsidP="000A32A1">
      <w:pPr>
        <w:pStyle w:val="FootnoteText"/>
        <w:numPr>
          <w:ilvl w:val="0"/>
          <w:numId w:val="17"/>
        </w:numPr>
        <w:contextualSpacing/>
        <w:rPr>
          <w:sz w:val="22"/>
          <w:szCs w:val="22"/>
        </w:rPr>
      </w:pPr>
      <w:r w:rsidRPr="007C28A1">
        <w:rPr>
          <w:color w:val="000000"/>
          <w:sz w:val="22"/>
          <w:szCs w:val="22"/>
        </w:rPr>
        <w:t>UKEAT 0063_08_1912</w:t>
      </w:r>
    </w:p>
    <w:p w14:paraId="37824B0C" w14:textId="17145A2A" w:rsidR="00635C50" w:rsidRPr="000A32A1" w:rsidRDefault="00635C50" w:rsidP="000A32A1">
      <w:pPr>
        <w:pStyle w:val="FootnoteText"/>
        <w:numPr>
          <w:ilvl w:val="0"/>
          <w:numId w:val="17"/>
        </w:numPr>
        <w:contextualSpacing/>
        <w:rPr>
          <w:sz w:val="22"/>
          <w:szCs w:val="22"/>
        </w:rPr>
      </w:pPr>
      <w:r w:rsidRPr="00A80619">
        <w:rPr>
          <w:rFonts w:eastAsia="Calibri"/>
          <w:i/>
          <w:iCs/>
          <w:sz w:val="22"/>
          <w:szCs w:val="22"/>
        </w:rPr>
        <w:t>Gerhard Fuchs, Peter Kohler v Land Hessen</w:t>
      </w:r>
      <w:r w:rsidRPr="000A32A1">
        <w:rPr>
          <w:sz w:val="22"/>
          <w:szCs w:val="22"/>
        </w:rPr>
        <w:t xml:space="preserve"> Case C-159/10 and Case C-160/10 and </w:t>
      </w:r>
      <w:r w:rsidRPr="00A80619">
        <w:rPr>
          <w:rFonts w:eastAsia="Calibri"/>
          <w:i/>
          <w:iCs/>
          <w:sz w:val="22"/>
          <w:szCs w:val="22"/>
        </w:rPr>
        <w:t>Hörnfeldt</w:t>
      </w:r>
      <w:r w:rsidRPr="00A80619">
        <w:rPr>
          <w:rFonts w:eastAsia="Calibri"/>
          <w:i/>
          <w:sz w:val="22"/>
          <w:szCs w:val="22"/>
        </w:rPr>
        <w:t xml:space="preserve"> Torsten </w:t>
      </w:r>
      <w:r w:rsidRPr="00A80619">
        <w:rPr>
          <w:rFonts w:eastAsia="Calibri"/>
          <w:i/>
          <w:iCs/>
          <w:color w:val="222222"/>
          <w:sz w:val="22"/>
          <w:szCs w:val="22"/>
        </w:rPr>
        <w:t>Hörnfeldt v Posten Meddelande AB</w:t>
      </w:r>
      <w:r w:rsidRPr="000A32A1">
        <w:rPr>
          <w:sz w:val="22"/>
          <w:szCs w:val="22"/>
        </w:rPr>
        <w:t xml:space="preserve"> Case C-141/11.</w:t>
      </w:r>
    </w:p>
    <w:p w14:paraId="34AC6304" w14:textId="7BFD17AD" w:rsidR="00110058" w:rsidRPr="007C28A1" w:rsidRDefault="00110058" w:rsidP="007A6B0E">
      <w:pPr>
        <w:pStyle w:val="FootnoteText"/>
        <w:numPr>
          <w:ilvl w:val="0"/>
          <w:numId w:val="17"/>
        </w:numPr>
        <w:contextualSpacing/>
        <w:rPr>
          <w:sz w:val="22"/>
          <w:szCs w:val="22"/>
        </w:rPr>
      </w:pPr>
      <w:r w:rsidRPr="007C28A1">
        <w:rPr>
          <w:sz w:val="22"/>
          <w:szCs w:val="22"/>
        </w:rPr>
        <w:t>[2012] UKSC 16 [57].</w:t>
      </w:r>
    </w:p>
    <w:p w14:paraId="545F5B61" w14:textId="77777777" w:rsidR="00110058" w:rsidRPr="007C28A1" w:rsidRDefault="00110058" w:rsidP="007A6B0E">
      <w:pPr>
        <w:pStyle w:val="FootnoteText"/>
        <w:numPr>
          <w:ilvl w:val="0"/>
          <w:numId w:val="17"/>
        </w:numPr>
        <w:contextualSpacing/>
        <w:rPr>
          <w:sz w:val="22"/>
          <w:szCs w:val="22"/>
          <w:lang w:val="en-GB"/>
        </w:rPr>
      </w:pPr>
      <w:r w:rsidRPr="007C28A1">
        <w:rPr>
          <w:sz w:val="22"/>
          <w:szCs w:val="22"/>
        </w:rPr>
        <w:t>Ibid [58].</w:t>
      </w:r>
    </w:p>
    <w:p w14:paraId="69418AA7" w14:textId="64CF00D5" w:rsidR="00110058" w:rsidRPr="007C28A1" w:rsidRDefault="00110058" w:rsidP="007A6B0E">
      <w:pPr>
        <w:pStyle w:val="FootnoteText"/>
        <w:numPr>
          <w:ilvl w:val="0"/>
          <w:numId w:val="17"/>
        </w:numPr>
        <w:contextualSpacing/>
        <w:rPr>
          <w:sz w:val="22"/>
          <w:szCs w:val="22"/>
          <w:lang w:val="en-GB"/>
        </w:rPr>
      </w:pPr>
      <w:r w:rsidRPr="007C28A1">
        <w:rPr>
          <w:i/>
          <w:iCs/>
          <w:sz w:val="22"/>
          <w:szCs w:val="22"/>
        </w:rPr>
        <w:t xml:space="preserve">Gisela Rosenbladt v Oellerking Gebaudereinigungsges </w:t>
      </w:r>
      <w:r w:rsidR="00635C50" w:rsidRPr="008E6C9B">
        <w:rPr>
          <w:sz w:val="22"/>
          <w:szCs w:val="22"/>
        </w:rPr>
        <w:t>Case C-45/09</w:t>
      </w:r>
      <w:r w:rsidR="00635C50">
        <w:rPr>
          <w:sz w:val="22"/>
          <w:szCs w:val="22"/>
        </w:rPr>
        <w:t xml:space="preserve"> and </w:t>
      </w:r>
      <w:r w:rsidRPr="007C28A1">
        <w:rPr>
          <w:i/>
          <w:iCs/>
          <w:sz w:val="22"/>
          <w:szCs w:val="22"/>
        </w:rPr>
        <w:t>Gerhard Fuchs, Peter Kohler v Land Hessen</w:t>
      </w:r>
      <w:r w:rsidRPr="007C28A1">
        <w:rPr>
          <w:sz w:val="22"/>
          <w:szCs w:val="22"/>
        </w:rPr>
        <w:t xml:space="preserve"> Case C-159/10 and Case C-160/10</w:t>
      </w:r>
    </w:p>
    <w:p w14:paraId="12711086" w14:textId="77777777" w:rsidR="00110058" w:rsidRPr="007C28A1" w:rsidRDefault="00110058" w:rsidP="007A6B0E">
      <w:pPr>
        <w:pStyle w:val="FootnoteText"/>
        <w:numPr>
          <w:ilvl w:val="0"/>
          <w:numId w:val="17"/>
        </w:numPr>
        <w:contextualSpacing/>
        <w:rPr>
          <w:sz w:val="22"/>
          <w:szCs w:val="22"/>
          <w:lang w:val="en-GB"/>
        </w:rPr>
      </w:pPr>
      <w:r w:rsidRPr="007C28A1">
        <w:rPr>
          <w:sz w:val="22"/>
          <w:szCs w:val="22"/>
        </w:rPr>
        <w:t>ET Case Number 2200472/2012 [69].</w:t>
      </w:r>
    </w:p>
    <w:p w14:paraId="16938EB8" w14:textId="77777777" w:rsidR="00110058" w:rsidRPr="007C28A1" w:rsidRDefault="00110058" w:rsidP="007A6B0E">
      <w:pPr>
        <w:pStyle w:val="FootnoteText"/>
        <w:numPr>
          <w:ilvl w:val="0"/>
          <w:numId w:val="17"/>
        </w:numPr>
        <w:contextualSpacing/>
        <w:rPr>
          <w:sz w:val="22"/>
          <w:szCs w:val="22"/>
          <w:lang w:val="en-GB"/>
        </w:rPr>
      </w:pPr>
      <w:r w:rsidRPr="007C28A1">
        <w:rPr>
          <w:sz w:val="22"/>
          <w:szCs w:val="22"/>
          <w:lang w:val="en-GB"/>
        </w:rPr>
        <w:t>ET Case Number 2201406/2014 and 2201407/2014.</w:t>
      </w:r>
    </w:p>
    <w:p w14:paraId="35D6D880" w14:textId="77777777" w:rsidR="00110058" w:rsidRPr="007C28A1" w:rsidRDefault="00110058" w:rsidP="007A6B0E">
      <w:pPr>
        <w:pStyle w:val="FootnoteText"/>
        <w:numPr>
          <w:ilvl w:val="0"/>
          <w:numId w:val="17"/>
        </w:numPr>
        <w:contextualSpacing/>
        <w:rPr>
          <w:sz w:val="22"/>
          <w:szCs w:val="22"/>
          <w:lang w:val="en-GB"/>
        </w:rPr>
      </w:pPr>
      <w:r w:rsidRPr="007C28A1">
        <w:rPr>
          <w:sz w:val="22"/>
          <w:szCs w:val="22"/>
          <w:lang w:val="sv-SE"/>
        </w:rPr>
        <w:t>Ibid para [46].</w:t>
      </w:r>
    </w:p>
    <w:p w14:paraId="0E3C6E0F" w14:textId="77777777" w:rsidR="007A6B0E" w:rsidRPr="007C28A1" w:rsidRDefault="007A6B0E" w:rsidP="007A6B0E">
      <w:pPr>
        <w:pStyle w:val="FootnoteText"/>
        <w:numPr>
          <w:ilvl w:val="0"/>
          <w:numId w:val="17"/>
        </w:numPr>
        <w:contextualSpacing/>
        <w:rPr>
          <w:sz w:val="22"/>
          <w:szCs w:val="22"/>
          <w:lang w:val="sv-SE"/>
        </w:rPr>
      </w:pPr>
      <w:r w:rsidRPr="007C28A1">
        <w:rPr>
          <w:sz w:val="22"/>
          <w:szCs w:val="22"/>
          <w:lang w:val="sv-SE"/>
        </w:rPr>
        <w:t>Ibid para [45].</w:t>
      </w:r>
    </w:p>
    <w:p w14:paraId="3F56FAD5" w14:textId="77777777" w:rsidR="007A6B0E" w:rsidRPr="007C28A1" w:rsidRDefault="007A6B0E" w:rsidP="007A6B0E">
      <w:pPr>
        <w:pStyle w:val="FootnoteText"/>
        <w:numPr>
          <w:ilvl w:val="0"/>
          <w:numId w:val="17"/>
        </w:numPr>
        <w:contextualSpacing/>
        <w:rPr>
          <w:sz w:val="22"/>
          <w:szCs w:val="22"/>
          <w:lang w:val="sv-SE"/>
        </w:rPr>
      </w:pPr>
      <w:r w:rsidRPr="007C28A1">
        <w:rPr>
          <w:sz w:val="22"/>
          <w:szCs w:val="22"/>
          <w:lang w:val="sv-SE"/>
        </w:rPr>
        <w:t>Ibid.</w:t>
      </w:r>
    </w:p>
    <w:p w14:paraId="06E19EDD" w14:textId="77777777" w:rsidR="00110058" w:rsidRPr="007C28A1" w:rsidRDefault="007A6B0E" w:rsidP="007A6B0E">
      <w:pPr>
        <w:pStyle w:val="FootnoteText"/>
        <w:numPr>
          <w:ilvl w:val="0"/>
          <w:numId w:val="17"/>
        </w:numPr>
        <w:contextualSpacing/>
        <w:rPr>
          <w:sz w:val="22"/>
          <w:szCs w:val="22"/>
          <w:lang w:val="en-GB"/>
        </w:rPr>
      </w:pPr>
      <w:r w:rsidRPr="007C28A1">
        <w:rPr>
          <w:sz w:val="22"/>
          <w:szCs w:val="22"/>
          <w:lang w:val="en-GB"/>
        </w:rPr>
        <w:t>Ibid [47].</w:t>
      </w:r>
    </w:p>
    <w:p w14:paraId="189843D4" w14:textId="77777777" w:rsidR="007A6B0E" w:rsidRPr="007C28A1" w:rsidRDefault="007A6B0E" w:rsidP="007A6B0E">
      <w:pPr>
        <w:pStyle w:val="FootnoteText"/>
        <w:numPr>
          <w:ilvl w:val="0"/>
          <w:numId w:val="17"/>
        </w:numPr>
        <w:contextualSpacing/>
        <w:rPr>
          <w:sz w:val="22"/>
          <w:szCs w:val="22"/>
          <w:lang w:val="en-GB"/>
        </w:rPr>
      </w:pPr>
      <w:r w:rsidRPr="007C28A1">
        <w:rPr>
          <w:sz w:val="22"/>
          <w:szCs w:val="22"/>
          <w:lang w:val="en-GB"/>
        </w:rPr>
        <w:t xml:space="preserve">Ibid [45]. </w:t>
      </w:r>
    </w:p>
    <w:p w14:paraId="246ED0B1" w14:textId="77777777" w:rsidR="007A6B0E" w:rsidRPr="007C28A1" w:rsidRDefault="007A6B0E" w:rsidP="007A6B0E">
      <w:pPr>
        <w:pStyle w:val="FootnoteText"/>
        <w:numPr>
          <w:ilvl w:val="0"/>
          <w:numId w:val="17"/>
        </w:numPr>
        <w:contextualSpacing/>
        <w:rPr>
          <w:sz w:val="22"/>
          <w:szCs w:val="22"/>
          <w:lang w:val="en-GB"/>
        </w:rPr>
      </w:pPr>
      <w:r w:rsidRPr="007C28A1">
        <w:rPr>
          <w:sz w:val="22"/>
          <w:szCs w:val="22"/>
        </w:rPr>
        <w:t>ET Case Number 2201298/2013.</w:t>
      </w:r>
    </w:p>
    <w:p w14:paraId="4A48E460" w14:textId="77777777" w:rsidR="007A6B0E" w:rsidRPr="007C28A1" w:rsidRDefault="007A6B0E" w:rsidP="007A6B0E">
      <w:pPr>
        <w:pStyle w:val="FootnoteText"/>
        <w:numPr>
          <w:ilvl w:val="0"/>
          <w:numId w:val="17"/>
        </w:numPr>
        <w:contextualSpacing/>
        <w:rPr>
          <w:sz w:val="22"/>
          <w:szCs w:val="22"/>
          <w:lang w:val="en-GB"/>
        </w:rPr>
      </w:pPr>
      <w:r w:rsidRPr="007C28A1">
        <w:rPr>
          <w:sz w:val="22"/>
          <w:szCs w:val="22"/>
          <w:lang w:val="en-GB"/>
        </w:rPr>
        <w:t>Ibid [25].</w:t>
      </w:r>
    </w:p>
    <w:p w14:paraId="696E1B0D" w14:textId="77777777" w:rsidR="007A6B0E" w:rsidRPr="007C28A1" w:rsidRDefault="007A6B0E" w:rsidP="007A6B0E">
      <w:pPr>
        <w:pStyle w:val="FootnoteText"/>
        <w:numPr>
          <w:ilvl w:val="0"/>
          <w:numId w:val="17"/>
        </w:numPr>
        <w:contextualSpacing/>
        <w:rPr>
          <w:sz w:val="22"/>
          <w:szCs w:val="22"/>
        </w:rPr>
      </w:pPr>
      <w:r w:rsidRPr="007C28A1">
        <w:rPr>
          <w:sz w:val="22"/>
          <w:szCs w:val="22"/>
        </w:rPr>
        <w:t xml:space="preserve">[2012] UKSC 16 [56]. </w:t>
      </w:r>
    </w:p>
    <w:p w14:paraId="1E1A0D99" w14:textId="1F484FCF" w:rsidR="00635C50" w:rsidRPr="006636F0" w:rsidRDefault="006636F0" w:rsidP="007A6B0E">
      <w:pPr>
        <w:pStyle w:val="FootnoteText"/>
        <w:numPr>
          <w:ilvl w:val="0"/>
          <w:numId w:val="17"/>
        </w:numPr>
        <w:contextualSpacing/>
        <w:rPr>
          <w:sz w:val="22"/>
          <w:szCs w:val="22"/>
          <w:lang w:val="en-GB"/>
        </w:rPr>
      </w:pPr>
      <w:r w:rsidRPr="00A80619">
        <w:rPr>
          <w:i/>
          <w:iCs/>
          <w:sz w:val="22"/>
          <w:szCs w:val="22"/>
        </w:rPr>
        <w:t>Dominica Petersen v Berufungsausschuss fur Zahnarzte fur den Bezirk Westfalen-Lippe</w:t>
      </w:r>
      <w:r w:rsidRPr="006636F0">
        <w:rPr>
          <w:sz w:val="22"/>
          <w:szCs w:val="22"/>
        </w:rPr>
        <w:t xml:space="preserve"> Case C-341/08</w:t>
      </w:r>
      <w:r w:rsidRPr="00A80619">
        <w:rPr>
          <w:i/>
          <w:iCs/>
          <w:sz w:val="22"/>
          <w:szCs w:val="22"/>
        </w:rPr>
        <w:t xml:space="preserve"> ; </w:t>
      </w:r>
      <w:r w:rsidRPr="00A80619">
        <w:rPr>
          <w:i/>
          <w:sz w:val="22"/>
          <w:szCs w:val="22"/>
        </w:rPr>
        <w:t>Georgiev</w:t>
      </w:r>
      <w:r w:rsidRPr="00A80619">
        <w:rPr>
          <w:i/>
          <w:iCs/>
          <w:sz w:val="22"/>
          <w:szCs w:val="22"/>
        </w:rPr>
        <w:t xml:space="preserve"> Tehnicheski Universitet – Sofia</w:t>
      </w:r>
      <w:r w:rsidRPr="006636F0">
        <w:rPr>
          <w:sz w:val="22"/>
          <w:szCs w:val="22"/>
        </w:rPr>
        <w:t xml:space="preserve"> Case C-250/09 and Case C-268/09</w:t>
      </w:r>
      <w:r w:rsidRPr="00A80619">
        <w:rPr>
          <w:i/>
          <w:iCs/>
          <w:sz w:val="22"/>
          <w:szCs w:val="22"/>
        </w:rPr>
        <w:t xml:space="preserve"> </w:t>
      </w:r>
      <w:r w:rsidRPr="00A80619">
        <w:rPr>
          <w:iCs/>
          <w:sz w:val="22"/>
          <w:szCs w:val="22"/>
        </w:rPr>
        <w:t xml:space="preserve">and </w:t>
      </w:r>
      <w:r w:rsidRPr="00A80619">
        <w:rPr>
          <w:i/>
          <w:sz w:val="22"/>
          <w:szCs w:val="22"/>
        </w:rPr>
        <w:t xml:space="preserve">Gisela </w:t>
      </w:r>
      <w:r w:rsidRPr="00A80619">
        <w:rPr>
          <w:i/>
          <w:iCs/>
          <w:sz w:val="22"/>
          <w:szCs w:val="22"/>
        </w:rPr>
        <w:t>Rosenbladt</w:t>
      </w:r>
      <w:r w:rsidRPr="00A80619">
        <w:rPr>
          <w:i/>
          <w:sz w:val="22"/>
          <w:szCs w:val="22"/>
        </w:rPr>
        <w:t xml:space="preserve"> v Oellerking Gebaudereinigungsges</w:t>
      </w:r>
      <w:r w:rsidRPr="00A80619">
        <w:rPr>
          <w:i/>
          <w:iCs/>
          <w:sz w:val="22"/>
          <w:szCs w:val="22"/>
        </w:rPr>
        <w:t xml:space="preserve"> Case C-45/09</w:t>
      </w:r>
    </w:p>
    <w:p w14:paraId="4010BC4E" w14:textId="745FE67C" w:rsidR="007A6B0E" w:rsidRPr="007C28A1" w:rsidRDefault="007A6B0E" w:rsidP="007A6B0E">
      <w:pPr>
        <w:pStyle w:val="FootnoteText"/>
        <w:numPr>
          <w:ilvl w:val="0"/>
          <w:numId w:val="17"/>
        </w:numPr>
        <w:contextualSpacing/>
        <w:rPr>
          <w:sz w:val="22"/>
          <w:szCs w:val="22"/>
          <w:lang w:val="en-GB"/>
        </w:rPr>
      </w:pPr>
      <w:r w:rsidRPr="007C28A1">
        <w:rPr>
          <w:sz w:val="22"/>
          <w:szCs w:val="22"/>
          <w:lang w:val="en-GB"/>
        </w:rPr>
        <w:t>ET Case Number 2201406/2014 and 2201407/2014.</w:t>
      </w:r>
    </w:p>
    <w:p w14:paraId="5D14DC78" w14:textId="77777777" w:rsidR="007C28A1" w:rsidRPr="00701BA9" w:rsidRDefault="007C28A1" w:rsidP="007C28A1">
      <w:pPr>
        <w:pStyle w:val="FootnoteText"/>
        <w:numPr>
          <w:ilvl w:val="0"/>
          <w:numId w:val="17"/>
        </w:numPr>
        <w:rPr>
          <w:sz w:val="22"/>
          <w:szCs w:val="22"/>
        </w:rPr>
      </w:pPr>
      <w:r w:rsidRPr="007C28A1">
        <w:rPr>
          <w:sz w:val="22"/>
          <w:szCs w:val="22"/>
        </w:rPr>
        <w:t xml:space="preserve">ET </w:t>
      </w:r>
      <w:r w:rsidRPr="00701BA9">
        <w:rPr>
          <w:sz w:val="22"/>
          <w:szCs w:val="22"/>
        </w:rPr>
        <w:t>Case Number 2101804/2007.</w:t>
      </w:r>
    </w:p>
    <w:p w14:paraId="045AC329" w14:textId="77777777" w:rsidR="00701BA9" w:rsidRPr="00701BA9" w:rsidRDefault="00701BA9" w:rsidP="00701BA9">
      <w:pPr>
        <w:pStyle w:val="ListParagraph"/>
        <w:numPr>
          <w:ilvl w:val="0"/>
          <w:numId w:val="17"/>
        </w:numPr>
        <w:spacing w:after="0"/>
        <w:rPr>
          <w:rFonts w:ascii="Times New Roman" w:hAnsi="Times New Roman"/>
        </w:rPr>
      </w:pPr>
      <w:r w:rsidRPr="00701BA9">
        <w:rPr>
          <w:rFonts w:ascii="Times New Roman" w:hAnsi="Times New Roman"/>
        </w:rPr>
        <w:t>The Employment Equality (Age) Regulations 2006, SI 2006/1031.</w:t>
      </w:r>
    </w:p>
    <w:p w14:paraId="11200F6B" w14:textId="4D046E99" w:rsidR="00713C8D" w:rsidRPr="00701BA9" w:rsidRDefault="007C28A1" w:rsidP="00701BA9">
      <w:pPr>
        <w:pStyle w:val="FootnoteText"/>
        <w:numPr>
          <w:ilvl w:val="0"/>
          <w:numId w:val="17"/>
        </w:numPr>
        <w:contextualSpacing/>
        <w:rPr>
          <w:sz w:val="22"/>
          <w:szCs w:val="22"/>
        </w:rPr>
      </w:pPr>
      <w:r w:rsidRPr="00701BA9">
        <w:rPr>
          <w:sz w:val="22"/>
          <w:szCs w:val="22"/>
        </w:rPr>
        <w:t xml:space="preserve">ET Case Numbers 2201406/2014 and 2201407/2014. </w:t>
      </w:r>
    </w:p>
    <w:p w14:paraId="1C4834AF" w14:textId="3E13B541" w:rsidR="007E70DB" w:rsidRPr="00A80619" w:rsidRDefault="007C28A1" w:rsidP="000A32A1">
      <w:pPr>
        <w:pStyle w:val="FootnoteText"/>
        <w:numPr>
          <w:ilvl w:val="0"/>
          <w:numId w:val="17"/>
        </w:numPr>
        <w:contextualSpacing/>
        <w:rPr>
          <w:sz w:val="22"/>
          <w:szCs w:val="22"/>
          <w:lang w:val="en-GB"/>
        </w:rPr>
      </w:pPr>
      <w:r w:rsidRPr="00713C8D">
        <w:rPr>
          <w:sz w:val="24"/>
          <w:szCs w:val="24"/>
        </w:rPr>
        <w:t>ET Case</w:t>
      </w:r>
      <w:r w:rsidRPr="00713C8D">
        <w:rPr>
          <w:sz w:val="22"/>
          <w:szCs w:val="22"/>
        </w:rPr>
        <w:t xml:space="preserve"> Number 2201298/2013</w:t>
      </w:r>
      <w:r w:rsidR="007674C9" w:rsidRPr="00713C8D">
        <w:rPr>
          <w:i/>
          <w:iCs/>
          <w:sz w:val="22"/>
          <w:szCs w:val="22"/>
        </w:rPr>
        <w:t>.</w:t>
      </w:r>
    </w:p>
    <w:p w14:paraId="7EC243EF" w14:textId="77777777" w:rsidR="007E70DB" w:rsidRPr="004A4F25" w:rsidRDefault="007E70DB" w:rsidP="00A80619">
      <w:pPr>
        <w:pStyle w:val="FootnoteText"/>
        <w:ind w:left="0" w:firstLine="360"/>
        <w:contextualSpacing/>
        <w:rPr>
          <w:sz w:val="22"/>
          <w:szCs w:val="22"/>
          <w:lang w:val="en-GB"/>
        </w:rPr>
      </w:pPr>
      <w:r>
        <w:rPr>
          <w:sz w:val="22"/>
          <w:szCs w:val="22"/>
          <w:lang w:val="en-GB"/>
        </w:rPr>
        <w:t xml:space="preserve">100. </w:t>
      </w:r>
      <w:r w:rsidRPr="004A4F25">
        <w:rPr>
          <w:i/>
          <w:iCs/>
          <w:sz w:val="22"/>
          <w:szCs w:val="22"/>
        </w:rPr>
        <w:t>Homer v Chief Constable of West Yorkshire Police</w:t>
      </w:r>
      <w:r w:rsidRPr="004A4F25">
        <w:rPr>
          <w:sz w:val="22"/>
          <w:szCs w:val="22"/>
        </w:rPr>
        <w:t xml:space="preserve"> [2012] UKSC</w:t>
      </w:r>
      <w:r w:rsidRPr="004A4F25">
        <w:rPr>
          <w:b/>
          <w:bCs/>
          <w:sz w:val="22"/>
          <w:szCs w:val="22"/>
        </w:rPr>
        <w:t xml:space="preserve"> </w:t>
      </w:r>
      <w:r w:rsidRPr="004A4F25">
        <w:rPr>
          <w:sz w:val="22"/>
          <w:szCs w:val="22"/>
        </w:rPr>
        <w:t>15 [27] (Lady Hale).</w:t>
      </w:r>
    </w:p>
    <w:p w14:paraId="57625FA3" w14:textId="1692D048" w:rsidR="007C28A1" w:rsidRPr="007A6B0E" w:rsidRDefault="007C28A1" w:rsidP="00A80619">
      <w:pPr>
        <w:pStyle w:val="FootnoteText"/>
        <w:ind w:left="0"/>
        <w:contextualSpacing/>
        <w:rPr>
          <w:sz w:val="22"/>
          <w:szCs w:val="22"/>
        </w:rPr>
      </w:pPr>
    </w:p>
    <w:p w14:paraId="73FBD5BD" w14:textId="77777777" w:rsidR="00DC5548" w:rsidRPr="00000DB2" w:rsidRDefault="00DC5548" w:rsidP="00DC5548">
      <w:pPr>
        <w:spacing w:line="360" w:lineRule="auto"/>
        <w:jc w:val="both"/>
        <w:rPr>
          <w:b/>
        </w:rPr>
      </w:pPr>
      <w:r w:rsidRPr="00000DB2">
        <w:rPr>
          <w:b/>
        </w:rPr>
        <w:t>R</w:t>
      </w:r>
      <w:r w:rsidR="007A6B0E" w:rsidRPr="00000DB2">
        <w:rPr>
          <w:b/>
        </w:rPr>
        <w:t>eferences</w:t>
      </w:r>
    </w:p>
    <w:p w14:paraId="4313E44A" w14:textId="2AC334DB" w:rsidR="002C20C7" w:rsidRPr="00000DB2" w:rsidRDefault="00623FA8" w:rsidP="00623FA8">
      <w:pPr>
        <w:spacing w:after="0" w:line="240" w:lineRule="auto"/>
        <w:jc w:val="both"/>
        <w:rPr>
          <w:rFonts w:ascii="Times New Roman" w:eastAsia="Calibri" w:hAnsi="Times New Roman" w:cs="Times New Roman"/>
        </w:rPr>
      </w:pPr>
      <w:r w:rsidRPr="00000DB2">
        <w:rPr>
          <w:rFonts w:ascii="Times New Roman" w:eastAsia="Times New Roman" w:hAnsi="Times New Roman" w:cs="Times New Roman"/>
          <w:lang w:val="en-US"/>
        </w:rPr>
        <w:t xml:space="preserve">Benjamin, K and Wilson, S. (2005), </w:t>
      </w:r>
      <w:r w:rsidRPr="00000DB2">
        <w:rPr>
          <w:rFonts w:ascii="Times New Roman" w:eastAsia="Times New Roman" w:hAnsi="Times New Roman" w:cs="Times New Roman"/>
          <w:iCs/>
          <w:lang w:val="en-US"/>
        </w:rPr>
        <w:t xml:space="preserve">“Facts and misconceptions about age, health status and employability” available at: </w:t>
      </w:r>
      <w:hyperlink r:id="rId10" w:history="1">
        <w:r w:rsidRPr="00000DB2">
          <w:rPr>
            <w:rFonts w:ascii="Times New Roman" w:eastAsia="Calibri" w:hAnsi="Times New Roman" w:cs="Times New Roman"/>
          </w:rPr>
          <w:t>http://www.hse.gov.uk/research/hsl_pdf/2005/hsl0520.pdf</w:t>
        </w:r>
      </w:hyperlink>
      <w:r w:rsidRPr="00000DB2">
        <w:rPr>
          <w:rFonts w:ascii="Times New Roman" w:eastAsia="Calibri" w:hAnsi="Times New Roman" w:cs="Times New Roman"/>
        </w:rPr>
        <w:t xml:space="preserve"> (accessed 14th October 2014).</w:t>
      </w:r>
    </w:p>
    <w:p w14:paraId="190B24A8" w14:textId="5B8A08E3" w:rsidR="008A2FD0" w:rsidRPr="00000DB2" w:rsidRDefault="008A2FD0" w:rsidP="00623FA8">
      <w:pPr>
        <w:spacing w:after="0" w:line="240" w:lineRule="auto"/>
        <w:jc w:val="both"/>
        <w:rPr>
          <w:rFonts w:ascii="Times New Roman" w:eastAsia="Calibri" w:hAnsi="Times New Roman" w:cs="Times New Roman"/>
        </w:rPr>
      </w:pPr>
    </w:p>
    <w:p w14:paraId="70361259" w14:textId="44FB3C55" w:rsidR="002C20C7" w:rsidRDefault="008A2FD0" w:rsidP="00623FA8">
      <w:pPr>
        <w:spacing w:after="0" w:line="240" w:lineRule="auto"/>
        <w:jc w:val="both"/>
        <w:rPr>
          <w:rFonts w:ascii="Times New Roman" w:eastAsia="Calibri" w:hAnsi="Times New Roman" w:cs="Times New Roman"/>
        </w:rPr>
      </w:pPr>
      <w:r w:rsidRPr="00000DB2">
        <w:rPr>
          <w:rFonts w:ascii="Times New Roman" w:eastAsia="Calibri" w:hAnsi="Times New Roman" w:cs="Times New Roman"/>
        </w:rPr>
        <w:t xml:space="preserve">Blackham, A. (2016), “Judges and Retirement Ages”, </w:t>
      </w:r>
      <w:r w:rsidRPr="00000DB2">
        <w:rPr>
          <w:rFonts w:ascii="Times New Roman" w:eastAsia="Calibri" w:hAnsi="Times New Roman" w:cs="Times New Roman"/>
          <w:i/>
        </w:rPr>
        <w:t>Melbourne University Law Review</w:t>
      </w:r>
      <w:r w:rsidRPr="00000DB2">
        <w:rPr>
          <w:rFonts w:ascii="Times New Roman" w:eastAsia="Calibri" w:hAnsi="Times New Roman" w:cs="Times New Roman"/>
        </w:rPr>
        <w:t>, Vol. 39 No. 3, pp</w:t>
      </w:r>
      <w:r w:rsidR="00CC0BCD" w:rsidRPr="00000DB2">
        <w:rPr>
          <w:rFonts w:ascii="Times New Roman" w:eastAsia="Calibri" w:hAnsi="Times New Roman" w:cs="Times New Roman"/>
        </w:rPr>
        <w:t xml:space="preserve">. </w:t>
      </w:r>
      <w:r w:rsidRPr="00000DB2">
        <w:rPr>
          <w:rFonts w:ascii="Times New Roman" w:eastAsia="Calibri" w:hAnsi="Times New Roman" w:cs="Times New Roman"/>
        </w:rPr>
        <w:t>738-792.</w:t>
      </w:r>
    </w:p>
    <w:p w14:paraId="1C506EA6" w14:textId="77777777" w:rsidR="002C20C7" w:rsidRPr="00000DB2" w:rsidRDefault="002C20C7" w:rsidP="00623FA8">
      <w:pPr>
        <w:spacing w:after="0" w:line="240" w:lineRule="auto"/>
        <w:jc w:val="both"/>
        <w:rPr>
          <w:rFonts w:ascii="Times New Roman" w:eastAsia="Calibri" w:hAnsi="Times New Roman" w:cs="Times New Roman"/>
        </w:rPr>
      </w:pPr>
    </w:p>
    <w:p w14:paraId="0403BD40" w14:textId="34631C63" w:rsidR="007A6B0E" w:rsidRPr="00000DB2" w:rsidRDefault="00623FA8" w:rsidP="007A6B0E">
      <w:pPr>
        <w:pStyle w:val="FootnoteText"/>
        <w:ind w:left="0"/>
        <w:rPr>
          <w:sz w:val="22"/>
          <w:szCs w:val="22"/>
          <w:lang w:val="en-GB"/>
        </w:rPr>
      </w:pPr>
      <w:r w:rsidRPr="00000DB2">
        <w:rPr>
          <w:sz w:val="22"/>
          <w:szCs w:val="22"/>
          <w:lang w:val="en-GB"/>
        </w:rPr>
        <w:t xml:space="preserve">Dalen, H.P </w:t>
      </w:r>
      <w:r w:rsidR="00000DB2" w:rsidRPr="00000DB2">
        <w:rPr>
          <w:sz w:val="22"/>
          <w:szCs w:val="22"/>
          <w:lang w:val="en-GB"/>
        </w:rPr>
        <w:t>V</w:t>
      </w:r>
      <w:r w:rsidRPr="00000DB2">
        <w:rPr>
          <w:sz w:val="22"/>
          <w:szCs w:val="22"/>
          <w:lang w:val="en-GB"/>
        </w:rPr>
        <w:t>an. Henkens, K and Schippers, J.J</w:t>
      </w:r>
      <w:r w:rsidR="00000DB2" w:rsidRPr="00000DB2">
        <w:rPr>
          <w:sz w:val="22"/>
          <w:szCs w:val="22"/>
          <w:lang w:val="en-GB"/>
        </w:rPr>
        <w:t>.</w:t>
      </w:r>
      <w:r w:rsidRPr="00000DB2">
        <w:rPr>
          <w:sz w:val="22"/>
          <w:szCs w:val="22"/>
          <w:lang w:val="en-GB"/>
        </w:rPr>
        <w:t xml:space="preserve"> (2010), “Productivity of Older Workers: Perceptions of Employers and Employees”, </w:t>
      </w:r>
      <w:r w:rsidRPr="00000DB2">
        <w:rPr>
          <w:i/>
          <w:sz w:val="22"/>
          <w:szCs w:val="22"/>
          <w:lang w:val="en-GB"/>
        </w:rPr>
        <w:t>Population and Development Review</w:t>
      </w:r>
      <w:r w:rsidRPr="00000DB2">
        <w:rPr>
          <w:sz w:val="22"/>
          <w:szCs w:val="22"/>
          <w:lang w:val="en-GB"/>
        </w:rPr>
        <w:t>, No</w:t>
      </w:r>
      <w:r w:rsidRPr="00000DB2">
        <w:rPr>
          <w:i/>
          <w:sz w:val="22"/>
          <w:szCs w:val="22"/>
          <w:lang w:val="en-GB"/>
        </w:rPr>
        <w:t xml:space="preserve"> </w:t>
      </w:r>
      <w:r w:rsidRPr="00000DB2">
        <w:rPr>
          <w:sz w:val="22"/>
          <w:szCs w:val="22"/>
          <w:lang w:val="en-GB"/>
        </w:rPr>
        <w:t>36, pp</w:t>
      </w:r>
      <w:r w:rsidR="009B104B" w:rsidRPr="00000DB2">
        <w:rPr>
          <w:sz w:val="22"/>
          <w:szCs w:val="22"/>
          <w:lang w:val="en-GB"/>
        </w:rPr>
        <w:t>.</w:t>
      </w:r>
      <w:r w:rsidRPr="00000DB2">
        <w:rPr>
          <w:sz w:val="22"/>
          <w:szCs w:val="22"/>
          <w:lang w:val="en-GB"/>
        </w:rPr>
        <w:t xml:space="preserve"> 309</w:t>
      </w:r>
      <w:r w:rsidR="009B104B" w:rsidRPr="00000DB2">
        <w:rPr>
          <w:sz w:val="22"/>
          <w:szCs w:val="22"/>
          <w:lang w:val="en-GB"/>
        </w:rPr>
        <w:t>-</w:t>
      </w:r>
      <w:r w:rsidRPr="00000DB2">
        <w:rPr>
          <w:sz w:val="22"/>
          <w:szCs w:val="22"/>
          <w:lang w:val="en-GB"/>
        </w:rPr>
        <w:t>.</w:t>
      </w:r>
      <w:r w:rsidR="008A2FD0" w:rsidRPr="00000DB2">
        <w:rPr>
          <w:sz w:val="22"/>
          <w:szCs w:val="22"/>
          <w:lang w:val="en-GB"/>
        </w:rPr>
        <w:t>330.</w:t>
      </w:r>
      <w:r w:rsidRPr="00000DB2">
        <w:rPr>
          <w:sz w:val="22"/>
          <w:szCs w:val="22"/>
          <w:lang w:val="en-GB"/>
        </w:rPr>
        <w:t xml:space="preserve"> </w:t>
      </w:r>
    </w:p>
    <w:p w14:paraId="1E7FF779" w14:textId="77777777" w:rsidR="007A6B0E" w:rsidRPr="00000DB2" w:rsidRDefault="007A6B0E" w:rsidP="007A6B0E">
      <w:pPr>
        <w:pStyle w:val="FootnoteText"/>
        <w:ind w:left="0"/>
        <w:rPr>
          <w:sz w:val="22"/>
          <w:szCs w:val="22"/>
          <w:lang w:val="en-GB"/>
        </w:rPr>
      </w:pPr>
    </w:p>
    <w:p w14:paraId="2E45B1C7" w14:textId="5944C5B3" w:rsidR="007A6B0E" w:rsidRPr="00624902" w:rsidRDefault="007A6B0E" w:rsidP="007A6B0E">
      <w:pPr>
        <w:pStyle w:val="FootnoteText"/>
        <w:ind w:left="0"/>
        <w:rPr>
          <w:sz w:val="22"/>
          <w:szCs w:val="22"/>
          <w:lang w:val="en-GB"/>
        </w:rPr>
      </w:pPr>
      <w:r w:rsidRPr="00624902">
        <w:rPr>
          <w:sz w:val="22"/>
          <w:szCs w:val="22"/>
          <w:lang w:val="en-GB"/>
        </w:rPr>
        <w:t>Department for Business Innovation and Skills</w:t>
      </w:r>
      <w:r w:rsidR="00000DB2" w:rsidRPr="00624902">
        <w:rPr>
          <w:sz w:val="22"/>
          <w:szCs w:val="22"/>
          <w:lang w:val="en-GB"/>
        </w:rPr>
        <w:t>.</w:t>
      </w:r>
      <w:r w:rsidRPr="00624902">
        <w:rPr>
          <w:sz w:val="22"/>
          <w:szCs w:val="22"/>
          <w:lang w:val="en-GB"/>
        </w:rPr>
        <w:t xml:space="preserve"> (2011), </w:t>
      </w:r>
      <w:r w:rsidR="00000DB2" w:rsidRPr="00624902">
        <w:rPr>
          <w:sz w:val="22"/>
          <w:szCs w:val="22"/>
          <w:lang w:val="en-GB"/>
        </w:rPr>
        <w:t>“</w:t>
      </w:r>
      <w:r w:rsidRPr="00624902">
        <w:rPr>
          <w:sz w:val="22"/>
          <w:szCs w:val="22"/>
        </w:rPr>
        <w:t>Phasing out the default retirement age: Government response to consultation</w:t>
      </w:r>
      <w:r w:rsidR="00000DB2" w:rsidRPr="00624902">
        <w:rPr>
          <w:sz w:val="22"/>
          <w:szCs w:val="22"/>
        </w:rPr>
        <w:t>”,</w:t>
      </w:r>
      <w:r w:rsidRPr="00624902">
        <w:rPr>
          <w:sz w:val="22"/>
          <w:szCs w:val="22"/>
        </w:rPr>
        <w:t xml:space="preserve"> (Department for Business Innovation and Skills, January 2011) </w:t>
      </w:r>
    </w:p>
    <w:p w14:paraId="42C1EA72" w14:textId="787D9846" w:rsidR="007A6B0E" w:rsidRDefault="007A6B0E" w:rsidP="007A6B0E">
      <w:pPr>
        <w:spacing w:after="0" w:line="240" w:lineRule="auto"/>
        <w:jc w:val="both"/>
        <w:rPr>
          <w:rFonts w:ascii="Times New Roman" w:eastAsia="Times New Roman" w:hAnsi="Times New Roman" w:cs="Times New Roman"/>
          <w:lang w:val="en-US"/>
        </w:rPr>
      </w:pPr>
      <w:r w:rsidRPr="00624902">
        <w:rPr>
          <w:rFonts w:ascii="Times New Roman" w:eastAsia="Times New Roman" w:hAnsi="Times New Roman" w:cs="Times New Roman"/>
          <w:lang w:val="en-US"/>
        </w:rPr>
        <w:t>&lt;</w:t>
      </w:r>
      <w:hyperlink r:id="rId11" w:history="1">
        <w:r w:rsidRPr="00624902">
          <w:rPr>
            <w:rFonts w:ascii="Times New Roman" w:eastAsia="Times New Roman" w:hAnsi="Times New Roman" w:cs="Times New Roman"/>
            <w:lang w:val="en-US"/>
          </w:rPr>
          <w:t>https://www.gov.uk/government/uploads/system/uploads/attachment_data/file/79303/11-536-phasing-out-default-retirement-age-government-response.pdf</w:t>
        </w:r>
      </w:hyperlink>
      <w:r w:rsidRPr="00624902">
        <w:rPr>
          <w:rFonts w:ascii="Times New Roman" w:eastAsia="Times New Roman" w:hAnsi="Times New Roman" w:cs="Times New Roman"/>
          <w:lang w:val="en-US"/>
        </w:rPr>
        <w:t xml:space="preserve">&gt; </w:t>
      </w:r>
      <w:r w:rsidR="00000DB2" w:rsidRPr="00624902">
        <w:rPr>
          <w:rFonts w:ascii="Times New Roman" w:eastAsia="Times New Roman" w:hAnsi="Times New Roman" w:cs="Times New Roman"/>
          <w:lang w:val="en-US"/>
        </w:rPr>
        <w:t>(</w:t>
      </w:r>
      <w:r w:rsidRPr="00624902">
        <w:rPr>
          <w:rFonts w:ascii="Times New Roman" w:eastAsia="Times New Roman" w:hAnsi="Times New Roman" w:cs="Times New Roman"/>
          <w:lang w:val="en-US"/>
        </w:rPr>
        <w:t>accessed 3</w:t>
      </w:r>
      <w:r w:rsidRPr="00624902">
        <w:rPr>
          <w:rFonts w:ascii="Times New Roman" w:eastAsia="Times New Roman" w:hAnsi="Times New Roman" w:cs="Times New Roman"/>
          <w:vertAlign w:val="superscript"/>
          <w:lang w:val="en-US"/>
        </w:rPr>
        <w:t>rd</w:t>
      </w:r>
      <w:r w:rsidRPr="00624902">
        <w:rPr>
          <w:rFonts w:ascii="Times New Roman" w:eastAsia="Times New Roman" w:hAnsi="Times New Roman" w:cs="Times New Roman"/>
          <w:lang w:val="en-US"/>
        </w:rPr>
        <w:t xml:space="preserve"> November 2014</w:t>
      </w:r>
      <w:r w:rsidR="00000DB2" w:rsidRPr="00624902">
        <w:rPr>
          <w:rFonts w:ascii="Times New Roman" w:eastAsia="Times New Roman" w:hAnsi="Times New Roman" w:cs="Times New Roman"/>
          <w:lang w:val="en-US"/>
        </w:rPr>
        <w:t>)</w:t>
      </w:r>
      <w:r w:rsidRPr="00624902">
        <w:rPr>
          <w:rFonts w:ascii="Times New Roman" w:eastAsia="Times New Roman" w:hAnsi="Times New Roman" w:cs="Times New Roman"/>
          <w:lang w:val="en-US"/>
        </w:rPr>
        <w:t>.</w:t>
      </w:r>
    </w:p>
    <w:p w14:paraId="6F3D31AE" w14:textId="31509190" w:rsidR="00DE60BD" w:rsidRDefault="00DE60BD" w:rsidP="007A6B0E">
      <w:pPr>
        <w:spacing w:after="0" w:line="240" w:lineRule="auto"/>
        <w:jc w:val="both"/>
        <w:rPr>
          <w:rFonts w:ascii="Times New Roman" w:eastAsia="Times New Roman" w:hAnsi="Times New Roman" w:cs="Times New Roman"/>
          <w:lang w:val="en-US"/>
        </w:rPr>
      </w:pPr>
    </w:p>
    <w:p w14:paraId="69E4ADB1" w14:textId="5B24D441" w:rsidR="00984D9E" w:rsidRPr="00984D9E" w:rsidRDefault="00984D9E" w:rsidP="00984D9E">
      <w:pPr>
        <w:spacing w:after="0" w:line="240" w:lineRule="auto"/>
        <w:jc w:val="both"/>
        <w:rPr>
          <w:rFonts w:ascii="Times New Roman" w:eastAsia="Times New Roman" w:hAnsi="Times New Roman" w:cs="Times New Roman"/>
          <w:lang w:val="en-US"/>
        </w:rPr>
      </w:pPr>
      <w:r w:rsidRPr="00A80619">
        <w:rPr>
          <w:rFonts w:ascii="Times New Roman" w:hAnsi="Times New Roman" w:cs="Times New Roman"/>
        </w:rPr>
        <w:t>Dewhurst, E. (2015)</w:t>
      </w:r>
      <w:r>
        <w:rPr>
          <w:rFonts w:ascii="Times New Roman" w:hAnsi="Times New Roman" w:cs="Times New Roman"/>
        </w:rPr>
        <w:t>,</w:t>
      </w:r>
      <w:r w:rsidRPr="00A80619">
        <w:rPr>
          <w:rFonts w:ascii="Times New Roman" w:hAnsi="Times New Roman" w:cs="Times New Roman"/>
        </w:rPr>
        <w:t xml:space="preserve"> “Are Older Workers Past Their Sell-by-Date? A View from UK Age Discrimination Law”, </w:t>
      </w:r>
      <w:r w:rsidRPr="00A80619">
        <w:rPr>
          <w:rFonts w:ascii="Times New Roman" w:hAnsi="Times New Roman" w:cs="Times New Roman"/>
          <w:i/>
        </w:rPr>
        <w:t>Modern Law Review</w:t>
      </w:r>
      <w:r w:rsidRPr="00A80619">
        <w:rPr>
          <w:rFonts w:ascii="Times New Roman" w:hAnsi="Times New Roman" w:cs="Times New Roman"/>
        </w:rPr>
        <w:t>, Vol. 78, Issue. 2, pp 189-215.</w:t>
      </w:r>
    </w:p>
    <w:p w14:paraId="244BF860" w14:textId="77777777" w:rsidR="00623FA8" w:rsidRPr="00000DB2" w:rsidRDefault="00623FA8" w:rsidP="00623FA8">
      <w:pPr>
        <w:pStyle w:val="FootnoteText"/>
        <w:ind w:left="0"/>
        <w:rPr>
          <w:sz w:val="22"/>
          <w:szCs w:val="22"/>
          <w:lang w:val="en-GB"/>
        </w:rPr>
      </w:pPr>
    </w:p>
    <w:p w14:paraId="11843001" w14:textId="75C0CFD4" w:rsidR="00623FA8" w:rsidRPr="00000DB2" w:rsidRDefault="00623FA8" w:rsidP="00623FA8">
      <w:pPr>
        <w:spacing w:after="0" w:line="240" w:lineRule="auto"/>
        <w:jc w:val="both"/>
        <w:rPr>
          <w:rFonts w:ascii="Times New Roman" w:eastAsia="Times New Roman" w:hAnsi="Times New Roman" w:cs="Times New Roman"/>
        </w:rPr>
      </w:pPr>
      <w:r w:rsidRPr="00000DB2">
        <w:rPr>
          <w:rFonts w:ascii="Times New Roman" w:eastAsia="Times New Roman" w:hAnsi="Times New Roman" w:cs="Times New Roman"/>
        </w:rPr>
        <w:t xml:space="preserve">Dewhurst, E. (2013), “Intergenerational Balance, Mandatory retirement and age discrimination in Europe”, </w:t>
      </w:r>
      <w:r w:rsidRPr="00000DB2">
        <w:rPr>
          <w:rFonts w:ascii="Times New Roman" w:eastAsia="Times New Roman" w:hAnsi="Times New Roman" w:cs="Times New Roman"/>
          <w:i/>
        </w:rPr>
        <w:t>Common Market Law Review</w:t>
      </w:r>
      <w:r w:rsidRPr="00000DB2">
        <w:rPr>
          <w:rFonts w:ascii="Times New Roman" w:eastAsia="Times New Roman" w:hAnsi="Times New Roman" w:cs="Times New Roman"/>
        </w:rPr>
        <w:t>, Vol 50</w:t>
      </w:r>
      <w:r w:rsidR="00CC0BCD" w:rsidRPr="00000DB2">
        <w:rPr>
          <w:rFonts w:ascii="Times New Roman" w:eastAsia="Times New Roman" w:hAnsi="Times New Roman" w:cs="Times New Roman"/>
        </w:rPr>
        <w:t>.</w:t>
      </w:r>
      <w:r w:rsidRPr="00000DB2">
        <w:rPr>
          <w:rFonts w:ascii="Times New Roman" w:eastAsia="Times New Roman" w:hAnsi="Times New Roman" w:cs="Times New Roman"/>
        </w:rPr>
        <w:t xml:space="preserve"> Issue 5 pp</w:t>
      </w:r>
      <w:r w:rsidR="00CC0BCD" w:rsidRPr="00000DB2">
        <w:rPr>
          <w:rFonts w:ascii="Times New Roman" w:eastAsia="Times New Roman" w:hAnsi="Times New Roman" w:cs="Times New Roman"/>
        </w:rPr>
        <w:t xml:space="preserve">. </w:t>
      </w:r>
      <w:r w:rsidRPr="00000DB2">
        <w:rPr>
          <w:rFonts w:ascii="Times New Roman" w:eastAsia="Times New Roman" w:hAnsi="Times New Roman" w:cs="Times New Roman"/>
        </w:rPr>
        <w:t>1333-1362</w:t>
      </w:r>
      <w:r w:rsidR="00CC0BCD" w:rsidRPr="00000DB2">
        <w:rPr>
          <w:rFonts w:ascii="Times New Roman" w:eastAsia="Times New Roman" w:hAnsi="Times New Roman" w:cs="Times New Roman"/>
        </w:rPr>
        <w:t>.</w:t>
      </w:r>
    </w:p>
    <w:p w14:paraId="17324186" w14:textId="77777777" w:rsidR="00623FA8" w:rsidRPr="00000DB2" w:rsidRDefault="00623FA8" w:rsidP="00623FA8">
      <w:pPr>
        <w:pStyle w:val="FootnoteText"/>
        <w:ind w:left="0"/>
        <w:rPr>
          <w:sz w:val="22"/>
          <w:szCs w:val="22"/>
          <w:lang w:val="en-GB"/>
        </w:rPr>
      </w:pPr>
    </w:p>
    <w:p w14:paraId="7E087D21" w14:textId="6CB92FA3" w:rsidR="00623FA8" w:rsidRDefault="00623FA8" w:rsidP="00623FA8">
      <w:pPr>
        <w:pStyle w:val="FootnoteText"/>
        <w:ind w:left="0"/>
        <w:rPr>
          <w:sz w:val="22"/>
          <w:szCs w:val="22"/>
          <w:lang w:val="en-GB"/>
        </w:rPr>
      </w:pPr>
      <w:r w:rsidRPr="00000DB2">
        <w:rPr>
          <w:sz w:val="22"/>
          <w:szCs w:val="22"/>
        </w:rPr>
        <w:t>Doering, M. Rhodes S.R</w:t>
      </w:r>
      <w:r w:rsidR="00CC0BCD" w:rsidRPr="00000DB2">
        <w:rPr>
          <w:sz w:val="22"/>
          <w:szCs w:val="22"/>
        </w:rPr>
        <w:t>.</w:t>
      </w:r>
      <w:r w:rsidRPr="00000DB2">
        <w:rPr>
          <w:sz w:val="22"/>
          <w:szCs w:val="22"/>
        </w:rPr>
        <w:t xml:space="preserve"> and Schuster, M.R</w:t>
      </w:r>
      <w:r w:rsidR="00CC0BCD" w:rsidRPr="00000DB2">
        <w:rPr>
          <w:sz w:val="22"/>
          <w:szCs w:val="22"/>
        </w:rPr>
        <w:t>.</w:t>
      </w:r>
      <w:r w:rsidRPr="00000DB2">
        <w:rPr>
          <w:sz w:val="22"/>
          <w:szCs w:val="22"/>
        </w:rPr>
        <w:t xml:space="preserve"> (1983), </w:t>
      </w:r>
      <w:r w:rsidRPr="00000DB2">
        <w:rPr>
          <w:i/>
          <w:iCs/>
          <w:sz w:val="22"/>
          <w:szCs w:val="22"/>
        </w:rPr>
        <w:t>The Aging Worker: Research and Recommendations</w:t>
      </w:r>
      <w:r w:rsidRPr="00000DB2">
        <w:rPr>
          <w:sz w:val="22"/>
          <w:szCs w:val="22"/>
        </w:rPr>
        <w:t>, Sage Publications</w:t>
      </w:r>
      <w:r w:rsidR="00CC0BCD" w:rsidRPr="00000DB2">
        <w:rPr>
          <w:sz w:val="22"/>
          <w:szCs w:val="22"/>
        </w:rPr>
        <w:t>, Beverly Hills</w:t>
      </w:r>
      <w:r w:rsidRPr="00000DB2">
        <w:rPr>
          <w:sz w:val="22"/>
          <w:szCs w:val="22"/>
          <w:lang w:val="en-GB"/>
        </w:rPr>
        <w:t>.</w:t>
      </w:r>
    </w:p>
    <w:p w14:paraId="17656598" w14:textId="27F748EB" w:rsidR="00F32BC3" w:rsidRDefault="00F32BC3" w:rsidP="00623FA8">
      <w:pPr>
        <w:pStyle w:val="FootnoteText"/>
        <w:ind w:left="0"/>
        <w:rPr>
          <w:sz w:val="22"/>
          <w:szCs w:val="22"/>
          <w:lang w:val="en-GB"/>
        </w:rPr>
      </w:pPr>
    </w:p>
    <w:p w14:paraId="54B52AE6" w14:textId="68A5E209" w:rsidR="00F32BC3" w:rsidRPr="00000DB2" w:rsidRDefault="00F32BC3" w:rsidP="00623FA8">
      <w:pPr>
        <w:pStyle w:val="FootnoteText"/>
        <w:ind w:left="0"/>
        <w:rPr>
          <w:sz w:val="22"/>
          <w:szCs w:val="22"/>
          <w:lang w:val="en-GB"/>
        </w:rPr>
      </w:pPr>
      <w:r>
        <w:rPr>
          <w:sz w:val="22"/>
          <w:szCs w:val="22"/>
          <w:lang w:val="en-GB"/>
        </w:rPr>
        <w:t>Emerson, R.M. Fretz, R.I. and Shaw, L.L</w:t>
      </w:r>
      <w:r w:rsidR="00DB6292">
        <w:rPr>
          <w:sz w:val="22"/>
          <w:szCs w:val="22"/>
          <w:lang w:val="en-GB"/>
        </w:rPr>
        <w:t xml:space="preserve">. (2011), </w:t>
      </w:r>
      <w:r w:rsidR="00DB6292" w:rsidRPr="00A80619">
        <w:rPr>
          <w:i/>
          <w:sz w:val="22"/>
          <w:szCs w:val="22"/>
          <w:lang w:val="en-GB"/>
        </w:rPr>
        <w:t>Writing Ethnographic Fieldnotes</w:t>
      </w:r>
      <w:r w:rsidR="00DB6292">
        <w:rPr>
          <w:sz w:val="22"/>
          <w:szCs w:val="22"/>
          <w:lang w:val="en-GB"/>
        </w:rPr>
        <w:t xml:space="preserve">, University of Chicago Press, Chicago. </w:t>
      </w:r>
    </w:p>
    <w:p w14:paraId="26B557D2" w14:textId="77777777" w:rsidR="00623FA8" w:rsidRPr="00000DB2" w:rsidRDefault="00623FA8" w:rsidP="00623FA8">
      <w:pPr>
        <w:pStyle w:val="FootnoteText"/>
        <w:ind w:left="0"/>
        <w:rPr>
          <w:sz w:val="22"/>
          <w:szCs w:val="22"/>
          <w:lang w:val="en-GB"/>
        </w:rPr>
      </w:pPr>
    </w:p>
    <w:p w14:paraId="49CA2617" w14:textId="310928CB" w:rsidR="002C20C7" w:rsidRPr="00000DB2" w:rsidRDefault="00623FA8" w:rsidP="00623FA8">
      <w:pPr>
        <w:spacing w:after="0" w:line="240" w:lineRule="auto"/>
        <w:jc w:val="both"/>
        <w:rPr>
          <w:rFonts w:ascii="Times New Roman" w:eastAsia="Times New Roman" w:hAnsi="Times New Roman" w:cs="Times New Roman"/>
        </w:rPr>
      </w:pPr>
      <w:r w:rsidRPr="00000DB2">
        <w:rPr>
          <w:rFonts w:ascii="Times New Roman" w:eastAsia="Times New Roman" w:hAnsi="Times New Roman" w:cs="Times New Roman"/>
          <w:lang w:val="en-US"/>
        </w:rPr>
        <w:t>Fredman, S</w:t>
      </w:r>
      <w:r w:rsidR="005D4960">
        <w:rPr>
          <w:rFonts w:ascii="Times New Roman" w:eastAsia="Times New Roman" w:hAnsi="Times New Roman" w:cs="Times New Roman"/>
          <w:lang w:val="en-US"/>
        </w:rPr>
        <w:t>.</w:t>
      </w:r>
      <w:r w:rsidRPr="00000DB2">
        <w:rPr>
          <w:rFonts w:ascii="Times New Roman" w:eastAsia="Times New Roman" w:hAnsi="Times New Roman" w:cs="Times New Roman"/>
          <w:lang w:val="en-US"/>
        </w:rPr>
        <w:t xml:space="preserve"> (2003)</w:t>
      </w:r>
      <w:r w:rsidR="005D4960">
        <w:rPr>
          <w:rFonts w:ascii="Times New Roman" w:eastAsia="Times New Roman" w:hAnsi="Times New Roman" w:cs="Times New Roman"/>
          <w:lang w:val="en-US"/>
        </w:rPr>
        <w:t>,</w:t>
      </w:r>
      <w:r w:rsidRPr="00000DB2">
        <w:rPr>
          <w:rFonts w:ascii="Times New Roman" w:eastAsia="Times New Roman" w:hAnsi="Times New Roman" w:cs="Times New Roman"/>
          <w:lang w:val="en-US"/>
        </w:rPr>
        <w:t xml:space="preserve"> “</w:t>
      </w:r>
      <w:r w:rsidRPr="00000DB2">
        <w:rPr>
          <w:rFonts w:ascii="Times New Roman" w:eastAsia="Times New Roman" w:hAnsi="Times New Roman" w:cs="Times New Roman"/>
          <w:i/>
          <w:lang w:val="en-US"/>
        </w:rPr>
        <w:t>The Age of Equality”,</w:t>
      </w:r>
      <w:r w:rsidRPr="00000DB2">
        <w:rPr>
          <w:rFonts w:ascii="Times New Roman" w:eastAsia="Times New Roman" w:hAnsi="Times New Roman" w:cs="Times New Roman"/>
          <w:lang w:val="en-US"/>
        </w:rPr>
        <w:t xml:space="preserve"> in </w:t>
      </w:r>
      <w:r w:rsidRPr="00000DB2">
        <w:rPr>
          <w:rFonts w:ascii="Times New Roman" w:eastAsia="Times New Roman" w:hAnsi="Times New Roman" w:cs="Times New Roman"/>
        </w:rPr>
        <w:t>Fredman, S</w:t>
      </w:r>
      <w:r w:rsidR="00CC0BCD" w:rsidRPr="00000DB2">
        <w:rPr>
          <w:rFonts w:ascii="Times New Roman" w:eastAsia="Times New Roman" w:hAnsi="Times New Roman" w:cs="Times New Roman"/>
        </w:rPr>
        <w:t>.</w:t>
      </w:r>
      <w:r w:rsidRPr="00000DB2">
        <w:rPr>
          <w:rFonts w:ascii="Times New Roman" w:eastAsia="Times New Roman" w:hAnsi="Times New Roman" w:cs="Times New Roman"/>
        </w:rPr>
        <w:t xml:space="preserve"> and Spencer, S</w:t>
      </w:r>
      <w:r w:rsidR="00CC0BCD" w:rsidRPr="00000DB2">
        <w:rPr>
          <w:rFonts w:ascii="Times New Roman" w:eastAsia="Times New Roman" w:hAnsi="Times New Roman" w:cs="Times New Roman"/>
        </w:rPr>
        <w:t>.</w:t>
      </w:r>
      <w:r w:rsidRPr="00000DB2">
        <w:rPr>
          <w:rFonts w:ascii="Times New Roman" w:eastAsia="Times New Roman" w:hAnsi="Times New Roman" w:cs="Times New Roman"/>
        </w:rPr>
        <w:t xml:space="preserve"> </w:t>
      </w:r>
      <w:r w:rsidRPr="00000DB2">
        <w:rPr>
          <w:rFonts w:ascii="Times New Roman" w:eastAsia="Times New Roman" w:hAnsi="Times New Roman" w:cs="Times New Roman"/>
          <w:i/>
          <w:iCs/>
        </w:rPr>
        <w:t>Age as an Equality Issue</w:t>
      </w:r>
      <w:r w:rsidR="00D27E01" w:rsidRPr="00000DB2">
        <w:rPr>
          <w:rFonts w:ascii="Times New Roman" w:eastAsia="Times New Roman" w:hAnsi="Times New Roman" w:cs="Times New Roman"/>
          <w:i/>
          <w:iCs/>
        </w:rPr>
        <w:t>,</w:t>
      </w:r>
      <w:r w:rsidRPr="00000DB2">
        <w:rPr>
          <w:rFonts w:ascii="Times New Roman" w:eastAsia="Times New Roman" w:hAnsi="Times New Roman" w:cs="Times New Roman"/>
          <w:i/>
          <w:iCs/>
        </w:rPr>
        <w:t xml:space="preserve"> </w:t>
      </w:r>
      <w:r w:rsidRPr="00000DB2">
        <w:rPr>
          <w:rFonts w:ascii="Times New Roman" w:eastAsia="Times New Roman" w:hAnsi="Times New Roman" w:cs="Times New Roman"/>
        </w:rPr>
        <w:t xml:space="preserve"> Hart Publishing, Oxford.</w:t>
      </w:r>
    </w:p>
    <w:p w14:paraId="47CBD1E1" w14:textId="713F83D2" w:rsidR="00000DB2" w:rsidRPr="00000DB2" w:rsidRDefault="00000DB2" w:rsidP="00623FA8">
      <w:pPr>
        <w:spacing w:after="0" w:line="240" w:lineRule="auto"/>
        <w:jc w:val="both"/>
        <w:rPr>
          <w:rFonts w:ascii="Times New Roman" w:eastAsia="Times New Roman" w:hAnsi="Times New Roman" w:cs="Times New Roman"/>
        </w:rPr>
      </w:pPr>
    </w:p>
    <w:p w14:paraId="2CB0FC63" w14:textId="5637590E" w:rsidR="00000DB2" w:rsidRDefault="00000DB2" w:rsidP="00624902">
      <w:pPr>
        <w:spacing w:after="0" w:line="240" w:lineRule="auto"/>
        <w:rPr>
          <w:rFonts w:ascii="Times New Roman" w:eastAsia="Times New Roman" w:hAnsi="Times New Roman" w:cs="Times New Roman"/>
        </w:rPr>
      </w:pPr>
      <w:r w:rsidRPr="00000DB2">
        <w:rPr>
          <w:rFonts w:ascii="Times New Roman" w:eastAsia="Times New Roman" w:hAnsi="Times New Roman" w:cs="Times New Roman"/>
        </w:rPr>
        <w:t xml:space="preserve">Haughton, J. (2017), “Discrimination in the workplace: exploring the disconnect between HR and the workforce”, Chartered Management Institute, available at: </w:t>
      </w:r>
      <w:hyperlink r:id="rId12" w:history="1">
        <w:r w:rsidRPr="00624902">
          <w:rPr>
            <w:rStyle w:val="Hyperlink"/>
            <w:rFonts w:ascii="Times New Roman" w:eastAsia="Times New Roman" w:hAnsi="Times New Roman"/>
            <w:color w:val="auto"/>
            <w:u w:val="none"/>
          </w:rPr>
          <w:t>http://www.managers.org.uk/insights/news/2017/april/discrimination-in-the-workplace-exploring-the-disconnect-between-hr-and-the-workforce</w:t>
        </w:r>
      </w:hyperlink>
      <w:r w:rsidRPr="00000DB2">
        <w:rPr>
          <w:rFonts w:ascii="Times New Roman" w:eastAsia="Times New Roman" w:hAnsi="Times New Roman" w:cs="Times New Roman"/>
        </w:rPr>
        <w:t xml:space="preserve"> (accessed 1st July 2017). </w:t>
      </w:r>
    </w:p>
    <w:p w14:paraId="2460442E" w14:textId="1C24673D" w:rsidR="0085583C" w:rsidRDefault="0085583C" w:rsidP="00624902">
      <w:pPr>
        <w:spacing w:after="0" w:line="240" w:lineRule="auto"/>
        <w:rPr>
          <w:rFonts w:ascii="Times New Roman" w:eastAsia="Times New Roman" w:hAnsi="Times New Roman" w:cs="Times New Roman"/>
        </w:rPr>
      </w:pPr>
    </w:p>
    <w:p w14:paraId="68D73BA0" w14:textId="77777777" w:rsidR="0085583C" w:rsidRPr="004A4F25" w:rsidRDefault="0085583C" w:rsidP="00A80619">
      <w:pPr>
        <w:pStyle w:val="FootnoteText"/>
        <w:ind w:left="0"/>
        <w:contextualSpacing/>
        <w:rPr>
          <w:sz w:val="22"/>
          <w:szCs w:val="22"/>
        </w:rPr>
      </w:pPr>
      <w:r>
        <w:rPr>
          <w:sz w:val="22"/>
          <w:szCs w:val="22"/>
        </w:rPr>
        <w:t xml:space="preserve">Hepple, B. (2014), </w:t>
      </w:r>
      <w:r w:rsidRPr="004A4F25">
        <w:rPr>
          <w:i/>
          <w:sz w:val="22"/>
          <w:szCs w:val="22"/>
        </w:rPr>
        <w:t>Equality The Legal Framework</w:t>
      </w:r>
      <w:r>
        <w:rPr>
          <w:i/>
          <w:sz w:val="22"/>
          <w:szCs w:val="22"/>
        </w:rPr>
        <w:t xml:space="preserve">, </w:t>
      </w:r>
      <w:r>
        <w:rPr>
          <w:sz w:val="22"/>
          <w:szCs w:val="22"/>
        </w:rPr>
        <w:t xml:space="preserve">Hart Publishing, Oxford. </w:t>
      </w:r>
    </w:p>
    <w:p w14:paraId="3AC07602" w14:textId="77777777" w:rsidR="00623FA8" w:rsidRPr="00000DB2" w:rsidRDefault="00623FA8" w:rsidP="00623FA8">
      <w:pPr>
        <w:pStyle w:val="FootnoteText"/>
        <w:ind w:left="0"/>
        <w:rPr>
          <w:sz w:val="22"/>
          <w:szCs w:val="22"/>
          <w:lang w:val="en-GB"/>
        </w:rPr>
      </w:pPr>
    </w:p>
    <w:p w14:paraId="047C0638" w14:textId="3E6145A9" w:rsidR="00623FA8" w:rsidRPr="00000DB2" w:rsidRDefault="00623FA8" w:rsidP="00623FA8">
      <w:pPr>
        <w:spacing w:after="0" w:line="240" w:lineRule="auto"/>
        <w:jc w:val="both"/>
        <w:rPr>
          <w:rFonts w:ascii="Times New Roman" w:eastAsia="Times New Roman" w:hAnsi="Times New Roman" w:cs="Times New Roman"/>
          <w:lang w:val="en-US"/>
        </w:rPr>
      </w:pPr>
      <w:r w:rsidRPr="00000DB2">
        <w:rPr>
          <w:rFonts w:ascii="Times New Roman" w:eastAsia="Times New Roman" w:hAnsi="Times New Roman" w:cs="Times New Roman"/>
          <w:lang w:val="en-US"/>
        </w:rPr>
        <w:t>Leonard, A.M</w:t>
      </w:r>
      <w:r w:rsidR="005D4960">
        <w:rPr>
          <w:rFonts w:ascii="Times New Roman" w:eastAsia="Times New Roman" w:hAnsi="Times New Roman" w:cs="Times New Roman"/>
          <w:lang w:val="en-US"/>
        </w:rPr>
        <w:t>.</w:t>
      </w:r>
      <w:r w:rsidRPr="00000DB2">
        <w:rPr>
          <w:rFonts w:ascii="Times New Roman" w:eastAsia="Times New Roman" w:hAnsi="Times New Roman" w:cs="Times New Roman"/>
          <w:i/>
          <w:lang w:val="en-US"/>
        </w:rPr>
        <w:t xml:space="preserve"> </w:t>
      </w:r>
      <w:r w:rsidRPr="00000DB2">
        <w:rPr>
          <w:rFonts w:ascii="Times New Roman" w:eastAsia="Times New Roman" w:hAnsi="Times New Roman" w:cs="Times New Roman"/>
          <w:lang w:val="en-US"/>
        </w:rPr>
        <w:t xml:space="preserve">(1987), </w:t>
      </w:r>
      <w:r w:rsidRPr="00000DB2">
        <w:rPr>
          <w:rFonts w:ascii="Times New Roman" w:eastAsia="Times New Roman" w:hAnsi="Times New Roman" w:cs="Times New Roman"/>
          <w:i/>
          <w:lang w:val="en-US"/>
        </w:rPr>
        <w:t xml:space="preserve">Judging Inequality: the effectiveness of the industrial tribunal system in sex discrimination and equal pay cases, </w:t>
      </w:r>
      <w:r w:rsidRPr="00000DB2">
        <w:rPr>
          <w:rFonts w:ascii="Times New Roman" w:eastAsia="Times New Roman" w:hAnsi="Times New Roman" w:cs="Times New Roman"/>
          <w:lang w:val="en-US"/>
        </w:rPr>
        <w:t xml:space="preserve">Civil Liberties Trust, </w:t>
      </w:r>
      <w:r w:rsidR="00CC0BCD" w:rsidRPr="00000DB2">
        <w:rPr>
          <w:rFonts w:ascii="Times New Roman" w:eastAsia="Times New Roman" w:hAnsi="Times New Roman" w:cs="Times New Roman"/>
          <w:lang w:val="en-US"/>
        </w:rPr>
        <w:t>London United Kingdom</w:t>
      </w:r>
      <w:r w:rsidR="00CC0BCD" w:rsidRPr="00000DB2">
        <w:rPr>
          <w:rFonts w:ascii="Times New Roman" w:eastAsia="Times New Roman" w:hAnsi="Times New Roman" w:cs="Times New Roman"/>
          <w:color w:val="FF0000"/>
          <w:lang w:val="en-US"/>
        </w:rPr>
        <w:t xml:space="preserve">. </w:t>
      </w:r>
    </w:p>
    <w:p w14:paraId="25073D81" w14:textId="77777777" w:rsidR="00623FA8" w:rsidRPr="00000DB2" w:rsidRDefault="00623FA8" w:rsidP="00623FA8">
      <w:pPr>
        <w:pStyle w:val="FootnoteText"/>
        <w:ind w:left="0"/>
        <w:rPr>
          <w:sz w:val="22"/>
          <w:szCs w:val="22"/>
          <w:lang w:val="en-GB"/>
        </w:rPr>
      </w:pPr>
    </w:p>
    <w:p w14:paraId="2CB99668" w14:textId="3711ADD3" w:rsidR="00000DB2" w:rsidRPr="00000DB2" w:rsidRDefault="00000DB2" w:rsidP="00000DB2">
      <w:pPr>
        <w:spacing w:after="0" w:line="240" w:lineRule="auto"/>
        <w:jc w:val="both"/>
        <w:rPr>
          <w:rFonts w:ascii="Times New Roman" w:eastAsia="Times New Roman" w:hAnsi="Times New Roman" w:cs="Times New Roman"/>
          <w:lang w:val="en-US"/>
        </w:rPr>
      </w:pPr>
      <w:r w:rsidRPr="00000DB2">
        <w:rPr>
          <w:rFonts w:ascii="Times New Roman" w:eastAsia="Times New Roman" w:hAnsi="Times New Roman" w:cs="Times New Roman"/>
        </w:rPr>
        <w:t xml:space="preserve">Lockwood, G. Rosenthal, P. and Budjanovcanin, A. (2011) “A quantitative and qualitative analysis of sexual harassment claims 1995-2005”, </w:t>
      </w:r>
      <w:r w:rsidRPr="00000DB2">
        <w:rPr>
          <w:rFonts w:ascii="Times New Roman" w:eastAsia="Times New Roman" w:hAnsi="Times New Roman" w:cs="Times New Roman"/>
          <w:i/>
        </w:rPr>
        <w:t>Industrial Law Journal</w:t>
      </w:r>
      <w:r w:rsidRPr="00000DB2">
        <w:rPr>
          <w:rFonts w:ascii="Times New Roman" w:eastAsia="Times New Roman" w:hAnsi="Times New Roman" w:cs="Times New Roman"/>
        </w:rPr>
        <w:t>, Vol. 42 No.1, pp 86-103</w:t>
      </w:r>
      <w:r w:rsidRPr="00000DB2">
        <w:rPr>
          <w:rFonts w:ascii="Times New Roman" w:eastAsia="Times New Roman" w:hAnsi="Times New Roman" w:cs="Times New Roman"/>
          <w:lang w:val="en-US"/>
        </w:rPr>
        <w:t>.</w:t>
      </w:r>
    </w:p>
    <w:p w14:paraId="3C4648BA" w14:textId="77777777" w:rsidR="00000DB2" w:rsidRPr="00000DB2" w:rsidRDefault="00000DB2" w:rsidP="00000DB2">
      <w:pPr>
        <w:spacing w:after="0" w:line="240" w:lineRule="auto"/>
        <w:jc w:val="both"/>
        <w:rPr>
          <w:rFonts w:ascii="Times New Roman" w:eastAsia="Times New Roman" w:hAnsi="Times New Roman" w:cs="Times New Roman"/>
          <w:lang w:val="en-US"/>
        </w:rPr>
      </w:pPr>
    </w:p>
    <w:p w14:paraId="283C7EE5" w14:textId="66180ACE" w:rsidR="00623FA8" w:rsidRPr="00624902" w:rsidRDefault="00623FA8" w:rsidP="00624902">
      <w:pPr>
        <w:spacing w:after="0" w:line="240" w:lineRule="auto"/>
        <w:jc w:val="both"/>
      </w:pPr>
      <w:r w:rsidRPr="00000DB2">
        <w:rPr>
          <w:rFonts w:ascii="Times New Roman" w:eastAsia="Times New Roman" w:hAnsi="Times New Roman" w:cs="Times New Roman"/>
          <w:lang w:val="en-US"/>
        </w:rPr>
        <w:t>Lockwood, G</w:t>
      </w:r>
      <w:r w:rsidR="005D4960">
        <w:rPr>
          <w:rFonts w:ascii="Times New Roman" w:eastAsia="Times New Roman" w:hAnsi="Times New Roman" w:cs="Times New Roman"/>
          <w:lang w:val="en-US"/>
        </w:rPr>
        <w:t>.</w:t>
      </w:r>
      <w:r w:rsidRPr="00000DB2">
        <w:rPr>
          <w:rFonts w:ascii="Times New Roman" w:eastAsia="Times New Roman" w:hAnsi="Times New Roman" w:cs="Times New Roman"/>
          <w:lang w:val="en-US"/>
        </w:rPr>
        <w:t xml:space="preserve"> (2008), “A legal analysis of sexual harassment employment tribunal cases 1995-2005”</w:t>
      </w:r>
      <w:r w:rsidR="00CC0BCD" w:rsidRPr="00000DB2">
        <w:rPr>
          <w:rFonts w:ascii="Times New Roman" w:eastAsia="Times New Roman" w:hAnsi="Times New Roman" w:cs="Times New Roman"/>
          <w:lang w:val="en-US"/>
        </w:rPr>
        <w:t>,</w:t>
      </w:r>
      <w:r w:rsidRPr="00000DB2">
        <w:rPr>
          <w:rFonts w:ascii="Times New Roman" w:eastAsia="Times New Roman" w:hAnsi="Times New Roman" w:cs="Times New Roman"/>
          <w:lang w:val="en-US"/>
        </w:rPr>
        <w:t xml:space="preserve"> </w:t>
      </w:r>
      <w:r w:rsidRPr="00000DB2">
        <w:rPr>
          <w:rFonts w:ascii="Times New Roman" w:eastAsia="Times New Roman" w:hAnsi="Times New Roman" w:cs="Times New Roman"/>
          <w:i/>
          <w:lang w:val="en-US"/>
        </w:rPr>
        <w:t>International Journal of Law and Management</w:t>
      </w:r>
      <w:r w:rsidRPr="00000DB2">
        <w:rPr>
          <w:rFonts w:ascii="Times New Roman" w:eastAsia="Times New Roman" w:hAnsi="Times New Roman" w:cs="Times New Roman"/>
          <w:lang w:val="en-US"/>
        </w:rPr>
        <w:t>, Vol.</w:t>
      </w:r>
      <w:r w:rsidRPr="00000DB2">
        <w:rPr>
          <w:rFonts w:ascii="Times New Roman" w:eastAsia="Times New Roman" w:hAnsi="Times New Roman" w:cs="Times New Roman"/>
          <w:i/>
          <w:lang w:val="en-US"/>
        </w:rPr>
        <w:t xml:space="preserve"> </w:t>
      </w:r>
      <w:r w:rsidRPr="00000DB2">
        <w:rPr>
          <w:rFonts w:ascii="Times New Roman" w:eastAsia="Times New Roman" w:hAnsi="Times New Roman" w:cs="Times New Roman"/>
          <w:lang w:val="en-US"/>
        </w:rPr>
        <w:t>50 No. 6, pp</w:t>
      </w:r>
      <w:r w:rsidR="00CC0BCD" w:rsidRPr="00000DB2">
        <w:rPr>
          <w:rFonts w:ascii="Times New Roman" w:eastAsia="Times New Roman" w:hAnsi="Times New Roman" w:cs="Times New Roman"/>
          <w:lang w:val="en-US"/>
        </w:rPr>
        <w:t>.</w:t>
      </w:r>
      <w:r w:rsidRPr="00000DB2">
        <w:rPr>
          <w:rFonts w:ascii="Times New Roman" w:eastAsia="Times New Roman" w:hAnsi="Times New Roman" w:cs="Times New Roman"/>
          <w:lang w:val="en-US"/>
        </w:rPr>
        <w:t xml:space="preserve"> 316</w:t>
      </w:r>
      <w:r w:rsidR="00CC0BCD" w:rsidRPr="00000DB2">
        <w:rPr>
          <w:rFonts w:ascii="Times New Roman" w:eastAsia="Times New Roman" w:hAnsi="Times New Roman" w:cs="Times New Roman"/>
          <w:lang w:val="en-US"/>
        </w:rPr>
        <w:t>-332.</w:t>
      </w:r>
    </w:p>
    <w:p w14:paraId="3BDE6B2F" w14:textId="77777777" w:rsidR="00623FA8" w:rsidRPr="00000DB2" w:rsidRDefault="00623FA8" w:rsidP="00623FA8">
      <w:pPr>
        <w:spacing w:after="0" w:line="240" w:lineRule="auto"/>
        <w:jc w:val="both"/>
        <w:rPr>
          <w:rFonts w:ascii="Times New Roman" w:eastAsia="Times New Roman" w:hAnsi="Times New Roman" w:cs="Times New Roman"/>
          <w:lang w:val="en-US"/>
        </w:rPr>
      </w:pPr>
    </w:p>
    <w:p w14:paraId="5EC2CDCD" w14:textId="575F3143" w:rsidR="00623FA8" w:rsidRPr="00000DB2" w:rsidRDefault="00387497" w:rsidP="00623FA8">
      <w:pPr>
        <w:spacing w:after="0" w:line="240" w:lineRule="auto"/>
        <w:jc w:val="both"/>
        <w:rPr>
          <w:rFonts w:ascii="Times New Roman" w:eastAsia="Times New Roman" w:hAnsi="Times New Roman" w:cs="Times New Roman"/>
        </w:rPr>
      </w:pPr>
      <w:r w:rsidRPr="00000DB2">
        <w:rPr>
          <w:rFonts w:ascii="Times New Roman" w:eastAsia="Times New Roman" w:hAnsi="Times New Roman" w:cs="Times New Roman"/>
        </w:rPr>
        <w:t>Loretto, W</w:t>
      </w:r>
      <w:r w:rsidR="00CC0BCD" w:rsidRPr="00000DB2">
        <w:rPr>
          <w:rFonts w:ascii="Times New Roman" w:eastAsia="Times New Roman" w:hAnsi="Times New Roman" w:cs="Times New Roman"/>
        </w:rPr>
        <w:t>.</w:t>
      </w:r>
      <w:r w:rsidRPr="00000DB2">
        <w:rPr>
          <w:rFonts w:ascii="Times New Roman" w:eastAsia="Times New Roman" w:hAnsi="Times New Roman" w:cs="Times New Roman"/>
        </w:rPr>
        <w:t xml:space="preserve"> and White, P. (2006)</w:t>
      </w:r>
      <w:r w:rsidR="00000DB2" w:rsidRPr="00000DB2">
        <w:rPr>
          <w:rFonts w:ascii="Times New Roman" w:eastAsia="Times New Roman" w:hAnsi="Times New Roman" w:cs="Times New Roman"/>
        </w:rPr>
        <w:t>,</w:t>
      </w:r>
      <w:r w:rsidR="00623FA8" w:rsidRPr="00000DB2">
        <w:rPr>
          <w:rFonts w:ascii="Times New Roman" w:eastAsia="Times New Roman" w:hAnsi="Times New Roman" w:cs="Times New Roman"/>
        </w:rPr>
        <w:t xml:space="preserve"> “</w:t>
      </w:r>
      <w:r w:rsidR="00623FA8" w:rsidRPr="00000DB2">
        <w:rPr>
          <w:rFonts w:ascii="Times New Roman" w:eastAsia="Times New Roman" w:hAnsi="Times New Roman" w:cs="Times New Roman"/>
          <w:iCs/>
        </w:rPr>
        <w:t>Employers’ attitudes, practices and policies towards older workers</w:t>
      </w:r>
      <w:r w:rsidR="00623FA8" w:rsidRPr="00000DB2">
        <w:rPr>
          <w:rFonts w:ascii="Times New Roman" w:eastAsia="Times New Roman" w:hAnsi="Times New Roman" w:cs="Times New Roman"/>
        </w:rPr>
        <w:t>”</w:t>
      </w:r>
      <w:r w:rsidR="0085372C" w:rsidRPr="00000DB2">
        <w:rPr>
          <w:rFonts w:ascii="Times New Roman" w:eastAsia="Times New Roman" w:hAnsi="Times New Roman" w:cs="Times New Roman"/>
        </w:rPr>
        <w:t>,</w:t>
      </w:r>
      <w:r w:rsidR="00623FA8" w:rsidRPr="00000DB2">
        <w:rPr>
          <w:rFonts w:ascii="Times New Roman" w:eastAsia="Times New Roman" w:hAnsi="Times New Roman" w:cs="Times New Roman"/>
        </w:rPr>
        <w:t xml:space="preserve"> </w:t>
      </w:r>
      <w:r w:rsidR="00623FA8" w:rsidRPr="00000DB2">
        <w:rPr>
          <w:rFonts w:ascii="Times New Roman" w:eastAsia="Times New Roman" w:hAnsi="Times New Roman" w:cs="Times New Roman"/>
          <w:i/>
        </w:rPr>
        <w:t>Human Resource Management Journal</w:t>
      </w:r>
      <w:r w:rsidR="00CC0BCD" w:rsidRPr="00000DB2">
        <w:rPr>
          <w:rFonts w:ascii="Times New Roman" w:eastAsia="Times New Roman" w:hAnsi="Times New Roman" w:cs="Times New Roman"/>
          <w:i/>
        </w:rPr>
        <w:t>,</w:t>
      </w:r>
      <w:r w:rsidR="00623FA8" w:rsidRPr="00000DB2">
        <w:rPr>
          <w:rFonts w:ascii="Times New Roman" w:eastAsia="Times New Roman" w:hAnsi="Times New Roman" w:cs="Times New Roman"/>
          <w:i/>
        </w:rPr>
        <w:t xml:space="preserve"> </w:t>
      </w:r>
      <w:r w:rsidR="00623FA8" w:rsidRPr="00000DB2">
        <w:rPr>
          <w:rFonts w:ascii="Times New Roman" w:eastAsia="Times New Roman" w:hAnsi="Times New Roman" w:cs="Times New Roman"/>
        </w:rPr>
        <w:t>Vol 16</w:t>
      </w:r>
      <w:r w:rsidR="00CC0BCD" w:rsidRPr="00000DB2">
        <w:rPr>
          <w:rFonts w:ascii="Times New Roman" w:eastAsia="Times New Roman" w:hAnsi="Times New Roman" w:cs="Times New Roman"/>
        </w:rPr>
        <w:t>.</w:t>
      </w:r>
      <w:r w:rsidR="00623FA8" w:rsidRPr="00000DB2">
        <w:rPr>
          <w:rFonts w:ascii="Times New Roman" w:eastAsia="Times New Roman" w:hAnsi="Times New Roman" w:cs="Times New Roman"/>
        </w:rPr>
        <w:t xml:space="preserve"> No 3, pp</w:t>
      </w:r>
      <w:r w:rsidR="00CC0BCD" w:rsidRPr="00000DB2">
        <w:rPr>
          <w:rFonts w:ascii="Times New Roman" w:eastAsia="Times New Roman" w:hAnsi="Times New Roman" w:cs="Times New Roman"/>
        </w:rPr>
        <w:t>.</w:t>
      </w:r>
      <w:r w:rsidR="00623FA8" w:rsidRPr="00000DB2">
        <w:rPr>
          <w:rFonts w:ascii="Times New Roman" w:eastAsia="Times New Roman" w:hAnsi="Times New Roman" w:cs="Times New Roman"/>
        </w:rPr>
        <w:t xml:space="preserve"> 313</w:t>
      </w:r>
      <w:r w:rsidR="00CC0BCD" w:rsidRPr="00000DB2">
        <w:rPr>
          <w:rFonts w:ascii="Times New Roman" w:eastAsia="Times New Roman" w:hAnsi="Times New Roman" w:cs="Times New Roman"/>
        </w:rPr>
        <w:t>-330</w:t>
      </w:r>
      <w:r w:rsidR="00623FA8" w:rsidRPr="00000DB2">
        <w:rPr>
          <w:rFonts w:ascii="Times New Roman" w:eastAsia="Times New Roman" w:hAnsi="Times New Roman" w:cs="Times New Roman"/>
        </w:rPr>
        <w:t xml:space="preserve">. </w:t>
      </w:r>
    </w:p>
    <w:p w14:paraId="725E289B" w14:textId="77777777" w:rsidR="00623FA8" w:rsidRPr="00000DB2" w:rsidRDefault="00623FA8" w:rsidP="00623FA8">
      <w:pPr>
        <w:pStyle w:val="FootnoteText"/>
        <w:ind w:left="0"/>
        <w:rPr>
          <w:sz w:val="22"/>
          <w:szCs w:val="22"/>
          <w:lang w:val="en-GB"/>
        </w:rPr>
      </w:pPr>
    </w:p>
    <w:p w14:paraId="2148BB2C" w14:textId="1B6C90A3" w:rsidR="00623FA8" w:rsidRPr="00000DB2" w:rsidRDefault="00623FA8" w:rsidP="00623FA8">
      <w:pPr>
        <w:pStyle w:val="FootnoteText"/>
        <w:ind w:left="0"/>
        <w:rPr>
          <w:sz w:val="22"/>
          <w:szCs w:val="22"/>
          <w:lang w:val="en-GB"/>
        </w:rPr>
      </w:pPr>
      <w:r w:rsidRPr="00000DB2">
        <w:rPr>
          <w:sz w:val="22"/>
          <w:szCs w:val="22"/>
          <w:lang w:val="en-GB"/>
        </w:rPr>
        <w:t>Lyon, P</w:t>
      </w:r>
      <w:r w:rsidR="0085372C" w:rsidRPr="00000DB2">
        <w:rPr>
          <w:sz w:val="22"/>
          <w:szCs w:val="22"/>
          <w:lang w:val="en-GB"/>
        </w:rPr>
        <w:t>.</w:t>
      </w:r>
      <w:r w:rsidRPr="00000DB2">
        <w:rPr>
          <w:sz w:val="22"/>
          <w:szCs w:val="22"/>
          <w:lang w:val="en-GB"/>
        </w:rPr>
        <w:t xml:space="preserve"> and Pollard, D</w:t>
      </w:r>
      <w:r w:rsidR="00000DB2" w:rsidRPr="00000DB2">
        <w:rPr>
          <w:sz w:val="22"/>
          <w:szCs w:val="22"/>
          <w:lang w:val="en-GB"/>
        </w:rPr>
        <w:t>.</w:t>
      </w:r>
      <w:r w:rsidRPr="00000DB2">
        <w:rPr>
          <w:sz w:val="22"/>
          <w:szCs w:val="22"/>
          <w:lang w:val="en-GB"/>
        </w:rPr>
        <w:t xml:space="preserve"> (1997)</w:t>
      </w:r>
      <w:r w:rsidR="00000DB2" w:rsidRPr="00000DB2">
        <w:rPr>
          <w:sz w:val="22"/>
          <w:szCs w:val="22"/>
          <w:lang w:val="en-GB"/>
        </w:rPr>
        <w:t>,</w:t>
      </w:r>
      <w:r w:rsidRPr="00000DB2">
        <w:rPr>
          <w:sz w:val="22"/>
          <w:szCs w:val="22"/>
          <w:lang w:val="en-GB"/>
        </w:rPr>
        <w:t xml:space="preserve"> </w:t>
      </w:r>
      <w:r w:rsidRPr="00000DB2">
        <w:rPr>
          <w:iCs/>
          <w:sz w:val="22"/>
          <w:szCs w:val="22"/>
          <w:lang w:val="en-GB"/>
        </w:rPr>
        <w:t>“Perceptions of the older employee: is anything really changing”</w:t>
      </w:r>
      <w:r w:rsidR="0085372C" w:rsidRPr="00000DB2">
        <w:rPr>
          <w:iCs/>
          <w:sz w:val="22"/>
          <w:szCs w:val="22"/>
          <w:lang w:val="en-GB"/>
        </w:rPr>
        <w:t>,</w:t>
      </w:r>
      <w:r w:rsidRPr="00000DB2">
        <w:rPr>
          <w:sz w:val="22"/>
          <w:szCs w:val="22"/>
          <w:lang w:val="en-GB"/>
        </w:rPr>
        <w:t xml:space="preserve"> </w:t>
      </w:r>
      <w:r w:rsidRPr="00000DB2">
        <w:rPr>
          <w:i/>
          <w:sz w:val="22"/>
          <w:szCs w:val="22"/>
          <w:lang w:val="en-GB"/>
        </w:rPr>
        <w:t>Personnel Review</w:t>
      </w:r>
      <w:r w:rsidRPr="00000DB2">
        <w:rPr>
          <w:sz w:val="22"/>
          <w:szCs w:val="22"/>
          <w:lang w:val="en-GB"/>
        </w:rPr>
        <w:t>, Vol. 6 No. 4, pp. 245</w:t>
      </w:r>
      <w:r w:rsidR="0085372C" w:rsidRPr="00000DB2">
        <w:rPr>
          <w:sz w:val="22"/>
          <w:szCs w:val="22"/>
          <w:lang w:val="en-GB"/>
        </w:rPr>
        <w:t>-257</w:t>
      </w:r>
      <w:r w:rsidRPr="00000DB2">
        <w:rPr>
          <w:sz w:val="22"/>
          <w:szCs w:val="22"/>
          <w:lang w:val="en-GB"/>
        </w:rPr>
        <w:t>.</w:t>
      </w:r>
    </w:p>
    <w:p w14:paraId="7E413A02" w14:textId="77777777" w:rsidR="00623FA8" w:rsidRPr="00000DB2" w:rsidRDefault="00623FA8" w:rsidP="00623FA8">
      <w:pPr>
        <w:pStyle w:val="FootnoteText"/>
        <w:ind w:left="0"/>
        <w:rPr>
          <w:sz w:val="22"/>
          <w:szCs w:val="22"/>
          <w:lang w:val="en-GB"/>
        </w:rPr>
      </w:pPr>
    </w:p>
    <w:p w14:paraId="275B5351" w14:textId="04309B57" w:rsidR="00623FA8" w:rsidRPr="00000DB2" w:rsidRDefault="00623FA8" w:rsidP="00623FA8">
      <w:pPr>
        <w:spacing w:after="0" w:line="240" w:lineRule="auto"/>
        <w:jc w:val="both"/>
        <w:rPr>
          <w:rFonts w:ascii="Times New Roman" w:eastAsia="Times New Roman" w:hAnsi="Times New Roman" w:cs="Times New Roman"/>
        </w:rPr>
      </w:pPr>
      <w:r w:rsidRPr="00000DB2">
        <w:rPr>
          <w:rFonts w:ascii="Times New Roman" w:eastAsia="Times New Roman" w:hAnsi="Times New Roman" w:cs="Times New Roman"/>
        </w:rPr>
        <w:t>Macnicol, J</w:t>
      </w:r>
      <w:r w:rsidR="00000DB2" w:rsidRPr="00000DB2">
        <w:rPr>
          <w:rFonts w:ascii="Times New Roman" w:eastAsia="Times New Roman" w:hAnsi="Times New Roman" w:cs="Times New Roman"/>
        </w:rPr>
        <w:t>.</w:t>
      </w:r>
      <w:r w:rsidRPr="00000DB2">
        <w:rPr>
          <w:rFonts w:ascii="Times New Roman" w:eastAsia="Times New Roman" w:hAnsi="Times New Roman" w:cs="Times New Roman"/>
        </w:rPr>
        <w:t xml:space="preserve"> (2005), </w:t>
      </w:r>
      <w:r w:rsidRPr="00000DB2">
        <w:rPr>
          <w:rFonts w:ascii="Times New Roman" w:eastAsia="Times New Roman" w:hAnsi="Times New Roman" w:cs="Times New Roman"/>
          <w:i/>
        </w:rPr>
        <w:t>Age Discrimination: An Historical and Contemporary Analysis</w:t>
      </w:r>
      <w:r w:rsidRPr="00000DB2">
        <w:rPr>
          <w:rFonts w:ascii="Times New Roman" w:eastAsia="Times New Roman" w:hAnsi="Times New Roman" w:cs="Times New Roman"/>
        </w:rPr>
        <w:t>, Cambridge University Press</w:t>
      </w:r>
      <w:r w:rsidR="0085372C" w:rsidRPr="00000DB2">
        <w:rPr>
          <w:rFonts w:ascii="Times New Roman" w:eastAsia="Times New Roman" w:hAnsi="Times New Roman" w:cs="Times New Roman"/>
        </w:rPr>
        <w:t xml:space="preserve">, New York. </w:t>
      </w:r>
    </w:p>
    <w:p w14:paraId="7598162D" w14:textId="77777777" w:rsidR="00623FA8" w:rsidRPr="00000DB2" w:rsidRDefault="00623FA8" w:rsidP="00623FA8">
      <w:pPr>
        <w:pStyle w:val="FootnoteText"/>
        <w:ind w:left="0"/>
        <w:rPr>
          <w:sz w:val="22"/>
          <w:szCs w:val="22"/>
        </w:rPr>
      </w:pPr>
    </w:p>
    <w:p w14:paraId="6697AEB0" w14:textId="2EF58D77" w:rsidR="007A6B0E" w:rsidRDefault="00623FA8" w:rsidP="007A6B0E">
      <w:pPr>
        <w:spacing w:after="0" w:line="240" w:lineRule="auto"/>
        <w:jc w:val="both"/>
        <w:rPr>
          <w:rFonts w:ascii="Times New Roman" w:eastAsia="Times New Roman" w:hAnsi="Times New Roman" w:cs="Times New Roman"/>
          <w:lang w:val="en-US"/>
        </w:rPr>
      </w:pPr>
      <w:r w:rsidRPr="00000DB2">
        <w:rPr>
          <w:rFonts w:ascii="Times New Roman" w:eastAsia="Times New Roman" w:hAnsi="Times New Roman" w:cs="Times New Roman"/>
          <w:lang w:val="en-US"/>
        </w:rPr>
        <w:t>Manfredi, S</w:t>
      </w:r>
      <w:r w:rsidR="0085372C" w:rsidRPr="00000DB2">
        <w:rPr>
          <w:rFonts w:ascii="Times New Roman" w:eastAsia="Times New Roman" w:hAnsi="Times New Roman" w:cs="Times New Roman"/>
          <w:lang w:val="en-US"/>
        </w:rPr>
        <w:t>.</w:t>
      </w:r>
      <w:r w:rsidRPr="00000DB2">
        <w:rPr>
          <w:rFonts w:ascii="Times New Roman" w:eastAsia="Times New Roman" w:hAnsi="Times New Roman" w:cs="Times New Roman"/>
          <w:lang w:val="en-US"/>
        </w:rPr>
        <w:t xml:space="preserve"> and Vickers, L</w:t>
      </w:r>
      <w:r w:rsidR="00000DB2" w:rsidRPr="00000DB2">
        <w:rPr>
          <w:rFonts w:ascii="Times New Roman" w:eastAsia="Times New Roman" w:hAnsi="Times New Roman" w:cs="Times New Roman"/>
          <w:lang w:val="en-US"/>
        </w:rPr>
        <w:t>.</w:t>
      </w:r>
      <w:r w:rsidRPr="00000DB2">
        <w:rPr>
          <w:rFonts w:ascii="Times New Roman" w:eastAsia="Times New Roman" w:hAnsi="Times New Roman" w:cs="Times New Roman"/>
          <w:lang w:val="en-US"/>
        </w:rPr>
        <w:t xml:space="preserve"> (2009), “</w:t>
      </w:r>
      <w:r w:rsidRPr="00000DB2">
        <w:rPr>
          <w:rFonts w:ascii="Times New Roman" w:eastAsia="Times New Roman" w:hAnsi="Times New Roman" w:cs="Times New Roman"/>
          <w:iCs/>
          <w:lang w:val="en-US"/>
        </w:rPr>
        <w:t xml:space="preserve">Retirement and Age Discrimination: Managing Retirement in Higher Education”, </w:t>
      </w:r>
      <w:r w:rsidRPr="00000DB2">
        <w:rPr>
          <w:rFonts w:ascii="Times New Roman" w:eastAsia="Times New Roman" w:hAnsi="Times New Roman" w:cs="Times New Roman"/>
          <w:i/>
          <w:lang w:val="en-US"/>
        </w:rPr>
        <w:t>Industrial Law Journal</w:t>
      </w:r>
      <w:r w:rsidR="0085372C" w:rsidRPr="00000DB2">
        <w:rPr>
          <w:rFonts w:ascii="Times New Roman" w:eastAsia="Times New Roman" w:hAnsi="Times New Roman" w:cs="Times New Roman"/>
          <w:i/>
          <w:lang w:val="en-US"/>
        </w:rPr>
        <w:t>,</w:t>
      </w:r>
      <w:r w:rsidRPr="00000DB2">
        <w:rPr>
          <w:rFonts w:ascii="Times New Roman" w:eastAsia="Times New Roman" w:hAnsi="Times New Roman" w:cs="Times New Roman"/>
          <w:lang w:val="en-US"/>
        </w:rPr>
        <w:t xml:space="preserve"> Vol. 39 No.4, pp</w:t>
      </w:r>
      <w:r w:rsidR="0085372C" w:rsidRPr="00000DB2">
        <w:rPr>
          <w:rFonts w:ascii="Times New Roman" w:eastAsia="Times New Roman" w:hAnsi="Times New Roman" w:cs="Times New Roman"/>
          <w:lang w:val="en-US"/>
        </w:rPr>
        <w:t>.</w:t>
      </w:r>
      <w:r w:rsidRPr="00000DB2">
        <w:rPr>
          <w:rFonts w:ascii="Times New Roman" w:eastAsia="Times New Roman" w:hAnsi="Times New Roman" w:cs="Times New Roman"/>
          <w:lang w:val="en-US"/>
        </w:rPr>
        <w:t xml:space="preserve"> 343</w:t>
      </w:r>
      <w:r w:rsidR="0085372C" w:rsidRPr="00000DB2">
        <w:rPr>
          <w:rFonts w:ascii="Times New Roman" w:eastAsia="Times New Roman" w:hAnsi="Times New Roman" w:cs="Times New Roman"/>
          <w:lang w:val="en-US"/>
        </w:rPr>
        <w:t>-364</w:t>
      </w:r>
      <w:r w:rsidRPr="00000DB2">
        <w:rPr>
          <w:rFonts w:ascii="Times New Roman" w:eastAsia="Times New Roman" w:hAnsi="Times New Roman" w:cs="Times New Roman"/>
          <w:lang w:val="en-US"/>
        </w:rPr>
        <w:t>.</w:t>
      </w:r>
    </w:p>
    <w:p w14:paraId="060B4409" w14:textId="793DBAD3" w:rsidR="00771783" w:rsidRDefault="00771783" w:rsidP="007A6B0E">
      <w:pPr>
        <w:spacing w:after="0" w:line="240" w:lineRule="auto"/>
        <w:jc w:val="both"/>
        <w:rPr>
          <w:rFonts w:ascii="Times New Roman" w:eastAsia="Times New Roman" w:hAnsi="Times New Roman" w:cs="Times New Roman"/>
          <w:lang w:val="en-US"/>
        </w:rPr>
      </w:pPr>
    </w:p>
    <w:p w14:paraId="50351B46" w14:textId="25FDC070" w:rsidR="00771783" w:rsidRPr="00000DB2" w:rsidRDefault="00771783" w:rsidP="007A6B0E">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Martin, L. (2016), “</w:t>
      </w:r>
      <w:r w:rsidRPr="00771783">
        <w:rPr>
          <w:rFonts w:ascii="Times New Roman" w:eastAsia="Times New Roman" w:hAnsi="Times New Roman" w:cs="Times New Roman"/>
          <w:lang w:val="en-US"/>
        </w:rPr>
        <w:t>Age Stereotyping in the Workplace: A Critical Analysis of the Employment Tribunals Approach</w:t>
      </w:r>
      <w:r>
        <w:rPr>
          <w:rFonts w:ascii="Times New Roman" w:eastAsia="Times New Roman" w:hAnsi="Times New Roman" w:cs="Times New Roman"/>
          <w:lang w:val="en-US"/>
        </w:rPr>
        <w:t>”</w:t>
      </w:r>
      <w:r w:rsidRPr="00771783">
        <w:rPr>
          <w:rFonts w:ascii="Times New Roman" w:eastAsia="Times New Roman" w:hAnsi="Times New Roman" w:cs="Times New Roman"/>
          <w:lang w:val="en-US"/>
        </w:rPr>
        <w:t>,</w:t>
      </w:r>
      <w:r>
        <w:rPr>
          <w:rFonts w:ascii="Times New Roman" w:eastAsia="Times New Roman" w:hAnsi="Times New Roman" w:cs="Times New Roman"/>
          <w:lang w:val="en-US"/>
        </w:rPr>
        <w:t xml:space="preserve"> PhD Thesis, University of Northumbria at Newcastle. </w:t>
      </w:r>
    </w:p>
    <w:p w14:paraId="641576F8" w14:textId="77777777" w:rsidR="007A6B0E" w:rsidRPr="00000DB2" w:rsidRDefault="007A6B0E" w:rsidP="007A6B0E">
      <w:pPr>
        <w:spacing w:after="0" w:line="240" w:lineRule="auto"/>
        <w:jc w:val="both"/>
        <w:rPr>
          <w:rFonts w:ascii="Times New Roman" w:eastAsia="Times New Roman" w:hAnsi="Times New Roman" w:cs="Times New Roman"/>
          <w:lang w:val="en-US"/>
        </w:rPr>
      </w:pPr>
    </w:p>
    <w:p w14:paraId="2681EA8D" w14:textId="1D40D650" w:rsidR="007A6B0E" w:rsidRPr="00624902" w:rsidRDefault="007A6B0E" w:rsidP="007A6B0E">
      <w:pPr>
        <w:spacing w:after="0" w:line="240" w:lineRule="auto"/>
        <w:jc w:val="both"/>
        <w:rPr>
          <w:rFonts w:ascii="Times New Roman" w:eastAsia="Times New Roman" w:hAnsi="Times New Roman" w:cs="Times New Roman"/>
          <w:lang w:val="en-US"/>
        </w:rPr>
      </w:pPr>
      <w:r w:rsidRPr="00624902">
        <w:rPr>
          <w:rFonts w:ascii="Times New Roman" w:eastAsia="Times New Roman" w:hAnsi="Times New Roman" w:cs="Times New Roman"/>
          <w:lang w:val="en-US"/>
        </w:rPr>
        <w:t>Metcalf, H</w:t>
      </w:r>
      <w:r w:rsidR="0085372C" w:rsidRPr="00624902">
        <w:rPr>
          <w:rFonts w:ascii="Times New Roman" w:eastAsia="Times New Roman" w:hAnsi="Times New Roman" w:cs="Times New Roman"/>
          <w:lang w:val="en-US"/>
        </w:rPr>
        <w:t>.</w:t>
      </w:r>
      <w:r w:rsidRPr="00624902">
        <w:rPr>
          <w:rFonts w:ascii="Times New Roman" w:eastAsia="Times New Roman" w:hAnsi="Times New Roman" w:cs="Times New Roman"/>
          <w:lang w:val="en-US"/>
        </w:rPr>
        <w:t xml:space="preserve"> and Meadows, P</w:t>
      </w:r>
      <w:r w:rsidR="00000DB2" w:rsidRPr="00624902">
        <w:rPr>
          <w:rFonts w:ascii="Times New Roman" w:eastAsia="Times New Roman" w:hAnsi="Times New Roman" w:cs="Times New Roman"/>
          <w:lang w:val="en-US"/>
        </w:rPr>
        <w:t>.</w:t>
      </w:r>
      <w:r w:rsidRPr="00624902">
        <w:rPr>
          <w:rFonts w:ascii="Times New Roman" w:eastAsia="Times New Roman" w:hAnsi="Times New Roman" w:cs="Times New Roman"/>
          <w:lang w:val="en-US"/>
        </w:rPr>
        <w:t xml:space="preserve"> (2006) “Survey of employers’ policies, practices and preferences relating to age”</w:t>
      </w:r>
      <w:r w:rsidR="0085372C" w:rsidRPr="00624902">
        <w:rPr>
          <w:rFonts w:ascii="Times New Roman" w:eastAsia="Times New Roman" w:hAnsi="Times New Roman" w:cs="Times New Roman"/>
          <w:lang w:val="en-US"/>
        </w:rPr>
        <w:t>,</w:t>
      </w:r>
      <w:r w:rsidRPr="00624902">
        <w:rPr>
          <w:rFonts w:ascii="Times New Roman" w:eastAsia="Times New Roman" w:hAnsi="Times New Roman" w:cs="Times New Roman"/>
          <w:lang w:val="en-US"/>
        </w:rPr>
        <w:t xml:space="preserve"> Research Report  325 Department of Trade and Industry Employment Relations Research Series No 49 Department of Work and Pensions, 2006) &lt;</w:t>
      </w:r>
      <w:hyperlink r:id="rId13" w:history="1">
        <w:r w:rsidRPr="00624902">
          <w:rPr>
            <w:rFonts w:ascii="Times New Roman" w:eastAsia="Times New Roman" w:hAnsi="Times New Roman" w:cs="Times New Roman"/>
            <w:lang w:val="en-US"/>
          </w:rPr>
          <w:t>http://www.equalityhumanrights.com/sites/default/files/documents/agepositive/sep_surveyemployerpracticesage.pdf</w:t>
        </w:r>
      </w:hyperlink>
      <w:r w:rsidRPr="00624902">
        <w:rPr>
          <w:rFonts w:ascii="Times New Roman" w:eastAsia="Times New Roman" w:hAnsi="Times New Roman" w:cs="Times New Roman"/>
          <w:lang w:val="en-US"/>
        </w:rPr>
        <w:t>&gt; accessed 16</w:t>
      </w:r>
      <w:r w:rsidRPr="00624902">
        <w:rPr>
          <w:rFonts w:ascii="Times New Roman" w:eastAsia="Times New Roman" w:hAnsi="Times New Roman" w:cs="Times New Roman"/>
          <w:vertAlign w:val="superscript"/>
          <w:lang w:val="en-US"/>
        </w:rPr>
        <w:t>th</w:t>
      </w:r>
      <w:r w:rsidRPr="00624902">
        <w:rPr>
          <w:rFonts w:ascii="Times New Roman" w:eastAsia="Times New Roman" w:hAnsi="Times New Roman" w:cs="Times New Roman"/>
          <w:lang w:val="en-US"/>
        </w:rPr>
        <w:t xml:space="preserve"> June 2014.</w:t>
      </w:r>
    </w:p>
    <w:p w14:paraId="3B8EF5F4" w14:textId="77777777" w:rsidR="00623FA8" w:rsidRPr="00000DB2" w:rsidRDefault="00623FA8" w:rsidP="00623FA8">
      <w:pPr>
        <w:pStyle w:val="FootnoteText"/>
        <w:ind w:left="0"/>
        <w:rPr>
          <w:sz w:val="22"/>
          <w:szCs w:val="22"/>
          <w:lang w:val="en-GB"/>
        </w:rPr>
      </w:pPr>
    </w:p>
    <w:p w14:paraId="767E6495" w14:textId="1D27F55F" w:rsidR="00623FA8" w:rsidRPr="00000DB2" w:rsidRDefault="00623FA8" w:rsidP="00623FA8">
      <w:pPr>
        <w:pStyle w:val="FootnoteText"/>
        <w:ind w:left="0"/>
        <w:rPr>
          <w:sz w:val="22"/>
          <w:szCs w:val="22"/>
          <w:lang w:val="en-GB"/>
        </w:rPr>
      </w:pPr>
      <w:r w:rsidRPr="00000DB2">
        <w:rPr>
          <w:sz w:val="22"/>
          <w:szCs w:val="22"/>
          <w:lang w:val="en-GB"/>
        </w:rPr>
        <w:t>Parry, E</w:t>
      </w:r>
      <w:r w:rsidR="0085372C" w:rsidRPr="00000DB2">
        <w:rPr>
          <w:sz w:val="22"/>
          <w:szCs w:val="22"/>
          <w:lang w:val="en-GB"/>
        </w:rPr>
        <w:t>.</w:t>
      </w:r>
      <w:r w:rsidRPr="00000DB2">
        <w:rPr>
          <w:sz w:val="22"/>
          <w:szCs w:val="22"/>
          <w:lang w:val="en-GB"/>
        </w:rPr>
        <w:t xml:space="preserve"> and Tyson, S. (2009)</w:t>
      </w:r>
      <w:r w:rsidR="00A810F9" w:rsidRPr="00000DB2">
        <w:rPr>
          <w:sz w:val="22"/>
          <w:szCs w:val="22"/>
          <w:lang w:val="en-GB"/>
        </w:rPr>
        <w:t>,</w:t>
      </w:r>
      <w:r w:rsidRPr="00000DB2">
        <w:rPr>
          <w:sz w:val="22"/>
          <w:szCs w:val="22"/>
          <w:lang w:val="en-GB"/>
        </w:rPr>
        <w:t xml:space="preserve"> “</w:t>
      </w:r>
      <w:r w:rsidRPr="00000DB2">
        <w:rPr>
          <w:iCs/>
          <w:sz w:val="22"/>
          <w:szCs w:val="22"/>
          <w:lang w:val="en-GB"/>
        </w:rPr>
        <w:t>Organisational reactions to UK age discrimination legislation”</w:t>
      </w:r>
      <w:r w:rsidRPr="00000DB2">
        <w:rPr>
          <w:sz w:val="22"/>
          <w:szCs w:val="22"/>
          <w:lang w:val="en-GB"/>
        </w:rPr>
        <w:t xml:space="preserve"> </w:t>
      </w:r>
      <w:r w:rsidRPr="00000DB2">
        <w:rPr>
          <w:i/>
          <w:sz w:val="22"/>
          <w:szCs w:val="22"/>
          <w:lang w:val="en-GB"/>
        </w:rPr>
        <w:t>Employee Relations,</w:t>
      </w:r>
      <w:r w:rsidRPr="00000DB2">
        <w:rPr>
          <w:sz w:val="22"/>
          <w:szCs w:val="22"/>
          <w:lang w:val="en-GB"/>
        </w:rPr>
        <w:t xml:space="preserve"> Vol</w:t>
      </w:r>
      <w:r w:rsidR="0085372C" w:rsidRPr="00000DB2">
        <w:rPr>
          <w:sz w:val="22"/>
          <w:szCs w:val="22"/>
          <w:lang w:val="en-GB"/>
        </w:rPr>
        <w:t>.</w:t>
      </w:r>
      <w:r w:rsidRPr="00000DB2">
        <w:rPr>
          <w:sz w:val="22"/>
          <w:szCs w:val="22"/>
          <w:lang w:val="en-GB"/>
        </w:rPr>
        <w:t>31 No. 5, pp</w:t>
      </w:r>
      <w:r w:rsidR="00A810F9" w:rsidRPr="00000DB2">
        <w:rPr>
          <w:sz w:val="22"/>
          <w:szCs w:val="22"/>
          <w:lang w:val="en-GB"/>
        </w:rPr>
        <w:t>.</w:t>
      </w:r>
      <w:r w:rsidR="00000DB2" w:rsidRPr="00000DB2">
        <w:rPr>
          <w:sz w:val="22"/>
          <w:szCs w:val="22"/>
          <w:lang w:val="en-GB"/>
        </w:rPr>
        <w:t xml:space="preserve"> </w:t>
      </w:r>
      <w:r w:rsidRPr="00000DB2">
        <w:rPr>
          <w:sz w:val="22"/>
          <w:szCs w:val="22"/>
          <w:lang w:val="en-GB"/>
        </w:rPr>
        <w:t>471</w:t>
      </w:r>
      <w:r w:rsidR="00A810F9" w:rsidRPr="00000DB2">
        <w:rPr>
          <w:sz w:val="22"/>
          <w:szCs w:val="22"/>
          <w:lang w:val="en-GB"/>
        </w:rPr>
        <w:t>-488.</w:t>
      </w:r>
      <w:r w:rsidRPr="00000DB2">
        <w:rPr>
          <w:sz w:val="22"/>
          <w:szCs w:val="22"/>
          <w:lang w:val="en-GB"/>
        </w:rPr>
        <w:t xml:space="preserve"> </w:t>
      </w:r>
    </w:p>
    <w:p w14:paraId="69E5AB40" w14:textId="77777777" w:rsidR="00623FA8" w:rsidRPr="00000DB2" w:rsidRDefault="00623FA8" w:rsidP="00623FA8">
      <w:pPr>
        <w:pStyle w:val="FootnoteText"/>
        <w:ind w:left="0"/>
        <w:rPr>
          <w:sz w:val="22"/>
          <w:szCs w:val="22"/>
        </w:rPr>
      </w:pPr>
    </w:p>
    <w:p w14:paraId="2AE7B1A9" w14:textId="77FBC426" w:rsidR="00623FA8" w:rsidRPr="00000DB2" w:rsidRDefault="00623FA8" w:rsidP="00623FA8">
      <w:pPr>
        <w:spacing w:after="0" w:line="240" w:lineRule="auto"/>
        <w:jc w:val="both"/>
        <w:rPr>
          <w:rFonts w:ascii="Times New Roman" w:eastAsia="Times New Roman" w:hAnsi="Times New Roman" w:cs="Times New Roman"/>
          <w:lang w:val="en-US"/>
        </w:rPr>
      </w:pPr>
      <w:r w:rsidRPr="00000DB2">
        <w:rPr>
          <w:rFonts w:ascii="Times New Roman" w:eastAsia="Times New Roman" w:hAnsi="Times New Roman" w:cs="Times New Roman"/>
          <w:lang w:val="en-US"/>
        </w:rPr>
        <w:t>Rosenthal, P</w:t>
      </w:r>
      <w:r w:rsidR="00A810F9" w:rsidRPr="00000DB2">
        <w:rPr>
          <w:rFonts w:ascii="Times New Roman" w:eastAsia="Times New Roman" w:hAnsi="Times New Roman" w:cs="Times New Roman"/>
          <w:lang w:val="en-US"/>
        </w:rPr>
        <w:t>.</w:t>
      </w:r>
      <w:r w:rsidRPr="00000DB2">
        <w:rPr>
          <w:rFonts w:ascii="Times New Roman" w:eastAsia="Times New Roman" w:hAnsi="Times New Roman" w:cs="Times New Roman"/>
          <w:lang w:val="en-US"/>
        </w:rPr>
        <w:t xml:space="preserve"> and Budjanovcanin, A. (2011), “Sexual harassment Judgments by British Employment Tribunals 1995-2005: Implications for Claimants and their Advocates”,</w:t>
      </w:r>
      <w:r w:rsidRPr="00000DB2">
        <w:rPr>
          <w:rFonts w:ascii="Times New Roman" w:eastAsia="Times New Roman" w:hAnsi="Times New Roman" w:cs="Times New Roman"/>
          <w:i/>
          <w:lang w:val="en-US"/>
        </w:rPr>
        <w:t xml:space="preserve"> British Journal of Industrial Relations</w:t>
      </w:r>
      <w:r w:rsidRPr="00000DB2">
        <w:rPr>
          <w:rFonts w:ascii="Times New Roman" w:eastAsia="Times New Roman" w:hAnsi="Times New Roman" w:cs="Times New Roman"/>
          <w:lang w:val="en-US"/>
        </w:rPr>
        <w:t>, Vol. 49 Issue Supplement 2, pp. 236-257.</w:t>
      </w:r>
    </w:p>
    <w:p w14:paraId="15975A18" w14:textId="77777777" w:rsidR="00623FA8" w:rsidRPr="00000DB2" w:rsidRDefault="00623FA8" w:rsidP="00623FA8">
      <w:pPr>
        <w:pStyle w:val="FootnoteText"/>
        <w:ind w:left="0"/>
        <w:rPr>
          <w:sz w:val="22"/>
          <w:szCs w:val="22"/>
          <w:lang w:val="en-GB"/>
        </w:rPr>
      </w:pPr>
    </w:p>
    <w:p w14:paraId="6A67F8F2" w14:textId="5B6A8ADC" w:rsidR="00623FA8" w:rsidRPr="00000DB2" w:rsidRDefault="00623FA8" w:rsidP="00623FA8">
      <w:pPr>
        <w:spacing w:after="0" w:line="240" w:lineRule="auto"/>
        <w:jc w:val="both"/>
        <w:rPr>
          <w:rFonts w:ascii="Times New Roman" w:eastAsia="Times New Roman" w:hAnsi="Times New Roman" w:cs="Times New Roman"/>
        </w:rPr>
      </w:pPr>
      <w:r w:rsidRPr="00000DB2">
        <w:rPr>
          <w:rFonts w:ascii="Times New Roman" w:eastAsia="Times New Roman" w:hAnsi="Times New Roman" w:cs="Times New Roman"/>
          <w:lang w:val="en-US"/>
        </w:rPr>
        <w:t>Snape, E</w:t>
      </w:r>
      <w:r w:rsidR="00A810F9" w:rsidRPr="00000DB2">
        <w:rPr>
          <w:rFonts w:ascii="Times New Roman" w:eastAsia="Times New Roman" w:hAnsi="Times New Roman" w:cs="Times New Roman"/>
          <w:lang w:val="en-US"/>
        </w:rPr>
        <w:t>.</w:t>
      </w:r>
      <w:r w:rsidRPr="00000DB2">
        <w:rPr>
          <w:rFonts w:ascii="Times New Roman" w:eastAsia="Times New Roman" w:hAnsi="Times New Roman" w:cs="Times New Roman"/>
          <w:lang w:val="en-US"/>
        </w:rPr>
        <w:t xml:space="preserve"> </w:t>
      </w:r>
      <w:r w:rsidRPr="00000DB2">
        <w:rPr>
          <w:rFonts w:ascii="Times New Roman" w:eastAsia="Times New Roman" w:hAnsi="Times New Roman" w:cs="Times New Roman"/>
        </w:rPr>
        <w:t>and Redman, T</w:t>
      </w:r>
      <w:r w:rsidR="00000DB2" w:rsidRPr="00000DB2">
        <w:rPr>
          <w:rFonts w:ascii="Times New Roman" w:eastAsia="Times New Roman" w:hAnsi="Times New Roman" w:cs="Times New Roman"/>
        </w:rPr>
        <w:t>.</w:t>
      </w:r>
      <w:r w:rsidRPr="00000DB2">
        <w:rPr>
          <w:rFonts w:ascii="Times New Roman" w:eastAsia="Times New Roman" w:hAnsi="Times New Roman" w:cs="Times New Roman"/>
        </w:rPr>
        <w:t xml:space="preserve"> (2002)</w:t>
      </w:r>
      <w:r w:rsidR="00000DB2" w:rsidRPr="00000DB2">
        <w:rPr>
          <w:rFonts w:ascii="Times New Roman" w:eastAsia="Times New Roman" w:hAnsi="Times New Roman" w:cs="Times New Roman"/>
        </w:rPr>
        <w:t>,</w:t>
      </w:r>
      <w:r w:rsidRPr="00000DB2">
        <w:rPr>
          <w:rFonts w:ascii="Times New Roman" w:eastAsia="Times New Roman" w:hAnsi="Times New Roman" w:cs="Times New Roman"/>
        </w:rPr>
        <w:t xml:space="preserve"> “</w:t>
      </w:r>
      <w:r w:rsidRPr="00000DB2">
        <w:rPr>
          <w:rFonts w:ascii="Times New Roman" w:eastAsia="Times New Roman" w:hAnsi="Times New Roman" w:cs="Times New Roman"/>
          <w:iCs/>
        </w:rPr>
        <w:t>Ageism in teaching: stereotypical beliefs and discriminatory attitudes towards the over 50s</w:t>
      </w:r>
      <w:r w:rsidRPr="00000DB2">
        <w:rPr>
          <w:rFonts w:ascii="Times New Roman" w:eastAsia="Times New Roman" w:hAnsi="Times New Roman" w:cs="Times New Roman"/>
        </w:rPr>
        <w:t>”</w:t>
      </w:r>
      <w:r w:rsidR="00A810F9" w:rsidRPr="00000DB2">
        <w:rPr>
          <w:rFonts w:ascii="Times New Roman" w:eastAsia="Times New Roman" w:hAnsi="Times New Roman" w:cs="Times New Roman"/>
        </w:rPr>
        <w:t>,</w:t>
      </w:r>
      <w:r w:rsidRPr="00000DB2">
        <w:rPr>
          <w:rFonts w:ascii="Times New Roman" w:eastAsia="Times New Roman" w:hAnsi="Times New Roman" w:cs="Times New Roman"/>
        </w:rPr>
        <w:t xml:space="preserve"> </w:t>
      </w:r>
      <w:r w:rsidRPr="00000DB2">
        <w:rPr>
          <w:rFonts w:ascii="Times New Roman" w:eastAsia="Times New Roman" w:hAnsi="Times New Roman" w:cs="Times New Roman"/>
          <w:i/>
        </w:rPr>
        <w:t xml:space="preserve">Work Employment and Society </w:t>
      </w:r>
      <w:r w:rsidRPr="00000DB2">
        <w:rPr>
          <w:rFonts w:ascii="Times New Roman" w:eastAsia="Times New Roman" w:hAnsi="Times New Roman" w:cs="Times New Roman"/>
        </w:rPr>
        <w:t>Vol</w:t>
      </w:r>
      <w:r w:rsidR="00000DB2" w:rsidRPr="00000DB2">
        <w:rPr>
          <w:rFonts w:ascii="Times New Roman" w:eastAsia="Times New Roman" w:hAnsi="Times New Roman" w:cs="Times New Roman"/>
        </w:rPr>
        <w:t>.</w:t>
      </w:r>
      <w:r w:rsidRPr="00000DB2">
        <w:rPr>
          <w:rFonts w:ascii="Times New Roman" w:eastAsia="Times New Roman" w:hAnsi="Times New Roman" w:cs="Times New Roman"/>
        </w:rPr>
        <w:t xml:space="preserve"> 16 No</w:t>
      </w:r>
      <w:r w:rsidR="00000DB2" w:rsidRPr="00000DB2">
        <w:rPr>
          <w:rFonts w:ascii="Times New Roman" w:eastAsia="Times New Roman" w:hAnsi="Times New Roman" w:cs="Times New Roman"/>
        </w:rPr>
        <w:t>.</w:t>
      </w:r>
      <w:r w:rsidRPr="00000DB2">
        <w:rPr>
          <w:rFonts w:ascii="Times New Roman" w:eastAsia="Times New Roman" w:hAnsi="Times New Roman" w:cs="Times New Roman"/>
        </w:rPr>
        <w:t xml:space="preserve"> 2, pp</w:t>
      </w:r>
      <w:r w:rsidR="00A810F9" w:rsidRPr="00000DB2">
        <w:rPr>
          <w:rFonts w:ascii="Times New Roman" w:eastAsia="Times New Roman" w:hAnsi="Times New Roman" w:cs="Times New Roman"/>
        </w:rPr>
        <w:t>.</w:t>
      </w:r>
      <w:r w:rsidRPr="00000DB2">
        <w:rPr>
          <w:rFonts w:ascii="Times New Roman" w:eastAsia="Times New Roman" w:hAnsi="Times New Roman" w:cs="Times New Roman"/>
        </w:rPr>
        <w:t xml:space="preserve"> 35</w:t>
      </w:r>
      <w:r w:rsidR="00A810F9" w:rsidRPr="00000DB2">
        <w:rPr>
          <w:rFonts w:ascii="Times New Roman" w:eastAsia="Times New Roman" w:hAnsi="Times New Roman" w:cs="Times New Roman"/>
        </w:rPr>
        <w:t>5-371</w:t>
      </w:r>
      <w:r w:rsidRPr="00000DB2">
        <w:rPr>
          <w:rFonts w:ascii="Times New Roman" w:eastAsia="Times New Roman" w:hAnsi="Times New Roman" w:cs="Times New Roman"/>
        </w:rPr>
        <w:t xml:space="preserve">. </w:t>
      </w:r>
    </w:p>
    <w:p w14:paraId="31C65EE4" w14:textId="77777777" w:rsidR="00623FA8" w:rsidRPr="00000DB2" w:rsidRDefault="00623FA8" w:rsidP="00623FA8">
      <w:pPr>
        <w:spacing w:after="0" w:line="240" w:lineRule="auto"/>
        <w:jc w:val="both"/>
        <w:rPr>
          <w:rFonts w:ascii="Times New Roman" w:eastAsia="Times New Roman" w:hAnsi="Times New Roman" w:cs="Times New Roman"/>
          <w:lang w:val="en-US"/>
        </w:rPr>
      </w:pPr>
    </w:p>
    <w:p w14:paraId="223317CA" w14:textId="2EEF93E6" w:rsidR="00623FA8" w:rsidRPr="00000DB2" w:rsidRDefault="00623FA8" w:rsidP="00623FA8">
      <w:pPr>
        <w:pStyle w:val="FootnoteText"/>
        <w:ind w:left="0"/>
        <w:rPr>
          <w:sz w:val="22"/>
          <w:szCs w:val="22"/>
        </w:rPr>
      </w:pPr>
      <w:r w:rsidRPr="00000DB2">
        <w:rPr>
          <w:sz w:val="22"/>
          <w:szCs w:val="22"/>
        </w:rPr>
        <w:t>Taylor, P.E</w:t>
      </w:r>
      <w:r w:rsidR="00A810F9" w:rsidRPr="00000DB2">
        <w:rPr>
          <w:sz w:val="22"/>
          <w:szCs w:val="22"/>
        </w:rPr>
        <w:t>.</w:t>
      </w:r>
      <w:r w:rsidRPr="00000DB2">
        <w:rPr>
          <w:sz w:val="22"/>
          <w:szCs w:val="22"/>
        </w:rPr>
        <w:t xml:space="preserve"> and Walker, A. (1998), “</w:t>
      </w:r>
      <w:r w:rsidRPr="00000DB2">
        <w:rPr>
          <w:iCs/>
          <w:sz w:val="22"/>
          <w:szCs w:val="22"/>
        </w:rPr>
        <w:t>Employers and older workers: attitudes and employment practices”</w:t>
      </w:r>
      <w:r w:rsidRPr="00000DB2">
        <w:rPr>
          <w:sz w:val="22"/>
          <w:szCs w:val="22"/>
        </w:rPr>
        <w:t xml:space="preserve"> </w:t>
      </w:r>
      <w:r w:rsidRPr="00000DB2">
        <w:rPr>
          <w:i/>
          <w:sz w:val="22"/>
          <w:szCs w:val="22"/>
        </w:rPr>
        <w:t>Ageing and Society</w:t>
      </w:r>
      <w:r w:rsidR="00000DB2" w:rsidRPr="00000DB2">
        <w:rPr>
          <w:i/>
          <w:sz w:val="22"/>
          <w:szCs w:val="22"/>
        </w:rPr>
        <w:t>,</w:t>
      </w:r>
      <w:r w:rsidRPr="00000DB2">
        <w:rPr>
          <w:i/>
          <w:sz w:val="22"/>
          <w:szCs w:val="22"/>
        </w:rPr>
        <w:t xml:space="preserve"> </w:t>
      </w:r>
      <w:r w:rsidRPr="00000DB2">
        <w:rPr>
          <w:sz w:val="22"/>
          <w:szCs w:val="22"/>
        </w:rPr>
        <w:t>Vol. 18</w:t>
      </w:r>
      <w:r w:rsidR="00000DB2" w:rsidRPr="00000DB2">
        <w:rPr>
          <w:sz w:val="22"/>
          <w:szCs w:val="22"/>
        </w:rPr>
        <w:t>,</w:t>
      </w:r>
      <w:r w:rsidRPr="00000DB2">
        <w:rPr>
          <w:sz w:val="22"/>
          <w:szCs w:val="22"/>
        </w:rPr>
        <w:t xml:space="preserve"> pp</w:t>
      </w:r>
      <w:r w:rsidR="00A810F9" w:rsidRPr="00000DB2">
        <w:rPr>
          <w:sz w:val="22"/>
          <w:szCs w:val="22"/>
        </w:rPr>
        <w:t>.</w:t>
      </w:r>
      <w:r w:rsidRPr="00000DB2">
        <w:rPr>
          <w:sz w:val="22"/>
          <w:szCs w:val="22"/>
        </w:rPr>
        <w:t xml:space="preserve"> 641</w:t>
      </w:r>
      <w:r w:rsidR="00A810F9" w:rsidRPr="00000DB2">
        <w:rPr>
          <w:sz w:val="22"/>
          <w:szCs w:val="22"/>
        </w:rPr>
        <w:t>-658.</w:t>
      </w:r>
    </w:p>
    <w:p w14:paraId="1D245463" w14:textId="77777777" w:rsidR="00623FA8" w:rsidRPr="00000DB2" w:rsidRDefault="00623FA8" w:rsidP="00623FA8">
      <w:pPr>
        <w:spacing w:after="0" w:line="240" w:lineRule="auto"/>
        <w:jc w:val="both"/>
        <w:rPr>
          <w:rFonts w:ascii="Times New Roman" w:eastAsia="Times New Roman" w:hAnsi="Times New Roman" w:cs="Times New Roman"/>
          <w:lang w:val="en-US"/>
        </w:rPr>
      </w:pPr>
    </w:p>
    <w:p w14:paraId="15C60FB1" w14:textId="6C5CA5AB" w:rsidR="00623FA8" w:rsidRPr="00000DB2" w:rsidRDefault="00623FA8" w:rsidP="00623FA8">
      <w:pPr>
        <w:spacing w:after="0" w:line="240" w:lineRule="auto"/>
        <w:jc w:val="both"/>
        <w:rPr>
          <w:rFonts w:ascii="Times New Roman" w:eastAsia="Times New Roman" w:hAnsi="Times New Roman" w:cs="Times New Roman"/>
          <w:lang w:val="en-US"/>
        </w:rPr>
      </w:pPr>
      <w:r w:rsidRPr="00000DB2">
        <w:rPr>
          <w:rFonts w:ascii="Times New Roman" w:eastAsia="Times New Roman" w:hAnsi="Times New Roman" w:cs="Times New Roman"/>
          <w:lang w:val="en-US"/>
        </w:rPr>
        <w:t>Taylor, P.E</w:t>
      </w:r>
      <w:r w:rsidR="00A810F9" w:rsidRPr="00000DB2">
        <w:rPr>
          <w:rFonts w:ascii="Times New Roman" w:eastAsia="Times New Roman" w:hAnsi="Times New Roman" w:cs="Times New Roman"/>
          <w:lang w:val="en-US"/>
        </w:rPr>
        <w:t>.</w:t>
      </w:r>
      <w:r w:rsidRPr="00000DB2">
        <w:rPr>
          <w:rFonts w:ascii="Times New Roman" w:eastAsia="Times New Roman" w:hAnsi="Times New Roman" w:cs="Times New Roman"/>
          <w:lang w:val="en-US"/>
        </w:rPr>
        <w:t xml:space="preserve"> and Walker, A. (1994), “The Ageing Workforce: Employers' Attitudes towards Older People'  </w:t>
      </w:r>
      <w:r w:rsidRPr="00000DB2">
        <w:rPr>
          <w:rFonts w:ascii="Times New Roman" w:eastAsia="Times New Roman" w:hAnsi="Times New Roman" w:cs="Times New Roman"/>
          <w:i/>
          <w:lang w:val="en-US"/>
        </w:rPr>
        <w:t>Work Employment and Society</w:t>
      </w:r>
      <w:r w:rsidRPr="00000DB2">
        <w:rPr>
          <w:rFonts w:ascii="Times New Roman" w:eastAsia="Times New Roman" w:hAnsi="Times New Roman" w:cs="Times New Roman"/>
          <w:lang w:val="en-US"/>
        </w:rPr>
        <w:t xml:space="preserve"> Vol</w:t>
      </w:r>
      <w:r w:rsidR="00000DB2" w:rsidRPr="00000DB2">
        <w:rPr>
          <w:rFonts w:ascii="Times New Roman" w:eastAsia="Times New Roman" w:hAnsi="Times New Roman" w:cs="Times New Roman"/>
          <w:lang w:val="en-US"/>
        </w:rPr>
        <w:t>.</w:t>
      </w:r>
      <w:r w:rsidRPr="00000DB2">
        <w:rPr>
          <w:rFonts w:ascii="Times New Roman" w:eastAsia="Times New Roman" w:hAnsi="Times New Roman" w:cs="Times New Roman"/>
          <w:lang w:val="en-US"/>
        </w:rPr>
        <w:t xml:space="preserve"> 8 No 4, pp</w:t>
      </w:r>
      <w:r w:rsidR="00A810F9" w:rsidRPr="00000DB2">
        <w:rPr>
          <w:rFonts w:ascii="Times New Roman" w:eastAsia="Times New Roman" w:hAnsi="Times New Roman" w:cs="Times New Roman"/>
          <w:lang w:val="en-US"/>
        </w:rPr>
        <w:t>.</w:t>
      </w:r>
      <w:r w:rsidRPr="00000DB2">
        <w:rPr>
          <w:rFonts w:ascii="Times New Roman" w:eastAsia="Times New Roman" w:hAnsi="Times New Roman" w:cs="Times New Roman"/>
          <w:lang w:val="en-US"/>
        </w:rPr>
        <w:t xml:space="preserve"> 569</w:t>
      </w:r>
      <w:r w:rsidR="00A810F9" w:rsidRPr="00000DB2">
        <w:rPr>
          <w:rFonts w:ascii="Times New Roman" w:eastAsia="Times New Roman" w:hAnsi="Times New Roman" w:cs="Times New Roman"/>
          <w:lang w:val="en-US"/>
        </w:rPr>
        <w:t>-591.</w:t>
      </w:r>
      <w:r w:rsidRPr="00000DB2">
        <w:rPr>
          <w:rFonts w:ascii="Times New Roman" w:eastAsia="Times New Roman" w:hAnsi="Times New Roman" w:cs="Times New Roman"/>
          <w:lang w:val="en-US"/>
        </w:rPr>
        <w:t xml:space="preserve"> </w:t>
      </w:r>
    </w:p>
    <w:p w14:paraId="6A54B5D7" w14:textId="77777777" w:rsidR="00623FA8" w:rsidRPr="00000DB2" w:rsidRDefault="00623FA8" w:rsidP="00623FA8">
      <w:pPr>
        <w:spacing w:after="0" w:line="240" w:lineRule="auto"/>
        <w:jc w:val="both"/>
        <w:rPr>
          <w:rFonts w:ascii="Times New Roman" w:eastAsia="Times New Roman" w:hAnsi="Times New Roman" w:cs="Times New Roman"/>
          <w:lang w:val="en-US"/>
        </w:rPr>
      </w:pPr>
    </w:p>
    <w:p w14:paraId="4ED0F051" w14:textId="7B3717AF" w:rsidR="00623FA8" w:rsidRPr="00000DB2" w:rsidRDefault="00623FA8" w:rsidP="00623FA8">
      <w:pPr>
        <w:spacing w:after="0" w:line="240" w:lineRule="auto"/>
        <w:jc w:val="both"/>
        <w:rPr>
          <w:rFonts w:ascii="Times New Roman" w:eastAsia="Times New Roman" w:hAnsi="Times New Roman" w:cs="Times New Roman"/>
          <w:lang w:val="en-US"/>
        </w:rPr>
      </w:pPr>
      <w:r w:rsidRPr="00000DB2">
        <w:rPr>
          <w:rFonts w:ascii="Times New Roman" w:eastAsia="Times New Roman" w:hAnsi="Times New Roman" w:cs="Times New Roman"/>
          <w:lang w:val="en-US"/>
        </w:rPr>
        <w:t xml:space="preserve">Vickers, L and Manfredi, S. (2013), “Age Equality and Retirement: Squaring the Circle”, </w:t>
      </w:r>
      <w:r w:rsidR="00D27E01" w:rsidRPr="00000DB2">
        <w:rPr>
          <w:rFonts w:ascii="Times New Roman" w:eastAsia="Times New Roman" w:hAnsi="Times New Roman" w:cs="Times New Roman"/>
          <w:i/>
          <w:lang w:val="en-US"/>
        </w:rPr>
        <w:t xml:space="preserve">Industrial Law Journal, </w:t>
      </w:r>
      <w:r w:rsidRPr="00000DB2">
        <w:rPr>
          <w:rFonts w:ascii="Times New Roman" w:eastAsia="Times New Roman" w:hAnsi="Times New Roman" w:cs="Times New Roman"/>
          <w:lang w:val="en-US"/>
        </w:rPr>
        <w:t>Vol. 42 No.1, pp 61</w:t>
      </w:r>
      <w:r w:rsidR="00D27E01" w:rsidRPr="00000DB2">
        <w:rPr>
          <w:rFonts w:ascii="Times New Roman" w:eastAsia="Times New Roman" w:hAnsi="Times New Roman" w:cs="Times New Roman"/>
          <w:lang w:val="en-US"/>
        </w:rPr>
        <w:t>-74.</w:t>
      </w:r>
    </w:p>
    <w:p w14:paraId="40A02CE4" w14:textId="77777777" w:rsidR="00623FA8" w:rsidRPr="00623FA8" w:rsidRDefault="00623FA8" w:rsidP="00623FA8"/>
    <w:p w14:paraId="5BE6FC05" w14:textId="77777777" w:rsidR="006C08B1" w:rsidRDefault="006C08B1"/>
    <w:sectPr w:rsidR="006C08B1" w:rsidSect="003862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3F0A3" w14:textId="77777777" w:rsidR="00F20095" w:rsidRDefault="00F20095" w:rsidP="00DC5548">
      <w:pPr>
        <w:spacing w:after="0" w:line="240" w:lineRule="auto"/>
      </w:pPr>
      <w:r>
        <w:separator/>
      </w:r>
    </w:p>
  </w:endnote>
  <w:endnote w:type="continuationSeparator" w:id="0">
    <w:p w14:paraId="79C30D00" w14:textId="77777777" w:rsidR="00F20095" w:rsidRDefault="00F20095" w:rsidP="00DC5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652C3" w14:textId="77777777" w:rsidR="00F20095" w:rsidRDefault="00F20095" w:rsidP="00DC5548">
      <w:pPr>
        <w:spacing w:after="0" w:line="240" w:lineRule="auto"/>
      </w:pPr>
      <w:r>
        <w:separator/>
      </w:r>
    </w:p>
  </w:footnote>
  <w:footnote w:type="continuationSeparator" w:id="0">
    <w:p w14:paraId="5B4CAA6E" w14:textId="77777777" w:rsidR="00F20095" w:rsidRDefault="00F20095" w:rsidP="00DC5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9E4"/>
    <w:multiLevelType w:val="hybridMultilevel"/>
    <w:tmpl w:val="898AD6F6"/>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1" w15:restartNumberingAfterBreak="0">
    <w:nsid w:val="06A944B0"/>
    <w:multiLevelType w:val="hybridMultilevel"/>
    <w:tmpl w:val="724C2B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618F"/>
    <w:multiLevelType w:val="hybridMultilevel"/>
    <w:tmpl w:val="FCB2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72FC0"/>
    <w:multiLevelType w:val="hybridMultilevel"/>
    <w:tmpl w:val="A7BAF3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E44C26"/>
    <w:multiLevelType w:val="hybridMultilevel"/>
    <w:tmpl w:val="02724F36"/>
    <w:lvl w:ilvl="0" w:tplc="5ACCB16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26C24"/>
    <w:multiLevelType w:val="hybridMultilevel"/>
    <w:tmpl w:val="F5D2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D1A6E"/>
    <w:multiLevelType w:val="hybridMultilevel"/>
    <w:tmpl w:val="3002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62DF3"/>
    <w:multiLevelType w:val="hybridMultilevel"/>
    <w:tmpl w:val="75944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AD75B2"/>
    <w:multiLevelType w:val="hybridMultilevel"/>
    <w:tmpl w:val="3E6E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593866"/>
    <w:multiLevelType w:val="hybridMultilevel"/>
    <w:tmpl w:val="C8BC46B6"/>
    <w:lvl w:ilvl="0" w:tplc="08090001">
      <w:start w:val="1"/>
      <w:numFmt w:val="bullet"/>
      <w:lvlText w:val=""/>
      <w:lvlJc w:val="left"/>
      <w:pPr>
        <w:tabs>
          <w:tab w:val="num" w:pos="1080"/>
        </w:tabs>
        <w:ind w:left="1080" w:hanging="72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58A87969"/>
    <w:multiLevelType w:val="hybridMultilevel"/>
    <w:tmpl w:val="07208FC2"/>
    <w:lvl w:ilvl="0" w:tplc="5ACCB16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9475D"/>
    <w:multiLevelType w:val="hybridMultilevel"/>
    <w:tmpl w:val="73341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05F18"/>
    <w:multiLevelType w:val="hybridMultilevel"/>
    <w:tmpl w:val="EDA8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81C0F"/>
    <w:multiLevelType w:val="hybridMultilevel"/>
    <w:tmpl w:val="5F32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626912"/>
    <w:multiLevelType w:val="hybridMultilevel"/>
    <w:tmpl w:val="2E9A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A65E6A"/>
    <w:multiLevelType w:val="hybridMultilevel"/>
    <w:tmpl w:val="16E0DD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3A1FAD"/>
    <w:multiLevelType w:val="hybridMultilevel"/>
    <w:tmpl w:val="DDE2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AB7FF8"/>
    <w:multiLevelType w:val="hybridMultilevel"/>
    <w:tmpl w:val="F8C08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B23855"/>
    <w:multiLevelType w:val="hybridMultilevel"/>
    <w:tmpl w:val="86BA06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8"/>
  </w:num>
  <w:num w:numId="4">
    <w:abstractNumId w:val="2"/>
  </w:num>
  <w:num w:numId="5">
    <w:abstractNumId w:val="4"/>
  </w:num>
  <w:num w:numId="6">
    <w:abstractNumId w:val="10"/>
  </w:num>
  <w:num w:numId="7">
    <w:abstractNumId w:val="5"/>
  </w:num>
  <w:num w:numId="8">
    <w:abstractNumId w:val="11"/>
  </w:num>
  <w:num w:numId="9">
    <w:abstractNumId w:val="14"/>
  </w:num>
  <w:num w:numId="10">
    <w:abstractNumId w:val="12"/>
  </w:num>
  <w:num w:numId="11">
    <w:abstractNumId w:val="16"/>
  </w:num>
  <w:num w:numId="12">
    <w:abstractNumId w:val="9"/>
  </w:num>
  <w:num w:numId="13">
    <w:abstractNumId w:val="18"/>
  </w:num>
  <w:num w:numId="14">
    <w:abstractNumId w:val="13"/>
  </w:num>
  <w:num w:numId="15">
    <w:abstractNumId w:val="6"/>
  </w:num>
  <w:num w:numId="16">
    <w:abstractNumId w:val="0"/>
  </w:num>
  <w:num w:numId="17">
    <w:abstractNumId w:val="15"/>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48"/>
    <w:rsid w:val="00000DB2"/>
    <w:rsid w:val="0002098B"/>
    <w:rsid w:val="00051CD9"/>
    <w:rsid w:val="0006357F"/>
    <w:rsid w:val="00081D89"/>
    <w:rsid w:val="000A32A1"/>
    <w:rsid w:val="000E495A"/>
    <w:rsid w:val="00110058"/>
    <w:rsid w:val="00136556"/>
    <w:rsid w:val="00141CC5"/>
    <w:rsid w:val="00141D09"/>
    <w:rsid w:val="00191CEA"/>
    <w:rsid w:val="001A5B0E"/>
    <w:rsid w:val="001C08E0"/>
    <w:rsid w:val="001C1B11"/>
    <w:rsid w:val="001C2107"/>
    <w:rsid w:val="001C256A"/>
    <w:rsid w:val="001C5EA9"/>
    <w:rsid w:val="001D3831"/>
    <w:rsid w:val="001E2BBE"/>
    <w:rsid w:val="001E2CF3"/>
    <w:rsid w:val="001F3AB3"/>
    <w:rsid w:val="001F64D4"/>
    <w:rsid w:val="002021EE"/>
    <w:rsid w:val="00203077"/>
    <w:rsid w:val="00223320"/>
    <w:rsid w:val="002274D6"/>
    <w:rsid w:val="00227DAE"/>
    <w:rsid w:val="00236D0E"/>
    <w:rsid w:val="002723A7"/>
    <w:rsid w:val="002C20C7"/>
    <w:rsid w:val="002D3406"/>
    <w:rsid w:val="002D6F05"/>
    <w:rsid w:val="002E27E4"/>
    <w:rsid w:val="002F1F48"/>
    <w:rsid w:val="002F5C8E"/>
    <w:rsid w:val="003023A1"/>
    <w:rsid w:val="00302E22"/>
    <w:rsid w:val="00304386"/>
    <w:rsid w:val="0031177E"/>
    <w:rsid w:val="00352AD1"/>
    <w:rsid w:val="00370EDD"/>
    <w:rsid w:val="00374B26"/>
    <w:rsid w:val="0038628A"/>
    <w:rsid w:val="00387497"/>
    <w:rsid w:val="0039131C"/>
    <w:rsid w:val="003A19CE"/>
    <w:rsid w:val="003B3A9E"/>
    <w:rsid w:val="003F7839"/>
    <w:rsid w:val="00402BC8"/>
    <w:rsid w:val="0041351F"/>
    <w:rsid w:val="00456514"/>
    <w:rsid w:val="004708EA"/>
    <w:rsid w:val="00472B2E"/>
    <w:rsid w:val="004A295E"/>
    <w:rsid w:val="004A2F4D"/>
    <w:rsid w:val="004B1652"/>
    <w:rsid w:val="004E1A55"/>
    <w:rsid w:val="004F1DDE"/>
    <w:rsid w:val="00546BD0"/>
    <w:rsid w:val="00553B53"/>
    <w:rsid w:val="0058567A"/>
    <w:rsid w:val="00593797"/>
    <w:rsid w:val="005B2F8A"/>
    <w:rsid w:val="005D4960"/>
    <w:rsid w:val="005E093D"/>
    <w:rsid w:val="005F1F16"/>
    <w:rsid w:val="00606D7D"/>
    <w:rsid w:val="00620BB6"/>
    <w:rsid w:val="00623FA8"/>
    <w:rsid w:val="00624902"/>
    <w:rsid w:val="00627D2A"/>
    <w:rsid w:val="00635C50"/>
    <w:rsid w:val="00637698"/>
    <w:rsid w:val="006636F0"/>
    <w:rsid w:val="00693216"/>
    <w:rsid w:val="006B2679"/>
    <w:rsid w:val="006C08B1"/>
    <w:rsid w:val="006E277F"/>
    <w:rsid w:val="00700AB7"/>
    <w:rsid w:val="0070190F"/>
    <w:rsid w:val="00701BA9"/>
    <w:rsid w:val="00713C8D"/>
    <w:rsid w:val="00727763"/>
    <w:rsid w:val="0073619E"/>
    <w:rsid w:val="00744E9A"/>
    <w:rsid w:val="007674C9"/>
    <w:rsid w:val="00771783"/>
    <w:rsid w:val="00773AB5"/>
    <w:rsid w:val="00794A4C"/>
    <w:rsid w:val="00795234"/>
    <w:rsid w:val="007A6B0E"/>
    <w:rsid w:val="007C28A1"/>
    <w:rsid w:val="007D3991"/>
    <w:rsid w:val="007D6A3B"/>
    <w:rsid w:val="007E01EA"/>
    <w:rsid w:val="007E70DB"/>
    <w:rsid w:val="008013C4"/>
    <w:rsid w:val="00835FA3"/>
    <w:rsid w:val="00843F17"/>
    <w:rsid w:val="00845152"/>
    <w:rsid w:val="0085372C"/>
    <w:rsid w:val="0085583C"/>
    <w:rsid w:val="00862FA6"/>
    <w:rsid w:val="0087062F"/>
    <w:rsid w:val="008775D7"/>
    <w:rsid w:val="008843EE"/>
    <w:rsid w:val="00890ADF"/>
    <w:rsid w:val="008A2FD0"/>
    <w:rsid w:val="008D4BD5"/>
    <w:rsid w:val="008E5F8E"/>
    <w:rsid w:val="0094061C"/>
    <w:rsid w:val="00965727"/>
    <w:rsid w:val="0096641D"/>
    <w:rsid w:val="0096642B"/>
    <w:rsid w:val="00984D9E"/>
    <w:rsid w:val="00987D16"/>
    <w:rsid w:val="009B104B"/>
    <w:rsid w:val="00A05DE4"/>
    <w:rsid w:val="00A22BEC"/>
    <w:rsid w:val="00A4648F"/>
    <w:rsid w:val="00A80619"/>
    <w:rsid w:val="00A810F9"/>
    <w:rsid w:val="00A93E1D"/>
    <w:rsid w:val="00AB14E2"/>
    <w:rsid w:val="00AD76A4"/>
    <w:rsid w:val="00AE0CFF"/>
    <w:rsid w:val="00AF41E9"/>
    <w:rsid w:val="00B01EC9"/>
    <w:rsid w:val="00B11556"/>
    <w:rsid w:val="00B20F8F"/>
    <w:rsid w:val="00B440AA"/>
    <w:rsid w:val="00B85FC6"/>
    <w:rsid w:val="00B91541"/>
    <w:rsid w:val="00BA0408"/>
    <w:rsid w:val="00BB2449"/>
    <w:rsid w:val="00BC4822"/>
    <w:rsid w:val="00BE1BC5"/>
    <w:rsid w:val="00C07267"/>
    <w:rsid w:val="00C246D1"/>
    <w:rsid w:val="00C57974"/>
    <w:rsid w:val="00C65711"/>
    <w:rsid w:val="00C850BE"/>
    <w:rsid w:val="00C96D73"/>
    <w:rsid w:val="00CA78DA"/>
    <w:rsid w:val="00CB0442"/>
    <w:rsid w:val="00CC0BCD"/>
    <w:rsid w:val="00CC1D0B"/>
    <w:rsid w:val="00CD6421"/>
    <w:rsid w:val="00D064CD"/>
    <w:rsid w:val="00D1077B"/>
    <w:rsid w:val="00D1488F"/>
    <w:rsid w:val="00D22D4D"/>
    <w:rsid w:val="00D27E01"/>
    <w:rsid w:val="00D5040D"/>
    <w:rsid w:val="00D530C4"/>
    <w:rsid w:val="00D64ACC"/>
    <w:rsid w:val="00D97918"/>
    <w:rsid w:val="00DB6292"/>
    <w:rsid w:val="00DC5548"/>
    <w:rsid w:val="00DE60BD"/>
    <w:rsid w:val="00DF1629"/>
    <w:rsid w:val="00E00A46"/>
    <w:rsid w:val="00E6560D"/>
    <w:rsid w:val="00E66B7A"/>
    <w:rsid w:val="00E91822"/>
    <w:rsid w:val="00E93109"/>
    <w:rsid w:val="00EB105E"/>
    <w:rsid w:val="00EC5663"/>
    <w:rsid w:val="00F04B6E"/>
    <w:rsid w:val="00F11E04"/>
    <w:rsid w:val="00F20095"/>
    <w:rsid w:val="00F32BC3"/>
    <w:rsid w:val="00F971AF"/>
    <w:rsid w:val="00FA6BAD"/>
    <w:rsid w:val="00FD1C7B"/>
    <w:rsid w:val="00FD31BA"/>
    <w:rsid w:val="00FE1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3478"/>
  <w15:docId w15:val="{B6392C03-EB55-4537-B6E4-C528A971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548"/>
    <w:pPr>
      <w:ind w:left="720"/>
      <w:contextualSpacing/>
    </w:pPr>
  </w:style>
  <w:style w:type="paragraph" w:styleId="FootnoteText">
    <w:name w:val="footnote text"/>
    <w:basedOn w:val="Normal"/>
    <w:link w:val="FootnoteTextChar1"/>
    <w:rsid w:val="00DC5548"/>
    <w:pPr>
      <w:spacing w:after="0" w:line="240" w:lineRule="auto"/>
      <w:ind w:left="454"/>
      <w:jc w:val="both"/>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uiPriority w:val="99"/>
    <w:semiHidden/>
    <w:rsid w:val="00DC5548"/>
    <w:rPr>
      <w:sz w:val="20"/>
      <w:szCs w:val="20"/>
    </w:rPr>
  </w:style>
  <w:style w:type="character" w:customStyle="1" w:styleId="FootnoteTextChar1">
    <w:name w:val="Footnote Text Char1"/>
    <w:link w:val="FootnoteText"/>
    <w:rsid w:val="00DC5548"/>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DC5548"/>
    <w:rPr>
      <w:vertAlign w:val="superscript"/>
    </w:rPr>
  </w:style>
  <w:style w:type="paragraph" w:styleId="NormalWeb">
    <w:name w:val="Normal (Web)"/>
    <w:basedOn w:val="Normal"/>
    <w:uiPriority w:val="99"/>
    <w:semiHidden/>
    <w:unhideWhenUsed/>
    <w:rsid w:val="00DC5548"/>
    <w:rPr>
      <w:rFonts w:ascii="Times New Roman" w:hAnsi="Times New Roman" w:cs="Times New Roman"/>
      <w:sz w:val="24"/>
      <w:szCs w:val="24"/>
    </w:rPr>
  </w:style>
  <w:style w:type="character" w:styleId="Hyperlink">
    <w:name w:val="Hyperlink"/>
    <w:uiPriority w:val="99"/>
    <w:rsid w:val="00DC5548"/>
    <w:rPr>
      <w:rFonts w:cs="Times New Roman"/>
      <w:color w:val="0000FF"/>
      <w:u w:val="single"/>
    </w:rPr>
  </w:style>
  <w:style w:type="paragraph" w:styleId="BalloonText">
    <w:name w:val="Balloon Text"/>
    <w:basedOn w:val="Normal"/>
    <w:link w:val="BalloonTextChar"/>
    <w:unhideWhenUsed/>
    <w:rsid w:val="00DC5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C5548"/>
    <w:rPr>
      <w:rFonts w:ascii="Segoe UI" w:hAnsi="Segoe UI" w:cs="Segoe UI"/>
      <w:sz w:val="18"/>
      <w:szCs w:val="18"/>
    </w:rPr>
  </w:style>
  <w:style w:type="character" w:styleId="Emphasis">
    <w:name w:val="Emphasis"/>
    <w:basedOn w:val="DefaultParagraphFont"/>
    <w:uiPriority w:val="20"/>
    <w:qFormat/>
    <w:rsid w:val="00DC5548"/>
    <w:rPr>
      <w:b/>
      <w:bCs/>
      <w:i w:val="0"/>
      <w:iCs w:val="0"/>
    </w:rPr>
  </w:style>
  <w:style w:type="character" w:customStyle="1" w:styleId="st1">
    <w:name w:val="st1"/>
    <w:basedOn w:val="DefaultParagraphFont"/>
    <w:rsid w:val="00DC5548"/>
  </w:style>
  <w:style w:type="character" w:styleId="CommentReference">
    <w:name w:val="annotation reference"/>
    <w:basedOn w:val="DefaultParagraphFont"/>
    <w:uiPriority w:val="99"/>
    <w:semiHidden/>
    <w:unhideWhenUsed/>
    <w:rsid w:val="00AB14E2"/>
    <w:rPr>
      <w:sz w:val="16"/>
      <w:szCs w:val="16"/>
    </w:rPr>
  </w:style>
  <w:style w:type="paragraph" w:styleId="CommentText">
    <w:name w:val="annotation text"/>
    <w:basedOn w:val="Normal"/>
    <w:link w:val="CommentTextChar"/>
    <w:uiPriority w:val="99"/>
    <w:semiHidden/>
    <w:unhideWhenUsed/>
    <w:rsid w:val="00AB14E2"/>
    <w:pPr>
      <w:spacing w:line="240" w:lineRule="auto"/>
    </w:pPr>
    <w:rPr>
      <w:sz w:val="20"/>
      <w:szCs w:val="20"/>
    </w:rPr>
  </w:style>
  <w:style w:type="character" w:customStyle="1" w:styleId="CommentTextChar">
    <w:name w:val="Comment Text Char"/>
    <w:basedOn w:val="DefaultParagraphFont"/>
    <w:link w:val="CommentText"/>
    <w:uiPriority w:val="99"/>
    <w:semiHidden/>
    <w:rsid w:val="00AB14E2"/>
    <w:rPr>
      <w:sz w:val="20"/>
      <w:szCs w:val="20"/>
    </w:rPr>
  </w:style>
  <w:style w:type="paragraph" w:styleId="CommentSubject">
    <w:name w:val="annotation subject"/>
    <w:basedOn w:val="CommentText"/>
    <w:next w:val="CommentText"/>
    <w:link w:val="CommentSubjectChar"/>
    <w:uiPriority w:val="99"/>
    <w:semiHidden/>
    <w:unhideWhenUsed/>
    <w:rsid w:val="00AB14E2"/>
    <w:rPr>
      <w:b/>
      <w:bCs/>
    </w:rPr>
  </w:style>
  <w:style w:type="character" w:customStyle="1" w:styleId="CommentSubjectChar">
    <w:name w:val="Comment Subject Char"/>
    <w:basedOn w:val="CommentTextChar"/>
    <w:link w:val="CommentSubject"/>
    <w:uiPriority w:val="99"/>
    <w:semiHidden/>
    <w:rsid w:val="00AB14E2"/>
    <w:rPr>
      <w:b/>
      <w:bCs/>
      <w:sz w:val="20"/>
      <w:szCs w:val="20"/>
    </w:rPr>
  </w:style>
  <w:style w:type="paragraph" w:styleId="EndnoteText">
    <w:name w:val="endnote text"/>
    <w:basedOn w:val="Normal"/>
    <w:link w:val="EndnoteTextChar"/>
    <w:uiPriority w:val="99"/>
    <w:semiHidden/>
    <w:unhideWhenUsed/>
    <w:rsid w:val="00635C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5C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mployment-tribunal-decisions" TargetMode="External"/><Relationship Id="rId13" Type="http://schemas.openxmlformats.org/officeDocument/2006/relationships/hyperlink" Target="http://www.equalityhumanrights.com/sites/default/files/documents/agepositive/sep_surveyemployerpracticesag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agers.org.uk/insights/news/2017/april/discrimination-in-the-workplace-exploring-the-disconnect-between-hr-and-the-workfor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79303/11-536-phasing-out-default-retirement-age-government-respons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se.gov.uk/research/hsl_pdf/2005/hsl0520.pdf" TargetMode="External"/><Relationship Id="rId4" Type="http://schemas.openxmlformats.org/officeDocument/2006/relationships/settings" Target="settings.xml"/><Relationship Id="rId9" Type="http://schemas.openxmlformats.org/officeDocument/2006/relationships/hyperlink" Target="http://www.rubensteinpublish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22722-3107-440E-862A-A72CF74F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8636</Words>
  <Characters>49230</Characters>
  <Application>Microsoft Office Word</Application>
  <DocSecurity>4</DocSecurity>
  <Lines>410</Lines>
  <Paragraphs>115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Northumbria University at Newcastle</Company>
  <LinksUpToDate>false</LinksUpToDate>
  <CharactersWithSpaces>57751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Lyndsey Martin</dc:creator>
  <cp:lastModifiedBy>Paul Burns</cp:lastModifiedBy>
  <cp:revision>2</cp:revision>
  <cp:lastPrinted>2018-08-06T08:57:00Z</cp:lastPrinted>
  <dcterms:created xsi:type="dcterms:W3CDTF">2018-12-19T15:50:00Z</dcterms:created>
  <dcterms:modified xsi:type="dcterms:W3CDTF">2018-12-19T15:50:00Z</dcterms:modified>
</cp:coreProperties>
</file>