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9088A" w14:textId="09C457E0" w:rsidR="00E826B7" w:rsidRPr="007E262A" w:rsidRDefault="002F7D56" w:rsidP="00F30908">
      <w:pPr>
        <w:autoSpaceDE/>
        <w:autoSpaceDN/>
        <w:spacing w:line="360" w:lineRule="auto"/>
        <w:ind w:right="-478"/>
        <w:jc w:val="center"/>
        <w:rPr>
          <w:rFonts w:ascii="Verdana" w:hAnsi="Verdana"/>
          <w:b/>
          <w:bCs/>
          <w:color w:val="000000"/>
          <w:sz w:val="24"/>
          <w:lang w:eastAsia="en-GB"/>
        </w:rPr>
      </w:pPr>
      <w:bookmarkStart w:id="0" w:name="_GoBack"/>
      <w:bookmarkEnd w:id="0"/>
      <w:r>
        <w:rPr>
          <w:rFonts w:ascii="Verdana" w:hAnsi="Verdana"/>
          <w:b/>
          <w:bCs/>
          <w:color w:val="000000"/>
          <w:sz w:val="24"/>
          <w:lang w:eastAsia="en-GB"/>
        </w:rPr>
        <w:t xml:space="preserve">Two worlds apart: </w:t>
      </w:r>
      <w:r w:rsidR="00707414">
        <w:rPr>
          <w:rFonts w:ascii="Verdana" w:hAnsi="Verdana"/>
          <w:b/>
          <w:bCs/>
          <w:color w:val="000000"/>
          <w:sz w:val="24"/>
          <w:lang w:eastAsia="en-GB"/>
        </w:rPr>
        <w:t>a comparative analysis of</w:t>
      </w:r>
      <w:r w:rsidR="00A14187">
        <w:rPr>
          <w:rFonts w:ascii="Verdana" w:hAnsi="Verdana"/>
          <w:b/>
          <w:bCs/>
          <w:color w:val="000000"/>
          <w:sz w:val="24"/>
          <w:lang w:eastAsia="en-GB"/>
        </w:rPr>
        <w:t xml:space="preserve"> </w:t>
      </w:r>
      <w:r w:rsidR="00B847EB">
        <w:rPr>
          <w:rFonts w:ascii="Verdana" w:hAnsi="Verdana"/>
          <w:b/>
          <w:bCs/>
          <w:color w:val="000000"/>
          <w:sz w:val="24"/>
          <w:lang w:eastAsia="en-GB"/>
        </w:rPr>
        <w:t>the effectiveness of domestic abuse law and policy in England and Wales and the Russian Federation</w:t>
      </w:r>
    </w:p>
    <w:p w14:paraId="41C96D80" w14:textId="77777777" w:rsidR="00F30908" w:rsidRPr="0060450D" w:rsidRDefault="00F30908" w:rsidP="00971B7A">
      <w:pPr>
        <w:autoSpaceDE/>
        <w:autoSpaceDN/>
        <w:spacing w:line="360" w:lineRule="auto"/>
        <w:ind w:right="-478"/>
        <w:jc w:val="both"/>
        <w:rPr>
          <w:b/>
          <w:bCs/>
          <w:lang w:eastAsia="en-GB"/>
        </w:rPr>
      </w:pPr>
    </w:p>
    <w:p w14:paraId="677A9965" w14:textId="77777777" w:rsidR="006334E2" w:rsidRDefault="006334E2" w:rsidP="00F30908">
      <w:pPr>
        <w:autoSpaceDE/>
        <w:autoSpaceDN/>
        <w:spacing w:line="360" w:lineRule="auto"/>
        <w:ind w:right="-478"/>
        <w:jc w:val="center"/>
        <w:rPr>
          <w:rFonts w:ascii="Verdana" w:hAnsi="Verdana"/>
          <w:bCs/>
          <w:lang w:val="en-GB" w:eastAsia="en-GB"/>
        </w:rPr>
      </w:pPr>
      <w:r w:rsidRPr="00D55B2B">
        <w:rPr>
          <w:rFonts w:ascii="Verdana" w:hAnsi="Verdana"/>
          <w:bCs/>
          <w:lang w:val="en-GB" w:eastAsia="en-GB"/>
        </w:rPr>
        <w:t>Kayliegh Richardson</w:t>
      </w:r>
      <w:r w:rsidRPr="00D55B2B">
        <w:rPr>
          <w:rStyle w:val="FootnoteReference"/>
          <w:rFonts w:ascii="Verdana" w:hAnsi="Verdana"/>
          <w:bCs/>
          <w:lang w:val="en-GB" w:eastAsia="en-GB"/>
        </w:rPr>
        <w:footnoteReference w:id="1"/>
      </w:r>
      <w:r w:rsidRPr="00D55B2B">
        <w:rPr>
          <w:rFonts w:ascii="Verdana" w:hAnsi="Verdana"/>
          <w:bCs/>
          <w:lang w:val="en-GB" w:eastAsia="en-GB"/>
        </w:rPr>
        <w:t xml:space="preserve"> and Ana Speed</w:t>
      </w:r>
      <w:r w:rsidRPr="00D55B2B">
        <w:rPr>
          <w:rStyle w:val="FootnoteReference"/>
          <w:rFonts w:ascii="Verdana" w:hAnsi="Verdana"/>
          <w:bCs/>
          <w:lang w:val="en-GB" w:eastAsia="en-GB"/>
        </w:rPr>
        <w:footnoteReference w:id="2"/>
      </w:r>
    </w:p>
    <w:p w14:paraId="655BA5FC" w14:textId="77777777" w:rsidR="006D5994" w:rsidRDefault="006D5994" w:rsidP="00F30908">
      <w:pPr>
        <w:autoSpaceDE/>
        <w:autoSpaceDN/>
        <w:spacing w:line="360" w:lineRule="auto"/>
        <w:ind w:right="-478"/>
        <w:jc w:val="center"/>
        <w:rPr>
          <w:rFonts w:ascii="Verdana" w:hAnsi="Verdana"/>
          <w:bCs/>
          <w:lang w:val="en-GB" w:eastAsia="en-GB"/>
        </w:rPr>
      </w:pPr>
    </w:p>
    <w:p w14:paraId="07FB9CC7" w14:textId="77777777" w:rsidR="00E56A6A" w:rsidRDefault="00E56A6A" w:rsidP="00F30908">
      <w:pPr>
        <w:autoSpaceDE/>
        <w:autoSpaceDN/>
        <w:spacing w:line="360" w:lineRule="auto"/>
        <w:ind w:right="-478"/>
        <w:jc w:val="center"/>
        <w:rPr>
          <w:rFonts w:ascii="Verdana" w:hAnsi="Verdana"/>
          <w:bCs/>
          <w:lang w:val="en-GB" w:eastAsia="en-GB"/>
        </w:rPr>
      </w:pPr>
    </w:p>
    <w:p w14:paraId="5ABA24CE" w14:textId="77777777" w:rsidR="00E56A6A" w:rsidRPr="0060450D" w:rsidRDefault="00E56A6A" w:rsidP="00E56A6A">
      <w:pPr>
        <w:rPr>
          <w:lang w:val="en-GB"/>
        </w:rPr>
      </w:pPr>
    </w:p>
    <w:p w14:paraId="3222DA9D" w14:textId="77777777" w:rsidR="006334E2" w:rsidRPr="00D55B2B" w:rsidRDefault="006334E2" w:rsidP="00971B7A">
      <w:pPr>
        <w:autoSpaceDE/>
        <w:autoSpaceDN/>
        <w:spacing w:line="360" w:lineRule="auto"/>
        <w:ind w:right="-478"/>
        <w:jc w:val="both"/>
        <w:rPr>
          <w:lang w:val="en-GB" w:eastAsia="en-GB"/>
        </w:rPr>
      </w:pPr>
    </w:p>
    <w:p w14:paraId="7E298276" w14:textId="77777777" w:rsidR="00F30908" w:rsidRPr="00D55B2B" w:rsidRDefault="00F30908" w:rsidP="007E262A">
      <w:pPr>
        <w:pStyle w:val="Abstract"/>
        <w:spacing w:line="360" w:lineRule="auto"/>
        <w:ind w:right="-478" w:firstLine="0"/>
        <w:rPr>
          <w:rFonts w:ascii="Verdana" w:hAnsi="Verdana"/>
          <w:iCs/>
          <w:sz w:val="20"/>
          <w:szCs w:val="20"/>
        </w:rPr>
      </w:pPr>
      <w:r w:rsidRPr="00D55B2B">
        <w:rPr>
          <w:rFonts w:ascii="Verdana" w:hAnsi="Verdana"/>
          <w:iCs/>
          <w:sz w:val="20"/>
          <w:szCs w:val="20"/>
        </w:rPr>
        <w:t xml:space="preserve">Subject: </w:t>
      </w:r>
    </w:p>
    <w:p w14:paraId="197EE95F" w14:textId="77777777" w:rsidR="00F30908" w:rsidRPr="00D55B2B" w:rsidRDefault="00F30908" w:rsidP="007E262A">
      <w:pPr>
        <w:spacing w:line="360" w:lineRule="auto"/>
        <w:jc w:val="both"/>
        <w:rPr>
          <w:rFonts w:ascii="Verdana" w:hAnsi="Verdana"/>
        </w:rPr>
      </w:pPr>
    </w:p>
    <w:p w14:paraId="34CBA8C5" w14:textId="77777777" w:rsidR="00F30908" w:rsidRPr="00D55B2B" w:rsidRDefault="00F30908" w:rsidP="007E262A">
      <w:pPr>
        <w:spacing w:line="360" w:lineRule="auto"/>
        <w:jc w:val="both"/>
        <w:rPr>
          <w:rFonts w:ascii="Verdana" w:hAnsi="Verdana"/>
        </w:rPr>
      </w:pPr>
      <w:r w:rsidRPr="00D55B2B">
        <w:rPr>
          <w:rFonts w:ascii="Verdana" w:hAnsi="Verdana"/>
          <w:b/>
        </w:rPr>
        <w:t>Keywords:</w:t>
      </w:r>
      <w:r w:rsidRPr="00D55B2B">
        <w:rPr>
          <w:rFonts w:ascii="Verdana" w:hAnsi="Verdana"/>
        </w:rPr>
        <w:t xml:space="preserve"> Domestic Abuse; Comparative Law; Control and Coercion; Criminalisation</w:t>
      </w:r>
    </w:p>
    <w:p w14:paraId="04165D72" w14:textId="77777777" w:rsidR="00F30908" w:rsidRPr="00D55B2B" w:rsidRDefault="00F30908" w:rsidP="007E262A">
      <w:pPr>
        <w:spacing w:line="360" w:lineRule="auto"/>
        <w:jc w:val="both"/>
        <w:rPr>
          <w:rFonts w:ascii="Verdana" w:hAnsi="Verdana"/>
        </w:rPr>
      </w:pPr>
    </w:p>
    <w:p w14:paraId="690B83A7" w14:textId="54973A7F" w:rsidR="008419AF" w:rsidRPr="00D55B2B" w:rsidRDefault="006334E2" w:rsidP="007E262A">
      <w:pPr>
        <w:pStyle w:val="Abstract"/>
        <w:spacing w:line="360" w:lineRule="auto"/>
        <w:ind w:right="-478" w:firstLine="0"/>
        <w:rPr>
          <w:rFonts w:ascii="Verdana" w:hAnsi="Verdana"/>
          <w:b w:val="0"/>
          <w:sz w:val="20"/>
          <w:szCs w:val="20"/>
          <w:lang w:val="en-GB"/>
        </w:rPr>
      </w:pPr>
      <w:r w:rsidRPr="00D55B2B">
        <w:rPr>
          <w:rFonts w:ascii="Verdana" w:hAnsi="Verdana"/>
          <w:iCs/>
          <w:sz w:val="20"/>
          <w:szCs w:val="20"/>
        </w:rPr>
        <w:t>Abstract</w:t>
      </w:r>
      <w:r w:rsidR="00F30908" w:rsidRPr="00D55B2B">
        <w:rPr>
          <w:rFonts w:ascii="Verdana" w:hAnsi="Verdana"/>
          <w:sz w:val="20"/>
          <w:szCs w:val="20"/>
        </w:rPr>
        <w:t>:</w:t>
      </w:r>
      <w:r w:rsidR="00F30908" w:rsidRPr="00D55B2B">
        <w:rPr>
          <w:rFonts w:ascii="Verdana" w:hAnsi="Verdana"/>
          <w:b w:val="0"/>
          <w:sz w:val="20"/>
          <w:szCs w:val="20"/>
        </w:rPr>
        <w:t xml:space="preserve"> </w:t>
      </w:r>
      <w:r w:rsidR="008419AF" w:rsidRPr="00D55B2B">
        <w:rPr>
          <w:rFonts w:ascii="Verdana" w:hAnsi="Verdana"/>
          <w:b w:val="0"/>
          <w:sz w:val="20"/>
          <w:szCs w:val="20"/>
          <w:lang w:val="en-GB"/>
        </w:rPr>
        <w:t xml:space="preserve">In 2015, Section 76 of the Serious Crime Act 2015 </w:t>
      </w:r>
      <w:r w:rsidR="00454B7A" w:rsidRPr="00D55B2B">
        <w:rPr>
          <w:rFonts w:ascii="Verdana" w:hAnsi="Verdana"/>
          <w:b w:val="0"/>
          <w:sz w:val="20"/>
          <w:szCs w:val="20"/>
          <w:lang w:val="en-GB"/>
        </w:rPr>
        <w:t xml:space="preserve">(‘SCA 2015’) </w:t>
      </w:r>
      <w:r w:rsidR="008419AF" w:rsidRPr="00D55B2B">
        <w:rPr>
          <w:rFonts w:ascii="Verdana" w:hAnsi="Verdana"/>
          <w:b w:val="0"/>
          <w:sz w:val="20"/>
          <w:szCs w:val="20"/>
          <w:lang w:val="en-GB"/>
        </w:rPr>
        <w:t xml:space="preserve">introduced the new criminal offence of </w:t>
      </w:r>
      <w:r w:rsidR="00D90D1C" w:rsidRPr="00D55B2B">
        <w:rPr>
          <w:rFonts w:ascii="Verdana" w:hAnsi="Verdana"/>
          <w:b w:val="0"/>
          <w:sz w:val="20"/>
          <w:szCs w:val="20"/>
          <w:lang w:val="en-GB"/>
        </w:rPr>
        <w:t>‘</w:t>
      </w:r>
      <w:r w:rsidR="008419AF" w:rsidRPr="00D55B2B">
        <w:rPr>
          <w:rFonts w:ascii="Verdana" w:hAnsi="Verdana"/>
          <w:b w:val="0"/>
          <w:sz w:val="20"/>
          <w:szCs w:val="20"/>
          <w:lang w:val="en-GB"/>
        </w:rPr>
        <w:t>controlling or coercive behaviour in an intimate or family relationship</w:t>
      </w:r>
      <w:r w:rsidR="00D90D1C" w:rsidRPr="00D55B2B">
        <w:rPr>
          <w:rFonts w:ascii="Verdana" w:hAnsi="Verdana"/>
          <w:b w:val="0"/>
          <w:sz w:val="20"/>
          <w:szCs w:val="20"/>
          <w:lang w:val="en-GB"/>
        </w:rPr>
        <w:t>’</w:t>
      </w:r>
      <w:r w:rsidR="008419AF" w:rsidRPr="00D55B2B">
        <w:rPr>
          <w:rFonts w:ascii="Verdana" w:hAnsi="Verdana"/>
          <w:b w:val="0"/>
          <w:sz w:val="20"/>
          <w:szCs w:val="20"/>
          <w:lang w:val="en-GB"/>
        </w:rPr>
        <w:t>. This is just one of many steps the UK government have taken in recent years to acknowledge the different forms of domestic abuse and</w:t>
      </w:r>
      <w:r w:rsidR="0033375A">
        <w:rPr>
          <w:rFonts w:ascii="Verdana" w:hAnsi="Verdana"/>
          <w:b w:val="0"/>
          <w:sz w:val="20"/>
          <w:szCs w:val="20"/>
          <w:lang w:val="en-GB"/>
        </w:rPr>
        <w:t xml:space="preserve"> </w:t>
      </w:r>
      <w:r w:rsidR="008419AF" w:rsidRPr="00D55B2B">
        <w:rPr>
          <w:rFonts w:ascii="Verdana" w:hAnsi="Verdana"/>
          <w:b w:val="0"/>
          <w:sz w:val="20"/>
          <w:szCs w:val="20"/>
          <w:lang w:val="en-GB"/>
        </w:rPr>
        <w:t>power imbalance</w:t>
      </w:r>
      <w:r w:rsidR="00A2405B">
        <w:rPr>
          <w:rFonts w:ascii="Verdana" w:hAnsi="Verdana"/>
          <w:b w:val="0"/>
          <w:sz w:val="20"/>
          <w:szCs w:val="20"/>
          <w:lang w:val="en-GB"/>
        </w:rPr>
        <w:t>s</w:t>
      </w:r>
      <w:r w:rsidR="008419AF" w:rsidRPr="00D55B2B">
        <w:rPr>
          <w:rFonts w:ascii="Verdana" w:hAnsi="Verdana"/>
          <w:b w:val="0"/>
          <w:sz w:val="20"/>
          <w:szCs w:val="20"/>
          <w:lang w:val="en-GB"/>
        </w:rPr>
        <w:t xml:space="preserve"> that can be present in intimate relationships. In contrast, in February 2017 the Russian </w:t>
      </w:r>
      <w:r w:rsidR="0059117F" w:rsidRPr="00D55B2B">
        <w:rPr>
          <w:rFonts w:ascii="Verdana" w:hAnsi="Verdana"/>
          <w:b w:val="0"/>
          <w:sz w:val="20"/>
          <w:szCs w:val="20"/>
          <w:lang w:val="en-GB"/>
        </w:rPr>
        <w:t>g</w:t>
      </w:r>
      <w:r w:rsidR="008419AF" w:rsidRPr="00D55B2B">
        <w:rPr>
          <w:rFonts w:ascii="Verdana" w:hAnsi="Verdana"/>
          <w:b w:val="0"/>
          <w:sz w:val="20"/>
          <w:szCs w:val="20"/>
          <w:lang w:val="en-GB"/>
        </w:rPr>
        <w:t xml:space="preserve">overnment passed an amendment to the Russian Criminal Code to decriminalise some forms of assault, a step which many human rights activists have opposed. This article will compare the seemingly </w:t>
      </w:r>
      <w:r w:rsidR="008B592E">
        <w:rPr>
          <w:rFonts w:ascii="Verdana" w:hAnsi="Verdana"/>
          <w:b w:val="0"/>
          <w:sz w:val="20"/>
          <w:szCs w:val="20"/>
          <w:lang w:val="en-GB"/>
        </w:rPr>
        <w:t>dichotomous</w:t>
      </w:r>
      <w:r w:rsidR="008B592E" w:rsidRPr="00D55B2B">
        <w:rPr>
          <w:rFonts w:ascii="Verdana" w:hAnsi="Verdana"/>
          <w:b w:val="0"/>
          <w:sz w:val="20"/>
          <w:szCs w:val="20"/>
          <w:lang w:val="en-GB"/>
        </w:rPr>
        <w:t xml:space="preserve"> </w:t>
      </w:r>
      <w:r w:rsidR="008419AF" w:rsidRPr="00D55B2B">
        <w:rPr>
          <w:rFonts w:ascii="Verdana" w:hAnsi="Verdana"/>
          <w:b w:val="0"/>
          <w:sz w:val="20"/>
          <w:szCs w:val="20"/>
          <w:lang w:val="en-GB"/>
        </w:rPr>
        <w:t>approaches to domestic abuse adopted by England and Wales and Russia and will examine the effectiveness of both approaches in deterring domestic violence, providing adequate support for victims and meeting state obligations under international law.</w:t>
      </w:r>
      <w:r w:rsidR="001B16F2">
        <w:rPr>
          <w:rFonts w:ascii="Verdana" w:hAnsi="Verdana"/>
          <w:b w:val="0"/>
          <w:sz w:val="20"/>
          <w:szCs w:val="20"/>
          <w:lang w:val="en-GB"/>
        </w:rPr>
        <w:t xml:space="preserve"> There has been extensive </w:t>
      </w:r>
      <w:r w:rsidR="00601418">
        <w:rPr>
          <w:rFonts w:ascii="Verdana" w:hAnsi="Verdana"/>
          <w:b w:val="0"/>
          <w:sz w:val="20"/>
          <w:szCs w:val="20"/>
          <w:lang w:val="en-GB"/>
        </w:rPr>
        <w:t>commentary on</w:t>
      </w:r>
      <w:r w:rsidR="001B16F2">
        <w:rPr>
          <w:rFonts w:ascii="Verdana" w:hAnsi="Verdana"/>
          <w:b w:val="0"/>
          <w:sz w:val="20"/>
          <w:szCs w:val="20"/>
          <w:lang w:val="en-GB"/>
        </w:rPr>
        <w:t xml:space="preserve"> the approach to domestic abuse in England, </w:t>
      </w:r>
      <w:r w:rsidR="00636BAB">
        <w:rPr>
          <w:rFonts w:ascii="Verdana" w:hAnsi="Verdana"/>
          <w:b w:val="0"/>
          <w:sz w:val="20"/>
          <w:szCs w:val="20"/>
          <w:lang w:val="en-GB"/>
        </w:rPr>
        <w:t xml:space="preserve">the USA and Australia. In comparison, </w:t>
      </w:r>
      <w:r w:rsidR="001B16F2">
        <w:rPr>
          <w:rFonts w:ascii="Verdana" w:hAnsi="Verdana"/>
          <w:b w:val="0"/>
          <w:sz w:val="20"/>
          <w:szCs w:val="20"/>
          <w:lang w:val="en-GB"/>
        </w:rPr>
        <w:t>consideration of the approach in the Russian Federation is limited.  This is in part due to</w:t>
      </w:r>
      <w:r w:rsidR="00636BAB">
        <w:rPr>
          <w:rFonts w:ascii="Verdana" w:hAnsi="Verdana"/>
          <w:b w:val="0"/>
          <w:sz w:val="20"/>
          <w:szCs w:val="20"/>
          <w:lang w:val="en-GB"/>
        </w:rPr>
        <w:t xml:space="preserve"> the approach taken in Russia to</w:t>
      </w:r>
      <w:r w:rsidR="001B16F2">
        <w:rPr>
          <w:rFonts w:ascii="Verdana" w:hAnsi="Verdana"/>
          <w:b w:val="0"/>
          <w:sz w:val="20"/>
          <w:szCs w:val="20"/>
          <w:lang w:val="en-GB"/>
        </w:rPr>
        <w:t xml:space="preserve"> dealing with domestic abuse as a private issue</w:t>
      </w:r>
      <w:r w:rsidR="00636BAB">
        <w:rPr>
          <w:rFonts w:ascii="Verdana" w:hAnsi="Verdana"/>
          <w:b w:val="0"/>
          <w:sz w:val="20"/>
          <w:szCs w:val="20"/>
          <w:lang w:val="en-GB"/>
        </w:rPr>
        <w:t xml:space="preserve"> and the associated lack of available </w:t>
      </w:r>
      <w:r w:rsidR="005801B8">
        <w:rPr>
          <w:rFonts w:ascii="Verdana" w:hAnsi="Verdana"/>
          <w:b w:val="0"/>
          <w:sz w:val="20"/>
          <w:szCs w:val="20"/>
          <w:lang w:val="en-GB"/>
        </w:rPr>
        <w:t>data</w:t>
      </w:r>
      <w:r w:rsidR="001B16F2">
        <w:rPr>
          <w:rFonts w:ascii="Verdana" w:hAnsi="Verdana"/>
          <w:b w:val="0"/>
          <w:sz w:val="20"/>
          <w:szCs w:val="20"/>
          <w:lang w:val="en-GB"/>
        </w:rPr>
        <w:t>. This article seeks to go behind closed doors to explore the Russian approach</w:t>
      </w:r>
      <w:r w:rsidR="002E4708">
        <w:rPr>
          <w:rFonts w:ascii="Verdana" w:hAnsi="Verdana"/>
          <w:b w:val="0"/>
          <w:sz w:val="20"/>
          <w:szCs w:val="20"/>
          <w:lang w:val="en-GB"/>
        </w:rPr>
        <w:t xml:space="preserve"> to tackling domestic abuse</w:t>
      </w:r>
      <w:r w:rsidR="001B16F2">
        <w:rPr>
          <w:rFonts w:ascii="Verdana" w:hAnsi="Verdana"/>
          <w:b w:val="0"/>
          <w:sz w:val="20"/>
          <w:szCs w:val="20"/>
          <w:lang w:val="en-GB"/>
        </w:rPr>
        <w:t xml:space="preserve"> </w:t>
      </w:r>
      <w:r w:rsidR="00636BAB">
        <w:rPr>
          <w:rFonts w:ascii="Verdana" w:hAnsi="Verdana"/>
          <w:b w:val="0"/>
          <w:sz w:val="20"/>
          <w:szCs w:val="20"/>
          <w:lang w:val="en-GB"/>
        </w:rPr>
        <w:t>in a way that it has not</w:t>
      </w:r>
      <w:r w:rsidR="001B16F2">
        <w:rPr>
          <w:rFonts w:ascii="Verdana" w:hAnsi="Verdana"/>
          <w:b w:val="0"/>
          <w:sz w:val="20"/>
          <w:szCs w:val="20"/>
          <w:lang w:val="en-GB"/>
        </w:rPr>
        <w:t xml:space="preserve"> </w:t>
      </w:r>
      <w:r w:rsidR="00636BAB">
        <w:rPr>
          <w:rFonts w:ascii="Verdana" w:hAnsi="Verdana"/>
          <w:b w:val="0"/>
          <w:sz w:val="20"/>
          <w:szCs w:val="20"/>
          <w:lang w:val="en-GB"/>
        </w:rPr>
        <w:t>previously been considered</w:t>
      </w:r>
      <w:r w:rsidR="001B16F2">
        <w:rPr>
          <w:rFonts w:ascii="Verdana" w:hAnsi="Verdana"/>
          <w:b w:val="0"/>
          <w:sz w:val="20"/>
          <w:szCs w:val="20"/>
          <w:lang w:val="en-GB"/>
        </w:rPr>
        <w:t>.</w:t>
      </w:r>
    </w:p>
    <w:p w14:paraId="79C68212" w14:textId="6BA0FFDD" w:rsidR="007E262A" w:rsidRDefault="007E262A" w:rsidP="007E262A">
      <w:pPr>
        <w:spacing w:line="360" w:lineRule="auto"/>
        <w:jc w:val="both"/>
        <w:rPr>
          <w:rFonts w:ascii="Verdana" w:hAnsi="Verdana"/>
          <w:lang w:val="en-GB"/>
        </w:rPr>
      </w:pPr>
    </w:p>
    <w:p w14:paraId="1A84BF8B" w14:textId="71B4ED84" w:rsidR="009A1A5C" w:rsidRDefault="009A1A5C" w:rsidP="007E262A">
      <w:pPr>
        <w:spacing w:line="360" w:lineRule="auto"/>
        <w:jc w:val="both"/>
        <w:rPr>
          <w:rFonts w:ascii="Verdana" w:hAnsi="Verdana"/>
          <w:lang w:val="en-GB"/>
        </w:rPr>
      </w:pPr>
    </w:p>
    <w:p w14:paraId="4508DFBB" w14:textId="77777777" w:rsidR="009A1A5C" w:rsidRPr="00D55B2B" w:rsidRDefault="009A1A5C" w:rsidP="007E262A">
      <w:pPr>
        <w:spacing w:line="360" w:lineRule="auto"/>
        <w:jc w:val="both"/>
        <w:rPr>
          <w:rFonts w:ascii="Verdana" w:hAnsi="Verdana"/>
          <w:lang w:val="en-GB"/>
        </w:rPr>
      </w:pPr>
    </w:p>
    <w:p w14:paraId="4F78D5AA" w14:textId="77777777" w:rsidR="00C22678" w:rsidRPr="00D55B2B" w:rsidRDefault="00C22678" w:rsidP="007E262A">
      <w:pPr>
        <w:spacing w:line="360" w:lineRule="auto"/>
        <w:ind w:right="-478"/>
        <w:jc w:val="both"/>
        <w:rPr>
          <w:rFonts w:ascii="Verdana" w:hAnsi="Verdana"/>
        </w:rPr>
      </w:pPr>
    </w:p>
    <w:p w14:paraId="69A9AE9A" w14:textId="77777777" w:rsidR="00471457" w:rsidRPr="00D55B2B" w:rsidRDefault="004863D8" w:rsidP="007E262A">
      <w:pPr>
        <w:spacing w:line="360" w:lineRule="auto"/>
        <w:ind w:right="-478"/>
        <w:jc w:val="both"/>
        <w:rPr>
          <w:rFonts w:ascii="Verdana" w:hAnsi="Verdana"/>
          <w:b/>
          <w:sz w:val="21"/>
          <w:szCs w:val="21"/>
        </w:rPr>
      </w:pPr>
      <w:r w:rsidRPr="00D55B2B">
        <w:rPr>
          <w:rFonts w:ascii="Verdana" w:hAnsi="Verdana"/>
          <w:b/>
          <w:sz w:val="21"/>
          <w:szCs w:val="21"/>
        </w:rPr>
        <w:lastRenderedPageBreak/>
        <w:t xml:space="preserve">Introduction </w:t>
      </w:r>
    </w:p>
    <w:p w14:paraId="2D9C2D9A" w14:textId="77777777" w:rsidR="00456EAC" w:rsidRPr="00D55B2B" w:rsidRDefault="00456EAC" w:rsidP="007E262A">
      <w:pPr>
        <w:spacing w:line="360" w:lineRule="auto"/>
        <w:ind w:right="-478"/>
        <w:jc w:val="both"/>
        <w:rPr>
          <w:rFonts w:ascii="Verdana" w:hAnsi="Verdana"/>
          <w:lang w:val="en-GB"/>
        </w:rPr>
      </w:pPr>
      <w:r w:rsidRPr="00D55B2B">
        <w:rPr>
          <w:rFonts w:ascii="Verdana" w:hAnsi="Verdana"/>
          <w:lang w:val="en-GB"/>
        </w:rPr>
        <w:t xml:space="preserve">Domestic abuse is a large-scale </w:t>
      </w:r>
      <w:r w:rsidR="00DA61AB" w:rsidRPr="00D55B2B">
        <w:rPr>
          <w:rFonts w:ascii="Verdana" w:hAnsi="Verdana"/>
          <w:lang w:val="en-GB"/>
        </w:rPr>
        <w:t>problem</w:t>
      </w:r>
      <w:r w:rsidRPr="00D55B2B">
        <w:rPr>
          <w:rFonts w:ascii="Verdana" w:hAnsi="Verdana"/>
          <w:lang w:val="en-GB"/>
        </w:rPr>
        <w:t xml:space="preserve"> in England and Wales, with recent statistics indicating that in the year ending March 2018, 1.23 million women and 695,000 men had experienced domestic abuse</w:t>
      </w:r>
      <w:r w:rsidR="00B94026" w:rsidRPr="00D55B2B">
        <w:rPr>
          <w:rFonts w:ascii="Verdana" w:hAnsi="Verdana"/>
          <w:lang w:val="en-GB"/>
        </w:rPr>
        <w:t>.</w:t>
      </w:r>
      <w:r w:rsidRPr="00D55B2B">
        <w:rPr>
          <w:rStyle w:val="FootnoteReference"/>
          <w:rFonts w:ascii="Verdana" w:hAnsi="Verdana"/>
          <w:lang w:val="en-GB"/>
        </w:rPr>
        <w:footnoteReference w:id="3"/>
      </w:r>
      <w:r w:rsidRPr="00D55B2B">
        <w:rPr>
          <w:rFonts w:ascii="Verdana" w:hAnsi="Verdana"/>
          <w:lang w:val="en-GB"/>
        </w:rPr>
        <w:t xml:space="preserve"> These statistics are more concerning because </w:t>
      </w:r>
      <w:r w:rsidR="00E14813" w:rsidRPr="00D55B2B">
        <w:rPr>
          <w:rFonts w:ascii="Verdana" w:hAnsi="Verdana"/>
          <w:lang w:val="en-GB"/>
        </w:rPr>
        <w:t>it is generally</w:t>
      </w:r>
      <w:r w:rsidR="00F7067B" w:rsidRPr="00D55B2B">
        <w:rPr>
          <w:rFonts w:ascii="Verdana" w:hAnsi="Verdana"/>
          <w:lang w:val="en-GB"/>
        </w:rPr>
        <w:t xml:space="preserve"> accepted</w:t>
      </w:r>
      <w:r w:rsidR="00E14813" w:rsidRPr="00D55B2B">
        <w:rPr>
          <w:rFonts w:ascii="Verdana" w:hAnsi="Verdana"/>
          <w:lang w:val="en-GB"/>
        </w:rPr>
        <w:t xml:space="preserve"> that</w:t>
      </w:r>
      <w:r w:rsidRPr="00D55B2B">
        <w:rPr>
          <w:rFonts w:ascii="Verdana" w:hAnsi="Verdana"/>
          <w:lang w:val="en-GB"/>
        </w:rPr>
        <w:t xml:space="preserve"> </w:t>
      </w:r>
      <w:r w:rsidR="003029CD" w:rsidRPr="00D55B2B">
        <w:rPr>
          <w:rFonts w:ascii="Verdana" w:hAnsi="Verdana"/>
          <w:lang w:val="en-GB"/>
        </w:rPr>
        <w:t xml:space="preserve">incidents of </w:t>
      </w:r>
      <w:r w:rsidRPr="00D55B2B">
        <w:rPr>
          <w:rFonts w:ascii="Verdana" w:hAnsi="Verdana"/>
          <w:lang w:val="en-GB"/>
        </w:rPr>
        <w:t xml:space="preserve">domestic abuse </w:t>
      </w:r>
      <w:r w:rsidR="003029CD" w:rsidRPr="00D55B2B">
        <w:rPr>
          <w:rFonts w:ascii="Verdana" w:hAnsi="Verdana"/>
          <w:lang w:val="en-GB"/>
        </w:rPr>
        <w:t>are</w:t>
      </w:r>
      <w:r w:rsidRPr="00D55B2B">
        <w:rPr>
          <w:rFonts w:ascii="Verdana" w:hAnsi="Verdana"/>
          <w:lang w:val="en-GB"/>
        </w:rPr>
        <w:t xml:space="preserve"> underreported</w:t>
      </w:r>
      <w:r w:rsidR="00B94026" w:rsidRPr="00D55B2B">
        <w:rPr>
          <w:rFonts w:ascii="Verdana" w:hAnsi="Verdana"/>
          <w:lang w:val="en-GB"/>
        </w:rPr>
        <w:t>.</w:t>
      </w:r>
      <w:r w:rsidR="007823A3" w:rsidRPr="00D55B2B">
        <w:rPr>
          <w:rStyle w:val="FootnoteReference"/>
          <w:rFonts w:ascii="Verdana" w:hAnsi="Verdana"/>
          <w:lang w:val="en-GB"/>
        </w:rPr>
        <w:footnoteReference w:id="4"/>
      </w:r>
      <w:r w:rsidRPr="00D55B2B">
        <w:rPr>
          <w:rFonts w:ascii="Verdana" w:hAnsi="Verdana"/>
          <w:lang w:val="en-GB"/>
        </w:rPr>
        <w:t xml:space="preserve"> The statistics also only consider domestic abuse experienced by adults aged 16-59 years old, ignoring domestic abuse experienced in younger teenage relationships or between individuals aged 60 and above. Bows found that 43% of homicides of older people recorded between 2010 and 2015 were in fact domestic homicides.</w:t>
      </w:r>
      <w:r w:rsidRPr="00D55B2B">
        <w:rPr>
          <w:rStyle w:val="FootnoteReference"/>
          <w:rFonts w:ascii="Verdana" w:hAnsi="Verdana"/>
          <w:lang w:val="en-GB"/>
        </w:rPr>
        <w:footnoteReference w:id="5"/>
      </w:r>
      <w:r w:rsidRPr="00D55B2B">
        <w:rPr>
          <w:rFonts w:ascii="Verdana" w:hAnsi="Verdana"/>
          <w:lang w:val="en-GB"/>
        </w:rPr>
        <w:t xml:space="preserve">  The real figures for domestic abuse experienced in England and Wales are therefore likely to be much higher than those highlighted by the Office for National Statistics (ONS)</w:t>
      </w:r>
      <w:r w:rsidR="006A270E" w:rsidRPr="00D55B2B">
        <w:rPr>
          <w:rFonts w:ascii="Verdana" w:hAnsi="Verdana"/>
          <w:lang w:val="en-GB"/>
        </w:rPr>
        <w:t xml:space="preserve">. The key reasons suggested by academics and practitioners for this underreporting </w:t>
      </w:r>
      <w:r w:rsidR="00DB3BA8">
        <w:rPr>
          <w:rFonts w:ascii="Verdana" w:hAnsi="Verdana"/>
          <w:lang w:val="en-GB"/>
        </w:rPr>
        <w:t>is</w:t>
      </w:r>
      <w:r w:rsidR="006A270E" w:rsidRPr="00D55B2B">
        <w:rPr>
          <w:rFonts w:ascii="Verdana" w:hAnsi="Verdana"/>
          <w:lang w:val="en-GB"/>
        </w:rPr>
        <w:t xml:space="preserve"> considered later in this article.</w:t>
      </w:r>
      <w:r w:rsidR="001958F7" w:rsidRPr="00D55B2B">
        <w:rPr>
          <w:rFonts w:ascii="Verdana" w:hAnsi="Verdana"/>
          <w:lang w:val="en-GB"/>
        </w:rPr>
        <w:t xml:space="preserve"> </w:t>
      </w:r>
    </w:p>
    <w:p w14:paraId="5B8E36C0" w14:textId="77777777" w:rsidR="00D8669A" w:rsidRPr="00D55B2B" w:rsidRDefault="00D8669A" w:rsidP="007E262A">
      <w:pPr>
        <w:spacing w:line="360" w:lineRule="auto"/>
        <w:ind w:right="-478"/>
        <w:jc w:val="both"/>
        <w:rPr>
          <w:rFonts w:ascii="Verdana" w:hAnsi="Verdana"/>
          <w:lang w:val="en-GB"/>
        </w:rPr>
      </w:pPr>
    </w:p>
    <w:p w14:paraId="79D73A5D" w14:textId="77777777" w:rsidR="007F0AF5" w:rsidRPr="00D55B2B" w:rsidRDefault="005A3555" w:rsidP="007E262A">
      <w:pPr>
        <w:spacing w:line="360" w:lineRule="auto"/>
        <w:ind w:right="-478"/>
        <w:jc w:val="both"/>
        <w:rPr>
          <w:rFonts w:ascii="Verdana" w:hAnsi="Verdana"/>
          <w:lang w:val="en-GB"/>
        </w:rPr>
      </w:pPr>
      <w:r w:rsidRPr="00D55B2B">
        <w:rPr>
          <w:rFonts w:ascii="Verdana" w:hAnsi="Verdana"/>
          <w:lang w:val="en-GB"/>
        </w:rPr>
        <w:t xml:space="preserve">In England and Wales, domestic abuse is understood </w:t>
      </w:r>
      <w:r w:rsidR="00066F13" w:rsidRPr="00D55B2B">
        <w:rPr>
          <w:rFonts w:ascii="Verdana" w:hAnsi="Verdana"/>
          <w:lang w:val="en-GB"/>
        </w:rPr>
        <w:t>to be</w:t>
      </w:r>
      <w:r w:rsidRPr="00D55B2B">
        <w:rPr>
          <w:rFonts w:ascii="Verdana" w:hAnsi="Verdana"/>
          <w:lang w:val="en-GB"/>
        </w:rPr>
        <w:t xml:space="preserve"> a </w:t>
      </w:r>
      <w:r w:rsidR="002E6082" w:rsidRPr="00D55B2B">
        <w:rPr>
          <w:rFonts w:ascii="Verdana" w:hAnsi="Verdana"/>
          <w:lang w:val="en-GB"/>
        </w:rPr>
        <w:t xml:space="preserve">gendered offence </w:t>
      </w:r>
      <w:r w:rsidR="005D06C5" w:rsidRPr="00D55B2B">
        <w:rPr>
          <w:rFonts w:ascii="Verdana" w:hAnsi="Verdana"/>
          <w:lang w:val="en-GB"/>
        </w:rPr>
        <w:t>in that it is</w:t>
      </w:r>
      <w:r w:rsidR="002E6082" w:rsidRPr="00D55B2B">
        <w:rPr>
          <w:rFonts w:ascii="Verdana" w:hAnsi="Verdana"/>
          <w:lang w:val="en-GB"/>
        </w:rPr>
        <w:t xml:space="preserve"> both a cause and a consequence of </w:t>
      </w:r>
      <w:r w:rsidR="00153267" w:rsidRPr="00D55B2B">
        <w:rPr>
          <w:rFonts w:ascii="Verdana" w:hAnsi="Verdana"/>
          <w:lang w:val="en-GB"/>
        </w:rPr>
        <w:t xml:space="preserve">gender </w:t>
      </w:r>
      <w:r w:rsidR="002E6082" w:rsidRPr="00D55B2B">
        <w:rPr>
          <w:rFonts w:ascii="Verdana" w:hAnsi="Verdana"/>
          <w:lang w:val="en-GB"/>
        </w:rPr>
        <w:t xml:space="preserve">inequality. </w:t>
      </w:r>
      <w:r w:rsidR="00E24992" w:rsidRPr="00D55B2B">
        <w:rPr>
          <w:rFonts w:ascii="Verdana" w:hAnsi="Verdana"/>
          <w:lang w:val="en-GB"/>
        </w:rPr>
        <w:t xml:space="preserve">This is because </w:t>
      </w:r>
      <w:r w:rsidR="00A94735" w:rsidRPr="00D55B2B">
        <w:rPr>
          <w:rFonts w:ascii="Verdana" w:hAnsi="Verdana"/>
          <w:lang w:val="en-GB"/>
        </w:rPr>
        <w:t xml:space="preserve">physical and emotional abuse, </w:t>
      </w:r>
      <w:r w:rsidR="0096728D" w:rsidRPr="00D55B2B">
        <w:rPr>
          <w:rFonts w:ascii="Verdana" w:hAnsi="Verdana"/>
        </w:rPr>
        <w:t xml:space="preserve">domestic servitude, forced marriage, female genital mutilation, sexual </w:t>
      </w:r>
      <w:r w:rsidR="004B5A58" w:rsidRPr="00D55B2B">
        <w:rPr>
          <w:rFonts w:ascii="Verdana" w:hAnsi="Verdana"/>
        </w:rPr>
        <w:t>violence</w:t>
      </w:r>
      <w:r w:rsidR="0096728D" w:rsidRPr="00D55B2B">
        <w:rPr>
          <w:rFonts w:ascii="Verdana" w:hAnsi="Verdana"/>
        </w:rPr>
        <w:t xml:space="preserve"> and harassment are disproportionately perpetrated against women</w:t>
      </w:r>
      <w:r w:rsidR="00593EEE" w:rsidRPr="00D55B2B">
        <w:rPr>
          <w:rFonts w:ascii="Verdana" w:hAnsi="Verdana"/>
        </w:rPr>
        <w:t xml:space="preserve"> and girls</w:t>
      </w:r>
      <w:r w:rsidR="0096728D" w:rsidRPr="00D55B2B">
        <w:rPr>
          <w:rStyle w:val="FootnoteReference"/>
          <w:rFonts w:ascii="Verdana" w:hAnsi="Verdana"/>
        </w:rPr>
        <w:footnoteReference w:id="6"/>
      </w:r>
      <w:r w:rsidR="0096728D" w:rsidRPr="00D55B2B">
        <w:rPr>
          <w:rFonts w:ascii="Verdana" w:hAnsi="Verdana"/>
        </w:rPr>
        <w:t xml:space="preserve">. </w:t>
      </w:r>
      <w:r w:rsidR="00A64ADC" w:rsidRPr="00D55B2B">
        <w:rPr>
          <w:rFonts w:ascii="Verdana" w:hAnsi="Verdana"/>
          <w:lang w:val="en-GB"/>
        </w:rPr>
        <w:t xml:space="preserve">Women are twice as likely as men to experience domestic abuse and men are </w:t>
      </w:r>
      <w:r w:rsidR="002D435F" w:rsidRPr="00D55B2B">
        <w:rPr>
          <w:rFonts w:ascii="Verdana" w:hAnsi="Verdana"/>
          <w:lang w:val="en-GB"/>
        </w:rPr>
        <w:t>more</w:t>
      </w:r>
      <w:r w:rsidR="00A64ADC" w:rsidRPr="00D55B2B">
        <w:rPr>
          <w:rFonts w:ascii="Verdana" w:hAnsi="Verdana"/>
          <w:lang w:val="en-GB"/>
        </w:rPr>
        <w:t xml:space="preserve"> likely to be perpetrators</w:t>
      </w:r>
      <w:r w:rsidR="00330C44" w:rsidRPr="00D55B2B">
        <w:rPr>
          <w:rFonts w:ascii="Verdana" w:hAnsi="Verdana"/>
          <w:lang w:val="en-GB"/>
        </w:rPr>
        <w:t>.</w:t>
      </w:r>
      <w:r w:rsidR="00A64ADC" w:rsidRPr="00D55B2B">
        <w:rPr>
          <w:rStyle w:val="FootnoteReference"/>
          <w:rFonts w:ascii="Verdana" w:hAnsi="Verdana"/>
          <w:lang w:val="en-GB"/>
        </w:rPr>
        <w:footnoteReference w:id="7"/>
      </w:r>
      <w:r w:rsidR="00A64ADC" w:rsidRPr="00D55B2B">
        <w:rPr>
          <w:rFonts w:ascii="Verdana" w:hAnsi="Verdana"/>
        </w:rPr>
        <w:t xml:space="preserve"> </w:t>
      </w:r>
      <w:r w:rsidR="00A64ADC" w:rsidRPr="00D55B2B">
        <w:rPr>
          <w:rFonts w:ascii="Verdana" w:hAnsi="Verdana"/>
          <w:lang w:val="en-GB"/>
        </w:rPr>
        <w:t>On average, two women are killed each week by their current or former partner in England and Wales</w:t>
      </w:r>
      <w:r w:rsidR="00330C44" w:rsidRPr="00D55B2B">
        <w:rPr>
          <w:rFonts w:ascii="Verdana" w:hAnsi="Verdana"/>
          <w:lang w:val="en-GB"/>
        </w:rPr>
        <w:t>.</w:t>
      </w:r>
      <w:r w:rsidR="00A64ADC" w:rsidRPr="00D55B2B">
        <w:rPr>
          <w:rStyle w:val="FootnoteReference"/>
          <w:rFonts w:ascii="Verdana" w:hAnsi="Verdana"/>
          <w:lang w:val="en-GB"/>
        </w:rPr>
        <w:footnoteReference w:id="8"/>
      </w:r>
      <w:r w:rsidR="00115673" w:rsidRPr="00D55B2B">
        <w:rPr>
          <w:rFonts w:ascii="Verdana" w:hAnsi="Verdana"/>
        </w:rPr>
        <w:t xml:space="preserve"> </w:t>
      </w:r>
      <w:r w:rsidR="005707E8" w:rsidRPr="00D55B2B">
        <w:rPr>
          <w:rFonts w:ascii="Verdana" w:hAnsi="Verdana"/>
          <w:lang w:val="en-GB"/>
        </w:rPr>
        <w:t>The Home Office Statutory Guidance Framework on Controlling or Coercive behaviour states that</w:t>
      </w:r>
      <w:r w:rsidR="00F61F72" w:rsidRPr="00D55B2B">
        <w:rPr>
          <w:rFonts w:ascii="Verdana" w:hAnsi="Verdana"/>
          <w:lang w:val="en-GB"/>
        </w:rPr>
        <w:t xml:space="preserve"> </w:t>
      </w:r>
      <w:r w:rsidR="00F61F72" w:rsidRPr="00D55B2B">
        <w:rPr>
          <w:rFonts w:ascii="Verdana" w:hAnsi="Verdana"/>
          <w:lang w:val="en-GB"/>
        </w:rPr>
        <w:lastRenderedPageBreak/>
        <w:t>domestic abuse is</w:t>
      </w:r>
      <w:r w:rsidR="005707E8" w:rsidRPr="00D55B2B">
        <w:rPr>
          <w:rFonts w:ascii="Verdana" w:hAnsi="Verdana"/>
          <w:lang w:val="en-GB"/>
        </w:rPr>
        <w:t xml:space="preserve"> ‘primarily a form of violence against women and girls and is underpinned by wider societal inequality’</w:t>
      </w:r>
      <w:r w:rsidR="00330C44" w:rsidRPr="00D55B2B">
        <w:rPr>
          <w:rFonts w:ascii="Verdana" w:hAnsi="Verdana"/>
          <w:lang w:val="en-GB"/>
        </w:rPr>
        <w:t>.</w:t>
      </w:r>
      <w:r w:rsidR="0079453D" w:rsidRPr="00D55B2B">
        <w:rPr>
          <w:rStyle w:val="FootnoteReference"/>
          <w:rFonts w:ascii="Verdana" w:hAnsi="Verdana"/>
          <w:lang w:val="en-GB"/>
        </w:rPr>
        <w:footnoteReference w:id="9"/>
      </w:r>
      <w:r w:rsidR="005707E8" w:rsidRPr="00D55B2B">
        <w:rPr>
          <w:rFonts w:ascii="Verdana" w:hAnsi="Verdana"/>
          <w:lang w:val="en-GB"/>
        </w:rPr>
        <w:t xml:space="preserve"> </w:t>
      </w:r>
      <w:r w:rsidR="00291998" w:rsidRPr="00D55B2B">
        <w:rPr>
          <w:rFonts w:ascii="Verdana" w:hAnsi="Verdana"/>
        </w:rPr>
        <w:t xml:space="preserve">Similarly, the </w:t>
      </w:r>
      <w:r w:rsidR="00F74ACA" w:rsidRPr="00D55B2B">
        <w:rPr>
          <w:rFonts w:ascii="Verdana" w:hAnsi="Verdana"/>
        </w:rPr>
        <w:t xml:space="preserve">Equality and </w:t>
      </w:r>
      <w:r w:rsidR="00316C21" w:rsidRPr="00D55B2B">
        <w:rPr>
          <w:rFonts w:ascii="Verdana" w:hAnsi="Verdana"/>
        </w:rPr>
        <w:t xml:space="preserve">Human Rights Commission </w:t>
      </w:r>
      <w:r w:rsidR="00E9044B" w:rsidRPr="00D55B2B">
        <w:rPr>
          <w:rFonts w:ascii="Verdana" w:hAnsi="Verdana"/>
          <w:lang w:val="en-GB"/>
        </w:rPr>
        <w:t>note</w:t>
      </w:r>
      <w:r w:rsidR="00A335DB" w:rsidRPr="00D55B2B">
        <w:rPr>
          <w:rFonts w:ascii="Verdana" w:hAnsi="Verdana"/>
          <w:lang w:val="en-GB"/>
        </w:rPr>
        <w:t>s</w:t>
      </w:r>
      <w:r w:rsidR="00E9044B" w:rsidRPr="00D55B2B">
        <w:rPr>
          <w:rFonts w:ascii="Verdana" w:hAnsi="Verdana"/>
          <w:lang w:val="en-GB"/>
        </w:rPr>
        <w:t xml:space="preserve"> that</w:t>
      </w:r>
      <w:r w:rsidR="007F0AF5" w:rsidRPr="00D55B2B">
        <w:rPr>
          <w:rFonts w:ascii="Verdana" w:hAnsi="Verdana"/>
          <w:lang w:val="en-GB"/>
        </w:rPr>
        <w:t>:</w:t>
      </w:r>
    </w:p>
    <w:p w14:paraId="50E70116" w14:textId="77777777" w:rsidR="007F0AF5" w:rsidRPr="00D55B2B" w:rsidRDefault="007F0AF5" w:rsidP="007E262A">
      <w:pPr>
        <w:spacing w:line="360" w:lineRule="auto"/>
        <w:ind w:right="-478"/>
        <w:jc w:val="both"/>
        <w:rPr>
          <w:rFonts w:ascii="Verdana" w:hAnsi="Verdana"/>
          <w:lang w:val="en-GB"/>
        </w:rPr>
      </w:pPr>
    </w:p>
    <w:p w14:paraId="49219A35" w14:textId="77777777" w:rsidR="007F0AF5" w:rsidRPr="00D55B2B" w:rsidRDefault="007F0AF5" w:rsidP="007E262A">
      <w:pPr>
        <w:spacing w:line="360" w:lineRule="auto"/>
        <w:ind w:left="720" w:right="-478"/>
        <w:jc w:val="both"/>
        <w:rPr>
          <w:rFonts w:ascii="Verdana" w:hAnsi="Verdana"/>
          <w:lang w:val="en-GB"/>
        </w:rPr>
      </w:pPr>
      <w:r w:rsidRPr="00D55B2B">
        <w:rPr>
          <w:rFonts w:ascii="Verdana" w:hAnsi="Verdana"/>
          <w:lang w:val="en-GB"/>
        </w:rPr>
        <w:t>T</w:t>
      </w:r>
      <w:r w:rsidR="00316C21" w:rsidRPr="00D55B2B">
        <w:rPr>
          <w:rFonts w:ascii="Verdana" w:hAnsi="Verdana"/>
          <w:lang w:val="en-GB"/>
        </w:rPr>
        <w:t>he continuum of violence against women, in its many forms, reflects the wider structural gender inequalities that make it one of the most pervasive human rights issues in the UK</w:t>
      </w:r>
      <w:r w:rsidR="00DE67C7" w:rsidRPr="00D55B2B">
        <w:rPr>
          <w:rFonts w:ascii="Verdana" w:hAnsi="Verdana"/>
          <w:lang w:val="en-GB"/>
        </w:rPr>
        <w:t>: it impacts on women’s health and independence, reduces their ability to work and creates a cycle of economic dependence. Women's inequality limits their ability to escape from abusive relationships; it can make it more difficult for them to enforce their rights</w:t>
      </w:r>
      <w:r w:rsidRPr="00D55B2B">
        <w:rPr>
          <w:rFonts w:ascii="Verdana" w:hAnsi="Verdana"/>
          <w:lang w:val="en-GB"/>
        </w:rPr>
        <w:t>.</w:t>
      </w:r>
      <w:r w:rsidR="004B53BC" w:rsidRPr="00D55B2B">
        <w:rPr>
          <w:rStyle w:val="FootnoteReference"/>
          <w:rFonts w:ascii="Verdana" w:hAnsi="Verdana"/>
          <w:lang w:val="en-GB"/>
        </w:rPr>
        <w:footnoteReference w:id="10"/>
      </w:r>
      <w:r w:rsidR="007114D8" w:rsidRPr="00D55B2B">
        <w:rPr>
          <w:rFonts w:ascii="Verdana" w:hAnsi="Verdana"/>
          <w:lang w:val="en-GB"/>
        </w:rPr>
        <w:t xml:space="preserve"> </w:t>
      </w:r>
    </w:p>
    <w:p w14:paraId="2925CEB4" w14:textId="77777777" w:rsidR="007F0AF5" w:rsidRPr="00D55B2B" w:rsidRDefault="007F0AF5" w:rsidP="007E262A">
      <w:pPr>
        <w:spacing w:line="360" w:lineRule="auto"/>
        <w:ind w:right="-478"/>
        <w:jc w:val="both"/>
        <w:rPr>
          <w:rFonts w:ascii="Verdana" w:hAnsi="Verdana"/>
          <w:lang w:val="en-GB"/>
        </w:rPr>
      </w:pPr>
    </w:p>
    <w:p w14:paraId="2A779500" w14:textId="77777777" w:rsidR="00AB473C" w:rsidRPr="00D55B2B" w:rsidRDefault="007114D8" w:rsidP="007E262A">
      <w:pPr>
        <w:spacing w:line="360" w:lineRule="auto"/>
        <w:ind w:right="-478"/>
        <w:jc w:val="both"/>
        <w:rPr>
          <w:rFonts w:ascii="Verdana" w:hAnsi="Verdana"/>
          <w:lang w:val="en-GB"/>
        </w:rPr>
      </w:pPr>
      <w:r w:rsidRPr="00D55B2B">
        <w:rPr>
          <w:rFonts w:ascii="Verdana" w:hAnsi="Verdana"/>
          <w:lang w:val="en-GB"/>
        </w:rPr>
        <w:t xml:space="preserve">Domestic abuse is not, however, </w:t>
      </w:r>
      <w:r w:rsidR="00ED607F" w:rsidRPr="00D55B2B">
        <w:rPr>
          <w:rFonts w:ascii="Verdana" w:hAnsi="Verdana"/>
          <w:lang w:val="en-GB"/>
        </w:rPr>
        <w:t>necessarily synonymous</w:t>
      </w:r>
      <w:r w:rsidR="007F0AF5" w:rsidRPr="00D55B2B">
        <w:rPr>
          <w:rFonts w:ascii="Verdana" w:hAnsi="Verdana"/>
          <w:lang w:val="en-GB"/>
        </w:rPr>
        <w:t xml:space="preserve"> with</w:t>
      </w:r>
      <w:r w:rsidRPr="00D55B2B">
        <w:rPr>
          <w:rFonts w:ascii="Verdana" w:hAnsi="Verdana"/>
          <w:lang w:val="en-GB"/>
        </w:rPr>
        <w:t xml:space="preserve"> gender-based violence</w:t>
      </w:r>
      <w:r w:rsidR="00E70339" w:rsidRPr="00D55B2B">
        <w:rPr>
          <w:rFonts w:ascii="Verdana" w:hAnsi="Verdana"/>
          <w:lang w:val="en-GB"/>
        </w:rPr>
        <w:t xml:space="preserve"> </w:t>
      </w:r>
      <w:r w:rsidR="00D20A32" w:rsidRPr="00D55B2B">
        <w:rPr>
          <w:rFonts w:ascii="Verdana" w:hAnsi="Verdana"/>
          <w:lang w:val="en-GB"/>
        </w:rPr>
        <w:t>in that the latte</w:t>
      </w:r>
      <w:r w:rsidR="00FB3061" w:rsidRPr="00D55B2B">
        <w:rPr>
          <w:rFonts w:ascii="Verdana" w:hAnsi="Verdana"/>
          <w:lang w:val="en-GB"/>
        </w:rPr>
        <w:t xml:space="preserve">r </w:t>
      </w:r>
      <w:r w:rsidR="00672644" w:rsidRPr="00D55B2B">
        <w:rPr>
          <w:rFonts w:ascii="Verdana" w:hAnsi="Verdana"/>
          <w:lang w:val="en-GB"/>
        </w:rPr>
        <w:t xml:space="preserve">can take place in the public sphere and </w:t>
      </w:r>
      <w:r w:rsidR="00ED607F" w:rsidRPr="00D55B2B">
        <w:rPr>
          <w:rFonts w:ascii="Verdana" w:hAnsi="Verdana"/>
          <w:lang w:val="en-GB"/>
        </w:rPr>
        <w:t>can be perpetrated by those outside</w:t>
      </w:r>
      <w:r w:rsidR="00FB3061" w:rsidRPr="00D55B2B">
        <w:rPr>
          <w:rFonts w:ascii="Verdana" w:hAnsi="Verdana"/>
          <w:lang w:val="en-GB"/>
        </w:rPr>
        <w:t xml:space="preserve"> domestic relationships</w:t>
      </w:r>
      <w:r w:rsidR="00D32857" w:rsidRPr="00D55B2B">
        <w:rPr>
          <w:rFonts w:ascii="Verdana" w:hAnsi="Verdana"/>
          <w:lang w:val="en-GB"/>
        </w:rPr>
        <w:t>.</w:t>
      </w:r>
      <w:r w:rsidR="00407236" w:rsidRPr="00D55B2B">
        <w:rPr>
          <w:rStyle w:val="FootnoteReference"/>
          <w:rFonts w:ascii="Verdana" w:hAnsi="Verdana"/>
          <w:lang w:val="en-GB"/>
        </w:rPr>
        <w:footnoteReference w:id="11"/>
      </w:r>
      <w:r w:rsidR="00D32857" w:rsidRPr="00D55B2B">
        <w:rPr>
          <w:rFonts w:ascii="Verdana" w:hAnsi="Verdana"/>
          <w:lang w:val="en-GB"/>
        </w:rPr>
        <w:t xml:space="preserve"> </w:t>
      </w:r>
      <w:r w:rsidR="00AB473C" w:rsidRPr="00D55B2B">
        <w:rPr>
          <w:rFonts w:ascii="Verdana" w:hAnsi="Verdana"/>
          <w:lang w:val="en-GB"/>
        </w:rPr>
        <w:t>This understanding of domestic abuse</w:t>
      </w:r>
      <w:r w:rsidR="00794EE9" w:rsidRPr="00D55B2B">
        <w:rPr>
          <w:rFonts w:ascii="Verdana" w:hAnsi="Verdana"/>
          <w:lang w:val="en-GB"/>
        </w:rPr>
        <w:t xml:space="preserve"> informs and is</w:t>
      </w:r>
      <w:r w:rsidR="00AB473C" w:rsidRPr="00D55B2B">
        <w:rPr>
          <w:rFonts w:ascii="Verdana" w:hAnsi="Verdana"/>
          <w:lang w:val="en-GB"/>
        </w:rPr>
        <w:t xml:space="preserve"> reflect</w:t>
      </w:r>
      <w:r w:rsidR="00794EE9" w:rsidRPr="00D55B2B">
        <w:rPr>
          <w:rFonts w:ascii="Verdana" w:hAnsi="Verdana"/>
          <w:lang w:val="en-GB"/>
        </w:rPr>
        <w:t>ed in</w:t>
      </w:r>
      <w:r w:rsidR="00AB473C" w:rsidRPr="00D55B2B">
        <w:rPr>
          <w:rFonts w:ascii="Verdana" w:hAnsi="Verdana"/>
          <w:lang w:val="en-GB"/>
        </w:rPr>
        <w:t xml:space="preserve"> </w:t>
      </w:r>
      <w:r w:rsidR="00507E9E" w:rsidRPr="00D55B2B">
        <w:rPr>
          <w:rFonts w:ascii="Verdana" w:hAnsi="Verdana"/>
          <w:lang w:val="en-GB"/>
        </w:rPr>
        <w:t>the policy approach to domestic abuse in England and Wales</w:t>
      </w:r>
      <w:r w:rsidR="004973E2" w:rsidRPr="00D55B2B">
        <w:rPr>
          <w:rFonts w:ascii="Verdana" w:hAnsi="Verdana"/>
          <w:lang w:val="en-GB"/>
        </w:rPr>
        <w:t xml:space="preserve"> wh</w:t>
      </w:r>
      <w:r w:rsidR="0035170D" w:rsidRPr="00D55B2B">
        <w:rPr>
          <w:rFonts w:ascii="Verdana" w:hAnsi="Verdana"/>
          <w:lang w:val="en-GB"/>
        </w:rPr>
        <w:t xml:space="preserve">ich </w:t>
      </w:r>
      <w:r w:rsidR="00D97185" w:rsidRPr="00D55B2B">
        <w:rPr>
          <w:rFonts w:ascii="Verdana" w:hAnsi="Verdana"/>
          <w:lang w:val="en-GB"/>
        </w:rPr>
        <w:t xml:space="preserve">is </w:t>
      </w:r>
      <w:r w:rsidR="00282D1C" w:rsidRPr="00D55B2B">
        <w:rPr>
          <w:rFonts w:ascii="Verdana" w:hAnsi="Verdana"/>
          <w:lang w:val="en-GB"/>
        </w:rPr>
        <w:t>state-driven</w:t>
      </w:r>
      <w:r w:rsidR="00D97185" w:rsidRPr="00D55B2B">
        <w:rPr>
          <w:rFonts w:ascii="Verdana" w:hAnsi="Verdana"/>
          <w:lang w:val="en-GB"/>
        </w:rPr>
        <w:t xml:space="preserve">, </w:t>
      </w:r>
      <w:r w:rsidR="00262641" w:rsidRPr="00D55B2B">
        <w:rPr>
          <w:rFonts w:ascii="Verdana" w:hAnsi="Verdana"/>
          <w:lang w:val="en-GB"/>
        </w:rPr>
        <w:t>multi-agency and</w:t>
      </w:r>
      <w:r w:rsidR="009E40F6" w:rsidRPr="00D55B2B">
        <w:rPr>
          <w:rFonts w:ascii="Verdana" w:hAnsi="Verdana"/>
          <w:lang w:val="en-GB"/>
        </w:rPr>
        <w:t>, increasingly,</w:t>
      </w:r>
      <w:r w:rsidR="00464DF1" w:rsidRPr="00D55B2B">
        <w:rPr>
          <w:rFonts w:ascii="Verdana" w:hAnsi="Verdana"/>
          <w:lang w:val="en-GB"/>
        </w:rPr>
        <w:t xml:space="preserve"> criminal justice focussed. </w:t>
      </w:r>
    </w:p>
    <w:p w14:paraId="489BF106" w14:textId="77777777" w:rsidR="00456EAC" w:rsidRPr="00D55B2B" w:rsidRDefault="00456EAC" w:rsidP="007E262A">
      <w:pPr>
        <w:spacing w:line="360" w:lineRule="auto"/>
        <w:ind w:right="-478"/>
        <w:jc w:val="both"/>
        <w:rPr>
          <w:rFonts w:ascii="Verdana" w:hAnsi="Verdana"/>
          <w:b/>
          <w:i/>
        </w:rPr>
      </w:pPr>
    </w:p>
    <w:p w14:paraId="217A4CB9" w14:textId="77777777" w:rsidR="00212C1F" w:rsidRPr="00D55B2B" w:rsidRDefault="00B05375" w:rsidP="007E262A">
      <w:pPr>
        <w:spacing w:line="360" w:lineRule="auto"/>
        <w:ind w:right="-478"/>
        <w:jc w:val="both"/>
        <w:rPr>
          <w:rFonts w:ascii="Verdana" w:hAnsi="Verdana"/>
        </w:rPr>
      </w:pPr>
      <w:r w:rsidRPr="00D55B2B">
        <w:rPr>
          <w:rFonts w:ascii="Verdana" w:hAnsi="Verdana"/>
        </w:rPr>
        <w:t>The discourse surrounding domestic abuse in Russia contrasts starkly to the position in England and Wales. Rather than being viewed as an expression of gender inequality and a human rights infringement, the prevention of which is primarily the Government’s responsibility</w:t>
      </w:r>
      <w:r w:rsidR="00C847FE" w:rsidRPr="00D55B2B">
        <w:rPr>
          <w:rFonts w:ascii="Verdana" w:hAnsi="Verdana"/>
        </w:rPr>
        <w:t xml:space="preserve"> to address</w:t>
      </w:r>
      <w:r w:rsidRPr="00D55B2B">
        <w:rPr>
          <w:rFonts w:ascii="Verdana" w:hAnsi="Verdana"/>
        </w:rPr>
        <w:t>, domestic abuse in Russia is viewed as a private family matter which necessitates minimal state, legal or police intervention</w:t>
      </w:r>
      <w:r w:rsidR="004C77A2" w:rsidRPr="00D55B2B">
        <w:rPr>
          <w:rFonts w:ascii="Verdana" w:hAnsi="Verdana"/>
        </w:rPr>
        <w:t>.</w:t>
      </w:r>
      <w:r w:rsidRPr="00D55B2B">
        <w:rPr>
          <w:rStyle w:val="FootnoteReference"/>
          <w:rFonts w:ascii="Verdana" w:hAnsi="Verdana"/>
        </w:rPr>
        <w:footnoteReference w:id="12"/>
      </w:r>
      <w:r w:rsidRPr="00D55B2B">
        <w:rPr>
          <w:rFonts w:ascii="Verdana" w:hAnsi="Verdana"/>
        </w:rPr>
        <w:t xml:space="preserve"> </w:t>
      </w:r>
      <w:r w:rsidR="00DB3BA8">
        <w:rPr>
          <w:rFonts w:ascii="Verdana" w:hAnsi="Verdana"/>
        </w:rPr>
        <w:t>C</w:t>
      </w:r>
      <w:r w:rsidRPr="00D55B2B">
        <w:rPr>
          <w:rFonts w:ascii="Verdana" w:hAnsi="Verdana"/>
        </w:rPr>
        <w:t xml:space="preserve">ampaigns aimed at raising awareness of </w:t>
      </w:r>
      <w:r w:rsidR="00B330BE" w:rsidRPr="00D55B2B">
        <w:rPr>
          <w:rFonts w:ascii="Verdana" w:hAnsi="Verdana"/>
        </w:rPr>
        <w:t>tackling</w:t>
      </w:r>
      <w:r w:rsidRPr="00D55B2B">
        <w:rPr>
          <w:rFonts w:ascii="Verdana" w:hAnsi="Verdana"/>
        </w:rPr>
        <w:t xml:space="preserve"> domestic violence have met with some success</w:t>
      </w:r>
      <w:r w:rsidR="00825C38" w:rsidRPr="00D55B2B">
        <w:rPr>
          <w:rFonts w:ascii="Verdana" w:hAnsi="Verdana"/>
        </w:rPr>
        <w:t>,</w:t>
      </w:r>
      <w:r w:rsidR="003A7CAA" w:rsidRPr="00D55B2B">
        <w:rPr>
          <w:rStyle w:val="FootnoteReference"/>
          <w:rFonts w:ascii="Verdana" w:hAnsi="Verdana"/>
        </w:rPr>
        <w:footnoteReference w:id="13"/>
      </w:r>
      <w:r w:rsidR="00DB3BA8">
        <w:rPr>
          <w:rFonts w:ascii="Verdana" w:hAnsi="Verdana"/>
        </w:rPr>
        <w:t xml:space="preserve"> but</w:t>
      </w:r>
      <w:r w:rsidR="00E63785" w:rsidRPr="00D55B2B">
        <w:rPr>
          <w:rFonts w:ascii="Verdana" w:hAnsi="Verdana"/>
        </w:rPr>
        <w:t xml:space="preserve"> </w:t>
      </w:r>
      <w:r w:rsidRPr="00D55B2B">
        <w:rPr>
          <w:rFonts w:ascii="Verdana" w:hAnsi="Verdana"/>
        </w:rPr>
        <w:t xml:space="preserve">perceptions of domestic violence in Russia </w:t>
      </w:r>
      <w:r w:rsidR="00DB47DA" w:rsidRPr="00D55B2B">
        <w:rPr>
          <w:rFonts w:ascii="Verdana" w:hAnsi="Verdana"/>
        </w:rPr>
        <w:t>are reported as being</w:t>
      </w:r>
      <w:r w:rsidRPr="00D55B2B">
        <w:rPr>
          <w:rFonts w:ascii="Verdana" w:hAnsi="Verdana"/>
        </w:rPr>
        <w:t xml:space="preserve"> dominated by a </w:t>
      </w:r>
      <w:r w:rsidR="00497427" w:rsidRPr="00D55B2B">
        <w:rPr>
          <w:rFonts w:ascii="Verdana" w:hAnsi="Verdana"/>
        </w:rPr>
        <w:t>‘</w:t>
      </w:r>
      <w:r w:rsidRPr="00D55B2B">
        <w:rPr>
          <w:rFonts w:ascii="Verdana" w:hAnsi="Verdana"/>
        </w:rPr>
        <w:t>renaissance of traditional values’ which reinforce archaic gender norms around a ‘woman’s place’ in the family unit</w:t>
      </w:r>
      <w:r w:rsidR="00825C38" w:rsidRPr="00D55B2B">
        <w:rPr>
          <w:rFonts w:ascii="Verdana" w:hAnsi="Verdana"/>
        </w:rPr>
        <w:t>.</w:t>
      </w:r>
      <w:r w:rsidRPr="00D55B2B">
        <w:rPr>
          <w:rStyle w:val="FootnoteReference"/>
          <w:rFonts w:ascii="Verdana" w:hAnsi="Verdana"/>
        </w:rPr>
        <w:footnoteReference w:id="14"/>
      </w:r>
      <w:r w:rsidRPr="00D55B2B">
        <w:rPr>
          <w:rFonts w:ascii="Verdana" w:hAnsi="Verdana"/>
        </w:rPr>
        <w:t xml:space="preserve"> In a 2015 review on the position in Russia, the Committee on the Elimination of Discrimination against Women noted that they </w:t>
      </w:r>
      <w:r w:rsidR="00787EBE" w:rsidRPr="00D55B2B">
        <w:rPr>
          <w:rFonts w:ascii="Verdana" w:hAnsi="Verdana"/>
        </w:rPr>
        <w:t>were concerned</w:t>
      </w:r>
      <w:r w:rsidRPr="00D55B2B">
        <w:rPr>
          <w:rFonts w:ascii="Verdana" w:hAnsi="Verdana"/>
        </w:rPr>
        <w:t xml:space="preserve"> about the</w:t>
      </w:r>
      <w:r w:rsidR="00212C1F" w:rsidRPr="00D55B2B">
        <w:rPr>
          <w:rFonts w:ascii="Verdana" w:hAnsi="Verdana"/>
        </w:rPr>
        <w:t>:</w:t>
      </w:r>
    </w:p>
    <w:p w14:paraId="6BDE0B01" w14:textId="77777777" w:rsidR="00212C1F" w:rsidRPr="00D55B2B" w:rsidRDefault="00212C1F" w:rsidP="007E262A">
      <w:pPr>
        <w:spacing w:line="360" w:lineRule="auto"/>
        <w:ind w:right="-478"/>
        <w:jc w:val="both"/>
        <w:rPr>
          <w:rFonts w:ascii="Verdana" w:hAnsi="Verdana"/>
        </w:rPr>
      </w:pPr>
    </w:p>
    <w:p w14:paraId="40590F3D" w14:textId="77777777" w:rsidR="00212C1F" w:rsidRPr="00D55B2B" w:rsidRDefault="00B05375" w:rsidP="007E262A">
      <w:pPr>
        <w:spacing w:line="360" w:lineRule="auto"/>
        <w:ind w:left="720" w:right="-478"/>
        <w:jc w:val="both"/>
        <w:rPr>
          <w:rFonts w:ascii="Verdana" w:hAnsi="Verdana"/>
          <w:lang w:val="en-GB"/>
        </w:rPr>
      </w:pPr>
      <w:r w:rsidRPr="00D55B2B">
        <w:rPr>
          <w:rFonts w:ascii="Verdana" w:hAnsi="Verdana"/>
          <w:lang w:val="en-GB"/>
        </w:rPr>
        <w:t>persistence of patriarchal attitudes and stereotypes concerning the roles and responsibilities of women and men in the family and in society, which consider women primarily to be mothers and caregivers, discriminate against women and perpetuate their subordination within the family and society… and perpetuate their unequal status in family relations</w:t>
      </w:r>
      <w:r w:rsidR="00212C1F" w:rsidRPr="00D55B2B">
        <w:rPr>
          <w:rFonts w:ascii="Verdana" w:hAnsi="Verdana"/>
          <w:lang w:val="en-GB"/>
        </w:rPr>
        <w:t>.</w:t>
      </w:r>
      <w:r w:rsidRPr="00D55B2B">
        <w:rPr>
          <w:rStyle w:val="FootnoteReference"/>
          <w:rFonts w:ascii="Verdana" w:hAnsi="Verdana"/>
          <w:lang w:val="en-GB"/>
        </w:rPr>
        <w:footnoteReference w:id="15"/>
      </w:r>
      <w:r w:rsidRPr="00D55B2B">
        <w:rPr>
          <w:rFonts w:ascii="Verdana" w:hAnsi="Verdana"/>
          <w:lang w:val="en-GB"/>
        </w:rPr>
        <w:t xml:space="preserve"> </w:t>
      </w:r>
    </w:p>
    <w:p w14:paraId="33AA63F6" w14:textId="77777777" w:rsidR="00212C1F" w:rsidRPr="00D55B2B" w:rsidRDefault="00212C1F" w:rsidP="007E262A">
      <w:pPr>
        <w:spacing w:line="360" w:lineRule="auto"/>
        <w:ind w:right="-478"/>
        <w:jc w:val="both"/>
        <w:rPr>
          <w:rFonts w:ascii="Verdana" w:hAnsi="Verdana"/>
          <w:lang w:val="en-GB"/>
        </w:rPr>
      </w:pPr>
    </w:p>
    <w:p w14:paraId="2AC9B52D" w14:textId="77777777" w:rsidR="00B05375" w:rsidRPr="00D55B2B" w:rsidRDefault="00B05375" w:rsidP="007E262A">
      <w:pPr>
        <w:spacing w:line="360" w:lineRule="auto"/>
        <w:ind w:right="-478"/>
        <w:jc w:val="both"/>
        <w:rPr>
          <w:rFonts w:ascii="Verdana" w:hAnsi="Verdana"/>
          <w:lang w:val="en-GB"/>
        </w:rPr>
      </w:pPr>
      <w:r w:rsidRPr="00D55B2B">
        <w:rPr>
          <w:rFonts w:ascii="Verdana" w:hAnsi="Verdana"/>
          <w:lang w:val="en-GB"/>
        </w:rPr>
        <w:t xml:space="preserve">The Committee </w:t>
      </w:r>
      <w:r w:rsidR="00283AAB" w:rsidRPr="00D55B2B">
        <w:rPr>
          <w:rFonts w:ascii="Verdana" w:hAnsi="Verdana"/>
          <w:lang w:val="en-GB"/>
        </w:rPr>
        <w:t>also reported</w:t>
      </w:r>
      <w:r w:rsidRPr="00D55B2B">
        <w:rPr>
          <w:rFonts w:ascii="Verdana" w:hAnsi="Verdana"/>
          <w:lang w:val="en-GB"/>
        </w:rPr>
        <w:t xml:space="preserve"> that such stereotypes are one of the root causes of violence against women and therefore it is concerning that the Russian government has not taken any </w:t>
      </w:r>
      <w:r w:rsidR="00212C1F" w:rsidRPr="00D55B2B">
        <w:rPr>
          <w:rFonts w:ascii="Verdana" w:hAnsi="Verdana"/>
          <w:lang w:val="en-GB"/>
        </w:rPr>
        <w:t xml:space="preserve">steps </w:t>
      </w:r>
      <w:r w:rsidRPr="00D55B2B">
        <w:rPr>
          <w:rFonts w:ascii="Verdana" w:hAnsi="Verdana"/>
          <w:lang w:val="en-GB"/>
        </w:rPr>
        <w:t>to modify or eliminate discriminatory stereotypes and negative traditional attitudes. The Committee recommended that Russia put in place a strategy aimed at eliminating patriarchal attitudes concerning the roles and responsibilities of women and men in the family and in society</w:t>
      </w:r>
      <w:r w:rsidR="00825C38" w:rsidRPr="00D55B2B">
        <w:rPr>
          <w:rFonts w:ascii="Verdana" w:hAnsi="Verdana"/>
          <w:lang w:val="en-GB"/>
        </w:rPr>
        <w:t>.</w:t>
      </w:r>
      <w:r w:rsidRPr="00D55B2B">
        <w:rPr>
          <w:rStyle w:val="FootnoteReference"/>
          <w:rFonts w:ascii="Verdana" w:hAnsi="Verdana"/>
          <w:lang w:val="en-GB"/>
        </w:rPr>
        <w:footnoteReference w:id="16"/>
      </w:r>
    </w:p>
    <w:p w14:paraId="17384CE7" w14:textId="77777777" w:rsidR="00406BEC" w:rsidRPr="00D55B2B" w:rsidRDefault="00406BEC" w:rsidP="007E262A">
      <w:pPr>
        <w:spacing w:line="360" w:lineRule="auto"/>
        <w:ind w:right="-478"/>
        <w:jc w:val="both"/>
        <w:rPr>
          <w:rFonts w:ascii="Verdana" w:hAnsi="Verdana"/>
        </w:rPr>
      </w:pPr>
    </w:p>
    <w:p w14:paraId="65EAED51" w14:textId="77777777" w:rsidR="00B05375" w:rsidRPr="00D55B2B" w:rsidRDefault="00B05375" w:rsidP="007E262A">
      <w:pPr>
        <w:spacing w:line="360" w:lineRule="auto"/>
        <w:ind w:right="-478"/>
        <w:jc w:val="both"/>
        <w:rPr>
          <w:rFonts w:ascii="Verdana" w:hAnsi="Verdana"/>
        </w:rPr>
      </w:pPr>
      <w:r w:rsidRPr="00D55B2B">
        <w:rPr>
          <w:rFonts w:ascii="Verdana" w:hAnsi="Verdana"/>
        </w:rPr>
        <w:t>The scale of domestic abuse in Russia is largely unknown. This is p</w:t>
      </w:r>
      <w:r w:rsidR="00CD60CC" w:rsidRPr="00D55B2B">
        <w:rPr>
          <w:rFonts w:ascii="Verdana" w:hAnsi="Verdana"/>
        </w:rPr>
        <w:t>rincipally</w:t>
      </w:r>
      <w:r w:rsidRPr="00D55B2B">
        <w:rPr>
          <w:rFonts w:ascii="Verdana" w:hAnsi="Verdana"/>
        </w:rPr>
        <w:t xml:space="preserve"> because, unlike the UK government, Russia has not sought to implement a statutory definition of ‘domestic abuse’</w:t>
      </w:r>
      <w:r w:rsidR="00F80254" w:rsidRPr="00D55B2B">
        <w:rPr>
          <w:rFonts w:ascii="Verdana" w:hAnsi="Verdana"/>
        </w:rPr>
        <w:t>,</w:t>
      </w:r>
      <w:r w:rsidRPr="00D55B2B">
        <w:rPr>
          <w:rFonts w:ascii="Verdana" w:hAnsi="Verdana"/>
        </w:rPr>
        <w:t xml:space="preserve"> which creates difficulty in clarifying </w:t>
      </w:r>
      <w:r w:rsidR="00F80254" w:rsidRPr="00D55B2B">
        <w:rPr>
          <w:rFonts w:ascii="Verdana" w:hAnsi="Verdana"/>
        </w:rPr>
        <w:t xml:space="preserve">the parameters of </w:t>
      </w:r>
      <w:r w:rsidRPr="00D55B2B">
        <w:rPr>
          <w:rFonts w:ascii="Verdana" w:hAnsi="Verdana"/>
        </w:rPr>
        <w:t xml:space="preserve">behaviour </w:t>
      </w:r>
      <w:r w:rsidR="00F80254" w:rsidRPr="00D55B2B">
        <w:rPr>
          <w:rFonts w:ascii="Verdana" w:hAnsi="Verdana"/>
        </w:rPr>
        <w:t xml:space="preserve">that will </w:t>
      </w:r>
      <w:r w:rsidRPr="00D55B2B">
        <w:rPr>
          <w:rFonts w:ascii="Verdana" w:hAnsi="Verdana"/>
        </w:rPr>
        <w:t>fall within its remit. In addition, because domestic abuse is not seen as a government concern, let alone a priority, the Russian government does not collect centralised statistics on domestic abuse. In any event, the lack of legal recognition of domestic abuse as a criminal matter makes collecting data in Russia a futile task. Russia is one of only three countries in Europe and Central Asia which does not recognise domestic violence as a discrete offence</w:t>
      </w:r>
      <w:r w:rsidR="00625255" w:rsidRPr="00D55B2B">
        <w:rPr>
          <w:rFonts w:ascii="Verdana" w:hAnsi="Verdana"/>
        </w:rPr>
        <w:t>.</w:t>
      </w:r>
      <w:r w:rsidRPr="00D55B2B">
        <w:rPr>
          <w:rStyle w:val="FootnoteReference"/>
          <w:rFonts w:ascii="Verdana" w:hAnsi="Verdana"/>
        </w:rPr>
        <w:footnoteReference w:id="17"/>
      </w:r>
      <w:r w:rsidRPr="00D55B2B">
        <w:rPr>
          <w:rFonts w:ascii="Verdana" w:hAnsi="Verdana"/>
        </w:rPr>
        <w:t xml:space="preserve"> </w:t>
      </w:r>
      <w:r w:rsidR="00DB43CD">
        <w:rPr>
          <w:rFonts w:ascii="Verdana" w:hAnsi="Verdana"/>
        </w:rPr>
        <w:t>T</w:t>
      </w:r>
      <w:r w:rsidRPr="00D55B2B">
        <w:rPr>
          <w:rFonts w:ascii="Verdana" w:hAnsi="Verdana"/>
        </w:rPr>
        <w:t>here is currently no legal recognition of coercive and controlling behaviour, economic abuse, emotional abuse, honour violence,</w:t>
      </w:r>
      <w:r w:rsidR="00DB3BA8">
        <w:rPr>
          <w:rFonts w:ascii="Verdana" w:hAnsi="Verdana"/>
        </w:rPr>
        <w:t xml:space="preserve"> and</w:t>
      </w:r>
      <w:r w:rsidRPr="00D55B2B">
        <w:rPr>
          <w:rFonts w:ascii="Verdana" w:hAnsi="Verdana"/>
        </w:rPr>
        <w:t xml:space="preserve"> stalking or harassment. Victims of these offences therefore have no legal recourse under the criminal justice system against their perpetrators. As such, any representation of the scale of the Russia’s domestic abuse problem would be grossly distorted</w:t>
      </w:r>
      <w:r w:rsidR="00F450B5" w:rsidRPr="00D55B2B">
        <w:rPr>
          <w:rFonts w:ascii="Verdana" w:hAnsi="Verdana"/>
        </w:rPr>
        <w:t xml:space="preserve">. </w:t>
      </w:r>
      <w:r w:rsidRPr="00D55B2B">
        <w:rPr>
          <w:rFonts w:ascii="Verdana" w:hAnsi="Verdana"/>
        </w:rPr>
        <w:t xml:space="preserve"> </w:t>
      </w:r>
    </w:p>
    <w:p w14:paraId="009F2D7F" w14:textId="77777777" w:rsidR="00B05375" w:rsidRPr="00D55B2B" w:rsidRDefault="00B05375" w:rsidP="007E262A">
      <w:pPr>
        <w:spacing w:line="360" w:lineRule="auto"/>
        <w:ind w:right="-478"/>
        <w:jc w:val="both"/>
        <w:rPr>
          <w:rFonts w:ascii="Verdana" w:hAnsi="Verdana"/>
        </w:rPr>
      </w:pPr>
    </w:p>
    <w:p w14:paraId="75A11848" w14:textId="702096DB" w:rsidR="00EA7EC8" w:rsidRPr="00D55B2B" w:rsidRDefault="00B05375" w:rsidP="007E262A">
      <w:pPr>
        <w:spacing w:line="360" w:lineRule="auto"/>
        <w:ind w:right="-478"/>
        <w:jc w:val="both"/>
        <w:rPr>
          <w:rFonts w:ascii="Verdana" w:hAnsi="Verdana"/>
        </w:rPr>
      </w:pPr>
      <w:r w:rsidRPr="00D55B2B">
        <w:rPr>
          <w:rFonts w:ascii="Verdana" w:hAnsi="Verdana"/>
        </w:rPr>
        <w:t xml:space="preserve">Nonetheless, family violence is </w:t>
      </w:r>
      <w:r w:rsidR="002B5CAD" w:rsidRPr="00D55B2B">
        <w:rPr>
          <w:rFonts w:ascii="Verdana" w:hAnsi="Verdana"/>
        </w:rPr>
        <w:t xml:space="preserve">reported to be </w:t>
      </w:r>
      <w:r w:rsidRPr="00D55B2B">
        <w:rPr>
          <w:rFonts w:ascii="Verdana" w:hAnsi="Verdana"/>
        </w:rPr>
        <w:t>an endemic and gendered social problem in Russia. Johnson</w:t>
      </w:r>
      <w:r w:rsidR="00F77455">
        <w:rPr>
          <w:rFonts w:ascii="Verdana" w:hAnsi="Verdana"/>
        </w:rPr>
        <w:t>’s 2001 study</w:t>
      </w:r>
      <w:r w:rsidRPr="00D55B2B">
        <w:rPr>
          <w:rFonts w:ascii="Verdana" w:hAnsi="Verdana"/>
        </w:rPr>
        <w:t xml:space="preserve"> </w:t>
      </w:r>
      <w:r w:rsidR="007D24A0" w:rsidRPr="00D55B2B">
        <w:rPr>
          <w:rFonts w:ascii="Verdana" w:hAnsi="Verdana"/>
        </w:rPr>
        <w:t xml:space="preserve">found </w:t>
      </w:r>
      <w:r w:rsidRPr="00D55B2B">
        <w:rPr>
          <w:rFonts w:ascii="Verdana" w:hAnsi="Verdana"/>
        </w:rPr>
        <w:t>that intimate partner violence in Russia takes many forms including emotional and psychological torture, beating, sexual violence and murder</w:t>
      </w:r>
      <w:r w:rsidR="007177E8" w:rsidRPr="00D55B2B">
        <w:rPr>
          <w:rFonts w:ascii="Verdana" w:hAnsi="Verdana"/>
        </w:rPr>
        <w:t>.</w:t>
      </w:r>
      <w:r w:rsidRPr="00D55B2B">
        <w:rPr>
          <w:rStyle w:val="FootnoteReference"/>
          <w:rFonts w:ascii="Verdana" w:hAnsi="Verdana"/>
        </w:rPr>
        <w:footnoteReference w:id="18"/>
      </w:r>
      <w:r w:rsidRPr="00D55B2B">
        <w:rPr>
          <w:rFonts w:ascii="Verdana" w:hAnsi="Verdana"/>
        </w:rPr>
        <w:t xml:space="preserve"> Johnson’s findings are supported by the Russian Ministry of Internal Affairs which report that 40% of violent crimes take place within the family</w:t>
      </w:r>
      <w:r w:rsidR="007177E8" w:rsidRPr="00D55B2B">
        <w:rPr>
          <w:rFonts w:ascii="Verdana" w:hAnsi="Verdana"/>
        </w:rPr>
        <w:t>,</w:t>
      </w:r>
      <w:r w:rsidRPr="00D55B2B">
        <w:rPr>
          <w:rStyle w:val="FootnoteReference"/>
          <w:rFonts w:ascii="Verdana" w:hAnsi="Verdana"/>
        </w:rPr>
        <w:footnoteReference w:id="19"/>
      </w:r>
      <w:r w:rsidRPr="00D55B2B">
        <w:rPr>
          <w:rFonts w:ascii="Verdana" w:hAnsi="Verdana"/>
        </w:rPr>
        <w:t xml:space="preserve"> 74% of victims of abuse are women and in 91% of cases, violence was perpetrated by a husband</w:t>
      </w:r>
      <w:r w:rsidR="007177E8" w:rsidRPr="00D55B2B">
        <w:rPr>
          <w:rFonts w:ascii="Verdana" w:hAnsi="Verdana"/>
        </w:rPr>
        <w:t>.</w:t>
      </w:r>
      <w:r w:rsidRPr="00D55B2B">
        <w:rPr>
          <w:rStyle w:val="FootnoteReference"/>
          <w:rFonts w:ascii="Verdana" w:hAnsi="Verdana"/>
        </w:rPr>
        <w:footnoteReference w:id="20"/>
      </w:r>
      <w:r w:rsidRPr="00D55B2B">
        <w:rPr>
          <w:rFonts w:ascii="Verdana" w:hAnsi="Verdana"/>
        </w:rPr>
        <w:t xml:space="preserve"> On a conservative estimate, it is believed that 30% to 40% of murders take place in the family</w:t>
      </w:r>
      <w:r w:rsidR="005D70E5" w:rsidRPr="00D55B2B">
        <w:rPr>
          <w:rFonts w:ascii="Verdana" w:hAnsi="Verdana"/>
        </w:rPr>
        <w:t>.</w:t>
      </w:r>
      <w:r w:rsidRPr="00D55B2B">
        <w:rPr>
          <w:rStyle w:val="FootnoteReference"/>
          <w:rFonts w:ascii="Verdana" w:hAnsi="Verdana"/>
        </w:rPr>
        <w:footnoteReference w:id="21"/>
      </w:r>
      <w:r w:rsidRPr="00D55B2B">
        <w:rPr>
          <w:rFonts w:ascii="Verdana" w:hAnsi="Verdana"/>
        </w:rPr>
        <w:t xml:space="preserve"> </w:t>
      </w:r>
      <w:r w:rsidR="00B43613" w:rsidRPr="00D55B2B">
        <w:rPr>
          <w:rFonts w:ascii="Verdana" w:hAnsi="Verdana"/>
          <w:lang w:val="en-GB"/>
        </w:rPr>
        <w:t xml:space="preserve">This mirrors statistics from the World Health Organisation </w:t>
      </w:r>
      <w:r w:rsidR="009E6B57" w:rsidRPr="00D55B2B">
        <w:rPr>
          <w:rFonts w:ascii="Verdana" w:hAnsi="Verdana"/>
          <w:lang w:val="en-GB"/>
        </w:rPr>
        <w:t xml:space="preserve">which </w:t>
      </w:r>
      <w:r w:rsidR="00B43613" w:rsidRPr="00D55B2B">
        <w:rPr>
          <w:rFonts w:ascii="Verdana" w:hAnsi="Verdana"/>
          <w:lang w:val="en-GB"/>
        </w:rPr>
        <w:t xml:space="preserve">estimate that approximately 38% of all murders of women </w:t>
      </w:r>
      <w:r w:rsidR="00A34BA8" w:rsidRPr="00D55B2B">
        <w:rPr>
          <w:rFonts w:ascii="Verdana" w:hAnsi="Verdana"/>
          <w:lang w:val="en-GB"/>
        </w:rPr>
        <w:t xml:space="preserve">worldwide </w:t>
      </w:r>
      <w:r w:rsidR="00B43613" w:rsidRPr="00D55B2B">
        <w:rPr>
          <w:rFonts w:ascii="Verdana" w:hAnsi="Verdana"/>
          <w:lang w:val="en-GB"/>
        </w:rPr>
        <w:t>are committed by intimate partners</w:t>
      </w:r>
      <w:r w:rsidR="00F776BD" w:rsidRPr="00D55B2B">
        <w:rPr>
          <w:rFonts w:ascii="Verdana" w:hAnsi="Verdana"/>
          <w:lang w:val="en-GB"/>
        </w:rPr>
        <w:t>.</w:t>
      </w:r>
      <w:r w:rsidR="00B43613" w:rsidRPr="00D55B2B">
        <w:rPr>
          <w:rStyle w:val="FootnoteReference"/>
          <w:rFonts w:ascii="Verdana" w:hAnsi="Verdana"/>
          <w:lang w:val="en-GB"/>
        </w:rPr>
        <w:footnoteReference w:id="22"/>
      </w:r>
      <w:r w:rsidR="00F71DBC" w:rsidRPr="00D55B2B">
        <w:rPr>
          <w:rFonts w:ascii="Verdana" w:hAnsi="Verdana"/>
        </w:rPr>
        <w:t xml:space="preserve"> </w:t>
      </w:r>
      <w:r w:rsidR="006552D7" w:rsidRPr="00D55B2B">
        <w:rPr>
          <w:rFonts w:ascii="Verdana" w:hAnsi="Verdana"/>
        </w:rPr>
        <w:t xml:space="preserve">In Russia, this </w:t>
      </w:r>
      <w:r w:rsidRPr="00D55B2B">
        <w:rPr>
          <w:rFonts w:ascii="Verdana" w:hAnsi="Verdana"/>
        </w:rPr>
        <w:t>equates to approximately 14,000 women and 2,000 children being murdered annually as a result of family violence</w:t>
      </w:r>
      <w:r w:rsidR="001069C4" w:rsidRPr="00D55B2B">
        <w:rPr>
          <w:rFonts w:ascii="Verdana" w:hAnsi="Verdana"/>
        </w:rPr>
        <w:t>.</w:t>
      </w:r>
      <w:r w:rsidRPr="00D55B2B">
        <w:rPr>
          <w:rStyle w:val="FootnoteReference"/>
          <w:rFonts w:ascii="Verdana" w:hAnsi="Verdana"/>
        </w:rPr>
        <w:footnoteReference w:id="23"/>
      </w:r>
      <w:r w:rsidRPr="00D55B2B">
        <w:rPr>
          <w:rFonts w:ascii="Verdana" w:hAnsi="Verdana"/>
        </w:rPr>
        <w:t xml:space="preserve"> These figures will be a gross underestimation, because regressive attitudes towards domestic abuse mean that reporting family violence is discouraged as undermining family honour</w:t>
      </w:r>
      <w:r w:rsidR="00A42DED" w:rsidRPr="00D55B2B">
        <w:rPr>
          <w:rFonts w:ascii="Verdana" w:hAnsi="Verdana"/>
        </w:rPr>
        <w:t>.</w:t>
      </w:r>
      <w:r w:rsidRPr="00D55B2B">
        <w:rPr>
          <w:rFonts w:ascii="Verdana" w:hAnsi="Verdana"/>
        </w:rPr>
        <w:t xml:space="preserve"> </w:t>
      </w:r>
      <w:r w:rsidR="00A42DED" w:rsidRPr="00D55B2B">
        <w:rPr>
          <w:rFonts w:ascii="Verdana" w:hAnsi="Verdana"/>
        </w:rPr>
        <w:t>T</w:t>
      </w:r>
      <w:r w:rsidRPr="00D55B2B">
        <w:rPr>
          <w:rFonts w:ascii="Verdana" w:hAnsi="Verdana"/>
        </w:rPr>
        <w:t xml:space="preserve">hose victims who do report abuse often find ‘extreme difficulty’ in </w:t>
      </w:r>
      <w:r w:rsidR="00172591" w:rsidRPr="00D55B2B">
        <w:rPr>
          <w:rFonts w:ascii="Verdana" w:hAnsi="Verdana"/>
        </w:rPr>
        <w:t>securing</w:t>
      </w:r>
      <w:r w:rsidRPr="00D55B2B">
        <w:rPr>
          <w:rFonts w:ascii="Verdana" w:hAnsi="Verdana"/>
        </w:rPr>
        <w:t xml:space="preserve"> help from the police</w:t>
      </w:r>
      <w:r w:rsidR="0006177D" w:rsidRPr="00D55B2B">
        <w:rPr>
          <w:rFonts w:ascii="Verdana" w:hAnsi="Verdana"/>
        </w:rPr>
        <w:t xml:space="preserve"> or state organisations</w:t>
      </w:r>
      <w:r w:rsidRPr="00D55B2B">
        <w:rPr>
          <w:rFonts w:ascii="Verdana" w:hAnsi="Verdana"/>
        </w:rPr>
        <w:t xml:space="preserve"> as their calls are ignored or cases are not investigated</w:t>
      </w:r>
      <w:r w:rsidR="00005D24" w:rsidRPr="00D55B2B">
        <w:rPr>
          <w:rFonts w:ascii="Verdana" w:hAnsi="Verdana"/>
        </w:rPr>
        <w:t>.</w:t>
      </w:r>
      <w:r w:rsidRPr="00D55B2B">
        <w:rPr>
          <w:rStyle w:val="FootnoteReference"/>
          <w:rFonts w:ascii="Verdana" w:hAnsi="Verdana"/>
        </w:rPr>
        <w:footnoteReference w:id="24"/>
      </w:r>
      <w:r w:rsidRPr="00D55B2B">
        <w:rPr>
          <w:rFonts w:ascii="Verdana" w:hAnsi="Verdana"/>
        </w:rPr>
        <w:t xml:space="preserve"> It has been reported that police frequently tell victims that domestic abuse does not fall within their jurisdiction</w:t>
      </w:r>
      <w:r w:rsidRPr="00D55B2B">
        <w:rPr>
          <w:rStyle w:val="FootnoteReference"/>
          <w:rFonts w:ascii="Verdana" w:hAnsi="Verdana"/>
        </w:rPr>
        <w:footnoteReference w:id="25"/>
      </w:r>
      <w:r w:rsidR="00141E6D" w:rsidRPr="00D55B2B">
        <w:rPr>
          <w:rFonts w:ascii="Verdana" w:hAnsi="Verdana"/>
        </w:rPr>
        <w:t xml:space="preserve"> </w:t>
      </w:r>
      <w:r w:rsidRPr="00D55B2B">
        <w:rPr>
          <w:rFonts w:ascii="Verdana" w:hAnsi="Verdana"/>
        </w:rPr>
        <w:t>and that</w:t>
      </w:r>
      <w:r w:rsidR="003005FC" w:rsidRPr="00D55B2B">
        <w:rPr>
          <w:rFonts w:ascii="Verdana" w:hAnsi="Verdana"/>
        </w:rPr>
        <w:t xml:space="preserve"> victims </w:t>
      </w:r>
      <w:r w:rsidRPr="00D55B2B">
        <w:rPr>
          <w:rFonts w:ascii="Verdana" w:hAnsi="Verdana"/>
        </w:rPr>
        <w:t>should “come a</w:t>
      </w:r>
      <w:r w:rsidR="00C82208" w:rsidRPr="00D55B2B">
        <w:rPr>
          <w:rFonts w:ascii="Verdana" w:hAnsi="Verdana"/>
        </w:rPr>
        <w:t>nd see us after he’s killed you</w:t>
      </w:r>
      <w:r w:rsidR="00D07F37">
        <w:rPr>
          <w:rFonts w:ascii="Verdana" w:hAnsi="Verdana"/>
        </w:rPr>
        <w:t>’</w:t>
      </w:r>
      <w:r w:rsidR="00C82208" w:rsidRPr="00D55B2B">
        <w:rPr>
          <w:rFonts w:ascii="Verdana" w:hAnsi="Verdana"/>
        </w:rPr>
        <w:t>.</w:t>
      </w:r>
      <w:r w:rsidRPr="00D55B2B">
        <w:rPr>
          <w:rStyle w:val="FootnoteReference"/>
          <w:rFonts w:ascii="Verdana" w:hAnsi="Verdana"/>
        </w:rPr>
        <w:footnoteReference w:id="26"/>
      </w:r>
      <w:r w:rsidRPr="00D55B2B">
        <w:rPr>
          <w:rFonts w:ascii="Verdana" w:hAnsi="Verdana"/>
        </w:rPr>
        <w:t xml:space="preserve"> </w:t>
      </w:r>
      <w:r w:rsidR="00910053" w:rsidRPr="00D55B2B">
        <w:rPr>
          <w:rFonts w:ascii="Verdana" w:hAnsi="Verdana"/>
        </w:rPr>
        <w:t xml:space="preserve">This </w:t>
      </w:r>
      <w:r w:rsidR="00EA7EC8" w:rsidRPr="00D55B2B">
        <w:rPr>
          <w:rFonts w:ascii="Verdana" w:hAnsi="Verdana"/>
        </w:rPr>
        <w:t xml:space="preserve">reflects </w:t>
      </w:r>
      <w:r w:rsidR="001F0853" w:rsidRPr="00D55B2B">
        <w:rPr>
          <w:rFonts w:ascii="Verdana" w:hAnsi="Verdana"/>
        </w:rPr>
        <w:t xml:space="preserve">an </w:t>
      </w:r>
      <w:r w:rsidR="00771841" w:rsidRPr="00D55B2B">
        <w:rPr>
          <w:rFonts w:ascii="Verdana" w:hAnsi="Verdana"/>
        </w:rPr>
        <w:t>archaic</w:t>
      </w:r>
      <w:r w:rsidR="001F0853" w:rsidRPr="00D55B2B">
        <w:rPr>
          <w:rFonts w:ascii="Verdana" w:hAnsi="Verdana"/>
        </w:rPr>
        <w:t xml:space="preserve"> English adage </w:t>
      </w:r>
      <w:r w:rsidR="00C727BC" w:rsidRPr="00D55B2B">
        <w:rPr>
          <w:rFonts w:ascii="Verdana" w:hAnsi="Verdana"/>
        </w:rPr>
        <w:t xml:space="preserve">in which </w:t>
      </w:r>
      <w:r w:rsidR="009474B5" w:rsidRPr="00D55B2B">
        <w:rPr>
          <w:rFonts w:ascii="Verdana" w:hAnsi="Verdana"/>
        </w:rPr>
        <w:t xml:space="preserve">incidents </w:t>
      </w:r>
      <w:r w:rsidR="00C727BC" w:rsidRPr="00D55B2B">
        <w:rPr>
          <w:rFonts w:ascii="Verdana" w:hAnsi="Verdana"/>
        </w:rPr>
        <w:t xml:space="preserve">were dismissed </w:t>
      </w:r>
      <w:r w:rsidR="00C82208" w:rsidRPr="00D55B2B">
        <w:rPr>
          <w:rFonts w:ascii="Verdana" w:hAnsi="Verdana"/>
        </w:rPr>
        <w:t>as “just a domestic</w:t>
      </w:r>
      <w:r w:rsidR="00DB43CD">
        <w:rPr>
          <w:rFonts w:ascii="Verdana" w:hAnsi="Verdana"/>
        </w:rPr>
        <w:t>”</w:t>
      </w:r>
      <w:r w:rsidR="005B79D4" w:rsidRPr="00D55B2B">
        <w:rPr>
          <w:rFonts w:ascii="Verdana" w:hAnsi="Verdana"/>
        </w:rPr>
        <w:t xml:space="preserve">, indicating </w:t>
      </w:r>
      <w:r w:rsidR="00382C2D" w:rsidRPr="00D55B2B">
        <w:rPr>
          <w:rFonts w:ascii="Verdana" w:hAnsi="Verdana"/>
        </w:rPr>
        <w:t xml:space="preserve">that they could be </w:t>
      </w:r>
      <w:r w:rsidR="00EA7EC8" w:rsidRPr="00D55B2B">
        <w:rPr>
          <w:rFonts w:ascii="Verdana" w:hAnsi="Verdana"/>
        </w:rPr>
        <w:t>resolved within the family without the intervention of the criminal justice system</w:t>
      </w:r>
      <w:r w:rsidR="00456B53" w:rsidRPr="00D55B2B">
        <w:rPr>
          <w:rFonts w:ascii="Verdana" w:hAnsi="Verdana"/>
        </w:rPr>
        <w:t xml:space="preserve">. </w:t>
      </w:r>
      <w:r w:rsidR="00265DC7">
        <w:rPr>
          <w:rFonts w:ascii="Verdana" w:hAnsi="Verdana"/>
        </w:rPr>
        <w:t>As this article will go on to consider,</w:t>
      </w:r>
      <w:r w:rsidR="00265DC7" w:rsidRPr="00D55B2B">
        <w:rPr>
          <w:rFonts w:ascii="Verdana" w:hAnsi="Verdana"/>
        </w:rPr>
        <w:t xml:space="preserve"> </w:t>
      </w:r>
      <w:r w:rsidR="00265DC7">
        <w:rPr>
          <w:rFonts w:ascii="Verdana" w:hAnsi="Verdana"/>
        </w:rPr>
        <w:t>i</w:t>
      </w:r>
      <w:r w:rsidR="004B6081" w:rsidRPr="00D55B2B">
        <w:rPr>
          <w:rFonts w:ascii="Verdana" w:hAnsi="Verdana"/>
        </w:rPr>
        <w:t>n contrast to the position in England and Wales,</w:t>
      </w:r>
      <w:r w:rsidR="00F44011">
        <w:rPr>
          <w:rFonts w:ascii="Verdana" w:hAnsi="Verdana"/>
        </w:rPr>
        <w:t xml:space="preserve"> </w:t>
      </w:r>
      <w:r w:rsidR="004B6081" w:rsidRPr="00D55B2B">
        <w:rPr>
          <w:rFonts w:ascii="Verdana" w:hAnsi="Verdana"/>
        </w:rPr>
        <w:t xml:space="preserve">the Russian response to domestic abuse </w:t>
      </w:r>
      <w:r w:rsidR="00394479">
        <w:rPr>
          <w:rFonts w:ascii="Verdana" w:hAnsi="Verdana"/>
        </w:rPr>
        <w:t>is arguably</w:t>
      </w:r>
      <w:r w:rsidR="000853FF">
        <w:rPr>
          <w:rFonts w:ascii="Verdana" w:hAnsi="Verdana"/>
        </w:rPr>
        <w:t xml:space="preserve"> </w:t>
      </w:r>
      <w:r w:rsidR="004B6081" w:rsidRPr="00D55B2B">
        <w:rPr>
          <w:rFonts w:ascii="Verdana" w:hAnsi="Verdana"/>
        </w:rPr>
        <w:t>characterised by a lack of</w:t>
      </w:r>
      <w:r w:rsidR="00554057" w:rsidRPr="00D55B2B">
        <w:rPr>
          <w:rFonts w:ascii="Verdana" w:hAnsi="Verdana"/>
        </w:rPr>
        <w:t xml:space="preserve"> government accountability to resolve the issues, minimal</w:t>
      </w:r>
      <w:r w:rsidR="004B6081" w:rsidRPr="00D55B2B">
        <w:rPr>
          <w:rFonts w:ascii="Verdana" w:hAnsi="Verdana"/>
        </w:rPr>
        <w:t xml:space="preserve"> </w:t>
      </w:r>
      <w:r w:rsidR="00554057" w:rsidRPr="00D55B2B">
        <w:rPr>
          <w:rFonts w:ascii="Verdana" w:hAnsi="Verdana"/>
        </w:rPr>
        <w:t xml:space="preserve">criminal and civil protection and fledgling investment into </w:t>
      </w:r>
      <w:r w:rsidR="0018066E" w:rsidRPr="00D55B2B">
        <w:rPr>
          <w:rFonts w:ascii="Verdana" w:hAnsi="Verdana"/>
        </w:rPr>
        <w:t xml:space="preserve">much needed </w:t>
      </w:r>
      <w:r w:rsidR="00554057" w:rsidRPr="00D55B2B">
        <w:rPr>
          <w:rFonts w:ascii="Verdana" w:hAnsi="Verdana"/>
        </w:rPr>
        <w:t>support services</w:t>
      </w:r>
      <w:r w:rsidR="00CA51E7">
        <w:rPr>
          <w:rStyle w:val="FootnoteReference"/>
          <w:rFonts w:ascii="Verdana" w:hAnsi="Verdana"/>
        </w:rPr>
        <w:footnoteReference w:id="27"/>
      </w:r>
      <w:r w:rsidR="00554057" w:rsidRPr="00D55B2B">
        <w:rPr>
          <w:rFonts w:ascii="Verdana" w:hAnsi="Verdana"/>
        </w:rPr>
        <w:t>.</w:t>
      </w:r>
    </w:p>
    <w:p w14:paraId="402D765F" w14:textId="77777777" w:rsidR="002C00F1" w:rsidRPr="00D55B2B" w:rsidRDefault="002C00F1" w:rsidP="007E262A">
      <w:pPr>
        <w:spacing w:line="360" w:lineRule="auto"/>
        <w:ind w:right="-478"/>
        <w:jc w:val="both"/>
        <w:rPr>
          <w:rFonts w:ascii="Verdana" w:hAnsi="Verdana"/>
        </w:rPr>
      </w:pPr>
    </w:p>
    <w:p w14:paraId="2B22F567" w14:textId="77777777" w:rsidR="00E8469D" w:rsidRPr="00D55B2B" w:rsidRDefault="0008095C" w:rsidP="007E262A">
      <w:pPr>
        <w:spacing w:line="360" w:lineRule="auto"/>
        <w:ind w:right="-478"/>
        <w:jc w:val="both"/>
        <w:rPr>
          <w:rFonts w:ascii="Verdana" w:hAnsi="Verdana"/>
        </w:rPr>
      </w:pPr>
      <w:r w:rsidRPr="00D55B2B">
        <w:rPr>
          <w:rFonts w:ascii="Verdana" w:hAnsi="Verdana"/>
        </w:rPr>
        <w:t xml:space="preserve">This article will compare the seemingly opposite approaches to domestic abuse adopted by England and Wales and Russia. The first part of the article will set out the legal </w:t>
      </w:r>
      <w:r w:rsidR="004E29AB" w:rsidRPr="00D55B2B">
        <w:rPr>
          <w:rFonts w:ascii="Verdana" w:hAnsi="Verdana"/>
        </w:rPr>
        <w:t xml:space="preserve">and policy </w:t>
      </w:r>
      <w:r w:rsidRPr="00D55B2B">
        <w:rPr>
          <w:rFonts w:ascii="Verdana" w:hAnsi="Verdana"/>
        </w:rPr>
        <w:t>frameworks for responding to domestic abuse in England and Wales and the Russian Federation. The second part of the article will examine the effectiveness of both approaches in deterring domestic violence, providing adequate support for victims and meeting state obligations under international law.</w:t>
      </w:r>
      <w:r w:rsidR="00410AB6" w:rsidRPr="00D55B2B">
        <w:rPr>
          <w:rFonts w:ascii="Verdana" w:hAnsi="Verdana"/>
        </w:rPr>
        <w:t xml:space="preserve"> Throughout the article</w:t>
      </w:r>
      <w:r w:rsidR="004449C3" w:rsidRPr="00D55B2B">
        <w:rPr>
          <w:rFonts w:ascii="Verdana" w:hAnsi="Verdana"/>
        </w:rPr>
        <w:t xml:space="preserve">, suggestions will be made </w:t>
      </w:r>
      <w:r w:rsidR="00EC0926" w:rsidRPr="00D55B2B">
        <w:rPr>
          <w:rFonts w:ascii="Verdana" w:hAnsi="Verdana"/>
        </w:rPr>
        <w:t>as to the ways in which victims</w:t>
      </w:r>
      <w:r w:rsidR="00A51F93" w:rsidRPr="00D55B2B">
        <w:rPr>
          <w:rFonts w:ascii="Verdana" w:hAnsi="Verdana"/>
        </w:rPr>
        <w:t xml:space="preserve"> of domestic abuse</w:t>
      </w:r>
      <w:r w:rsidR="00EC0926" w:rsidRPr="00D55B2B">
        <w:rPr>
          <w:rFonts w:ascii="Verdana" w:hAnsi="Verdana"/>
        </w:rPr>
        <w:t xml:space="preserve"> could be better supported. </w:t>
      </w:r>
    </w:p>
    <w:p w14:paraId="1BACA402" w14:textId="77777777" w:rsidR="00910053" w:rsidRPr="00D55B2B" w:rsidRDefault="00910053" w:rsidP="007E262A">
      <w:pPr>
        <w:spacing w:line="360" w:lineRule="auto"/>
        <w:ind w:right="-478"/>
        <w:jc w:val="both"/>
        <w:rPr>
          <w:rFonts w:ascii="Verdana" w:hAnsi="Verdana"/>
        </w:rPr>
      </w:pPr>
    </w:p>
    <w:p w14:paraId="491CB445" w14:textId="77777777" w:rsidR="00383057" w:rsidRPr="00D55B2B" w:rsidRDefault="00F00E25" w:rsidP="007E262A">
      <w:pPr>
        <w:spacing w:line="360" w:lineRule="auto"/>
        <w:ind w:right="-478"/>
        <w:jc w:val="both"/>
        <w:rPr>
          <w:rFonts w:ascii="Verdana" w:hAnsi="Verdana"/>
          <w:b/>
          <w:sz w:val="21"/>
          <w:szCs w:val="21"/>
        </w:rPr>
      </w:pPr>
      <w:r w:rsidRPr="00D55B2B">
        <w:rPr>
          <w:rFonts w:ascii="Verdana" w:hAnsi="Verdana"/>
          <w:b/>
          <w:sz w:val="21"/>
          <w:szCs w:val="21"/>
        </w:rPr>
        <w:t>The domestic abuse framework in England and Wales</w:t>
      </w:r>
    </w:p>
    <w:p w14:paraId="6D3CA935" w14:textId="77777777" w:rsidR="001D0D99" w:rsidRDefault="001F0034" w:rsidP="007E262A">
      <w:pPr>
        <w:spacing w:line="360" w:lineRule="auto"/>
        <w:ind w:right="-478"/>
        <w:jc w:val="both"/>
        <w:rPr>
          <w:rFonts w:ascii="Verdana" w:hAnsi="Verdana"/>
          <w:lang w:val="en-GB"/>
        </w:rPr>
      </w:pPr>
      <w:r>
        <w:rPr>
          <w:rFonts w:ascii="Verdana" w:hAnsi="Verdana"/>
          <w:lang w:val="en-GB"/>
        </w:rPr>
        <w:t xml:space="preserve">This section will consider the criminal, civil and family justice response to domestic abuse in England and Wales. </w:t>
      </w:r>
      <w:r w:rsidR="002954A9">
        <w:rPr>
          <w:rFonts w:ascii="Verdana" w:hAnsi="Verdana"/>
          <w:lang w:val="en-GB"/>
        </w:rPr>
        <w:t xml:space="preserve">The </w:t>
      </w:r>
      <w:r w:rsidR="007277BA">
        <w:rPr>
          <w:rFonts w:ascii="Verdana" w:hAnsi="Verdana"/>
          <w:lang w:val="en-GB"/>
        </w:rPr>
        <w:t xml:space="preserve">analysis reveals </w:t>
      </w:r>
      <w:r w:rsidR="00BA1BEC">
        <w:rPr>
          <w:rFonts w:ascii="Verdana" w:hAnsi="Verdana"/>
          <w:lang w:val="en-GB"/>
        </w:rPr>
        <w:t>th</w:t>
      </w:r>
      <w:r w:rsidR="004A1C07">
        <w:rPr>
          <w:rFonts w:ascii="Verdana" w:hAnsi="Verdana"/>
          <w:lang w:val="en-GB"/>
        </w:rPr>
        <w:t>at a key feature of the English response is the</w:t>
      </w:r>
      <w:r w:rsidR="00BA1BEC">
        <w:rPr>
          <w:rFonts w:ascii="Verdana" w:hAnsi="Verdana"/>
          <w:lang w:val="en-GB"/>
        </w:rPr>
        <w:t xml:space="preserve"> sheer </w:t>
      </w:r>
      <w:r w:rsidR="00CE57CE">
        <w:rPr>
          <w:rFonts w:ascii="Verdana" w:hAnsi="Verdana"/>
          <w:lang w:val="en-GB"/>
        </w:rPr>
        <w:t>number</w:t>
      </w:r>
      <w:r w:rsidR="00BA1BEC">
        <w:rPr>
          <w:rFonts w:ascii="Verdana" w:hAnsi="Verdana"/>
          <w:lang w:val="en-GB"/>
        </w:rPr>
        <w:t xml:space="preserve"> of </w:t>
      </w:r>
      <w:r w:rsidR="00EA3058">
        <w:rPr>
          <w:rFonts w:ascii="Verdana" w:hAnsi="Verdana"/>
          <w:lang w:val="en-GB"/>
        </w:rPr>
        <w:t>options</w:t>
      </w:r>
      <w:r w:rsidR="00796FE5">
        <w:rPr>
          <w:rFonts w:ascii="Verdana" w:hAnsi="Verdana"/>
          <w:lang w:val="en-GB"/>
        </w:rPr>
        <w:t xml:space="preserve"> available to </w:t>
      </w:r>
      <w:r w:rsidR="00DF51C7">
        <w:rPr>
          <w:rFonts w:ascii="Verdana" w:hAnsi="Verdana"/>
          <w:lang w:val="en-GB"/>
        </w:rPr>
        <w:t xml:space="preserve">protect </w:t>
      </w:r>
      <w:r w:rsidR="00796FE5">
        <w:rPr>
          <w:rFonts w:ascii="Verdana" w:hAnsi="Verdana"/>
          <w:lang w:val="en-GB"/>
        </w:rPr>
        <w:t>victims</w:t>
      </w:r>
      <w:r w:rsidR="00425925">
        <w:rPr>
          <w:rFonts w:ascii="Verdana" w:hAnsi="Verdana"/>
          <w:lang w:val="en-GB"/>
        </w:rPr>
        <w:t xml:space="preserve"> or punish perpetrators</w:t>
      </w:r>
      <w:r w:rsidR="00364AC3">
        <w:rPr>
          <w:rFonts w:ascii="Verdana" w:hAnsi="Verdana"/>
          <w:lang w:val="en-GB"/>
        </w:rPr>
        <w:t xml:space="preserve">. However, as this </w:t>
      </w:r>
      <w:r w:rsidR="00913939">
        <w:rPr>
          <w:rFonts w:ascii="Verdana" w:hAnsi="Verdana"/>
          <w:lang w:val="en-GB"/>
        </w:rPr>
        <w:t>article will go on to</w:t>
      </w:r>
      <w:r w:rsidR="00364AC3">
        <w:rPr>
          <w:rFonts w:ascii="Verdana" w:hAnsi="Verdana"/>
          <w:lang w:val="en-GB"/>
        </w:rPr>
        <w:t xml:space="preserve"> explore, </w:t>
      </w:r>
      <w:r w:rsidR="00984691">
        <w:rPr>
          <w:rFonts w:ascii="Verdana" w:hAnsi="Verdana"/>
          <w:lang w:val="en-GB"/>
        </w:rPr>
        <w:t xml:space="preserve">the </w:t>
      </w:r>
      <w:r w:rsidR="00927692">
        <w:rPr>
          <w:rFonts w:ascii="Verdana" w:hAnsi="Verdana"/>
          <w:lang w:val="en-GB"/>
        </w:rPr>
        <w:t xml:space="preserve">volume of </w:t>
      </w:r>
      <w:r w:rsidR="00DC06E4">
        <w:rPr>
          <w:rFonts w:ascii="Verdana" w:hAnsi="Verdana"/>
          <w:lang w:val="en-GB"/>
        </w:rPr>
        <w:t xml:space="preserve">protective methods does not </w:t>
      </w:r>
      <w:r w:rsidR="00B75E89">
        <w:rPr>
          <w:rFonts w:ascii="Verdana" w:hAnsi="Verdana"/>
          <w:lang w:val="en-GB"/>
        </w:rPr>
        <w:t>necessarily result in the most effective protection for victims.</w:t>
      </w:r>
      <w:r w:rsidR="00D515D9">
        <w:rPr>
          <w:rFonts w:ascii="Verdana" w:hAnsi="Verdana"/>
          <w:lang w:val="en-GB"/>
        </w:rPr>
        <w:t xml:space="preserve"> This is </w:t>
      </w:r>
      <w:r w:rsidR="00817266">
        <w:rPr>
          <w:rFonts w:ascii="Verdana" w:hAnsi="Verdana"/>
          <w:lang w:val="en-GB"/>
        </w:rPr>
        <w:t xml:space="preserve">partly because of </w:t>
      </w:r>
      <w:r w:rsidR="007D41FC">
        <w:rPr>
          <w:rFonts w:ascii="Verdana" w:hAnsi="Verdana"/>
          <w:lang w:val="en-GB"/>
        </w:rPr>
        <w:t xml:space="preserve">funding cuts which </w:t>
      </w:r>
      <w:r w:rsidR="002B7A5F">
        <w:rPr>
          <w:rFonts w:ascii="Verdana" w:hAnsi="Verdana"/>
          <w:lang w:val="en-GB"/>
        </w:rPr>
        <w:t xml:space="preserve">have resulted in </w:t>
      </w:r>
      <w:r w:rsidR="001D0D99">
        <w:rPr>
          <w:rFonts w:ascii="Verdana" w:hAnsi="Verdana"/>
          <w:lang w:val="en-GB"/>
        </w:rPr>
        <w:t xml:space="preserve">reduced support services to underpin the legal and policy framework. In addition, </w:t>
      </w:r>
      <w:r w:rsidR="00D84739">
        <w:rPr>
          <w:rFonts w:ascii="Verdana" w:hAnsi="Verdana"/>
          <w:lang w:val="en-GB"/>
        </w:rPr>
        <w:t xml:space="preserve">as a result of the complexity of the English approach, the </w:t>
      </w:r>
      <w:r w:rsidR="001D0D99">
        <w:rPr>
          <w:rFonts w:ascii="Verdana" w:hAnsi="Verdana"/>
          <w:lang w:val="en-GB"/>
        </w:rPr>
        <w:t>extent to which these options are fully understood</w:t>
      </w:r>
      <w:r w:rsidR="0075398B">
        <w:rPr>
          <w:rFonts w:ascii="Verdana" w:hAnsi="Verdana"/>
          <w:lang w:val="en-GB"/>
        </w:rPr>
        <w:t xml:space="preserve"> and implemented</w:t>
      </w:r>
      <w:r w:rsidR="001D0D99">
        <w:rPr>
          <w:rFonts w:ascii="Verdana" w:hAnsi="Verdana"/>
          <w:lang w:val="en-GB"/>
        </w:rPr>
        <w:t xml:space="preserve"> by practitioners working in the area of domestic abuse is questionable. </w:t>
      </w:r>
    </w:p>
    <w:p w14:paraId="4B3456E8" w14:textId="77777777" w:rsidR="001F0034" w:rsidRDefault="001F0034" w:rsidP="007E262A">
      <w:pPr>
        <w:spacing w:line="360" w:lineRule="auto"/>
        <w:ind w:right="-478"/>
        <w:jc w:val="both"/>
        <w:rPr>
          <w:rFonts w:ascii="Verdana" w:hAnsi="Verdana"/>
          <w:lang w:val="en-GB"/>
        </w:rPr>
      </w:pPr>
    </w:p>
    <w:p w14:paraId="31F6D77A" w14:textId="77777777" w:rsidR="001F0034" w:rsidRPr="0060450D" w:rsidRDefault="001F0034" w:rsidP="0060450D">
      <w:pPr>
        <w:pStyle w:val="ListParagraph"/>
        <w:numPr>
          <w:ilvl w:val="0"/>
          <w:numId w:val="30"/>
        </w:numPr>
        <w:spacing w:line="360" w:lineRule="auto"/>
        <w:ind w:left="284" w:right="-478"/>
        <w:jc w:val="both"/>
        <w:rPr>
          <w:rFonts w:ascii="Verdana" w:hAnsi="Verdana"/>
          <w:lang w:val="en-GB"/>
        </w:rPr>
      </w:pPr>
      <w:r w:rsidRPr="0060450D">
        <w:rPr>
          <w:rFonts w:ascii="Verdana" w:hAnsi="Verdana"/>
          <w:u w:val="single"/>
          <w:lang w:val="en-GB"/>
        </w:rPr>
        <w:t xml:space="preserve">The </w:t>
      </w:r>
      <w:r w:rsidR="00C64458" w:rsidRPr="0060450D">
        <w:rPr>
          <w:rFonts w:ascii="Verdana" w:hAnsi="Verdana"/>
          <w:u w:val="single"/>
          <w:lang w:val="en-GB"/>
        </w:rPr>
        <w:t>family law response</w:t>
      </w:r>
    </w:p>
    <w:p w14:paraId="65B52AF3" w14:textId="77777777" w:rsidR="001F0034" w:rsidRDefault="001F0034" w:rsidP="007E262A">
      <w:pPr>
        <w:spacing w:line="360" w:lineRule="auto"/>
        <w:ind w:right="-478"/>
        <w:jc w:val="both"/>
        <w:rPr>
          <w:rFonts w:ascii="Verdana" w:hAnsi="Verdana"/>
          <w:lang w:val="en-GB"/>
        </w:rPr>
      </w:pPr>
    </w:p>
    <w:p w14:paraId="723D9EFD" w14:textId="46406A98"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In England and Wales, victims of domestic abuse can apply for protection in both the c</w:t>
      </w:r>
      <w:r w:rsidR="00461B41" w:rsidRPr="00D55B2B">
        <w:rPr>
          <w:rFonts w:ascii="Verdana" w:hAnsi="Verdana"/>
          <w:lang w:val="en-GB"/>
        </w:rPr>
        <w:t xml:space="preserve">ivil courts and the </w:t>
      </w:r>
      <w:r w:rsidR="00480A52" w:rsidRPr="00D55B2B">
        <w:rPr>
          <w:rFonts w:ascii="Verdana" w:hAnsi="Verdana"/>
          <w:lang w:val="en-GB"/>
        </w:rPr>
        <w:t>f</w:t>
      </w:r>
      <w:r w:rsidR="00461B41" w:rsidRPr="00D55B2B">
        <w:rPr>
          <w:rFonts w:ascii="Verdana" w:hAnsi="Verdana"/>
          <w:lang w:val="en-GB"/>
        </w:rPr>
        <w:t xml:space="preserve">amily </w:t>
      </w:r>
      <w:r w:rsidR="00480A52" w:rsidRPr="00D55B2B">
        <w:rPr>
          <w:rFonts w:ascii="Verdana" w:hAnsi="Verdana"/>
          <w:lang w:val="en-GB"/>
        </w:rPr>
        <w:t>c</w:t>
      </w:r>
      <w:r w:rsidR="006B7375" w:rsidRPr="00D55B2B">
        <w:rPr>
          <w:rFonts w:ascii="Verdana" w:hAnsi="Verdana"/>
          <w:lang w:val="en-GB"/>
        </w:rPr>
        <w:t>ourts.</w:t>
      </w:r>
      <w:r w:rsidR="00403F54">
        <w:rPr>
          <w:rFonts w:ascii="Verdana" w:hAnsi="Verdana"/>
          <w:lang w:val="en-GB"/>
        </w:rPr>
        <w:t xml:space="preserve"> V</w:t>
      </w:r>
      <w:r w:rsidRPr="00D55B2B">
        <w:rPr>
          <w:rFonts w:ascii="Verdana" w:hAnsi="Verdana"/>
          <w:lang w:val="en-GB"/>
        </w:rPr>
        <w:t>ictims can apply to the civil courts for an injunction under the Protection from Harassment Act 199</w:t>
      </w:r>
      <w:r w:rsidR="00AC728D" w:rsidRPr="00D55B2B">
        <w:rPr>
          <w:rFonts w:ascii="Verdana" w:hAnsi="Verdana"/>
          <w:lang w:val="en-GB"/>
        </w:rPr>
        <w:t>7</w:t>
      </w:r>
      <w:r w:rsidR="0024616F" w:rsidRPr="00D55B2B">
        <w:rPr>
          <w:rFonts w:ascii="Verdana" w:hAnsi="Verdana"/>
          <w:lang w:val="en-GB"/>
        </w:rPr>
        <w:t xml:space="preserve"> (PHA 1997)</w:t>
      </w:r>
      <w:r w:rsidR="007229F6" w:rsidRPr="00D55B2B">
        <w:rPr>
          <w:rFonts w:ascii="Verdana" w:hAnsi="Verdana"/>
          <w:lang w:val="en-GB"/>
        </w:rPr>
        <w:t>,</w:t>
      </w:r>
      <w:r w:rsidRPr="00D55B2B">
        <w:rPr>
          <w:rFonts w:ascii="Verdana" w:hAnsi="Verdana"/>
          <w:lang w:val="en-GB"/>
        </w:rPr>
        <w:t xml:space="preserve"> </w:t>
      </w:r>
      <w:r w:rsidR="00814769">
        <w:rPr>
          <w:rFonts w:ascii="Verdana" w:hAnsi="Verdana"/>
          <w:lang w:val="en-GB"/>
        </w:rPr>
        <w:t xml:space="preserve">however </w:t>
      </w:r>
      <w:r w:rsidRPr="00D55B2B">
        <w:rPr>
          <w:rFonts w:ascii="Verdana" w:hAnsi="Verdana"/>
          <w:lang w:val="en-GB"/>
        </w:rPr>
        <w:t xml:space="preserve">they will more commonly apply to the </w:t>
      </w:r>
      <w:r w:rsidR="004279F7" w:rsidRPr="00D55B2B">
        <w:rPr>
          <w:rFonts w:ascii="Verdana" w:hAnsi="Verdana"/>
          <w:lang w:val="en-GB"/>
        </w:rPr>
        <w:t>f</w:t>
      </w:r>
      <w:r w:rsidRPr="00D55B2B">
        <w:rPr>
          <w:rFonts w:ascii="Verdana" w:hAnsi="Verdana"/>
          <w:lang w:val="en-GB"/>
        </w:rPr>
        <w:t xml:space="preserve">amily </w:t>
      </w:r>
      <w:r w:rsidR="004279F7" w:rsidRPr="00D55B2B">
        <w:rPr>
          <w:rFonts w:ascii="Verdana" w:hAnsi="Verdana"/>
          <w:lang w:val="en-GB"/>
        </w:rPr>
        <w:t>c</w:t>
      </w:r>
      <w:r w:rsidRPr="00D55B2B">
        <w:rPr>
          <w:rFonts w:ascii="Verdana" w:hAnsi="Verdana"/>
          <w:lang w:val="en-GB"/>
        </w:rPr>
        <w:t xml:space="preserve">ourts for an injunctive order.  This is because of the wider range of orders available </w:t>
      </w:r>
      <w:r w:rsidR="00D8363D" w:rsidRPr="00D55B2B">
        <w:rPr>
          <w:rFonts w:ascii="Verdana" w:hAnsi="Verdana"/>
          <w:lang w:val="en-GB"/>
        </w:rPr>
        <w:t>and</w:t>
      </w:r>
      <w:r w:rsidRPr="00D55B2B">
        <w:rPr>
          <w:rFonts w:ascii="Verdana" w:hAnsi="Verdana"/>
          <w:lang w:val="en-GB"/>
        </w:rPr>
        <w:t xml:space="preserve"> also because the issues surrounding an abusive relationship can rarely simply be dealt with by way of an injunctive order alone and other inter-related family proceedings may be required. For example, there may be property issues to resolve, arrangements to be made for children or, if the victim and the perpetrator are married, divorce proceedings to be considered. The different types of protective orders available through the </w:t>
      </w:r>
      <w:r w:rsidR="00FD5B1D" w:rsidRPr="00D55B2B">
        <w:rPr>
          <w:rFonts w:ascii="Verdana" w:hAnsi="Verdana"/>
          <w:lang w:val="en-GB"/>
        </w:rPr>
        <w:t>f</w:t>
      </w:r>
      <w:r w:rsidRPr="00D55B2B">
        <w:rPr>
          <w:rFonts w:ascii="Verdana" w:hAnsi="Verdana"/>
          <w:lang w:val="en-GB"/>
        </w:rPr>
        <w:t xml:space="preserve">amily </w:t>
      </w:r>
      <w:r w:rsidR="00FD5B1D" w:rsidRPr="00D55B2B">
        <w:rPr>
          <w:rFonts w:ascii="Verdana" w:hAnsi="Verdana"/>
          <w:lang w:val="en-GB"/>
        </w:rPr>
        <w:t>c</w:t>
      </w:r>
      <w:r w:rsidRPr="00D55B2B">
        <w:rPr>
          <w:rFonts w:ascii="Verdana" w:hAnsi="Verdana"/>
          <w:lang w:val="en-GB"/>
        </w:rPr>
        <w:t>ourts inclu</w:t>
      </w:r>
      <w:r w:rsidR="0024616F" w:rsidRPr="00D55B2B">
        <w:rPr>
          <w:rFonts w:ascii="Verdana" w:hAnsi="Verdana"/>
          <w:lang w:val="en-GB"/>
        </w:rPr>
        <w:t>de: an application under Section</w:t>
      </w:r>
      <w:r w:rsidRPr="00D55B2B">
        <w:rPr>
          <w:rFonts w:ascii="Verdana" w:hAnsi="Verdana"/>
          <w:lang w:val="en-GB"/>
        </w:rPr>
        <w:t xml:space="preserve"> 8</w:t>
      </w:r>
      <w:r w:rsidR="00812163" w:rsidRPr="00D55B2B">
        <w:rPr>
          <w:rFonts w:ascii="Verdana" w:hAnsi="Verdana"/>
          <w:lang w:val="en-GB"/>
        </w:rPr>
        <w:t xml:space="preserve"> of the</w:t>
      </w:r>
      <w:r w:rsidRPr="00D55B2B">
        <w:rPr>
          <w:rFonts w:ascii="Verdana" w:hAnsi="Verdana"/>
          <w:lang w:val="en-GB"/>
        </w:rPr>
        <w:t xml:space="preserve"> Children Act 1989 to regulate contact between the perpetrator and any relevant children; a non-molestation order</w:t>
      </w:r>
      <w:r w:rsidR="00306286" w:rsidRPr="00D55B2B">
        <w:rPr>
          <w:rFonts w:ascii="Verdana" w:hAnsi="Verdana"/>
          <w:lang w:val="en-GB"/>
        </w:rPr>
        <w:t xml:space="preserve"> to prohibit the perpetrator from contacting</w:t>
      </w:r>
      <w:r w:rsidR="00BA450F" w:rsidRPr="00D55B2B">
        <w:rPr>
          <w:rFonts w:ascii="Verdana" w:hAnsi="Verdana"/>
          <w:lang w:val="en-GB"/>
        </w:rPr>
        <w:t xml:space="preserve"> or hara</w:t>
      </w:r>
      <w:r w:rsidR="00B34BEE" w:rsidRPr="00D55B2B">
        <w:rPr>
          <w:rFonts w:ascii="Verdana" w:hAnsi="Verdana"/>
          <w:lang w:val="en-GB"/>
        </w:rPr>
        <w:t>s</w:t>
      </w:r>
      <w:r w:rsidR="00BA450F" w:rsidRPr="00D55B2B">
        <w:rPr>
          <w:rFonts w:ascii="Verdana" w:hAnsi="Verdana"/>
          <w:lang w:val="en-GB"/>
        </w:rPr>
        <w:t>sing</w:t>
      </w:r>
      <w:r w:rsidR="00306286" w:rsidRPr="00D55B2B">
        <w:rPr>
          <w:rFonts w:ascii="Verdana" w:hAnsi="Verdana"/>
          <w:lang w:val="en-GB"/>
        </w:rPr>
        <w:t xml:space="preserve"> the victim</w:t>
      </w:r>
      <w:r w:rsidRPr="00D55B2B">
        <w:rPr>
          <w:rFonts w:ascii="Verdana" w:hAnsi="Verdana"/>
          <w:lang w:val="en-GB"/>
        </w:rPr>
        <w:t>; an occupation order</w:t>
      </w:r>
      <w:r w:rsidR="002F42C9" w:rsidRPr="00D55B2B">
        <w:rPr>
          <w:rStyle w:val="FootnoteReference"/>
          <w:rFonts w:ascii="Verdana" w:hAnsi="Verdana"/>
          <w:lang w:val="en-GB"/>
        </w:rPr>
        <w:footnoteReference w:id="28"/>
      </w:r>
      <w:r w:rsidRPr="00D55B2B">
        <w:rPr>
          <w:rFonts w:ascii="Verdana" w:hAnsi="Verdana"/>
          <w:lang w:val="en-GB"/>
        </w:rPr>
        <w:t xml:space="preserve"> to regulate the occupation of the family home; a forced marriage protection order;</w:t>
      </w:r>
      <w:r w:rsidR="002F42C9" w:rsidRPr="00D55B2B">
        <w:rPr>
          <w:rStyle w:val="FootnoteReference"/>
          <w:rFonts w:ascii="Verdana" w:hAnsi="Verdana"/>
          <w:lang w:val="en-GB"/>
        </w:rPr>
        <w:footnoteReference w:id="29"/>
      </w:r>
      <w:r w:rsidRPr="00D55B2B">
        <w:rPr>
          <w:rFonts w:ascii="Verdana" w:hAnsi="Verdana"/>
          <w:lang w:val="en-GB"/>
        </w:rPr>
        <w:t xml:space="preserve"> and a female genital mutilation protection order</w:t>
      </w:r>
      <w:r w:rsidR="006B7375" w:rsidRPr="00D55B2B">
        <w:rPr>
          <w:rFonts w:ascii="Verdana" w:hAnsi="Verdana"/>
          <w:lang w:val="en-GB"/>
        </w:rPr>
        <w:t>.</w:t>
      </w:r>
      <w:r w:rsidR="002F42C9" w:rsidRPr="00D55B2B">
        <w:rPr>
          <w:rStyle w:val="FootnoteReference"/>
          <w:rFonts w:ascii="Verdana" w:hAnsi="Verdana"/>
          <w:lang w:val="en-GB"/>
        </w:rPr>
        <w:footnoteReference w:id="30"/>
      </w:r>
      <w:r w:rsidR="00342BE1" w:rsidRPr="00D55B2B">
        <w:rPr>
          <w:rFonts w:ascii="Verdana" w:hAnsi="Verdana"/>
          <w:lang w:val="en-GB"/>
        </w:rPr>
        <w:t xml:space="preserve"> There may be a number of reasons why victims seek to pursue </w:t>
      </w:r>
      <w:r w:rsidR="00AB656C" w:rsidRPr="00D55B2B">
        <w:rPr>
          <w:rFonts w:ascii="Verdana" w:hAnsi="Verdana"/>
          <w:lang w:val="en-GB"/>
        </w:rPr>
        <w:t xml:space="preserve">family law proceedings over criminal prosecutions. These include the potential availability of legal aid </w:t>
      </w:r>
      <w:r w:rsidR="0041791E" w:rsidRPr="00D55B2B">
        <w:rPr>
          <w:rFonts w:ascii="Verdana" w:hAnsi="Verdana"/>
          <w:lang w:val="en-GB"/>
        </w:rPr>
        <w:t xml:space="preserve">to fund a legal representative, the lower standard of </w:t>
      </w:r>
      <w:r w:rsidR="00BC1CBB" w:rsidRPr="00D55B2B">
        <w:rPr>
          <w:rFonts w:ascii="Verdana" w:hAnsi="Verdana"/>
          <w:lang w:val="en-GB"/>
        </w:rPr>
        <w:t xml:space="preserve">proof as civil cases only need to be proven on the </w:t>
      </w:r>
      <w:r w:rsidR="00705DAF" w:rsidRPr="00D55B2B">
        <w:rPr>
          <w:rFonts w:ascii="Verdana" w:hAnsi="Verdana"/>
          <w:lang w:val="en-GB"/>
        </w:rPr>
        <w:t>‘</w:t>
      </w:r>
      <w:r w:rsidR="00BC1CBB" w:rsidRPr="00D55B2B">
        <w:rPr>
          <w:rFonts w:ascii="Verdana" w:hAnsi="Verdana"/>
          <w:lang w:val="en-GB"/>
        </w:rPr>
        <w:t>balance of probabilities</w:t>
      </w:r>
      <w:r w:rsidR="00705DAF" w:rsidRPr="00D55B2B">
        <w:rPr>
          <w:rFonts w:ascii="Verdana" w:hAnsi="Verdana"/>
          <w:lang w:val="en-GB"/>
        </w:rPr>
        <w:t xml:space="preserve">’ </w:t>
      </w:r>
      <w:r w:rsidR="00BC1CBB" w:rsidRPr="00D55B2B">
        <w:rPr>
          <w:rFonts w:ascii="Verdana" w:hAnsi="Verdana"/>
          <w:lang w:val="en-GB"/>
        </w:rPr>
        <w:t>rather than th</w:t>
      </w:r>
      <w:r w:rsidR="00C10261" w:rsidRPr="00D55B2B">
        <w:rPr>
          <w:rFonts w:ascii="Verdana" w:hAnsi="Verdana"/>
          <w:lang w:val="en-GB"/>
        </w:rPr>
        <w:t xml:space="preserve">e criminal standard which is ‘beyond reasonable doubt’ </w:t>
      </w:r>
      <w:r w:rsidR="004836D5" w:rsidRPr="00D55B2B">
        <w:rPr>
          <w:rFonts w:ascii="Verdana" w:hAnsi="Verdana"/>
          <w:lang w:val="en-GB"/>
        </w:rPr>
        <w:t xml:space="preserve">and </w:t>
      </w:r>
      <w:r w:rsidR="00541748" w:rsidRPr="00D55B2B">
        <w:rPr>
          <w:rFonts w:ascii="Verdana" w:hAnsi="Verdana"/>
          <w:lang w:val="en-GB"/>
        </w:rPr>
        <w:t>the fact that family law proceedings are heard in private judge</w:t>
      </w:r>
      <w:r w:rsidR="00A50EA7" w:rsidRPr="00D55B2B">
        <w:rPr>
          <w:rFonts w:ascii="Verdana" w:hAnsi="Verdana"/>
          <w:lang w:val="en-GB"/>
        </w:rPr>
        <w:t>s’</w:t>
      </w:r>
      <w:r w:rsidR="00541748" w:rsidRPr="00D55B2B">
        <w:rPr>
          <w:rFonts w:ascii="Verdana" w:hAnsi="Verdana"/>
          <w:lang w:val="en-GB"/>
        </w:rPr>
        <w:t xml:space="preserve"> chambers rather than open court</w:t>
      </w:r>
      <w:r w:rsidR="002130C1" w:rsidRPr="00D55B2B">
        <w:rPr>
          <w:rFonts w:ascii="Verdana" w:hAnsi="Verdana"/>
          <w:lang w:val="en-GB"/>
        </w:rPr>
        <w:t>, thereby securing the parties’ privacy</w:t>
      </w:r>
      <w:r w:rsidR="00541748" w:rsidRPr="00D55B2B">
        <w:rPr>
          <w:rFonts w:ascii="Verdana" w:hAnsi="Verdana"/>
          <w:lang w:val="en-GB"/>
        </w:rPr>
        <w:t xml:space="preserve">. </w:t>
      </w:r>
    </w:p>
    <w:p w14:paraId="410953A2" w14:textId="77777777" w:rsidR="00277886" w:rsidRDefault="00277886" w:rsidP="007E262A">
      <w:pPr>
        <w:spacing w:line="360" w:lineRule="auto"/>
        <w:ind w:right="-478"/>
        <w:jc w:val="both"/>
        <w:rPr>
          <w:rFonts w:ascii="Verdana" w:hAnsi="Verdana"/>
          <w:lang w:val="en-GB"/>
        </w:rPr>
      </w:pPr>
    </w:p>
    <w:p w14:paraId="1DDA5448" w14:textId="77777777" w:rsidR="00382D02" w:rsidRPr="0060450D" w:rsidRDefault="00382D02" w:rsidP="0060450D">
      <w:pPr>
        <w:pStyle w:val="ListParagraph"/>
        <w:numPr>
          <w:ilvl w:val="0"/>
          <w:numId w:val="30"/>
        </w:numPr>
        <w:spacing w:line="360" w:lineRule="auto"/>
        <w:ind w:left="284" w:right="-478"/>
        <w:jc w:val="both"/>
        <w:rPr>
          <w:rFonts w:ascii="Verdana" w:hAnsi="Verdana"/>
          <w:lang w:val="en-GB"/>
        </w:rPr>
      </w:pPr>
      <w:r>
        <w:rPr>
          <w:rFonts w:ascii="Verdana" w:hAnsi="Verdana"/>
          <w:u w:val="single"/>
          <w:lang w:val="en-GB"/>
        </w:rPr>
        <w:t>The civil law response</w:t>
      </w:r>
    </w:p>
    <w:p w14:paraId="5BE00D3F" w14:textId="77777777" w:rsidR="00382D02" w:rsidRPr="00D55B2B" w:rsidRDefault="00382D02" w:rsidP="007E262A">
      <w:pPr>
        <w:spacing w:line="360" w:lineRule="auto"/>
        <w:ind w:right="-478"/>
        <w:jc w:val="both"/>
        <w:rPr>
          <w:rFonts w:ascii="Verdana" w:hAnsi="Verdana"/>
          <w:lang w:val="en-GB"/>
        </w:rPr>
      </w:pPr>
    </w:p>
    <w:p w14:paraId="3D69017A" w14:textId="52FC6DB0" w:rsidR="00277886" w:rsidRPr="00D55B2B" w:rsidRDefault="002F42C9" w:rsidP="0060450D">
      <w:pPr>
        <w:spacing w:line="360" w:lineRule="auto"/>
        <w:ind w:left="284" w:right="-478"/>
        <w:jc w:val="both"/>
        <w:rPr>
          <w:rFonts w:ascii="Verdana" w:hAnsi="Verdana"/>
        </w:rPr>
      </w:pPr>
      <w:r w:rsidRPr="00D55B2B">
        <w:rPr>
          <w:rFonts w:ascii="Verdana" w:hAnsi="Verdana"/>
          <w:lang w:val="en-GB"/>
        </w:rPr>
        <w:t xml:space="preserve">Victims can also seek </w:t>
      </w:r>
      <w:r w:rsidR="003B7F5D" w:rsidRPr="00D55B2B">
        <w:rPr>
          <w:rFonts w:ascii="Verdana" w:hAnsi="Verdana"/>
          <w:lang w:val="en-GB"/>
        </w:rPr>
        <w:t>compensation under the civil law</w:t>
      </w:r>
      <w:r w:rsidR="0074037E" w:rsidRPr="00D55B2B">
        <w:rPr>
          <w:rFonts w:ascii="Verdana" w:hAnsi="Verdana"/>
          <w:lang w:val="en-GB"/>
        </w:rPr>
        <w:t xml:space="preserve"> </w:t>
      </w:r>
      <w:r w:rsidR="003B7F5D" w:rsidRPr="00D55B2B">
        <w:rPr>
          <w:rFonts w:ascii="Verdana" w:hAnsi="Verdana"/>
          <w:lang w:val="en-GB"/>
        </w:rPr>
        <w:t xml:space="preserve">through a personal injury claim for </w:t>
      </w:r>
      <w:r w:rsidR="00165B01" w:rsidRPr="00D55B2B">
        <w:rPr>
          <w:rFonts w:ascii="Verdana" w:hAnsi="Verdana"/>
          <w:lang w:val="en-GB"/>
        </w:rPr>
        <w:t>trespass to the person (</w:t>
      </w:r>
      <w:r w:rsidR="006270DD" w:rsidRPr="00D55B2B">
        <w:rPr>
          <w:rFonts w:ascii="Verdana" w:hAnsi="Verdana"/>
          <w:lang w:val="en-GB"/>
        </w:rPr>
        <w:t>assault/battery</w:t>
      </w:r>
      <w:r w:rsidR="00165B01" w:rsidRPr="00D55B2B">
        <w:rPr>
          <w:rFonts w:ascii="Verdana" w:hAnsi="Verdana"/>
          <w:lang w:val="en-GB"/>
        </w:rPr>
        <w:t>)</w:t>
      </w:r>
      <w:r w:rsidR="006270DD" w:rsidRPr="00D55B2B">
        <w:rPr>
          <w:rFonts w:ascii="Verdana" w:hAnsi="Verdana"/>
          <w:lang w:val="en-GB"/>
        </w:rPr>
        <w:t>,</w:t>
      </w:r>
      <w:r w:rsidR="00165B01" w:rsidRPr="00D55B2B">
        <w:rPr>
          <w:rFonts w:ascii="Verdana" w:hAnsi="Verdana"/>
          <w:lang w:val="en-GB"/>
        </w:rPr>
        <w:t xml:space="preserve"> </w:t>
      </w:r>
      <w:r w:rsidR="008B22C1" w:rsidRPr="00D55B2B">
        <w:rPr>
          <w:rFonts w:ascii="Verdana" w:hAnsi="Verdana"/>
          <w:lang w:val="en-GB"/>
        </w:rPr>
        <w:t>a claim under the P</w:t>
      </w:r>
      <w:r w:rsidR="0024616F" w:rsidRPr="00D55B2B">
        <w:rPr>
          <w:rFonts w:ascii="Verdana" w:hAnsi="Verdana"/>
          <w:lang w:val="en-GB"/>
        </w:rPr>
        <w:t xml:space="preserve">HA 1997 </w:t>
      </w:r>
      <w:r w:rsidR="00490BA4" w:rsidRPr="00D55B2B">
        <w:rPr>
          <w:rFonts w:ascii="Verdana" w:hAnsi="Verdana"/>
          <w:lang w:val="en-GB"/>
        </w:rPr>
        <w:t>and</w:t>
      </w:r>
      <w:r w:rsidR="003112D4" w:rsidRPr="00D55B2B">
        <w:rPr>
          <w:rFonts w:ascii="Verdana" w:hAnsi="Verdana"/>
          <w:lang w:val="en-GB"/>
        </w:rPr>
        <w:t>/or the Criminal Injuries Compensation Authority</w:t>
      </w:r>
      <w:r w:rsidR="0004380E" w:rsidRPr="00D55B2B">
        <w:rPr>
          <w:rFonts w:ascii="Verdana" w:hAnsi="Verdana"/>
          <w:lang w:val="en-GB"/>
        </w:rPr>
        <w:t>.</w:t>
      </w:r>
      <w:r w:rsidR="008F59A4" w:rsidRPr="00D55B2B">
        <w:rPr>
          <w:rFonts w:ascii="Verdana" w:hAnsi="Verdana"/>
          <w:lang w:val="en-GB"/>
        </w:rPr>
        <w:t xml:space="preserve"> The purpose of a civil claim is </w:t>
      </w:r>
      <w:r w:rsidR="00810DEB" w:rsidRPr="00D55B2B">
        <w:rPr>
          <w:rFonts w:ascii="Verdana" w:hAnsi="Verdana"/>
          <w:lang w:val="en-GB"/>
        </w:rPr>
        <w:t xml:space="preserve">to compensate </w:t>
      </w:r>
      <w:r w:rsidR="008F59A4" w:rsidRPr="00D55B2B">
        <w:rPr>
          <w:rFonts w:ascii="Verdana" w:hAnsi="Verdana"/>
          <w:lang w:val="en-GB"/>
        </w:rPr>
        <w:t xml:space="preserve">victims for the </w:t>
      </w:r>
      <w:r w:rsidR="003437C0" w:rsidRPr="00D55B2B">
        <w:rPr>
          <w:rFonts w:ascii="Verdana" w:hAnsi="Verdana"/>
          <w:lang w:val="en-GB"/>
        </w:rPr>
        <w:t>physical or psychological injuries</w:t>
      </w:r>
      <w:r w:rsidR="00C15C62" w:rsidRPr="00D55B2B">
        <w:rPr>
          <w:rFonts w:ascii="Verdana" w:hAnsi="Verdana"/>
          <w:lang w:val="en-GB"/>
        </w:rPr>
        <w:t xml:space="preserve"> </w:t>
      </w:r>
      <w:r w:rsidR="008F59A4" w:rsidRPr="00D55B2B">
        <w:rPr>
          <w:rFonts w:ascii="Verdana" w:hAnsi="Verdana"/>
          <w:lang w:val="en-GB"/>
        </w:rPr>
        <w:t>they have suffered as a result of the</w:t>
      </w:r>
      <w:r w:rsidR="00990B30" w:rsidRPr="00D55B2B">
        <w:rPr>
          <w:rFonts w:ascii="Verdana" w:hAnsi="Verdana"/>
          <w:lang w:val="en-GB"/>
        </w:rPr>
        <w:t xml:space="preserve"> </w:t>
      </w:r>
      <w:r w:rsidR="008F59A4" w:rsidRPr="00D55B2B">
        <w:rPr>
          <w:rFonts w:ascii="Verdana" w:hAnsi="Verdana"/>
          <w:lang w:val="en-GB"/>
        </w:rPr>
        <w:t xml:space="preserve">offence. </w:t>
      </w:r>
      <w:r w:rsidR="005136D4" w:rsidRPr="00D55B2B">
        <w:rPr>
          <w:rFonts w:ascii="Verdana" w:hAnsi="Verdana"/>
          <w:lang w:val="en-GB"/>
        </w:rPr>
        <w:t>There are strict time limits to pursue claims</w:t>
      </w:r>
      <w:r w:rsidR="0010694A" w:rsidRPr="00D55B2B">
        <w:rPr>
          <w:rFonts w:ascii="Verdana" w:hAnsi="Verdana"/>
          <w:lang w:val="en-GB"/>
        </w:rPr>
        <w:t xml:space="preserve"> and victims will</w:t>
      </w:r>
      <w:r w:rsidR="002E233B" w:rsidRPr="00D55B2B">
        <w:rPr>
          <w:rFonts w:ascii="Verdana" w:hAnsi="Verdana"/>
          <w:lang w:val="en-GB"/>
        </w:rPr>
        <w:t xml:space="preserve"> require evidence</w:t>
      </w:r>
      <w:r w:rsidR="00754165" w:rsidRPr="00D55B2B">
        <w:rPr>
          <w:rFonts w:ascii="Verdana" w:hAnsi="Verdana"/>
          <w:lang w:val="en-GB"/>
        </w:rPr>
        <w:t xml:space="preserve"> (such as medical evidence and police reports)</w:t>
      </w:r>
      <w:r w:rsidR="0010694A" w:rsidRPr="00D55B2B">
        <w:rPr>
          <w:rFonts w:ascii="Verdana" w:hAnsi="Verdana"/>
          <w:lang w:val="en-GB"/>
        </w:rPr>
        <w:t xml:space="preserve"> to support their claim. This </w:t>
      </w:r>
      <w:r w:rsidR="00FE3919" w:rsidRPr="00D55B2B">
        <w:rPr>
          <w:rFonts w:ascii="Verdana" w:hAnsi="Verdana"/>
          <w:lang w:val="en-GB"/>
        </w:rPr>
        <w:t>can be difficult to obtain</w:t>
      </w:r>
      <w:r w:rsidR="005D5895" w:rsidRPr="00D55B2B">
        <w:rPr>
          <w:rFonts w:ascii="Verdana" w:hAnsi="Verdana"/>
          <w:lang w:val="en-GB"/>
        </w:rPr>
        <w:t>, particularly for victims who have n</w:t>
      </w:r>
      <w:r w:rsidR="008E4B39" w:rsidRPr="00D55B2B">
        <w:rPr>
          <w:rFonts w:ascii="Verdana" w:hAnsi="Verdana"/>
          <w:lang w:val="en-GB"/>
        </w:rPr>
        <w:t>ever</w:t>
      </w:r>
      <w:r w:rsidR="005D5895" w:rsidRPr="00D55B2B">
        <w:rPr>
          <w:rFonts w:ascii="Verdana" w:hAnsi="Verdana"/>
          <w:lang w:val="en-GB"/>
        </w:rPr>
        <w:t xml:space="preserve"> sought assistance.</w:t>
      </w:r>
      <w:r w:rsidR="002B7736">
        <w:rPr>
          <w:rFonts w:ascii="Verdana" w:hAnsi="Verdana"/>
          <w:lang w:val="en-GB"/>
        </w:rPr>
        <w:t xml:space="preserve"> V</w:t>
      </w:r>
      <w:r w:rsidR="00256415" w:rsidRPr="00D55B2B">
        <w:rPr>
          <w:rFonts w:ascii="Verdana" w:hAnsi="Verdana"/>
          <w:lang w:val="en-GB"/>
        </w:rPr>
        <w:t xml:space="preserve">ictims will </w:t>
      </w:r>
      <w:r w:rsidR="008F59A4" w:rsidRPr="00D55B2B">
        <w:rPr>
          <w:rFonts w:ascii="Verdana" w:hAnsi="Verdana"/>
        </w:rPr>
        <w:t xml:space="preserve">incur costs in pursuing a civil complaint. These expenses may include the cost of legal advice </w:t>
      </w:r>
      <w:r w:rsidR="002A7C99" w:rsidRPr="00D55B2B">
        <w:rPr>
          <w:rFonts w:ascii="Verdana" w:hAnsi="Verdana"/>
        </w:rPr>
        <w:t>(</w:t>
      </w:r>
      <w:r w:rsidR="002245F0" w:rsidRPr="00D55B2B">
        <w:rPr>
          <w:rFonts w:ascii="Verdana" w:hAnsi="Verdana"/>
        </w:rPr>
        <w:t>legal a</w:t>
      </w:r>
      <w:r w:rsidR="006A2616" w:rsidRPr="00D55B2B">
        <w:rPr>
          <w:rFonts w:ascii="Verdana" w:hAnsi="Verdana"/>
        </w:rPr>
        <w:t>id</w:t>
      </w:r>
      <w:r w:rsidR="002245F0" w:rsidRPr="00D55B2B">
        <w:rPr>
          <w:rFonts w:ascii="Verdana" w:hAnsi="Verdana"/>
        </w:rPr>
        <w:t xml:space="preserve"> is not available</w:t>
      </w:r>
      <w:r w:rsidR="002A7C99" w:rsidRPr="00D55B2B">
        <w:rPr>
          <w:rFonts w:ascii="Verdana" w:hAnsi="Verdana"/>
        </w:rPr>
        <w:t>)</w:t>
      </w:r>
      <w:r w:rsidR="00924CDC" w:rsidRPr="00D55B2B">
        <w:rPr>
          <w:rFonts w:ascii="Verdana" w:hAnsi="Verdana"/>
        </w:rPr>
        <w:t xml:space="preserve">, </w:t>
      </w:r>
      <w:r w:rsidR="002A7C99" w:rsidRPr="00D55B2B">
        <w:rPr>
          <w:rFonts w:ascii="Verdana" w:hAnsi="Verdana"/>
        </w:rPr>
        <w:t xml:space="preserve">fees to obtain evidence such as medical reports or police disclosure, </w:t>
      </w:r>
      <w:r w:rsidR="008F59A4" w:rsidRPr="00D55B2B">
        <w:rPr>
          <w:rFonts w:ascii="Verdana" w:hAnsi="Verdana"/>
        </w:rPr>
        <w:t xml:space="preserve">and the </w:t>
      </w:r>
      <w:r w:rsidR="00622942" w:rsidRPr="00D55B2B">
        <w:rPr>
          <w:rFonts w:ascii="Verdana" w:hAnsi="Verdana"/>
        </w:rPr>
        <w:t>court fee to issue and hear</w:t>
      </w:r>
      <w:r w:rsidR="008F59A4" w:rsidRPr="00D55B2B">
        <w:rPr>
          <w:rFonts w:ascii="Verdana" w:hAnsi="Verdana"/>
        </w:rPr>
        <w:t xml:space="preserve"> </w:t>
      </w:r>
      <w:r w:rsidR="005A0899" w:rsidRPr="00D55B2B">
        <w:rPr>
          <w:rFonts w:ascii="Verdana" w:hAnsi="Verdana"/>
        </w:rPr>
        <w:t xml:space="preserve">the </w:t>
      </w:r>
      <w:r w:rsidR="008F59A4" w:rsidRPr="00D55B2B">
        <w:rPr>
          <w:rFonts w:ascii="Verdana" w:hAnsi="Verdana"/>
        </w:rPr>
        <w:t xml:space="preserve">claim. </w:t>
      </w:r>
      <w:r w:rsidR="00DB43CD">
        <w:rPr>
          <w:rFonts w:ascii="Verdana" w:hAnsi="Verdana"/>
        </w:rPr>
        <w:t>M</w:t>
      </w:r>
      <w:r w:rsidR="00851ECE" w:rsidRPr="00D55B2B">
        <w:rPr>
          <w:rFonts w:ascii="Verdana" w:hAnsi="Verdana"/>
        </w:rPr>
        <w:t>any perpetrators do</w:t>
      </w:r>
      <w:r w:rsidR="008F59A4" w:rsidRPr="00D55B2B">
        <w:rPr>
          <w:rFonts w:ascii="Verdana" w:hAnsi="Verdana"/>
        </w:rPr>
        <w:t xml:space="preserve"> not have sufficient financial means to pay compensation awarded against</w:t>
      </w:r>
      <w:r w:rsidR="00184A2B" w:rsidRPr="00D55B2B">
        <w:rPr>
          <w:rFonts w:ascii="Verdana" w:hAnsi="Verdana"/>
        </w:rPr>
        <w:t xml:space="preserve"> them. </w:t>
      </w:r>
      <w:r w:rsidR="00FE29F0" w:rsidRPr="00D55B2B">
        <w:rPr>
          <w:rFonts w:ascii="Verdana" w:hAnsi="Verdana"/>
        </w:rPr>
        <w:t xml:space="preserve">Victims </w:t>
      </w:r>
      <w:r w:rsidR="008F59A4" w:rsidRPr="00D55B2B">
        <w:rPr>
          <w:rFonts w:ascii="Verdana" w:hAnsi="Verdana"/>
        </w:rPr>
        <w:t>may therefore be successful in a civil case but never receive the compensation due to</w:t>
      </w:r>
      <w:r w:rsidR="00D534E4" w:rsidRPr="00D55B2B">
        <w:rPr>
          <w:rFonts w:ascii="Verdana" w:hAnsi="Verdana"/>
        </w:rPr>
        <w:t xml:space="preserve"> difficulties in enforcing the j</w:t>
      </w:r>
      <w:r w:rsidR="008F59A4" w:rsidRPr="00D55B2B">
        <w:rPr>
          <w:rFonts w:ascii="Verdana" w:hAnsi="Verdana"/>
        </w:rPr>
        <w:t xml:space="preserve">udgment. </w:t>
      </w:r>
    </w:p>
    <w:p w14:paraId="006A8C20" w14:textId="77777777" w:rsidR="00383057" w:rsidRDefault="00383057" w:rsidP="007E262A">
      <w:pPr>
        <w:spacing w:line="360" w:lineRule="auto"/>
        <w:ind w:right="-478"/>
        <w:jc w:val="both"/>
        <w:rPr>
          <w:rFonts w:ascii="Verdana" w:hAnsi="Verdana"/>
          <w:lang w:val="en-GB"/>
        </w:rPr>
      </w:pPr>
    </w:p>
    <w:p w14:paraId="128E6332" w14:textId="77777777" w:rsidR="00874A38" w:rsidRPr="0060450D" w:rsidRDefault="00874A38" w:rsidP="0060450D">
      <w:pPr>
        <w:pStyle w:val="ListParagraph"/>
        <w:numPr>
          <w:ilvl w:val="0"/>
          <w:numId w:val="30"/>
        </w:numPr>
        <w:spacing w:line="360" w:lineRule="auto"/>
        <w:ind w:left="284" w:right="-478"/>
        <w:jc w:val="both"/>
        <w:rPr>
          <w:rFonts w:ascii="Verdana" w:hAnsi="Verdana"/>
          <w:lang w:val="en-GB"/>
        </w:rPr>
      </w:pPr>
      <w:r>
        <w:rPr>
          <w:rFonts w:ascii="Verdana" w:hAnsi="Verdana"/>
          <w:u w:val="single"/>
          <w:lang w:val="en-GB"/>
        </w:rPr>
        <w:t>The criminal justice response</w:t>
      </w:r>
    </w:p>
    <w:p w14:paraId="7B803826" w14:textId="77777777" w:rsidR="00874A38" w:rsidRPr="00D55B2B" w:rsidRDefault="00874A38" w:rsidP="007E262A">
      <w:pPr>
        <w:spacing w:line="360" w:lineRule="auto"/>
        <w:ind w:right="-478"/>
        <w:jc w:val="both"/>
        <w:rPr>
          <w:rFonts w:ascii="Verdana" w:hAnsi="Verdana"/>
          <w:lang w:val="en-GB"/>
        </w:rPr>
      </w:pPr>
    </w:p>
    <w:p w14:paraId="00F6FDFC" w14:textId="77777777" w:rsidR="00383057" w:rsidRPr="00D55B2B" w:rsidRDefault="00DB43CD" w:rsidP="0060450D">
      <w:pPr>
        <w:spacing w:line="360" w:lineRule="auto"/>
        <w:ind w:left="284" w:right="-478"/>
        <w:jc w:val="both"/>
        <w:rPr>
          <w:rFonts w:ascii="Verdana" w:hAnsi="Verdana"/>
          <w:lang w:val="en-GB"/>
        </w:rPr>
      </w:pPr>
      <w:r>
        <w:rPr>
          <w:rFonts w:ascii="Verdana" w:hAnsi="Verdana"/>
          <w:lang w:val="en-GB"/>
        </w:rPr>
        <w:t>T</w:t>
      </w:r>
      <w:r w:rsidR="00383057" w:rsidRPr="00D55B2B">
        <w:rPr>
          <w:rFonts w:ascii="Verdana" w:hAnsi="Verdana"/>
          <w:lang w:val="en-GB"/>
        </w:rPr>
        <w:t>here are also criminal sanctions in place for individuals who perpetrate domestic abuse. Until recently, th</w:t>
      </w:r>
      <w:r w:rsidR="003E0B17" w:rsidRPr="00D55B2B">
        <w:rPr>
          <w:rFonts w:ascii="Verdana" w:hAnsi="Verdana"/>
          <w:lang w:val="en-GB"/>
        </w:rPr>
        <w:t>e</w:t>
      </w:r>
      <w:r w:rsidR="00383057" w:rsidRPr="00D55B2B">
        <w:rPr>
          <w:rFonts w:ascii="Verdana" w:hAnsi="Verdana"/>
          <w:lang w:val="en-GB"/>
        </w:rPr>
        <w:t>se criminal sanctions were largely limited to cases involving actual violence and where an offence wa</w:t>
      </w:r>
      <w:r w:rsidR="00D71051" w:rsidRPr="00D55B2B">
        <w:rPr>
          <w:rFonts w:ascii="Verdana" w:hAnsi="Verdana"/>
          <w:lang w:val="en-GB"/>
        </w:rPr>
        <w:t>s committed under the Offences a</w:t>
      </w:r>
      <w:r w:rsidR="00383057" w:rsidRPr="00D55B2B">
        <w:rPr>
          <w:rFonts w:ascii="Verdana" w:hAnsi="Verdana"/>
          <w:lang w:val="en-GB"/>
        </w:rPr>
        <w:t>gainst the Person Act 1861</w:t>
      </w:r>
      <w:r w:rsidR="00694A50" w:rsidRPr="00D55B2B">
        <w:rPr>
          <w:rFonts w:ascii="Verdana" w:hAnsi="Verdana"/>
          <w:lang w:val="en-GB"/>
        </w:rPr>
        <w:t xml:space="preserve"> (OAPA 1861)</w:t>
      </w:r>
      <w:r w:rsidR="00383057" w:rsidRPr="00D55B2B">
        <w:rPr>
          <w:rFonts w:ascii="Verdana" w:hAnsi="Verdana"/>
          <w:lang w:val="en-GB"/>
        </w:rPr>
        <w:t>.  The non-fatal offences listed under the O</w:t>
      </w:r>
      <w:r w:rsidR="00694A50" w:rsidRPr="00D55B2B">
        <w:rPr>
          <w:rFonts w:ascii="Verdana" w:hAnsi="Verdana"/>
          <w:lang w:val="en-GB"/>
        </w:rPr>
        <w:t xml:space="preserve">APA 1861 </w:t>
      </w:r>
      <w:r w:rsidR="00383057" w:rsidRPr="00D55B2B">
        <w:rPr>
          <w:rFonts w:ascii="Verdana" w:hAnsi="Verdana"/>
          <w:lang w:val="en-GB"/>
        </w:rPr>
        <w:t>did ca</w:t>
      </w:r>
      <w:r w:rsidR="003C0901" w:rsidRPr="00D55B2B">
        <w:rPr>
          <w:rFonts w:ascii="Verdana" w:hAnsi="Verdana"/>
          <w:lang w:val="en-GB"/>
        </w:rPr>
        <w:t>pture</w:t>
      </w:r>
      <w:r w:rsidR="00383057" w:rsidRPr="00D55B2B">
        <w:rPr>
          <w:rFonts w:ascii="Verdana" w:hAnsi="Verdana"/>
          <w:lang w:val="en-GB"/>
        </w:rPr>
        <w:t xml:space="preserve"> some non-violent and otherwise abusive behaviour but this was very limited. For example, in </w:t>
      </w:r>
      <w:r w:rsidR="00383057" w:rsidRPr="00D55B2B">
        <w:rPr>
          <w:rFonts w:ascii="Verdana" w:hAnsi="Verdana"/>
          <w:i/>
          <w:lang w:val="en-GB"/>
        </w:rPr>
        <w:t>R v Ireland</w:t>
      </w:r>
      <w:r w:rsidR="00383057" w:rsidRPr="00D55B2B">
        <w:rPr>
          <w:rFonts w:ascii="Verdana" w:hAnsi="Verdana"/>
          <w:lang w:val="en-GB"/>
        </w:rPr>
        <w:t xml:space="preserve"> repeated silent telephone calls w</w:t>
      </w:r>
      <w:r w:rsidR="00D360D2" w:rsidRPr="00D55B2B">
        <w:rPr>
          <w:rFonts w:ascii="Verdana" w:hAnsi="Verdana"/>
          <w:lang w:val="en-GB"/>
        </w:rPr>
        <w:t>ere</w:t>
      </w:r>
      <w:r w:rsidR="00383057" w:rsidRPr="00D55B2B">
        <w:rPr>
          <w:rFonts w:ascii="Verdana" w:hAnsi="Verdana"/>
          <w:lang w:val="en-GB"/>
        </w:rPr>
        <w:t xml:space="preserve"> deemed to constitute an assault but only if it caused the victim to ‘apprehend immediate and unlawful violence’</w:t>
      </w:r>
      <w:r w:rsidR="00DB6394" w:rsidRPr="00D55B2B">
        <w:rPr>
          <w:rFonts w:ascii="Verdana" w:hAnsi="Verdana"/>
          <w:lang w:val="en-GB"/>
        </w:rPr>
        <w:t>.</w:t>
      </w:r>
      <w:r w:rsidR="00383057" w:rsidRPr="00D55B2B">
        <w:rPr>
          <w:rStyle w:val="FootnoteReference"/>
          <w:rFonts w:ascii="Verdana" w:hAnsi="Verdana"/>
          <w:lang w:val="en-GB"/>
        </w:rPr>
        <w:footnoteReference w:id="31"/>
      </w:r>
      <w:r w:rsidR="00383057" w:rsidRPr="00D55B2B">
        <w:rPr>
          <w:rFonts w:ascii="Verdana" w:hAnsi="Verdana"/>
          <w:lang w:val="en-GB"/>
        </w:rPr>
        <w:t xml:space="preserve"> Some fear of violence therefore still needed to be present and the behaviour alone was insufficient to constitute an offence under this Act. The </w:t>
      </w:r>
      <w:r w:rsidR="00694A50" w:rsidRPr="00D55B2B">
        <w:rPr>
          <w:rFonts w:ascii="Verdana" w:hAnsi="Verdana"/>
          <w:lang w:val="en-GB"/>
        </w:rPr>
        <w:t>approach under the OAPA</w:t>
      </w:r>
      <w:r w:rsidR="00383057" w:rsidRPr="00D55B2B">
        <w:rPr>
          <w:rFonts w:ascii="Verdana" w:hAnsi="Verdana"/>
          <w:lang w:val="en-GB"/>
        </w:rPr>
        <w:t xml:space="preserve"> </w:t>
      </w:r>
      <w:r w:rsidR="003C0901" w:rsidRPr="00D55B2B">
        <w:rPr>
          <w:rFonts w:ascii="Verdana" w:hAnsi="Verdana"/>
          <w:lang w:val="en-GB"/>
        </w:rPr>
        <w:t xml:space="preserve">1861 </w:t>
      </w:r>
      <w:r w:rsidR="00383057" w:rsidRPr="00D55B2B">
        <w:rPr>
          <w:rFonts w:ascii="Verdana" w:hAnsi="Verdana"/>
          <w:lang w:val="en-GB"/>
        </w:rPr>
        <w:t>also focuses on single incidents rather than a course of conduct which is more commonly associated with an abusive intimate relationship.</w:t>
      </w:r>
    </w:p>
    <w:p w14:paraId="1E7A6545" w14:textId="77777777" w:rsidR="00383057" w:rsidRPr="00D55B2B" w:rsidRDefault="00383057" w:rsidP="0060450D">
      <w:pPr>
        <w:spacing w:line="360" w:lineRule="auto"/>
        <w:ind w:left="284" w:right="-478"/>
        <w:jc w:val="both"/>
        <w:rPr>
          <w:rFonts w:ascii="Verdana" w:hAnsi="Verdana"/>
          <w:lang w:val="en-GB"/>
        </w:rPr>
      </w:pPr>
    </w:p>
    <w:p w14:paraId="588BCECC" w14:textId="77777777"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The P</w:t>
      </w:r>
      <w:r w:rsidR="0024616F" w:rsidRPr="00D55B2B">
        <w:rPr>
          <w:rFonts w:ascii="Verdana" w:hAnsi="Verdana"/>
          <w:lang w:val="en-GB"/>
        </w:rPr>
        <w:t xml:space="preserve">HA 1997 </w:t>
      </w:r>
      <w:r w:rsidRPr="00D55B2B">
        <w:rPr>
          <w:rFonts w:ascii="Verdana" w:hAnsi="Verdana"/>
          <w:lang w:val="en-GB"/>
        </w:rPr>
        <w:t>offer</w:t>
      </w:r>
      <w:r w:rsidR="009F3E66" w:rsidRPr="00D55B2B">
        <w:rPr>
          <w:rFonts w:ascii="Verdana" w:hAnsi="Verdana"/>
          <w:lang w:val="en-GB"/>
        </w:rPr>
        <w:t>s</w:t>
      </w:r>
      <w:r w:rsidRPr="00D55B2B">
        <w:rPr>
          <w:rFonts w:ascii="Verdana" w:hAnsi="Verdana"/>
          <w:lang w:val="en-GB"/>
        </w:rPr>
        <w:t xml:space="preserve"> slightly more scope for criminal sanction, where the conduct </w:t>
      </w:r>
      <w:r w:rsidR="00925BC3" w:rsidRPr="00D55B2B">
        <w:rPr>
          <w:rFonts w:ascii="Verdana" w:hAnsi="Verdana"/>
          <w:lang w:val="en-GB"/>
        </w:rPr>
        <w:t>is</w:t>
      </w:r>
      <w:r w:rsidRPr="00D55B2B">
        <w:rPr>
          <w:rFonts w:ascii="Verdana" w:hAnsi="Verdana"/>
          <w:lang w:val="en-GB"/>
        </w:rPr>
        <w:t xml:space="preserve"> non-violent and involv</w:t>
      </w:r>
      <w:r w:rsidR="005232E9" w:rsidRPr="00D55B2B">
        <w:rPr>
          <w:rFonts w:ascii="Verdana" w:hAnsi="Verdana"/>
          <w:lang w:val="en-GB"/>
        </w:rPr>
        <w:t>es</w:t>
      </w:r>
      <w:r w:rsidR="008A4A6B" w:rsidRPr="00D55B2B">
        <w:rPr>
          <w:rFonts w:ascii="Verdana" w:hAnsi="Verdana"/>
          <w:lang w:val="en-GB"/>
        </w:rPr>
        <w:t xml:space="preserve"> a “course of conduct”</w:t>
      </w:r>
      <w:r w:rsidRPr="00D55B2B">
        <w:rPr>
          <w:rFonts w:ascii="Verdana" w:hAnsi="Verdana"/>
          <w:lang w:val="en-GB"/>
        </w:rPr>
        <w:t xml:space="preserve"> rather than a single incident.  For example, section 4A provides that</w:t>
      </w:r>
      <w:r w:rsidR="006A2395" w:rsidRPr="00D55B2B">
        <w:rPr>
          <w:rFonts w:ascii="Verdana" w:hAnsi="Verdana"/>
          <w:lang w:val="en-GB"/>
        </w:rPr>
        <w:t xml:space="preserve">: </w:t>
      </w:r>
    </w:p>
    <w:p w14:paraId="06895F70" w14:textId="77777777" w:rsidR="00383057" w:rsidRPr="00D55B2B" w:rsidRDefault="00383057" w:rsidP="007E262A">
      <w:pPr>
        <w:spacing w:line="360" w:lineRule="auto"/>
        <w:ind w:right="-478"/>
        <w:jc w:val="both"/>
        <w:rPr>
          <w:rFonts w:ascii="Verdana" w:hAnsi="Verdana"/>
          <w:lang w:val="en-GB"/>
        </w:rPr>
      </w:pPr>
    </w:p>
    <w:p w14:paraId="5F1EF618" w14:textId="77777777" w:rsidR="00981394" w:rsidRPr="00D55B2B" w:rsidRDefault="00383057" w:rsidP="007E262A">
      <w:pPr>
        <w:spacing w:line="360" w:lineRule="auto"/>
        <w:ind w:left="720" w:right="-478"/>
        <w:jc w:val="both"/>
        <w:rPr>
          <w:rFonts w:ascii="Verdana" w:hAnsi="Verdana"/>
          <w:lang w:val="en-GB"/>
        </w:rPr>
      </w:pPr>
      <w:r w:rsidRPr="00D55B2B">
        <w:rPr>
          <w:rFonts w:ascii="Verdana" w:hAnsi="Verdana"/>
          <w:lang w:val="en-GB"/>
        </w:rPr>
        <w:t>A person (“A”) whose course of conduct—</w:t>
      </w:r>
    </w:p>
    <w:p w14:paraId="41D3EF94" w14:textId="77777777" w:rsidR="000B62A3" w:rsidRPr="00D55B2B" w:rsidRDefault="00383057" w:rsidP="007E262A">
      <w:pPr>
        <w:spacing w:line="360" w:lineRule="auto"/>
        <w:ind w:left="720" w:right="-478"/>
        <w:jc w:val="both"/>
        <w:rPr>
          <w:rFonts w:ascii="Verdana" w:hAnsi="Verdana"/>
          <w:lang w:val="en-GB"/>
        </w:rPr>
      </w:pPr>
      <w:r w:rsidRPr="00D55B2B">
        <w:rPr>
          <w:rFonts w:ascii="Verdana" w:hAnsi="Verdana"/>
          <w:lang w:val="en-GB"/>
        </w:rPr>
        <w:t>(a)</w:t>
      </w:r>
      <w:r w:rsidR="00270FC7" w:rsidRPr="00D55B2B">
        <w:rPr>
          <w:rFonts w:ascii="Verdana" w:hAnsi="Verdana"/>
          <w:lang w:val="en-GB"/>
        </w:rPr>
        <w:t xml:space="preserve"> </w:t>
      </w:r>
      <w:r w:rsidRPr="00D55B2B">
        <w:rPr>
          <w:rFonts w:ascii="Verdana" w:hAnsi="Verdana"/>
          <w:lang w:val="en-GB"/>
        </w:rPr>
        <w:t>amounts to stalking, and</w:t>
      </w:r>
    </w:p>
    <w:p w14:paraId="7A9ADA14" w14:textId="77777777" w:rsidR="000B62A3" w:rsidRPr="00D55B2B" w:rsidRDefault="00383057" w:rsidP="007E262A">
      <w:pPr>
        <w:spacing w:line="360" w:lineRule="auto"/>
        <w:ind w:left="720" w:right="-478"/>
        <w:jc w:val="both"/>
        <w:rPr>
          <w:rFonts w:ascii="Verdana" w:hAnsi="Verdana"/>
          <w:lang w:val="en-GB"/>
        </w:rPr>
      </w:pPr>
      <w:r w:rsidRPr="00D55B2B">
        <w:rPr>
          <w:rFonts w:ascii="Verdana" w:hAnsi="Verdana"/>
          <w:lang w:val="en-GB"/>
        </w:rPr>
        <w:t>(b)</w:t>
      </w:r>
      <w:r w:rsidR="00270FC7" w:rsidRPr="00D55B2B">
        <w:rPr>
          <w:rFonts w:ascii="Verdana" w:hAnsi="Verdana"/>
          <w:lang w:val="en-GB"/>
        </w:rPr>
        <w:t xml:space="preserve"> </w:t>
      </w:r>
      <w:r w:rsidRPr="00D55B2B">
        <w:rPr>
          <w:rFonts w:ascii="Verdana" w:hAnsi="Verdana"/>
          <w:lang w:val="en-GB"/>
        </w:rPr>
        <w:t>either—</w:t>
      </w:r>
    </w:p>
    <w:p w14:paraId="21AD1EE3" w14:textId="77777777" w:rsidR="00383057" w:rsidRPr="00D55B2B" w:rsidRDefault="00383057" w:rsidP="007E262A">
      <w:pPr>
        <w:spacing w:line="360" w:lineRule="auto"/>
        <w:ind w:left="993" w:right="-478"/>
        <w:jc w:val="both"/>
        <w:rPr>
          <w:rFonts w:ascii="Verdana" w:hAnsi="Verdana"/>
          <w:lang w:val="en-GB"/>
        </w:rPr>
      </w:pPr>
      <w:r w:rsidRPr="00D55B2B">
        <w:rPr>
          <w:rFonts w:ascii="Verdana" w:hAnsi="Verdana"/>
          <w:lang w:val="en-GB"/>
        </w:rPr>
        <w:t>(i)</w:t>
      </w:r>
      <w:r w:rsidR="00270FC7" w:rsidRPr="00D55B2B">
        <w:rPr>
          <w:rFonts w:ascii="Verdana" w:hAnsi="Verdana"/>
          <w:lang w:val="en-GB"/>
        </w:rPr>
        <w:t xml:space="preserve"> </w:t>
      </w:r>
      <w:r w:rsidRPr="00D55B2B">
        <w:rPr>
          <w:rFonts w:ascii="Verdana" w:hAnsi="Verdana"/>
          <w:lang w:val="en-GB"/>
        </w:rPr>
        <w:t>causes another (“B”) to fear, on at least two occasions, that violence will be used against B, or</w:t>
      </w:r>
    </w:p>
    <w:p w14:paraId="0986BA6B" w14:textId="77777777" w:rsidR="000B62A3" w:rsidRPr="00D55B2B" w:rsidRDefault="00383057" w:rsidP="007E262A">
      <w:pPr>
        <w:spacing w:line="360" w:lineRule="auto"/>
        <w:ind w:left="993" w:right="-478"/>
        <w:jc w:val="both"/>
        <w:rPr>
          <w:rFonts w:ascii="Verdana" w:hAnsi="Verdana"/>
          <w:lang w:val="en-GB"/>
        </w:rPr>
      </w:pPr>
      <w:r w:rsidRPr="00D55B2B">
        <w:rPr>
          <w:rFonts w:ascii="Verdana" w:hAnsi="Verdana"/>
          <w:lang w:val="en-GB"/>
        </w:rPr>
        <w:t>(ii)</w:t>
      </w:r>
      <w:r w:rsidR="00270FC7" w:rsidRPr="00D55B2B">
        <w:rPr>
          <w:rFonts w:ascii="Verdana" w:hAnsi="Verdana"/>
          <w:lang w:val="en-GB"/>
        </w:rPr>
        <w:t xml:space="preserve"> </w:t>
      </w:r>
      <w:r w:rsidRPr="00D55B2B">
        <w:rPr>
          <w:rFonts w:ascii="Verdana" w:hAnsi="Verdana"/>
          <w:lang w:val="en-GB"/>
        </w:rPr>
        <w:t>causes B serious alarm or distress which has a substantial adverse effect on B's usual day-to-day activities,</w:t>
      </w:r>
    </w:p>
    <w:p w14:paraId="10AA4715" w14:textId="77777777" w:rsidR="00383057" w:rsidRPr="00D55B2B" w:rsidRDefault="00383057" w:rsidP="007E262A">
      <w:pPr>
        <w:spacing w:line="360" w:lineRule="auto"/>
        <w:ind w:left="720" w:right="-478"/>
        <w:jc w:val="both"/>
        <w:rPr>
          <w:rFonts w:ascii="Verdana" w:hAnsi="Verdana"/>
          <w:lang w:val="en-GB"/>
        </w:rPr>
      </w:pPr>
      <w:r w:rsidRPr="00D55B2B">
        <w:rPr>
          <w:rFonts w:ascii="Verdana" w:hAnsi="Verdana"/>
          <w:lang w:val="en-GB"/>
        </w:rPr>
        <w:t>is guilty of an offence if A knows or ought to know that A's course of conduct will cause B so to fear on each of those occasions or (as the case may be) will cause such alarm or distress.</w:t>
      </w:r>
    </w:p>
    <w:p w14:paraId="6F75AA8C" w14:textId="77777777" w:rsidR="00383057" w:rsidRPr="00D55B2B" w:rsidRDefault="00383057" w:rsidP="007E262A">
      <w:pPr>
        <w:spacing w:line="360" w:lineRule="auto"/>
        <w:ind w:right="-478"/>
        <w:jc w:val="both"/>
        <w:rPr>
          <w:rFonts w:ascii="Verdana" w:hAnsi="Verdana"/>
          <w:lang w:val="en-GB"/>
        </w:rPr>
      </w:pPr>
    </w:p>
    <w:p w14:paraId="101CA65D" w14:textId="77777777"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 xml:space="preserve">This potentially brings into scope domestic abuse cases where the victim has not suffered physical violence but has suffered psychological/emotional harm. </w:t>
      </w:r>
      <w:r w:rsidR="00DB43CD">
        <w:rPr>
          <w:rFonts w:ascii="Verdana" w:hAnsi="Verdana"/>
          <w:lang w:val="en-GB"/>
        </w:rPr>
        <w:t>T</w:t>
      </w:r>
      <w:r w:rsidRPr="00D55B2B">
        <w:rPr>
          <w:rFonts w:ascii="Verdana" w:hAnsi="Verdana"/>
          <w:lang w:val="en-GB"/>
        </w:rPr>
        <w:t xml:space="preserve">here has been a reluctance on the part of the </w:t>
      </w:r>
      <w:r w:rsidR="000E4C6C" w:rsidRPr="00D55B2B">
        <w:rPr>
          <w:rFonts w:ascii="Verdana" w:hAnsi="Verdana"/>
          <w:lang w:val="en-GB"/>
        </w:rPr>
        <w:t>j</w:t>
      </w:r>
      <w:r w:rsidRPr="00D55B2B">
        <w:rPr>
          <w:rFonts w:ascii="Verdana" w:hAnsi="Verdana"/>
          <w:lang w:val="en-GB"/>
        </w:rPr>
        <w:t>udiciary to interpret this section in a way that would include coercive and controlling behaviour in an intimate relationship, thereby limiting</w:t>
      </w:r>
      <w:r w:rsidR="00C41F78" w:rsidRPr="00D55B2B">
        <w:rPr>
          <w:rFonts w:ascii="Verdana" w:hAnsi="Verdana"/>
          <w:lang w:val="en-GB"/>
        </w:rPr>
        <w:t xml:space="preserve"> the scope of this section. </w:t>
      </w:r>
      <w:r w:rsidRPr="00D55B2B">
        <w:rPr>
          <w:rFonts w:ascii="Verdana" w:hAnsi="Verdana"/>
          <w:lang w:val="en-GB"/>
        </w:rPr>
        <w:t xml:space="preserve">For example, in </w:t>
      </w:r>
      <w:r w:rsidRPr="00D55B2B">
        <w:rPr>
          <w:rFonts w:ascii="Verdana" w:hAnsi="Verdana"/>
          <w:i/>
          <w:lang w:val="en-GB"/>
        </w:rPr>
        <w:t>R v Widdows</w:t>
      </w:r>
      <w:r w:rsidRPr="00D55B2B">
        <w:rPr>
          <w:rFonts w:ascii="Verdana" w:hAnsi="Verdana"/>
          <w:lang w:val="en-GB"/>
        </w:rPr>
        <w:t>,</w:t>
      </w:r>
      <w:r w:rsidR="00AE4164" w:rsidRPr="00D55B2B">
        <w:rPr>
          <w:rFonts w:ascii="Verdana" w:hAnsi="Verdana"/>
          <w:lang w:val="en-GB"/>
        </w:rPr>
        <w:t xml:space="preserve"> </w:t>
      </w:r>
      <w:r w:rsidR="000B4DAE" w:rsidRPr="00D55B2B">
        <w:rPr>
          <w:rFonts w:ascii="Verdana" w:hAnsi="Verdana"/>
          <w:lang w:val="en-GB"/>
        </w:rPr>
        <w:t>P</w:t>
      </w:r>
      <w:r w:rsidRPr="00D55B2B">
        <w:rPr>
          <w:rFonts w:ascii="Verdana" w:hAnsi="Verdana"/>
          <w:lang w:val="en-GB"/>
        </w:rPr>
        <w:t>i</w:t>
      </w:r>
      <w:r w:rsidR="000B4DAE" w:rsidRPr="00D55B2B">
        <w:rPr>
          <w:rFonts w:ascii="Verdana" w:hAnsi="Verdana"/>
          <w:lang w:val="en-GB"/>
        </w:rPr>
        <w:t>l</w:t>
      </w:r>
      <w:r w:rsidRPr="00D55B2B">
        <w:rPr>
          <w:rFonts w:ascii="Verdana" w:hAnsi="Verdana"/>
          <w:lang w:val="en-GB"/>
        </w:rPr>
        <w:t>l</w:t>
      </w:r>
      <w:r w:rsidR="00AE4164" w:rsidRPr="00D55B2B">
        <w:rPr>
          <w:rFonts w:ascii="Verdana" w:hAnsi="Verdana"/>
          <w:lang w:val="en-GB"/>
        </w:rPr>
        <w:t xml:space="preserve"> LJ</w:t>
      </w:r>
      <w:r w:rsidRPr="00D55B2B">
        <w:rPr>
          <w:rFonts w:ascii="Verdana" w:hAnsi="Verdana"/>
          <w:lang w:val="en-GB"/>
        </w:rPr>
        <w:t xml:space="preserve"> stated:</w:t>
      </w:r>
    </w:p>
    <w:p w14:paraId="3626E7AC" w14:textId="77777777" w:rsidR="00383057" w:rsidRPr="00D55B2B" w:rsidRDefault="00383057" w:rsidP="007E262A">
      <w:pPr>
        <w:spacing w:line="360" w:lineRule="auto"/>
        <w:ind w:right="-478"/>
        <w:jc w:val="both"/>
        <w:rPr>
          <w:rFonts w:ascii="Verdana" w:hAnsi="Verdana"/>
          <w:lang w:val="en-GB"/>
        </w:rPr>
      </w:pPr>
    </w:p>
    <w:p w14:paraId="0D927992" w14:textId="77777777" w:rsidR="00383057" w:rsidRPr="00D55B2B" w:rsidRDefault="00383057" w:rsidP="007E262A">
      <w:pPr>
        <w:spacing w:line="360" w:lineRule="auto"/>
        <w:ind w:left="720" w:right="-478"/>
        <w:jc w:val="both"/>
        <w:rPr>
          <w:rFonts w:ascii="Verdana" w:hAnsi="Verdana"/>
          <w:lang w:val="en-GB"/>
        </w:rPr>
      </w:pPr>
      <w:r w:rsidRPr="00D55B2B">
        <w:rPr>
          <w:rFonts w:ascii="Verdana" w:hAnsi="Verdana"/>
          <w:lang w:val="en-GB"/>
        </w:rPr>
        <w:t>[Section 4A] is not normally appropriate for use as a means of criminalising conduct, not charged as violence, during incidents in a long and predominantly affectionate relationship in which both parties persisted and wanted to continue.</w:t>
      </w:r>
      <w:r w:rsidR="009479F1" w:rsidRPr="00D55B2B">
        <w:rPr>
          <w:rStyle w:val="FootnoteReference"/>
          <w:rFonts w:ascii="Verdana" w:hAnsi="Verdana"/>
          <w:lang w:val="en-GB"/>
        </w:rPr>
        <w:footnoteReference w:id="32"/>
      </w:r>
    </w:p>
    <w:p w14:paraId="474E7F79" w14:textId="77777777" w:rsidR="00383057" w:rsidRPr="00D55B2B" w:rsidRDefault="00383057" w:rsidP="007E262A">
      <w:pPr>
        <w:spacing w:line="360" w:lineRule="auto"/>
        <w:ind w:right="-478"/>
        <w:jc w:val="both"/>
        <w:rPr>
          <w:rFonts w:ascii="Verdana" w:hAnsi="Verdana"/>
          <w:lang w:val="en-GB"/>
        </w:rPr>
      </w:pPr>
    </w:p>
    <w:p w14:paraId="297D2FF5" w14:textId="25314F72" w:rsidR="00383057" w:rsidRPr="00D55B2B" w:rsidRDefault="00383057" w:rsidP="0060450D">
      <w:pPr>
        <w:spacing w:line="360" w:lineRule="auto"/>
        <w:ind w:left="284" w:right="-478"/>
        <w:jc w:val="both"/>
        <w:rPr>
          <w:rFonts w:ascii="Verdana" w:hAnsi="Verdana"/>
          <w:b/>
          <w:lang w:val="en-GB"/>
        </w:rPr>
      </w:pPr>
      <w:r w:rsidRPr="00D55B2B">
        <w:rPr>
          <w:rFonts w:ascii="Verdana" w:hAnsi="Verdana"/>
          <w:lang w:val="en-GB"/>
        </w:rPr>
        <w:t>Writers such as Stark</w:t>
      </w:r>
      <w:r w:rsidR="00987A07" w:rsidRPr="00D55B2B">
        <w:rPr>
          <w:rStyle w:val="FootnoteReference"/>
          <w:rFonts w:ascii="Verdana" w:hAnsi="Verdana"/>
          <w:lang w:val="en-GB"/>
        </w:rPr>
        <w:footnoteReference w:id="33"/>
      </w:r>
      <w:r w:rsidRPr="00D55B2B">
        <w:rPr>
          <w:rFonts w:ascii="Verdana" w:hAnsi="Verdana"/>
          <w:lang w:val="en-GB"/>
        </w:rPr>
        <w:t xml:space="preserve"> and Douglas</w:t>
      </w:r>
      <w:r w:rsidR="009562EA" w:rsidRPr="00D55B2B">
        <w:rPr>
          <w:rStyle w:val="FootnoteReference"/>
          <w:rFonts w:ascii="Verdana" w:hAnsi="Verdana"/>
          <w:lang w:val="en-GB"/>
        </w:rPr>
        <w:footnoteReference w:id="34"/>
      </w:r>
      <w:r w:rsidRPr="00D55B2B">
        <w:rPr>
          <w:rFonts w:ascii="Verdana" w:hAnsi="Verdana"/>
          <w:lang w:val="en-GB"/>
        </w:rPr>
        <w:t xml:space="preserve"> suggested that abusive relationships often involve </w:t>
      </w:r>
      <w:r w:rsidR="00DB43CD">
        <w:rPr>
          <w:rFonts w:ascii="Verdana" w:hAnsi="Verdana"/>
          <w:lang w:val="en-GB"/>
        </w:rPr>
        <w:t>“</w:t>
      </w:r>
      <w:r w:rsidRPr="00D55B2B">
        <w:rPr>
          <w:rFonts w:ascii="Verdana" w:hAnsi="Verdana"/>
          <w:lang w:val="en-GB"/>
        </w:rPr>
        <w:t>periods of violence interspersed with periods of non-violence</w:t>
      </w:r>
      <w:r w:rsidR="00DB43CD">
        <w:rPr>
          <w:rFonts w:ascii="Verdana" w:hAnsi="Verdana"/>
          <w:lang w:val="en-GB"/>
        </w:rPr>
        <w:t>”</w:t>
      </w:r>
      <w:r w:rsidR="00AF513A" w:rsidRPr="00D55B2B">
        <w:rPr>
          <w:rStyle w:val="FootnoteReference"/>
          <w:rFonts w:ascii="Verdana" w:hAnsi="Verdana"/>
          <w:lang w:val="en-GB"/>
        </w:rPr>
        <w:footnoteReference w:id="35"/>
      </w:r>
      <w:r w:rsidRPr="00D55B2B">
        <w:rPr>
          <w:rFonts w:ascii="Verdana" w:hAnsi="Verdana"/>
          <w:lang w:val="en-GB"/>
        </w:rPr>
        <w:t xml:space="preserve"> and that </w:t>
      </w:r>
      <w:r w:rsidR="00DB43CD">
        <w:rPr>
          <w:rFonts w:ascii="Verdana" w:hAnsi="Verdana"/>
          <w:lang w:val="en-GB"/>
        </w:rPr>
        <w:t>the latter</w:t>
      </w:r>
      <w:r w:rsidRPr="00D55B2B">
        <w:rPr>
          <w:rFonts w:ascii="Verdana" w:hAnsi="Verdana"/>
          <w:lang w:val="en-GB"/>
        </w:rPr>
        <w:t xml:space="preserve"> </w:t>
      </w:r>
      <w:r w:rsidR="00DB43CD">
        <w:rPr>
          <w:rFonts w:ascii="Verdana" w:hAnsi="Verdana"/>
          <w:lang w:val="en-GB"/>
        </w:rPr>
        <w:t>can</w:t>
      </w:r>
      <w:r w:rsidR="00DB43CD" w:rsidRPr="00D55B2B">
        <w:rPr>
          <w:rFonts w:ascii="Verdana" w:hAnsi="Verdana"/>
          <w:lang w:val="en-GB"/>
        </w:rPr>
        <w:t xml:space="preserve"> </w:t>
      </w:r>
      <w:r w:rsidRPr="00D55B2B">
        <w:rPr>
          <w:rFonts w:ascii="Verdana" w:hAnsi="Verdana"/>
          <w:lang w:val="en-GB"/>
        </w:rPr>
        <w:t>form part of the controlling behaviour. At a Justice for Women event in 2018 on the subject of coercive control</w:t>
      </w:r>
      <w:r w:rsidR="00944C78" w:rsidRPr="00D55B2B">
        <w:rPr>
          <w:rFonts w:ascii="Verdana" w:hAnsi="Verdana"/>
          <w:lang w:val="en-GB"/>
        </w:rPr>
        <w:t>,</w:t>
      </w:r>
      <w:r w:rsidRPr="00D55B2B">
        <w:rPr>
          <w:rStyle w:val="FootnoteReference"/>
          <w:rFonts w:ascii="Verdana" w:hAnsi="Verdana"/>
          <w:lang w:val="en-GB"/>
        </w:rPr>
        <w:footnoteReference w:id="36"/>
      </w:r>
      <w:r w:rsidRPr="00D55B2B">
        <w:rPr>
          <w:rFonts w:ascii="Verdana" w:hAnsi="Verdana"/>
          <w:lang w:val="en-GB"/>
        </w:rPr>
        <w:t xml:space="preserve"> Walmsley-Johnson</w:t>
      </w:r>
      <w:r w:rsidRPr="00D55B2B">
        <w:rPr>
          <w:rStyle w:val="FootnoteReference"/>
          <w:rFonts w:ascii="Verdana" w:hAnsi="Verdana"/>
          <w:lang w:val="en-GB"/>
        </w:rPr>
        <w:footnoteReference w:id="37"/>
      </w:r>
      <w:r w:rsidRPr="00D55B2B">
        <w:rPr>
          <w:rFonts w:ascii="Verdana" w:hAnsi="Verdana"/>
          <w:lang w:val="en-GB"/>
        </w:rPr>
        <w:t xml:space="preserve"> explained that, in her own abusive relationship, the periods of violence were interspersed with periods of grand generosity which were designed to make her feel grateful for the relationship and encourage her to remain, despite the violence that was certain to happen again. The </w:t>
      </w:r>
      <w:r w:rsidRPr="00D55B2B">
        <w:rPr>
          <w:rFonts w:ascii="Verdana" w:hAnsi="Verdana"/>
          <w:i/>
          <w:lang w:val="en-GB"/>
        </w:rPr>
        <w:t>Widdows</w:t>
      </w:r>
      <w:r w:rsidRPr="00D55B2B">
        <w:rPr>
          <w:rFonts w:ascii="Verdana" w:hAnsi="Verdana"/>
          <w:lang w:val="en-GB"/>
        </w:rPr>
        <w:t xml:space="preserve"> case therefore highlights a lack of un</w:t>
      </w:r>
      <w:r w:rsidR="00732418" w:rsidRPr="00D55B2B">
        <w:rPr>
          <w:rFonts w:ascii="Verdana" w:hAnsi="Verdana"/>
          <w:lang w:val="en-GB"/>
        </w:rPr>
        <w:t>derstanding on the part of the j</w:t>
      </w:r>
      <w:r w:rsidRPr="00D55B2B">
        <w:rPr>
          <w:rFonts w:ascii="Verdana" w:hAnsi="Verdana"/>
          <w:lang w:val="en-GB"/>
        </w:rPr>
        <w:t>udiciary of the nature of domestic abuse and the psychological impact that the behaviour can have on a victim. Unfortunately, concerns about lack of understanding ex</w:t>
      </w:r>
      <w:r w:rsidR="00A11B84" w:rsidRPr="00D55B2B">
        <w:rPr>
          <w:rFonts w:ascii="Verdana" w:hAnsi="Verdana"/>
          <w:lang w:val="en-GB"/>
        </w:rPr>
        <w:t xml:space="preserve">tend </w:t>
      </w:r>
      <w:r w:rsidRPr="00D55B2B">
        <w:rPr>
          <w:rFonts w:ascii="Verdana" w:hAnsi="Verdana"/>
          <w:lang w:val="en-GB"/>
        </w:rPr>
        <w:t xml:space="preserve">beyond the </w:t>
      </w:r>
      <w:r w:rsidR="00AD285E" w:rsidRPr="00D55B2B">
        <w:rPr>
          <w:rFonts w:ascii="Verdana" w:hAnsi="Verdana"/>
          <w:lang w:val="en-GB"/>
        </w:rPr>
        <w:t>j</w:t>
      </w:r>
      <w:r w:rsidRPr="00D55B2B">
        <w:rPr>
          <w:rFonts w:ascii="Verdana" w:hAnsi="Verdana"/>
          <w:lang w:val="en-GB"/>
        </w:rPr>
        <w:t>udiciary and this is an issue that will be explored later in this article.</w:t>
      </w:r>
    </w:p>
    <w:p w14:paraId="42A58C2A" w14:textId="77777777" w:rsidR="00383057" w:rsidRPr="00D55B2B" w:rsidRDefault="00383057" w:rsidP="0060450D">
      <w:pPr>
        <w:spacing w:line="360" w:lineRule="auto"/>
        <w:ind w:left="284" w:right="-478"/>
        <w:jc w:val="both"/>
        <w:rPr>
          <w:rFonts w:ascii="Verdana" w:hAnsi="Verdana"/>
          <w:b/>
          <w:lang w:val="en-GB"/>
        </w:rPr>
      </w:pPr>
    </w:p>
    <w:p w14:paraId="63FF1001" w14:textId="6FC19450"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Since 2007, it is also now also a criminal offence to breach a non-molestation order</w:t>
      </w:r>
      <w:r w:rsidR="00FA2E23" w:rsidRPr="00D55B2B">
        <w:rPr>
          <w:rFonts w:ascii="Verdana" w:hAnsi="Verdana"/>
          <w:lang w:val="en-GB"/>
        </w:rPr>
        <w:t>.</w:t>
      </w:r>
      <w:r w:rsidRPr="00D55B2B">
        <w:rPr>
          <w:rStyle w:val="FootnoteReference"/>
          <w:rFonts w:ascii="Verdana" w:hAnsi="Verdana"/>
          <w:lang w:val="en-GB"/>
        </w:rPr>
        <w:footnoteReference w:id="38"/>
      </w:r>
      <w:r w:rsidRPr="00D55B2B">
        <w:rPr>
          <w:rFonts w:ascii="Verdana" w:hAnsi="Verdana"/>
          <w:lang w:val="en-GB"/>
        </w:rPr>
        <w:t xml:space="preserve"> Prior to 2007, a power of arrest would need to be attached to an order and the onus would be on the victim to pursue contempt of court proceedings in the event of a breach. It could be argued that this relatively small change significantly increased the powers of the police to intervene in non-physical domestic abuse cases. </w:t>
      </w:r>
      <w:r w:rsidR="00DB43CD">
        <w:rPr>
          <w:rFonts w:ascii="Verdana" w:hAnsi="Verdana"/>
          <w:lang w:val="en-GB"/>
        </w:rPr>
        <w:t>To</w:t>
      </w:r>
      <w:r w:rsidRPr="00D55B2B">
        <w:rPr>
          <w:rFonts w:ascii="Verdana" w:hAnsi="Verdana"/>
          <w:lang w:val="en-GB"/>
        </w:rPr>
        <w:t xml:space="preserve"> pursue criminal sanctions, the victim has to wait for the perpetrator to conduct themselves in a way that breaches the order. In the year ending December 2017, 3,154 individuals were convicted of breaching a non-molestation order</w:t>
      </w:r>
      <w:r w:rsidR="00D548FA" w:rsidRPr="00D55B2B">
        <w:rPr>
          <w:rFonts w:ascii="Verdana" w:hAnsi="Verdana"/>
          <w:lang w:val="en-GB"/>
        </w:rPr>
        <w:t>.</w:t>
      </w:r>
      <w:r w:rsidRPr="00D55B2B">
        <w:rPr>
          <w:rStyle w:val="FootnoteReference"/>
          <w:rFonts w:ascii="Verdana" w:hAnsi="Verdana"/>
          <w:lang w:val="en-GB"/>
        </w:rPr>
        <w:footnoteReference w:id="39"/>
      </w:r>
      <w:r w:rsidRPr="00D55B2B">
        <w:rPr>
          <w:rFonts w:ascii="Verdana" w:hAnsi="Verdana"/>
          <w:lang w:val="en-GB"/>
        </w:rPr>
        <w:t xml:space="preserve">  It is difficult to compare this</w:t>
      </w:r>
      <w:r w:rsidR="00DB43CD">
        <w:rPr>
          <w:rFonts w:ascii="Verdana" w:hAnsi="Verdana"/>
          <w:lang w:val="en-GB"/>
        </w:rPr>
        <w:t xml:space="preserve"> figure</w:t>
      </w:r>
      <w:r w:rsidRPr="00D55B2B">
        <w:rPr>
          <w:rFonts w:ascii="Verdana" w:hAnsi="Verdana"/>
          <w:lang w:val="en-GB"/>
        </w:rPr>
        <w:t xml:space="preserve"> to the number of non-molestation orders actually being made because the data is gathered at different times in the </w:t>
      </w:r>
      <w:r w:rsidR="00A97ECF" w:rsidRPr="00D55B2B">
        <w:rPr>
          <w:rFonts w:ascii="Verdana" w:hAnsi="Verdana"/>
          <w:lang w:val="en-GB"/>
        </w:rPr>
        <w:t xml:space="preserve">year. </w:t>
      </w:r>
      <w:r w:rsidR="00DB43CD">
        <w:rPr>
          <w:rFonts w:ascii="Verdana" w:hAnsi="Verdana"/>
          <w:lang w:val="en-GB"/>
        </w:rPr>
        <w:t>F</w:t>
      </w:r>
      <w:r w:rsidRPr="00D55B2B">
        <w:rPr>
          <w:rFonts w:ascii="Verdana" w:hAnsi="Verdana"/>
          <w:lang w:val="en-GB"/>
        </w:rPr>
        <w:t>or illustration purposes, in the year ending March 2018, 26,332 non-molestation orders had been granted</w:t>
      </w:r>
      <w:r w:rsidR="00CE7FDC" w:rsidRPr="00D55B2B">
        <w:rPr>
          <w:rFonts w:ascii="Verdana" w:hAnsi="Verdana"/>
          <w:lang w:val="en-GB"/>
        </w:rPr>
        <w:t>.</w:t>
      </w:r>
      <w:r w:rsidRPr="00D55B2B">
        <w:rPr>
          <w:rStyle w:val="FootnoteReference"/>
          <w:rFonts w:ascii="Verdana" w:hAnsi="Verdana"/>
          <w:lang w:val="en-GB"/>
        </w:rPr>
        <w:footnoteReference w:id="40"/>
      </w:r>
      <w:r w:rsidRPr="00D55B2B">
        <w:rPr>
          <w:rFonts w:ascii="Verdana" w:hAnsi="Verdana"/>
          <w:lang w:val="en-GB"/>
        </w:rPr>
        <w:t xml:space="preserve">  </w:t>
      </w:r>
    </w:p>
    <w:p w14:paraId="4B15F405" w14:textId="77777777" w:rsidR="00383057" w:rsidRPr="00D55B2B" w:rsidRDefault="00383057" w:rsidP="0060450D">
      <w:pPr>
        <w:spacing w:line="360" w:lineRule="auto"/>
        <w:ind w:left="284" w:right="-478"/>
        <w:jc w:val="both"/>
        <w:rPr>
          <w:rFonts w:ascii="Verdana" w:hAnsi="Verdana"/>
          <w:lang w:val="en-GB"/>
        </w:rPr>
      </w:pPr>
    </w:p>
    <w:p w14:paraId="243F2EBF" w14:textId="77777777"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In the same year that breaches of non-molestation orders were criminalised, the Family Law Act 1996 was also amended to introduce civil protection orders against forced marriage</w:t>
      </w:r>
      <w:r w:rsidR="00584ADF" w:rsidRPr="00D55B2B">
        <w:rPr>
          <w:rFonts w:ascii="Verdana" w:hAnsi="Verdana"/>
          <w:lang w:val="en-GB"/>
        </w:rPr>
        <w:t>.</w:t>
      </w:r>
      <w:r w:rsidRPr="00D55B2B">
        <w:rPr>
          <w:rStyle w:val="FootnoteReference"/>
          <w:rFonts w:ascii="Verdana" w:hAnsi="Verdana"/>
          <w:lang w:val="en-GB"/>
        </w:rPr>
        <w:footnoteReference w:id="41"/>
      </w:r>
      <w:r w:rsidRPr="00D55B2B">
        <w:rPr>
          <w:rFonts w:ascii="Verdana" w:hAnsi="Verdana"/>
          <w:lang w:val="en-GB"/>
        </w:rPr>
        <w:t xml:space="preserve">  This was an acknowledgement by the government that forced marriage is a form of domestic abuse.  </w:t>
      </w:r>
      <w:r w:rsidR="00DB43CD">
        <w:rPr>
          <w:rFonts w:ascii="Verdana" w:hAnsi="Verdana"/>
          <w:lang w:val="en-GB"/>
        </w:rPr>
        <w:t>D</w:t>
      </w:r>
      <w:r w:rsidRPr="00D55B2B">
        <w:rPr>
          <w:rFonts w:ascii="Verdana" w:hAnsi="Verdana"/>
          <w:lang w:val="en-GB"/>
        </w:rPr>
        <w:t xml:space="preserve">ue to concerns at the time that criminalisation would mean that </w:t>
      </w:r>
      <w:r w:rsidR="00A14E3F" w:rsidRPr="00D55B2B">
        <w:rPr>
          <w:rFonts w:ascii="Verdana" w:hAnsi="Verdana"/>
          <w:lang w:val="en-GB"/>
        </w:rPr>
        <w:t>‘</w:t>
      </w:r>
      <w:r w:rsidRPr="00D55B2B">
        <w:rPr>
          <w:rFonts w:ascii="Verdana" w:hAnsi="Verdana"/>
          <w:lang w:val="en-GB"/>
        </w:rPr>
        <w:t xml:space="preserve">victims would </w:t>
      </w:r>
      <w:r w:rsidRPr="00D55B2B">
        <w:rPr>
          <w:rFonts w:ascii="Verdana" w:hAnsi="Verdana"/>
        </w:rPr>
        <w:t>be reluctant to seek help and forced marriage would be driven underground</w:t>
      </w:r>
      <w:r w:rsidR="00A14E3F" w:rsidRPr="00D55B2B">
        <w:rPr>
          <w:rFonts w:ascii="Verdana" w:hAnsi="Verdana"/>
        </w:rPr>
        <w:t>’</w:t>
      </w:r>
      <w:r w:rsidR="00F67DA7" w:rsidRPr="00D55B2B">
        <w:rPr>
          <w:rFonts w:ascii="Verdana" w:hAnsi="Verdana"/>
        </w:rPr>
        <w:t>,</w:t>
      </w:r>
      <w:r w:rsidRPr="00D55B2B">
        <w:rPr>
          <w:rStyle w:val="FootnoteReference"/>
          <w:rFonts w:ascii="Verdana" w:hAnsi="Verdana"/>
        </w:rPr>
        <w:footnoteReference w:id="42"/>
      </w:r>
      <w:r w:rsidRPr="00D55B2B">
        <w:rPr>
          <w:rFonts w:ascii="Verdana" w:hAnsi="Verdana"/>
        </w:rPr>
        <w:t xml:space="preserve"> forced marriage was not made a criminal offence in its own right until 2014</w:t>
      </w:r>
      <w:r w:rsidR="00F67DA7" w:rsidRPr="00D55B2B">
        <w:rPr>
          <w:rFonts w:ascii="Verdana" w:hAnsi="Verdana"/>
        </w:rPr>
        <w:t>.</w:t>
      </w:r>
      <w:r w:rsidRPr="00D55B2B">
        <w:rPr>
          <w:rStyle w:val="FootnoteReference"/>
          <w:rFonts w:ascii="Verdana" w:hAnsi="Verdana"/>
        </w:rPr>
        <w:footnoteReference w:id="43"/>
      </w:r>
    </w:p>
    <w:p w14:paraId="26F12171" w14:textId="77777777" w:rsidR="00383057" w:rsidRPr="00D55B2B" w:rsidRDefault="00383057" w:rsidP="0060450D">
      <w:pPr>
        <w:spacing w:line="360" w:lineRule="auto"/>
        <w:ind w:left="284" w:right="-478"/>
        <w:jc w:val="both"/>
        <w:rPr>
          <w:rFonts w:ascii="Verdana" w:hAnsi="Verdana"/>
          <w:b/>
          <w:lang w:val="en-GB"/>
        </w:rPr>
      </w:pPr>
    </w:p>
    <w:p w14:paraId="0B9CAD8B" w14:textId="7063C156" w:rsidR="00A14E3F" w:rsidRPr="00D55B2B" w:rsidRDefault="00383057" w:rsidP="0060450D">
      <w:pPr>
        <w:spacing w:line="360" w:lineRule="auto"/>
        <w:ind w:left="284" w:right="-478"/>
        <w:jc w:val="both"/>
        <w:rPr>
          <w:rFonts w:ascii="Verdana" w:hAnsi="Verdana"/>
          <w:lang w:val="en-GB"/>
        </w:rPr>
      </w:pPr>
      <w:r w:rsidRPr="00D55B2B">
        <w:rPr>
          <w:rFonts w:ascii="Verdana" w:hAnsi="Verdana"/>
          <w:lang w:val="en-GB"/>
        </w:rPr>
        <w:t xml:space="preserve">The police approach to domestic abuse was strengthened in 2014 with the introduction of the Domestic Violence Disclosure Scheme (DVDS), Domestic Violence Protection Orders (DVPO) and Domestic Violence Protection Notices (DVPN). The DVDS allows a person to ask to the police for information about whether their partner has a previous history of domestic violence and violent acts.  The DVDS is not </w:t>
      </w:r>
      <w:r w:rsidR="00601418">
        <w:rPr>
          <w:rFonts w:ascii="Verdana" w:hAnsi="Verdana"/>
          <w:lang w:val="en-GB"/>
        </w:rPr>
        <w:t xml:space="preserve">currently </w:t>
      </w:r>
      <w:r w:rsidRPr="00D55B2B">
        <w:rPr>
          <w:rFonts w:ascii="Verdana" w:hAnsi="Verdana"/>
          <w:lang w:val="en-GB"/>
        </w:rPr>
        <w:t xml:space="preserve">set out in legislation, </w:t>
      </w:r>
      <w:r w:rsidR="00601418">
        <w:rPr>
          <w:rFonts w:ascii="Verdana" w:hAnsi="Verdana"/>
          <w:lang w:val="en-GB"/>
        </w:rPr>
        <w:t>although there are plans to change this under the draft Domestic Abuse Bill.</w:t>
      </w:r>
      <w:r w:rsidR="00601418">
        <w:rPr>
          <w:rStyle w:val="FootnoteReference"/>
          <w:rFonts w:ascii="Verdana" w:hAnsi="Verdana"/>
          <w:lang w:val="en-GB"/>
        </w:rPr>
        <w:footnoteReference w:id="44"/>
      </w:r>
      <w:r w:rsidR="00601418">
        <w:rPr>
          <w:rFonts w:ascii="Verdana" w:hAnsi="Verdana"/>
          <w:lang w:val="en-GB"/>
        </w:rPr>
        <w:t xml:space="preserve"> I</w:t>
      </w:r>
      <w:r w:rsidRPr="00D55B2B">
        <w:rPr>
          <w:rFonts w:ascii="Verdana" w:hAnsi="Verdana"/>
          <w:lang w:val="en-GB"/>
        </w:rPr>
        <w:t xml:space="preserve">t involves the police using their common law power of disclosure. </w:t>
      </w:r>
      <w:r w:rsidR="00DB43CD">
        <w:rPr>
          <w:rFonts w:ascii="Verdana" w:hAnsi="Verdana"/>
          <w:lang w:val="en-GB"/>
        </w:rPr>
        <w:t>W</w:t>
      </w:r>
      <w:r w:rsidRPr="00D55B2B">
        <w:rPr>
          <w:rFonts w:ascii="Verdana" w:hAnsi="Verdana"/>
          <w:lang w:val="en-GB"/>
        </w:rPr>
        <w:t>hen deciding to make a disclosure</w:t>
      </w:r>
      <w:r w:rsidR="00DB43CD">
        <w:rPr>
          <w:rFonts w:ascii="Verdana" w:hAnsi="Verdana"/>
          <w:lang w:val="en-GB"/>
        </w:rPr>
        <w:t>, however,</w:t>
      </w:r>
      <w:r w:rsidRPr="00D55B2B">
        <w:rPr>
          <w:rFonts w:ascii="Verdana" w:hAnsi="Verdana"/>
          <w:lang w:val="en-GB"/>
        </w:rPr>
        <w:t xml:space="preserve"> the</w:t>
      </w:r>
      <w:r w:rsidR="00DB43CD">
        <w:rPr>
          <w:rFonts w:ascii="Verdana" w:hAnsi="Verdana"/>
          <w:lang w:val="en-GB"/>
        </w:rPr>
        <w:t xml:space="preserve"> police</w:t>
      </w:r>
      <w:r w:rsidRPr="00D55B2B">
        <w:rPr>
          <w:rFonts w:ascii="Verdana" w:hAnsi="Verdana"/>
          <w:lang w:val="en-GB"/>
        </w:rPr>
        <w:t xml:space="preserve"> must ensure they are complying with relevant legislation such as the Data Protection Act 2018, the General Data Protection Regulation and the Rehabilitation of Offenders Act 1974.</w:t>
      </w:r>
      <w:r w:rsidR="00A24E37" w:rsidRPr="00D55B2B">
        <w:rPr>
          <w:rFonts w:ascii="Verdana" w:hAnsi="Verdana"/>
          <w:lang w:val="en-GB"/>
        </w:rPr>
        <w:t xml:space="preserve"> </w:t>
      </w:r>
    </w:p>
    <w:p w14:paraId="14BA5789" w14:textId="77777777" w:rsidR="00A14E3F" w:rsidRPr="00D55B2B" w:rsidRDefault="00A14E3F" w:rsidP="0060450D">
      <w:pPr>
        <w:spacing w:line="360" w:lineRule="auto"/>
        <w:ind w:left="284" w:right="-478"/>
        <w:jc w:val="both"/>
        <w:rPr>
          <w:rFonts w:ascii="Verdana" w:hAnsi="Verdana"/>
          <w:lang w:val="en-GB"/>
        </w:rPr>
      </w:pPr>
    </w:p>
    <w:p w14:paraId="4BBCD26C" w14:textId="77777777"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 xml:space="preserve">In contrast, the powers given to the police through DVPOs and DVPNs are set out in the Crime and Security Act 2010 </w:t>
      </w:r>
      <w:r w:rsidR="00C40100" w:rsidRPr="00D55B2B">
        <w:rPr>
          <w:rFonts w:ascii="Verdana" w:hAnsi="Verdana"/>
          <w:lang w:val="en-GB"/>
        </w:rPr>
        <w:t xml:space="preserve">(CSA 2010) </w:t>
      </w:r>
      <w:r w:rsidRPr="00D55B2B">
        <w:rPr>
          <w:rFonts w:ascii="Verdana" w:hAnsi="Verdana"/>
          <w:lang w:val="en-GB"/>
        </w:rPr>
        <w:t>and allow them to provide immediate protection to a victim where they are asked to intervene in a domestic violence incident.  A DVPN is very similar to a non-molestation order, in that it contains provisions preventing the perpetrator from molesting the individual it is designed to protect</w:t>
      </w:r>
      <w:r w:rsidR="009206D9" w:rsidRPr="00D55B2B">
        <w:rPr>
          <w:rFonts w:ascii="Verdana" w:hAnsi="Verdana"/>
          <w:lang w:val="en-GB"/>
        </w:rPr>
        <w:t xml:space="preserve">, </w:t>
      </w:r>
      <w:r w:rsidRPr="00D55B2B">
        <w:rPr>
          <w:rFonts w:ascii="Verdana" w:hAnsi="Verdana"/>
          <w:lang w:val="en-GB"/>
        </w:rPr>
        <w:t>contacting the individual and/or returning to the family home.  As with a non-molestation order, it can only be used where the victim and perpetrator are “associ</w:t>
      </w:r>
      <w:r w:rsidR="00BD1617" w:rsidRPr="00D55B2B">
        <w:rPr>
          <w:rFonts w:ascii="Verdana" w:hAnsi="Verdana"/>
          <w:lang w:val="en-GB"/>
        </w:rPr>
        <w:t xml:space="preserve">ated persons”. </w:t>
      </w:r>
      <w:r w:rsidR="007B19CE">
        <w:rPr>
          <w:rFonts w:ascii="Verdana" w:hAnsi="Verdana"/>
          <w:lang w:val="en-GB"/>
        </w:rPr>
        <w:t>U</w:t>
      </w:r>
      <w:r w:rsidRPr="00D55B2B">
        <w:rPr>
          <w:rFonts w:ascii="Verdana" w:hAnsi="Verdana"/>
          <w:lang w:val="en-GB"/>
        </w:rPr>
        <w:t>nlike non-molestation orders there must be actual violence or a threat of violence.</w:t>
      </w:r>
      <w:r w:rsidRPr="00D55B2B">
        <w:rPr>
          <w:rStyle w:val="FootnoteReference"/>
          <w:rFonts w:ascii="Verdana" w:hAnsi="Verdana"/>
          <w:lang w:val="en-GB"/>
        </w:rPr>
        <w:footnoteReference w:id="45"/>
      </w:r>
      <w:r w:rsidRPr="00D55B2B">
        <w:rPr>
          <w:rFonts w:ascii="Verdana" w:hAnsi="Verdana"/>
          <w:lang w:val="en-GB"/>
        </w:rPr>
        <w:t xml:space="preserve"> One advantage of the DVPN scheme over a non-molestation order is that it can be issued by the police immediately, without the need for the victim taking any action themselves to commence court proceedings. A person in alleged breach of a DVPN can be arrested by the police without warrant but must be brought before the magistrates’ court within 24 hours</w:t>
      </w:r>
      <w:r w:rsidR="00782329" w:rsidRPr="00D55B2B">
        <w:rPr>
          <w:rFonts w:ascii="Verdana" w:hAnsi="Verdana"/>
          <w:lang w:val="en-GB"/>
        </w:rPr>
        <w:t>.</w:t>
      </w:r>
      <w:r w:rsidRPr="00D55B2B">
        <w:rPr>
          <w:rStyle w:val="FootnoteReference"/>
          <w:rFonts w:ascii="Verdana" w:hAnsi="Verdana"/>
          <w:lang w:val="en-GB"/>
        </w:rPr>
        <w:footnoteReference w:id="46"/>
      </w:r>
    </w:p>
    <w:p w14:paraId="25E16728" w14:textId="77777777" w:rsidR="00383057" w:rsidRPr="00D55B2B" w:rsidRDefault="00383057" w:rsidP="0060450D">
      <w:pPr>
        <w:spacing w:line="360" w:lineRule="auto"/>
        <w:ind w:left="284" w:right="-478"/>
        <w:jc w:val="both"/>
        <w:rPr>
          <w:rFonts w:ascii="Verdana" w:hAnsi="Verdana"/>
          <w:lang w:val="en-GB"/>
        </w:rPr>
      </w:pPr>
    </w:p>
    <w:p w14:paraId="533F2EEA" w14:textId="3DFCFF3F" w:rsidR="00383057" w:rsidRPr="00D55B2B" w:rsidRDefault="007B19CE" w:rsidP="0060450D">
      <w:pPr>
        <w:spacing w:line="360" w:lineRule="auto"/>
        <w:ind w:left="284" w:right="-478"/>
        <w:jc w:val="both"/>
        <w:rPr>
          <w:rFonts w:ascii="Verdana" w:hAnsi="Verdana"/>
          <w:lang w:val="en-GB"/>
        </w:rPr>
      </w:pPr>
      <w:r>
        <w:rPr>
          <w:rFonts w:ascii="Verdana" w:hAnsi="Verdana"/>
          <w:lang w:val="en-GB"/>
        </w:rPr>
        <w:t>W</w:t>
      </w:r>
      <w:r w:rsidR="00383057" w:rsidRPr="00D55B2B">
        <w:rPr>
          <w:rFonts w:ascii="Verdana" w:hAnsi="Verdana"/>
          <w:lang w:val="en-GB"/>
        </w:rPr>
        <w:t xml:space="preserve">here the police issue a DVPN, they are obliged under section 27 </w:t>
      </w:r>
      <w:r w:rsidR="00592031" w:rsidRPr="00D55B2B">
        <w:rPr>
          <w:rFonts w:ascii="Verdana" w:hAnsi="Verdana"/>
          <w:lang w:val="en-GB"/>
        </w:rPr>
        <w:t xml:space="preserve">of the </w:t>
      </w:r>
      <w:r w:rsidR="00C40100" w:rsidRPr="00D55B2B">
        <w:rPr>
          <w:rFonts w:ascii="Verdana" w:hAnsi="Verdana"/>
          <w:lang w:val="en-GB"/>
        </w:rPr>
        <w:t xml:space="preserve">CSA 2010 </w:t>
      </w:r>
      <w:r w:rsidR="00383057" w:rsidRPr="00D55B2B">
        <w:rPr>
          <w:rFonts w:ascii="Verdana" w:hAnsi="Verdana"/>
          <w:lang w:val="en-GB"/>
        </w:rPr>
        <w:t xml:space="preserve">to make an application to the magistrates’ court for a DVPO within 48 hours.  The justification for this time limit is because a DVPN restricts the alleged perpetrator’s freedom without any determinations being made about the alleged behaviour. </w:t>
      </w:r>
      <w:r w:rsidR="002E2A9A">
        <w:rPr>
          <w:rFonts w:ascii="Verdana" w:hAnsi="Verdana"/>
          <w:lang w:val="en-GB"/>
        </w:rPr>
        <w:t xml:space="preserve"> </w:t>
      </w:r>
      <w:r w:rsidR="00383057" w:rsidRPr="00D55B2B">
        <w:rPr>
          <w:rFonts w:ascii="Verdana" w:hAnsi="Verdana"/>
          <w:lang w:val="en-GB"/>
        </w:rPr>
        <w:t xml:space="preserve">It is comparable to a non-molestation order made on an </w:t>
      </w:r>
      <w:r w:rsidR="00383057" w:rsidRPr="0006312F">
        <w:rPr>
          <w:rFonts w:ascii="Verdana" w:hAnsi="Verdana"/>
          <w:i/>
          <w:lang w:val="en-GB"/>
        </w:rPr>
        <w:t>ex-parte</w:t>
      </w:r>
      <w:r w:rsidR="00383057" w:rsidRPr="00D55B2B">
        <w:rPr>
          <w:rFonts w:ascii="Verdana" w:hAnsi="Verdana"/>
          <w:lang w:val="en-GB"/>
        </w:rPr>
        <w:t xml:space="preserve"> basis with the requirement of a return hearing in the near future to give the respondent opportunity to contest the order. The timescales are therefore in place to ensure compliance with the Human Rights Act</w:t>
      </w:r>
      <w:r w:rsidR="00EA08BC" w:rsidRPr="00D55B2B">
        <w:rPr>
          <w:rFonts w:ascii="Verdana" w:hAnsi="Verdana"/>
          <w:lang w:val="en-GB"/>
        </w:rPr>
        <w:t xml:space="preserve"> 1998</w:t>
      </w:r>
      <w:r w:rsidR="00383057" w:rsidRPr="00D55B2B">
        <w:rPr>
          <w:rFonts w:ascii="Verdana" w:hAnsi="Verdana"/>
          <w:lang w:val="en-GB"/>
        </w:rPr>
        <w:t>.  However, the reali</w:t>
      </w:r>
      <w:r w:rsidR="00F47A07" w:rsidRPr="00D55B2B">
        <w:rPr>
          <w:rFonts w:ascii="Verdana" w:hAnsi="Verdana"/>
          <w:lang w:val="en-GB"/>
        </w:rPr>
        <w:t>ty of situation may be that these timescales</w:t>
      </w:r>
      <w:r w:rsidR="00383057" w:rsidRPr="00D55B2B">
        <w:rPr>
          <w:rFonts w:ascii="Verdana" w:hAnsi="Verdana"/>
          <w:lang w:val="en-GB"/>
        </w:rPr>
        <w:t xml:space="preserve"> deter the police from using this type of notice.  Police forces in England and Wales are often under resourced and over worked</w:t>
      </w:r>
      <w:r w:rsidR="002504F8" w:rsidRPr="00D55B2B">
        <w:rPr>
          <w:rFonts w:ascii="Verdana" w:hAnsi="Verdana"/>
          <w:lang w:val="en-GB"/>
        </w:rPr>
        <w:t>, with statistics for the year ending March 2018 showing numbers of police officers to be at a record low</w:t>
      </w:r>
      <w:r w:rsidR="00886F1C" w:rsidRPr="00D55B2B">
        <w:rPr>
          <w:rFonts w:ascii="Verdana" w:hAnsi="Verdana"/>
          <w:lang w:val="en-GB"/>
        </w:rPr>
        <w:t>.</w:t>
      </w:r>
      <w:r w:rsidR="00D06C20" w:rsidRPr="00D55B2B">
        <w:rPr>
          <w:rStyle w:val="FootnoteReference"/>
          <w:rFonts w:ascii="Verdana" w:hAnsi="Verdana"/>
          <w:lang w:val="en-GB"/>
        </w:rPr>
        <w:footnoteReference w:id="47"/>
      </w:r>
      <w:r w:rsidR="00383057" w:rsidRPr="00D55B2B">
        <w:rPr>
          <w:rFonts w:ascii="Verdana" w:hAnsi="Verdana"/>
          <w:lang w:val="en-GB"/>
        </w:rPr>
        <w:t xml:space="preserve">  They may therefore be reluctant to</w:t>
      </w:r>
      <w:r w:rsidR="00131733" w:rsidRPr="00D55B2B">
        <w:rPr>
          <w:rFonts w:ascii="Verdana" w:hAnsi="Verdana"/>
          <w:lang w:val="en-GB"/>
        </w:rPr>
        <w:t xml:space="preserve"> utilise</w:t>
      </w:r>
      <w:r w:rsidR="00383057" w:rsidRPr="00D55B2B">
        <w:rPr>
          <w:rFonts w:ascii="Verdana" w:hAnsi="Verdana"/>
          <w:lang w:val="en-GB"/>
        </w:rPr>
        <w:t xml:space="preserve"> an order that obliges them to take further steps within a short period of time. Instead, they may instead seek to rely on a more general Police Information Notice, which does not have the same subsequent obligations</w:t>
      </w:r>
      <w:r w:rsidR="00C9112A" w:rsidRPr="00D55B2B">
        <w:rPr>
          <w:rFonts w:ascii="Verdana" w:hAnsi="Verdana"/>
          <w:lang w:val="en-GB"/>
        </w:rPr>
        <w:t xml:space="preserve"> and importantly cannot be used as gateway evidence to </w:t>
      </w:r>
      <w:r w:rsidR="006D5C85" w:rsidRPr="00D55B2B">
        <w:rPr>
          <w:rFonts w:ascii="Verdana" w:hAnsi="Verdana"/>
          <w:lang w:val="en-GB"/>
        </w:rPr>
        <w:t xml:space="preserve">allow the victim to </w:t>
      </w:r>
      <w:r w:rsidR="00C9112A" w:rsidRPr="00D55B2B">
        <w:rPr>
          <w:rFonts w:ascii="Verdana" w:hAnsi="Verdana"/>
          <w:lang w:val="en-GB"/>
        </w:rPr>
        <w:t>secure legal aid in family law proceedings</w:t>
      </w:r>
      <w:r w:rsidR="00383057" w:rsidRPr="00D55B2B">
        <w:rPr>
          <w:rFonts w:ascii="Verdana" w:hAnsi="Verdana"/>
          <w:lang w:val="en-GB"/>
        </w:rPr>
        <w:t>.</w:t>
      </w:r>
    </w:p>
    <w:p w14:paraId="39F7A87D" w14:textId="77777777" w:rsidR="00383057" w:rsidRPr="00D55B2B" w:rsidRDefault="00383057" w:rsidP="0060450D">
      <w:pPr>
        <w:spacing w:line="360" w:lineRule="auto"/>
        <w:ind w:left="284" w:right="-478"/>
        <w:jc w:val="both"/>
        <w:rPr>
          <w:rFonts w:ascii="Verdana" w:hAnsi="Verdana"/>
          <w:lang w:val="en-GB"/>
        </w:rPr>
      </w:pPr>
    </w:p>
    <w:p w14:paraId="6D07A94F" w14:textId="5E3FAC20"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 xml:space="preserve">Where an application is made for a DVPO, the </w:t>
      </w:r>
      <w:r w:rsidR="00D050BF" w:rsidRPr="00D55B2B">
        <w:rPr>
          <w:rFonts w:ascii="Verdana" w:hAnsi="Verdana"/>
          <w:lang w:val="en-GB"/>
        </w:rPr>
        <w:t xml:space="preserve">court </w:t>
      </w:r>
      <w:r w:rsidRPr="00D55B2B">
        <w:rPr>
          <w:rFonts w:ascii="Verdana" w:hAnsi="Verdana"/>
          <w:lang w:val="en-GB"/>
        </w:rPr>
        <w:t>can</w:t>
      </w:r>
      <w:r w:rsidR="00D050BF" w:rsidRPr="00D55B2B">
        <w:rPr>
          <w:rFonts w:ascii="Verdana" w:hAnsi="Verdana"/>
          <w:lang w:val="en-GB"/>
        </w:rPr>
        <w:t xml:space="preserve"> only</w:t>
      </w:r>
      <w:r w:rsidRPr="00D55B2B">
        <w:rPr>
          <w:rFonts w:ascii="Verdana" w:hAnsi="Verdana"/>
          <w:lang w:val="en-GB"/>
        </w:rPr>
        <w:t xml:space="preserve"> make an order </w:t>
      </w:r>
      <w:r w:rsidR="00D050BF" w:rsidRPr="00D55B2B">
        <w:rPr>
          <w:rFonts w:ascii="Verdana" w:hAnsi="Verdana"/>
          <w:lang w:val="en-GB"/>
        </w:rPr>
        <w:t>if it is</w:t>
      </w:r>
      <w:r w:rsidRPr="00D55B2B">
        <w:rPr>
          <w:rFonts w:ascii="Verdana" w:hAnsi="Verdana"/>
          <w:lang w:val="en-GB"/>
        </w:rPr>
        <w:t xml:space="preserve"> satisfied on the balance of probabilities that the recipient </w:t>
      </w:r>
      <w:r w:rsidR="00D050BF" w:rsidRPr="00D55B2B">
        <w:rPr>
          <w:rFonts w:ascii="Verdana" w:hAnsi="Verdana"/>
          <w:lang w:val="en-GB"/>
        </w:rPr>
        <w:t xml:space="preserve">of the order </w:t>
      </w:r>
      <w:r w:rsidRPr="00D55B2B">
        <w:rPr>
          <w:rFonts w:ascii="Verdana" w:hAnsi="Verdana"/>
          <w:lang w:val="en-GB"/>
        </w:rPr>
        <w:t>has been violent towards or has threatened violence towards an associated person</w:t>
      </w:r>
      <w:r w:rsidR="00655704" w:rsidRPr="00D55B2B">
        <w:rPr>
          <w:rFonts w:ascii="Verdana" w:hAnsi="Verdana"/>
          <w:lang w:val="en-GB"/>
        </w:rPr>
        <w:t xml:space="preserve"> </w:t>
      </w:r>
      <w:r w:rsidRPr="00D55B2B">
        <w:rPr>
          <w:rFonts w:ascii="Verdana" w:hAnsi="Verdana"/>
          <w:u w:val="single"/>
          <w:lang w:val="en-GB"/>
        </w:rPr>
        <w:t>and</w:t>
      </w:r>
      <w:r w:rsidR="00655704" w:rsidRPr="00D55B2B">
        <w:rPr>
          <w:rFonts w:ascii="Verdana" w:hAnsi="Verdana"/>
          <w:lang w:val="en-GB"/>
        </w:rPr>
        <w:t xml:space="preserve"> </w:t>
      </w:r>
      <w:r w:rsidRPr="00D55B2B">
        <w:rPr>
          <w:rFonts w:ascii="Verdana" w:hAnsi="Verdana"/>
          <w:lang w:val="en-GB"/>
        </w:rPr>
        <w:t xml:space="preserve">making the DVPO is necessary to protect that person from violence or a threat of violence by the </w:t>
      </w:r>
      <w:r w:rsidR="00753E5F" w:rsidRPr="00D55B2B">
        <w:rPr>
          <w:rFonts w:ascii="Verdana" w:hAnsi="Verdana"/>
          <w:lang w:val="en-GB"/>
        </w:rPr>
        <w:t>recipient</w:t>
      </w:r>
      <w:r w:rsidR="007B25F0" w:rsidRPr="00D55B2B">
        <w:rPr>
          <w:rFonts w:ascii="Verdana" w:hAnsi="Verdana"/>
          <w:lang w:val="en-GB"/>
        </w:rPr>
        <w:t>.</w:t>
      </w:r>
      <w:r w:rsidR="00D050BF" w:rsidRPr="00D55B2B">
        <w:rPr>
          <w:rStyle w:val="FootnoteReference"/>
          <w:rFonts w:ascii="Verdana" w:hAnsi="Verdana"/>
          <w:lang w:val="en-GB"/>
        </w:rPr>
        <w:footnoteReference w:id="48"/>
      </w:r>
      <w:r w:rsidR="00753E5F" w:rsidRPr="00D55B2B">
        <w:rPr>
          <w:rFonts w:ascii="Verdana" w:hAnsi="Verdana"/>
          <w:lang w:val="en-GB"/>
        </w:rPr>
        <w:t xml:space="preserve"> </w:t>
      </w:r>
      <w:r w:rsidR="00D70052" w:rsidRPr="00D55B2B">
        <w:rPr>
          <w:rFonts w:ascii="Verdana" w:hAnsi="Verdana"/>
          <w:lang w:val="en-GB"/>
        </w:rPr>
        <w:t xml:space="preserve"> </w:t>
      </w:r>
      <w:r w:rsidRPr="00D55B2B">
        <w:rPr>
          <w:rFonts w:ascii="Verdana" w:hAnsi="Verdana"/>
          <w:lang w:val="en-GB"/>
        </w:rPr>
        <w:t>The DVPO can last for no fewer than 14 days and no more than 28 days from the day it is granted</w:t>
      </w:r>
      <w:r w:rsidR="007903F9" w:rsidRPr="00D55B2B">
        <w:rPr>
          <w:rFonts w:ascii="Verdana" w:hAnsi="Verdana"/>
          <w:lang w:val="en-GB"/>
        </w:rPr>
        <w:t>.</w:t>
      </w:r>
      <w:r w:rsidRPr="00D55B2B">
        <w:rPr>
          <w:rStyle w:val="FootnoteReference"/>
          <w:rFonts w:ascii="Verdana" w:hAnsi="Verdana"/>
          <w:lang w:val="en-GB"/>
        </w:rPr>
        <w:footnoteReference w:id="49"/>
      </w:r>
      <w:r w:rsidRPr="00D55B2B">
        <w:rPr>
          <w:rFonts w:ascii="Verdana" w:hAnsi="Verdana"/>
          <w:lang w:val="en-GB"/>
        </w:rPr>
        <w:t xml:space="preserve">  It is therefore not designed to be a long</w:t>
      </w:r>
      <w:r w:rsidR="008C7387" w:rsidRPr="00D55B2B">
        <w:rPr>
          <w:rFonts w:ascii="Verdana" w:hAnsi="Verdana"/>
          <w:lang w:val="en-GB"/>
        </w:rPr>
        <w:t>-</w:t>
      </w:r>
      <w:r w:rsidRPr="00D55B2B">
        <w:rPr>
          <w:rFonts w:ascii="Verdana" w:hAnsi="Verdana"/>
          <w:lang w:val="en-GB"/>
        </w:rPr>
        <w:t>term protective order but rather, to provide the victim with breathing space to make decisions about thei</w:t>
      </w:r>
      <w:r w:rsidR="0091429B" w:rsidRPr="00D55B2B">
        <w:rPr>
          <w:rFonts w:ascii="Verdana" w:hAnsi="Verdana"/>
          <w:lang w:val="en-GB"/>
        </w:rPr>
        <w:t xml:space="preserve">r next steps and seek support. </w:t>
      </w:r>
      <w:r w:rsidR="007B19CE">
        <w:rPr>
          <w:rFonts w:ascii="Verdana" w:hAnsi="Verdana"/>
          <w:lang w:val="en-GB"/>
        </w:rPr>
        <w:t>As</w:t>
      </w:r>
      <w:r w:rsidRPr="00D55B2B">
        <w:rPr>
          <w:rFonts w:ascii="Verdana" w:hAnsi="Verdana"/>
          <w:lang w:val="en-GB"/>
        </w:rPr>
        <w:t xml:space="preserve"> explained above, </w:t>
      </w:r>
      <w:r w:rsidR="007B19CE">
        <w:rPr>
          <w:rFonts w:ascii="Verdana" w:hAnsi="Verdana"/>
          <w:lang w:val="en-GB"/>
        </w:rPr>
        <w:t xml:space="preserve">however, </w:t>
      </w:r>
      <w:r w:rsidRPr="00D55B2B">
        <w:rPr>
          <w:rFonts w:ascii="Verdana" w:hAnsi="Verdana"/>
          <w:lang w:val="en-GB"/>
        </w:rPr>
        <w:t xml:space="preserve">DVPNs and DVPOs only assist in cases where there has been actual violence or a threat of violence. </w:t>
      </w:r>
      <w:r w:rsidR="007B19CE">
        <w:rPr>
          <w:rFonts w:ascii="Verdana" w:hAnsi="Verdana"/>
          <w:lang w:val="en-GB"/>
        </w:rPr>
        <w:t>This</w:t>
      </w:r>
      <w:r w:rsidRPr="00D55B2B">
        <w:rPr>
          <w:rFonts w:ascii="Verdana" w:hAnsi="Verdana"/>
          <w:lang w:val="en-GB"/>
        </w:rPr>
        <w:t xml:space="preserve"> demonstrates the emphasis placed on actual violence by the </w:t>
      </w:r>
      <w:r w:rsidR="00D050BF" w:rsidRPr="00D55B2B">
        <w:rPr>
          <w:rFonts w:ascii="Verdana" w:hAnsi="Verdana"/>
          <w:lang w:val="en-GB"/>
        </w:rPr>
        <w:t>c</w:t>
      </w:r>
      <w:r w:rsidRPr="00D55B2B">
        <w:rPr>
          <w:rFonts w:ascii="Verdana" w:hAnsi="Verdana"/>
          <w:lang w:val="en-GB"/>
        </w:rPr>
        <w:t xml:space="preserve">riminal </w:t>
      </w:r>
      <w:r w:rsidR="00D050BF" w:rsidRPr="00D55B2B">
        <w:rPr>
          <w:rFonts w:ascii="Verdana" w:hAnsi="Verdana"/>
          <w:lang w:val="en-GB"/>
        </w:rPr>
        <w:t>j</w:t>
      </w:r>
      <w:r w:rsidRPr="00D55B2B">
        <w:rPr>
          <w:rFonts w:ascii="Verdana" w:hAnsi="Verdana"/>
          <w:lang w:val="en-GB"/>
        </w:rPr>
        <w:t xml:space="preserve">ustice </w:t>
      </w:r>
      <w:r w:rsidR="00D050BF" w:rsidRPr="00D55B2B">
        <w:rPr>
          <w:rFonts w:ascii="Verdana" w:hAnsi="Verdana"/>
          <w:lang w:val="en-GB"/>
        </w:rPr>
        <w:t>s</w:t>
      </w:r>
      <w:r w:rsidRPr="00D55B2B">
        <w:rPr>
          <w:rFonts w:ascii="Verdana" w:hAnsi="Verdana"/>
          <w:lang w:val="en-GB"/>
        </w:rPr>
        <w:t xml:space="preserve">ystem and an ignorance of other types of domestic abuse.  </w:t>
      </w:r>
      <w:r w:rsidR="004B7E06">
        <w:rPr>
          <w:rFonts w:ascii="Verdana" w:hAnsi="Verdana"/>
          <w:lang w:val="en-GB"/>
        </w:rPr>
        <w:t>It</w:t>
      </w:r>
      <w:r w:rsidRPr="00D55B2B">
        <w:rPr>
          <w:rFonts w:ascii="Verdana" w:hAnsi="Verdana"/>
          <w:lang w:val="en-GB"/>
        </w:rPr>
        <w:t xml:space="preserve"> should be noted that amendments </w:t>
      </w:r>
      <w:r w:rsidR="00A46187">
        <w:rPr>
          <w:rFonts w:ascii="Verdana" w:hAnsi="Verdana"/>
          <w:lang w:val="en-GB"/>
        </w:rPr>
        <w:t xml:space="preserve">have been proposed as part of the draft Domestic Abuse Bill.  Part 3 of the draft Domestic Abuse Bill proposes replacing DVPNs and DVPOs with Domestic Abuse Protection Notices (DAPNs) and Domestic Abuse Protection Orders (DAPOs). The proposed provisions widen the scope of individuals who </w:t>
      </w:r>
      <w:r w:rsidR="00FB7A5C">
        <w:rPr>
          <w:rFonts w:ascii="Verdana" w:hAnsi="Verdana"/>
          <w:lang w:val="en-GB"/>
        </w:rPr>
        <w:t>can</w:t>
      </w:r>
      <w:r w:rsidR="00A46187">
        <w:rPr>
          <w:rFonts w:ascii="Verdana" w:hAnsi="Verdana"/>
          <w:lang w:val="en-GB"/>
        </w:rPr>
        <w:t xml:space="preserve"> apply for an Order, will extend the potential duration of those orders and will make breach of an order a criminal offence.</w:t>
      </w:r>
      <w:r w:rsidR="00BC00FB">
        <w:rPr>
          <w:rFonts w:ascii="Verdana" w:hAnsi="Verdana"/>
          <w:lang w:val="en-GB"/>
        </w:rPr>
        <w:t xml:space="preserve"> In many ways, this will make DAPOs </w:t>
      </w:r>
      <w:r w:rsidR="00A573EE">
        <w:rPr>
          <w:rFonts w:ascii="Verdana" w:hAnsi="Verdana"/>
          <w:lang w:val="en-GB"/>
        </w:rPr>
        <w:t>similar</w:t>
      </w:r>
      <w:r w:rsidR="00D75351">
        <w:rPr>
          <w:rFonts w:ascii="Verdana" w:hAnsi="Verdana"/>
          <w:lang w:val="en-GB"/>
        </w:rPr>
        <w:t xml:space="preserve"> in scope to </w:t>
      </w:r>
      <w:r w:rsidR="00BC00FB">
        <w:rPr>
          <w:rFonts w:ascii="Verdana" w:hAnsi="Verdana"/>
          <w:lang w:val="en-GB"/>
        </w:rPr>
        <w:t>non-molestation order</w:t>
      </w:r>
      <w:r w:rsidR="00A573EE">
        <w:rPr>
          <w:rFonts w:ascii="Verdana" w:hAnsi="Verdana"/>
          <w:lang w:val="en-GB"/>
        </w:rPr>
        <w:t>s</w:t>
      </w:r>
      <w:r w:rsidR="00BC00FB">
        <w:rPr>
          <w:rFonts w:ascii="Verdana" w:hAnsi="Verdana"/>
          <w:lang w:val="en-GB"/>
        </w:rPr>
        <w:t xml:space="preserve"> but with the added ability of the police being able to apply on a victim’s behalf.</w:t>
      </w:r>
      <w:r w:rsidR="00D75351">
        <w:rPr>
          <w:rFonts w:ascii="Verdana" w:hAnsi="Verdana"/>
          <w:lang w:val="en-GB"/>
        </w:rPr>
        <w:t xml:space="preserve"> There are no proposals in the draft Bill to repeal the provisions of the Family Law Act 1996 relating to non-molestation orders and it is therefore to be presumed that both orders will continue to exist as alternative options for victims of domestic abuse.</w:t>
      </w:r>
    </w:p>
    <w:p w14:paraId="59F73D19" w14:textId="77777777" w:rsidR="00383057" w:rsidRPr="00D55B2B" w:rsidRDefault="00383057" w:rsidP="0060450D">
      <w:pPr>
        <w:spacing w:line="360" w:lineRule="auto"/>
        <w:ind w:left="284" w:right="-478"/>
        <w:jc w:val="both"/>
        <w:rPr>
          <w:rFonts w:ascii="Verdana" w:hAnsi="Verdana"/>
          <w:lang w:val="en-GB"/>
        </w:rPr>
      </w:pPr>
    </w:p>
    <w:p w14:paraId="7CEFDC98" w14:textId="77777777" w:rsidR="00383057" w:rsidRPr="00D55B2B" w:rsidRDefault="007B19CE" w:rsidP="0060450D">
      <w:pPr>
        <w:spacing w:line="360" w:lineRule="auto"/>
        <w:ind w:left="284" w:right="-478"/>
        <w:jc w:val="both"/>
        <w:rPr>
          <w:rFonts w:ascii="Verdana" w:hAnsi="Verdana"/>
          <w:lang w:val="en-GB"/>
        </w:rPr>
      </w:pPr>
      <w:r>
        <w:rPr>
          <w:rFonts w:ascii="Verdana" w:hAnsi="Verdana"/>
          <w:lang w:val="en-GB"/>
        </w:rPr>
        <w:t>T</w:t>
      </w:r>
      <w:r w:rsidR="00383057" w:rsidRPr="00D55B2B">
        <w:rPr>
          <w:rFonts w:ascii="Verdana" w:hAnsi="Verdana"/>
          <w:lang w:val="en-GB"/>
        </w:rPr>
        <w:t>here was no specific domestic abuse offence covering non-physi</w:t>
      </w:r>
      <w:r w:rsidR="00277D44" w:rsidRPr="00D55B2B">
        <w:rPr>
          <w:rFonts w:ascii="Verdana" w:hAnsi="Verdana"/>
          <w:lang w:val="en-GB"/>
        </w:rPr>
        <w:t>cal forms of abuse until 2015</w:t>
      </w:r>
      <w:r>
        <w:rPr>
          <w:rFonts w:ascii="Verdana" w:hAnsi="Verdana"/>
          <w:lang w:val="en-GB"/>
        </w:rPr>
        <w:t xml:space="preserve"> in England and Wales;</w:t>
      </w:r>
      <w:r w:rsidR="007C7AB9">
        <w:rPr>
          <w:rFonts w:ascii="Verdana" w:hAnsi="Verdana"/>
          <w:lang w:val="en-GB"/>
        </w:rPr>
        <w:t xml:space="preserve"> </w:t>
      </w:r>
      <w:r w:rsidR="00383057" w:rsidRPr="00D55B2B">
        <w:rPr>
          <w:rFonts w:ascii="Verdana" w:hAnsi="Verdana"/>
          <w:lang w:val="en-GB"/>
        </w:rPr>
        <w:t>the government sought to change this</w:t>
      </w:r>
      <w:r>
        <w:rPr>
          <w:rFonts w:ascii="Verdana" w:hAnsi="Verdana"/>
          <w:lang w:val="en-GB"/>
        </w:rPr>
        <w:t xml:space="preserve"> position</w:t>
      </w:r>
      <w:r w:rsidR="00383057" w:rsidRPr="00D55B2B">
        <w:rPr>
          <w:rFonts w:ascii="Verdana" w:hAnsi="Verdana"/>
          <w:lang w:val="en-GB"/>
        </w:rPr>
        <w:t xml:space="preserve"> by introducing a new offence </w:t>
      </w:r>
      <w:r w:rsidRPr="00D55B2B">
        <w:rPr>
          <w:rFonts w:ascii="Verdana" w:hAnsi="Verdana"/>
          <w:lang w:val="en-GB"/>
        </w:rPr>
        <w:t>of ‘controlling or coercive behaviour in an intimate or family relationship’</w:t>
      </w:r>
      <w:r>
        <w:rPr>
          <w:rFonts w:ascii="Verdana" w:hAnsi="Verdana"/>
          <w:lang w:val="en-GB"/>
        </w:rPr>
        <w:t>,</w:t>
      </w:r>
      <w:r w:rsidRPr="00D55B2B">
        <w:rPr>
          <w:rStyle w:val="FootnoteReference"/>
          <w:rFonts w:ascii="Verdana" w:hAnsi="Verdana"/>
          <w:lang w:val="en-GB"/>
        </w:rPr>
        <w:footnoteReference w:id="50"/>
      </w:r>
      <w:r w:rsidRPr="00D55B2B">
        <w:rPr>
          <w:rFonts w:ascii="Verdana" w:hAnsi="Verdana"/>
          <w:lang w:val="en-GB"/>
        </w:rPr>
        <w:t xml:space="preserve">  </w:t>
      </w:r>
      <w:r w:rsidR="00383057" w:rsidRPr="00D55B2B">
        <w:rPr>
          <w:rFonts w:ascii="Verdana" w:hAnsi="Verdana"/>
          <w:lang w:val="en-GB"/>
        </w:rPr>
        <w:t xml:space="preserve">under section 76 of the </w:t>
      </w:r>
      <w:r w:rsidR="001A7827" w:rsidRPr="00D55B2B">
        <w:rPr>
          <w:rFonts w:ascii="Verdana" w:hAnsi="Verdana"/>
          <w:lang w:val="en-GB"/>
        </w:rPr>
        <w:t>SCA 2015</w:t>
      </w:r>
      <w:r w:rsidR="00383057" w:rsidRPr="00D55B2B">
        <w:rPr>
          <w:rFonts w:ascii="Verdana" w:hAnsi="Verdana"/>
          <w:lang w:val="en-GB"/>
        </w:rPr>
        <w:t>. The offence came into force on 29 December 2015.  Under section 76:</w:t>
      </w:r>
    </w:p>
    <w:p w14:paraId="18EE9E5E" w14:textId="77777777" w:rsidR="00383057" w:rsidRPr="00D55B2B" w:rsidRDefault="00383057" w:rsidP="007E262A">
      <w:pPr>
        <w:spacing w:line="360" w:lineRule="auto"/>
        <w:ind w:right="-478"/>
        <w:jc w:val="both"/>
        <w:rPr>
          <w:rFonts w:ascii="Verdana" w:hAnsi="Verdana"/>
          <w:i/>
          <w:lang w:val="en-GB"/>
        </w:rPr>
      </w:pPr>
      <w:r w:rsidRPr="00D55B2B">
        <w:rPr>
          <w:rFonts w:ascii="Verdana" w:hAnsi="Verdana"/>
          <w:lang w:val="en-GB"/>
        </w:rPr>
        <w:tab/>
      </w:r>
    </w:p>
    <w:p w14:paraId="153E4C66" w14:textId="77777777" w:rsidR="00383057" w:rsidRPr="00D55B2B" w:rsidRDefault="00383057" w:rsidP="007E262A">
      <w:pPr>
        <w:spacing w:line="360" w:lineRule="auto"/>
        <w:ind w:right="-478"/>
        <w:jc w:val="both"/>
        <w:rPr>
          <w:rFonts w:ascii="Verdana" w:hAnsi="Verdana"/>
          <w:lang w:val="en-GB"/>
        </w:rPr>
      </w:pPr>
      <w:r w:rsidRPr="00D55B2B">
        <w:rPr>
          <w:rFonts w:ascii="Verdana" w:hAnsi="Verdana"/>
          <w:i/>
          <w:lang w:val="en-GB"/>
        </w:rPr>
        <w:tab/>
      </w:r>
      <w:r w:rsidRPr="00D55B2B">
        <w:rPr>
          <w:rFonts w:ascii="Verdana" w:hAnsi="Verdana"/>
          <w:lang w:val="en-GB"/>
        </w:rPr>
        <w:t>A person A commits an offence if:</w:t>
      </w:r>
    </w:p>
    <w:p w14:paraId="1205AD24" w14:textId="77777777" w:rsidR="00383057" w:rsidRPr="00D55B2B" w:rsidRDefault="00383057" w:rsidP="007E262A">
      <w:pPr>
        <w:pStyle w:val="ListParagraph"/>
        <w:numPr>
          <w:ilvl w:val="0"/>
          <w:numId w:val="19"/>
        </w:numPr>
        <w:autoSpaceDE/>
        <w:autoSpaceDN/>
        <w:spacing w:line="360" w:lineRule="auto"/>
        <w:ind w:right="-478"/>
        <w:jc w:val="both"/>
        <w:rPr>
          <w:rFonts w:ascii="Verdana" w:hAnsi="Verdana"/>
          <w:lang w:val="en-GB"/>
        </w:rPr>
      </w:pPr>
      <w:r w:rsidRPr="00D55B2B">
        <w:rPr>
          <w:rFonts w:ascii="Verdana" w:hAnsi="Verdana"/>
          <w:lang w:val="en-GB"/>
        </w:rPr>
        <w:t>A repeatedly or continuously engages in behaviour towards another person B that is controlling or coercive;</w:t>
      </w:r>
    </w:p>
    <w:p w14:paraId="7ECFE783" w14:textId="77777777" w:rsidR="00383057" w:rsidRPr="00D55B2B" w:rsidRDefault="00383057" w:rsidP="007E262A">
      <w:pPr>
        <w:pStyle w:val="ListParagraph"/>
        <w:numPr>
          <w:ilvl w:val="0"/>
          <w:numId w:val="19"/>
        </w:numPr>
        <w:autoSpaceDE/>
        <w:autoSpaceDN/>
        <w:spacing w:line="360" w:lineRule="auto"/>
        <w:ind w:right="-478"/>
        <w:jc w:val="both"/>
        <w:rPr>
          <w:rFonts w:ascii="Verdana" w:hAnsi="Verdana"/>
          <w:lang w:val="en-GB"/>
        </w:rPr>
      </w:pPr>
      <w:r w:rsidRPr="00D55B2B">
        <w:rPr>
          <w:rFonts w:ascii="Verdana" w:hAnsi="Verdana"/>
          <w:lang w:val="en-GB"/>
        </w:rPr>
        <w:t>At the time of the behaviour, A and B are personally connected;</w:t>
      </w:r>
    </w:p>
    <w:p w14:paraId="08F17797" w14:textId="77777777" w:rsidR="00383057" w:rsidRPr="00D55B2B" w:rsidRDefault="00383057" w:rsidP="007E262A">
      <w:pPr>
        <w:pStyle w:val="ListParagraph"/>
        <w:numPr>
          <w:ilvl w:val="0"/>
          <w:numId w:val="19"/>
        </w:numPr>
        <w:autoSpaceDE/>
        <w:autoSpaceDN/>
        <w:spacing w:line="360" w:lineRule="auto"/>
        <w:ind w:right="-478"/>
        <w:jc w:val="both"/>
        <w:rPr>
          <w:rFonts w:ascii="Verdana" w:hAnsi="Verdana"/>
          <w:lang w:val="en-GB"/>
        </w:rPr>
      </w:pPr>
      <w:r w:rsidRPr="00D55B2B">
        <w:rPr>
          <w:rFonts w:ascii="Verdana" w:hAnsi="Verdana"/>
          <w:lang w:val="en-GB"/>
        </w:rPr>
        <w:t>The behaviour has a serious effect on B; and</w:t>
      </w:r>
    </w:p>
    <w:p w14:paraId="32859E05" w14:textId="77777777" w:rsidR="00383057" w:rsidRPr="00D55B2B" w:rsidRDefault="00383057" w:rsidP="007E262A">
      <w:pPr>
        <w:pStyle w:val="ListParagraph"/>
        <w:numPr>
          <w:ilvl w:val="0"/>
          <w:numId w:val="19"/>
        </w:numPr>
        <w:autoSpaceDE/>
        <w:autoSpaceDN/>
        <w:spacing w:line="360" w:lineRule="auto"/>
        <w:ind w:right="-478"/>
        <w:jc w:val="both"/>
        <w:rPr>
          <w:rFonts w:ascii="Verdana" w:hAnsi="Verdana"/>
          <w:lang w:val="en-GB"/>
        </w:rPr>
      </w:pPr>
      <w:r w:rsidRPr="00D55B2B">
        <w:rPr>
          <w:rFonts w:ascii="Verdana" w:hAnsi="Verdana"/>
          <w:lang w:val="en-GB"/>
        </w:rPr>
        <w:t>A knows or ought to know that the behaviour will have a serious effect on B</w:t>
      </w:r>
      <w:r w:rsidR="0065279E" w:rsidRPr="00D55B2B">
        <w:rPr>
          <w:rFonts w:ascii="Verdana" w:hAnsi="Verdana"/>
          <w:lang w:val="en-GB"/>
        </w:rPr>
        <w:t>.</w:t>
      </w:r>
      <w:r w:rsidRPr="00D55B2B">
        <w:rPr>
          <w:rStyle w:val="FootnoteReference"/>
          <w:rFonts w:ascii="Verdana" w:hAnsi="Verdana"/>
          <w:lang w:val="en-GB"/>
        </w:rPr>
        <w:footnoteReference w:id="51"/>
      </w:r>
    </w:p>
    <w:p w14:paraId="4B0BE834" w14:textId="77777777" w:rsidR="00383057" w:rsidRPr="00D55B2B" w:rsidRDefault="00383057" w:rsidP="007E262A">
      <w:pPr>
        <w:spacing w:line="360" w:lineRule="auto"/>
        <w:ind w:right="-478"/>
        <w:jc w:val="both"/>
        <w:rPr>
          <w:rFonts w:ascii="Verdana" w:hAnsi="Verdana"/>
          <w:lang w:val="en-GB"/>
        </w:rPr>
      </w:pPr>
    </w:p>
    <w:p w14:paraId="22D7EA2F" w14:textId="4BBB2AAE"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If a person is convicted of th</w:t>
      </w:r>
      <w:r w:rsidR="007B19CE">
        <w:rPr>
          <w:rFonts w:ascii="Verdana" w:hAnsi="Verdana"/>
          <w:lang w:val="en-GB"/>
        </w:rPr>
        <w:t>e</w:t>
      </w:r>
      <w:r w:rsidRPr="00D55B2B">
        <w:rPr>
          <w:rFonts w:ascii="Verdana" w:hAnsi="Verdana"/>
          <w:lang w:val="en-GB"/>
        </w:rPr>
        <w:t xml:space="preserve"> offence</w:t>
      </w:r>
      <w:r w:rsidR="00B1504A" w:rsidRPr="00D55B2B">
        <w:rPr>
          <w:rFonts w:ascii="Verdana" w:hAnsi="Verdana"/>
          <w:lang w:val="en-GB"/>
        </w:rPr>
        <w:t>,</w:t>
      </w:r>
      <w:r w:rsidRPr="00D55B2B">
        <w:rPr>
          <w:rFonts w:ascii="Verdana" w:hAnsi="Verdana"/>
          <w:lang w:val="en-GB"/>
        </w:rPr>
        <w:t xml:space="preserve"> they face a maximum sentence of 5 years</w:t>
      </w:r>
      <w:r w:rsidR="007B19CE">
        <w:rPr>
          <w:rFonts w:ascii="Verdana" w:hAnsi="Verdana"/>
          <w:lang w:val="en-GB"/>
        </w:rPr>
        <w:t>’</w:t>
      </w:r>
      <w:r w:rsidRPr="00D55B2B">
        <w:rPr>
          <w:rFonts w:ascii="Verdana" w:hAnsi="Verdana"/>
          <w:lang w:val="en-GB"/>
        </w:rPr>
        <w:t xml:space="preserve"> imprisonment if convicted on indictment or of 12 months</w:t>
      </w:r>
      <w:r w:rsidR="00690501" w:rsidRPr="00D55B2B">
        <w:rPr>
          <w:rFonts w:ascii="Verdana" w:hAnsi="Verdana"/>
          <w:lang w:val="en-GB"/>
        </w:rPr>
        <w:t>’</w:t>
      </w:r>
      <w:r w:rsidRPr="00D55B2B">
        <w:rPr>
          <w:rFonts w:ascii="Verdana" w:hAnsi="Verdana"/>
          <w:lang w:val="en-GB"/>
        </w:rPr>
        <w:t xml:space="preserve"> imprisonment if it is dealt with as a summary offence</w:t>
      </w:r>
      <w:r w:rsidR="00DF7C07" w:rsidRPr="00D55B2B">
        <w:rPr>
          <w:rFonts w:ascii="Verdana" w:hAnsi="Verdana"/>
          <w:lang w:val="en-GB"/>
        </w:rPr>
        <w:t>.</w:t>
      </w:r>
      <w:r w:rsidRPr="00D55B2B">
        <w:rPr>
          <w:rStyle w:val="FootnoteReference"/>
          <w:rFonts w:ascii="Verdana" w:hAnsi="Verdana"/>
          <w:lang w:val="en-GB"/>
        </w:rPr>
        <w:footnoteReference w:id="52"/>
      </w:r>
      <w:r w:rsidRPr="00D55B2B">
        <w:rPr>
          <w:rFonts w:ascii="Verdana" w:hAnsi="Verdana"/>
          <w:lang w:val="en-GB"/>
        </w:rPr>
        <w:t xml:space="preserve">  </w:t>
      </w:r>
      <w:r w:rsidR="00387D34">
        <w:rPr>
          <w:rFonts w:ascii="Verdana" w:hAnsi="Verdana"/>
          <w:lang w:val="en-GB"/>
        </w:rPr>
        <w:t>In comparison to</w:t>
      </w:r>
      <w:r w:rsidRPr="00D55B2B">
        <w:rPr>
          <w:rFonts w:ascii="Verdana" w:hAnsi="Verdana"/>
          <w:lang w:val="en-GB"/>
        </w:rPr>
        <w:t xml:space="preserve"> sentences available in a case involving physical violence, this is higher than the maximum sentence for common assault but lower than the maximum sentence available for assault occasioning bodily harm</w:t>
      </w:r>
      <w:r w:rsidR="00F441CF" w:rsidRPr="00D55B2B">
        <w:rPr>
          <w:rFonts w:ascii="Verdana" w:hAnsi="Verdana"/>
          <w:lang w:val="en-GB"/>
        </w:rPr>
        <w:t>.</w:t>
      </w:r>
      <w:r w:rsidRPr="00D55B2B">
        <w:rPr>
          <w:rStyle w:val="FootnoteReference"/>
          <w:rFonts w:ascii="Verdana" w:hAnsi="Verdana"/>
          <w:lang w:val="en-GB"/>
        </w:rPr>
        <w:footnoteReference w:id="53"/>
      </w:r>
    </w:p>
    <w:p w14:paraId="503FD800" w14:textId="77777777" w:rsidR="00383057" w:rsidRPr="00D55B2B" w:rsidRDefault="00383057" w:rsidP="0060450D">
      <w:pPr>
        <w:spacing w:line="360" w:lineRule="auto"/>
        <w:ind w:left="284" w:right="-478"/>
        <w:jc w:val="both"/>
        <w:rPr>
          <w:rFonts w:ascii="Verdana" w:hAnsi="Verdana"/>
          <w:lang w:val="en-GB"/>
        </w:rPr>
      </w:pPr>
    </w:p>
    <w:p w14:paraId="3C4E6A6B" w14:textId="77777777"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 xml:space="preserve">The introduction of </w:t>
      </w:r>
      <w:r w:rsidR="007B19CE">
        <w:rPr>
          <w:rFonts w:ascii="Verdana" w:hAnsi="Verdana"/>
          <w:lang w:val="en-GB"/>
        </w:rPr>
        <w:t>the s.76</w:t>
      </w:r>
      <w:r w:rsidR="007B19CE" w:rsidRPr="00D55B2B">
        <w:rPr>
          <w:rFonts w:ascii="Verdana" w:hAnsi="Verdana"/>
          <w:lang w:val="en-GB"/>
        </w:rPr>
        <w:t xml:space="preserve"> </w:t>
      </w:r>
      <w:r w:rsidRPr="00D55B2B">
        <w:rPr>
          <w:rFonts w:ascii="Verdana" w:hAnsi="Verdana"/>
          <w:lang w:val="en-GB"/>
        </w:rPr>
        <w:t xml:space="preserve">offence corresponded with the </w:t>
      </w:r>
      <w:r w:rsidR="00A2770B" w:rsidRPr="00D55B2B">
        <w:rPr>
          <w:rFonts w:ascii="Verdana" w:hAnsi="Verdana"/>
          <w:lang w:val="en-GB"/>
        </w:rPr>
        <w:t xml:space="preserve">proposed </w:t>
      </w:r>
      <w:r w:rsidRPr="00D55B2B">
        <w:rPr>
          <w:rFonts w:ascii="Verdana" w:hAnsi="Verdana"/>
          <w:lang w:val="en-GB"/>
        </w:rPr>
        <w:t>expansion of the cross-governmental definition of domestic abuse:</w:t>
      </w:r>
    </w:p>
    <w:p w14:paraId="27554C5C" w14:textId="77777777" w:rsidR="00383057" w:rsidRPr="00D55B2B" w:rsidRDefault="00383057" w:rsidP="007E262A">
      <w:pPr>
        <w:spacing w:line="360" w:lineRule="auto"/>
        <w:ind w:right="-478"/>
        <w:jc w:val="both"/>
        <w:rPr>
          <w:rFonts w:ascii="Verdana" w:hAnsi="Verdana"/>
          <w:lang w:val="en-GB"/>
        </w:rPr>
      </w:pPr>
    </w:p>
    <w:p w14:paraId="0E5F35D3" w14:textId="77777777" w:rsidR="00383057" w:rsidRPr="00D55B2B" w:rsidRDefault="00383057" w:rsidP="007E262A">
      <w:pPr>
        <w:spacing w:line="360" w:lineRule="auto"/>
        <w:ind w:left="720" w:right="-478"/>
        <w:jc w:val="both"/>
        <w:rPr>
          <w:rFonts w:ascii="Verdana" w:hAnsi="Verdana"/>
          <w:b/>
          <w:lang w:val="en-GB"/>
        </w:rPr>
      </w:pPr>
      <w:r w:rsidRPr="00D55B2B">
        <w:rPr>
          <w:rFonts w:ascii="Verdana" w:hAnsi="Verdana"/>
          <w:lang w:val="en-GB"/>
        </w:rPr>
        <w:t>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emotional</w:t>
      </w:r>
      <w:r w:rsidR="00B06011" w:rsidRPr="00D55B2B">
        <w:rPr>
          <w:rFonts w:ascii="Verdana" w:hAnsi="Verdana"/>
          <w:lang w:val="en-GB"/>
        </w:rPr>
        <w:t>.</w:t>
      </w:r>
      <w:r w:rsidRPr="00D55B2B">
        <w:rPr>
          <w:rStyle w:val="FootnoteReference"/>
          <w:rFonts w:ascii="Verdana" w:hAnsi="Verdana"/>
          <w:lang w:val="en-GB"/>
        </w:rPr>
        <w:footnoteReference w:id="54"/>
      </w:r>
    </w:p>
    <w:p w14:paraId="75A08F4E" w14:textId="77777777" w:rsidR="00383057" w:rsidRPr="00D55B2B" w:rsidRDefault="00383057" w:rsidP="007E262A">
      <w:pPr>
        <w:spacing w:line="360" w:lineRule="auto"/>
        <w:ind w:left="720" w:right="-478"/>
        <w:jc w:val="both"/>
        <w:rPr>
          <w:rFonts w:ascii="Verdana" w:hAnsi="Verdana"/>
          <w:b/>
          <w:lang w:val="en-GB"/>
        </w:rPr>
      </w:pPr>
    </w:p>
    <w:p w14:paraId="2BA69142" w14:textId="77777777"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 xml:space="preserve">The cross-governmental definition </w:t>
      </w:r>
      <w:r w:rsidR="007B19CE">
        <w:rPr>
          <w:rFonts w:ascii="Verdana" w:hAnsi="Verdana"/>
          <w:lang w:val="en-GB"/>
        </w:rPr>
        <w:t>also</w:t>
      </w:r>
      <w:r w:rsidR="00F63AEE">
        <w:rPr>
          <w:rFonts w:ascii="Verdana" w:hAnsi="Verdana"/>
          <w:lang w:val="en-GB"/>
        </w:rPr>
        <w:t xml:space="preserve"> </w:t>
      </w:r>
      <w:r w:rsidRPr="00D55B2B">
        <w:rPr>
          <w:rFonts w:ascii="Verdana" w:hAnsi="Verdana"/>
          <w:lang w:val="en-GB"/>
        </w:rPr>
        <w:t>define</w:t>
      </w:r>
      <w:r w:rsidR="007B19CE">
        <w:rPr>
          <w:rFonts w:ascii="Verdana" w:hAnsi="Verdana"/>
          <w:lang w:val="en-GB"/>
        </w:rPr>
        <w:t>s</w:t>
      </w:r>
      <w:r w:rsidRPr="00D55B2B">
        <w:rPr>
          <w:rFonts w:ascii="Verdana" w:hAnsi="Verdana"/>
          <w:lang w:val="en-GB"/>
        </w:rPr>
        <w:t xml:space="preserve"> controlling and coercive behaviour, something that was interestingly </w:t>
      </w:r>
      <w:r w:rsidR="007B19CE">
        <w:rPr>
          <w:rFonts w:ascii="Verdana" w:hAnsi="Verdana"/>
          <w:lang w:val="en-GB"/>
        </w:rPr>
        <w:t>omitted</w:t>
      </w:r>
      <w:r w:rsidRPr="00D55B2B">
        <w:rPr>
          <w:rFonts w:ascii="Verdana" w:hAnsi="Verdana"/>
          <w:lang w:val="en-GB"/>
        </w:rPr>
        <w:t xml:space="preserve"> of the </w:t>
      </w:r>
      <w:r w:rsidR="001A7827" w:rsidRPr="00D55B2B">
        <w:rPr>
          <w:rFonts w:ascii="Verdana" w:hAnsi="Verdana"/>
          <w:lang w:val="en-GB"/>
        </w:rPr>
        <w:t xml:space="preserve">SCA 2015 </w:t>
      </w:r>
      <w:r w:rsidRPr="00D55B2B">
        <w:rPr>
          <w:rFonts w:ascii="Verdana" w:hAnsi="Verdana"/>
          <w:lang w:val="en-GB"/>
        </w:rPr>
        <w:t>legislation.</w:t>
      </w:r>
    </w:p>
    <w:p w14:paraId="301F5670" w14:textId="77777777" w:rsidR="00383057" w:rsidRPr="00D55B2B" w:rsidRDefault="00383057" w:rsidP="0060450D">
      <w:pPr>
        <w:spacing w:line="360" w:lineRule="auto"/>
        <w:ind w:left="284" w:right="-478"/>
        <w:jc w:val="both"/>
        <w:rPr>
          <w:rFonts w:ascii="Verdana" w:hAnsi="Verdana"/>
          <w:lang w:val="en-GB"/>
        </w:rPr>
      </w:pPr>
    </w:p>
    <w:p w14:paraId="3D43C8C6" w14:textId="77777777" w:rsidR="00383057" w:rsidRPr="00D55B2B" w:rsidRDefault="001A7827" w:rsidP="0060450D">
      <w:pPr>
        <w:spacing w:line="360" w:lineRule="auto"/>
        <w:ind w:left="284" w:right="-478"/>
        <w:jc w:val="both"/>
        <w:rPr>
          <w:rFonts w:ascii="Verdana" w:hAnsi="Verdana"/>
          <w:lang w:val="en-GB"/>
        </w:rPr>
      </w:pPr>
      <w:r w:rsidRPr="00D55B2B">
        <w:rPr>
          <w:rFonts w:ascii="Verdana" w:hAnsi="Verdana"/>
          <w:lang w:val="en-GB"/>
        </w:rPr>
        <w:t>‘</w:t>
      </w:r>
      <w:r w:rsidR="00383057" w:rsidRPr="00D55B2B">
        <w:rPr>
          <w:rFonts w:ascii="Verdana" w:hAnsi="Verdana"/>
          <w:lang w:val="en-GB"/>
        </w:rPr>
        <w:t>Controlling behaviour</w:t>
      </w:r>
      <w:r w:rsidRPr="00D55B2B">
        <w:rPr>
          <w:rFonts w:ascii="Verdana" w:hAnsi="Verdana"/>
          <w:lang w:val="en-GB"/>
        </w:rPr>
        <w:t>’</w:t>
      </w:r>
      <w:r w:rsidR="00383057" w:rsidRPr="00D55B2B">
        <w:rPr>
          <w:rFonts w:ascii="Verdana" w:hAnsi="Verdana"/>
          <w:lang w:val="en-GB"/>
        </w:rPr>
        <w:t xml:space="preserve"> is defined as:</w:t>
      </w:r>
    </w:p>
    <w:p w14:paraId="6C7A35B5" w14:textId="77777777" w:rsidR="00383057" w:rsidRPr="00D55B2B" w:rsidRDefault="00383057" w:rsidP="007E262A">
      <w:pPr>
        <w:spacing w:line="360" w:lineRule="auto"/>
        <w:ind w:right="-478"/>
        <w:jc w:val="both"/>
        <w:rPr>
          <w:rFonts w:ascii="Verdana" w:hAnsi="Verdana"/>
          <w:lang w:val="en-GB"/>
        </w:rPr>
      </w:pPr>
    </w:p>
    <w:p w14:paraId="276B6288" w14:textId="77777777" w:rsidR="00383057" w:rsidRPr="00D55B2B" w:rsidRDefault="00383057" w:rsidP="007E262A">
      <w:pPr>
        <w:spacing w:line="360" w:lineRule="auto"/>
        <w:ind w:left="720" w:right="-478"/>
        <w:jc w:val="both"/>
        <w:rPr>
          <w:rFonts w:ascii="Verdana" w:hAnsi="Verdana"/>
          <w:lang w:val="en-GB"/>
        </w:rPr>
      </w:pPr>
      <w:r w:rsidRPr="00D55B2B">
        <w:rPr>
          <w:rFonts w:ascii="Verdana" w:hAnsi="Verdana"/>
          <w:lang w:val="en-GB"/>
        </w:rPr>
        <w:t>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0057040E" w:rsidRPr="00D55B2B">
        <w:rPr>
          <w:rFonts w:ascii="Verdana" w:hAnsi="Verdana"/>
          <w:lang w:val="en-GB"/>
        </w:rPr>
        <w:t>.</w:t>
      </w:r>
      <w:r w:rsidR="006B15A8" w:rsidRPr="00D55B2B">
        <w:rPr>
          <w:rStyle w:val="FootnoteReference"/>
          <w:rFonts w:ascii="Verdana" w:hAnsi="Verdana"/>
          <w:lang w:val="en-GB"/>
        </w:rPr>
        <w:footnoteReference w:id="55"/>
      </w:r>
    </w:p>
    <w:p w14:paraId="5DAFC5F5" w14:textId="77777777" w:rsidR="00383057" w:rsidRPr="00D55B2B" w:rsidRDefault="00383057" w:rsidP="007E262A">
      <w:pPr>
        <w:spacing w:line="360" w:lineRule="auto"/>
        <w:ind w:left="720" w:right="-478"/>
        <w:jc w:val="both"/>
        <w:rPr>
          <w:rFonts w:ascii="Verdana" w:hAnsi="Verdana"/>
          <w:i/>
          <w:lang w:val="en-GB"/>
        </w:rPr>
      </w:pPr>
    </w:p>
    <w:p w14:paraId="3B4A3DF1" w14:textId="77777777" w:rsidR="00383057" w:rsidRPr="00D55B2B" w:rsidRDefault="00485398" w:rsidP="0060450D">
      <w:pPr>
        <w:spacing w:line="360" w:lineRule="auto"/>
        <w:ind w:left="284" w:right="-478"/>
        <w:jc w:val="both"/>
        <w:rPr>
          <w:rFonts w:ascii="Verdana" w:hAnsi="Verdana"/>
          <w:lang w:val="en-GB"/>
        </w:rPr>
      </w:pPr>
      <w:r w:rsidRPr="00D55B2B">
        <w:rPr>
          <w:rFonts w:ascii="Verdana" w:hAnsi="Verdana"/>
          <w:lang w:val="en-GB"/>
        </w:rPr>
        <w:t>‘</w:t>
      </w:r>
      <w:r w:rsidR="00383057" w:rsidRPr="00D55B2B">
        <w:rPr>
          <w:rFonts w:ascii="Verdana" w:hAnsi="Verdana"/>
          <w:lang w:val="en-GB"/>
        </w:rPr>
        <w:t>Coercive behaviour</w:t>
      </w:r>
      <w:r w:rsidRPr="00D55B2B">
        <w:rPr>
          <w:rFonts w:ascii="Verdana" w:hAnsi="Verdana"/>
          <w:lang w:val="en-GB"/>
        </w:rPr>
        <w:t>’</w:t>
      </w:r>
      <w:r w:rsidR="00383057" w:rsidRPr="00D55B2B">
        <w:rPr>
          <w:rFonts w:ascii="Verdana" w:hAnsi="Verdana"/>
          <w:lang w:val="en-GB"/>
        </w:rPr>
        <w:t xml:space="preserve"> is defined as:</w:t>
      </w:r>
    </w:p>
    <w:p w14:paraId="2A371CA5" w14:textId="77777777" w:rsidR="00383057" w:rsidRPr="00D55B2B" w:rsidRDefault="00383057" w:rsidP="007E262A">
      <w:pPr>
        <w:spacing w:line="360" w:lineRule="auto"/>
        <w:ind w:right="-478"/>
        <w:jc w:val="both"/>
        <w:rPr>
          <w:rFonts w:ascii="Verdana" w:hAnsi="Verdana"/>
          <w:lang w:val="en-GB"/>
        </w:rPr>
      </w:pPr>
    </w:p>
    <w:p w14:paraId="1F52B478" w14:textId="77777777" w:rsidR="00383057" w:rsidRPr="00D55B2B" w:rsidRDefault="00383057" w:rsidP="007E262A">
      <w:pPr>
        <w:spacing w:line="360" w:lineRule="auto"/>
        <w:ind w:left="720" w:right="-478"/>
        <w:jc w:val="both"/>
        <w:rPr>
          <w:rFonts w:ascii="Verdana" w:hAnsi="Verdana"/>
          <w:lang w:val="en-GB"/>
        </w:rPr>
      </w:pPr>
      <w:r w:rsidRPr="00D55B2B">
        <w:rPr>
          <w:rFonts w:ascii="Verdana" w:hAnsi="Verdana"/>
          <w:lang w:val="en-GB"/>
        </w:rPr>
        <w:t>An act or pattern of acts of assault, threats, humiliation and intimidation or other abuse that is used to harm, punish, or frighten their victim</w:t>
      </w:r>
      <w:r w:rsidR="00485398" w:rsidRPr="00D55B2B">
        <w:rPr>
          <w:rFonts w:ascii="Verdana" w:hAnsi="Verdana"/>
          <w:lang w:val="en-GB"/>
        </w:rPr>
        <w:t>.</w:t>
      </w:r>
      <w:r w:rsidR="00442DA5" w:rsidRPr="00D55B2B">
        <w:rPr>
          <w:rStyle w:val="FootnoteReference"/>
          <w:rFonts w:ascii="Verdana" w:hAnsi="Verdana"/>
          <w:lang w:val="en-GB"/>
        </w:rPr>
        <w:footnoteReference w:id="56"/>
      </w:r>
    </w:p>
    <w:p w14:paraId="42E220DB" w14:textId="77777777" w:rsidR="00383057" w:rsidRPr="00D55B2B" w:rsidRDefault="00383057" w:rsidP="007E262A">
      <w:pPr>
        <w:spacing w:line="360" w:lineRule="auto"/>
        <w:ind w:right="-478"/>
        <w:jc w:val="both"/>
        <w:rPr>
          <w:rFonts w:ascii="Verdana" w:hAnsi="Verdana"/>
          <w:lang w:val="en-GB"/>
        </w:rPr>
      </w:pPr>
    </w:p>
    <w:p w14:paraId="78135369" w14:textId="77777777" w:rsidR="00383057" w:rsidRPr="00D55B2B" w:rsidRDefault="00383057" w:rsidP="0060450D">
      <w:pPr>
        <w:spacing w:line="360" w:lineRule="auto"/>
        <w:ind w:left="284" w:right="-478"/>
        <w:jc w:val="both"/>
        <w:rPr>
          <w:rFonts w:ascii="Verdana" w:hAnsi="Verdana"/>
          <w:lang w:val="en-GB"/>
        </w:rPr>
      </w:pPr>
      <w:r w:rsidRPr="00D55B2B">
        <w:rPr>
          <w:rFonts w:ascii="Verdana" w:hAnsi="Verdana"/>
          <w:lang w:val="en-GB"/>
        </w:rPr>
        <w:t>This was a clear public acknowledgement by the UK go</w:t>
      </w:r>
      <w:r w:rsidR="0050060A" w:rsidRPr="00D55B2B">
        <w:rPr>
          <w:rFonts w:ascii="Verdana" w:hAnsi="Verdana"/>
          <w:lang w:val="en-GB"/>
        </w:rPr>
        <w:t>vernment that domestic abuse extends</w:t>
      </w:r>
      <w:r w:rsidRPr="00D55B2B">
        <w:rPr>
          <w:rFonts w:ascii="Verdana" w:hAnsi="Verdana"/>
          <w:lang w:val="en-GB"/>
        </w:rPr>
        <w:t xml:space="preserve"> beyond physical violence and that all forms of domestic abuse are equally harmful to victims.  It also acknowledged that controlling and coercive behaviour is often at the centre of an abusive relationship.  Th</w:t>
      </w:r>
      <w:r w:rsidR="007B19CE">
        <w:rPr>
          <w:rFonts w:ascii="Verdana" w:hAnsi="Verdana"/>
          <w:lang w:val="en-GB"/>
        </w:rPr>
        <w:t>ese concepts</w:t>
      </w:r>
      <w:r w:rsidRPr="00D55B2B">
        <w:rPr>
          <w:rFonts w:ascii="Verdana" w:hAnsi="Verdana"/>
          <w:lang w:val="en-GB"/>
        </w:rPr>
        <w:t xml:space="preserve"> </w:t>
      </w:r>
      <w:r w:rsidR="007B19CE">
        <w:rPr>
          <w:rFonts w:ascii="Verdana" w:hAnsi="Verdana"/>
          <w:lang w:val="en-GB"/>
        </w:rPr>
        <w:t>were</w:t>
      </w:r>
      <w:r w:rsidRPr="00D55B2B">
        <w:rPr>
          <w:rFonts w:ascii="Verdana" w:hAnsi="Verdana"/>
          <w:lang w:val="en-GB"/>
        </w:rPr>
        <w:t xml:space="preserve"> addressed by writers such as Stark</w:t>
      </w:r>
      <w:r w:rsidRPr="00D55B2B">
        <w:rPr>
          <w:rStyle w:val="FootnoteReference"/>
          <w:rFonts w:ascii="Verdana" w:hAnsi="Verdana"/>
          <w:lang w:val="en-GB"/>
        </w:rPr>
        <w:footnoteReference w:id="57"/>
      </w:r>
      <w:r w:rsidRPr="00D55B2B">
        <w:rPr>
          <w:rFonts w:ascii="Verdana" w:hAnsi="Verdana"/>
          <w:lang w:val="en-GB"/>
        </w:rPr>
        <w:t xml:space="preserve"> and Williamson</w:t>
      </w:r>
      <w:r w:rsidR="007C016D" w:rsidRPr="00D55B2B">
        <w:rPr>
          <w:rFonts w:ascii="Verdana" w:hAnsi="Verdana"/>
          <w:lang w:val="en-GB"/>
        </w:rPr>
        <w:t>,</w:t>
      </w:r>
      <w:r w:rsidRPr="00D55B2B">
        <w:rPr>
          <w:rStyle w:val="FootnoteReference"/>
          <w:rFonts w:ascii="Verdana" w:hAnsi="Verdana"/>
          <w:lang w:val="en-GB"/>
        </w:rPr>
        <w:footnoteReference w:id="58"/>
      </w:r>
      <w:r w:rsidRPr="00D55B2B">
        <w:rPr>
          <w:rFonts w:ascii="Verdana" w:hAnsi="Verdana"/>
          <w:lang w:val="en-GB"/>
        </w:rPr>
        <w:t xml:space="preserve"> long before the introduction of th</w:t>
      </w:r>
      <w:r w:rsidR="007B19CE">
        <w:rPr>
          <w:rFonts w:ascii="Verdana" w:hAnsi="Verdana"/>
          <w:lang w:val="en-GB"/>
        </w:rPr>
        <w:t>e</w:t>
      </w:r>
      <w:r w:rsidRPr="00D55B2B">
        <w:rPr>
          <w:rFonts w:ascii="Verdana" w:hAnsi="Verdana"/>
          <w:lang w:val="en-GB"/>
        </w:rPr>
        <w:t xml:space="preserve"> offence.</w:t>
      </w:r>
    </w:p>
    <w:p w14:paraId="1873EBE4" w14:textId="77777777" w:rsidR="00383057" w:rsidRPr="00D55B2B" w:rsidRDefault="00383057" w:rsidP="0060450D">
      <w:pPr>
        <w:spacing w:line="360" w:lineRule="auto"/>
        <w:ind w:left="284" w:right="-478"/>
        <w:jc w:val="both"/>
        <w:rPr>
          <w:rFonts w:ascii="Verdana" w:hAnsi="Verdana"/>
          <w:lang w:val="en-GB"/>
        </w:rPr>
      </w:pPr>
    </w:p>
    <w:p w14:paraId="322D5056" w14:textId="77777777" w:rsidR="00383057" w:rsidRPr="00D55B2B" w:rsidRDefault="007B19CE" w:rsidP="0060450D">
      <w:pPr>
        <w:spacing w:line="360" w:lineRule="auto"/>
        <w:ind w:left="284" w:right="-478"/>
        <w:jc w:val="both"/>
        <w:rPr>
          <w:rFonts w:ascii="Verdana" w:hAnsi="Verdana"/>
          <w:lang w:val="en-GB"/>
        </w:rPr>
      </w:pPr>
      <w:r>
        <w:rPr>
          <w:rFonts w:ascii="Verdana" w:hAnsi="Verdana"/>
          <w:lang w:val="en-GB"/>
        </w:rPr>
        <w:t>B</w:t>
      </w:r>
      <w:r w:rsidR="00383057" w:rsidRPr="00D55B2B">
        <w:rPr>
          <w:rFonts w:ascii="Verdana" w:hAnsi="Verdana"/>
          <w:lang w:val="en-GB"/>
        </w:rPr>
        <w:t xml:space="preserve">ased on statistics available, </w:t>
      </w:r>
      <w:r>
        <w:rPr>
          <w:rFonts w:ascii="Verdana" w:hAnsi="Verdana"/>
          <w:lang w:val="en-GB"/>
        </w:rPr>
        <w:t xml:space="preserve">it might be argued that </w:t>
      </w:r>
      <w:r w:rsidR="00383057" w:rsidRPr="00D55B2B">
        <w:rPr>
          <w:rFonts w:ascii="Verdana" w:hAnsi="Verdana"/>
          <w:lang w:val="en-GB"/>
        </w:rPr>
        <w:t>the approach of the police and the C</w:t>
      </w:r>
      <w:r w:rsidR="0006529A" w:rsidRPr="00D55B2B">
        <w:rPr>
          <w:rFonts w:ascii="Verdana" w:hAnsi="Verdana"/>
          <w:lang w:val="en-GB"/>
        </w:rPr>
        <w:t xml:space="preserve">rime </w:t>
      </w:r>
      <w:r w:rsidR="00383057" w:rsidRPr="00D55B2B">
        <w:rPr>
          <w:rFonts w:ascii="Verdana" w:hAnsi="Verdana"/>
          <w:lang w:val="en-GB"/>
        </w:rPr>
        <w:t>P</w:t>
      </w:r>
      <w:r w:rsidR="0006529A" w:rsidRPr="00D55B2B">
        <w:rPr>
          <w:rFonts w:ascii="Verdana" w:hAnsi="Verdana"/>
          <w:lang w:val="en-GB"/>
        </w:rPr>
        <w:t xml:space="preserve">rosecution </w:t>
      </w:r>
      <w:r w:rsidR="00383057" w:rsidRPr="00D55B2B">
        <w:rPr>
          <w:rFonts w:ascii="Verdana" w:hAnsi="Verdana"/>
          <w:lang w:val="en-GB"/>
        </w:rPr>
        <w:t>S</w:t>
      </w:r>
      <w:r w:rsidR="0006529A" w:rsidRPr="00D55B2B">
        <w:rPr>
          <w:rFonts w:ascii="Verdana" w:hAnsi="Verdana"/>
          <w:lang w:val="en-GB"/>
        </w:rPr>
        <w:t>ervice (CPS)</w:t>
      </w:r>
      <w:r w:rsidR="00383057" w:rsidRPr="00D55B2B">
        <w:rPr>
          <w:rFonts w:ascii="Verdana" w:hAnsi="Verdana"/>
          <w:lang w:val="en-GB"/>
        </w:rPr>
        <w:t xml:space="preserve"> has significantly improved.  Recent data indicates that conviction rates for domestic-abuse related offences are at their highest level since 2010, with 76% of prosecutions resulting in a conviction</w:t>
      </w:r>
      <w:r w:rsidR="002E090D" w:rsidRPr="00D55B2B">
        <w:rPr>
          <w:rFonts w:ascii="Verdana" w:hAnsi="Verdana"/>
          <w:lang w:val="en-GB"/>
        </w:rPr>
        <w:t>.</w:t>
      </w:r>
      <w:r w:rsidR="00383057" w:rsidRPr="00D55B2B">
        <w:rPr>
          <w:rStyle w:val="FootnoteReference"/>
          <w:rFonts w:ascii="Verdana" w:hAnsi="Verdana"/>
          <w:lang w:val="en-GB"/>
        </w:rPr>
        <w:footnoteReference w:id="59"/>
      </w:r>
      <w:r w:rsidR="00383057" w:rsidRPr="00D55B2B">
        <w:rPr>
          <w:rFonts w:ascii="Verdana" w:hAnsi="Verdana"/>
          <w:lang w:val="en-GB"/>
        </w:rPr>
        <w:t xml:space="preserve"> </w:t>
      </w:r>
      <w:r>
        <w:rPr>
          <w:rFonts w:ascii="Verdana" w:hAnsi="Verdana"/>
          <w:lang w:val="en-GB"/>
        </w:rPr>
        <w:t>This percentage</w:t>
      </w:r>
      <w:r w:rsidR="00383057" w:rsidRPr="00D55B2B">
        <w:rPr>
          <w:rFonts w:ascii="Verdana" w:hAnsi="Verdana"/>
          <w:lang w:val="en-GB"/>
        </w:rPr>
        <w:t xml:space="preserve"> needs to be </w:t>
      </w:r>
      <w:r w:rsidR="00BD4670" w:rsidRPr="00D55B2B">
        <w:rPr>
          <w:rFonts w:ascii="Verdana" w:hAnsi="Verdana"/>
          <w:lang w:val="en-GB"/>
        </w:rPr>
        <w:t xml:space="preserve">considered </w:t>
      </w:r>
      <w:r w:rsidR="00383057" w:rsidRPr="00D55B2B">
        <w:rPr>
          <w:rFonts w:ascii="Verdana" w:hAnsi="Verdana"/>
          <w:lang w:val="en-GB"/>
        </w:rPr>
        <w:t>in the context of the other data available.  Out of the nearly 2 million adults who experienced domestic abuse within the last year, only 599,549 domestic-abuse related crimes were recorded by the police and only 225,714 arrests were made for domestic-abuse related offences</w:t>
      </w:r>
      <w:r w:rsidR="002E090D" w:rsidRPr="00D55B2B">
        <w:rPr>
          <w:rFonts w:ascii="Verdana" w:hAnsi="Verdana"/>
          <w:lang w:val="en-GB"/>
        </w:rPr>
        <w:t>.</w:t>
      </w:r>
      <w:r w:rsidR="00383057" w:rsidRPr="00D55B2B">
        <w:rPr>
          <w:rStyle w:val="FootnoteReference"/>
          <w:rFonts w:ascii="Verdana" w:hAnsi="Verdana"/>
          <w:lang w:val="en-GB"/>
        </w:rPr>
        <w:footnoteReference w:id="60"/>
      </w:r>
      <w:r w:rsidR="00383057" w:rsidRPr="00D55B2B">
        <w:rPr>
          <w:rFonts w:ascii="Verdana" w:hAnsi="Verdana"/>
          <w:lang w:val="en-GB"/>
        </w:rPr>
        <w:t xml:space="preserve">  Therefore, whilst the criminal justice approach is statistically the best it has been in </w:t>
      </w:r>
      <w:r w:rsidR="00CD25E7" w:rsidRPr="00D55B2B">
        <w:rPr>
          <w:rFonts w:ascii="Verdana" w:hAnsi="Verdana"/>
          <w:lang w:val="en-GB"/>
        </w:rPr>
        <w:t xml:space="preserve">eight </w:t>
      </w:r>
      <w:r w:rsidR="00383057" w:rsidRPr="00D55B2B">
        <w:rPr>
          <w:rFonts w:ascii="Verdana" w:hAnsi="Verdana"/>
          <w:lang w:val="en-GB"/>
        </w:rPr>
        <w:t xml:space="preserve">years, more can and should still be done. </w:t>
      </w:r>
    </w:p>
    <w:p w14:paraId="0F6FCA2A" w14:textId="77777777" w:rsidR="00383057" w:rsidRPr="00D55B2B" w:rsidRDefault="00383057" w:rsidP="007E262A">
      <w:pPr>
        <w:spacing w:line="360" w:lineRule="auto"/>
        <w:ind w:right="-478"/>
        <w:jc w:val="both"/>
        <w:rPr>
          <w:rFonts w:ascii="Verdana" w:hAnsi="Verdana"/>
          <w:b/>
          <w:lang w:val="en-GB"/>
        </w:rPr>
      </w:pPr>
    </w:p>
    <w:p w14:paraId="4EAB5558" w14:textId="3C26DD23" w:rsidR="001B34C6" w:rsidRDefault="00383057" w:rsidP="0060450D">
      <w:pPr>
        <w:spacing w:line="360" w:lineRule="auto"/>
        <w:ind w:left="284" w:right="-478"/>
        <w:jc w:val="both"/>
        <w:rPr>
          <w:rFonts w:ascii="Verdana" w:hAnsi="Verdana"/>
          <w:lang w:val="en-GB"/>
        </w:rPr>
      </w:pPr>
      <w:r w:rsidRPr="00D55B2B">
        <w:rPr>
          <w:rFonts w:ascii="Verdana" w:hAnsi="Verdana"/>
          <w:lang w:val="en-GB"/>
        </w:rPr>
        <w:t>Ac</w:t>
      </w:r>
      <w:r w:rsidR="00400C51" w:rsidRPr="00D55B2B">
        <w:rPr>
          <w:rFonts w:ascii="Verdana" w:hAnsi="Verdana"/>
          <w:lang w:val="en-GB"/>
        </w:rPr>
        <w:t>knowledging this issue, the UK g</w:t>
      </w:r>
      <w:r w:rsidRPr="00D55B2B">
        <w:rPr>
          <w:rFonts w:ascii="Verdana" w:hAnsi="Verdana"/>
          <w:lang w:val="en-GB"/>
        </w:rPr>
        <w:t xml:space="preserve">overnment has demonstrated a commitment to improving the response of </w:t>
      </w:r>
      <w:r w:rsidR="006D6C4E" w:rsidRPr="00D55B2B">
        <w:rPr>
          <w:rFonts w:ascii="Verdana" w:hAnsi="Verdana"/>
          <w:lang w:val="en-GB"/>
        </w:rPr>
        <w:t>the criminal justice s</w:t>
      </w:r>
      <w:r w:rsidRPr="00D55B2B">
        <w:rPr>
          <w:rFonts w:ascii="Verdana" w:hAnsi="Verdana"/>
          <w:lang w:val="en-GB"/>
        </w:rPr>
        <w:t xml:space="preserve">ystem to domestic abuse. This was demonstrated in the </w:t>
      </w:r>
      <w:r w:rsidR="006628B6">
        <w:rPr>
          <w:rFonts w:ascii="Verdana" w:hAnsi="Verdana"/>
          <w:lang w:val="en-GB"/>
        </w:rPr>
        <w:t>publication of the draft Domestic Abuse Bill</w:t>
      </w:r>
      <w:r w:rsidRPr="00D55B2B">
        <w:rPr>
          <w:rStyle w:val="FootnoteReference"/>
          <w:rFonts w:ascii="Verdana" w:hAnsi="Verdana"/>
          <w:lang w:val="en-GB"/>
        </w:rPr>
        <w:footnoteReference w:id="61"/>
      </w:r>
      <w:r w:rsidRPr="00D55B2B">
        <w:rPr>
          <w:rFonts w:ascii="Verdana" w:hAnsi="Verdana"/>
          <w:lang w:val="en-GB"/>
        </w:rPr>
        <w:t xml:space="preserve"> </w:t>
      </w:r>
      <w:r w:rsidR="006628B6">
        <w:rPr>
          <w:rFonts w:ascii="Verdana" w:hAnsi="Verdana"/>
          <w:lang w:val="en-GB"/>
        </w:rPr>
        <w:t>with</w:t>
      </w:r>
      <w:r w:rsidR="006628B6" w:rsidRPr="00D55B2B">
        <w:rPr>
          <w:rFonts w:ascii="Verdana" w:hAnsi="Verdana"/>
          <w:lang w:val="en-GB"/>
        </w:rPr>
        <w:t xml:space="preserve"> </w:t>
      </w:r>
      <w:r w:rsidRPr="00D55B2B">
        <w:rPr>
          <w:rFonts w:ascii="Verdana" w:hAnsi="Verdana"/>
          <w:lang w:val="en-GB"/>
        </w:rPr>
        <w:t xml:space="preserve">many of the </w:t>
      </w:r>
      <w:r w:rsidR="006628B6">
        <w:rPr>
          <w:rFonts w:ascii="Verdana" w:hAnsi="Verdana"/>
          <w:lang w:val="en-GB"/>
        </w:rPr>
        <w:t>provisions</w:t>
      </w:r>
      <w:r w:rsidR="006628B6" w:rsidRPr="00D55B2B">
        <w:rPr>
          <w:rFonts w:ascii="Verdana" w:hAnsi="Verdana"/>
          <w:lang w:val="en-GB"/>
        </w:rPr>
        <w:t xml:space="preserve"> </w:t>
      </w:r>
      <w:r w:rsidR="006628B6">
        <w:rPr>
          <w:rFonts w:ascii="Verdana" w:hAnsi="Verdana"/>
          <w:lang w:val="en-GB"/>
        </w:rPr>
        <w:t>focusing</w:t>
      </w:r>
      <w:r w:rsidRPr="00D55B2B">
        <w:rPr>
          <w:rFonts w:ascii="Verdana" w:hAnsi="Verdana"/>
          <w:lang w:val="en-GB"/>
        </w:rPr>
        <w:t xml:space="preserve"> </w:t>
      </w:r>
      <w:r w:rsidR="006628B6" w:rsidRPr="00D55B2B">
        <w:rPr>
          <w:rFonts w:ascii="Verdana" w:hAnsi="Verdana"/>
          <w:lang w:val="en-GB"/>
        </w:rPr>
        <w:t>on</w:t>
      </w:r>
      <w:r w:rsidRPr="00D55B2B">
        <w:rPr>
          <w:rFonts w:ascii="Verdana" w:hAnsi="Verdana"/>
          <w:lang w:val="en-GB"/>
        </w:rPr>
        <w:t xml:space="preserve"> </w:t>
      </w:r>
      <w:r w:rsidR="006628B6">
        <w:rPr>
          <w:rFonts w:ascii="Verdana" w:hAnsi="Verdana"/>
          <w:lang w:val="en-GB"/>
        </w:rPr>
        <w:t xml:space="preserve">improving </w:t>
      </w:r>
      <w:r w:rsidRPr="00D55B2B">
        <w:rPr>
          <w:rFonts w:ascii="Verdana" w:hAnsi="Verdana"/>
          <w:lang w:val="en-GB"/>
        </w:rPr>
        <w:t>the criminal justice response to this issue. As explained above</w:t>
      </w:r>
      <w:r w:rsidR="002714CA" w:rsidRPr="00D55B2B">
        <w:rPr>
          <w:rFonts w:ascii="Verdana" w:hAnsi="Verdana"/>
          <w:lang w:val="en-GB"/>
        </w:rPr>
        <w:t xml:space="preserve">, the </w:t>
      </w:r>
      <w:r w:rsidR="005770E1">
        <w:rPr>
          <w:rFonts w:ascii="Verdana" w:hAnsi="Verdana"/>
          <w:lang w:val="en-GB"/>
        </w:rPr>
        <w:t>draft Bill even proposes</w:t>
      </w:r>
      <w:r w:rsidRPr="00D55B2B">
        <w:rPr>
          <w:rFonts w:ascii="Verdana" w:hAnsi="Verdana"/>
          <w:lang w:val="en-GB"/>
        </w:rPr>
        <w:t xml:space="preserve"> expanding the possible criminal approach with the introduction of a new criminal order, a </w:t>
      </w:r>
      <w:r w:rsidR="000977F9" w:rsidRPr="00D55B2B">
        <w:rPr>
          <w:rFonts w:ascii="Verdana" w:hAnsi="Verdana"/>
          <w:lang w:val="en-GB"/>
        </w:rPr>
        <w:t>‘</w:t>
      </w:r>
      <w:r w:rsidRPr="00D55B2B">
        <w:rPr>
          <w:rFonts w:ascii="Verdana" w:hAnsi="Verdana"/>
          <w:lang w:val="en-GB"/>
        </w:rPr>
        <w:t>Domestic Abuse Protection Order</w:t>
      </w:r>
      <w:r w:rsidR="000977F9" w:rsidRPr="00D55B2B">
        <w:rPr>
          <w:rFonts w:ascii="Verdana" w:hAnsi="Verdana"/>
          <w:lang w:val="en-GB"/>
        </w:rPr>
        <w:t>’</w:t>
      </w:r>
      <w:r w:rsidR="008808CF" w:rsidRPr="00D55B2B">
        <w:rPr>
          <w:rFonts w:ascii="Verdana" w:hAnsi="Verdana"/>
          <w:lang w:val="en-GB"/>
        </w:rPr>
        <w:t xml:space="preserve"> (DAPO)</w:t>
      </w:r>
      <w:r w:rsidRPr="00D55B2B">
        <w:rPr>
          <w:rFonts w:ascii="Verdana" w:hAnsi="Verdana"/>
          <w:lang w:val="en-GB"/>
        </w:rPr>
        <w:t xml:space="preserve">. </w:t>
      </w:r>
    </w:p>
    <w:p w14:paraId="1DF5F1A1" w14:textId="77777777" w:rsidR="005641F4" w:rsidRDefault="005641F4" w:rsidP="0060450D">
      <w:pPr>
        <w:spacing w:line="360" w:lineRule="auto"/>
        <w:ind w:left="284" w:right="-478"/>
        <w:jc w:val="both"/>
        <w:rPr>
          <w:rFonts w:ascii="Verdana" w:hAnsi="Verdana"/>
          <w:lang w:val="en-GB"/>
        </w:rPr>
      </w:pPr>
    </w:p>
    <w:p w14:paraId="7F436D19" w14:textId="77777777" w:rsidR="00C276F0" w:rsidRDefault="005641F4" w:rsidP="0060450D">
      <w:pPr>
        <w:spacing w:line="360" w:lineRule="auto"/>
        <w:ind w:left="284" w:right="-478"/>
        <w:jc w:val="both"/>
        <w:rPr>
          <w:rFonts w:ascii="Verdana" w:hAnsi="Verdana"/>
          <w:lang w:val="en-GB"/>
        </w:rPr>
      </w:pPr>
      <w:r>
        <w:rPr>
          <w:rFonts w:ascii="Verdana" w:hAnsi="Verdana"/>
          <w:lang w:val="en-GB"/>
        </w:rPr>
        <w:t>In relation to criminal sentencing, a new domestic abuse sentencing guideline was released in February 2018</w:t>
      </w:r>
      <w:r w:rsidR="006910EE">
        <w:rPr>
          <w:rStyle w:val="FootnoteReference"/>
          <w:rFonts w:ascii="Verdana" w:hAnsi="Verdana"/>
          <w:lang w:val="en-GB"/>
        </w:rPr>
        <w:footnoteReference w:id="62"/>
      </w:r>
      <w:r w:rsidR="00611F94">
        <w:rPr>
          <w:rFonts w:ascii="Verdana" w:hAnsi="Verdana"/>
          <w:lang w:val="en-GB"/>
        </w:rPr>
        <w:t xml:space="preserve">. The starting point in the guidelines is that </w:t>
      </w:r>
      <w:r w:rsidR="00746449">
        <w:rPr>
          <w:rFonts w:ascii="Verdana" w:hAnsi="Verdana"/>
          <w:lang w:val="en-GB"/>
        </w:rPr>
        <w:t>the domestic nature of the offence makes the offending more serious because it ‘represents a violation of the trust and security that normally exists between people in an intimate or family relationship’</w:t>
      </w:r>
      <w:r w:rsidR="00DD4C52">
        <w:rPr>
          <w:rFonts w:ascii="Verdana" w:hAnsi="Verdana"/>
          <w:lang w:val="en-GB"/>
        </w:rPr>
        <w:t>.</w:t>
      </w:r>
      <w:r w:rsidR="003B27C7">
        <w:rPr>
          <w:rStyle w:val="FootnoteReference"/>
          <w:rFonts w:ascii="Verdana" w:hAnsi="Verdana"/>
          <w:lang w:val="en-GB"/>
        </w:rPr>
        <w:footnoteReference w:id="63"/>
      </w:r>
      <w:r w:rsidR="00DD4C52">
        <w:rPr>
          <w:rFonts w:ascii="Verdana" w:hAnsi="Verdana"/>
          <w:lang w:val="en-GB"/>
        </w:rPr>
        <w:t xml:space="preserve"> </w:t>
      </w:r>
      <w:r w:rsidR="00DF3B49">
        <w:rPr>
          <w:rFonts w:ascii="Verdana" w:hAnsi="Verdana"/>
          <w:lang w:val="en-GB"/>
        </w:rPr>
        <w:t xml:space="preserve">It is also </w:t>
      </w:r>
      <w:r w:rsidR="009D284F">
        <w:rPr>
          <w:rFonts w:ascii="Verdana" w:hAnsi="Verdana"/>
          <w:lang w:val="en-GB"/>
        </w:rPr>
        <w:t>recognised that cases</w:t>
      </w:r>
      <w:r w:rsidR="00746449">
        <w:rPr>
          <w:rFonts w:ascii="Verdana" w:hAnsi="Verdana"/>
          <w:lang w:val="en-GB"/>
        </w:rPr>
        <w:t xml:space="preserve"> </w:t>
      </w:r>
      <w:r w:rsidR="00611F94">
        <w:rPr>
          <w:rFonts w:ascii="Verdana" w:hAnsi="Verdana"/>
          <w:lang w:val="en-GB"/>
        </w:rPr>
        <w:t>concerning ‘serious violence’ or where severe emotional harm is caused, will usually warrant a custodial sentence.</w:t>
      </w:r>
      <w:r w:rsidR="00006764">
        <w:rPr>
          <w:rFonts w:ascii="Verdana" w:hAnsi="Verdana"/>
          <w:lang w:val="en-GB"/>
        </w:rPr>
        <w:t xml:space="preserve"> </w:t>
      </w:r>
      <w:r w:rsidR="000623AD">
        <w:rPr>
          <w:rFonts w:ascii="Verdana" w:hAnsi="Verdana"/>
          <w:lang w:val="en-GB"/>
        </w:rPr>
        <w:t>The guidelines state</w:t>
      </w:r>
      <w:r w:rsidR="0009717B">
        <w:rPr>
          <w:rFonts w:ascii="Verdana" w:hAnsi="Verdana"/>
          <w:lang w:val="en-GB"/>
        </w:rPr>
        <w:t xml:space="preserve"> that </w:t>
      </w:r>
      <w:r w:rsidR="00AF677E">
        <w:rPr>
          <w:rFonts w:ascii="Verdana" w:hAnsi="Verdana"/>
          <w:lang w:val="en-GB"/>
        </w:rPr>
        <w:t>the</w:t>
      </w:r>
      <w:r w:rsidR="002762CB">
        <w:rPr>
          <w:rFonts w:ascii="Verdana" w:hAnsi="Verdana"/>
          <w:lang w:val="en-GB"/>
        </w:rPr>
        <w:t xml:space="preserve"> victim should not be responsible for the sentence imposed </w:t>
      </w:r>
      <w:r w:rsidR="00F529D0">
        <w:rPr>
          <w:rFonts w:ascii="Verdana" w:hAnsi="Verdana"/>
          <w:lang w:val="en-GB"/>
        </w:rPr>
        <w:t>a</w:t>
      </w:r>
      <w:r w:rsidR="00AF677E">
        <w:rPr>
          <w:rFonts w:ascii="Verdana" w:hAnsi="Verdana"/>
          <w:lang w:val="en-GB"/>
        </w:rPr>
        <w:t>s this</w:t>
      </w:r>
      <w:r w:rsidR="00F529D0">
        <w:rPr>
          <w:rFonts w:ascii="Verdana" w:hAnsi="Verdana"/>
          <w:lang w:val="en-GB"/>
        </w:rPr>
        <w:t xml:space="preserve"> may lead to victims being threatened by perpetrators if it is understood that they can impact the sentence awarded. </w:t>
      </w:r>
    </w:p>
    <w:p w14:paraId="58BD6073" w14:textId="77777777" w:rsidR="00C276F0" w:rsidRPr="0060450D" w:rsidRDefault="00C276F0" w:rsidP="0060450D">
      <w:pPr>
        <w:spacing w:line="360" w:lineRule="auto"/>
        <w:ind w:left="284" w:right="-478"/>
        <w:jc w:val="both"/>
        <w:rPr>
          <w:rStyle w:val="A8"/>
          <w:rFonts w:ascii="Verdana" w:hAnsi="Verdana" w:cs="Times New Roman"/>
          <w:color w:val="auto"/>
          <w:lang w:val="en-GB"/>
        </w:rPr>
      </w:pPr>
    </w:p>
    <w:p w14:paraId="742A0C18" w14:textId="77777777" w:rsidR="005641F4" w:rsidRPr="0060450D" w:rsidRDefault="00C56134" w:rsidP="0060450D">
      <w:pPr>
        <w:spacing w:line="360" w:lineRule="auto"/>
        <w:ind w:left="284" w:right="-478"/>
        <w:jc w:val="both"/>
        <w:rPr>
          <w:rFonts w:ascii="Verdana" w:eastAsiaTheme="minorHAnsi" w:hAnsi="Verdana" w:cs="MetaOT-Light"/>
          <w:color w:val="000000"/>
          <w:lang w:val="en-GB"/>
        </w:rPr>
      </w:pPr>
      <w:r>
        <w:rPr>
          <w:rStyle w:val="A8"/>
          <w:rFonts w:ascii="Verdana" w:eastAsiaTheme="minorHAnsi" w:hAnsi="Verdana"/>
          <w:lang w:val="en-GB"/>
        </w:rPr>
        <w:t xml:space="preserve">In addition to the overarching principles stated above which assess the seriousness of a domestic abuse </w:t>
      </w:r>
      <w:r w:rsidR="0061757A">
        <w:rPr>
          <w:rStyle w:val="A8"/>
          <w:rFonts w:ascii="Verdana" w:eastAsiaTheme="minorHAnsi" w:hAnsi="Verdana"/>
          <w:lang w:val="en-GB"/>
        </w:rPr>
        <w:t xml:space="preserve">offence </w:t>
      </w:r>
      <w:r>
        <w:rPr>
          <w:rStyle w:val="A8"/>
          <w:rFonts w:ascii="Verdana" w:eastAsiaTheme="minorHAnsi" w:hAnsi="Verdana"/>
          <w:lang w:val="en-GB"/>
        </w:rPr>
        <w:t xml:space="preserve">generally, </w:t>
      </w:r>
      <w:r w:rsidR="004A1036">
        <w:rPr>
          <w:rStyle w:val="A8"/>
          <w:rFonts w:ascii="Verdana" w:eastAsiaTheme="minorHAnsi" w:hAnsi="Verdana"/>
          <w:lang w:val="en-GB"/>
        </w:rPr>
        <w:t xml:space="preserve">the guidelines provide comprehensive details of factors which may be viewed </w:t>
      </w:r>
      <w:r w:rsidR="004A1036" w:rsidRPr="004A1036">
        <w:rPr>
          <w:rStyle w:val="A8"/>
          <w:rFonts w:ascii="Verdana" w:eastAsiaTheme="minorHAnsi" w:hAnsi="Verdana"/>
          <w:lang w:val="en-GB"/>
        </w:rPr>
        <w:t>as</w:t>
      </w:r>
      <w:r w:rsidR="00504431" w:rsidRPr="00504431">
        <w:rPr>
          <w:rStyle w:val="A8"/>
          <w:rFonts w:ascii="Verdana" w:eastAsiaTheme="minorHAnsi" w:hAnsi="Verdana"/>
          <w:lang w:val="en-GB"/>
        </w:rPr>
        <w:t xml:space="preserve"> aggra</w:t>
      </w:r>
      <w:r w:rsidR="004A1036">
        <w:rPr>
          <w:rStyle w:val="A8"/>
          <w:rFonts w:ascii="Verdana" w:eastAsiaTheme="minorHAnsi" w:hAnsi="Verdana"/>
          <w:lang w:val="en-GB"/>
        </w:rPr>
        <w:t>vating or</w:t>
      </w:r>
      <w:r w:rsidR="00504431">
        <w:rPr>
          <w:rStyle w:val="A8"/>
          <w:rFonts w:ascii="Verdana" w:eastAsiaTheme="minorHAnsi" w:hAnsi="Verdana"/>
          <w:lang w:val="en-GB"/>
        </w:rPr>
        <w:t xml:space="preserve"> mitigating factor</w:t>
      </w:r>
      <w:r w:rsidR="004A1036">
        <w:rPr>
          <w:rStyle w:val="A8"/>
          <w:rFonts w:ascii="Verdana" w:eastAsiaTheme="minorHAnsi" w:hAnsi="Verdana"/>
          <w:lang w:val="en-GB"/>
        </w:rPr>
        <w:t>s</w:t>
      </w:r>
      <w:r w:rsidR="00504431">
        <w:rPr>
          <w:rStyle w:val="A8"/>
          <w:rFonts w:ascii="Verdana" w:eastAsiaTheme="minorHAnsi" w:hAnsi="Verdana"/>
          <w:lang w:val="en-GB"/>
        </w:rPr>
        <w:t xml:space="preserve">. </w:t>
      </w:r>
      <w:r w:rsidR="00EC4FF7">
        <w:rPr>
          <w:rStyle w:val="A8"/>
          <w:rFonts w:ascii="Verdana" w:eastAsiaTheme="minorHAnsi" w:hAnsi="Verdana"/>
          <w:lang w:val="en-GB"/>
        </w:rPr>
        <w:t>A</w:t>
      </w:r>
      <w:r w:rsidR="00021382">
        <w:rPr>
          <w:rFonts w:ascii="Verdana" w:hAnsi="Verdana"/>
          <w:lang w:val="en-GB"/>
        </w:rPr>
        <w:t xml:space="preserve">ggravating factors include </w:t>
      </w:r>
      <w:r w:rsidR="00EC4FF7">
        <w:rPr>
          <w:rFonts w:ascii="Verdana" w:hAnsi="Verdana"/>
          <w:lang w:val="en-GB"/>
        </w:rPr>
        <w:t>where</w:t>
      </w:r>
      <w:r w:rsidR="00021382">
        <w:rPr>
          <w:rFonts w:ascii="Verdana" w:hAnsi="Verdana"/>
          <w:lang w:val="en-GB"/>
        </w:rPr>
        <w:t xml:space="preserve"> the victim is particularly vulnerable, where the perpetrator has attempted to prevent the victim from reporting the incident, </w:t>
      </w:r>
      <w:r w:rsidR="003B67E2">
        <w:rPr>
          <w:rFonts w:ascii="Verdana" w:hAnsi="Verdana"/>
          <w:lang w:val="en-GB"/>
        </w:rPr>
        <w:t xml:space="preserve">where there is a proven history of violence or threats and </w:t>
      </w:r>
      <w:r w:rsidR="00021382">
        <w:rPr>
          <w:rFonts w:ascii="Verdana" w:hAnsi="Verdana"/>
          <w:lang w:val="en-GB"/>
        </w:rPr>
        <w:t>where there is a direct or indirect effect</w:t>
      </w:r>
      <w:r w:rsidR="003B67E2">
        <w:rPr>
          <w:rFonts w:ascii="Verdana" w:hAnsi="Verdana"/>
          <w:lang w:val="en-GB"/>
        </w:rPr>
        <w:t xml:space="preserve"> on children</w:t>
      </w:r>
      <w:r w:rsidR="00021382">
        <w:rPr>
          <w:rFonts w:ascii="Verdana" w:hAnsi="Verdana"/>
          <w:lang w:val="en-GB"/>
        </w:rPr>
        <w:t xml:space="preserve">. </w:t>
      </w:r>
      <w:r w:rsidR="00073351">
        <w:rPr>
          <w:rFonts w:ascii="Verdana" w:hAnsi="Verdana"/>
          <w:lang w:val="en-GB"/>
        </w:rPr>
        <w:t xml:space="preserve">Either party can ask the court to consider the interests of children in sentencing. This recognises both that further violence could </w:t>
      </w:r>
      <w:r w:rsidR="00BD3319">
        <w:rPr>
          <w:rFonts w:ascii="Verdana" w:hAnsi="Verdana"/>
          <w:lang w:val="en-GB"/>
        </w:rPr>
        <w:t xml:space="preserve">be harmful to </w:t>
      </w:r>
      <w:r w:rsidR="00073351">
        <w:rPr>
          <w:rFonts w:ascii="Verdana" w:hAnsi="Verdana"/>
          <w:lang w:val="en-GB"/>
        </w:rPr>
        <w:t xml:space="preserve">children and that longer custodial sentences can disrupt the perpetrator’s relationship with their children. </w:t>
      </w:r>
      <w:r w:rsidR="00BD3319">
        <w:rPr>
          <w:rFonts w:ascii="Verdana" w:hAnsi="Verdana"/>
          <w:lang w:val="en-GB"/>
        </w:rPr>
        <w:t>In contrast, mitigating factors may be relied on</w:t>
      </w:r>
      <w:r w:rsidR="000055CB">
        <w:rPr>
          <w:rFonts w:ascii="Verdana" w:hAnsi="Verdana"/>
          <w:lang w:val="en-GB"/>
        </w:rPr>
        <w:t xml:space="preserve"> where there is evidence of ‘genuine recognition’ of the need to change and evidence of obtaining help or treatment to effect that change. This article will </w:t>
      </w:r>
      <w:r w:rsidR="002C7776">
        <w:rPr>
          <w:rFonts w:ascii="Verdana" w:hAnsi="Verdana"/>
          <w:lang w:val="en-GB"/>
        </w:rPr>
        <w:t>go on</w:t>
      </w:r>
      <w:r w:rsidR="000055CB">
        <w:rPr>
          <w:rFonts w:ascii="Verdana" w:hAnsi="Verdana"/>
          <w:lang w:val="en-GB"/>
        </w:rPr>
        <w:t xml:space="preserve"> to consider </w:t>
      </w:r>
      <w:r w:rsidR="002C7776">
        <w:rPr>
          <w:rFonts w:ascii="Verdana" w:hAnsi="Verdana"/>
          <w:lang w:val="en-GB"/>
        </w:rPr>
        <w:t xml:space="preserve">Domestic </w:t>
      </w:r>
      <w:r w:rsidR="005405CB">
        <w:rPr>
          <w:rFonts w:ascii="Verdana" w:hAnsi="Verdana"/>
          <w:lang w:val="en-GB"/>
        </w:rPr>
        <w:t>Violence</w:t>
      </w:r>
      <w:r w:rsidR="002C7776">
        <w:rPr>
          <w:rFonts w:ascii="Verdana" w:hAnsi="Verdana"/>
          <w:lang w:val="en-GB"/>
        </w:rPr>
        <w:t xml:space="preserve"> Perpetrator Programmes which aim to achieve a behavioural change in perpetrators.</w:t>
      </w:r>
    </w:p>
    <w:p w14:paraId="0C1ED947" w14:textId="77777777" w:rsidR="002E33D4" w:rsidRDefault="002E33D4" w:rsidP="0060450D">
      <w:pPr>
        <w:spacing w:line="360" w:lineRule="auto"/>
        <w:ind w:left="284" w:right="-478"/>
        <w:jc w:val="both"/>
        <w:rPr>
          <w:rFonts w:ascii="Verdana" w:hAnsi="Verdana"/>
          <w:lang w:val="en-GB"/>
        </w:rPr>
      </w:pPr>
    </w:p>
    <w:p w14:paraId="19903443" w14:textId="77777777" w:rsidR="00383057" w:rsidRPr="00D55B2B" w:rsidRDefault="00383057" w:rsidP="0060450D">
      <w:pPr>
        <w:spacing w:line="360" w:lineRule="auto"/>
        <w:ind w:left="284" w:right="-478"/>
        <w:jc w:val="both"/>
        <w:rPr>
          <w:rFonts w:ascii="Verdana" w:hAnsi="Verdana"/>
          <w:lang w:val="en-GB"/>
        </w:rPr>
      </w:pPr>
    </w:p>
    <w:p w14:paraId="4C319D2B" w14:textId="5559A417" w:rsidR="002C0FE7" w:rsidRDefault="002B64FE" w:rsidP="0060450D">
      <w:pPr>
        <w:spacing w:line="360" w:lineRule="auto"/>
        <w:ind w:left="-142" w:right="-478"/>
        <w:jc w:val="both"/>
        <w:rPr>
          <w:rFonts w:ascii="Verdana" w:hAnsi="Verdana"/>
          <w:lang w:val="en-GB"/>
        </w:rPr>
      </w:pPr>
      <w:r>
        <w:rPr>
          <w:rFonts w:ascii="Verdana" w:hAnsi="Verdana"/>
          <w:lang w:val="en-GB"/>
        </w:rPr>
        <w:t>As this section has considered, on</w:t>
      </w:r>
      <w:r w:rsidR="00E87DCF">
        <w:rPr>
          <w:rFonts w:ascii="Verdana" w:hAnsi="Verdana"/>
          <w:lang w:val="en-GB"/>
        </w:rPr>
        <w:t xml:space="preserve"> the face of it, England and Wales has adopted a comprehensive approach to </w:t>
      </w:r>
      <w:r w:rsidR="001E0BE5">
        <w:rPr>
          <w:rFonts w:ascii="Verdana" w:hAnsi="Verdana"/>
          <w:lang w:val="en-GB"/>
        </w:rPr>
        <w:t>regulat</w:t>
      </w:r>
      <w:r w:rsidR="0086747F">
        <w:rPr>
          <w:rFonts w:ascii="Verdana" w:hAnsi="Verdana"/>
          <w:lang w:val="en-GB"/>
        </w:rPr>
        <w:t>ing</w:t>
      </w:r>
      <w:r w:rsidR="001E0BE5">
        <w:rPr>
          <w:rFonts w:ascii="Verdana" w:hAnsi="Verdana"/>
          <w:lang w:val="en-GB"/>
        </w:rPr>
        <w:t xml:space="preserve"> </w:t>
      </w:r>
      <w:r>
        <w:rPr>
          <w:rFonts w:ascii="Verdana" w:hAnsi="Verdana"/>
          <w:lang w:val="en-GB"/>
        </w:rPr>
        <w:t>domestic abuse</w:t>
      </w:r>
      <w:r w:rsidR="001E0BE5">
        <w:rPr>
          <w:rFonts w:ascii="Verdana" w:hAnsi="Verdana"/>
          <w:lang w:val="en-GB"/>
        </w:rPr>
        <w:t>. It is an approach which</w:t>
      </w:r>
      <w:r w:rsidR="006455A0">
        <w:rPr>
          <w:rFonts w:ascii="Verdana" w:hAnsi="Verdana"/>
          <w:lang w:val="en-GB"/>
        </w:rPr>
        <w:t xml:space="preserve"> increasingly draws on the criminal justice system</w:t>
      </w:r>
      <w:r w:rsidR="004A37B1">
        <w:rPr>
          <w:rFonts w:ascii="Verdana" w:hAnsi="Verdana"/>
          <w:lang w:val="en-GB"/>
        </w:rPr>
        <w:t xml:space="preserve"> to </w:t>
      </w:r>
      <w:r w:rsidR="00541257">
        <w:rPr>
          <w:rFonts w:ascii="Verdana" w:hAnsi="Verdana"/>
          <w:lang w:val="en-GB"/>
        </w:rPr>
        <w:t xml:space="preserve">deter offenders, </w:t>
      </w:r>
      <w:r w:rsidR="004A37B1">
        <w:rPr>
          <w:rFonts w:ascii="Verdana" w:hAnsi="Verdana"/>
          <w:lang w:val="en-GB"/>
        </w:rPr>
        <w:t>punish perpetrators and provide protection for victims</w:t>
      </w:r>
      <w:r w:rsidR="006455A0">
        <w:rPr>
          <w:rFonts w:ascii="Verdana" w:hAnsi="Verdana"/>
          <w:lang w:val="en-GB"/>
        </w:rPr>
        <w:t xml:space="preserve">. </w:t>
      </w:r>
      <w:r w:rsidR="00EF43AD">
        <w:rPr>
          <w:rFonts w:ascii="Verdana" w:hAnsi="Verdana"/>
          <w:lang w:val="en-GB"/>
        </w:rPr>
        <w:t>For</w:t>
      </w:r>
      <w:r w:rsidR="002D2426">
        <w:rPr>
          <w:rFonts w:ascii="Verdana" w:hAnsi="Verdana"/>
          <w:lang w:val="en-GB"/>
        </w:rPr>
        <w:t xml:space="preserve"> </w:t>
      </w:r>
      <w:r w:rsidR="00C66477">
        <w:rPr>
          <w:rFonts w:ascii="Verdana" w:hAnsi="Verdana"/>
          <w:lang w:val="en-GB"/>
        </w:rPr>
        <w:t>reasons this article will go on to consider,</w:t>
      </w:r>
      <w:r w:rsidR="00A3709B">
        <w:rPr>
          <w:rFonts w:ascii="Verdana" w:hAnsi="Verdana"/>
          <w:lang w:val="en-GB"/>
        </w:rPr>
        <w:t xml:space="preserve"> however,</w:t>
      </w:r>
      <w:r w:rsidR="00C66477">
        <w:rPr>
          <w:rFonts w:ascii="Verdana" w:hAnsi="Verdana"/>
          <w:lang w:val="en-GB"/>
        </w:rPr>
        <w:t xml:space="preserve"> it is</w:t>
      </w:r>
      <w:r w:rsidR="007B19CE">
        <w:rPr>
          <w:rFonts w:ascii="Verdana" w:hAnsi="Verdana"/>
          <w:lang w:val="en-GB"/>
        </w:rPr>
        <w:t xml:space="preserve"> </w:t>
      </w:r>
      <w:r w:rsidR="00154C5A">
        <w:rPr>
          <w:rFonts w:ascii="Verdana" w:hAnsi="Verdana"/>
          <w:lang w:val="en-GB"/>
        </w:rPr>
        <w:t xml:space="preserve">not necessarily the case that </w:t>
      </w:r>
      <w:r w:rsidR="00383057" w:rsidRPr="00D55B2B">
        <w:rPr>
          <w:rFonts w:ascii="Verdana" w:hAnsi="Verdana"/>
          <w:lang w:val="en-GB"/>
        </w:rPr>
        <w:t>criminalisation is the most effective route to combatting domestic abuse.</w:t>
      </w:r>
      <w:r w:rsidR="002727BE">
        <w:rPr>
          <w:rFonts w:ascii="Verdana" w:hAnsi="Verdana"/>
          <w:lang w:val="en-GB"/>
        </w:rPr>
        <w:t xml:space="preserve"> </w:t>
      </w:r>
      <w:r w:rsidR="00742CD6">
        <w:rPr>
          <w:rFonts w:ascii="Verdana" w:hAnsi="Verdana"/>
          <w:lang w:val="en-GB"/>
        </w:rPr>
        <w:t>This is ostensibly because criminalisation can lead to victims becoming passive bystanders in the process</w:t>
      </w:r>
      <w:r w:rsidR="00783038">
        <w:rPr>
          <w:rFonts w:ascii="Verdana" w:hAnsi="Verdana"/>
          <w:lang w:val="en-GB"/>
        </w:rPr>
        <w:t xml:space="preserve"> and because funding cuts </w:t>
      </w:r>
      <w:r w:rsidR="00A4004B">
        <w:rPr>
          <w:rFonts w:ascii="Verdana" w:hAnsi="Verdana"/>
          <w:lang w:val="en-GB"/>
        </w:rPr>
        <w:t xml:space="preserve">has led to difficulties in effectively implementing </w:t>
      </w:r>
      <w:r w:rsidR="002C0FE7">
        <w:rPr>
          <w:rFonts w:ascii="Verdana" w:hAnsi="Verdana"/>
          <w:lang w:val="en-GB"/>
        </w:rPr>
        <w:t>legislation.</w:t>
      </w:r>
    </w:p>
    <w:p w14:paraId="2667689E" w14:textId="77777777" w:rsidR="002C0FE7" w:rsidRDefault="002C0FE7" w:rsidP="0060450D">
      <w:pPr>
        <w:spacing w:line="360" w:lineRule="auto"/>
        <w:ind w:left="-142" w:right="-478"/>
        <w:jc w:val="both"/>
        <w:rPr>
          <w:rFonts w:ascii="Verdana" w:hAnsi="Verdana"/>
          <w:lang w:val="en-GB"/>
        </w:rPr>
      </w:pPr>
    </w:p>
    <w:p w14:paraId="682541C0" w14:textId="5EA02057" w:rsidR="007E262A" w:rsidRPr="00D55B2B" w:rsidRDefault="00383057" w:rsidP="0060450D">
      <w:pPr>
        <w:spacing w:line="360" w:lineRule="auto"/>
        <w:ind w:left="-142" w:right="-478"/>
        <w:jc w:val="both"/>
        <w:rPr>
          <w:rFonts w:ascii="Verdana" w:hAnsi="Verdana"/>
          <w:lang w:val="en-GB"/>
        </w:rPr>
      </w:pPr>
      <w:r w:rsidRPr="00D55B2B">
        <w:rPr>
          <w:rFonts w:ascii="Verdana" w:hAnsi="Verdana"/>
          <w:lang w:val="en-GB"/>
        </w:rPr>
        <w:t xml:space="preserve">The </w:t>
      </w:r>
      <w:r w:rsidR="005A7744">
        <w:rPr>
          <w:rFonts w:ascii="Verdana" w:hAnsi="Verdana"/>
          <w:lang w:val="en-GB"/>
        </w:rPr>
        <w:t xml:space="preserve">next section will set out the framework regulating domestic abuse in </w:t>
      </w:r>
      <w:r w:rsidRPr="00D55B2B">
        <w:rPr>
          <w:rFonts w:ascii="Verdana" w:hAnsi="Verdana"/>
          <w:lang w:val="en-GB"/>
        </w:rPr>
        <w:t>Russia</w:t>
      </w:r>
      <w:r w:rsidR="005A7744">
        <w:rPr>
          <w:rFonts w:ascii="Verdana" w:hAnsi="Verdana"/>
          <w:lang w:val="en-GB"/>
        </w:rPr>
        <w:t xml:space="preserve">. </w:t>
      </w:r>
    </w:p>
    <w:p w14:paraId="7858401C" w14:textId="77777777" w:rsidR="001B34C6" w:rsidRPr="00D55B2B" w:rsidRDefault="001B34C6" w:rsidP="007E262A">
      <w:pPr>
        <w:spacing w:line="360" w:lineRule="auto"/>
        <w:ind w:right="-478"/>
        <w:jc w:val="both"/>
        <w:rPr>
          <w:rFonts w:ascii="Verdana" w:hAnsi="Verdana"/>
          <w:lang w:val="en-GB"/>
        </w:rPr>
      </w:pPr>
    </w:p>
    <w:p w14:paraId="6CA05872" w14:textId="77777777" w:rsidR="00D13D2A" w:rsidRDefault="00635F21" w:rsidP="0060450D">
      <w:pPr>
        <w:spacing w:line="360" w:lineRule="auto"/>
        <w:ind w:left="-142" w:right="-478"/>
        <w:jc w:val="both"/>
        <w:rPr>
          <w:rFonts w:ascii="Verdana" w:hAnsi="Verdana"/>
          <w:b/>
          <w:sz w:val="21"/>
          <w:szCs w:val="21"/>
        </w:rPr>
      </w:pPr>
      <w:r w:rsidRPr="00D55B2B">
        <w:rPr>
          <w:rFonts w:ascii="Verdana" w:hAnsi="Verdana"/>
          <w:b/>
          <w:sz w:val="21"/>
          <w:szCs w:val="21"/>
        </w:rPr>
        <w:t>The domestic abuse frame</w:t>
      </w:r>
      <w:r w:rsidR="00FE08CE" w:rsidRPr="00D55B2B">
        <w:rPr>
          <w:rFonts w:ascii="Verdana" w:hAnsi="Verdana"/>
          <w:b/>
          <w:sz w:val="21"/>
          <w:szCs w:val="21"/>
        </w:rPr>
        <w:t xml:space="preserve">work in the Russian Federation </w:t>
      </w:r>
    </w:p>
    <w:p w14:paraId="5E6E0B5E" w14:textId="77777777" w:rsidR="0086747F" w:rsidRPr="00D55B2B" w:rsidRDefault="0086747F" w:rsidP="0060450D">
      <w:pPr>
        <w:spacing w:line="360" w:lineRule="auto"/>
        <w:ind w:left="-142" w:right="-478"/>
        <w:jc w:val="both"/>
        <w:rPr>
          <w:rFonts w:ascii="Verdana" w:hAnsi="Verdana"/>
          <w:b/>
          <w:sz w:val="21"/>
          <w:szCs w:val="21"/>
        </w:rPr>
      </w:pPr>
    </w:p>
    <w:p w14:paraId="3EB6FC06" w14:textId="3767C026" w:rsidR="0001150B" w:rsidRDefault="00B63CC5" w:rsidP="0060450D">
      <w:pPr>
        <w:spacing w:line="360" w:lineRule="auto"/>
        <w:ind w:left="-142" w:right="-478"/>
        <w:jc w:val="both"/>
        <w:rPr>
          <w:rFonts w:ascii="Verdana" w:hAnsi="Verdana"/>
        </w:rPr>
      </w:pPr>
      <w:r>
        <w:rPr>
          <w:rFonts w:ascii="Verdana" w:hAnsi="Verdana"/>
        </w:rPr>
        <w:t xml:space="preserve">This section will </w:t>
      </w:r>
      <w:r w:rsidR="00D46E49">
        <w:rPr>
          <w:rFonts w:ascii="Verdana" w:hAnsi="Verdana"/>
        </w:rPr>
        <w:t xml:space="preserve">set out the </w:t>
      </w:r>
      <w:r w:rsidR="003D4D46">
        <w:rPr>
          <w:rFonts w:ascii="Verdana" w:hAnsi="Verdana"/>
        </w:rPr>
        <w:t xml:space="preserve">legal and policy </w:t>
      </w:r>
      <w:r w:rsidR="000359BE">
        <w:rPr>
          <w:rFonts w:ascii="Verdana" w:hAnsi="Verdana"/>
        </w:rPr>
        <w:t>framework</w:t>
      </w:r>
      <w:r w:rsidR="003D4D46">
        <w:rPr>
          <w:rFonts w:ascii="Verdana" w:hAnsi="Verdana"/>
        </w:rPr>
        <w:t xml:space="preserve"> </w:t>
      </w:r>
      <w:r w:rsidR="00B11FCB">
        <w:rPr>
          <w:rFonts w:ascii="Verdana" w:hAnsi="Verdana"/>
        </w:rPr>
        <w:t>regulating</w:t>
      </w:r>
      <w:r w:rsidR="00C52064">
        <w:rPr>
          <w:rFonts w:ascii="Verdana" w:hAnsi="Verdana"/>
        </w:rPr>
        <w:t xml:space="preserve"> domestic abuse in Russia. </w:t>
      </w:r>
      <w:r w:rsidR="0048209B">
        <w:rPr>
          <w:rFonts w:ascii="Verdana" w:hAnsi="Verdana"/>
        </w:rPr>
        <w:t xml:space="preserve">The </w:t>
      </w:r>
      <w:r w:rsidR="00945333">
        <w:rPr>
          <w:rFonts w:ascii="Verdana" w:hAnsi="Verdana"/>
        </w:rPr>
        <w:t xml:space="preserve">approach taken </w:t>
      </w:r>
      <w:r w:rsidR="0048209B">
        <w:rPr>
          <w:rFonts w:ascii="Verdana" w:hAnsi="Verdana"/>
        </w:rPr>
        <w:t xml:space="preserve">in Russia will be contrasted </w:t>
      </w:r>
      <w:r w:rsidR="001345AD">
        <w:rPr>
          <w:rFonts w:ascii="Verdana" w:hAnsi="Verdana"/>
        </w:rPr>
        <w:t>with</w:t>
      </w:r>
      <w:r w:rsidR="0048209B">
        <w:rPr>
          <w:rFonts w:ascii="Verdana" w:hAnsi="Verdana"/>
        </w:rPr>
        <w:t xml:space="preserve"> the position in England and Wales</w:t>
      </w:r>
      <w:r w:rsidR="00900A56">
        <w:rPr>
          <w:rFonts w:ascii="Verdana" w:hAnsi="Verdana"/>
        </w:rPr>
        <w:t xml:space="preserve">. </w:t>
      </w:r>
      <w:r w:rsidR="00A03963">
        <w:rPr>
          <w:rFonts w:ascii="Verdana" w:hAnsi="Verdana"/>
        </w:rPr>
        <w:t>Th</w:t>
      </w:r>
      <w:r w:rsidR="00CB4276">
        <w:rPr>
          <w:rFonts w:ascii="Verdana" w:hAnsi="Verdana"/>
        </w:rPr>
        <w:t xml:space="preserve">e analysis </w:t>
      </w:r>
      <w:r w:rsidR="00900A56">
        <w:rPr>
          <w:rFonts w:ascii="Verdana" w:hAnsi="Verdana"/>
        </w:rPr>
        <w:t xml:space="preserve">reveals </w:t>
      </w:r>
      <w:r w:rsidR="0093168B">
        <w:rPr>
          <w:rFonts w:ascii="Verdana" w:hAnsi="Verdana"/>
        </w:rPr>
        <w:t xml:space="preserve">that </w:t>
      </w:r>
      <w:r w:rsidR="00330B9D">
        <w:rPr>
          <w:rFonts w:ascii="Verdana" w:hAnsi="Verdana"/>
        </w:rPr>
        <w:t>the Russian response</w:t>
      </w:r>
      <w:r w:rsidR="002C6E06">
        <w:rPr>
          <w:rFonts w:ascii="Verdana" w:hAnsi="Verdana"/>
        </w:rPr>
        <w:t xml:space="preserve"> is</w:t>
      </w:r>
      <w:r w:rsidR="00505011">
        <w:rPr>
          <w:rFonts w:ascii="Verdana" w:hAnsi="Verdana"/>
        </w:rPr>
        <w:t xml:space="preserve"> characteri</w:t>
      </w:r>
      <w:r w:rsidR="00916A04">
        <w:rPr>
          <w:rFonts w:ascii="Verdana" w:hAnsi="Verdana"/>
        </w:rPr>
        <w:t>se</w:t>
      </w:r>
      <w:r w:rsidR="00505011">
        <w:rPr>
          <w:rFonts w:ascii="Verdana" w:hAnsi="Verdana"/>
        </w:rPr>
        <w:t xml:space="preserve">d by </w:t>
      </w:r>
      <w:r w:rsidR="002E35DD">
        <w:rPr>
          <w:rFonts w:ascii="Verdana" w:hAnsi="Verdana"/>
        </w:rPr>
        <w:t>institutional</w:t>
      </w:r>
      <w:r w:rsidR="006261F2">
        <w:rPr>
          <w:rFonts w:ascii="Verdana" w:hAnsi="Verdana"/>
        </w:rPr>
        <w:t xml:space="preserve"> passivity</w:t>
      </w:r>
      <w:r w:rsidR="002E35DD">
        <w:rPr>
          <w:rFonts w:ascii="Verdana" w:hAnsi="Verdana"/>
        </w:rPr>
        <w:t xml:space="preserve"> to </w:t>
      </w:r>
      <w:r w:rsidR="0005637C">
        <w:rPr>
          <w:rFonts w:ascii="Verdana" w:hAnsi="Verdana"/>
        </w:rPr>
        <w:t xml:space="preserve">domestic abuse, </w:t>
      </w:r>
      <w:r w:rsidR="00505011">
        <w:rPr>
          <w:rFonts w:ascii="Verdana" w:hAnsi="Verdana"/>
        </w:rPr>
        <w:t>a</w:t>
      </w:r>
      <w:r w:rsidR="002C6E06">
        <w:rPr>
          <w:rFonts w:ascii="Verdana" w:hAnsi="Verdana"/>
        </w:rPr>
        <w:t xml:space="preserve"> lack of </w:t>
      </w:r>
      <w:r w:rsidR="00E6718F">
        <w:rPr>
          <w:rFonts w:ascii="Verdana" w:hAnsi="Verdana"/>
        </w:rPr>
        <w:t>legal provisions</w:t>
      </w:r>
      <w:r w:rsidR="008B6805">
        <w:rPr>
          <w:rFonts w:ascii="Verdana" w:hAnsi="Verdana"/>
        </w:rPr>
        <w:t xml:space="preserve"> </w:t>
      </w:r>
      <w:r w:rsidR="00602411">
        <w:rPr>
          <w:rFonts w:ascii="Verdana" w:hAnsi="Verdana"/>
        </w:rPr>
        <w:t>in relation to core domestic abuse offences</w:t>
      </w:r>
      <w:r w:rsidR="00177BF1">
        <w:rPr>
          <w:rFonts w:ascii="Verdana" w:hAnsi="Verdana"/>
        </w:rPr>
        <w:t xml:space="preserve"> and draconian provisions which </w:t>
      </w:r>
      <w:r w:rsidR="00602411">
        <w:rPr>
          <w:rFonts w:ascii="Verdana" w:hAnsi="Verdana"/>
        </w:rPr>
        <w:t>make it very difficult for victims to achieve access to justice</w:t>
      </w:r>
      <w:r w:rsidR="00177BF1">
        <w:rPr>
          <w:rFonts w:ascii="Verdana" w:hAnsi="Verdana"/>
        </w:rPr>
        <w:t xml:space="preserve"> and are in urgent need of review</w:t>
      </w:r>
      <w:r w:rsidR="00602411">
        <w:rPr>
          <w:rFonts w:ascii="Verdana" w:hAnsi="Verdana"/>
        </w:rPr>
        <w:t xml:space="preserve">. </w:t>
      </w:r>
    </w:p>
    <w:p w14:paraId="0CEF5B15" w14:textId="77777777" w:rsidR="00B63CC5" w:rsidRDefault="00B63CC5" w:rsidP="007E262A">
      <w:pPr>
        <w:spacing w:line="360" w:lineRule="auto"/>
        <w:ind w:right="-478"/>
        <w:jc w:val="both"/>
        <w:rPr>
          <w:rFonts w:ascii="Verdana" w:hAnsi="Verdana"/>
        </w:rPr>
      </w:pPr>
    </w:p>
    <w:p w14:paraId="5585F37E" w14:textId="79A90EF4" w:rsidR="00635F21" w:rsidRPr="00D55B2B" w:rsidRDefault="004F4295" w:rsidP="0060450D">
      <w:pPr>
        <w:spacing w:line="360" w:lineRule="auto"/>
        <w:ind w:left="-142" w:right="-478"/>
        <w:jc w:val="both"/>
        <w:rPr>
          <w:rFonts w:ascii="Verdana" w:hAnsi="Verdana"/>
        </w:rPr>
      </w:pPr>
      <w:r>
        <w:rPr>
          <w:rFonts w:ascii="Verdana" w:hAnsi="Verdana"/>
        </w:rPr>
        <w:t xml:space="preserve">Similarly to England and Wales, </w:t>
      </w:r>
      <w:r w:rsidR="00513422">
        <w:rPr>
          <w:rFonts w:ascii="Verdana" w:hAnsi="Verdana"/>
        </w:rPr>
        <w:t>d</w:t>
      </w:r>
      <w:r w:rsidR="004C697E" w:rsidRPr="00D55B2B">
        <w:rPr>
          <w:rFonts w:ascii="Verdana" w:hAnsi="Verdana"/>
        </w:rPr>
        <w:t>o</w:t>
      </w:r>
      <w:r w:rsidR="00635F21" w:rsidRPr="00D55B2B">
        <w:rPr>
          <w:rFonts w:ascii="Verdana" w:hAnsi="Verdana"/>
        </w:rPr>
        <w:t>mestic abuse is not recognised as a discrete criminal offence but rather physical violence can be prosecuted as a crime against the person, under Part VII of the Russian Criminal Code.</w:t>
      </w:r>
      <w:r w:rsidR="008B7EE0">
        <w:rPr>
          <w:rFonts w:ascii="Verdana" w:hAnsi="Verdana"/>
        </w:rPr>
        <w:t xml:space="preserve"> In contrast to England and Wales,</w:t>
      </w:r>
      <w:r w:rsidR="00781219">
        <w:rPr>
          <w:rFonts w:ascii="Verdana" w:hAnsi="Verdana"/>
        </w:rPr>
        <w:t xml:space="preserve"> however,</w:t>
      </w:r>
      <w:r w:rsidR="008B7EE0">
        <w:rPr>
          <w:rFonts w:ascii="Verdana" w:hAnsi="Verdana"/>
        </w:rPr>
        <w:t xml:space="preserve"> t</w:t>
      </w:r>
      <w:r w:rsidR="008B7EE0" w:rsidRPr="00D55B2B">
        <w:rPr>
          <w:rFonts w:ascii="Verdana" w:hAnsi="Verdana"/>
        </w:rPr>
        <w:t>here is no legislative recognition of, or protection for, victims of non-physical forms of domestic abuse.</w:t>
      </w:r>
      <w:r w:rsidR="00BD73DA">
        <w:rPr>
          <w:rFonts w:ascii="Verdana" w:hAnsi="Verdana"/>
        </w:rPr>
        <w:t xml:space="preserve"> </w:t>
      </w:r>
      <w:r w:rsidR="00F529A6">
        <w:rPr>
          <w:rFonts w:ascii="Verdana" w:hAnsi="Verdana"/>
        </w:rPr>
        <w:t>A</w:t>
      </w:r>
      <w:r w:rsidR="00635F21" w:rsidRPr="00D55B2B">
        <w:rPr>
          <w:rFonts w:ascii="Verdana" w:hAnsi="Verdana"/>
        </w:rPr>
        <w:t xml:space="preserve"> working group compris</w:t>
      </w:r>
      <w:r w:rsidR="00790668" w:rsidRPr="00D55B2B">
        <w:rPr>
          <w:rFonts w:ascii="Verdana" w:hAnsi="Verdana"/>
        </w:rPr>
        <w:t>ed of</w:t>
      </w:r>
      <w:r w:rsidR="00635F21" w:rsidRPr="00D55B2B">
        <w:rPr>
          <w:rFonts w:ascii="Verdana" w:hAnsi="Verdana"/>
        </w:rPr>
        <w:t xml:space="preserve"> non-government organisations</w:t>
      </w:r>
      <w:r w:rsidR="00954BAD" w:rsidRPr="00D55B2B">
        <w:rPr>
          <w:rFonts w:ascii="Verdana" w:hAnsi="Verdana"/>
        </w:rPr>
        <w:t xml:space="preserve"> and </w:t>
      </w:r>
      <w:r w:rsidR="00635F21" w:rsidRPr="00D55B2B">
        <w:rPr>
          <w:rFonts w:ascii="Verdana" w:hAnsi="Verdana"/>
        </w:rPr>
        <w:t>representatives of the State was convened in 2012 to develop legislation aimed at protecting victims of abuse</w:t>
      </w:r>
      <w:r w:rsidR="00F529A6">
        <w:rPr>
          <w:rFonts w:ascii="Verdana" w:hAnsi="Verdana"/>
        </w:rPr>
        <w:t>.</w:t>
      </w:r>
      <w:r w:rsidR="00635F21" w:rsidRPr="00D55B2B">
        <w:rPr>
          <w:rFonts w:ascii="Verdana" w:hAnsi="Verdana"/>
        </w:rPr>
        <w:t xml:space="preserve"> </w:t>
      </w:r>
      <w:r w:rsidR="00F529A6">
        <w:rPr>
          <w:rFonts w:ascii="Verdana" w:hAnsi="Verdana"/>
        </w:rPr>
        <w:t>T</w:t>
      </w:r>
      <w:r w:rsidR="00635F21" w:rsidRPr="00D55B2B">
        <w:rPr>
          <w:rFonts w:ascii="Verdana" w:hAnsi="Verdana"/>
        </w:rPr>
        <w:t xml:space="preserve">he resulting draft law ‘On Prevention and Response to Domestic Violence’ has not been passed to date. As the current law stands, the following offences are likely to be relevant in a case of physical abuse: </w:t>
      </w:r>
    </w:p>
    <w:p w14:paraId="0EDB11D4" w14:textId="77777777" w:rsidR="00635F21" w:rsidRPr="00D55B2B" w:rsidRDefault="00635F21" w:rsidP="007E262A">
      <w:pPr>
        <w:spacing w:line="360" w:lineRule="auto"/>
        <w:ind w:right="-478"/>
        <w:jc w:val="both"/>
        <w:rPr>
          <w:rFonts w:ascii="Verdana" w:hAnsi="Verdana"/>
        </w:rPr>
      </w:pPr>
    </w:p>
    <w:p w14:paraId="05479875" w14:textId="77777777" w:rsidR="00635F21" w:rsidRPr="00D55B2B" w:rsidRDefault="00635F21" w:rsidP="007E262A">
      <w:pPr>
        <w:pStyle w:val="ListParagraph"/>
        <w:numPr>
          <w:ilvl w:val="0"/>
          <w:numId w:val="5"/>
        </w:numPr>
        <w:spacing w:line="360" w:lineRule="auto"/>
        <w:ind w:right="-478"/>
        <w:jc w:val="both"/>
        <w:rPr>
          <w:rFonts w:ascii="Verdana" w:hAnsi="Verdana"/>
        </w:rPr>
      </w:pPr>
      <w:r w:rsidRPr="00D55B2B">
        <w:rPr>
          <w:rFonts w:ascii="Verdana" w:hAnsi="Verdana"/>
        </w:rPr>
        <w:t>Article 112 (intentional infliction of injury to health of average gravity)</w:t>
      </w:r>
    </w:p>
    <w:p w14:paraId="26B07AF3" w14:textId="77777777" w:rsidR="00635F21" w:rsidRPr="00D55B2B" w:rsidRDefault="00635F21" w:rsidP="007E262A">
      <w:pPr>
        <w:pStyle w:val="ListParagraph"/>
        <w:numPr>
          <w:ilvl w:val="0"/>
          <w:numId w:val="5"/>
        </w:numPr>
        <w:spacing w:line="360" w:lineRule="auto"/>
        <w:ind w:right="-478"/>
        <w:jc w:val="both"/>
        <w:rPr>
          <w:rFonts w:ascii="Verdana" w:hAnsi="Verdana"/>
        </w:rPr>
      </w:pPr>
      <w:r w:rsidRPr="00D55B2B">
        <w:rPr>
          <w:rFonts w:ascii="Verdana" w:hAnsi="Verdana"/>
        </w:rPr>
        <w:t>Article 115 (intentional infliction of light injury)</w:t>
      </w:r>
    </w:p>
    <w:p w14:paraId="5B6989D4" w14:textId="77777777" w:rsidR="00635F21" w:rsidRPr="00D55B2B" w:rsidRDefault="00635F21" w:rsidP="007E262A">
      <w:pPr>
        <w:pStyle w:val="ListParagraph"/>
        <w:numPr>
          <w:ilvl w:val="0"/>
          <w:numId w:val="5"/>
        </w:numPr>
        <w:spacing w:line="360" w:lineRule="auto"/>
        <w:ind w:right="-478"/>
        <w:jc w:val="both"/>
        <w:rPr>
          <w:rFonts w:ascii="Verdana" w:hAnsi="Verdana"/>
        </w:rPr>
      </w:pPr>
      <w:r w:rsidRPr="00D55B2B">
        <w:rPr>
          <w:rFonts w:ascii="Verdana" w:hAnsi="Verdana"/>
        </w:rPr>
        <w:t>Article 116 (battery and aggravated battery)</w:t>
      </w:r>
    </w:p>
    <w:p w14:paraId="7AD963C7" w14:textId="77777777" w:rsidR="00635F21" w:rsidRPr="00D55B2B" w:rsidRDefault="00635F21" w:rsidP="007E262A">
      <w:pPr>
        <w:pStyle w:val="ListParagraph"/>
        <w:numPr>
          <w:ilvl w:val="0"/>
          <w:numId w:val="5"/>
        </w:numPr>
        <w:spacing w:line="360" w:lineRule="auto"/>
        <w:ind w:right="-478"/>
        <w:jc w:val="both"/>
        <w:rPr>
          <w:rFonts w:ascii="Verdana" w:hAnsi="Verdana"/>
        </w:rPr>
      </w:pPr>
      <w:r w:rsidRPr="00D55B2B">
        <w:rPr>
          <w:rFonts w:ascii="Verdana" w:hAnsi="Verdana"/>
        </w:rPr>
        <w:t>Article 117 (torture, the causing of physical and mental suffering by means of the systematic infliction of beatings or other forcible actions)</w:t>
      </w:r>
    </w:p>
    <w:p w14:paraId="00D5BA5D" w14:textId="77777777" w:rsidR="00635F21" w:rsidRPr="00D55B2B" w:rsidRDefault="00635F21" w:rsidP="007E262A">
      <w:pPr>
        <w:pStyle w:val="ListParagraph"/>
        <w:numPr>
          <w:ilvl w:val="0"/>
          <w:numId w:val="5"/>
        </w:numPr>
        <w:spacing w:line="360" w:lineRule="auto"/>
        <w:ind w:right="-478"/>
        <w:jc w:val="both"/>
        <w:rPr>
          <w:rFonts w:ascii="Verdana" w:hAnsi="Verdana"/>
        </w:rPr>
      </w:pPr>
      <w:r w:rsidRPr="00D55B2B">
        <w:rPr>
          <w:rFonts w:ascii="Verdana" w:hAnsi="Verdana"/>
        </w:rPr>
        <w:t>Article 119 (threat of murder or infliction of grave injury to health)</w:t>
      </w:r>
    </w:p>
    <w:p w14:paraId="225B3902" w14:textId="77777777" w:rsidR="00635F21" w:rsidRPr="00D55B2B" w:rsidRDefault="00635F21" w:rsidP="007E262A">
      <w:pPr>
        <w:spacing w:line="360" w:lineRule="auto"/>
        <w:ind w:right="-478"/>
        <w:jc w:val="both"/>
        <w:rPr>
          <w:rFonts w:ascii="Verdana" w:hAnsi="Verdana"/>
        </w:rPr>
      </w:pPr>
    </w:p>
    <w:p w14:paraId="20A6D68C" w14:textId="2252F444" w:rsidR="00635F21" w:rsidRDefault="00A738C2" w:rsidP="007E262A">
      <w:pPr>
        <w:spacing w:line="360" w:lineRule="auto"/>
        <w:ind w:right="-478"/>
        <w:jc w:val="both"/>
        <w:rPr>
          <w:rFonts w:ascii="Verdana" w:hAnsi="Verdana"/>
        </w:rPr>
      </w:pPr>
      <w:r>
        <w:rPr>
          <w:rFonts w:ascii="Verdana" w:hAnsi="Verdana"/>
        </w:rPr>
        <w:t xml:space="preserve">In contrast to England and Wales where many of the criminal offences </w:t>
      </w:r>
      <w:r w:rsidR="00BD52EC">
        <w:rPr>
          <w:rFonts w:ascii="Verdana" w:hAnsi="Verdana"/>
        </w:rPr>
        <w:t xml:space="preserve">(such as coercive and controlling behaviour) </w:t>
      </w:r>
      <w:r w:rsidR="00380E3A">
        <w:rPr>
          <w:rFonts w:ascii="Verdana" w:hAnsi="Verdana"/>
        </w:rPr>
        <w:t xml:space="preserve">acknowledge the </w:t>
      </w:r>
      <w:r w:rsidR="005A64F3">
        <w:rPr>
          <w:rFonts w:ascii="Verdana" w:hAnsi="Verdana"/>
        </w:rPr>
        <w:t xml:space="preserve">intimate relationship between the </w:t>
      </w:r>
      <w:r w:rsidR="00BF4EE7">
        <w:rPr>
          <w:rFonts w:ascii="Verdana" w:hAnsi="Verdana"/>
        </w:rPr>
        <w:t xml:space="preserve">parties, </w:t>
      </w:r>
      <w:r w:rsidR="00B51571" w:rsidRPr="00D55B2B">
        <w:rPr>
          <w:rFonts w:ascii="Verdana" w:hAnsi="Verdana"/>
        </w:rPr>
        <w:t>none</w:t>
      </w:r>
      <w:r w:rsidR="00635F21" w:rsidRPr="00D55B2B">
        <w:rPr>
          <w:rFonts w:ascii="Verdana" w:hAnsi="Verdana"/>
        </w:rPr>
        <w:t xml:space="preserve"> of the offences</w:t>
      </w:r>
      <w:r w:rsidR="00600966">
        <w:rPr>
          <w:rFonts w:ascii="Verdana" w:hAnsi="Verdana"/>
        </w:rPr>
        <w:t xml:space="preserve"> in Russia</w:t>
      </w:r>
      <w:r w:rsidR="00635F21" w:rsidRPr="00D55B2B">
        <w:rPr>
          <w:rFonts w:ascii="Verdana" w:hAnsi="Verdana"/>
        </w:rPr>
        <w:t xml:space="preserve"> take into account the </w:t>
      </w:r>
      <w:r w:rsidR="00B51571" w:rsidRPr="00D55B2B">
        <w:rPr>
          <w:rFonts w:ascii="Verdana" w:hAnsi="Verdana"/>
        </w:rPr>
        <w:t>nature of the</w:t>
      </w:r>
      <w:r w:rsidR="00635F21" w:rsidRPr="00D55B2B">
        <w:rPr>
          <w:rFonts w:ascii="Verdana" w:hAnsi="Verdana"/>
        </w:rPr>
        <w:t xml:space="preserve"> relationship between</w:t>
      </w:r>
      <w:r w:rsidR="00B51571" w:rsidRPr="00D55B2B">
        <w:rPr>
          <w:rFonts w:ascii="Verdana" w:hAnsi="Verdana"/>
        </w:rPr>
        <w:t xml:space="preserve"> the victim and the perpetrator. </w:t>
      </w:r>
      <w:r w:rsidR="00262E5B">
        <w:rPr>
          <w:rFonts w:ascii="Verdana" w:hAnsi="Verdana"/>
        </w:rPr>
        <w:t>In addition, t</w:t>
      </w:r>
      <w:r w:rsidR="00D934C4" w:rsidRPr="00D55B2B">
        <w:rPr>
          <w:rFonts w:ascii="Verdana" w:hAnsi="Verdana"/>
        </w:rPr>
        <w:t>his is unlikely</w:t>
      </w:r>
      <w:r w:rsidR="00635F21" w:rsidRPr="00D55B2B">
        <w:rPr>
          <w:rFonts w:ascii="Verdana" w:hAnsi="Verdana"/>
        </w:rPr>
        <w:t xml:space="preserve"> to be viewed</w:t>
      </w:r>
      <w:r w:rsidR="000766B4">
        <w:rPr>
          <w:rFonts w:ascii="Verdana" w:hAnsi="Verdana"/>
        </w:rPr>
        <w:t xml:space="preserve"> in determining the seriousness of an offence for the purposes of sentencing. </w:t>
      </w:r>
      <w:r w:rsidR="00635F21" w:rsidRPr="00D55B2B">
        <w:rPr>
          <w:rFonts w:ascii="Verdana" w:hAnsi="Verdana"/>
        </w:rPr>
        <w:t>It is only under Article 117 that the circumstances</w:t>
      </w:r>
      <w:r w:rsidR="0055624A" w:rsidRPr="00D55B2B">
        <w:rPr>
          <w:rFonts w:ascii="Verdana" w:hAnsi="Verdana"/>
        </w:rPr>
        <w:t xml:space="preserve"> would be regarded as aggravating</w:t>
      </w:r>
      <w:r w:rsidR="00635F21" w:rsidRPr="00D55B2B">
        <w:rPr>
          <w:rFonts w:ascii="Verdana" w:hAnsi="Verdana"/>
        </w:rPr>
        <w:t xml:space="preserve"> if the victim was either a minor or </w:t>
      </w:r>
      <w:r w:rsidR="00AA1F00" w:rsidRPr="00D55B2B">
        <w:rPr>
          <w:rFonts w:ascii="Verdana" w:hAnsi="Verdana"/>
        </w:rPr>
        <w:t>‘</w:t>
      </w:r>
      <w:r w:rsidR="00635F21" w:rsidRPr="00D55B2B">
        <w:rPr>
          <w:rFonts w:ascii="Verdana" w:hAnsi="Verdana"/>
        </w:rPr>
        <w:t>materially or otherwise dependent on the guilty person</w:t>
      </w:r>
      <w:r w:rsidR="00AA1F00" w:rsidRPr="00D55B2B">
        <w:rPr>
          <w:rFonts w:ascii="Verdana" w:hAnsi="Verdana"/>
        </w:rPr>
        <w:t>’</w:t>
      </w:r>
      <w:r w:rsidR="00635F21" w:rsidRPr="00D55B2B">
        <w:rPr>
          <w:rFonts w:ascii="Verdana" w:hAnsi="Verdana"/>
        </w:rPr>
        <w:t>.</w:t>
      </w:r>
      <w:r w:rsidR="0050504B">
        <w:rPr>
          <w:rFonts w:ascii="Verdana" w:hAnsi="Verdana"/>
        </w:rPr>
        <w:t xml:space="preserve"> </w:t>
      </w:r>
      <w:r w:rsidR="006158DD">
        <w:rPr>
          <w:rFonts w:ascii="Verdana" w:hAnsi="Verdana"/>
        </w:rPr>
        <w:t xml:space="preserve">This will not be a feature of all intimate relationships involving domestic abuse. </w:t>
      </w:r>
      <w:r w:rsidR="000766B4">
        <w:rPr>
          <w:rFonts w:ascii="Verdana" w:hAnsi="Verdana"/>
        </w:rPr>
        <w:t>As this article has examined, this</w:t>
      </w:r>
      <w:r w:rsidR="005641F4">
        <w:rPr>
          <w:rFonts w:ascii="Verdana" w:hAnsi="Verdana"/>
        </w:rPr>
        <w:t xml:space="preserve"> can be contrasted to the position in England and Wales, where the Sentencing Council </w:t>
      </w:r>
      <w:r w:rsidR="00DE481B">
        <w:rPr>
          <w:rFonts w:ascii="Verdana" w:hAnsi="Verdana"/>
        </w:rPr>
        <w:t xml:space="preserve">has expressly stated that the domestic nature of the offence </w:t>
      </w:r>
      <w:r w:rsidR="0082266D">
        <w:rPr>
          <w:rFonts w:ascii="Verdana" w:hAnsi="Verdana"/>
        </w:rPr>
        <w:t xml:space="preserve">makes the offending more serious because of the relationship of trust and security between the parties. </w:t>
      </w:r>
    </w:p>
    <w:p w14:paraId="3B818F84" w14:textId="77777777" w:rsidR="00746449" w:rsidRDefault="00746449" w:rsidP="00746449">
      <w:pPr>
        <w:pStyle w:val="Default"/>
      </w:pPr>
    </w:p>
    <w:p w14:paraId="3BAD30B2" w14:textId="3909108E" w:rsidR="00635F21" w:rsidRPr="00D55B2B" w:rsidRDefault="00635F21" w:rsidP="007E262A">
      <w:pPr>
        <w:spacing w:line="360" w:lineRule="auto"/>
        <w:ind w:right="-478"/>
        <w:jc w:val="both"/>
        <w:rPr>
          <w:rFonts w:ascii="Verdana" w:hAnsi="Verdana"/>
        </w:rPr>
      </w:pPr>
      <w:r w:rsidRPr="00D55B2B">
        <w:rPr>
          <w:rFonts w:ascii="Verdana" w:hAnsi="Verdana"/>
        </w:rPr>
        <w:t>There have been a series of threats to the legal provisions</w:t>
      </w:r>
      <w:r w:rsidR="00102358" w:rsidRPr="00D55B2B">
        <w:rPr>
          <w:rFonts w:ascii="Verdana" w:hAnsi="Verdana"/>
        </w:rPr>
        <w:t xml:space="preserve"> which can be applied to</w:t>
      </w:r>
      <w:r w:rsidRPr="00D55B2B">
        <w:rPr>
          <w:rFonts w:ascii="Verdana" w:hAnsi="Verdana"/>
        </w:rPr>
        <w:t xml:space="preserve"> domestic abuse</w:t>
      </w:r>
      <w:r w:rsidR="00102358" w:rsidRPr="00D55B2B">
        <w:rPr>
          <w:rFonts w:ascii="Verdana" w:hAnsi="Verdana"/>
        </w:rPr>
        <w:t xml:space="preserve"> cases</w:t>
      </w:r>
      <w:r w:rsidRPr="00D55B2B">
        <w:rPr>
          <w:rFonts w:ascii="Verdana" w:hAnsi="Verdana"/>
        </w:rPr>
        <w:t xml:space="preserve"> in recent years. Th</w:t>
      </w:r>
      <w:r w:rsidR="00780295">
        <w:rPr>
          <w:rFonts w:ascii="Verdana" w:hAnsi="Verdana"/>
        </w:rPr>
        <w:t>is can be considered in the</w:t>
      </w:r>
      <w:r w:rsidRPr="00D55B2B">
        <w:rPr>
          <w:rFonts w:ascii="Verdana" w:hAnsi="Verdana"/>
        </w:rPr>
        <w:t xml:space="preserve"> treatment of Article 116 of the Criminal Code (battery and aggravated battery). Prior to 2015</w:t>
      </w:r>
      <w:r w:rsidR="0059001E" w:rsidRPr="00D55B2B">
        <w:rPr>
          <w:rFonts w:ascii="Verdana" w:hAnsi="Verdana"/>
        </w:rPr>
        <w:t>,</w:t>
      </w:r>
      <w:r w:rsidRPr="00D55B2B">
        <w:rPr>
          <w:rFonts w:ascii="Verdana" w:hAnsi="Verdana"/>
        </w:rPr>
        <w:t xml:space="preserve"> a perpetrator of domestic abuse could be prosecuted under Article 1</w:t>
      </w:r>
      <w:r w:rsidR="00111E5D" w:rsidRPr="00D55B2B">
        <w:rPr>
          <w:rFonts w:ascii="Verdana" w:hAnsi="Verdana"/>
        </w:rPr>
        <w:t>1</w:t>
      </w:r>
      <w:r w:rsidRPr="00D55B2B">
        <w:rPr>
          <w:rFonts w:ascii="Verdana" w:hAnsi="Verdana"/>
        </w:rPr>
        <w:t>6(1) where the</w:t>
      </w:r>
      <w:r w:rsidR="00C92099" w:rsidRPr="00D55B2B">
        <w:rPr>
          <w:rFonts w:ascii="Verdana" w:hAnsi="Verdana"/>
        </w:rPr>
        <w:t>ir</w:t>
      </w:r>
      <w:r w:rsidRPr="00D55B2B">
        <w:rPr>
          <w:rFonts w:ascii="Verdana" w:hAnsi="Verdana"/>
        </w:rPr>
        <w:t xml:space="preserve"> behaviour amounted to </w:t>
      </w:r>
      <w:r w:rsidR="00023E41" w:rsidRPr="00D55B2B">
        <w:rPr>
          <w:rFonts w:ascii="Verdana" w:hAnsi="Verdana"/>
        </w:rPr>
        <w:t>‘</w:t>
      </w:r>
      <w:r w:rsidRPr="00D55B2B">
        <w:rPr>
          <w:rFonts w:ascii="Verdana" w:hAnsi="Verdana"/>
        </w:rPr>
        <w:t>battery or similar violent actions, which cause physical pain but have not amounted to light injury</w:t>
      </w:r>
      <w:r w:rsidR="00023E41" w:rsidRPr="00D55B2B">
        <w:rPr>
          <w:rFonts w:ascii="Verdana" w:hAnsi="Verdana"/>
        </w:rPr>
        <w:t>’</w:t>
      </w:r>
      <w:r w:rsidRPr="00D55B2B">
        <w:rPr>
          <w:rFonts w:ascii="Verdana" w:hAnsi="Verdana"/>
        </w:rPr>
        <w:t xml:space="preserve"> or aggravated assault under Article 116(2) if the battery was committed through </w:t>
      </w:r>
      <w:r w:rsidR="00023E41" w:rsidRPr="00D55B2B">
        <w:rPr>
          <w:rFonts w:ascii="Verdana" w:hAnsi="Verdana"/>
        </w:rPr>
        <w:t>‘</w:t>
      </w:r>
      <w:r w:rsidRPr="00D55B2B">
        <w:rPr>
          <w:rFonts w:ascii="Verdana" w:hAnsi="Verdana"/>
        </w:rPr>
        <w:t>ruffian-like motives</w:t>
      </w:r>
      <w:r w:rsidR="00023E41" w:rsidRPr="00D55B2B">
        <w:rPr>
          <w:rFonts w:ascii="Verdana" w:hAnsi="Verdana"/>
        </w:rPr>
        <w:t>’</w:t>
      </w:r>
      <w:r w:rsidRPr="00D55B2B">
        <w:rPr>
          <w:rFonts w:ascii="Verdana" w:hAnsi="Verdana"/>
        </w:rPr>
        <w:t xml:space="preserve">. The offence of battery was punishable as a criminal offence by a fine of up to 40,000 rubles (approximately £455), by a three-month detention or six-month period of mandatory work with reduced income at a place designated by the authorities. </w:t>
      </w:r>
      <w:r w:rsidR="00194975">
        <w:rPr>
          <w:rFonts w:ascii="Verdana" w:hAnsi="Verdana"/>
        </w:rPr>
        <w:t>This c</w:t>
      </w:r>
      <w:r w:rsidR="001D5BB4">
        <w:rPr>
          <w:rFonts w:ascii="Verdana" w:hAnsi="Verdana"/>
        </w:rPr>
        <w:t>ould</w:t>
      </w:r>
      <w:r w:rsidR="00194975">
        <w:rPr>
          <w:rFonts w:ascii="Verdana" w:hAnsi="Verdana"/>
        </w:rPr>
        <w:t xml:space="preserve"> be compared with the offence of </w:t>
      </w:r>
      <w:r w:rsidR="00613854">
        <w:rPr>
          <w:rFonts w:ascii="Verdana" w:hAnsi="Verdana"/>
        </w:rPr>
        <w:t xml:space="preserve">common </w:t>
      </w:r>
      <w:r w:rsidR="00194975">
        <w:rPr>
          <w:rFonts w:ascii="Verdana" w:hAnsi="Verdana"/>
        </w:rPr>
        <w:t xml:space="preserve">assault in England where the </w:t>
      </w:r>
      <w:r w:rsidR="00243495">
        <w:rPr>
          <w:rFonts w:ascii="Verdana" w:hAnsi="Verdana"/>
        </w:rPr>
        <w:t>maximum sentence</w:t>
      </w:r>
      <w:r w:rsidR="002B4638">
        <w:rPr>
          <w:rFonts w:ascii="Verdana" w:hAnsi="Verdana"/>
        </w:rPr>
        <w:t xml:space="preserve"> for assault</w:t>
      </w:r>
      <w:r w:rsidR="00243495">
        <w:rPr>
          <w:rFonts w:ascii="Verdana" w:hAnsi="Verdana"/>
        </w:rPr>
        <w:t xml:space="preserve"> </w:t>
      </w:r>
      <w:r w:rsidR="00BD048E">
        <w:rPr>
          <w:rFonts w:ascii="Verdana" w:hAnsi="Verdana"/>
        </w:rPr>
        <w:t>carries a maximum penalty of six months’ imprisonment and/or a fine</w:t>
      </w:r>
      <w:r w:rsidR="00410E58">
        <w:rPr>
          <w:rFonts w:ascii="Verdana" w:hAnsi="Verdana"/>
        </w:rPr>
        <w:t xml:space="preserve"> whereas assault occasioning actual bodily harm carries a maximum penalty on indictment of five years’ imprisonment and/</w:t>
      </w:r>
      <w:r w:rsidR="00C36DC0">
        <w:rPr>
          <w:rFonts w:ascii="Verdana" w:hAnsi="Verdana"/>
        </w:rPr>
        <w:t>or</w:t>
      </w:r>
      <w:r w:rsidR="00E540A3">
        <w:rPr>
          <w:rFonts w:ascii="Verdana" w:hAnsi="Verdana"/>
        </w:rPr>
        <w:t xml:space="preserve"> </w:t>
      </w:r>
      <w:r w:rsidR="00C36DC0">
        <w:rPr>
          <w:rFonts w:ascii="Verdana" w:hAnsi="Verdana"/>
        </w:rPr>
        <w:t>a fine.</w:t>
      </w:r>
      <w:r w:rsidR="00BB0A28">
        <w:rPr>
          <w:rFonts w:ascii="Verdana" w:hAnsi="Verdana"/>
        </w:rPr>
        <w:t xml:space="preserve"> </w:t>
      </w:r>
      <w:r w:rsidR="00C514CC">
        <w:rPr>
          <w:rFonts w:ascii="Verdana" w:hAnsi="Verdana"/>
        </w:rPr>
        <w:t xml:space="preserve">In Russia, the </w:t>
      </w:r>
      <w:r w:rsidRPr="00D55B2B">
        <w:rPr>
          <w:rFonts w:ascii="Verdana" w:hAnsi="Verdana"/>
        </w:rPr>
        <w:t xml:space="preserve">more serious offence of aggravated battery was punishable by a compulsory work term of up to 360 hours, corrective labour for a term of up to one year, a restriction of liberty for a term of up to two years, compulsory labour for a term of up to two years by an arrest for a term of up to six months, or by deprivation of liberty for a term of up to two years. </w:t>
      </w:r>
    </w:p>
    <w:p w14:paraId="7E31E172" w14:textId="77777777" w:rsidR="00635F21" w:rsidRPr="00D55B2B" w:rsidRDefault="00635F21" w:rsidP="007E262A">
      <w:pPr>
        <w:spacing w:line="360" w:lineRule="auto"/>
        <w:ind w:right="-478"/>
        <w:jc w:val="both"/>
        <w:rPr>
          <w:rFonts w:ascii="Verdana" w:hAnsi="Verdana"/>
        </w:rPr>
      </w:pPr>
    </w:p>
    <w:p w14:paraId="5AA2C8E0" w14:textId="65F62CDD" w:rsidR="00AB7FA6" w:rsidRPr="00D55B2B" w:rsidRDefault="005134D5" w:rsidP="007E262A">
      <w:pPr>
        <w:spacing w:line="360" w:lineRule="auto"/>
        <w:ind w:right="-478"/>
        <w:jc w:val="both"/>
        <w:rPr>
          <w:rFonts w:ascii="Verdana" w:hAnsi="Verdana"/>
        </w:rPr>
      </w:pPr>
      <w:r>
        <w:rPr>
          <w:rFonts w:ascii="Verdana" w:hAnsi="Verdana"/>
        </w:rPr>
        <w:t xml:space="preserve">In contrast to England and Wales </w:t>
      </w:r>
      <w:r w:rsidR="00DF5897">
        <w:rPr>
          <w:rFonts w:ascii="Verdana" w:hAnsi="Verdana"/>
        </w:rPr>
        <w:t xml:space="preserve">where the focus has been on </w:t>
      </w:r>
      <w:r w:rsidR="007747D6">
        <w:rPr>
          <w:rFonts w:ascii="Verdana" w:hAnsi="Verdana"/>
        </w:rPr>
        <w:t>creating new statutory offences to protect victims of domestic abuse, i</w:t>
      </w:r>
      <w:r w:rsidR="00635F21" w:rsidRPr="00D55B2B">
        <w:rPr>
          <w:rFonts w:ascii="Verdana" w:hAnsi="Verdana"/>
        </w:rPr>
        <w:t>n</w:t>
      </w:r>
      <w:r w:rsidR="001B3838">
        <w:rPr>
          <w:rFonts w:ascii="Verdana" w:hAnsi="Verdana"/>
        </w:rPr>
        <w:t xml:space="preserve"> Russia</w:t>
      </w:r>
      <w:r w:rsidR="00635F21" w:rsidRPr="00D55B2B">
        <w:rPr>
          <w:rFonts w:ascii="Verdana" w:hAnsi="Verdana"/>
        </w:rPr>
        <w:t xml:space="preserve"> a bill was introduced by the Supreme Court of the Russian Federation </w:t>
      </w:r>
      <w:r w:rsidR="0002286F">
        <w:rPr>
          <w:rFonts w:ascii="Verdana" w:hAnsi="Verdana"/>
        </w:rPr>
        <w:t xml:space="preserve">in 2015 </w:t>
      </w:r>
      <w:r w:rsidR="00635F21" w:rsidRPr="00D55B2B">
        <w:rPr>
          <w:rFonts w:ascii="Verdana" w:hAnsi="Verdana"/>
        </w:rPr>
        <w:t>to decriminal</w:t>
      </w:r>
      <w:r w:rsidR="00D0176B" w:rsidRPr="00D55B2B">
        <w:rPr>
          <w:rFonts w:ascii="Verdana" w:hAnsi="Verdana"/>
        </w:rPr>
        <w:t>ise non-aggravated battery. Th</w:t>
      </w:r>
      <w:r w:rsidR="00204C4F">
        <w:rPr>
          <w:rFonts w:ascii="Verdana" w:hAnsi="Verdana"/>
        </w:rPr>
        <w:t>e drafters of the Bill</w:t>
      </w:r>
      <w:r w:rsidR="00D0176B" w:rsidRPr="00D55B2B">
        <w:rPr>
          <w:rFonts w:ascii="Verdana" w:hAnsi="Verdana"/>
        </w:rPr>
        <w:t xml:space="preserve"> </w:t>
      </w:r>
      <w:r w:rsidR="00123D3A" w:rsidRPr="00D55B2B">
        <w:rPr>
          <w:rFonts w:ascii="Verdana" w:hAnsi="Verdana"/>
        </w:rPr>
        <w:t xml:space="preserve">claimed </w:t>
      </w:r>
      <w:r w:rsidR="00C43B9C">
        <w:rPr>
          <w:rFonts w:ascii="Verdana" w:hAnsi="Verdana"/>
        </w:rPr>
        <w:t>this was</w:t>
      </w:r>
      <w:r w:rsidR="00D0176B" w:rsidRPr="00D55B2B">
        <w:rPr>
          <w:rFonts w:ascii="Verdana" w:hAnsi="Verdana"/>
        </w:rPr>
        <w:t xml:space="preserve"> </w:t>
      </w:r>
      <w:r w:rsidR="00635F21" w:rsidRPr="00D55B2B">
        <w:rPr>
          <w:rFonts w:ascii="Verdana" w:hAnsi="Verdana"/>
        </w:rPr>
        <w:t xml:space="preserve">part of efforts to </w:t>
      </w:r>
      <w:r w:rsidR="00023E41" w:rsidRPr="00D55B2B">
        <w:rPr>
          <w:rFonts w:ascii="Verdana" w:hAnsi="Verdana"/>
        </w:rPr>
        <w:t>‘</w:t>
      </w:r>
      <w:r w:rsidR="00635F21" w:rsidRPr="00D55B2B">
        <w:rPr>
          <w:rFonts w:ascii="Verdana" w:hAnsi="Verdana"/>
        </w:rPr>
        <w:t>humanise and liberalise</w:t>
      </w:r>
      <w:r w:rsidR="00023E41" w:rsidRPr="00D55B2B">
        <w:rPr>
          <w:rFonts w:ascii="Verdana" w:hAnsi="Verdana"/>
        </w:rPr>
        <w:t>’</w:t>
      </w:r>
      <w:r w:rsidR="00635F21" w:rsidRPr="00D55B2B">
        <w:rPr>
          <w:rFonts w:ascii="Verdana" w:hAnsi="Verdana"/>
        </w:rPr>
        <w:t xml:space="preserve"> Russian criminal law</w:t>
      </w:r>
      <w:r w:rsidR="00C72361" w:rsidRPr="00D55B2B">
        <w:rPr>
          <w:rFonts w:ascii="Verdana" w:hAnsi="Verdana"/>
        </w:rPr>
        <w:t xml:space="preserve"> on the basis that </w:t>
      </w:r>
      <w:r w:rsidR="00C72361" w:rsidRPr="00D55B2B">
        <w:rPr>
          <w:rFonts w:ascii="Verdana" w:hAnsi="Verdana"/>
          <w:lang w:val="en-GB"/>
        </w:rPr>
        <w:t xml:space="preserve">imprisoning men who had just been </w:t>
      </w:r>
      <w:r w:rsidR="00023E41" w:rsidRPr="00D55B2B">
        <w:rPr>
          <w:rFonts w:ascii="Verdana" w:hAnsi="Verdana"/>
          <w:lang w:val="en-GB"/>
        </w:rPr>
        <w:t>‘</w:t>
      </w:r>
      <w:r w:rsidR="00C72361" w:rsidRPr="00D55B2B">
        <w:rPr>
          <w:rFonts w:ascii="Verdana" w:hAnsi="Verdana"/>
          <w:lang w:val="en-GB"/>
        </w:rPr>
        <w:t>mildly abusive</w:t>
      </w:r>
      <w:r w:rsidR="00023E41" w:rsidRPr="00D55B2B">
        <w:rPr>
          <w:rFonts w:ascii="Verdana" w:hAnsi="Verdana"/>
          <w:lang w:val="en-GB"/>
        </w:rPr>
        <w:t>’</w:t>
      </w:r>
      <w:r w:rsidR="00C72361" w:rsidRPr="00D55B2B">
        <w:rPr>
          <w:rFonts w:ascii="Verdana" w:hAnsi="Verdana"/>
          <w:lang w:val="en-GB"/>
        </w:rPr>
        <w:t xml:space="preserve"> could leave households without breadwinners and </w:t>
      </w:r>
      <w:r w:rsidR="00ED72F6" w:rsidRPr="00D55B2B">
        <w:rPr>
          <w:rFonts w:ascii="Verdana" w:hAnsi="Verdana"/>
          <w:lang w:val="en-GB"/>
        </w:rPr>
        <w:t>destroy families</w:t>
      </w:r>
      <w:r w:rsidR="00071C4E" w:rsidRPr="00D55B2B">
        <w:rPr>
          <w:rFonts w:ascii="Verdana" w:hAnsi="Verdana"/>
          <w:lang w:val="en-GB"/>
        </w:rPr>
        <w:t>.</w:t>
      </w:r>
      <w:r w:rsidR="00635F21" w:rsidRPr="00D55B2B">
        <w:rPr>
          <w:rStyle w:val="FootnoteReference"/>
          <w:rFonts w:ascii="Verdana" w:hAnsi="Verdana"/>
        </w:rPr>
        <w:footnoteReference w:id="64"/>
      </w:r>
      <w:r w:rsidR="00635F21" w:rsidRPr="00D55B2B">
        <w:rPr>
          <w:rFonts w:ascii="Verdana" w:hAnsi="Verdana"/>
        </w:rPr>
        <w:t xml:space="preserve"> It was estimated that decriminalising this offence (together with the Article 119 offence of threatening murder or serious bodily harm and the Article 157 offence of maliciously evading the payment of funds for the maintenance of child</w:t>
      </w:r>
      <w:r w:rsidR="00AB7FA6" w:rsidRPr="00D55B2B">
        <w:rPr>
          <w:rFonts w:ascii="Verdana" w:hAnsi="Verdana"/>
        </w:rPr>
        <w:t>ren or disabled parents) would lead to</w:t>
      </w:r>
      <w:r w:rsidR="00635F21" w:rsidRPr="00D55B2B">
        <w:rPr>
          <w:rFonts w:ascii="Verdana" w:hAnsi="Verdana"/>
        </w:rPr>
        <w:t xml:space="preserve"> 200,000</w:t>
      </w:r>
      <w:r w:rsidR="00AB7FA6" w:rsidRPr="00D55B2B">
        <w:rPr>
          <w:rFonts w:ascii="Verdana" w:hAnsi="Verdana"/>
        </w:rPr>
        <w:t xml:space="preserve"> fewer criminal</w:t>
      </w:r>
      <w:r w:rsidR="00635F21" w:rsidRPr="00D55B2B">
        <w:rPr>
          <w:rFonts w:ascii="Verdana" w:hAnsi="Verdana"/>
        </w:rPr>
        <w:t xml:space="preserve"> prosecutions annually</w:t>
      </w:r>
      <w:r w:rsidR="00071C4E" w:rsidRPr="00D55B2B">
        <w:rPr>
          <w:rFonts w:ascii="Verdana" w:hAnsi="Verdana"/>
        </w:rPr>
        <w:t>.</w:t>
      </w:r>
      <w:r w:rsidR="00635F21" w:rsidRPr="00D55B2B">
        <w:rPr>
          <w:rStyle w:val="FootnoteReference"/>
          <w:rFonts w:ascii="Verdana" w:hAnsi="Verdana"/>
        </w:rPr>
        <w:footnoteReference w:id="65"/>
      </w:r>
      <w:r w:rsidR="00635F21" w:rsidRPr="00D55B2B">
        <w:rPr>
          <w:rFonts w:ascii="Verdana" w:hAnsi="Verdana"/>
        </w:rPr>
        <w:t xml:space="preserve"> Initially, the amendment did not distinguish between </w:t>
      </w:r>
      <w:r w:rsidR="003E2130" w:rsidRPr="00D55B2B">
        <w:rPr>
          <w:rFonts w:ascii="Verdana" w:hAnsi="Verdana"/>
        </w:rPr>
        <w:t xml:space="preserve">offences committed under </w:t>
      </w:r>
      <w:r w:rsidR="00427BA8" w:rsidRPr="00D55B2B">
        <w:rPr>
          <w:rFonts w:ascii="Verdana" w:hAnsi="Verdana"/>
        </w:rPr>
        <w:t xml:space="preserve">Article </w:t>
      </w:r>
      <w:r w:rsidR="003E2130" w:rsidRPr="00D55B2B">
        <w:rPr>
          <w:rFonts w:ascii="Verdana" w:hAnsi="Verdana"/>
        </w:rPr>
        <w:t xml:space="preserve">116 by strangers or by family members. This prompted outrage by conservative forces who felt that </w:t>
      </w:r>
      <w:r w:rsidR="000D59A2" w:rsidRPr="00D55B2B">
        <w:rPr>
          <w:rFonts w:ascii="Verdana" w:hAnsi="Verdana"/>
        </w:rPr>
        <w:t>this was discriminatory and permitted further intervention into family matters</w:t>
      </w:r>
      <w:r w:rsidR="00071C4E" w:rsidRPr="00D55B2B">
        <w:rPr>
          <w:rFonts w:ascii="Verdana" w:hAnsi="Verdana"/>
        </w:rPr>
        <w:t>.</w:t>
      </w:r>
      <w:r w:rsidR="000D59A2" w:rsidRPr="00D55B2B">
        <w:rPr>
          <w:rStyle w:val="FootnoteReference"/>
          <w:rFonts w:ascii="Verdana" w:hAnsi="Verdana"/>
        </w:rPr>
        <w:footnoteReference w:id="66"/>
      </w:r>
      <w:r w:rsidR="000D59A2" w:rsidRPr="00D55B2B">
        <w:rPr>
          <w:rFonts w:ascii="Verdana" w:hAnsi="Verdana"/>
        </w:rPr>
        <w:t xml:space="preserve"> </w:t>
      </w:r>
      <w:r w:rsidR="00CF5C5A" w:rsidRPr="00D55B2B">
        <w:rPr>
          <w:rFonts w:ascii="Verdana" w:hAnsi="Verdana"/>
        </w:rPr>
        <w:t xml:space="preserve">Subsequently, the </w:t>
      </w:r>
      <w:r w:rsidR="00635F21" w:rsidRPr="00D55B2B">
        <w:rPr>
          <w:rFonts w:ascii="Verdana" w:hAnsi="Verdana"/>
        </w:rPr>
        <w:t xml:space="preserve">bill was amended to state that </w:t>
      </w:r>
      <w:r w:rsidR="003E0A5E" w:rsidRPr="00D55B2B">
        <w:rPr>
          <w:rFonts w:ascii="Verdana" w:hAnsi="Verdana"/>
        </w:rPr>
        <w:t>‘</w:t>
      </w:r>
      <w:r w:rsidR="00635F21" w:rsidRPr="00D55B2B">
        <w:rPr>
          <w:rFonts w:ascii="Verdana" w:hAnsi="Verdana"/>
        </w:rPr>
        <w:t>battery between close persons</w:t>
      </w:r>
      <w:r w:rsidR="003E0A5E" w:rsidRPr="00D55B2B">
        <w:rPr>
          <w:rFonts w:ascii="Verdana" w:hAnsi="Verdana"/>
        </w:rPr>
        <w:t>’</w:t>
      </w:r>
      <w:r w:rsidR="00635F21" w:rsidRPr="00D55B2B">
        <w:rPr>
          <w:rFonts w:ascii="Verdana" w:hAnsi="Verdana"/>
        </w:rPr>
        <w:t xml:space="preserve"> would remain a criminal offence. </w:t>
      </w:r>
    </w:p>
    <w:p w14:paraId="320119F5" w14:textId="77777777" w:rsidR="00635F21" w:rsidRPr="00D55B2B" w:rsidRDefault="00635F21" w:rsidP="007E262A">
      <w:pPr>
        <w:spacing w:line="360" w:lineRule="auto"/>
        <w:ind w:right="-478"/>
        <w:jc w:val="both"/>
        <w:rPr>
          <w:rFonts w:ascii="Verdana" w:hAnsi="Verdana"/>
        </w:rPr>
      </w:pPr>
    </w:p>
    <w:p w14:paraId="6F4DAB03" w14:textId="77777777" w:rsidR="00635F21" w:rsidRPr="00D55B2B" w:rsidRDefault="00635F21" w:rsidP="007E262A">
      <w:pPr>
        <w:spacing w:line="360" w:lineRule="auto"/>
        <w:ind w:right="-478"/>
        <w:jc w:val="both"/>
        <w:rPr>
          <w:rFonts w:ascii="Verdana" w:hAnsi="Verdana"/>
          <w:lang w:val="en-GB"/>
        </w:rPr>
      </w:pPr>
      <w:r w:rsidRPr="00D55B2B">
        <w:rPr>
          <w:rFonts w:ascii="Verdana" w:hAnsi="Verdana"/>
        </w:rPr>
        <w:t>In January 2017, a fur</w:t>
      </w:r>
      <w:r w:rsidR="00E819E1" w:rsidRPr="00D55B2B">
        <w:rPr>
          <w:rFonts w:ascii="Verdana" w:hAnsi="Verdana"/>
        </w:rPr>
        <w:t xml:space="preserve">ther amendment was passed (by an overwhelming </w:t>
      </w:r>
      <w:r w:rsidRPr="00D55B2B">
        <w:rPr>
          <w:rFonts w:ascii="Verdana" w:hAnsi="Verdana"/>
        </w:rPr>
        <w:t xml:space="preserve">majority of 383:3) which removed battery </w:t>
      </w:r>
      <w:r w:rsidRPr="00D55B2B">
        <w:rPr>
          <w:rFonts w:ascii="Verdana" w:hAnsi="Verdana"/>
          <w:i/>
        </w:rPr>
        <w:t>of close persons</w:t>
      </w:r>
      <w:r w:rsidRPr="00D55B2B">
        <w:rPr>
          <w:rFonts w:ascii="Verdana" w:hAnsi="Verdana"/>
        </w:rPr>
        <w:t xml:space="preserve"> that resulted in physical pain but did not inflict substantial bodily harm or other consequences under Article 116 as a criminal offence. The new law removed offences of battery against a family member which does not result in significant bodily injury and instead made it an administrative offence which attracts a 30,000 ruble (approximately £340) fine, a period of up to 15 days’ administrative arrest or up to 120 hours of community service. Repeated assaults against family members, defined as more than one offence per year, and assaults which result in serious bodily harm, remain a criminal offence under Article 116. It has been reported that a spokesperson </w:t>
      </w:r>
      <w:r w:rsidRPr="00D55B2B">
        <w:rPr>
          <w:rFonts w:ascii="Verdana" w:hAnsi="Verdana"/>
          <w:lang w:val="en-GB"/>
        </w:rPr>
        <w:t xml:space="preserve">for the Russian President said that it would not be appropriate </w:t>
      </w:r>
      <w:r w:rsidR="00023E41" w:rsidRPr="00D55B2B">
        <w:rPr>
          <w:rFonts w:ascii="Verdana" w:hAnsi="Verdana"/>
          <w:lang w:val="en-GB"/>
        </w:rPr>
        <w:t>‘</w:t>
      </w:r>
      <w:r w:rsidRPr="00D55B2B">
        <w:rPr>
          <w:rFonts w:ascii="Verdana" w:hAnsi="Verdana"/>
          <w:lang w:val="en-GB"/>
        </w:rPr>
        <w:t>to identify domestic violence with some insign</w:t>
      </w:r>
      <w:r w:rsidR="004E0935" w:rsidRPr="00D55B2B">
        <w:rPr>
          <w:rFonts w:ascii="Verdana" w:hAnsi="Verdana"/>
          <w:lang w:val="en-GB"/>
        </w:rPr>
        <w:t>ificant manifestations of abuse</w:t>
      </w:r>
      <w:r w:rsidR="00023E41" w:rsidRPr="00D55B2B">
        <w:rPr>
          <w:rFonts w:ascii="Verdana" w:hAnsi="Verdana"/>
          <w:lang w:val="en-GB"/>
        </w:rPr>
        <w:t>’</w:t>
      </w:r>
      <w:r w:rsidR="00071C4E" w:rsidRPr="00D55B2B">
        <w:rPr>
          <w:rFonts w:ascii="Verdana" w:hAnsi="Verdana"/>
          <w:lang w:val="en-GB"/>
        </w:rPr>
        <w:t>.</w:t>
      </w:r>
      <w:r w:rsidR="004E0935" w:rsidRPr="00D55B2B">
        <w:rPr>
          <w:rStyle w:val="FootnoteReference"/>
          <w:rFonts w:ascii="Verdana" w:hAnsi="Verdana"/>
          <w:lang w:val="en-GB"/>
        </w:rPr>
        <w:footnoteReference w:id="67"/>
      </w:r>
      <w:r w:rsidRPr="00D55B2B">
        <w:rPr>
          <w:rFonts w:ascii="Verdana" w:hAnsi="Verdana"/>
          <w:lang w:val="en-GB"/>
        </w:rPr>
        <w:t xml:space="preserve"> </w:t>
      </w:r>
      <w:r w:rsidR="00E07049" w:rsidRPr="00D55B2B">
        <w:rPr>
          <w:rFonts w:ascii="Verdana" w:hAnsi="Verdana"/>
          <w:lang w:val="en-GB"/>
        </w:rPr>
        <w:t xml:space="preserve">As a result of these amendments, the </w:t>
      </w:r>
      <w:r w:rsidR="00D0690A" w:rsidRPr="00D55B2B">
        <w:rPr>
          <w:rFonts w:ascii="Verdana" w:hAnsi="Verdana"/>
          <w:lang w:val="en-GB"/>
        </w:rPr>
        <w:t>potential for criminal convictions for domestic abuse offences has been considerably curtailed.</w:t>
      </w:r>
    </w:p>
    <w:p w14:paraId="11A67838" w14:textId="77777777" w:rsidR="00635F21" w:rsidRPr="00D55B2B" w:rsidRDefault="00635F21" w:rsidP="007E262A">
      <w:pPr>
        <w:spacing w:line="360" w:lineRule="auto"/>
        <w:ind w:right="-478"/>
        <w:jc w:val="both"/>
        <w:rPr>
          <w:rFonts w:ascii="Verdana" w:hAnsi="Verdana"/>
        </w:rPr>
      </w:pPr>
    </w:p>
    <w:p w14:paraId="3A5EC600" w14:textId="77777777" w:rsidR="00514F3D" w:rsidRDefault="00635F21" w:rsidP="00514F3D">
      <w:pPr>
        <w:spacing w:line="360" w:lineRule="auto"/>
        <w:ind w:right="-478"/>
        <w:jc w:val="both"/>
        <w:rPr>
          <w:rFonts w:ascii="Verdana" w:hAnsi="Verdana"/>
        </w:rPr>
      </w:pPr>
      <w:r w:rsidRPr="00D55B2B">
        <w:rPr>
          <w:rFonts w:ascii="Verdana" w:hAnsi="Verdana"/>
        </w:rPr>
        <w:t>Assumi</w:t>
      </w:r>
      <w:r w:rsidR="00505DC4" w:rsidRPr="00D55B2B">
        <w:rPr>
          <w:rFonts w:ascii="Verdana" w:hAnsi="Verdana"/>
        </w:rPr>
        <w:t xml:space="preserve">ng an offence falls within these restricted </w:t>
      </w:r>
      <w:r w:rsidRPr="00D55B2B">
        <w:rPr>
          <w:rFonts w:ascii="Verdana" w:hAnsi="Verdana"/>
        </w:rPr>
        <w:t>provisions, the next difficulty survivors experience is the lack of support from the police and the state to pursue convictions.</w:t>
      </w:r>
      <w:r w:rsidR="00FB240E" w:rsidRPr="00D55B2B">
        <w:rPr>
          <w:rFonts w:ascii="Verdana" w:hAnsi="Verdana"/>
        </w:rPr>
        <w:t xml:space="preserve"> </w:t>
      </w:r>
      <w:r w:rsidR="00F5498B" w:rsidRPr="00D55B2B">
        <w:rPr>
          <w:rFonts w:ascii="Verdana" w:hAnsi="Verdana"/>
        </w:rPr>
        <w:t>It is reported that Russian police often rely on the</w:t>
      </w:r>
      <w:r w:rsidR="00FB240E" w:rsidRPr="00D55B2B">
        <w:rPr>
          <w:rFonts w:ascii="Verdana" w:hAnsi="Verdana"/>
        </w:rPr>
        <w:t xml:space="preserve"> right to privacy enshrined in the Russian Constitution to justify their inaction if the abuser refuses entry into the family property where the offence has been perpetrated</w:t>
      </w:r>
      <w:r w:rsidR="000C6AD9" w:rsidRPr="00D55B2B">
        <w:rPr>
          <w:rFonts w:ascii="Verdana" w:hAnsi="Verdana"/>
        </w:rPr>
        <w:t>.</w:t>
      </w:r>
      <w:r w:rsidR="00FB240E" w:rsidRPr="00D55B2B">
        <w:rPr>
          <w:rStyle w:val="FootnoteReference"/>
          <w:rFonts w:ascii="Verdana" w:hAnsi="Verdana"/>
        </w:rPr>
        <w:footnoteReference w:id="68"/>
      </w:r>
      <w:r w:rsidR="00FB240E" w:rsidRPr="00D55B2B">
        <w:rPr>
          <w:rFonts w:ascii="Verdana" w:hAnsi="Verdana"/>
        </w:rPr>
        <w:t xml:space="preserve"> According to statistics compiled by the ANNA Centre for the Prevention of Violence, 72% of female victims who sought assistance from a helpline for survivors of abuse did not then go on to report the violence to the police</w:t>
      </w:r>
      <w:r w:rsidR="000437A9" w:rsidRPr="00D55B2B">
        <w:rPr>
          <w:rFonts w:ascii="Verdana" w:hAnsi="Verdana"/>
        </w:rPr>
        <w:t>.</w:t>
      </w:r>
      <w:r w:rsidR="00FB240E" w:rsidRPr="00D55B2B">
        <w:rPr>
          <w:rStyle w:val="FootnoteReference"/>
          <w:rFonts w:ascii="Verdana" w:hAnsi="Verdana"/>
        </w:rPr>
        <w:footnoteReference w:id="69"/>
      </w:r>
      <w:r w:rsidR="00FB240E" w:rsidRPr="00D55B2B">
        <w:rPr>
          <w:rFonts w:ascii="Verdana" w:hAnsi="Verdana"/>
        </w:rPr>
        <w:t xml:space="preserve"> 80% of those women who had reported the incident, were unsatisfied with the police response</w:t>
      </w:r>
      <w:r w:rsidR="000437A9" w:rsidRPr="00D55B2B">
        <w:rPr>
          <w:rFonts w:ascii="Verdana" w:hAnsi="Verdana"/>
        </w:rPr>
        <w:t>.</w:t>
      </w:r>
      <w:r w:rsidR="00FB240E" w:rsidRPr="00D55B2B">
        <w:rPr>
          <w:rStyle w:val="FootnoteReference"/>
          <w:rFonts w:ascii="Verdana" w:hAnsi="Verdana"/>
        </w:rPr>
        <w:footnoteReference w:id="70"/>
      </w:r>
      <w:r w:rsidR="00FB240E" w:rsidRPr="00D55B2B">
        <w:rPr>
          <w:rFonts w:ascii="Verdana" w:hAnsi="Verdana"/>
        </w:rPr>
        <w:t xml:space="preserve"> The Human Rights Watch note that in a typical case, victims can report abusive behaviours for months or even years without the police speaking to an abuser, making a formal record of the complaint or initiating a case</w:t>
      </w:r>
      <w:r w:rsidR="000437A9" w:rsidRPr="00D55B2B">
        <w:rPr>
          <w:rFonts w:ascii="Verdana" w:hAnsi="Verdana"/>
        </w:rPr>
        <w:t>.</w:t>
      </w:r>
      <w:r w:rsidR="00FB240E" w:rsidRPr="00D55B2B">
        <w:rPr>
          <w:rStyle w:val="FootnoteReference"/>
          <w:rFonts w:ascii="Verdana" w:hAnsi="Verdana"/>
        </w:rPr>
        <w:footnoteReference w:id="71"/>
      </w:r>
      <w:r w:rsidR="00FB240E" w:rsidRPr="00D55B2B">
        <w:rPr>
          <w:rFonts w:ascii="Verdana" w:hAnsi="Verdana"/>
        </w:rPr>
        <w:t xml:space="preserve"> </w:t>
      </w:r>
      <w:r w:rsidR="00750373">
        <w:rPr>
          <w:rFonts w:ascii="Verdana" w:hAnsi="Verdana"/>
          <w:lang w:val="en-GB"/>
        </w:rPr>
        <w:t xml:space="preserve">As this article will go on to consider, this </w:t>
      </w:r>
      <w:r w:rsidR="00514F3D">
        <w:rPr>
          <w:rFonts w:ascii="Verdana" w:hAnsi="Verdana"/>
          <w:lang w:val="en-GB"/>
        </w:rPr>
        <w:t>can be contrasted with the position in</w:t>
      </w:r>
      <w:r w:rsidR="00AC0541">
        <w:rPr>
          <w:rFonts w:ascii="Verdana" w:hAnsi="Verdana"/>
          <w:lang w:val="en-GB"/>
        </w:rPr>
        <w:t xml:space="preserve"> England and Wales where police officers receive </w:t>
      </w:r>
      <w:r w:rsidR="00ED072E">
        <w:rPr>
          <w:rFonts w:ascii="Verdana" w:hAnsi="Verdana"/>
          <w:lang w:val="en-GB"/>
        </w:rPr>
        <w:t xml:space="preserve">specialist training on </w:t>
      </w:r>
      <w:r w:rsidR="00FC1466">
        <w:rPr>
          <w:rFonts w:ascii="Verdana" w:hAnsi="Verdana"/>
          <w:lang w:val="en-GB"/>
        </w:rPr>
        <w:t xml:space="preserve">domestic </w:t>
      </w:r>
      <w:r w:rsidR="00FC12E5">
        <w:rPr>
          <w:rFonts w:ascii="Verdana" w:hAnsi="Verdana"/>
          <w:lang w:val="en-GB"/>
        </w:rPr>
        <w:t xml:space="preserve">abuse offences. </w:t>
      </w:r>
      <w:r w:rsidR="004B59DB">
        <w:rPr>
          <w:rFonts w:ascii="Verdana" w:hAnsi="Verdana"/>
          <w:lang w:val="en-GB"/>
        </w:rPr>
        <w:t xml:space="preserve"> </w:t>
      </w:r>
    </w:p>
    <w:p w14:paraId="60DEB6AE" w14:textId="77777777" w:rsidR="00514F3D" w:rsidRDefault="00514F3D" w:rsidP="007E262A">
      <w:pPr>
        <w:spacing w:line="360" w:lineRule="auto"/>
        <w:ind w:right="-478"/>
        <w:jc w:val="both"/>
        <w:rPr>
          <w:rFonts w:ascii="Verdana" w:hAnsi="Verdana"/>
        </w:rPr>
      </w:pPr>
    </w:p>
    <w:p w14:paraId="5B131264" w14:textId="5D291CBE" w:rsidR="00FB240E" w:rsidRPr="0060450D" w:rsidRDefault="00635F21" w:rsidP="007E262A">
      <w:pPr>
        <w:spacing w:line="360" w:lineRule="auto"/>
        <w:ind w:right="-478"/>
        <w:jc w:val="both"/>
        <w:rPr>
          <w:rFonts w:ascii="Verdana" w:hAnsi="Verdana"/>
          <w:lang w:val="en-GB"/>
        </w:rPr>
      </w:pPr>
      <w:r w:rsidRPr="00D55B2B">
        <w:rPr>
          <w:rFonts w:ascii="Verdana" w:hAnsi="Verdana"/>
          <w:lang w:val="en-GB"/>
        </w:rPr>
        <w:t>It is</w:t>
      </w:r>
      <w:r w:rsidR="00FB240E" w:rsidRPr="00D55B2B">
        <w:rPr>
          <w:rFonts w:ascii="Verdana" w:hAnsi="Verdana"/>
          <w:lang w:val="en-GB"/>
        </w:rPr>
        <w:t xml:space="preserve"> also</w:t>
      </w:r>
      <w:r w:rsidRPr="00D55B2B">
        <w:rPr>
          <w:rFonts w:ascii="Verdana" w:hAnsi="Verdana"/>
          <w:lang w:val="en-GB"/>
        </w:rPr>
        <w:t xml:space="preserve"> reported that</w:t>
      </w:r>
      <w:r w:rsidR="006D176E" w:rsidRPr="00D55B2B">
        <w:rPr>
          <w:rFonts w:ascii="Verdana" w:hAnsi="Verdana"/>
          <w:lang w:val="en-GB"/>
        </w:rPr>
        <w:t xml:space="preserve"> many</w:t>
      </w:r>
      <w:r w:rsidRPr="00D55B2B">
        <w:rPr>
          <w:rFonts w:ascii="Verdana" w:hAnsi="Verdana"/>
          <w:lang w:val="en-GB"/>
        </w:rPr>
        <w:t xml:space="preserve"> perpetrators </w:t>
      </w:r>
      <w:r w:rsidR="00FB240E" w:rsidRPr="00D55B2B">
        <w:rPr>
          <w:rFonts w:ascii="Verdana" w:hAnsi="Verdana"/>
          <w:lang w:val="en-GB"/>
        </w:rPr>
        <w:t>successfully allege</w:t>
      </w:r>
      <w:r w:rsidRPr="00D55B2B">
        <w:rPr>
          <w:rFonts w:ascii="Verdana" w:hAnsi="Verdana"/>
          <w:lang w:val="en-GB"/>
        </w:rPr>
        <w:t xml:space="preserve"> provocation or self-defence</w:t>
      </w:r>
      <w:r w:rsidR="007351B7" w:rsidRPr="00D55B2B">
        <w:rPr>
          <w:rFonts w:ascii="Verdana" w:hAnsi="Verdana"/>
          <w:lang w:val="en-GB"/>
        </w:rPr>
        <w:t xml:space="preserve"> to policy in order</w:t>
      </w:r>
      <w:r w:rsidRPr="00D55B2B">
        <w:rPr>
          <w:rFonts w:ascii="Verdana" w:hAnsi="Verdana"/>
          <w:lang w:val="en-GB"/>
        </w:rPr>
        <w:t xml:space="preserve"> to ju</w:t>
      </w:r>
      <w:r w:rsidR="008D5D26" w:rsidRPr="00D55B2B">
        <w:rPr>
          <w:rFonts w:ascii="Verdana" w:hAnsi="Verdana"/>
          <w:lang w:val="en-GB"/>
        </w:rPr>
        <w:t>stify their behaviours. Johnson’s</w:t>
      </w:r>
      <w:r w:rsidRPr="00D55B2B">
        <w:rPr>
          <w:rFonts w:ascii="Verdana" w:hAnsi="Verdana"/>
          <w:lang w:val="en-GB"/>
        </w:rPr>
        <w:t xml:space="preserve"> research</w:t>
      </w:r>
      <w:r w:rsidR="00EC6A9D" w:rsidRPr="00D55B2B">
        <w:rPr>
          <w:rFonts w:ascii="Verdana" w:hAnsi="Verdana"/>
          <w:lang w:val="en-GB"/>
        </w:rPr>
        <w:t>, for example,</w:t>
      </w:r>
      <w:r w:rsidRPr="00D55B2B">
        <w:rPr>
          <w:rFonts w:ascii="Verdana" w:hAnsi="Verdana"/>
          <w:lang w:val="en-GB"/>
        </w:rPr>
        <w:t xml:space="preserve"> found that provocation can encompass a wide variety of behaviours including </w:t>
      </w:r>
      <w:r w:rsidR="00FB51B1" w:rsidRPr="00D55B2B">
        <w:rPr>
          <w:rFonts w:ascii="Verdana" w:hAnsi="Verdana"/>
          <w:lang w:val="en-GB"/>
        </w:rPr>
        <w:t>‘</w:t>
      </w:r>
      <w:r w:rsidRPr="00D55B2B">
        <w:rPr>
          <w:rFonts w:ascii="Verdana" w:hAnsi="Verdana"/>
          <w:lang w:val="en-GB"/>
        </w:rPr>
        <w:t>earning too much money, wearing the wrong clothes, being unfaithful, taunting the abuser, nagging and complaining about bad behaviour</w:t>
      </w:r>
      <w:r w:rsidR="00FB51B1" w:rsidRPr="00D55B2B">
        <w:rPr>
          <w:rFonts w:ascii="Verdana" w:hAnsi="Verdana"/>
          <w:lang w:val="en-GB"/>
        </w:rPr>
        <w:t>’</w:t>
      </w:r>
      <w:r w:rsidR="000437A9" w:rsidRPr="00D55B2B">
        <w:rPr>
          <w:rFonts w:ascii="Verdana" w:hAnsi="Verdana"/>
          <w:lang w:val="en-GB"/>
        </w:rPr>
        <w:t>.</w:t>
      </w:r>
      <w:r w:rsidRPr="00D55B2B">
        <w:rPr>
          <w:rStyle w:val="FootnoteReference"/>
          <w:rFonts w:ascii="Verdana" w:hAnsi="Verdana"/>
          <w:lang w:val="en-GB"/>
        </w:rPr>
        <w:footnoteReference w:id="72"/>
      </w:r>
      <w:r w:rsidRPr="00D55B2B">
        <w:rPr>
          <w:rFonts w:ascii="Verdana" w:hAnsi="Verdana"/>
          <w:lang w:val="en-GB"/>
        </w:rPr>
        <w:t xml:space="preserve"> The Human Rights Watch reported one occasion where a police officer told the victim </w:t>
      </w:r>
      <w:r w:rsidR="00FB51B1" w:rsidRPr="00D55B2B">
        <w:rPr>
          <w:rFonts w:ascii="Verdana" w:hAnsi="Verdana"/>
          <w:lang w:val="en-GB"/>
        </w:rPr>
        <w:t>‘</w:t>
      </w:r>
      <w:r w:rsidRPr="00D55B2B">
        <w:rPr>
          <w:rFonts w:ascii="Verdana" w:hAnsi="Verdana"/>
          <w:lang w:val="en-GB"/>
        </w:rPr>
        <w:t>it is no accident he is beating you, you must be so hard to live with</w:t>
      </w:r>
      <w:r w:rsidR="00FB51B1" w:rsidRPr="00D55B2B">
        <w:rPr>
          <w:rFonts w:ascii="Verdana" w:hAnsi="Verdana"/>
          <w:lang w:val="en-GB"/>
        </w:rPr>
        <w:t>’</w:t>
      </w:r>
      <w:r w:rsidR="000437A9" w:rsidRPr="00D55B2B">
        <w:rPr>
          <w:rFonts w:ascii="Verdana" w:hAnsi="Verdana"/>
          <w:lang w:val="en-GB"/>
        </w:rPr>
        <w:t>.</w:t>
      </w:r>
      <w:r w:rsidRPr="00D55B2B">
        <w:rPr>
          <w:rStyle w:val="FootnoteReference"/>
          <w:rFonts w:ascii="Verdana" w:hAnsi="Verdana"/>
          <w:lang w:val="en-GB"/>
        </w:rPr>
        <w:footnoteReference w:id="73"/>
      </w:r>
      <w:r w:rsidRPr="00D55B2B">
        <w:rPr>
          <w:rFonts w:ascii="Verdana" w:hAnsi="Verdana"/>
        </w:rPr>
        <w:t xml:space="preserve"> </w:t>
      </w:r>
      <w:r w:rsidR="009004F7">
        <w:rPr>
          <w:rFonts w:ascii="Verdana" w:hAnsi="Verdana"/>
        </w:rPr>
        <w:t xml:space="preserve">As a result, </w:t>
      </w:r>
      <w:r w:rsidR="0039389C" w:rsidRPr="00D55B2B">
        <w:rPr>
          <w:rFonts w:ascii="Verdana" w:hAnsi="Verdana"/>
        </w:rPr>
        <w:t xml:space="preserve">many offences do not result in </w:t>
      </w:r>
      <w:r w:rsidR="00980786" w:rsidRPr="00D55B2B">
        <w:rPr>
          <w:rFonts w:ascii="Verdana" w:hAnsi="Verdana"/>
        </w:rPr>
        <w:t xml:space="preserve">criminal sanctions being pursued. </w:t>
      </w:r>
      <w:r w:rsidR="00072D4D">
        <w:rPr>
          <w:rFonts w:ascii="Verdana" w:hAnsi="Verdana"/>
        </w:rPr>
        <w:t xml:space="preserve">In contrast, in England and Wales </w:t>
      </w:r>
      <w:r w:rsidR="00B3248B">
        <w:rPr>
          <w:rFonts w:ascii="Verdana" w:hAnsi="Verdana"/>
        </w:rPr>
        <w:t xml:space="preserve">provocation </w:t>
      </w:r>
      <w:r w:rsidR="00525BEE">
        <w:rPr>
          <w:rFonts w:ascii="Verdana" w:hAnsi="Verdana"/>
        </w:rPr>
        <w:t>only</w:t>
      </w:r>
      <w:r w:rsidR="00B3248B">
        <w:rPr>
          <w:rFonts w:ascii="Verdana" w:hAnsi="Verdana"/>
        </w:rPr>
        <w:t xml:space="preserve"> exist</w:t>
      </w:r>
      <w:r w:rsidR="00525BEE">
        <w:rPr>
          <w:rFonts w:ascii="Verdana" w:hAnsi="Verdana"/>
        </w:rPr>
        <w:t>s</w:t>
      </w:r>
      <w:r w:rsidR="00B3248B">
        <w:rPr>
          <w:rFonts w:ascii="Verdana" w:hAnsi="Verdana"/>
        </w:rPr>
        <w:t xml:space="preserve"> as a defence to </w:t>
      </w:r>
      <w:r w:rsidR="00B153E6">
        <w:rPr>
          <w:rFonts w:ascii="Verdana" w:hAnsi="Verdana"/>
        </w:rPr>
        <w:t>domestic abuse offences</w:t>
      </w:r>
      <w:r w:rsidR="00CE330B">
        <w:rPr>
          <w:rFonts w:ascii="Verdana" w:hAnsi="Verdana"/>
        </w:rPr>
        <w:t xml:space="preserve"> in very limited circumstance and can rarely be </w:t>
      </w:r>
      <w:r w:rsidR="00E10BA2">
        <w:rPr>
          <w:rFonts w:ascii="Verdana" w:hAnsi="Verdana"/>
        </w:rPr>
        <w:t>argued</w:t>
      </w:r>
      <w:r w:rsidR="00CE330B">
        <w:rPr>
          <w:rFonts w:ascii="Verdana" w:hAnsi="Verdana"/>
        </w:rPr>
        <w:t xml:space="preserve"> in mitigation.</w:t>
      </w:r>
    </w:p>
    <w:p w14:paraId="05B576B9" w14:textId="77777777" w:rsidR="000A12E4" w:rsidRPr="00D55B2B" w:rsidRDefault="000A12E4" w:rsidP="007E262A">
      <w:pPr>
        <w:spacing w:line="360" w:lineRule="auto"/>
        <w:ind w:right="-478"/>
        <w:jc w:val="both"/>
        <w:rPr>
          <w:rFonts w:ascii="Verdana" w:hAnsi="Verdana"/>
        </w:rPr>
      </w:pPr>
    </w:p>
    <w:p w14:paraId="1D985C5E" w14:textId="0D408E14" w:rsidR="00696D11" w:rsidRPr="00D55B2B" w:rsidRDefault="000A12E4" w:rsidP="007E262A">
      <w:pPr>
        <w:spacing w:line="360" w:lineRule="auto"/>
        <w:ind w:right="-478"/>
        <w:jc w:val="both"/>
        <w:rPr>
          <w:rFonts w:ascii="Verdana" w:hAnsi="Verdana"/>
        </w:rPr>
      </w:pPr>
      <w:r w:rsidRPr="00D55B2B">
        <w:rPr>
          <w:rFonts w:ascii="Verdana" w:hAnsi="Verdana"/>
        </w:rPr>
        <w:t>U</w:t>
      </w:r>
      <w:r w:rsidR="00AE2FFC" w:rsidRPr="00D55B2B">
        <w:rPr>
          <w:rFonts w:ascii="Verdana" w:hAnsi="Verdana"/>
        </w:rPr>
        <w:t xml:space="preserve">nder article 20 of the Criminal Procedural Code, if the </w:t>
      </w:r>
      <w:r w:rsidR="00635F21" w:rsidRPr="00D55B2B">
        <w:rPr>
          <w:rFonts w:ascii="Verdana" w:hAnsi="Verdana"/>
        </w:rPr>
        <w:t>parties reconcile (either voluntarily or through coercion by the perpetrator</w:t>
      </w:r>
      <w:r w:rsidR="009F7506" w:rsidRPr="00D55B2B">
        <w:rPr>
          <w:rFonts w:ascii="Verdana" w:hAnsi="Verdana"/>
        </w:rPr>
        <w:t xml:space="preserve"> or wider family/community members</w:t>
      </w:r>
      <w:r w:rsidR="00635F21" w:rsidRPr="00D55B2B">
        <w:rPr>
          <w:rFonts w:ascii="Verdana" w:hAnsi="Verdana"/>
        </w:rPr>
        <w:t xml:space="preserve">) the Criminal Code requires any </w:t>
      </w:r>
      <w:r w:rsidR="003D6BC8" w:rsidRPr="00D55B2B">
        <w:rPr>
          <w:rFonts w:ascii="Verdana" w:hAnsi="Verdana"/>
        </w:rPr>
        <w:t xml:space="preserve">criminal </w:t>
      </w:r>
      <w:r w:rsidR="00635F21" w:rsidRPr="00D55B2B">
        <w:rPr>
          <w:rFonts w:ascii="Verdana" w:hAnsi="Verdana"/>
        </w:rPr>
        <w:t>charges to be dropped</w:t>
      </w:r>
      <w:r w:rsidR="00AD58B2" w:rsidRPr="00D55B2B">
        <w:rPr>
          <w:rFonts w:ascii="Verdana" w:hAnsi="Verdana"/>
        </w:rPr>
        <w:t>.</w:t>
      </w:r>
      <w:r w:rsidR="00635F21" w:rsidRPr="00D55B2B">
        <w:rPr>
          <w:rStyle w:val="FootnoteReference"/>
          <w:rFonts w:ascii="Verdana" w:hAnsi="Verdana"/>
        </w:rPr>
        <w:footnoteReference w:id="74"/>
      </w:r>
      <w:r w:rsidR="00635F21" w:rsidRPr="00D55B2B">
        <w:rPr>
          <w:rFonts w:ascii="Verdana" w:hAnsi="Verdana"/>
        </w:rPr>
        <w:t xml:space="preserve"> This is the position for all domestic abuse cases, with the exception of rape and cases which involve ‘violent acts of sexual character’</w:t>
      </w:r>
      <w:r w:rsidR="00AD58B2" w:rsidRPr="00D55B2B">
        <w:rPr>
          <w:rFonts w:ascii="Verdana" w:hAnsi="Verdana"/>
        </w:rPr>
        <w:t>.</w:t>
      </w:r>
      <w:r w:rsidR="00635F21" w:rsidRPr="00D55B2B">
        <w:rPr>
          <w:rStyle w:val="FootnoteReference"/>
          <w:rFonts w:ascii="Verdana" w:hAnsi="Verdana"/>
        </w:rPr>
        <w:footnoteReference w:id="75"/>
      </w:r>
      <w:r w:rsidR="00635F21" w:rsidRPr="00D55B2B">
        <w:rPr>
          <w:rFonts w:ascii="Verdana" w:hAnsi="Verdana"/>
        </w:rPr>
        <w:t xml:space="preserve"> </w:t>
      </w:r>
      <w:r w:rsidR="00696D11" w:rsidRPr="00D55B2B">
        <w:rPr>
          <w:rFonts w:ascii="Verdana" w:hAnsi="Verdana"/>
        </w:rPr>
        <w:t>It has been reported that police have been known to encourage victims to reconcile with their attackers to save time and effort in conducting investigations</w:t>
      </w:r>
      <w:r w:rsidR="0075378F" w:rsidRPr="00D55B2B">
        <w:rPr>
          <w:rFonts w:ascii="Verdana" w:hAnsi="Verdana"/>
        </w:rPr>
        <w:t>.</w:t>
      </w:r>
      <w:r w:rsidR="00696D11" w:rsidRPr="00D55B2B">
        <w:rPr>
          <w:rStyle w:val="FootnoteReference"/>
          <w:rFonts w:ascii="Verdana" w:hAnsi="Verdana"/>
        </w:rPr>
        <w:footnoteReference w:id="76"/>
      </w:r>
      <w:r w:rsidR="00696D11" w:rsidRPr="00D55B2B">
        <w:rPr>
          <w:rFonts w:ascii="Verdana" w:hAnsi="Verdana"/>
        </w:rPr>
        <w:t xml:space="preserve"> Inevitably, at the prospect of a conviction some perpetrators may display remorse </w:t>
      </w:r>
      <w:r w:rsidR="00696D11" w:rsidRPr="00D55B2B">
        <w:rPr>
          <w:rFonts w:ascii="Verdana" w:hAnsi="Verdana"/>
          <w:lang w:val="en-GB"/>
        </w:rPr>
        <w:t>and seek forgiveness from the victim. Women who feel guilty and believe that violence was an isolated incident which will not happen again may withdraw the complaint and agree to reconciliation. As such, this provision can be manipulated to allow perpetrators to commit further acts of emotional abuse whilst simultaneously creating a culture of impunity for offenders. It has been reported that some women are forced</w:t>
      </w:r>
      <w:r w:rsidR="00440A8D" w:rsidRPr="00D55B2B">
        <w:rPr>
          <w:rFonts w:ascii="Verdana" w:hAnsi="Verdana"/>
          <w:lang w:val="en-GB"/>
        </w:rPr>
        <w:t xml:space="preserve"> by their </w:t>
      </w:r>
      <w:r w:rsidR="00FE1708" w:rsidRPr="00D55B2B">
        <w:rPr>
          <w:rFonts w:ascii="Verdana" w:hAnsi="Verdana"/>
          <w:lang w:val="en-GB"/>
        </w:rPr>
        <w:t>abusers</w:t>
      </w:r>
      <w:r w:rsidR="00696D11" w:rsidRPr="00D55B2B">
        <w:rPr>
          <w:rFonts w:ascii="Verdana" w:hAnsi="Verdana"/>
          <w:lang w:val="en-GB"/>
        </w:rPr>
        <w:t xml:space="preserve"> to pay the fines awarded to </w:t>
      </w:r>
      <w:r w:rsidR="00FE1708" w:rsidRPr="00D55B2B">
        <w:rPr>
          <w:rFonts w:ascii="Verdana" w:hAnsi="Verdana"/>
          <w:lang w:val="en-GB"/>
        </w:rPr>
        <w:t>them</w:t>
      </w:r>
      <w:r w:rsidR="00440A8D" w:rsidRPr="00D55B2B">
        <w:rPr>
          <w:rFonts w:ascii="Verdana" w:hAnsi="Verdana"/>
          <w:lang w:val="en-GB"/>
        </w:rPr>
        <w:t xml:space="preserve"> as a punishment for</w:t>
      </w:r>
      <w:r w:rsidR="00A00611" w:rsidRPr="00D55B2B">
        <w:rPr>
          <w:rFonts w:ascii="Verdana" w:hAnsi="Verdana"/>
          <w:lang w:val="en-GB"/>
        </w:rPr>
        <w:t xml:space="preserve"> reporting the offence, or that</w:t>
      </w:r>
      <w:r w:rsidR="00440A8D" w:rsidRPr="00D55B2B">
        <w:rPr>
          <w:rFonts w:ascii="Verdana" w:hAnsi="Verdana"/>
          <w:lang w:val="en-GB"/>
        </w:rPr>
        <w:t xml:space="preserve"> </w:t>
      </w:r>
      <w:r w:rsidR="00696D11" w:rsidRPr="00D55B2B">
        <w:rPr>
          <w:rFonts w:ascii="Verdana" w:hAnsi="Verdana"/>
          <w:lang w:val="en-GB"/>
        </w:rPr>
        <w:t xml:space="preserve">unpaid fines </w:t>
      </w:r>
      <w:r w:rsidR="00C87ABA" w:rsidRPr="00D55B2B">
        <w:rPr>
          <w:rFonts w:ascii="Verdana" w:hAnsi="Verdana"/>
          <w:lang w:val="en-GB"/>
        </w:rPr>
        <w:t xml:space="preserve">are </w:t>
      </w:r>
      <w:r w:rsidR="00696D11" w:rsidRPr="00D55B2B">
        <w:rPr>
          <w:rFonts w:ascii="Verdana" w:hAnsi="Verdana"/>
          <w:lang w:val="en-GB"/>
        </w:rPr>
        <w:t>taken from shared bank accounts</w:t>
      </w:r>
      <w:r w:rsidR="0075378F" w:rsidRPr="00D55B2B">
        <w:rPr>
          <w:rFonts w:ascii="Verdana" w:hAnsi="Verdana"/>
          <w:lang w:val="en-GB"/>
        </w:rPr>
        <w:t>.</w:t>
      </w:r>
      <w:r w:rsidR="00696D11" w:rsidRPr="00D55B2B">
        <w:rPr>
          <w:rStyle w:val="FootnoteReference"/>
          <w:rFonts w:ascii="Verdana" w:hAnsi="Verdana"/>
          <w:lang w:val="en-GB"/>
        </w:rPr>
        <w:footnoteReference w:id="77"/>
      </w:r>
      <w:r w:rsidR="00696D11" w:rsidRPr="00D55B2B">
        <w:rPr>
          <w:rFonts w:ascii="Verdana" w:hAnsi="Verdana"/>
          <w:lang w:val="en-GB"/>
        </w:rPr>
        <w:t xml:space="preserve"> </w:t>
      </w:r>
      <w:r w:rsidR="00903359">
        <w:rPr>
          <w:rFonts w:ascii="Verdana" w:hAnsi="Verdana"/>
          <w:lang w:val="en-GB"/>
        </w:rPr>
        <w:t xml:space="preserve">In England and Wales, </w:t>
      </w:r>
      <w:r w:rsidR="00B93804">
        <w:rPr>
          <w:rFonts w:ascii="Verdana" w:hAnsi="Verdana"/>
          <w:lang w:val="en-GB"/>
        </w:rPr>
        <w:t xml:space="preserve">whilst </w:t>
      </w:r>
      <w:r w:rsidR="00023DEE">
        <w:rPr>
          <w:rFonts w:ascii="Verdana" w:hAnsi="Verdana"/>
          <w:lang w:val="en-GB"/>
        </w:rPr>
        <w:t>reconciliation does no</w:t>
      </w:r>
      <w:r w:rsidR="0066247B">
        <w:rPr>
          <w:rFonts w:ascii="Verdana" w:hAnsi="Verdana"/>
          <w:lang w:val="en-GB"/>
        </w:rPr>
        <w:t xml:space="preserve">t automatically </w:t>
      </w:r>
      <w:r w:rsidR="0028041A">
        <w:rPr>
          <w:rFonts w:ascii="Verdana" w:hAnsi="Verdana"/>
          <w:lang w:val="en-GB"/>
        </w:rPr>
        <w:t>lead to</w:t>
      </w:r>
      <w:r w:rsidR="0066247B">
        <w:rPr>
          <w:rFonts w:ascii="Verdana" w:hAnsi="Verdana"/>
          <w:lang w:val="en-GB"/>
        </w:rPr>
        <w:t xml:space="preserve"> cases </w:t>
      </w:r>
      <w:r w:rsidR="004609B7">
        <w:rPr>
          <w:rFonts w:ascii="Verdana" w:hAnsi="Verdana"/>
          <w:lang w:val="en-GB"/>
        </w:rPr>
        <w:t>being</w:t>
      </w:r>
      <w:r w:rsidR="0066247B">
        <w:rPr>
          <w:rFonts w:ascii="Verdana" w:hAnsi="Verdana"/>
          <w:lang w:val="en-GB"/>
        </w:rPr>
        <w:t xml:space="preserve"> dropped, it can increase the likelihood of </w:t>
      </w:r>
      <w:r w:rsidR="00E734FB">
        <w:rPr>
          <w:rFonts w:ascii="Verdana" w:hAnsi="Verdana"/>
          <w:lang w:val="en-GB"/>
        </w:rPr>
        <w:t xml:space="preserve">victims deciding not to give statements </w:t>
      </w:r>
      <w:r w:rsidR="00224C0C">
        <w:rPr>
          <w:rFonts w:ascii="Verdana" w:hAnsi="Verdana"/>
          <w:lang w:val="en-GB"/>
        </w:rPr>
        <w:t xml:space="preserve">which in turn </w:t>
      </w:r>
      <w:r w:rsidR="00691D98">
        <w:rPr>
          <w:rFonts w:ascii="Verdana" w:hAnsi="Verdana"/>
          <w:lang w:val="en-GB"/>
        </w:rPr>
        <w:t>may make</w:t>
      </w:r>
      <w:r w:rsidR="00224C0C">
        <w:rPr>
          <w:rFonts w:ascii="Verdana" w:hAnsi="Verdana"/>
          <w:lang w:val="en-GB"/>
        </w:rPr>
        <w:t xml:space="preserve"> </w:t>
      </w:r>
      <w:r w:rsidR="00173709">
        <w:rPr>
          <w:rFonts w:ascii="Verdana" w:hAnsi="Verdana"/>
          <w:lang w:val="en-GB"/>
        </w:rPr>
        <w:t>a prosecution more difficult to pursue</w:t>
      </w:r>
      <w:r w:rsidR="00691D98">
        <w:rPr>
          <w:rFonts w:ascii="Verdana" w:hAnsi="Verdana"/>
          <w:lang w:val="en-GB"/>
        </w:rPr>
        <w:t>, depending on the availability of other evidence</w:t>
      </w:r>
      <w:r w:rsidR="00173709">
        <w:rPr>
          <w:rFonts w:ascii="Verdana" w:hAnsi="Verdana"/>
          <w:lang w:val="en-GB"/>
        </w:rPr>
        <w:t xml:space="preserve">. </w:t>
      </w:r>
      <w:r w:rsidR="00224C0C">
        <w:rPr>
          <w:rFonts w:ascii="Verdana" w:hAnsi="Verdana"/>
          <w:lang w:val="en-GB"/>
        </w:rPr>
        <w:t xml:space="preserve"> </w:t>
      </w:r>
    </w:p>
    <w:p w14:paraId="791C4EB9" w14:textId="77777777" w:rsidR="00696D11" w:rsidRPr="00D55B2B" w:rsidRDefault="00696D11" w:rsidP="007E262A">
      <w:pPr>
        <w:spacing w:line="360" w:lineRule="auto"/>
        <w:ind w:right="-478"/>
        <w:jc w:val="both"/>
        <w:rPr>
          <w:rFonts w:ascii="Verdana" w:hAnsi="Verdana"/>
        </w:rPr>
      </w:pPr>
    </w:p>
    <w:p w14:paraId="4E050179" w14:textId="77777777" w:rsidR="00635F21" w:rsidRPr="00D55B2B" w:rsidRDefault="00547E1F" w:rsidP="007E262A">
      <w:pPr>
        <w:spacing w:line="360" w:lineRule="auto"/>
        <w:ind w:right="-478"/>
        <w:jc w:val="both"/>
        <w:rPr>
          <w:rFonts w:ascii="Verdana" w:hAnsi="Verdana"/>
        </w:rPr>
      </w:pPr>
      <w:r>
        <w:rPr>
          <w:rFonts w:ascii="Verdana" w:hAnsi="Verdana"/>
        </w:rPr>
        <w:t>I</w:t>
      </w:r>
      <w:r w:rsidR="00635F21" w:rsidRPr="00D55B2B">
        <w:rPr>
          <w:rFonts w:ascii="Verdana" w:hAnsi="Verdana"/>
        </w:rPr>
        <w:t xml:space="preserve">n respect of charges under Article 115 or Article 116, prosecutions are usually dealt with </w:t>
      </w:r>
      <w:r w:rsidR="00696D11" w:rsidRPr="00D55B2B">
        <w:rPr>
          <w:rFonts w:ascii="Verdana" w:hAnsi="Verdana"/>
        </w:rPr>
        <w:t>as private prosecutions rather than state-directed prosecutions</w:t>
      </w:r>
      <w:r w:rsidR="00635F21" w:rsidRPr="00D55B2B">
        <w:rPr>
          <w:rFonts w:ascii="Verdana" w:hAnsi="Verdana"/>
        </w:rPr>
        <w:t xml:space="preserve">. The Criminal Procedural Code states that crimes under article 115 and 116 </w:t>
      </w:r>
      <w:r w:rsidR="00FB51B1" w:rsidRPr="00D55B2B">
        <w:rPr>
          <w:rFonts w:ascii="Verdana" w:hAnsi="Verdana"/>
        </w:rPr>
        <w:t>‘</w:t>
      </w:r>
      <w:r w:rsidR="00635F21" w:rsidRPr="00D55B2B">
        <w:rPr>
          <w:rFonts w:ascii="Verdana" w:hAnsi="Verdana"/>
        </w:rPr>
        <w:t>are . . . cases of private prosecution, [and] are initiated only upon application from the victim or . . . his legal representative.</w:t>
      </w:r>
      <w:r w:rsidR="00FB51B1" w:rsidRPr="00D55B2B">
        <w:rPr>
          <w:rFonts w:ascii="Verdana" w:hAnsi="Verdana"/>
        </w:rPr>
        <w:t>’</w:t>
      </w:r>
      <w:r w:rsidR="00635F21" w:rsidRPr="00D55B2B">
        <w:rPr>
          <w:rFonts w:ascii="Verdana" w:hAnsi="Verdana"/>
        </w:rPr>
        <w:t xml:space="preserve"> This means that the onus is on the victim to start the proceedings, gather the evidence and present the case without any knowledge of the legal process, evidential requirements or support from a publicly-funded legal adviser</w:t>
      </w:r>
      <w:r w:rsidR="00FB240E" w:rsidRPr="00D55B2B">
        <w:rPr>
          <w:rFonts w:ascii="Verdana" w:hAnsi="Verdana"/>
        </w:rPr>
        <w:t xml:space="preserve"> </w:t>
      </w:r>
      <w:r w:rsidR="00167D83" w:rsidRPr="00D55B2B">
        <w:rPr>
          <w:rFonts w:ascii="Verdana" w:hAnsi="Verdana"/>
        </w:rPr>
        <w:t>as</w:t>
      </w:r>
      <w:r w:rsidR="00FB240E" w:rsidRPr="00D55B2B">
        <w:rPr>
          <w:rFonts w:ascii="Verdana" w:hAnsi="Verdana"/>
        </w:rPr>
        <w:t xml:space="preserve"> there is no </w:t>
      </w:r>
      <w:r w:rsidR="002A5239" w:rsidRPr="00D55B2B">
        <w:rPr>
          <w:rFonts w:ascii="Verdana" w:hAnsi="Verdana"/>
        </w:rPr>
        <w:t>legal aid</w:t>
      </w:r>
      <w:r w:rsidR="00FB240E" w:rsidRPr="00D55B2B">
        <w:rPr>
          <w:rFonts w:ascii="Verdana" w:hAnsi="Verdana"/>
        </w:rPr>
        <w:t xml:space="preserve"> available in relation to domestic abuse cases. O</w:t>
      </w:r>
      <w:r w:rsidR="00635F21" w:rsidRPr="00D55B2B">
        <w:rPr>
          <w:rFonts w:ascii="Verdana" w:hAnsi="Verdana"/>
        </w:rPr>
        <w:t>f course,</w:t>
      </w:r>
      <w:r w:rsidR="00FB240E" w:rsidRPr="00D55B2B">
        <w:rPr>
          <w:rFonts w:ascii="Verdana" w:hAnsi="Verdana"/>
        </w:rPr>
        <w:t xml:space="preserve"> it is open to a victim who is willing and able to do so, to incur the cost of</w:t>
      </w:r>
      <w:r w:rsidR="00635F21" w:rsidRPr="00D55B2B">
        <w:rPr>
          <w:rFonts w:ascii="Verdana" w:hAnsi="Verdana"/>
        </w:rPr>
        <w:t xml:space="preserve"> paying for an investigator and prosecutor. </w:t>
      </w:r>
      <w:r>
        <w:rPr>
          <w:rFonts w:ascii="Verdana" w:hAnsi="Verdana"/>
        </w:rPr>
        <w:t>T</w:t>
      </w:r>
      <w:r w:rsidR="00FB240E" w:rsidRPr="00D55B2B">
        <w:rPr>
          <w:rFonts w:ascii="Verdana" w:hAnsi="Verdana"/>
        </w:rPr>
        <w:t xml:space="preserve">his is likely to </w:t>
      </w:r>
      <w:r w:rsidR="003A7CE3" w:rsidRPr="00D55B2B">
        <w:rPr>
          <w:rFonts w:ascii="Verdana" w:hAnsi="Verdana"/>
        </w:rPr>
        <w:t>come at a considerable expense and, as this article will go on to consider, there are few legal practitioners specialising in domestic abuse cases.</w:t>
      </w:r>
    </w:p>
    <w:p w14:paraId="311658F2" w14:textId="77777777" w:rsidR="00635F21" w:rsidRPr="00D55B2B" w:rsidRDefault="00635F21" w:rsidP="007E262A">
      <w:pPr>
        <w:spacing w:line="360" w:lineRule="auto"/>
        <w:ind w:right="-478"/>
        <w:jc w:val="both"/>
        <w:rPr>
          <w:rFonts w:ascii="Verdana" w:hAnsi="Verdana"/>
        </w:rPr>
      </w:pPr>
    </w:p>
    <w:p w14:paraId="415F1B86" w14:textId="00973BB5" w:rsidR="00447293" w:rsidRPr="00D55B2B" w:rsidRDefault="00635F21" w:rsidP="007E262A">
      <w:pPr>
        <w:spacing w:line="360" w:lineRule="auto"/>
        <w:ind w:right="-478"/>
        <w:jc w:val="both"/>
        <w:rPr>
          <w:rFonts w:ascii="Verdana" w:hAnsi="Verdana"/>
        </w:rPr>
      </w:pPr>
      <w:r w:rsidRPr="00D55B2B">
        <w:rPr>
          <w:rFonts w:ascii="Verdana" w:hAnsi="Verdana"/>
        </w:rPr>
        <w:t xml:space="preserve">The criminal justice response is particularly important in </w:t>
      </w:r>
      <w:r w:rsidR="00CC5A23" w:rsidRPr="00D55B2B">
        <w:rPr>
          <w:rFonts w:ascii="Verdana" w:hAnsi="Verdana"/>
        </w:rPr>
        <w:t xml:space="preserve">Russia because there is next to </w:t>
      </w:r>
      <w:r w:rsidRPr="00D55B2B">
        <w:rPr>
          <w:rFonts w:ascii="Verdana" w:hAnsi="Verdana"/>
        </w:rPr>
        <w:t>no civil response. Unlike in England and Wales, there is no injunctive protection available to victims through the family courts nor is there any public funding to support a victim in receiving advice about the options available to them to leave the relationship or to prevent the perpetrator from contacting them or returning to the family home. As such, it is commonplace for victims and perpetrators to continue living together following an incident of violence. Victims who live in state-owned accommodation who wish to see their abusers removed from the home are required to apply under housing law for an order of eviction</w:t>
      </w:r>
      <w:r w:rsidR="00895572" w:rsidRPr="00D55B2B">
        <w:rPr>
          <w:rFonts w:ascii="Verdana" w:hAnsi="Verdana"/>
        </w:rPr>
        <w:t>.</w:t>
      </w:r>
      <w:r w:rsidRPr="00D55B2B">
        <w:rPr>
          <w:rStyle w:val="FootnoteReference"/>
          <w:rFonts w:ascii="Verdana" w:hAnsi="Verdana"/>
        </w:rPr>
        <w:footnoteReference w:id="78"/>
      </w:r>
      <w:r w:rsidR="00895572" w:rsidRPr="00D55B2B">
        <w:rPr>
          <w:rFonts w:ascii="Verdana" w:hAnsi="Verdana"/>
        </w:rPr>
        <w:t xml:space="preserve"> </w:t>
      </w:r>
      <w:r w:rsidR="004963BF">
        <w:rPr>
          <w:rFonts w:ascii="Verdana" w:hAnsi="Verdana"/>
        </w:rPr>
        <w:t>N</w:t>
      </w:r>
      <w:r w:rsidRPr="00D55B2B">
        <w:rPr>
          <w:rFonts w:ascii="Verdana" w:hAnsi="Verdana"/>
        </w:rPr>
        <w:t xml:space="preserve">o official court statistics exist regarding the utility of this court application </w:t>
      </w:r>
      <w:r w:rsidR="00F3103C">
        <w:rPr>
          <w:rFonts w:ascii="Verdana" w:hAnsi="Verdana"/>
        </w:rPr>
        <w:t xml:space="preserve">however </w:t>
      </w:r>
      <w:r w:rsidRPr="00D55B2B">
        <w:rPr>
          <w:rFonts w:ascii="Verdana" w:hAnsi="Verdana"/>
        </w:rPr>
        <w:t>it is understood that courts grant this remedy sparingly</w:t>
      </w:r>
      <w:r w:rsidR="005A47BE" w:rsidRPr="00D55B2B">
        <w:rPr>
          <w:rFonts w:ascii="Verdana" w:hAnsi="Verdana"/>
        </w:rPr>
        <w:t>.</w:t>
      </w:r>
      <w:r w:rsidRPr="00D55B2B">
        <w:rPr>
          <w:rStyle w:val="FootnoteReference"/>
          <w:rFonts w:ascii="Verdana" w:hAnsi="Verdana"/>
        </w:rPr>
        <w:footnoteReference w:id="79"/>
      </w:r>
      <w:r w:rsidRPr="00D55B2B">
        <w:rPr>
          <w:rFonts w:ascii="Verdana" w:hAnsi="Verdana"/>
        </w:rPr>
        <w:t xml:space="preserve"> There is no direct provision to evict a tenant who privately rents accommodation however Article 25 of the Constitutional provision on housing may be used in cases where a tenant has used violence against other residents</w:t>
      </w:r>
      <w:r w:rsidR="002C151A" w:rsidRPr="00D55B2B">
        <w:rPr>
          <w:rFonts w:ascii="Verdana" w:hAnsi="Verdana"/>
        </w:rPr>
        <w:t>.</w:t>
      </w:r>
      <w:r w:rsidRPr="00D55B2B">
        <w:rPr>
          <w:rStyle w:val="FootnoteReference"/>
          <w:rFonts w:ascii="Verdana" w:hAnsi="Verdana"/>
        </w:rPr>
        <w:footnoteReference w:id="80"/>
      </w:r>
    </w:p>
    <w:p w14:paraId="78AFB4D3" w14:textId="77777777" w:rsidR="00447293" w:rsidRPr="00D55B2B" w:rsidRDefault="00447293" w:rsidP="007E262A">
      <w:pPr>
        <w:spacing w:line="360" w:lineRule="auto"/>
        <w:ind w:right="-478"/>
        <w:jc w:val="both"/>
        <w:rPr>
          <w:rFonts w:ascii="Verdana" w:hAnsi="Verdana"/>
        </w:rPr>
      </w:pPr>
    </w:p>
    <w:p w14:paraId="07B8F7FE" w14:textId="77777777" w:rsidR="00635F21" w:rsidRPr="00D55B2B" w:rsidRDefault="00635F21" w:rsidP="007E262A">
      <w:pPr>
        <w:spacing w:line="360" w:lineRule="auto"/>
        <w:ind w:right="-478"/>
        <w:jc w:val="both"/>
        <w:rPr>
          <w:rFonts w:ascii="Verdana" w:hAnsi="Verdana"/>
        </w:rPr>
      </w:pPr>
      <w:r w:rsidRPr="00D55B2B">
        <w:rPr>
          <w:rFonts w:ascii="Verdana" w:hAnsi="Verdana"/>
        </w:rPr>
        <w:t>Similar</w:t>
      </w:r>
      <w:r w:rsidR="0070705A" w:rsidRPr="00D55B2B">
        <w:rPr>
          <w:rFonts w:ascii="Verdana" w:hAnsi="Verdana"/>
        </w:rPr>
        <w:t>ly</w:t>
      </w:r>
      <w:r w:rsidRPr="00D55B2B">
        <w:rPr>
          <w:rFonts w:ascii="Verdana" w:hAnsi="Verdana"/>
        </w:rPr>
        <w:t xml:space="preserve"> to the position in England and Wales, there is scope for women to secure compensation from their partners for under Article 151 of the Civil Code. This provides that victims can request compensation where the perpetrator has inflicted </w:t>
      </w:r>
      <w:r w:rsidR="0033376E" w:rsidRPr="00D55B2B">
        <w:rPr>
          <w:rFonts w:ascii="Verdana" w:hAnsi="Verdana"/>
        </w:rPr>
        <w:t>‘</w:t>
      </w:r>
      <w:r w:rsidRPr="00D55B2B">
        <w:rPr>
          <w:rFonts w:ascii="Verdana" w:hAnsi="Verdana"/>
        </w:rPr>
        <w:t>moral harm</w:t>
      </w:r>
      <w:r w:rsidR="0033376E" w:rsidRPr="00D55B2B">
        <w:rPr>
          <w:rFonts w:ascii="Verdana" w:hAnsi="Verdana"/>
        </w:rPr>
        <w:t>’</w:t>
      </w:r>
      <w:r w:rsidRPr="00D55B2B">
        <w:rPr>
          <w:rFonts w:ascii="Verdana" w:hAnsi="Verdana"/>
        </w:rPr>
        <w:t xml:space="preserve"> on the victim. In deciding what level of compensation to award, the courts will take into account </w:t>
      </w:r>
      <w:r w:rsidR="00C52D98" w:rsidRPr="00D55B2B">
        <w:rPr>
          <w:rFonts w:ascii="Verdana" w:hAnsi="Verdana"/>
        </w:rPr>
        <w:t>‘</w:t>
      </w:r>
      <w:r w:rsidRPr="00D55B2B">
        <w:rPr>
          <w:rFonts w:ascii="Verdana" w:hAnsi="Verdana"/>
        </w:rPr>
        <w:t>the abuser’s culpability, the e</w:t>
      </w:r>
      <w:r w:rsidR="00C52D98" w:rsidRPr="00D55B2B">
        <w:rPr>
          <w:rFonts w:ascii="Verdana" w:hAnsi="Verdana"/>
        </w:rPr>
        <w:t xml:space="preserve">xtent of the harm suffered and </w:t>
      </w:r>
      <w:r w:rsidRPr="00D55B2B">
        <w:rPr>
          <w:rFonts w:ascii="Verdana" w:hAnsi="Verdana"/>
        </w:rPr>
        <w:t>other circumstances worthy of attention</w:t>
      </w:r>
      <w:r w:rsidR="00C52D98" w:rsidRPr="00D55B2B">
        <w:rPr>
          <w:rFonts w:ascii="Verdana" w:hAnsi="Verdana"/>
        </w:rPr>
        <w:t>’</w:t>
      </w:r>
      <w:r w:rsidRPr="00D55B2B">
        <w:rPr>
          <w:rFonts w:ascii="Verdana" w:hAnsi="Verdana"/>
        </w:rPr>
        <w:t xml:space="preserve">. Of course, it also remains open to the victim to seek a divorce and apply for the division of financial assets through the family courts. In relation to housing, family and civil claims however, women are expected to navigate an unfamiliar legal process without support from a publicly funded lawyer or a judiciary which is sympathetic to their experiences. </w:t>
      </w:r>
    </w:p>
    <w:p w14:paraId="5E0E9022" w14:textId="77777777" w:rsidR="00696D11" w:rsidRPr="00D55B2B" w:rsidRDefault="00696D11" w:rsidP="007E262A">
      <w:pPr>
        <w:spacing w:line="360" w:lineRule="auto"/>
        <w:ind w:right="-478"/>
        <w:jc w:val="both"/>
        <w:rPr>
          <w:rFonts w:ascii="Verdana" w:hAnsi="Verdana"/>
        </w:rPr>
      </w:pPr>
    </w:p>
    <w:p w14:paraId="6FBC3F6A" w14:textId="77777777" w:rsidR="00696D11" w:rsidRPr="00D55B2B" w:rsidRDefault="002F13A2" w:rsidP="007E262A">
      <w:pPr>
        <w:spacing w:line="360" w:lineRule="auto"/>
        <w:ind w:right="-478"/>
        <w:jc w:val="both"/>
        <w:rPr>
          <w:rFonts w:ascii="Verdana" w:hAnsi="Verdana"/>
        </w:rPr>
      </w:pPr>
      <w:r w:rsidRPr="00D55B2B">
        <w:rPr>
          <w:rFonts w:ascii="Verdana" w:hAnsi="Verdana"/>
        </w:rPr>
        <w:t xml:space="preserve">As these access to justice barriers attest, the policy framework in relation to domestic abuse in Russia is much less interventionist and comprehensive than in England and Wales with few funded agencies or services to support an effective response to domestic abuse. </w:t>
      </w:r>
      <w:r w:rsidR="00696D11" w:rsidRPr="00D55B2B">
        <w:rPr>
          <w:rFonts w:ascii="Verdana" w:hAnsi="Verdana"/>
        </w:rPr>
        <w:t xml:space="preserve">The Committee on the Elimination of Discrimination against Women reported in 2015 that women face too many barriers </w:t>
      </w:r>
      <w:r w:rsidR="00696D11" w:rsidRPr="00D55B2B">
        <w:rPr>
          <w:rFonts w:ascii="Verdana" w:hAnsi="Verdana"/>
          <w:lang w:val="en-GB"/>
        </w:rPr>
        <w:t>when they seek justice, including social stigma and negative stereotypes, lack of awareness of their rights and a failure on the part of law enforcement officials to strictly apply international legislation prohibiting gender-based discrimination against women</w:t>
      </w:r>
      <w:r w:rsidR="00E573C3" w:rsidRPr="00D55B2B">
        <w:rPr>
          <w:rFonts w:ascii="Verdana" w:hAnsi="Verdana"/>
          <w:lang w:val="en-GB"/>
        </w:rPr>
        <w:t>.</w:t>
      </w:r>
      <w:r w:rsidR="00696D11" w:rsidRPr="00D55B2B">
        <w:rPr>
          <w:rStyle w:val="FootnoteReference"/>
          <w:rFonts w:ascii="Verdana" w:hAnsi="Verdana"/>
          <w:lang w:val="en-GB"/>
        </w:rPr>
        <w:footnoteReference w:id="81"/>
      </w:r>
    </w:p>
    <w:p w14:paraId="23D9C842" w14:textId="77777777" w:rsidR="00635F21" w:rsidRPr="00D55B2B" w:rsidRDefault="00635F21" w:rsidP="007E262A">
      <w:pPr>
        <w:spacing w:line="360" w:lineRule="auto"/>
        <w:ind w:right="-478"/>
        <w:jc w:val="both"/>
        <w:rPr>
          <w:rFonts w:ascii="Verdana" w:hAnsi="Verdana"/>
          <w:b/>
          <w:i/>
          <w:lang w:val="en-GB"/>
        </w:rPr>
      </w:pPr>
    </w:p>
    <w:p w14:paraId="74E46477" w14:textId="77777777" w:rsidR="00383057" w:rsidRPr="00D55B2B" w:rsidRDefault="00383057" w:rsidP="007E262A">
      <w:pPr>
        <w:spacing w:line="360" w:lineRule="auto"/>
        <w:ind w:right="-478"/>
        <w:jc w:val="both"/>
        <w:rPr>
          <w:rFonts w:ascii="Verdana" w:hAnsi="Verdana"/>
          <w:b/>
          <w:i/>
          <w:sz w:val="21"/>
          <w:szCs w:val="21"/>
          <w:lang w:val="en-GB"/>
        </w:rPr>
      </w:pPr>
      <w:r w:rsidRPr="00D55B2B">
        <w:rPr>
          <w:rFonts w:ascii="Verdana" w:hAnsi="Verdana"/>
          <w:b/>
          <w:i/>
          <w:sz w:val="21"/>
          <w:szCs w:val="21"/>
          <w:lang w:val="en-GB"/>
        </w:rPr>
        <w:t xml:space="preserve">Effectiveness of the approaches to domestic abuse </w:t>
      </w:r>
    </w:p>
    <w:p w14:paraId="78EF16EC" w14:textId="77777777" w:rsidR="00582DE2" w:rsidRPr="00D55B2B" w:rsidRDefault="00582DE2" w:rsidP="007E262A">
      <w:pPr>
        <w:spacing w:line="360" w:lineRule="auto"/>
        <w:ind w:right="-478"/>
        <w:jc w:val="both"/>
        <w:rPr>
          <w:rFonts w:ascii="Verdana" w:hAnsi="Verdana"/>
          <w:b/>
          <w:i/>
          <w:lang w:val="en-GB"/>
        </w:rPr>
      </w:pPr>
    </w:p>
    <w:p w14:paraId="074F58F1" w14:textId="77777777" w:rsidR="00582DE2" w:rsidRPr="00D55B2B" w:rsidRDefault="00582DE2" w:rsidP="007E262A">
      <w:pPr>
        <w:spacing w:line="360" w:lineRule="auto"/>
        <w:ind w:right="-478"/>
        <w:jc w:val="both"/>
        <w:rPr>
          <w:rFonts w:ascii="Verdana" w:hAnsi="Verdana"/>
          <w:lang w:val="en-GB"/>
        </w:rPr>
      </w:pPr>
      <w:r w:rsidRPr="00D55B2B">
        <w:rPr>
          <w:rFonts w:ascii="Verdana" w:hAnsi="Verdana"/>
          <w:lang w:val="en-GB"/>
        </w:rPr>
        <w:t xml:space="preserve">The next section considers the effectiveness of the approaches adopted in England and Wales and Russia in ensuring compliance with international obligations, deterring violence and </w:t>
      </w:r>
      <w:r w:rsidR="0005246C" w:rsidRPr="00D55B2B">
        <w:rPr>
          <w:rFonts w:ascii="Verdana" w:hAnsi="Verdana"/>
          <w:lang w:val="en-GB"/>
        </w:rPr>
        <w:t xml:space="preserve">ensuring access to justice for the victim. </w:t>
      </w:r>
    </w:p>
    <w:p w14:paraId="0A13DD1C" w14:textId="77777777" w:rsidR="000A7C75" w:rsidRPr="00D55B2B" w:rsidRDefault="000A7C75" w:rsidP="007E262A">
      <w:pPr>
        <w:spacing w:line="360" w:lineRule="auto"/>
        <w:ind w:right="-478"/>
        <w:jc w:val="both"/>
        <w:rPr>
          <w:rFonts w:ascii="Verdana" w:hAnsi="Verdana"/>
          <w:b/>
          <w:i/>
        </w:rPr>
      </w:pPr>
    </w:p>
    <w:p w14:paraId="3716408E" w14:textId="77777777" w:rsidR="00C10657" w:rsidRPr="0060450D" w:rsidRDefault="00C10657" w:rsidP="0060450D">
      <w:pPr>
        <w:pStyle w:val="ListParagraph"/>
        <w:numPr>
          <w:ilvl w:val="0"/>
          <w:numId w:val="34"/>
        </w:numPr>
        <w:spacing w:line="360" w:lineRule="auto"/>
        <w:ind w:left="567" w:right="-478" w:hanging="568"/>
        <w:jc w:val="both"/>
        <w:rPr>
          <w:rFonts w:ascii="Verdana" w:hAnsi="Verdana"/>
          <w:i/>
          <w:sz w:val="24"/>
          <w:szCs w:val="24"/>
        </w:rPr>
      </w:pPr>
      <w:r w:rsidRPr="0060450D">
        <w:rPr>
          <w:rFonts w:ascii="Verdana" w:hAnsi="Verdana"/>
          <w:i/>
          <w:sz w:val="24"/>
          <w:szCs w:val="24"/>
        </w:rPr>
        <w:t>Compliance with international obligations</w:t>
      </w:r>
    </w:p>
    <w:p w14:paraId="6BB76911" w14:textId="77777777" w:rsidR="00C10657" w:rsidRDefault="00C10657" w:rsidP="007E262A">
      <w:pPr>
        <w:spacing w:line="360" w:lineRule="auto"/>
        <w:ind w:right="-478"/>
        <w:jc w:val="both"/>
        <w:rPr>
          <w:rFonts w:ascii="Verdana" w:hAnsi="Verdana"/>
          <w:b/>
          <w:i/>
        </w:rPr>
      </w:pPr>
    </w:p>
    <w:p w14:paraId="76469713" w14:textId="28B19F7F" w:rsidR="00463C28" w:rsidRPr="0060450D" w:rsidRDefault="00463C28" w:rsidP="0060450D">
      <w:pPr>
        <w:spacing w:line="360" w:lineRule="auto"/>
        <w:ind w:left="142" w:right="-478"/>
        <w:jc w:val="both"/>
        <w:rPr>
          <w:rFonts w:ascii="Verdana" w:hAnsi="Verdana"/>
        </w:rPr>
      </w:pPr>
      <w:r>
        <w:rPr>
          <w:rFonts w:ascii="Verdana" w:hAnsi="Verdana"/>
        </w:rPr>
        <w:t xml:space="preserve">This section will consider England’s and Russia’s compliance </w:t>
      </w:r>
      <w:r w:rsidR="00DB5814">
        <w:rPr>
          <w:rFonts w:ascii="Verdana" w:hAnsi="Verdana"/>
        </w:rPr>
        <w:t>with key Conventions in the area of domestic abuse</w:t>
      </w:r>
      <w:r w:rsidR="00CD503C">
        <w:rPr>
          <w:rFonts w:ascii="Verdana" w:hAnsi="Verdana"/>
        </w:rPr>
        <w:t>;</w:t>
      </w:r>
      <w:r>
        <w:rPr>
          <w:rFonts w:ascii="Verdana" w:hAnsi="Verdana"/>
        </w:rPr>
        <w:t xml:space="preserve"> the Convention on the Elimination of All Forms of Discrimination against Women and the European Convention on Human Rights.</w:t>
      </w:r>
      <w:r w:rsidR="00536DC7">
        <w:rPr>
          <w:rFonts w:ascii="Verdana" w:hAnsi="Verdana"/>
        </w:rPr>
        <w:t xml:space="preserve"> </w:t>
      </w:r>
      <w:r w:rsidR="0010044C">
        <w:rPr>
          <w:rFonts w:ascii="Verdana" w:hAnsi="Verdana"/>
        </w:rPr>
        <w:t>Compliance</w:t>
      </w:r>
      <w:r w:rsidR="00536DC7">
        <w:rPr>
          <w:rFonts w:ascii="Verdana" w:hAnsi="Verdana"/>
        </w:rPr>
        <w:t xml:space="preserve"> with the Istanbul Convention is also considered</w:t>
      </w:r>
      <w:r w:rsidR="009968F8">
        <w:rPr>
          <w:rFonts w:ascii="Verdana" w:hAnsi="Verdana"/>
        </w:rPr>
        <w:t xml:space="preserve"> although it is noted that Russia is not a signatory to this Convention</w:t>
      </w:r>
      <w:r w:rsidR="00536DC7">
        <w:rPr>
          <w:rFonts w:ascii="Verdana" w:hAnsi="Verdana"/>
        </w:rPr>
        <w:t xml:space="preserve">. </w:t>
      </w:r>
      <w:r w:rsidR="006E10B4">
        <w:rPr>
          <w:rFonts w:ascii="Verdana" w:hAnsi="Verdana"/>
        </w:rPr>
        <w:t>The authors</w:t>
      </w:r>
      <w:r w:rsidR="004C6673">
        <w:rPr>
          <w:rFonts w:ascii="Verdana" w:hAnsi="Verdana"/>
        </w:rPr>
        <w:t xml:space="preserve"> argue that Russia’s passive approach to </w:t>
      </w:r>
      <w:r w:rsidR="00A0706A">
        <w:rPr>
          <w:rFonts w:ascii="Verdana" w:hAnsi="Verdana"/>
        </w:rPr>
        <w:t xml:space="preserve">domestic abuse arguably creates a condition which allows </w:t>
      </w:r>
      <w:r w:rsidR="006E10B4">
        <w:rPr>
          <w:rFonts w:ascii="Verdana" w:hAnsi="Verdana"/>
        </w:rPr>
        <w:t xml:space="preserve">domestic </w:t>
      </w:r>
      <w:r w:rsidR="00A0706A">
        <w:rPr>
          <w:rFonts w:ascii="Verdana" w:hAnsi="Verdana"/>
        </w:rPr>
        <w:t>crimes to continue un</w:t>
      </w:r>
      <w:r w:rsidR="00EB024E">
        <w:rPr>
          <w:rFonts w:ascii="Verdana" w:hAnsi="Verdana"/>
        </w:rPr>
        <w:t>relentingly</w:t>
      </w:r>
      <w:r w:rsidR="00A0706A">
        <w:rPr>
          <w:rFonts w:ascii="Verdana" w:hAnsi="Verdana"/>
        </w:rPr>
        <w:t>.</w:t>
      </w:r>
      <w:r w:rsidR="00A226EF">
        <w:rPr>
          <w:rFonts w:ascii="Verdana" w:hAnsi="Verdana"/>
        </w:rPr>
        <w:t xml:space="preserve"> </w:t>
      </w:r>
      <w:r w:rsidR="00DB5239">
        <w:rPr>
          <w:rFonts w:ascii="Verdana" w:hAnsi="Verdana"/>
        </w:rPr>
        <w:t>This is inconsisten</w:t>
      </w:r>
      <w:r w:rsidR="00563802">
        <w:rPr>
          <w:rFonts w:ascii="Verdana" w:hAnsi="Verdana"/>
        </w:rPr>
        <w:t>t with the requirements of the C</w:t>
      </w:r>
      <w:r w:rsidR="00DB5239">
        <w:rPr>
          <w:rFonts w:ascii="Verdana" w:hAnsi="Verdana"/>
        </w:rPr>
        <w:t xml:space="preserve">onventions to which it is a signatory. </w:t>
      </w:r>
      <w:r w:rsidR="006B6914">
        <w:rPr>
          <w:rFonts w:ascii="Verdana" w:hAnsi="Verdana"/>
        </w:rPr>
        <w:t>In contrast, whilst England and Wales are prima facie compliant with their international obligations, there are steps they can take to improve</w:t>
      </w:r>
      <w:r w:rsidR="001715E0">
        <w:rPr>
          <w:rFonts w:ascii="Verdana" w:hAnsi="Verdana"/>
        </w:rPr>
        <w:t xml:space="preserve"> </w:t>
      </w:r>
      <w:r w:rsidR="00523B69">
        <w:rPr>
          <w:rFonts w:ascii="Verdana" w:hAnsi="Verdana"/>
        </w:rPr>
        <w:t>their international standing</w:t>
      </w:r>
      <w:r w:rsidR="00833794">
        <w:rPr>
          <w:rFonts w:ascii="Verdana" w:hAnsi="Verdana"/>
        </w:rPr>
        <w:t xml:space="preserve"> in this important area</w:t>
      </w:r>
      <w:r w:rsidR="006B6914">
        <w:rPr>
          <w:rFonts w:ascii="Verdana" w:hAnsi="Verdana"/>
        </w:rPr>
        <w:t xml:space="preserve">. </w:t>
      </w:r>
      <w:r w:rsidR="00650E78">
        <w:rPr>
          <w:rFonts w:ascii="Verdana" w:hAnsi="Verdana"/>
        </w:rPr>
        <w:t>The authors argue that this will require England to</w:t>
      </w:r>
      <w:r w:rsidR="006B6914">
        <w:rPr>
          <w:rFonts w:ascii="Verdana" w:hAnsi="Verdana"/>
        </w:rPr>
        <w:t xml:space="preserve"> </w:t>
      </w:r>
      <w:r w:rsidR="000B3540">
        <w:rPr>
          <w:rFonts w:ascii="Verdana" w:hAnsi="Verdana"/>
        </w:rPr>
        <w:t>implemen</w:t>
      </w:r>
      <w:r w:rsidR="00290E4D">
        <w:rPr>
          <w:rFonts w:ascii="Verdana" w:hAnsi="Verdana"/>
        </w:rPr>
        <w:t>t</w:t>
      </w:r>
      <w:r w:rsidR="006B6914">
        <w:rPr>
          <w:rFonts w:ascii="Verdana" w:hAnsi="Verdana"/>
        </w:rPr>
        <w:t xml:space="preserve"> the Istanbul Convention and </w:t>
      </w:r>
      <w:r w:rsidR="004D353D">
        <w:rPr>
          <w:rFonts w:ascii="Verdana" w:hAnsi="Verdana"/>
        </w:rPr>
        <w:t>improve</w:t>
      </w:r>
      <w:r w:rsidR="006B6914">
        <w:rPr>
          <w:rFonts w:ascii="Verdana" w:hAnsi="Verdana"/>
        </w:rPr>
        <w:t xml:space="preserve"> public funding to support access to justice for victims.</w:t>
      </w:r>
    </w:p>
    <w:p w14:paraId="0D1EB54F" w14:textId="77777777" w:rsidR="00463C28" w:rsidRPr="00D55B2B" w:rsidRDefault="00463C28" w:rsidP="007E262A">
      <w:pPr>
        <w:spacing w:line="360" w:lineRule="auto"/>
        <w:ind w:right="-478"/>
        <w:jc w:val="both"/>
        <w:rPr>
          <w:rFonts w:ascii="Verdana" w:hAnsi="Verdana"/>
          <w:b/>
          <w:i/>
        </w:rPr>
      </w:pPr>
    </w:p>
    <w:p w14:paraId="6E1E3F7C" w14:textId="77777777" w:rsidR="00C10657" w:rsidRDefault="00C10657" w:rsidP="007E262A">
      <w:pPr>
        <w:spacing w:line="360" w:lineRule="auto"/>
        <w:ind w:left="142" w:right="-478"/>
        <w:jc w:val="both"/>
        <w:rPr>
          <w:rFonts w:ascii="Verdana" w:hAnsi="Verdana"/>
        </w:rPr>
      </w:pPr>
      <w:r w:rsidRPr="00D55B2B">
        <w:rPr>
          <w:rFonts w:ascii="Verdana" w:hAnsi="Verdana"/>
        </w:rPr>
        <w:t xml:space="preserve">Both Russia and England are signatories to a range of international instruments which seek to deter domestic abuse, provide protection for survivors and punish perpetrators. Unlike England and Wales, which requires international legislation to be formally ratified by parliament and incorporated domestically through implementing legislation in order to become binding, Article 17 of the Russian Constitution provides that all persons shall have </w:t>
      </w:r>
      <w:r w:rsidR="00FB51B1" w:rsidRPr="00D55B2B">
        <w:rPr>
          <w:rFonts w:ascii="Verdana" w:hAnsi="Verdana"/>
        </w:rPr>
        <w:t>‘</w:t>
      </w:r>
      <w:r w:rsidRPr="00D55B2B">
        <w:rPr>
          <w:rFonts w:ascii="Verdana" w:hAnsi="Verdana"/>
        </w:rPr>
        <w:t>all rights and freedoms in accordance with generally respected principles and norms of international law</w:t>
      </w:r>
      <w:r w:rsidR="00FB51B1" w:rsidRPr="00D55B2B">
        <w:rPr>
          <w:rFonts w:ascii="Verdana" w:hAnsi="Verdana"/>
        </w:rPr>
        <w:t>’</w:t>
      </w:r>
      <w:r w:rsidRPr="00D55B2B">
        <w:rPr>
          <w:rFonts w:ascii="Verdana" w:hAnsi="Verdana"/>
        </w:rPr>
        <w:t xml:space="preserve">. In cases of conflict between domestic and international provisions, international law takes precedence. In Russia, there is therefore no need for implementing legislation. </w:t>
      </w:r>
    </w:p>
    <w:p w14:paraId="6DC84569" w14:textId="77777777" w:rsidR="00C10657" w:rsidRDefault="00C10657" w:rsidP="0060450D">
      <w:pPr>
        <w:spacing w:line="360" w:lineRule="auto"/>
        <w:ind w:right="-478"/>
        <w:jc w:val="both"/>
        <w:rPr>
          <w:rFonts w:ascii="Verdana" w:hAnsi="Verdana"/>
        </w:rPr>
      </w:pPr>
    </w:p>
    <w:p w14:paraId="371BBB97" w14:textId="77777777" w:rsidR="00746E17" w:rsidRPr="0060450D" w:rsidRDefault="00746E17" w:rsidP="0060450D">
      <w:pPr>
        <w:pStyle w:val="ListParagraph"/>
        <w:numPr>
          <w:ilvl w:val="0"/>
          <w:numId w:val="31"/>
        </w:numPr>
        <w:spacing w:line="360" w:lineRule="auto"/>
        <w:ind w:right="-478" w:hanging="578"/>
        <w:jc w:val="both"/>
        <w:rPr>
          <w:rFonts w:ascii="Verdana" w:hAnsi="Verdana"/>
          <w:u w:val="single"/>
        </w:rPr>
      </w:pPr>
      <w:r w:rsidRPr="0060450D">
        <w:rPr>
          <w:rFonts w:ascii="Verdana" w:hAnsi="Verdana"/>
          <w:u w:val="single"/>
        </w:rPr>
        <w:t>The Convention on the Elimination of All Forms of Discrimination against Women (CEDAW)</w:t>
      </w:r>
    </w:p>
    <w:p w14:paraId="3DF85FCE" w14:textId="77777777" w:rsidR="00746E17" w:rsidRPr="00D55B2B" w:rsidRDefault="00746E17" w:rsidP="007E262A">
      <w:pPr>
        <w:spacing w:line="360" w:lineRule="auto"/>
        <w:ind w:left="142" w:right="-478"/>
        <w:jc w:val="both"/>
        <w:rPr>
          <w:rFonts w:ascii="Verdana" w:hAnsi="Verdana"/>
        </w:rPr>
      </w:pPr>
    </w:p>
    <w:p w14:paraId="7C803467" w14:textId="77777777" w:rsidR="003415BD" w:rsidRPr="00D55B2B" w:rsidRDefault="00C10657" w:rsidP="0060450D">
      <w:pPr>
        <w:spacing w:line="360" w:lineRule="auto"/>
        <w:ind w:left="851" w:right="-478"/>
        <w:jc w:val="both"/>
        <w:rPr>
          <w:rFonts w:ascii="Verdana" w:hAnsi="Verdana"/>
        </w:rPr>
      </w:pPr>
      <w:r w:rsidRPr="00D55B2B">
        <w:rPr>
          <w:rFonts w:ascii="Verdana" w:hAnsi="Verdana"/>
        </w:rPr>
        <w:t>The first instrument to which both Russia and England are signatories is the Convention on the Elimination of All Forms of Discrimination against Women (CEDAW), which together with its Optional Protocol was ratified by Russia in 1981</w:t>
      </w:r>
      <w:r w:rsidR="00BE365D" w:rsidRPr="00D55B2B">
        <w:rPr>
          <w:rFonts w:ascii="Verdana" w:hAnsi="Verdana"/>
        </w:rPr>
        <w:t xml:space="preserve"> and the UK in 1986</w:t>
      </w:r>
      <w:r w:rsidRPr="00D55B2B">
        <w:rPr>
          <w:rFonts w:ascii="Verdana" w:hAnsi="Verdana"/>
        </w:rPr>
        <w:t>. CEDAW imposes affirmative obligations on signatory states, including the requirement to promote equality of men and wo</w:t>
      </w:r>
      <w:r w:rsidR="00426A54" w:rsidRPr="00D55B2B">
        <w:rPr>
          <w:rFonts w:ascii="Verdana" w:hAnsi="Verdana"/>
        </w:rPr>
        <w:t>men in legal systems, abolish</w:t>
      </w:r>
      <w:r w:rsidRPr="00D55B2B">
        <w:rPr>
          <w:rFonts w:ascii="Verdana" w:hAnsi="Verdana"/>
        </w:rPr>
        <w:t xml:space="preserve"> all discriminatory laws and adopt appropriate laws prohibiting discrimination against women; establish tribunals and other public institutions to ensure the effective protection of women against discrimination; and ensur</w:t>
      </w:r>
      <w:r w:rsidR="005F2437" w:rsidRPr="00D55B2B">
        <w:rPr>
          <w:rFonts w:ascii="Verdana" w:hAnsi="Verdana"/>
        </w:rPr>
        <w:t>e</w:t>
      </w:r>
      <w:r w:rsidRPr="00D55B2B">
        <w:rPr>
          <w:rFonts w:ascii="Verdana" w:hAnsi="Verdana"/>
        </w:rPr>
        <w:t xml:space="preserve"> elimination of all acts of discrimination against women by persons, organisations or enterprises</w:t>
      </w:r>
      <w:r w:rsidR="00767D69" w:rsidRPr="00D55B2B">
        <w:rPr>
          <w:rFonts w:ascii="Verdana" w:hAnsi="Verdana"/>
        </w:rPr>
        <w:t>.</w:t>
      </w:r>
      <w:r w:rsidRPr="00D55B2B">
        <w:rPr>
          <w:rStyle w:val="FootnoteReference"/>
          <w:rFonts w:ascii="Verdana" w:hAnsi="Verdana"/>
        </w:rPr>
        <w:footnoteReference w:id="82"/>
      </w:r>
      <w:r w:rsidRPr="00D55B2B">
        <w:rPr>
          <w:rFonts w:ascii="Verdana" w:hAnsi="Verdana"/>
        </w:rPr>
        <w:t xml:space="preserve"> </w:t>
      </w:r>
      <w:r w:rsidR="005F2437" w:rsidRPr="00D55B2B">
        <w:rPr>
          <w:rFonts w:ascii="Verdana" w:hAnsi="Verdana"/>
        </w:rPr>
        <w:t>Compliance with these requirements is achieved through</w:t>
      </w:r>
      <w:r w:rsidR="00A11355" w:rsidRPr="00D55B2B">
        <w:rPr>
          <w:rFonts w:ascii="Verdana" w:hAnsi="Verdana"/>
        </w:rPr>
        <w:t xml:space="preserve"> the “due diligence” standard, which</w:t>
      </w:r>
      <w:r w:rsidR="004660BF" w:rsidRPr="00D55B2B">
        <w:rPr>
          <w:rFonts w:ascii="Verdana" w:hAnsi="Verdana"/>
        </w:rPr>
        <w:t xml:space="preserve"> requires governments to take positive action and</w:t>
      </w:r>
      <w:r w:rsidR="00A11355" w:rsidRPr="00D55B2B">
        <w:rPr>
          <w:rFonts w:ascii="Verdana" w:hAnsi="Verdana"/>
        </w:rPr>
        <w:t xml:space="preserve"> ensures </w:t>
      </w:r>
      <w:r w:rsidR="004660BF" w:rsidRPr="00D55B2B">
        <w:rPr>
          <w:rFonts w:ascii="Verdana" w:hAnsi="Verdana"/>
        </w:rPr>
        <w:t>they can be</w:t>
      </w:r>
      <w:r w:rsidR="00A11355" w:rsidRPr="00D55B2B">
        <w:rPr>
          <w:rFonts w:ascii="Verdana" w:hAnsi="Verdana"/>
        </w:rPr>
        <w:t xml:space="preserve"> held</w:t>
      </w:r>
      <w:r w:rsidR="004660BF" w:rsidRPr="00D55B2B">
        <w:rPr>
          <w:rFonts w:ascii="Verdana" w:hAnsi="Verdana"/>
        </w:rPr>
        <w:t xml:space="preserve"> account for tacitly condoning </w:t>
      </w:r>
      <w:r w:rsidR="00A11355" w:rsidRPr="00D55B2B">
        <w:rPr>
          <w:rFonts w:ascii="Verdana" w:hAnsi="Verdana"/>
        </w:rPr>
        <w:t>violence where they make little or no effort to prevent it.</w:t>
      </w:r>
      <w:r w:rsidR="00864A11" w:rsidRPr="00D55B2B">
        <w:rPr>
          <w:rFonts w:ascii="Verdana" w:hAnsi="Verdana"/>
        </w:rPr>
        <w:t xml:space="preserve"> The due diligence requirement </w:t>
      </w:r>
      <w:r w:rsidR="00A62FEB" w:rsidRPr="00D55B2B">
        <w:rPr>
          <w:rFonts w:ascii="Verdana" w:hAnsi="Verdana"/>
        </w:rPr>
        <w:t xml:space="preserve">emerged from </w:t>
      </w:r>
      <w:r w:rsidR="00864A11" w:rsidRPr="00D55B2B">
        <w:rPr>
          <w:rFonts w:ascii="Verdana" w:hAnsi="Verdana"/>
        </w:rPr>
        <w:t xml:space="preserve">the case of </w:t>
      </w:r>
      <w:r w:rsidR="00864A11" w:rsidRPr="00D55B2B">
        <w:rPr>
          <w:rFonts w:ascii="Verdana" w:hAnsi="Verdana"/>
          <w:i/>
          <w:iCs/>
        </w:rPr>
        <w:t>Velasquez Rodriguez v. Honduras</w:t>
      </w:r>
      <w:r w:rsidR="00260E34" w:rsidRPr="00D55B2B">
        <w:rPr>
          <w:rStyle w:val="FootnoteReference"/>
          <w:rFonts w:ascii="Verdana" w:hAnsi="Verdana"/>
          <w:iCs/>
        </w:rPr>
        <w:footnoteReference w:id="83"/>
      </w:r>
      <w:r w:rsidR="00864A11" w:rsidRPr="00D55B2B">
        <w:rPr>
          <w:rFonts w:ascii="Verdana" w:hAnsi="Verdana"/>
        </w:rPr>
        <w:t xml:space="preserve"> </w:t>
      </w:r>
      <w:r w:rsidR="000551BA" w:rsidRPr="00D55B2B">
        <w:rPr>
          <w:rFonts w:ascii="Verdana" w:hAnsi="Verdana"/>
        </w:rPr>
        <w:t xml:space="preserve">which found that </w:t>
      </w:r>
      <w:r w:rsidR="00864A11" w:rsidRPr="00D55B2B">
        <w:rPr>
          <w:rFonts w:ascii="Verdana" w:hAnsi="Verdana"/>
        </w:rPr>
        <w:t xml:space="preserve">an illegal act </w:t>
      </w:r>
      <w:r w:rsidR="00ED43F5" w:rsidRPr="00D55B2B">
        <w:rPr>
          <w:rFonts w:ascii="Verdana" w:hAnsi="Verdana"/>
        </w:rPr>
        <w:t>‘</w:t>
      </w:r>
      <w:r w:rsidR="00864A11" w:rsidRPr="00D55B2B">
        <w:rPr>
          <w:rFonts w:ascii="Verdana" w:hAnsi="Verdana"/>
        </w:rPr>
        <w:t xml:space="preserve">which violates human rights and which is initially not directly imputable to a State … can lead to international responsibility of the State, not because of the act itself, but because of the lack of </w:t>
      </w:r>
      <w:r w:rsidR="00864A11" w:rsidRPr="00D55B2B">
        <w:rPr>
          <w:rFonts w:ascii="Verdana" w:hAnsi="Verdana"/>
          <w:i/>
          <w:iCs/>
        </w:rPr>
        <w:t>due diligence</w:t>
      </w:r>
      <w:r w:rsidR="00864A11" w:rsidRPr="00D55B2B">
        <w:rPr>
          <w:rFonts w:ascii="Verdana" w:hAnsi="Verdana"/>
        </w:rPr>
        <w:t xml:space="preserve"> to prevent the violation or to respond to it</w:t>
      </w:r>
      <w:r w:rsidR="00ED43F5" w:rsidRPr="00D55B2B">
        <w:rPr>
          <w:rFonts w:ascii="Verdana" w:hAnsi="Verdana"/>
        </w:rPr>
        <w:t>’</w:t>
      </w:r>
      <w:r w:rsidR="0053041E" w:rsidRPr="00D55B2B">
        <w:rPr>
          <w:rFonts w:ascii="Verdana" w:hAnsi="Verdana"/>
        </w:rPr>
        <w:t>.</w:t>
      </w:r>
      <w:r w:rsidR="00462946" w:rsidRPr="00D55B2B">
        <w:rPr>
          <w:rStyle w:val="FootnoteReference"/>
          <w:rFonts w:ascii="Verdana" w:hAnsi="Verdana"/>
        </w:rPr>
        <w:footnoteReference w:id="84"/>
      </w:r>
    </w:p>
    <w:p w14:paraId="5D675A10" w14:textId="77777777" w:rsidR="003415BD" w:rsidRPr="00D55B2B" w:rsidRDefault="003415BD" w:rsidP="0060450D">
      <w:pPr>
        <w:spacing w:line="360" w:lineRule="auto"/>
        <w:ind w:left="851" w:right="-478"/>
        <w:jc w:val="both"/>
        <w:rPr>
          <w:rFonts w:ascii="Verdana" w:hAnsi="Verdana"/>
        </w:rPr>
      </w:pPr>
    </w:p>
    <w:p w14:paraId="60F70163" w14:textId="28EAD6F3" w:rsidR="00C10657" w:rsidRPr="00D55B2B" w:rsidRDefault="00C32626" w:rsidP="0060450D">
      <w:pPr>
        <w:spacing w:line="360" w:lineRule="auto"/>
        <w:ind w:left="851" w:right="-478"/>
        <w:jc w:val="both"/>
        <w:rPr>
          <w:rFonts w:ascii="Verdana" w:hAnsi="Verdana"/>
          <w:position w:val="10"/>
        </w:rPr>
      </w:pPr>
      <w:r>
        <w:rPr>
          <w:rFonts w:ascii="Verdana" w:hAnsi="Verdana"/>
        </w:rPr>
        <w:t>V</w:t>
      </w:r>
      <w:r w:rsidR="00C10657" w:rsidRPr="00D55B2B">
        <w:rPr>
          <w:rFonts w:ascii="Verdana" w:hAnsi="Verdana"/>
        </w:rPr>
        <w:t>iolence against women is not directly referred to in the text of the original Convention, General Recommendation No. 19 which was adopted in 1992, states that the</w:t>
      </w:r>
      <w:r w:rsidR="00C32C1E" w:rsidRPr="00D55B2B">
        <w:rPr>
          <w:rFonts w:ascii="Verdana" w:hAnsi="Verdana"/>
        </w:rPr>
        <w:t xml:space="preserve"> </w:t>
      </w:r>
      <w:r w:rsidR="00C10657" w:rsidRPr="00D55B2B">
        <w:rPr>
          <w:rFonts w:ascii="Verdana" w:hAnsi="Verdana"/>
        </w:rPr>
        <w:t>definition of discrimination in Article I</w:t>
      </w:r>
      <w:r w:rsidR="00110DC0" w:rsidRPr="00D55B2B">
        <w:rPr>
          <w:rFonts w:ascii="Verdana" w:hAnsi="Verdana"/>
        </w:rPr>
        <w:t xml:space="preserve"> includes</w:t>
      </w:r>
      <w:r w:rsidR="00C10657" w:rsidRPr="00D55B2B">
        <w:rPr>
          <w:rFonts w:ascii="Verdana" w:hAnsi="Verdana"/>
        </w:rPr>
        <w:t xml:space="preserve"> </w:t>
      </w:r>
      <w:r w:rsidR="00ED43F5" w:rsidRPr="00D55B2B">
        <w:rPr>
          <w:rFonts w:ascii="Verdana" w:hAnsi="Verdana"/>
        </w:rPr>
        <w:t>‘</w:t>
      </w:r>
      <w:r w:rsidR="00C10657" w:rsidRPr="00D55B2B">
        <w:rPr>
          <w:rFonts w:ascii="Verdana" w:hAnsi="Verdana"/>
        </w:rPr>
        <w:t>violence directed against a woman because she is a woman or that affects women disproportionately</w:t>
      </w:r>
      <w:r w:rsidR="00ED43F5" w:rsidRPr="00D55B2B">
        <w:rPr>
          <w:rFonts w:ascii="Verdana" w:hAnsi="Verdana"/>
        </w:rPr>
        <w:t>’</w:t>
      </w:r>
      <w:r w:rsidR="00CE5D2C" w:rsidRPr="00D55B2B">
        <w:rPr>
          <w:rFonts w:ascii="Verdana" w:hAnsi="Verdana"/>
        </w:rPr>
        <w:t>.</w:t>
      </w:r>
      <w:r w:rsidR="00C10657" w:rsidRPr="00D55B2B">
        <w:rPr>
          <w:rStyle w:val="FootnoteReference"/>
          <w:rFonts w:ascii="Verdana" w:hAnsi="Verdana"/>
        </w:rPr>
        <w:footnoteReference w:id="85"/>
      </w:r>
      <w:r w:rsidR="00ED65D3" w:rsidRPr="00D55B2B">
        <w:rPr>
          <w:rFonts w:ascii="Verdana" w:hAnsi="Verdana"/>
        </w:rPr>
        <w:t xml:space="preserve"> As the </w:t>
      </w:r>
      <w:r w:rsidR="00C541AE" w:rsidRPr="00D55B2B">
        <w:rPr>
          <w:rFonts w:ascii="Verdana" w:hAnsi="Verdana"/>
        </w:rPr>
        <w:t xml:space="preserve">statistics examined above demonstrated, in both England and Russia, domestic abuse is </w:t>
      </w:r>
      <w:r w:rsidR="009C47E1" w:rsidRPr="00D55B2B">
        <w:rPr>
          <w:rFonts w:ascii="Verdana" w:hAnsi="Verdana"/>
        </w:rPr>
        <w:t>disproportionately perpetrated against women</w:t>
      </w:r>
      <w:r w:rsidR="00BF4106" w:rsidRPr="00D55B2B">
        <w:rPr>
          <w:rFonts w:ascii="Verdana" w:hAnsi="Verdana"/>
        </w:rPr>
        <w:t xml:space="preserve"> </w:t>
      </w:r>
      <w:r w:rsidR="00F0346F" w:rsidRPr="00D55B2B">
        <w:rPr>
          <w:rFonts w:ascii="Verdana" w:hAnsi="Verdana"/>
        </w:rPr>
        <w:t xml:space="preserve">by men </w:t>
      </w:r>
      <w:r w:rsidR="00BF4106" w:rsidRPr="00D55B2B">
        <w:rPr>
          <w:rFonts w:ascii="Verdana" w:hAnsi="Verdana"/>
        </w:rPr>
        <w:t>and would therefore fall under the scope of CEDAW</w:t>
      </w:r>
      <w:r w:rsidR="009C47E1" w:rsidRPr="00D55B2B">
        <w:rPr>
          <w:rFonts w:ascii="Verdana" w:hAnsi="Verdana"/>
        </w:rPr>
        <w:t xml:space="preserve">. </w:t>
      </w:r>
    </w:p>
    <w:p w14:paraId="7EFD0A2E" w14:textId="77777777" w:rsidR="0042007A" w:rsidRPr="00D55B2B" w:rsidRDefault="0042007A" w:rsidP="0060450D">
      <w:pPr>
        <w:spacing w:line="360" w:lineRule="auto"/>
        <w:ind w:left="851"/>
        <w:jc w:val="both"/>
        <w:rPr>
          <w:rFonts w:ascii="Verdana" w:hAnsi="Verdana"/>
          <w:position w:val="10"/>
        </w:rPr>
      </w:pPr>
    </w:p>
    <w:p w14:paraId="4C7C7109" w14:textId="77777777" w:rsidR="00BD4E0E" w:rsidRPr="00D55B2B" w:rsidRDefault="00547E1F" w:rsidP="0060450D">
      <w:pPr>
        <w:snapToGrid w:val="0"/>
        <w:spacing w:line="360" w:lineRule="auto"/>
        <w:ind w:left="851" w:right="-476"/>
        <w:jc w:val="both"/>
        <w:rPr>
          <w:rFonts w:ascii="Verdana" w:hAnsi="Verdana"/>
        </w:rPr>
      </w:pPr>
      <w:r>
        <w:rPr>
          <w:rFonts w:ascii="Verdana" w:hAnsi="Verdana"/>
        </w:rPr>
        <w:t>T</w:t>
      </w:r>
      <w:r w:rsidR="00AA41EA" w:rsidRPr="00D55B2B">
        <w:rPr>
          <w:rFonts w:ascii="Verdana" w:hAnsi="Verdana"/>
        </w:rPr>
        <w:t xml:space="preserve">here is some recognition of the need for equality and freedom from discrimination within Russian domestic law. This is contained in the Constitution of the Russian Federation which guarantees equal protection for the sexes under the law. Article 19 of the Constitution states that </w:t>
      </w:r>
      <w:r w:rsidR="00ED43F5" w:rsidRPr="00D55B2B">
        <w:rPr>
          <w:rFonts w:ascii="Verdana" w:hAnsi="Verdana"/>
        </w:rPr>
        <w:t>‘</w:t>
      </w:r>
      <w:r w:rsidR="00AA41EA" w:rsidRPr="00D55B2B">
        <w:rPr>
          <w:rFonts w:ascii="Verdana" w:hAnsi="Verdana"/>
        </w:rPr>
        <w:t>man and woman shall enjoy rights and freedoms and have equal possibilities to exercise them</w:t>
      </w:r>
      <w:r w:rsidR="00ED43F5" w:rsidRPr="00D55B2B">
        <w:rPr>
          <w:rFonts w:ascii="Verdana" w:hAnsi="Verdana"/>
        </w:rPr>
        <w:t>’</w:t>
      </w:r>
      <w:r w:rsidR="00AA41EA" w:rsidRPr="00D55B2B">
        <w:rPr>
          <w:rFonts w:ascii="Verdana" w:hAnsi="Verdana"/>
        </w:rPr>
        <w:t xml:space="preserve">. </w:t>
      </w:r>
      <w:r>
        <w:rPr>
          <w:rFonts w:ascii="Verdana" w:hAnsi="Verdana"/>
        </w:rPr>
        <w:t>A</w:t>
      </w:r>
      <w:r w:rsidR="007C4184" w:rsidRPr="00D55B2B">
        <w:rPr>
          <w:rFonts w:ascii="Verdana" w:hAnsi="Verdana"/>
        </w:rPr>
        <w:t>s has been considered above,</w:t>
      </w:r>
      <w:r>
        <w:rPr>
          <w:rFonts w:ascii="Verdana" w:hAnsi="Verdana"/>
        </w:rPr>
        <w:t xml:space="preserve"> however,</w:t>
      </w:r>
      <w:r w:rsidR="007C4184" w:rsidRPr="00D55B2B">
        <w:rPr>
          <w:rFonts w:ascii="Verdana" w:hAnsi="Verdana"/>
        </w:rPr>
        <w:t xml:space="preserve"> the reality is that</w:t>
      </w:r>
      <w:r w:rsidR="00AA41EA" w:rsidRPr="00D55B2B">
        <w:rPr>
          <w:rFonts w:ascii="Verdana" w:hAnsi="Verdana"/>
        </w:rPr>
        <w:t xml:space="preserve"> this provision is often frustrated by the criminal justice response to domestic abuse which is fraught with difficulties, making convictions hard to secure and access to justice fo</w:t>
      </w:r>
      <w:r w:rsidR="007C4184" w:rsidRPr="00D55B2B">
        <w:rPr>
          <w:rFonts w:ascii="Verdana" w:hAnsi="Verdana"/>
        </w:rPr>
        <w:t>r victims a near impossibility</w:t>
      </w:r>
      <w:r w:rsidR="004F1D39" w:rsidRPr="00D55B2B">
        <w:rPr>
          <w:rFonts w:ascii="Verdana" w:hAnsi="Verdana"/>
        </w:rPr>
        <w:t xml:space="preserve">. </w:t>
      </w:r>
    </w:p>
    <w:p w14:paraId="5D093684" w14:textId="77777777" w:rsidR="00BD4E0E" w:rsidRPr="00D55B2B" w:rsidRDefault="00BD4E0E" w:rsidP="0060450D">
      <w:pPr>
        <w:snapToGrid w:val="0"/>
        <w:spacing w:line="360" w:lineRule="auto"/>
        <w:ind w:left="851" w:right="-476"/>
        <w:jc w:val="both"/>
        <w:rPr>
          <w:rFonts w:ascii="Verdana" w:hAnsi="Verdana"/>
          <w:position w:val="10"/>
        </w:rPr>
      </w:pPr>
    </w:p>
    <w:p w14:paraId="457D5466" w14:textId="77777777" w:rsidR="007C4184" w:rsidRPr="00D55B2B" w:rsidRDefault="006932A9" w:rsidP="0060450D">
      <w:pPr>
        <w:snapToGrid w:val="0"/>
        <w:spacing w:line="360" w:lineRule="auto"/>
        <w:ind w:left="851" w:right="-476"/>
        <w:jc w:val="both"/>
        <w:rPr>
          <w:rFonts w:ascii="Verdana" w:hAnsi="Verdana"/>
        </w:rPr>
      </w:pPr>
      <w:r w:rsidRPr="00D55B2B">
        <w:rPr>
          <w:rFonts w:ascii="Verdana" w:hAnsi="Verdana"/>
          <w:position w:val="10"/>
        </w:rPr>
        <w:t xml:space="preserve">The </w:t>
      </w:r>
      <w:r w:rsidR="004F1D39" w:rsidRPr="00D55B2B">
        <w:rPr>
          <w:rFonts w:ascii="Verdana" w:hAnsi="Verdana"/>
          <w:position w:val="10"/>
        </w:rPr>
        <w:t>failure to implement effective enforcement responses, adequate measures of protection and to prosecute</w:t>
      </w:r>
      <w:r w:rsidR="00E84A00" w:rsidRPr="00D55B2B">
        <w:rPr>
          <w:rFonts w:ascii="Verdana" w:hAnsi="Verdana"/>
          <w:position w:val="10"/>
        </w:rPr>
        <w:t xml:space="preserve"> perpetrators </w:t>
      </w:r>
      <w:r w:rsidR="00F144E4" w:rsidRPr="00D55B2B">
        <w:rPr>
          <w:rFonts w:ascii="Verdana" w:hAnsi="Verdana"/>
          <w:position w:val="10"/>
        </w:rPr>
        <w:t xml:space="preserve">in Russia </w:t>
      </w:r>
      <w:r w:rsidR="007C4184" w:rsidRPr="00D55B2B">
        <w:rPr>
          <w:rFonts w:ascii="Verdana" w:hAnsi="Verdana"/>
          <w:position w:val="10"/>
        </w:rPr>
        <w:t>arguably allows domestic abuse to continue unabated. A specific example of failure to carry out due diligence is in relation to training law enforcement</w:t>
      </w:r>
      <w:r w:rsidR="00ED43F5" w:rsidRPr="00D55B2B">
        <w:rPr>
          <w:rFonts w:ascii="Verdana" w:hAnsi="Verdana"/>
          <w:position w:val="10"/>
        </w:rPr>
        <w:t xml:space="preserve"> officers</w:t>
      </w:r>
      <w:r w:rsidR="007C4184" w:rsidRPr="00D55B2B">
        <w:rPr>
          <w:rFonts w:ascii="Verdana" w:hAnsi="Verdana"/>
          <w:position w:val="10"/>
        </w:rPr>
        <w:t xml:space="preserve"> regarding domestic abuse cases and ensuring they actively investigate cases. To comply with their obligations, the police should respond to every request for assistance, assign equal protection to calls concerning abuse by family members as to calls regarding abuse perpetrated by strangers, provide protection to victims of violence and arrange for the perpetrator to be removed from the home if the </w:t>
      </w:r>
      <w:r w:rsidR="00276732" w:rsidRPr="00D55B2B">
        <w:rPr>
          <w:rFonts w:ascii="Verdana" w:hAnsi="Verdana"/>
          <w:position w:val="10"/>
        </w:rPr>
        <w:t>threat of further violence remains</w:t>
      </w:r>
      <w:r w:rsidR="00757C3B" w:rsidRPr="00D55B2B">
        <w:rPr>
          <w:rFonts w:ascii="Verdana" w:hAnsi="Verdana"/>
          <w:position w:val="10"/>
        </w:rPr>
        <w:t>.</w:t>
      </w:r>
      <w:r w:rsidR="007C4184" w:rsidRPr="00D55B2B">
        <w:rPr>
          <w:rStyle w:val="FootnoteReference"/>
          <w:rFonts w:ascii="Verdana" w:hAnsi="Verdana"/>
          <w:position w:val="10"/>
        </w:rPr>
        <w:footnoteReference w:id="86"/>
      </w:r>
      <w:r w:rsidR="007C4184" w:rsidRPr="00D55B2B">
        <w:rPr>
          <w:rFonts w:ascii="Verdana" w:hAnsi="Verdana"/>
          <w:position w:val="10"/>
        </w:rPr>
        <w:t xml:space="preserve"> The evidence considered in this article so far, suggests that the law enforcement response in Russia falls short at every stage. In contrast, in England and Wales, many police constabularies have specialist domestic abuse officers and </w:t>
      </w:r>
      <w:r w:rsidR="00E030E8" w:rsidRPr="00D55B2B">
        <w:rPr>
          <w:rFonts w:ascii="Verdana" w:hAnsi="Verdana"/>
          <w:position w:val="10"/>
        </w:rPr>
        <w:t>there is clear police guidance in place setting out the approach that officers should take in domestic abuse cases</w:t>
      </w:r>
      <w:r w:rsidR="006F7B98" w:rsidRPr="00D55B2B">
        <w:rPr>
          <w:rFonts w:ascii="Verdana" w:hAnsi="Verdana"/>
          <w:position w:val="10"/>
        </w:rPr>
        <w:t>.</w:t>
      </w:r>
      <w:r w:rsidR="007C4184" w:rsidRPr="00D55B2B">
        <w:rPr>
          <w:rStyle w:val="FootnoteReference"/>
          <w:rFonts w:ascii="Verdana" w:hAnsi="Verdana"/>
          <w:position w:val="10"/>
        </w:rPr>
        <w:footnoteReference w:id="87"/>
      </w:r>
      <w:r w:rsidR="007C4184" w:rsidRPr="00D55B2B">
        <w:rPr>
          <w:rFonts w:ascii="Verdana" w:hAnsi="Verdana"/>
          <w:position w:val="10"/>
        </w:rPr>
        <w:t xml:space="preserve"> Further, in England and Wales multiple options are available to secure the immediate protection of the victim including DVPOs/DVPNs and Police Information Notices.</w:t>
      </w:r>
      <w:r w:rsidR="00ED43F5" w:rsidRPr="00D55B2B">
        <w:rPr>
          <w:rFonts w:ascii="Verdana" w:hAnsi="Verdana"/>
          <w:position w:val="10"/>
        </w:rPr>
        <w:t xml:space="preserve"> Although, as addressed above, their inclination to exercise any of these options may be impacted by workload and resources issues.</w:t>
      </w:r>
    </w:p>
    <w:p w14:paraId="741B9CDA" w14:textId="77777777" w:rsidR="007B0C9A" w:rsidRPr="00D55B2B" w:rsidRDefault="007B0C9A" w:rsidP="0060450D">
      <w:pPr>
        <w:spacing w:line="360" w:lineRule="auto"/>
        <w:ind w:left="851" w:right="-478"/>
        <w:jc w:val="both"/>
        <w:rPr>
          <w:rFonts w:ascii="Verdana" w:hAnsi="Verdana"/>
        </w:rPr>
      </w:pPr>
    </w:p>
    <w:p w14:paraId="625D4231" w14:textId="77777777" w:rsidR="00C10657" w:rsidRPr="00D55B2B" w:rsidRDefault="00C10657" w:rsidP="0060450D">
      <w:pPr>
        <w:spacing w:line="360" w:lineRule="auto"/>
        <w:ind w:left="851" w:right="-478"/>
        <w:jc w:val="both"/>
        <w:rPr>
          <w:rFonts w:ascii="Verdana" w:hAnsi="Verdana"/>
          <w:position w:val="10"/>
        </w:rPr>
      </w:pPr>
      <w:r w:rsidRPr="00D55B2B">
        <w:rPr>
          <w:rFonts w:ascii="Verdana" w:hAnsi="Verdana"/>
        </w:rPr>
        <w:t xml:space="preserve">The difficulties that domestic abuse victims face in securing access to justice </w:t>
      </w:r>
      <w:r w:rsidR="00FB34B5" w:rsidRPr="00D55B2B">
        <w:rPr>
          <w:rFonts w:ascii="Verdana" w:hAnsi="Verdana"/>
        </w:rPr>
        <w:t xml:space="preserve">in Russia </w:t>
      </w:r>
      <w:r w:rsidRPr="00D55B2B">
        <w:rPr>
          <w:rFonts w:ascii="Verdana" w:hAnsi="Verdana"/>
        </w:rPr>
        <w:t>have been recognised by the CEDAW Committee in their 2015 review</w:t>
      </w:r>
      <w:r w:rsidR="00A43A18" w:rsidRPr="00D55B2B">
        <w:rPr>
          <w:rFonts w:ascii="Verdana" w:hAnsi="Verdana"/>
        </w:rPr>
        <w:t xml:space="preserve">. </w:t>
      </w:r>
      <w:r w:rsidRPr="00D55B2B">
        <w:rPr>
          <w:rFonts w:ascii="Verdana" w:hAnsi="Verdana"/>
        </w:rPr>
        <w:t>The review acknowledged the high prevalence of domestic and sexual violence against women and criticised the absence of legislation to prevent and address violence against women, including domestic abuse and the state services to provide assistance to victims</w:t>
      </w:r>
      <w:r w:rsidR="00370FD3" w:rsidRPr="00D55B2B">
        <w:rPr>
          <w:rFonts w:ascii="Verdana" w:hAnsi="Verdana"/>
        </w:rPr>
        <w:t>.</w:t>
      </w:r>
      <w:r w:rsidRPr="00D55B2B">
        <w:rPr>
          <w:rStyle w:val="FootnoteReference"/>
          <w:rFonts w:ascii="Verdana" w:hAnsi="Verdana"/>
        </w:rPr>
        <w:footnoteReference w:id="88"/>
      </w:r>
      <w:r w:rsidRPr="00D55B2B">
        <w:rPr>
          <w:rFonts w:ascii="Verdana" w:hAnsi="Verdana"/>
        </w:rPr>
        <w:t xml:space="preserve"> </w:t>
      </w:r>
      <w:r w:rsidR="00547E1F">
        <w:rPr>
          <w:rFonts w:ascii="Verdana" w:hAnsi="Verdana"/>
        </w:rPr>
        <w:t>T</w:t>
      </w:r>
      <w:r w:rsidRPr="00D55B2B">
        <w:rPr>
          <w:rFonts w:ascii="Verdana" w:hAnsi="Verdana"/>
        </w:rPr>
        <w:t>he Committee recognised that there was insufficient knowledge within the judiciary and the general public about the rights conferred under CEDAW and the concept of substantive equality of women and men. The Committee made a series of recommendations to the Russian government, including:</w:t>
      </w:r>
    </w:p>
    <w:p w14:paraId="2EC13A54" w14:textId="77777777" w:rsidR="00C10657" w:rsidRPr="00D55B2B" w:rsidRDefault="00C10657" w:rsidP="007E262A">
      <w:pPr>
        <w:spacing w:line="360" w:lineRule="auto"/>
        <w:ind w:left="426" w:right="-478"/>
        <w:jc w:val="both"/>
        <w:rPr>
          <w:rFonts w:ascii="Verdana" w:hAnsi="Verdana"/>
        </w:rPr>
      </w:pPr>
    </w:p>
    <w:p w14:paraId="45E76AE7" w14:textId="77777777" w:rsidR="00C10657" w:rsidRPr="00D55B2B" w:rsidRDefault="00C10657" w:rsidP="0060450D">
      <w:pPr>
        <w:pStyle w:val="ListParagraph"/>
        <w:numPr>
          <w:ilvl w:val="0"/>
          <w:numId w:val="11"/>
        </w:numPr>
        <w:spacing w:line="360" w:lineRule="auto"/>
        <w:ind w:left="1276" w:right="-478"/>
        <w:jc w:val="both"/>
        <w:rPr>
          <w:rFonts w:ascii="Verdana" w:hAnsi="Verdana"/>
          <w:lang w:val="en-GB"/>
        </w:rPr>
      </w:pPr>
      <w:r w:rsidRPr="00D55B2B">
        <w:rPr>
          <w:rFonts w:ascii="Verdana" w:hAnsi="Verdana"/>
        </w:rPr>
        <w:t xml:space="preserve">Efforts should be made to ensure that </w:t>
      </w:r>
      <w:r w:rsidRPr="00D55B2B">
        <w:rPr>
          <w:rFonts w:ascii="Verdana" w:hAnsi="Verdana"/>
          <w:lang w:val="en-GB"/>
        </w:rPr>
        <w:t xml:space="preserve">the Convention, the Optional Protocol and the Committee’s general recommendations are understood and applied by </w:t>
      </w:r>
      <w:r w:rsidR="00C77AF7" w:rsidRPr="00D55B2B">
        <w:rPr>
          <w:rFonts w:ascii="Verdana" w:hAnsi="Verdana"/>
          <w:lang w:val="en-GB"/>
        </w:rPr>
        <w:t>the</w:t>
      </w:r>
      <w:r w:rsidRPr="00D55B2B">
        <w:rPr>
          <w:rFonts w:ascii="Verdana" w:hAnsi="Verdana"/>
          <w:lang w:val="en-GB"/>
        </w:rPr>
        <w:t xml:space="preserve"> government, including the judiciary, as a framework for laws, court decisions and policies on gender equality and the advancement of women; </w:t>
      </w:r>
    </w:p>
    <w:p w14:paraId="59FCF735" w14:textId="77777777" w:rsidR="00C10657" w:rsidRPr="00D55B2B" w:rsidRDefault="00C10657" w:rsidP="0060450D">
      <w:pPr>
        <w:pStyle w:val="ListParagraph"/>
        <w:numPr>
          <w:ilvl w:val="0"/>
          <w:numId w:val="11"/>
        </w:numPr>
        <w:spacing w:line="360" w:lineRule="auto"/>
        <w:ind w:left="1276" w:right="-478"/>
        <w:jc w:val="both"/>
        <w:rPr>
          <w:rFonts w:ascii="Verdana" w:hAnsi="Verdana"/>
          <w:lang w:val="en-GB"/>
        </w:rPr>
      </w:pPr>
      <w:r w:rsidRPr="00D55B2B">
        <w:rPr>
          <w:rFonts w:ascii="Verdana" w:hAnsi="Verdana"/>
          <w:lang w:val="en-GB"/>
        </w:rPr>
        <w:t>Enhance women’s awareness of their rights and the remedies available to them under the Convention and national legislation;</w:t>
      </w:r>
    </w:p>
    <w:p w14:paraId="58A49D8B" w14:textId="77777777" w:rsidR="00C10657" w:rsidRPr="00D55B2B" w:rsidRDefault="00C10657" w:rsidP="0060450D">
      <w:pPr>
        <w:pStyle w:val="ListParagraph"/>
        <w:numPr>
          <w:ilvl w:val="0"/>
          <w:numId w:val="11"/>
        </w:numPr>
        <w:spacing w:line="360" w:lineRule="auto"/>
        <w:ind w:left="1276" w:right="-478"/>
        <w:jc w:val="both"/>
        <w:rPr>
          <w:rFonts w:ascii="Verdana" w:hAnsi="Verdana"/>
          <w:lang w:val="en-GB"/>
        </w:rPr>
      </w:pPr>
      <w:r w:rsidRPr="00D55B2B">
        <w:rPr>
          <w:rFonts w:ascii="Verdana" w:hAnsi="Verdana"/>
          <w:lang w:val="en-GB"/>
        </w:rPr>
        <w:t>Ensure the strict application by law enforcement officials of legislation prohibiting gender-based discrimination, including through systematic training of judges, prosecutors and lawyers;</w:t>
      </w:r>
    </w:p>
    <w:p w14:paraId="3E3CCFE9" w14:textId="77777777" w:rsidR="00C10657" w:rsidRPr="00D55B2B" w:rsidRDefault="00C10657" w:rsidP="0060450D">
      <w:pPr>
        <w:pStyle w:val="ListParagraph"/>
        <w:numPr>
          <w:ilvl w:val="0"/>
          <w:numId w:val="11"/>
        </w:numPr>
        <w:spacing w:line="360" w:lineRule="auto"/>
        <w:ind w:left="1276" w:right="-478"/>
        <w:jc w:val="both"/>
        <w:rPr>
          <w:rFonts w:ascii="Verdana" w:hAnsi="Verdana"/>
          <w:lang w:val="en-GB"/>
        </w:rPr>
      </w:pPr>
      <w:r w:rsidRPr="00D55B2B">
        <w:rPr>
          <w:rFonts w:ascii="Verdana" w:hAnsi="Verdana"/>
          <w:lang w:val="en-GB"/>
        </w:rPr>
        <w:t>Collect statistics in relation to gender and abuse which are disaggregated by age, nationality and relationship between the victim and the perpetrator</w:t>
      </w:r>
      <w:r w:rsidR="006B3204" w:rsidRPr="00D55B2B">
        <w:rPr>
          <w:rFonts w:ascii="Verdana" w:hAnsi="Verdana"/>
          <w:lang w:val="en-GB"/>
        </w:rPr>
        <w:t>;</w:t>
      </w:r>
      <w:r w:rsidRPr="00D55B2B">
        <w:rPr>
          <w:rFonts w:ascii="Verdana" w:hAnsi="Verdana"/>
          <w:lang w:val="en-GB"/>
        </w:rPr>
        <w:t xml:space="preserve"> </w:t>
      </w:r>
    </w:p>
    <w:p w14:paraId="483CA989" w14:textId="5444F5D4" w:rsidR="00DE7871" w:rsidRPr="00D55B2B" w:rsidRDefault="00C10657" w:rsidP="0060450D">
      <w:pPr>
        <w:pStyle w:val="ListParagraph"/>
        <w:numPr>
          <w:ilvl w:val="0"/>
          <w:numId w:val="11"/>
        </w:numPr>
        <w:spacing w:line="360" w:lineRule="auto"/>
        <w:ind w:left="1276" w:right="-478"/>
        <w:jc w:val="both"/>
        <w:rPr>
          <w:rFonts w:ascii="Verdana" w:hAnsi="Verdana"/>
          <w:lang w:val="en-GB"/>
        </w:rPr>
      </w:pPr>
      <w:r w:rsidRPr="00D55B2B">
        <w:rPr>
          <w:rFonts w:ascii="Verdana" w:hAnsi="Verdana"/>
          <w:lang w:val="en-GB"/>
        </w:rPr>
        <w:t xml:space="preserve">Adopt comprehensive legislation to prevent and address violence against women, including domestic violence and ensure that women and girls who are victims of violence have access to immediate means of redress and protection and that perpetrators are prosecuted and adequately punished; and </w:t>
      </w:r>
    </w:p>
    <w:p w14:paraId="5A40C2C9" w14:textId="77777777" w:rsidR="00C10657" w:rsidRPr="0060450D" w:rsidRDefault="00C10657" w:rsidP="0060450D">
      <w:pPr>
        <w:pStyle w:val="ListParagraph"/>
        <w:numPr>
          <w:ilvl w:val="0"/>
          <w:numId w:val="11"/>
        </w:numPr>
        <w:spacing w:line="360" w:lineRule="auto"/>
        <w:ind w:left="1276" w:right="-478"/>
        <w:jc w:val="both"/>
        <w:rPr>
          <w:rFonts w:ascii="Verdana" w:hAnsi="Verdana"/>
          <w:lang w:val="en-GB"/>
        </w:rPr>
      </w:pPr>
      <w:r w:rsidRPr="0060450D">
        <w:rPr>
          <w:rFonts w:ascii="Verdana" w:hAnsi="Verdana"/>
          <w:lang w:val="en-GB"/>
        </w:rPr>
        <w:t>Provide adequate assistance and protection to women who are victims of violence, by establishing shelters in both urban and rural areas and enhancing cooperation with non-governmental organisations providing assistance to victims</w:t>
      </w:r>
      <w:r w:rsidR="00370FD3" w:rsidRPr="0060450D">
        <w:rPr>
          <w:rFonts w:ascii="Verdana" w:hAnsi="Verdana"/>
          <w:lang w:val="en-GB"/>
        </w:rPr>
        <w:t>.</w:t>
      </w:r>
      <w:r w:rsidRPr="00D55B2B">
        <w:rPr>
          <w:rStyle w:val="FootnoteReference"/>
          <w:rFonts w:ascii="Verdana" w:hAnsi="Verdana"/>
          <w:lang w:val="en-GB"/>
        </w:rPr>
        <w:footnoteReference w:id="89"/>
      </w:r>
    </w:p>
    <w:p w14:paraId="017D86F2" w14:textId="77777777" w:rsidR="00735F76" w:rsidRPr="00D55B2B" w:rsidRDefault="00DB43CD" w:rsidP="0060450D">
      <w:pPr>
        <w:pStyle w:val="NormalWeb"/>
        <w:spacing w:line="360" w:lineRule="auto"/>
        <w:ind w:left="709" w:right="-478"/>
        <w:jc w:val="both"/>
        <w:rPr>
          <w:rFonts w:ascii="Verdana" w:hAnsi="Verdana"/>
          <w:sz w:val="20"/>
          <w:szCs w:val="20"/>
        </w:rPr>
      </w:pPr>
      <w:r>
        <w:rPr>
          <w:rFonts w:ascii="Verdana" w:hAnsi="Verdana"/>
          <w:sz w:val="20"/>
          <w:szCs w:val="20"/>
        </w:rPr>
        <w:t>As</w:t>
      </w:r>
      <w:r w:rsidR="00742F98" w:rsidRPr="00D55B2B">
        <w:rPr>
          <w:rFonts w:ascii="Verdana" w:hAnsi="Verdana"/>
          <w:sz w:val="20"/>
          <w:szCs w:val="20"/>
        </w:rPr>
        <w:t xml:space="preserve"> Mahserjian notes, the</w:t>
      </w:r>
      <w:r w:rsidR="00C10657" w:rsidRPr="00D55B2B">
        <w:rPr>
          <w:rFonts w:ascii="Verdana" w:hAnsi="Verdana"/>
          <w:sz w:val="20"/>
          <w:szCs w:val="20"/>
        </w:rPr>
        <w:t xml:space="preserve"> United Nations Universal Human Rights Index have made repeated recommendations to the Russian government to provide a statutory definition of domestic violence and more consistently prosecute abusers</w:t>
      </w:r>
      <w:r w:rsidR="00727C8C" w:rsidRPr="00D55B2B">
        <w:rPr>
          <w:rFonts w:ascii="Verdana" w:hAnsi="Verdana"/>
          <w:sz w:val="20"/>
          <w:szCs w:val="20"/>
        </w:rPr>
        <w:t>.</w:t>
      </w:r>
      <w:r w:rsidR="00C10657" w:rsidRPr="00D55B2B">
        <w:rPr>
          <w:rStyle w:val="FootnoteReference"/>
          <w:rFonts w:ascii="Verdana" w:hAnsi="Verdana"/>
          <w:sz w:val="20"/>
          <w:szCs w:val="20"/>
        </w:rPr>
        <w:footnoteReference w:id="90"/>
      </w:r>
      <w:r w:rsidR="00C10657" w:rsidRPr="00D55B2B">
        <w:rPr>
          <w:rFonts w:ascii="Verdana" w:hAnsi="Verdana"/>
          <w:sz w:val="20"/>
          <w:szCs w:val="20"/>
        </w:rPr>
        <w:t xml:space="preserve"> However, as the analysis of the current position in Russia attests, there is no evidence that Russia have </w:t>
      </w:r>
      <w:r w:rsidR="009F2340" w:rsidRPr="00D55B2B">
        <w:rPr>
          <w:rFonts w:ascii="Verdana" w:hAnsi="Verdana"/>
          <w:sz w:val="20"/>
          <w:szCs w:val="20"/>
        </w:rPr>
        <w:t>acknowledged</w:t>
      </w:r>
      <w:r w:rsidR="00C10657" w:rsidRPr="00D55B2B">
        <w:rPr>
          <w:rFonts w:ascii="Verdana" w:hAnsi="Verdana"/>
          <w:sz w:val="20"/>
          <w:szCs w:val="20"/>
        </w:rPr>
        <w:t xml:space="preserve"> any of these recommendations and to date, there have been no proposals to implement a definition of domestic violence or recognise it as a discrete offence. In contrast, the amendments to Article 116 mean that victims have fewer legal remedies than ever before. </w:t>
      </w:r>
      <w:r w:rsidR="00BC2A61" w:rsidRPr="00D55B2B">
        <w:rPr>
          <w:rFonts w:ascii="Verdana" w:hAnsi="Verdana"/>
          <w:sz w:val="20"/>
          <w:szCs w:val="20"/>
        </w:rPr>
        <w:t>The</w:t>
      </w:r>
      <w:r w:rsidR="00C10657" w:rsidRPr="00D55B2B">
        <w:rPr>
          <w:rFonts w:ascii="Verdana" w:hAnsi="Verdana"/>
          <w:sz w:val="20"/>
          <w:szCs w:val="20"/>
        </w:rPr>
        <w:t xml:space="preserve"> Secretary General of the Council of Europe acknowledged that reducing battery within the family from a criminal to an administrative offence, with weaker sanctions for offenders, would be a </w:t>
      </w:r>
      <w:r w:rsidR="009D7C14" w:rsidRPr="00D55B2B">
        <w:rPr>
          <w:rFonts w:ascii="Verdana" w:hAnsi="Verdana"/>
          <w:sz w:val="20"/>
          <w:szCs w:val="20"/>
        </w:rPr>
        <w:t>‘</w:t>
      </w:r>
      <w:r w:rsidR="00C10657" w:rsidRPr="00D55B2B">
        <w:rPr>
          <w:rFonts w:ascii="Verdana" w:hAnsi="Verdana"/>
          <w:sz w:val="20"/>
          <w:szCs w:val="20"/>
        </w:rPr>
        <w:t>clear sign of regression</w:t>
      </w:r>
      <w:r w:rsidR="009D7C14" w:rsidRPr="00D55B2B">
        <w:rPr>
          <w:rFonts w:ascii="Verdana" w:hAnsi="Verdana"/>
          <w:sz w:val="20"/>
          <w:szCs w:val="20"/>
        </w:rPr>
        <w:t>’</w:t>
      </w:r>
      <w:r w:rsidR="00C10657" w:rsidRPr="00D55B2B">
        <w:rPr>
          <w:rFonts w:ascii="Verdana" w:hAnsi="Verdana"/>
          <w:sz w:val="20"/>
          <w:szCs w:val="20"/>
        </w:rPr>
        <w:t xml:space="preserve"> and would </w:t>
      </w:r>
      <w:r w:rsidR="009D7C14" w:rsidRPr="00D55B2B">
        <w:rPr>
          <w:rFonts w:ascii="Verdana" w:hAnsi="Verdana"/>
          <w:sz w:val="20"/>
          <w:szCs w:val="20"/>
        </w:rPr>
        <w:t>‘</w:t>
      </w:r>
      <w:r w:rsidR="00C10657" w:rsidRPr="00D55B2B">
        <w:rPr>
          <w:rFonts w:ascii="Verdana" w:hAnsi="Verdana"/>
          <w:sz w:val="20"/>
          <w:szCs w:val="20"/>
        </w:rPr>
        <w:t>strike a blow to global efforts to eradicate domestic violence</w:t>
      </w:r>
      <w:r w:rsidR="009D7C14" w:rsidRPr="00D55B2B">
        <w:rPr>
          <w:rFonts w:ascii="Verdana" w:hAnsi="Verdana"/>
          <w:sz w:val="20"/>
          <w:szCs w:val="20"/>
        </w:rPr>
        <w:t>’</w:t>
      </w:r>
      <w:r w:rsidR="00E02A02" w:rsidRPr="00D55B2B">
        <w:rPr>
          <w:rFonts w:ascii="Verdana" w:hAnsi="Verdana"/>
          <w:sz w:val="20"/>
          <w:szCs w:val="20"/>
        </w:rPr>
        <w:t>.</w:t>
      </w:r>
      <w:r w:rsidR="002A1D63" w:rsidRPr="00D55B2B">
        <w:rPr>
          <w:rStyle w:val="FootnoteReference"/>
          <w:rFonts w:ascii="Verdana" w:hAnsi="Verdana"/>
          <w:sz w:val="20"/>
          <w:szCs w:val="20"/>
        </w:rPr>
        <w:footnoteReference w:id="91"/>
      </w:r>
      <w:r w:rsidR="00C10657" w:rsidRPr="00D55B2B">
        <w:rPr>
          <w:rFonts w:ascii="Verdana" w:hAnsi="Verdana"/>
          <w:sz w:val="20"/>
          <w:szCs w:val="20"/>
        </w:rPr>
        <w:t xml:space="preserve"> Similarly, the Human Rights Watch described </w:t>
      </w:r>
      <w:r w:rsidR="00443900" w:rsidRPr="00D55B2B">
        <w:rPr>
          <w:rFonts w:ascii="Verdana" w:hAnsi="Verdana"/>
          <w:sz w:val="20"/>
          <w:szCs w:val="20"/>
        </w:rPr>
        <w:t>the amendment as ‘</w:t>
      </w:r>
      <w:r w:rsidR="00C10657" w:rsidRPr="00D55B2B">
        <w:rPr>
          <w:rFonts w:ascii="Verdana" w:hAnsi="Verdana"/>
          <w:sz w:val="20"/>
          <w:szCs w:val="20"/>
        </w:rPr>
        <w:t>dangerous and incompatible with Russia’s interna</w:t>
      </w:r>
      <w:r w:rsidR="00443900" w:rsidRPr="00D55B2B">
        <w:rPr>
          <w:rFonts w:ascii="Verdana" w:hAnsi="Verdana"/>
          <w:sz w:val="20"/>
          <w:szCs w:val="20"/>
        </w:rPr>
        <w:t>tional human rights obligations’</w:t>
      </w:r>
      <w:r w:rsidR="00497613" w:rsidRPr="00D55B2B">
        <w:rPr>
          <w:rFonts w:ascii="Verdana" w:hAnsi="Verdana"/>
          <w:sz w:val="20"/>
          <w:szCs w:val="20"/>
        </w:rPr>
        <w:t>.</w:t>
      </w:r>
      <w:r w:rsidR="00C10657" w:rsidRPr="00D55B2B">
        <w:rPr>
          <w:rStyle w:val="FootnoteReference"/>
          <w:rFonts w:ascii="Verdana" w:hAnsi="Verdana"/>
          <w:sz w:val="20"/>
          <w:szCs w:val="20"/>
        </w:rPr>
        <w:footnoteReference w:id="92"/>
      </w:r>
      <w:r w:rsidR="00C10657" w:rsidRPr="00D55B2B">
        <w:rPr>
          <w:rFonts w:ascii="Verdana" w:hAnsi="Verdana"/>
          <w:sz w:val="20"/>
          <w:szCs w:val="20"/>
        </w:rPr>
        <w:t xml:space="preserve"> Russia’s unwillingness to implement any recommendations may result from the fact that </w:t>
      </w:r>
      <w:r w:rsidR="00604DAB" w:rsidRPr="00D55B2B">
        <w:rPr>
          <w:rFonts w:ascii="Verdana" w:hAnsi="Verdana"/>
          <w:sz w:val="20"/>
          <w:szCs w:val="20"/>
        </w:rPr>
        <w:t>to date there have been</w:t>
      </w:r>
      <w:r w:rsidR="000E77C4" w:rsidRPr="00D55B2B">
        <w:rPr>
          <w:rFonts w:ascii="Verdana" w:hAnsi="Verdana"/>
          <w:sz w:val="20"/>
          <w:szCs w:val="20"/>
        </w:rPr>
        <w:t xml:space="preserve"> no</w:t>
      </w:r>
      <w:r w:rsidR="00C10657" w:rsidRPr="00D55B2B">
        <w:rPr>
          <w:rFonts w:ascii="Verdana" w:hAnsi="Verdana"/>
          <w:sz w:val="20"/>
          <w:szCs w:val="20"/>
        </w:rPr>
        <w:t xml:space="preserve"> legal consequences for their failure to comply</w:t>
      </w:r>
      <w:r w:rsidR="0047629D" w:rsidRPr="00D55B2B">
        <w:rPr>
          <w:rFonts w:ascii="Verdana" w:hAnsi="Verdana"/>
          <w:sz w:val="20"/>
          <w:szCs w:val="20"/>
        </w:rPr>
        <w:t xml:space="preserve"> with the recommendations</w:t>
      </w:r>
      <w:r w:rsidR="00C10657" w:rsidRPr="00D55B2B">
        <w:rPr>
          <w:rFonts w:ascii="Verdana" w:hAnsi="Verdana"/>
          <w:sz w:val="20"/>
          <w:szCs w:val="20"/>
        </w:rPr>
        <w:t xml:space="preserve"> or their overall violations of CEDAW. Instead, violating CEDAW merely opens up Russia to liability for individuals or other States to report them</w:t>
      </w:r>
      <w:r w:rsidR="00497613" w:rsidRPr="00D55B2B">
        <w:rPr>
          <w:rFonts w:ascii="Verdana" w:hAnsi="Verdana"/>
          <w:sz w:val="20"/>
          <w:szCs w:val="20"/>
        </w:rPr>
        <w:t>.</w:t>
      </w:r>
      <w:r w:rsidR="00C10657" w:rsidRPr="00D55B2B">
        <w:rPr>
          <w:rStyle w:val="FootnoteReference"/>
          <w:rFonts w:ascii="Verdana" w:hAnsi="Verdana"/>
          <w:sz w:val="20"/>
          <w:szCs w:val="20"/>
        </w:rPr>
        <w:footnoteReference w:id="93"/>
      </w:r>
      <w:r w:rsidR="00C10657" w:rsidRPr="00D55B2B">
        <w:rPr>
          <w:rFonts w:ascii="Verdana" w:hAnsi="Verdana"/>
          <w:sz w:val="20"/>
          <w:szCs w:val="20"/>
        </w:rPr>
        <w:t xml:space="preserve"> </w:t>
      </w:r>
    </w:p>
    <w:p w14:paraId="47AE90EF" w14:textId="74979FC7" w:rsidR="00C10657" w:rsidRPr="00D55B2B" w:rsidRDefault="00C10657" w:rsidP="0060450D">
      <w:pPr>
        <w:pStyle w:val="NormalWeb"/>
        <w:spacing w:line="360" w:lineRule="auto"/>
        <w:ind w:left="709" w:right="-478"/>
        <w:jc w:val="both"/>
        <w:rPr>
          <w:rFonts w:ascii="Verdana" w:hAnsi="Verdana"/>
          <w:sz w:val="20"/>
          <w:szCs w:val="20"/>
        </w:rPr>
      </w:pPr>
      <w:r w:rsidRPr="00D55B2B">
        <w:rPr>
          <w:rFonts w:ascii="Verdana" w:hAnsi="Verdana"/>
          <w:sz w:val="20"/>
          <w:szCs w:val="20"/>
        </w:rPr>
        <w:t xml:space="preserve">The </w:t>
      </w:r>
      <w:r w:rsidR="00834592" w:rsidRPr="00D55B2B">
        <w:rPr>
          <w:rFonts w:ascii="Verdana" w:hAnsi="Verdana"/>
          <w:sz w:val="20"/>
          <w:szCs w:val="20"/>
        </w:rPr>
        <w:t>UK</w:t>
      </w:r>
      <w:r w:rsidRPr="00D55B2B">
        <w:rPr>
          <w:rFonts w:ascii="Verdana" w:hAnsi="Verdana"/>
          <w:sz w:val="20"/>
          <w:szCs w:val="20"/>
        </w:rPr>
        <w:t xml:space="preserve"> is not exempt from criticism in relation to compliance with its obligations under CEDAW</w:t>
      </w:r>
      <w:r w:rsidR="00337F84" w:rsidRPr="00D55B2B">
        <w:rPr>
          <w:rFonts w:ascii="Verdana" w:hAnsi="Verdana"/>
          <w:sz w:val="20"/>
          <w:szCs w:val="20"/>
        </w:rPr>
        <w:t xml:space="preserve"> regarding its approach to domestic abuse</w:t>
      </w:r>
      <w:r w:rsidRPr="00D55B2B">
        <w:rPr>
          <w:rFonts w:ascii="Verdana" w:hAnsi="Verdana"/>
          <w:sz w:val="20"/>
          <w:szCs w:val="20"/>
        </w:rPr>
        <w:t>. In 2013, the CEDAW Committee expressed concern that the introduction of the Legal Aid Sentencing and Punishment of Offenders Act 2012</w:t>
      </w:r>
      <w:r w:rsidR="00DF0F8B" w:rsidRPr="00D55B2B">
        <w:rPr>
          <w:rFonts w:ascii="Verdana" w:hAnsi="Verdana"/>
          <w:sz w:val="20"/>
          <w:szCs w:val="20"/>
        </w:rPr>
        <w:t xml:space="preserve"> (LASPO)</w:t>
      </w:r>
      <w:r w:rsidR="00EF6D84" w:rsidRPr="00D55B2B">
        <w:rPr>
          <w:rFonts w:ascii="Verdana" w:hAnsi="Verdana"/>
          <w:sz w:val="20"/>
          <w:szCs w:val="20"/>
        </w:rPr>
        <w:t>,</w:t>
      </w:r>
      <w:r w:rsidRPr="00D55B2B">
        <w:rPr>
          <w:rStyle w:val="FootnoteReference"/>
          <w:rFonts w:ascii="Verdana" w:hAnsi="Verdana"/>
          <w:sz w:val="20"/>
          <w:szCs w:val="20"/>
        </w:rPr>
        <w:footnoteReference w:id="94"/>
      </w:r>
      <w:r w:rsidRPr="00D55B2B">
        <w:rPr>
          <w:rFonts w:ascii="Verdana" w:hAnsi="Verdana"/>
          <w:sz w:val="20"/>
          <w:szCs w:val="20"/>
        </w:rPr>
        <w:t xml:space="preserve"> and in particular the requirement to provide gateway evidence to demonstrate that </w:t>
      </w:r>
      <w:r w:rsidR="00E030E8" w:rsidRPr="00D55B2B">
        <w:rPr>
          <w:rFonts w:ascii="Verdana" w:hAnsi="Verdana"/>
          <w:sz w:val="20"/>
          <w:szCs w:val="20"/>
        </w:rPr>
        <w:t>the applicant</w:t>
      </w:r>
      <w:r w:rsidR="00383B36" w:rsidRPr="00D55B2B">
        <w:rPr>
          <w:rFonts w:ascii="Verdana" w:hAnsi="Verdana"/>
          <w:sz w:val="20"/>
          <w:szCs w:val="20"/>
        </w:rPr>
        <w:t xml:space="preserve"> has been</w:t>
      </w:r>
      <w:r w:rsidRPr="00D55B2B">
        <w:rPr>
          <w:rFonts w:ascii="Verdana" w:hAnsi="Verdana"/>
          <w:sz w:val="20"/>
          <w:szCs w:val="20"/>
        </w:rPr>
        <w:t xml:space="preserve"> a victim of domestic violence, would ‘unduly restrict’ women’s access to</w:t>
      </w:r>
      <w:r w:rsidR="007B1C8E" w:rsidRPr="00D55B2B">
        <w:rPr>
          <w:rFonts w:ascii="Verdana" w:hAnsi="Verdana"/>
          <w:sz w:val="20"/>
          <w:szCs w:val="20"/>
        </w:rPr>
        <w:t xml:space="preserve"> family</w:t>
      </w:r>
      <w:r w:rsidRPr="00D55B2B">
        <w:rPr>
          <w:rFonts w:ascii="Verdana" w:hAnsi="Verdana"/>
          <w:sz w:val="20"/>
          <w:szCs w:val="20"/>
        </w:rPr>
        <w:t xml:space="preserve"> legal aid</w:t>
      </w:r>
      <w:r w:rsidR="00E030E8" w:rsidRPr="00D55B2B">
        <w:rPr>
          <w:rFonts w:ascii="Verdana" w:hAnsi="Verdana"/>
          <w:sz w:val="20"/>
          <w:szCs w:val="20"/>
        </w:rPr>
        <w:t>.</w:t>
      </w:r>
      <w:r w:rsidRPr="00D55B2B">
        <w:rPr>
          <w:rFonts w:ascii="Verdana" w:hAnsi="Verdana"/>
          <w:sz w:val="20"/>
          <w:szCs w:val="20"/>
        </w:rPr>
        <w:t xml:space="preserve"> </w:t>
      </w:r>
      <w:r w:rsidR="00E030E8" w:rsidRPr="00D55B2B">
        <w:rPr>
          <w:rFonts w:ascii="Verdana" w:hAnsi="Verdana"/>
          <w:sz w:val="20"/>
          <w:szCs w:val="20"/>
        </w:rPr>
        <w:t xml:space="preserve">There was a concern that this </w:t>
      </w:r>
      <w:r w:rsidRPr="00D55B2B">
        <w:rPr>
          <w:rFonts w:ascii="Verdana" w:hAnsi="Verdana"/>
          <w:sz w:val="20"/>
          <w:szCs w:val="20"/>
        </w:rPr>
        <w:t>could push women towards informal arbitration systems, including faith-based tribunals, which do not comply with CEDAW requirements</w:t>
      </w:r>
      <w:r w:rsidR="00EF6D84" w:rsidRPr="00D55B2B">
        <w:rPr>
          <w:rFonts w:ascii="Verdana" w:hAnsi="Verdana"/>
          <w:sz w:val="20"/>
          <w:szCs w:val="20"/>
        </w:rPr>
        <w:t>.</w:t>
      </w:r>
      <w:r w:rsidRPr="00D55B2B">
        <w:rPr>
          <w:rStyle w:val="FootnoteReference"/>
          <w:rFonts w:ascii="Verdana" w:hAnsi="Verdana"/>
          <w:sz w:val="20"/>
          <w:szCs w:val="20"/>
        </w:rPr>
        <w:footnoteReference w:id="95"/>
      </w:r>
      <w:r w:rsidRPr="00D55B2B">
        <w:rPr>
          <w:rFonts w:ascii="Verdana" w:hAnsi="Verdana"/>
          <w:sz w:val="20"/>
          <w:szCs w:val="20"/>
        </w:rPr>
        <w:t xml:space="preserve"> The Committee therefore recommended that the UK take steps to </w:t>
      </w:r>
      <w:r w:rsidR="002D7697" w:rsidRPr="00D55B2B">
        <w:rPr>
          <w:rFonts w:ascii="Verdana" w:hAnsi="Verdana"/>
          <w:sz w:val="20"/>
          <w:szCs w:val="20"/>
        </w:rPr>
        <w:t>ensure survivors of violence could</w:t>
      </w:r>
      <w:r w:rsidRPr="00D55B2B">
        <w:rPr>
          <w:rFonts w:ascii="Verdana" w:hAnsi="Verdana"/>
          <w:sz w:val="20"/>
          <w:szCs w:val="20"/>
        </w:rPr>
        <w:t xml:space="preserve"> access courts and tribunals effectively. </w:t>
      </w:r>
      <w:r w:rsidR="00C9165E">
        <w:rPr>
          <w:rFonts w:ascii="Verdana" w:hAnsi="Verdana"/>
          <w:sz w:val="20"/>
          <w:szCs w:val="20"/>
        </w:rPr>
        <w:t>The</w:t>
      </w:r>
      <w:r w:rsidRPr="00D55B2B">
        <w:rPr>
          <w:rFonts w:ascii="Verdana" w:hAnsi="Verdana"/>
          <w:sz w:val="20"/>
          <w:szCs w:val="20"/>
        </w:rPr>
        <w:t xml:space="preserve"> UK have since taken steps to broaden the scope of acceptable gateway evidence,</w:t>
      </w:r>
      <w:r w:rsidR="00FE1010">
        <w:rPr>
          <w:rFonts w:ascii="Verdana" w:hAnsi="Verdana"/>
          <w:sz w:val="20"/>
          <w:szCs w:val="20"/>
        </w:rPr>
        <w:t xml:space="preserve"> however</w:t>
      </w:r>
      <w:r w:rsidRPr="00D55B2B">
        <w:rPr>
          <w:rFonts w:ascii="Verdana" w:hAnsi="Verdana"/>
          <w:sz w:val="20"/>
          <w:szCs w:val="20"/>
        </w:rPr>
        <w:t xml:space="preserve"> </w:t>
      </w:r>
      <w:r w:rsidR="001C43F0" w:rsidRPr="00D55B2B">
        <w:rPr>
          <w:rFonts w:ascii="Verdana" w:hAnsi="Verdana"/>
          <w:sz w:val="20"/>
          <w:szCs w:val="20"/>
        </w:rPr>
        <w:t xml:space="preserve">it is arguable that </w:t>
      </w:r>
      <w:r w:rsidR="001A067F" w:rsidRPr="00D55B2B">
        <w:rPr>
          <w:rFonts w:ascii="Verdana" w:hAnsi="Verdana"/>
          <w:sz w:val="20"/>
          <w:szCs w:val="20"/>
        </w:rPr>
        <w:t>such changes were not affected</w:t>
      </w:r>
      <w:r w:rsidR="00470E83" w:rsidRPr="00D55B2B">
        <w:rPr>
          <w:rFonts w:ascii="Verdana" w:hAnsi="Verdana"/>
          <w:sz w:val="20"/>
          <w:szCs w:val="20"/>
        </w:rPr>
        <w:t xml:space="preserve"> </w:t>
      </w:r>
      <w:r w:rsidRPr="00D55B2B">
        <w:rPr>
          <w:rFonts w:ascii="Verdana" w:hAnsi="Verdana"/>
          <w:sz w:val="20"/>
          <w:szCs w:val="20"/>
        </w:rPr>
        <w:t>directly as a result of the Committee recommendations</w:t>
      </w:r>
      <w:r w:rsidR="00E030E8" w:rsidRPr="00D55B2B">
        <w:rPr>
          <w:rFonts w:ascii="Verdana" w:hAnsi="Verdana"/>
          <w:sz w:val="20"/>
          <w:szCs w:val="20"/>
        </w:rPr>
        <w:t>.</w:t>
      </w:r>
      <w:r w:rsidRPr="00D55B2B">
        <w:rPr>
          <w:rFonts w:ascii="Verdana" w:hAnsi="Verdana"/>
          <w:sz w:val="20"/>
          <w:szCs w:val="20"/>
        </w:rPr>
        <w:t xml:space="preserve"> </w:t>
      </w:r>
      <w:r w:rsidR="00E030E8" w:rsidRPr="00D55B2B">
        <w:rPr>
          <w:rFonts w:ascii="Verdana" w:hAnsi="Verdana"/>
          <w:sz w:val="20"/>
          <w:szCs w:val="20"/>
        </w:rPr>
        <w:t>R</w:t>
      </w:r>
      <w:r w:rsidRPr="00D55B2B">
        <w:rPr>
          <w:rFonts w:ascii="Verdana" w:hAnsi="Verdana"/>
          <w:sz w:val="20"/>
          <w:szCs w:val="20"/>
        </w:rPr>
        <w:t xml:space="preserve">ather </w:t>
      </w:r>
      <w:r w:rsidR="00E030E8" w:rsidRPr="00D55B2B">
        <w:rPr>
          <w:rFonts w:ascii="Verdana" w:hAnsi="Verdana"/>
          <w:sz w:val="20"/>
          <w:szCs w:val="20"/>
        </w:rPr>
        <w:t>this was the result of</w:t>
      </w:r>
      <w:r w:rsidRPr="00D55B2B">
        <w:rPr>
          <w:rFonts w:ascii="Verdana" w:hAnsi="Verdana"/>
          <w:sz w:val="20"/>
          <w:szCs w:val="20"/>
        </w:rPr>
        <w:t xml:space="preserve"> Rights of Women </w:t>
      </w:r>
      <w:r w:rsidR="00E030E8" w:rsidRPr="00D55B2B">
        <w:rPr>
          <w:rFonts w:ascii="Verdana" w:hAnsi="Verdana"/>
          <w:sz w:val="20"/>
          <w:szCs w:val="20"/>
        </w:rPr>
        <w:t xml:space="preserve">bringing </w:t>
      </w:r>
      <w:r w:rsidRPr="00D55B2B">
        <w:rPr>
          <w:rFonts w:ascii="Verdana" w:hAnsi="Verdana"/>
          <w:sz w:val="20"/>
          <w:szCs w:val="20"/>
        </w:rPr>
        <w:t>a successful claim against The Lord Chancellor and the Secretary of State for Justice on the basis that the prescribed forms of evidence did not cater for victims of financial abuse</w:t>
      </w:r>
      <w:r w:rsidR="00E030E8" w:rsidRPr="00D55B2B">
        <w:rPr>
          <w:rFonts w:ascii="Verdana" w:hAnsi="Verdana"/>
          <w:sz w:val="20"/>
          <w:szCs w:val="20"/>
        </w:rPr>
        <w:t>.</w:t>
      </w:r>
      <w:r w:rsidRPr="00D55B2B">
        <w:rPr>
          <w:rFonts w:ascii="Verdana" w:hAnsi="Verdana"/>
          <w:sz w:val="20"/>
          <w:szCs w:val="20"/>
        </w:rPr>
        <w:t xml:space="preserve"> </w:t>
      </w:r>
      <w:r w:rsidR="00E030E8" w:rsidRPr="00D55B2B">
        <w:rPr>
          <w:rFonts w:ascii="Verdana" w:hAnsi="Verdana"/>
          <w:sz w:val="20"/>
          <w:szCs w:val="20"/>
        </w:rPr>
        <w:t>In that case it was also determined that</w:t>
      </w:r>
      <w:r w:rsidRPr="00D55B2B">
        <w:rPr>
          <w:rFonts w:ascii="Verdana" w:hAnsi="Verdana"/>
          <w:sz w:val="20"/>
          <w:szCs w:val="20"/>
        </w:rPr>
        <w:t xml:space="preserve"> the requirement for some forms of evidence to be dated within the 24 month period before any application for legal aid was invalid</w:t>
      </w:r>
      <w:r w:rsidR="0093307D" w:rsidRPr="00D55B2B">
        <w:rPr>
          <w:rFonts w:ascii="Verdana" w:hAnsi="Verdana"/>
          <w:sz w:val="20"/>
          <w:szCs w:val="20"/>
        </w:rPr>
        <w:t>.</w:t>
      </w:r>
      <w:r w:rsidRPr="00D55B2B">
        <w:rPr>
          <w:rStyle w:val="FootnoteReference"/>
          <w:rFonts w:ascii="Verdana" w:hAnsi="Verdana"/>
          <w:sz w:val="20"/>
          <w:szCs w:val="20"/>
        </w:rPr>
        <w:footnoteReference w:id="96"/>
      </w:r>
      <w:r w:rsidRPr="00D55B2B">
        <w:rPr>
          <w:rFonts w:ascii="Verdana" w:hAnsi="Verdana"/>
          <w:sz w:val="20"/>
          <w:szCs w:val="20"/>
        </w:rPr>
        <w:t xml:space="preserve"> </w:t>
      </w:r>
    </w:p>
    <w:p w14:paraId="0EFB024F" w14:textId="3C789CED" w:rsidR="00BE4C40" w:rsidRDefault="00195FB0" w:rsidP="0060450D">
      <w:pPr>
        <w:pStyle w:val="NormalWeb"/>
        <w:spacing w:line="360" w:lineRule="auto"/>
        <w:ind w:left="709" w:right="-478"/>
        <w:jc w:val="both"/>
        <w:rPr>
          <w:rFonts w:ascii="Verdana" w:hAnsi="Verdana"/>
          <w:sz w:val="20"/>
          <w:szCs w:val="20"/>
        </w:rPr>
      </w:pPr>
      <w:r>
        <w:rPr>
          <w:rFonts w:ascii="Verdana" w:hAnsi="Verdana"/>
          <w:sz w:val="20"/>
          <w:szCs w:val="20"/>
        </w:rPr>
        <w:t>V</w:t>
      </w:r>
      <w:r w:rsidR="00C10657" w:rsidRPr="00D55B2B">
        <w:rPr>
          <w:rFonts w:ascii="Verdana" w:hAnsi="Verdana"/>
          <w:sz w:val="20"/>
          <w:szCs w:val="20"/>
        </w:rPr>
        <w:t>ictims of domestic abuse are still in theory eligible for legal aid if they are able to secure the necessary gateway evidence</w:t>
      </w:r>
      <w:r w:rsidR="00404648">
        <w:rPr>
          <w:rFonts w:ascii="Verdana" w:hAnsi="Verdana"/>
          <w:sz w:val="20"/>
          <w:szCs w:val="20"/>
        </w:rPr>
        <w:t>. In</w:t>
      </w:r>
      <w:r w:rsidR="00C10657" w:rsidRPr="00D55B2B">
        <w:rPr>
          <w:rFonts w:ascii="Verdana" w:hAnsi="Verdana"/>
          <w:sz w:val="20"/>
          <w:szCs w:val="20"/>
        </w:rPr>
        <w:t xml:space="preserve"> practice</w:t>
      </w:r>
      <w:r w:rsidR="00B478C6">
        <w:rPr>
          <w:rFonts w:ascii="Verdana" w:hAnsi="Verdana"/>
          <w:sz w:val="20"/>
          <w:szCs w:val="20"/>
        </w:rPr>
        <w:t xml:space="preserve"> however,</w:t>
      </w:r>
      <w:r w:rsidR="00C10657" w:rsidRPr="00D55B2B">
        <w:rPr>
          <w:rFonts w:ascii="Verdana" w:hAnsi="Verdana"/>
          <w:sz w:val="20"/>
          <w:szCs w:val="20"/>
        </w:rPr>
        <w:t xml:space="preserve"> the financial position of many victims means that they do no</w:t>
      </w:r>
      <w:r w:rsidR="005E5781" w:rsidRPr="00D55B2B">
        <w:rPr>
          <w:rFonts w:ascii="Verdana" w:hAnsi="Verdana"/>
          <w:sz w:val="20"/>
          <w:szCs w:val="20"/>
        </w:rPr>
        <w:t xml:space="preserve">t satisfy the strict means test </w:t>
      </w:r>
      <w:r w:rsidR="00C10657" w:rsidRPr="00D55B2B">
        <w:rPr>
          <w:rFonts w:ascii="Verdana" w:hAnsi="Verdana"/>
          <w:sz w:val="20"/>
          <w:szCs w:val="20"/>
        </w:rPr>
        <w:t>but are still unable to afford to pay a solicitor privately.  This leaves victims vulnerable to representing themselves in court proceedings and potentially being cross-examined by an abuser</w:t>
      </w:r>
      <w:r w:rsidR="00BE4C40">
        <w:rPr>
          <w:rFonts w:ascii="Verdana" w:hAnsi="Verdana"/>
          <w:sz w:val="20"/>
          <w:szCs w:val="20"/>
        </w:rPr>
        <w:t>. Although</w:t>
      </w:r>
      <w:r w:rsidR="00BE4C40" w:rsidRPr="00D55B2B">
        <w:rPr>
          <w:rFonts w:ascii="Verdana" w:hAnsi="Verdana"/>
          <w:sz w:val="20"/>
          <w:szCs w:val="20"/>
        </w:rPr>
        <w:t xml:space="preserve"> steps have been taken to ensure this cannot take place in criminal courts, there is </w:t>
      </w:r>
      <w:r w:rsidR="00BE4C40">
        <w:rPr>
          <w:rFonts w:ascii="Verdana" w:hAnsi="Verdana"/>
          <w:sz w:val="20"/>
          <w:szCs w:val="20"/>
        </w:rPr>
        <w:t xml:space="preserve">currently </w:t>
      </w:r>
      <w:r w:rsidR="00BE4C40" w:rsidRPr="00D55B2B">
        <w:rPr>
          <w:rFonts w:ascii="Verdana" w:hAnsi="Verdana"/>
          <w:sz w:val="20"/>
          <w:szCs w:val="20"/>
        </w:rPr>
        <w:t>no provision preventing this in the family courts and this can act as a further opportunity for perpetrators to exercise control over their victims.</w:t>
      </w:r>
      <w:r w:rsidR="00BE4C40">
        <w:rPr>
          <w:rFonts w:ascii="Verdana" w:hAnsi="Verdana"/>
          <w:sz w:val="20"/>
          <w:szCs w:val="20"/>
        </w:rPr>
        <w:t xml:space="preserve"> </w:t>
      </w:r>
    </w:p>
    <w:p w14:paraId="4E945BB4" w14:textId="77777777" w:rsidR="00C10657" w:rsidRPr="00D55B2B" w:rsidRDefault="00C10657" w:rsidP="0060450D">
      <w:pPr>
        <w:pStyle w:val="NormalWeb"/>
        <w:spacing w:line="360" w:lineRule="auto"/>
        <w:ind w:left="709" w:right="-478"/>
        <w:jc w:val="both"/>
        <w:rPr>
          <w:rFonts w:ascii="Verdana" w:hAnsi="Verdana"/>
          <w:sz w:val="20"/>
          <w:szCs w:val="20"/>
        </w:rPr>
      </w:pPr>
      <w:r w:rsidRPr="00D55B2B">
        <w:rPr>
          <w:rFonts w:ascii="Verdana" w:hAnsi="Verdana"/>
          <w:sz w:val="20"/>
          <w:szCs w:val="20"/>
        </w:rPr>
        <w:t xml:space="preserve">The case of </w:t>
      </w:r>
      <w:r w:rsidRPr="00D55B2B">
        <w:rPr>
          <w:rFonts w:ascii="Verdana" w:hAnsi="Verdana"/>
          <w:i/>
          <w:sz w:val="20"/>
          <w:szCs w:val="20"/>
        </w:rPr>
        <w:t>JY v RY</w:t>
      </w:r>
      <w:r w:rsidRPr="00D55B2B">
        <w:rPr>
          <w:rFonts w:ascii="Verdana" w:hAnsi="Verdana"/>
          <w:sz w:val="20"/>
          <w:szCs w:val="20"/>
        </w:rPr>
        <w:t xml:space="preserve"> demonstrates the difficulties this can cause</w:t>
      </w:r>
      <w:r w:rsidR="00E16AB8" w:rsidRPr="00D55B2B">
        <w:rPr>
          <w:rFonts w:ascii="Verdana" w:hAnsi="Verdana"/>
          <w:sz w:val="20"/>
          <w:szCs w:val="20"/>
        </w:rPr>
        <w:t>.</w:t>
      </w:r>
      <w:r w:rsidRPr="00D55B2B">
        <w:rPr>
          <w:rStyle w:val="FootnoteReference"/>
          <w:rFonts w:ascii="Verdana" w:hAnsi="Verdana"/>
          <w:sz w:val="20"/>
          <w:szCs w:val="20"/>
        </w:rPr>
        <w:footnoteReference w:id="97"/>
      </w:r>
      <w:r w:rsidRPr="00D55B2B">
        <w:rPr>
          <w:rFonts w:ascii="Verdana" w:hAnsi="Verdana"/>
          <w:sz w:val="20"/>
          <w:szCs w:val="20"/>
        </w:rPr>
        <w:t xml:space="preserve"> The case concerned a father’s (</w:t>
      </w:r>
      <w:r w:rsidRPr="00D55B2B">
        <w:rPr>
          <w:rFonts w:ascii="Verdana" w:hAnsi="Verdana"/>
          <w:iCs/>
          <w:sz w:val="20"/>
          <w:szCs w:val="20"/>
        </w:rPr>
        <w:t>JY</w:t>
      </w:r>
      <w:r w:rsidRPr="00D55B2B">
        <w:rPr>
          <w:rFonts w:ascii="Verdana" w:hAnsi="Verdana"/>
          <w:sz w:val="20"/>
          <w:szCs w:val="20"/>
        </w:rPr>
        <w:t xml:space="preserve">) application for contact with his eleven year-old daughter. It was heard at </w:t>
      </w:r>
      <w:r w:rsidR="00A71E34" w:rsidRPr="00D55B2B">
        <w:rPr>
          <w:rFonts w:ascii="Verdana" w:hAnsi="Verdana"/>
          <w:sz w:val="20"/>
          <w:szCs w:val="20"/>
        </w:rPr>
        <w:t>t</w:t>
      </w:r>
      <w:r w:rsidRPr="00D55B2B">
        <w:rPr>
          <w:rFonts w:ascii="Verdana" w:hAnsi="Verdana"/>
          <w:sz w:val="20"/>
          <w:szCs w:val="20"/>
        </w:rPr>
        <w:t>he Family Court at Middlesbrough before District Judge Simon Read. Ten serious allegations had been raised by the child’s mother (</w:t>
      </w:r>
      <w:r w:rsidRPr="00D55B2B">
        <w:rPr>
          <w:rFonts w:ascii="Verdana" w:hAnsi="Verdana"/>
          <w:iCs/>
          <w:sz w:val="20"/>
          <w:szCs w:val="20"/>
        </w:rPr>
        <w:t>RY</w:t>
      </w:r>
      <w:r w:rsidRPr="00D55B2B">
        <w:rPr>
          <w:rFonts w:ascii="Verdana" w:hAnsi="Verdana"/>
          <w:sz w:val="20"/>
          <w:szCs w:val="20"/>
        </w:rPr>
        <w:t>) as to why contact should be restricted, including allegations of physical, verbal and sexual assault. Some of the allegations were proved following a fact-find hearing however </w:t>
      </w:r>
      <w:r w:rsidRPr="00D55B2B">
        <w:rPr>
          <w:rFonts w:ascii="Verdana" w:hAnsi="Verdana"/>
          <w:iCs/>
          <w:sz w:val="20"/>
          <w:szCs w:val="20"/>
        </w:rPr>
        <w:t>RY </w:t>
      </w:r>
      <w:r w:rsidRPr="00D55B2B">
        <w:rPr>
          <w:rFonts w:ascii="Verdana" w:hAnsi="Verdana"/>
          <w:sz w:val="20"/>
          <w:szCs w:val="20"/>
        </w:rPr>
        <w:t>felt unable to be cross-examined in relation to the sexual abuse. As such, she asked the judge to form his judgment based on the evidence he had heard so far. At the end of the fact-find hearing the judge made a serious of critical observations about the difficulties caused by the parties appearing in person. These are set out in full at paragraph 35 of the judgment, however some of the more poignant observations for the purposes of this article are listed below:</w:t>
      </w:r>
    </w:p>
    <w:p w14:paraId="2C8EDB6A" w14:textId="77777777" w:rsidR="00C10657" w:rsidRPr="00D55B2B" w:rsidRDefault="007610BE" w:rsidP="0060450D">
      <w:pPr>
        <w:autoSpaceDE/>
        <w:autoSpaceDN/>
        <w:spacing w:line="360" w:lineRule="auto"/>
        <w:ind w:left="1276" w:right="-478" w:hanging="360"/>
        <w:jc w:val="both"/>
        <w:rPr>
          <w:rFonts w:ascii="Verdana" w:hAnsi="Verdana"/>
          <w:i/>
          <w:lang w:val="en-GB"/>
        </w:rPr>
      </w:pPr>
      <w:r w:rsidRPr="00D55B2B">
        <w:rPr>
          <w:rFonts w:ascii="Verdana" w:hAnsi="Verdana"/>
          <w:i/>
          <w:lang w:val="en-GB"/>
        </w:rPr>
        <w:t>a)  </w:t>
      </w:r>
      <w:r w:rsidR="00C10657" w:rsidRPr="00D55B2B">
        <w:rPr>
          <w:rFonts w:ascii="Verdana" w:hAnsi="Verdana"/>
          <w:i/>
          <w:lang w:val="en-GB"/>
        </w:rPr>
        <w:t>Neither parent could afford a lawyer and neither was eligible for Legal Aid. I found this surprising in the mother's case in particular, given that I was told that she was dependent entirely on state benefits and yet failed the means test, despite the nature of the case.</w:t>
      </w:r>
    </w:p>
    <w:p w14:paraId="7F842EDF" w14:textId="77777777" w:rsidR="00C10657" w:rsidRPr="00D55B2B" w:rsidRDefault="00C10657" w:rsidP="0060450D">
      <w:pPr>
        <w:autoSpaceDE/>
        <w:autoSpaceDN/>
        <w:spacing w:line="360" w:lineRule="auto"/>
        <w:ind w:left="1276" w:right="-478"/>
        <w:jc w:val="both"/>
        <w:rPr>
          <w:rFonts w:ascii="Verdana" w:hAnsi="Verdana"/>
          <w:i/>
          <w:lang w:val="en-GB"/>
        </w:rPr>
      </w:pPr>
      <w:r w:rsidRPr="00D55B2B">
        <w:rPr>
          <w:rFonts w:ascii="Verdana" w:hAnsi="Verdana"/>
          <w:i/>
          <w:lang w:val="en-GB"/>
        </w:rPr>
        <w:t> </w:t>
      </w:r>
    </w:p>
    <w:p w14:paraId="0D071827" w14:textId="7A2909C9" w:rsidR="00C10657" w:rsidRPr="00D55B2B" w:rsidRDefault="00704995" w:rsidP="0060450D">
      <w:pPr>
        <w:autoSpaceDE/>
        <w:autoSpaceDN/>
        <w:spacing w:line="360" w:lineRule="auto"/>
        <w:ind w:left="1276" w:right="-478" w:hanging="360"/>
        <w:jc w:val="both"/>
        <w:rPr>
          <w:rFonts w:ascii="Verdana" w:hAnsi="Verdana"/>
          <w:i/>
          <w:lang w:val="en-GB"/>
        </w:rPr>
      </w:pPr>
      <w:r>
        <w:rPr>
          <w:rFonts w:ascii="Verdana" w:hAnsi="Verdana"/>
          <w:i/>
          <w:lang w:val="en-GB"/>
        </w:rPr>
        <w:t>b</w:t>
      </w:r>
      <w:r w:rsidR="007610BE" w:rsidRPr="00D55B2B">
        <w:rPr>
          <w:rFonts w:ascii="Verdana" w:hAnsi="Verdana"/>
          <w:i/>
          <w:lang w:val="en-GB"/>
        </w:rPr>
        <w:t>)  </w:t>
      </w:r>
      <w:r w:rsidR="00C10657" w:rsidRPr="00D55B2B">
        <w:rPr>
          <w:rFonts w:ascii="Verdana" w:hAnsi="Verdana"/>
          <w:i/>
          <w:lang w:val="en-GB"/>
        </w:rPr>
        <w:t>Having professional representation and advice will tend to support and help an alleged victim of domestic abuse in a moral and practical way that goes far beyond what a voluntary support agency can or should offer. It can fortify a witness before questions are asked, be a reassuring presence during that process, and debrief them afterwards. It can reassure them as to outcomes, and act as a safeguard during what may be a hugely bewildering and scary experience. Its presence is the mark of a civilised society and a mature and balanced legal system… No English or Welsh criminal court would proceed as this court had to, in the absence of representation for parties dealing with such grave allegations. </w:t>
      </w:r>
    </w:p>
    <w:p w14:paraId="64363C73" w14:textId="77777777" w:rsidR="00C10657" w:rsidRPr="00D55B2B" w:rsidRDefault="00C10657" w:rsidP="0060450D">
      <w:pPr>
        <w:autoSpaceDE/>
        <w:autoSpaceDN/>
        <w:spacing w:line="360" w:lineRule="auto"/>
        <w:ind w:left="1276" w:right="-478"/>
        <w:jc w:val="both"/>
        <w:rPr>
          <w:rFonts w:ascii="Verdana" w:hAnsi="Verdana"/>
          <w:i/>
          <w:lang w:val="en-GB"/>
        </w:rPr>
      </w:pPr>
      <w:r w:rsidRPr="00D55B2B">
        <w:rPr>
          <w:rFonts w:ascii="Verdana" w:hAnsi="Verdana"/>
          <w:i/>
          <w:lang w:val="en-GB"/>
        </w:rPr>
        <w:t> </w:t>
      </w:r>
    </w:p>
    <w:p w14:paraId="0FB9EF08" w14:textId="77777777" w:rsidR="00C10657" w:rsidRPr="00D55B2B" w:rsidRDefault="00A05E48" w:rsidP="0060450D">
      <w:pPr>
        <w:autoSpaceDE/>
        <w:autoSpaceDN/>
        <w:spacing w:line="360" w:lineRule="auto"/>
        <w:ind w:left="1276" w:right="-478" w:hanging="360"/>
        <w:jc w:val="both"/>
        <w:rPr>
          <w:rFonts w:ascii="Verdana" w:hAnsi="Verdana"/>
          <w:i/>
          <w:lang w:val="en-GB"/>
        </w:rPr>
      </w:pPr>
      <w:r w:rsidRPr="00D55B2B">
        <w:rPr>
          <w:rFonts w:ascii="Verdana" w:hAnsi="Verdana"/>
          <w:i/>
          <w:lang w:val="en-GB"/>
        </w:rPr>
        <w:t>c)   </w:t>
      </w:r>
      <w:r w:rsidR="00C10657" w:rsidRPr="00D55B2B">
        <w:rPr>
          <w:rFonts w:ascii="Verdana" w:hAnsi="Verdana"/>
          <w:i/>
          <w:lang w:val="en-GB"/>
        </w:rPr>
        <w:t>As is his right, the father was not prepared to make any admissions. Yet upon hearing the evidence I later found him manifestly to be lying on the first 2 allegations.... In this case, pre-trial negotiation between advocates might have obviated the need for a fact-finding evidential hearing entirely, had sufficient admissions been made upon legal advice.</w:t>
      </w:r>
    </w:p>
    <w:p w14:paraId="6B13C4EB" w14:textId="77777777" w:rsidR="00C10657" w:rsidRPr="00D55B2B" w:rsidRDefault="00C10657" w:rsidP="0060450D">
      <w:pPr>
        <w:autoSpaceDE/>
        <w:autoSpaceDN/>
        <w:spacing w:line="360" w:lineRule="auto"/>
        <w:ind w:left="1276" w:right="-478"/>
        <w:jc w:val="both"/>
        <w:rPr>
          <w:rFonts w:ascii="Verdana" w:hAnsi="Verdana"/>
          <w:i/>
          <w:lang w:val="en-GB"/>
        </w:rPr>
      </w:pPr>
      <w:r w:rsidRPr="00D55B2B">
        <w:rPr>
          <w:rFonts w:ascii="Verdana" w:hAnsi="Verdana"/>
          <w:i/>
          <w:lang w:val="en-GB"/>
        </w:rPr>
        <w:t> </w:t>
      </w:r>
    </w:p>
    <w:p w14:paraId="7076625B" w14:textId="77777777" w:rsidR="00C10657" w:rsidRPr="00D55B2B" w:rsidRDefault="00141944" w:rsidP="0060450D">
      <w:pPr>
        <w:autoSpaceDE/>
        <w:autoSpaceDN/>
        <w:spacing w:after="160" w:line="360" w:lineRule="auto"/>
        <w:ind w:left="1276" w:right="-478" w:hanging="360"/>
        <w:jc w:val="both"/>
        <w:rPr>
          <w:rFonts w:ascii="Verdana" w:hAnsi="Verdana"/>
          <w:i/>
          <w:lang w:val="en-GB"/>
        </w:rPr>
      </w:pPr>
      <w:r>
        <w:rPr>
          <w:rFonts w:ascii="Verdana" w:hAnsi="Verdana"/>
          <w:i/>
          <w:lang w:val="en-GB"/>
        </w:rPr>
        <w:t xml:space="preserve"> </w:t>
      </w:r>
      <w:r w:rsidR="00A05E48" w:rsidRPr="00D55B2B">
        <w:rPr>
          <w:rFonts w:ascii="Verdana" w:hAnsi="Verdana"/>
          <w:i/>
          <w:lang w:val="en-GB"/>
        </w:rPr>
        <w:t>d)  </w:t>
      </w:r>
      <w:r w:rsidR="00C10657" w:rsidRPr="00D55B2B">
        <w:rPr>
          <w:rFonts w:ascii="Verdana" w:hAnsi="Verdana"/>
          <w:i/>
          <w:lang w:val="en-GB"/>
        </w:rPr>
        <w:t>I therefore think there is a very strong likelihood that the outcome of the fact finding would have been different, and most probably a truer reflection of what really happened, had the parents been represented. It would surely have concluded sooner, more fairly, and at far less expense to the public purse than ultimately was the case, with two wasted days at Court. It may also have been less painful for the participants. </w:t>
      </w:r>
    </w:p>
    <w:p w14:paraId="08A827FC" w14:textId="29DFBDA4" w:rsidR="00C10657" w:rsidRDefault="00C10657" w:rsidP="0060450D">
      <w:pPr>
        <w:pStyle w:val="NormalWeb"/>
        <w:spacing w:line="360" w:lineRule="auto"/>
        <w:ind w:left="709" w:right="-478"/>
        <w:jc w:val="both"/>
        <w:rPr>
          <w:rFonts w:ascii="Verdana" w:hAnsi="Verdana"/>
          <w:sz w:val="20"/>
          <w:szCs w:val="20"/>
        </w:rPr>
      </w:pPr>
      <w:r w:rsidRPr="00D55B2B">
        <w:rPr>
          <w:rFonts w:ascii="Verdana" w:hAnsi="Verdana"/>
          <w:sz w:val="20"/>
          <w:szCs w:val="20"/>
        </w:rPr>
        <w:t>Despite amendments to the acceptable gateway evidence, the position remains that man</w:t>
      </w:r>
      <w:r w:rsidR="00F80F88" w:rsidRPr="00D55B2B">
        <w:rPr>
          <w:rFonts w:ascii="Verdana" w:hAnsi="Verdana"/>
          <w:sz w:val="20"/>
          <w:szCs w:val="20"/>
        </w:rPr>
        <w:t>y survivors of abuse in England</w:t>
      </w:r>
      <w:r w:rsidRPr="00D55B2B">
        <w:rPr>
          <w:rFonts w:ascii="Verdana" w:hAnsi="Verdana"/>
          <w:sz w:val="20"/>
          <w:szCs w:val="20"/>
        </w:rPr>
        <w:t xml:space="preserve"> experience discrimination based on the fact that they are unable to secure legal representation in domestic abuse proceedings.</w:t>
      </w:r>
      <w:r w:rsidR="00705759" w:rsidRPr="00D55B2B">
        <w:rPr>
          <w:rFonts w:ascii="Verdana" w:hAnsi="Verdana"/>
          <w:sz w:val="20"/>
          <w:szCs w:val="20"/>
        </w:rPr>
        <w:t xml:space="preserve"> </w:t>
      </w:r>
      <w:r w:rsidR="00BD138D">
        <w:rPr>
          <w:rFonts w:ascii="Verdana" w:hAnsi="Verdana"/>
          <w:sz w:val="20"/>
          <w:szCs w:val="20"/>
        </w:rPr>
        <w:t>T</w:t>
      </w:r>
      <w:r w:rsidR="0005725C" w:rsidRPr="00D55B2B">
        <w:rPr>
          <w:rFonts w:ascii="Verdana" w:hAnsi="Verdana"/>
          <w:sz w:val="20"/>
          <w:szCs w:val="20"/>
        </w:rPr>
        <w:t>his is an improvement on the position in Russia, where legal aid is not available for domestic abuse cases</w:t>
      </w:r>
      <w:r w:rsidR="006C5D5E" w:rsidRPr="00D55B2B">
        <w:rPr>
          <w:rFonts w:ascii="Verdana" w:hAnsi="Verdana"/>
          <w:sz w:val="20"/>
          <w:szCs w:val="20"/>
        </w:rPr>
        <w:t xml:space="preserve"> at all</w:t>
      </w:r>
      <w:r w:rsidR="0005725C" w:rsidRPr="00D55B2B">
        <w:rPr>
          <w:rFonts w:ascii="Verdana" w:hAnsi="Verdana"/>
          <w:sz w:val="20"/>
          <w:szCs w:val="20"/>
        </w:rPr>
        <w:t xml:space="preserve">, </w:t>
      </w:r>
      <w:r w:rsidR="003A32B1" w:rsidRPr="00D55B2B">
        <w:rPr>
          <w:rFonts w:ascii="Verdana" w:hAnsi="Verdana"/>
          <w:sz w:val="20"/>
          <w:szCs w:val="20"/>
        </w:rPr>
        <w:t xml:space="preserve">it is still a </w:t>
      </w:r>
      <w:r w:rsidR="00AB5F53" w:rsidRPr="00D55B2B">
        <w:rPr>
          <w:rFonts w:ascii="Verdana" w:hAnsi="Verdana"/>
          <w:sz w:val="20"/>
          <w:szCs w:val="20"/>
        </w:rPr>
        <w:t>significant access to justice barrier</w:t>
      </w:r>
      <w:r w:rsidR="00F95660" w:rsidRPr="00D55B2B">
        <w:rPr>
          <w:rFonts w:ascii="Verdana" w:hAnsi="Verdana"/>
          <w:sz w:val="20"/>
          <w:szCs w:val="20"/>
        </w:rPr>
        <w:t xml:space="preserve">. </w:t>
      </w:r>
      <w:r w:rsidR="00D60DA0">
        <w:rPr>
          <w:rFonts w:ascii="Verdana" w:hAnsi="Verdana"/>
          <w:sz w:val="20"/>
          <w:szCs w:val="20"/>
        </w:rPr>
        <w:t xml:space="preserve">Following concerns about this being raised during the 2018 Legal Aid Review, the Legal Aid Agency have now pledged to review the legal aid means test by the </w:t>
      </w:r>
      <w:r w:rsidR="004B627E">
        <w:rPr>
          <w:rFonts w:ascii="Verdana" w:hAnsi="Verdana"/>
          <w:sz w:val="20"/>
          <w:szCs w:val="20"/>
        </w:rPr>
        <w:t>summer</w:t>
      </w:r>
      <w:r w:rsidR="00D60DA0">
        <w:rPr>
          <w:rFonts w:ascii="Verdana" w:hAnsi="Verdana"/>
          <w:sz w:val="20"/>
          <w:szCs w:val="20"/>
        </w:rPr>
        <w:t xml:space="preserve"> of 2020.</w:t>
      </w:r>
      <w:r w:rsidR="00D60DA0">
        <w:rPr>
          <w:rStyle w:val="FootnoteReference"/>
          <w:rFonts w:ascii="Verdana" w:hAnsi="Verdana"/>
          <w:sz w:val="20"/>
          <w:szCs w:val="20"/>
        </w:rPr>
        <w:footnoteReference w:id="98"/>
      </w:r>
      <w:r w:rsidR="00D60DA0">
        <w:rPr>
          <w:rFonts w:ascii="Verdana" w:hAnsi="Verdana"/>
          <w:sz w:val="20"/>
          <w:szCs w:val="20"/>
        </w:rPr>
        <w:t xml:space="preserve"> </w:t>
      </w:r>
      <w:r w:rsidR="00F95660" w:rsidRPr="00D55B2B">
        <w:rPr>
          <w:rFonts w:ascii="Verdana" w:hAnsi="Verdana"/>
          <w:sz w:val="20"/>
          <w:szCs w:val="20"/>
        </w:rPr>
        <w:t>The aut</w:t>
      </w:r>
      <w:r w:rsidR="003D032C" w:rsidRPr="00D55B2B">
        <w:rPr>
          <w:rFonts w:ascii="Verdana" w:hAnsi="Verdana"/>
          <w:sz w:val="20"/>
          <w:szCs w:val="20"/>
        </w:rPr>
        <w:t>h</w:t>
      </w:r>
      <w:r w:rsidR="00F95660" w:rsidRPr="00D55B2B">
        <w:rPr>
          <w:rFonts w:ascii="Verdana" w:hAnsi="Verdana"/>
          <w:sz w:val="20"/>
          <w:szCs w:val="20"/>
        </w:rPr>
        <w:t>ors recommend</w:t>
      </w:r>
      <w:r w:rsidR="00705759" w:rsidRPr="00D55B2B">
        <w:rPr>
          <w:rFonts w:ascii="Verdana" w:hAnsi="Verdana"/>
          <w:sz w:val="20"/>
          <w:szCs w:val="20"/>
        </w:rPr>
        <w:t xml:space="preserve"> that the stringent legal aid means test must be</w:t>
      </w:r>
      <w:r w:rsidR="00D60DA0">
        <w:rPr>
          <w:rFonts w:ascii="Verdana" w:hAnsi="Verdana"/>
          <w:sz w:val="20"/>
          <w:szCs w:val="20"/>
        </w:rPr>
        <w:t xml:space="preserve"> urgently</w:t>
      </w:r>
      <w:r w:rsidR="00705759" w:rsidRPr="00D55B2B">
        <w:rPr>
          <w:rFonts w:ascii="Verdana" w:hAnsi="Verdana"/>
          <w:sz w:val="20"/>
          <w:szCs w:val="20"/>
        </w:rPr>
        <w:t xml:space="preserve"> </w:t>
      </w:r>
      <w:r w:rsidR="00092931" w:rsidRPr="00D55B2B">
        <w:rPr>
          <w:rFonts w:ascii="Verdana" w:hAnsi="Verdana"/>
          <w:sz w:val="20"/>
          <w:szCs w:val="20"/>
        </w:rPr>
        <w:t>revi</w:t>
      </w:r>
      <w:r w:rsidR="00D60DA0">
        <w:rPr>
          <w:rFonts w:ascii="Verdana" w:hAnsi="Verdana"/>
          <w:sz w:val="20"/>
          <w:szCs w:val="20"/>
        </w:rPr>
        <w:t>s</w:t>
      </w:r>
      <w:r w:rsidR="00092931" w:rsidRPr="00D55B2B">
        <w:rPr>
          <w:rFonts w:ascii="Verdana" w:hAnsi="Verdana"/>
          <w:sz w:val="20"/>
          <w:szCs w:val="20"/>
        </w:rPr>
        <w:t>ed</w:t>
      </w:r>
      <w:r w:rsidR="00705759" w:rsidRPr="00D55B2B">
        <w:rPr>
          <w:rFonts w:ascii="Verdana" w:hAnsi="Verdana"/>
          <w:sz w:val="20"/>
          <w:szCs w:val="20"/>
        </w:rPr>
        <w:t xml:space="preserve"> to make it fit for purpose</w:t>
      </w:r>
      <w:r w:rsidR="00C57C05" w:rsidRPr="00D55B2B">
        <w:rPr>
          <w:rFonts w:ascii="Verdana" w:hAnsi="Verdana"/>
          <w:sz w:val="20"/>
          <w:szCs w:val="20"/>
        </w:rPr>
        <w:t>.</w:t>
      </w:r>
      <w:r w:rsidR="0050270E" w:rsidRPr="00D55B2B">
        <w:rPr>
          <w:rStyle w:val="FootnoteReference"/>
          <w:rFonts w:ascii="Verdana" w:hAnsi="Verdana"/>
          <w:sz w:val="20"/>
          <w:szCs w:val="20"/>
        </w:rPr>
        <w:footnoteReference w:id="99"/>
      </w:r>
      <w:r w:rsidR="005E163B" w:rsidRPr="00D55B2B">
        <w:rPr>
          <w:rFonts w:ascii="Verdana" w:hAnsi="Verdana"/>
          <w:sz w:val="20"/>
          <w:szCs w:val="20"/>
        </w:rPr>
        <w:t xml:space="preserve"> </w:t>
      </w:r>
    </w:p>
    <w:p w14:paraId="3612A9D1" w14:textId="77777777" w:rsidR="00DC6717" w:rsidRDefault="00BE4C40" w:rsidP="0060450D">
      <w:pPr>
        <w:pStyle w:val="NormalWeb"/>
        <w:spacing w:line="360" w:lineRule="auto"/>
        <w:ind w:left="709" w:right="-478"/>
        <w:jc w:val="both"/>
        <w:rPr>
          <w:rFonts w:ascii="Verdana" w:hAnsi="Verdana"/>
          <w:sz w:val="20"/>
          <w:szCs w:val="20"/>
        </w:rPr>
      </w:pPr>
      <w:r>
        <w:rPr>
          <w:rFonts w:ascii="Verdana" w:hAnsi="Verdana"/>
          <w:sz w:val="20"/>
          <w:szCs w:val="20"/>
        </w:rPr>
        <w:t xml:space="preserve">A resolution to the issue of direct cross-examination </w:t>
      </w:r>
      <w:r w:rsidR="00A723DF">
        <w:rPr>
          <w:rFonts w:ascii="Verdana" w:hAnsi="Verdana"/>
          <w:sz w:val="20"/>
          <w:szCs w:val="20"/>
        </w:rPr>
        <w:t xml:space="preserve">in England and Wales </w:t>
      </w:r>
      <w:r>
        <w:rPr>
          <w:rFonts w:ascii="Verdana" w:hAnsi="Verdana"/>
          <w:sz w:val="20"/>
          <w:szCs w:val="20"/>
        </w:rPr>
        <w:t xml:space="preserve">has been </w:t>
      </w:r>
      <w:r w:rsidR="00A723DF">
        <w:rPr>
          <w:rFonts w:ascii="Verdana" w:hAnsi="Verdana"/>
          <w:sz w:val="20"/>
          <w:szCs w:val="20"/>
        </w:rPr>
        <w:t>recommended</w:t>
      </w:r>
      <w:r>
        <w:rPr>
          <w:rFonts w:ascii="Verdana" w:hAnsi="Verdana"/>
          <w:sz w:val="20"/>
          <w:szCs w:val="20"/>
        </w:rPr>
        <w:t xml:space="preserve"> under clause 50 of the draft Domestic Abuse Bill, which </w:t>
      </w:r>
      <w:r w:rsidR="00A723DF">
        <w:rPr>
          <w:rFonts w:ascii="Verdana" w:hAnsi="Verdana"/>
          <w:sz w:val="20"/>
          <w:szCs w:val="20"/>
        </w:rPr>
        <w:t>proposes that</w:t>
      </w:r>
      <w:r>
        <w:rPr>
          <w:rFonts w:ascii="Verdana" w:hAnsi="Verdana"/>
          <w:sz w:val="20"/>
          <w:szCs w:val="20"/>
        </w:rPr>
        <w:t xml:space="preserve"> a new Part 4B be inserted into the Matrimonial and Family Proceedings Act 1984. Those draft provisions, if implemented, will prohibit direct cross-examination by a party to proceedings who has been convicted, given a caution for or charged with an offence perpetrated against the other party to the proceedings. It will also prohibit direct cross-examination</w:t>
      </w:r>
      <w:r w:rsidR="00DC6717">
        <w:rPr>
          <w:rFonts w:ascii="Verdana" w:hAnsi="Verdana"/>
          <w:sz w:val="20"/>
          <w:szCs w:val="20"/>
        </w:rPr>
        <w:t xml:space="preserve"> where there is an on notice injunction in place protecting one party to proceedings against the other. In all other cases the court retains discretion to make a direction prohibiting cross-examination. Both parties’ Article 6 rights are protected under the proposals through clause 31V.  This clause directs that:</w:t>
      </w:r>
    </w:p>
    <w:p w14:paraId="05098468" w14:textId="354E53C5" w:rsidR="00DC6717" w:rsidRPr="0060450D" w:rsidRDefault="00DC6717" w:rsidP="0060450D">
      <w:pPr>
        <w:pStyle w:val="NormalWeb"/>
        <w:spacing w:line="360" w:lineRule="auto"/>
        <w:ind w:left="1418" w:right="-478" w:hanging="709"/>
        <w:jc w:val="both"/>
        <w:rPr>
          <w:rFonts w:ascii="Verdana" w:hAnsi="Verdana"/>
          <w:i/>
          <w:sz w:val="20"/>
          <w:szCs w:val="20"/>
        </w:rPr>
      </w:pPr>
      <w:r>
        <w:rPr>
          <w:rFonts w:ascii="Verdana" w:hAnsi="Verdana"/>
          <w:sz w:val="20"/>
          <w:szCs w:val="20"/>
        </w:rPr>
        <w:tab/>
      </w:r>
      <w:r w:rsidRPr="0060450D">
        <w:rPr>
          <w:rFonts w:ascii="Verdana" w:hAnsi="Verdana"/>
          <w:i/>
          <w:sz w:val="20"/>
          <w:szCs w:val="20"/>
        </w:rPr>
        <w:tab/>
        <w:t>(5) The court must consider whether it is necessary in the interests of justice for the witness to be cross-examined by a qualified legal representative appointed by the court to represent the interests of the party.</w:t>
      </w:r>
    </w:p>
    <w:p w14:paraId="59293636" w14:textId="77777777" w:rsidR="00BE4C40" w:rsidRPr="0060450D" w:rsidRDefault="00DC6717" w:rsidP="0060450D">
      <w:pPr>
        <w:pStyle w:val="NormalWeb"/>
        <w:spacing w:line="360" w:lineRule="auto"/>
        <w:ind w:left="1418" w:right="-478"/>
        <w:jc w:val="both"/>
        <w:rPr>
          <w:rFonts w:ascii="Verdana" w:hAnsi="Verdana"/>
          <w:i/>
          <w:sz w:val="20"/>
          <w:szCs w:val="20"/>
        </w:rPr>
      </w:pPr>
      <w:r w:rsidRPr="0060450D">
        <w:rPr>
          <w:rFonts w:ascii="Verdana" w:hAnsi="Verdana"/>
          <w:i/>
          <w:sz w:val="20"/>
          <w:szCs w:val="20"/>
        </w:rPr>
        <w:t>(6) If the court decides that it is, the court must appoint a qualified legal representative (chosen by the court) to cro</w:t>
      </w:r>
      <w:r w:rsidRPr="00A723DF">
        <w:rPr>
          <w:rFonts w:ascii="Verdana" w:hAnsi="Verdana"/>
          <w:i/>
          <w:sz w:val="20"/>
          <w:szCs w:val="20"/>
        </w:rPr>
        <w:t>ss-examine the witness in the</w:t>
      </w:r>
      <w:r w:rsidRPr="0060450D">
        <w:rPr>
          <w:rFonts w:ascii="Verdana" w:hAnsi="Verdana"/>
          <w:i/>
          <w:sz w:val="20"/>
          <w:szCs w:val="20"/>
        </w:rPr>
        <w:t xml:space="preserve"> interests of the party.</w:t>
      </w:r>
      <w:r w:rsidR="00BE4C40" w:rsidRPr="0060450D">
        <w:rPr>
          <w:rFonts w:ascii="Verdana" w:hAnsi="Verdana"/>
          <w:i/>
          <w:sz w:val="20"/>
          <w:szCs w:val="20"/>
        </w:rPr>
        <w:t xml:space="preserve"> </w:t>
      </w:r>
    </w:p>
    <w:p w14:paraId="1D11AACF" w14:textId="77777777" w:rsidR="00DC6717" w:rsidRDefault="00DC6717" w:rsidP="0060450D">
      <w:pPr>
        <w:pStyle w:val="NormalWeb"/>
        <w:spacing w:line="360" w:lineRule="auto"/>
        <w:ind w:left="709" w:right="-478"/>
        <w:jc w:val="both"/>
        <w:rPr>
          <w:rFonts w:ascii="Verdana" w:hAnsi="Verdana"/>
          <w:sz w:val="20"/>
          <w:szCs w:val="20"/>
        </w:rPr>
      </w:pPr>
      <w:r>
        <w:rPr>
          <w:rFonts w:ascii="Verdana" w:hAnsi="Verdana"/>
          <w:sz w:val="20"/>
          <w:szCs w:val="20"/>
        </w:rPr>
        <w:t xml:space="preserve">Provisions about the payment of </w:t>
      </w:r>
      <w:r w:rsidR="00A723DF">
        <w:rPr>
          <w:rFonts w:ascii="Verdana" w:hAnsi="Verdana"/>
          <w:sz w:val="20"/>
          <w:szCs w:val="20"/>
        </w:rPr>
        <w:t xml:space="preserve">costs </w:t>
      </w:r>
      <w:r>
        <w:rPr>
          <w:rFonts w:ascii="Verdana" w:hAnsi="Verdana"/>
          <w:sz w:val="20"/>
          <w:szCs w:val="20"/>
        </w:rPr>
        <w:t>f</w:t>
      </w:r>
      <w:r w:rsidR="00A723DF">
        <w:rPr>
          <w:rFonts w:ascii="Verdana" w:hAnsi="Verdana"/>
          <w:sz w:val="20"/>
          <w:szCs w:val="20"/>
        </w:rPr>
        <w:t>or</w:t>
      </w:r>
      <w:r>
        <w:rPr>
          <w:rFonts w:ascii="Verdana" w:hAnsi="Verdana"/>
          <w:sz w:val="20"/>
          <w:szCs w:val="20"/>
        </w:rPr>
        <w:t xml:space="preserve"> that ‘qualified legal representative’ will need to be dealt with by statutory instrument and the funding position therefore remains uncertain.</w:t>
      </w:r>
    </w:p>
    <w:p w14:paraId="49D27DF9" w14:textId="4C47C54E" w:rsidR="00C10657" w:rsidRPr="00D55B2B" w:rsidRDefault="00547E1F" w:rsidP="0060450D">
      <w:pPr>
        <w:pStyle w:val="NormalWeb"/>
        <w:spacing w:line="360" w:lineRule="auto"/>
        <w:ind w:left="709" w:right="-478"/>
        <w:jc w:val="both"/>
        <w:rPr>
          <w:rFonts w:ascii="Verdana" w:hAnsi="Verdana"/>
          <w:sz w:val="20"/>
          <w:szCs w:val="20"/>
        </w:rPr>
      </w:pPr>
      <w:r>
        <w:rPr>
          <w:rFonts w:ascii="Verdana" w:hAnsi="Verdana"/>
          <w:sz w:val="20"/>
          <w:szCs w:val="20"/>
        </w:rPr>
        <w:t>The</w:t>
      </w:r>
      <w:r w:rsidR="00C10657" w:rsidRPr="00D55B2B">
        <w:rPr>
          <w:rFonts w:ascii="Verdana" w:hAnsi="Verdana"/>
          <w:sz w:val="20"/>
          <w:szCs w:val="20"/>
        </w:rPr>
        <w:t xml:space="preserve"> Committee </w:t>
      </w:r>
      <w:r>
        <w:rPr>
          <w:rFonts w:ascii="Verdana" w:hAnsi="Verdana"/>
          <w:sz w:val="20"/>
          <w:szCs w:val="20"/>
        </w:rPr>
        <w:t xml:space="preserve">were also concerned about </w:t>
      </w:r>
      <w:r w:rsidR="00C10657" w:rsidRPr="00D55B2B">
        <w:rPr>
          <w:rFonts w:ascii="Verdana" w:hAnsi="Verdana"/>
          <w:sz w:val="20"/>
          <w:szCs w:val="20"/>
        </w:rPr>
        <w:t>the prevalence of violence against black and minority ethnic women, including honour violence and</w:t>
      </w:r>
      <w:r w:rsidR="006C5D5E" w:rsidRPr="00D55B2B">
        <w:rPr>
          <w:rFonts w:ascii="Verdana" w:hAnsi="Verdana"/>
          <w:sz w:val="20"/>
          <w:szCs w:val="20"/>
        </w:rPr>
        <w:t xml:space="preserve"> FGM</w:t>
      </w:r>
      <w:r w:rsidR="00C57C05" w:rsidRPr="00D55B2B">
        <w:rPr>
          <w:rFonts w:ascii="Verdana" w:hAnsi="Verdana"/>
          <w:sz w:val="20"/>
          <w:szCs w:val="20"/>
        </w:rPr>
        <w:t>.</w:t>
      </w:r>
      <w:r w:rsidR="00C10657" w:rsidRPr="00D55B2B">
        <w:rPr>
          <w:rStyle w:val="FootnoteReference"/>
          <w:rFonts w:ascii="Verdana" w:hAnsi="Verdana"/>
          <w:sz w:val="20"/>
          <w:szCs w:val="20"/>
        </w:rPr>
        <w:footnoteReference w:id="100"/>
      </w:r>
      <w:r w:rsidR="00C10657" w:rsidRPr="00D55B2B">
        <w:rPr>
          <w:rFonts w:ascii="Verdana" w:hAnsi="Verdana"/>
          <w:sz w:val="20"/>
          <w:szCs w:val="20"/>
        </w:rPr>
        <w:t xml:space="preserve"> The report noted that FGM </w:t>
      </w:r>
      <w:r w:rsidR="00ED6AE4" w:rsidRPr="00D55B2B">
        <w:rPr>
          <w:rFonts w:ascii="Verdana" w:hAnsi="Verdana"/>
          <w:sz w:val="20"/>
          <w:szCs w:val="20"/>
        </w:rPr>
        <w:t>is practised</w:t>
      </w:r>
      <w:r w:rsidR="00C10657" w:rsidRPr="00D55B2B">
        <w:rPr>
          <w:rFonts w:ascii="Verdana" w:hAnsi="Verdana"/>
          <w:sz w:val="20"/>
          <w:szCs w:val="20"/>
        </w:rPr>
        <w:t xml:space="preserve"> in communities in the UK but there have still been no convictions under Female Genital Mutilation Act 2003 (FGMA 2003). The Committee recommended that the UK government take steps to ensure existing laws against FGM are put into practice and provide the </w:t>
      </w:r>
      <w:r w:rsidR="006C5D5E" w:rsidRPr="00D55B2B">
        <w:rPr>
          <w:rFonts w:ascii="Verdana" w:hAnsi="Verdana"/>
          <w:sz w:val="20"/>
          <w:szCs w:val="20"/>
        </w:rPr>
        <w:t>CPS</w:t>
      </w:r>
      <w:r w:rsidR="00C10657" w:rsidRPr="00D55B2B">
        <w:rPr>
          <w:rFonts w:ascii="Verdana" w:hAnsi="Verdana"/>
          <w:sz w:val="20"/>
          <w:szCs w:val="20"/>
        </w:rPr>
        <w:t xml:space="preserve"> with the necessary support to prosecute perpetrators of FGM. Following the recommendations, there have been considerable legislative developments in relation to FGM. These include introducing FGM protection orders to provide civil injunctive protection to potential victims</w:t>
      </w:r>
      <w:r w:rsidR="00C57C05" w:rsidRPr="00D55B2B">
        <w:rPr>
          <w:rFonts w:ascii="Verdana" w:hAnsi="Verdana"/>
          <w:sz w:val="20"/>
          <w:szCs w:val="20"/>
        </w:rPr>
        <w:t>.</w:t>
      </w:r>
      <w:r w:rsidR="00C10657" w:rsidRPr="00D55B2B">
        <w:rPr>
          <w:rStyle w:val="FootnoteReference"/>
          <w:rFonts w:ascii="Verdana" w:hAnsi="Verdana"/>
          <w:sz w:val="20"/>
          <w:szCs w:val="20"/>
        </w:rPr>
        <w:footnoteReference w:id="101"/>
      </w:r>
      <w:r w:rsidR="00C10657" w:rsidRPr="00D55B2B">
        <w:rPr>
          <w:rFonts w:ascii="Verdana" w:hAnsi="Verdana"/>
          <w:sz w:val="20"/>
          <w:szCs w:val="20"/>
        </w:rPr>
        <w:t xml:space="preserve"> Since FGM protection orders came into force in July 2015, there have been</w:t>
      </w:r>
      <w:r w:rsidR="00E068A8" w:rsidRPr="00D55B2B">
        <w:rPr>
          <w:rFonts w:ascii="Verdana" w:hAnsi="Verdana"/>
          <w:sz w:val="20"/>
          <w:szCs w:val="20"/>
        </w:rPr>
        <w:t xml:space="preserve"> 256 applications and 248 orders grante</w:t>
      </w:r>
      <w:r w:rsidR="008D53EE" w:rsidRPr="00D55B2B">
        <w:rPr>
          <w:rFonts w:ascii="Verdana" w:hAnsi="Verdana"/>
          <w:sz w:val="20"/>
          <w:szCs w:val="20"/>
        </w:rPr>
        <w:t>d</w:t>
      </w:r>
      <w:r w:rsidR="00C57C05" w:rsidRPr="00D55B2B">
        <w:rPr>
          <w:rFonts w:ascii="Verdana" w:hAnsi="Verdana"/>
          <w:sz w:val="20"/>
          <w:szCs w:val="20"/>
        </w:rPr>
        <w:t>.</w:t>
      </w:r>
      <w:r w:rsidR="00C10657" w:rsidRPr="00D55B2B">
        <w:rPr>
          <w:rStyle w:val="FootnoteReference"/>
          <w:rFonts w:ascii="Verdana" w:hAnsi="Verdana"/>
          <w:sz w:val="20"/>
          <w:szCs w:val="20"/>
        </w:rPr>
        <w:footnoteReference w:id="102"/>
      </w:r>
      <w:r w:rsidR="00C10657" w:rsidRPr="00D55B2B">
        <w:rPr>
          <w:rFonts w:ascii="Verdana" w:hAnsi="Verdana"/>
          <w:sz w:val="20"/>
          <w:szCs w:val="20"/>
        </w:rPr>
        <w:t xml:space="preserve"> </w:t>
      </w:r>
      <w:r w:rsidR="00DB43CD">
        <w:rPr>
          <w:rFonts w:ascii="Verdana" w:hAnsi="Verdana"/>
          <w:sz w:val="20"/>
          <w:szCs w:val="20"/>
        </w:rPr>
        <w:t>T</w:t>
      </w:r>
      <w:r w:rsidR="00C10657" w:rsidRPr="00D55B2B">
        <w:rPr>
          <w:rFonts w:ascii="Verdana" w:hAnsi="Verdana"/>
          <w:sz w:val="20"/>
          <w:szCs w:val="20"/>
        </w:rPr>
        <w:t xml:space="preserve">he </w:t>
      </w:r>
      <w:r w:rsidR="00020F24" w:rsidRPr="00D55B2B">
        <w:rPr>
          <w:rFonts w:ascii="Verdana" w:hAnsi="Verdana"/>
          <w:sz w:val="20"/>
          <w:szCs w:val="20"/>
        </w:rPr>
        <w:t xml:space="preserve">SCA 2015 </w:t>
      </w:r>
      <w:r w:rsidR="00C10657" w:rsidRPr="00D55B2B">
        <w:rPr>
          <w:rFonts w:ascii="Verdana" w:hAnsi="Verdana"/>
          <w:sz w:val="20"/>
          <w:szCs w:val="20"/>
        </w:rPr>
        <w:t>has attempted to increase the prospects of a conviction by broadening the scope of the offences and providing support in place to increase the likelihood of disclosures. Under the 2003 Act it is an offence for any person in England, Wales or Northern Ireland (regardless of their nationality or residence status) to perform FGM, or to assist a girl to carry out FGM on herself. It is also an offence to assist (from England, Wales or Northern Ireland) a non-UK national or resident to carry out FGM outside the UK on a UK national or permanent UK resident. Section 4 extends sections 1 to 3 to extra-territorial acts</w:t>
      </w:r>
      <w:r w:rsidR="003A076B" w:rsidRPr="00D55B2B">
        <w:rPr>
          <w:rFonts w:ascii="Verdana" w:hAnsi="Verdana"/>
          <w:sz w:val="20"/>
          <w:szCs w:val="20"/>
        </w:rPr>
        <w:t>.</w:t>
      </w:r>
      <w:r w:rsidR="00C10657" w:rsidRPr="00D55B2B">
        <w:rPr>
          <w:rStyle w:val="FootnoteReference"/>
          <w:rFonts w:ascii="Verdana" w:hAnsi="Verdana"/>
          <w:sz w:val="20"/>
          <w:szCs w:val="20"/>
        </w:rPr>
        <w:footnoteReference w:id="103"/>
      </w:r>
      <w:r w:rsidR="00C10657" w:rsidRPr="00D55B2B">
        <w:rPr>
          <w:rFonts w:ascii="Verdana" w:hAnsi="Verdana"/>
          <w:sz w:val="20"/>
          <w:szCs w:val="20"/>
        </w:rPr>
        <w:t xml:space="preserve"> To support potential prosecutions, victims of FGM offences are also granted lifelong anonymity</w:t>
      </w:r>
      <w:r w:rsidR="003A076B" w:rsidRPr="00D55B2B">
        <w:rPr>
          <w:rFonts w:ascii="Verdana" w:hAnsi="Verdana"/>
          <w:sz w:val="20"/>
          <w:szCs w:val="20"/>
        </w:rPr>
        <w:t>.</w:t>
      </w:r>
      <w:r w:rsidR="00C10657" w:rsidRPr="00D55B2B">
        <w:rPr>
          <w:rStyle w:val="FootnoteReference"/>
          <w:rFonts w:ascii="Verdana" w:hAnsi="Verdana"/>
          <w:sz w:val="20"/>
          <w:szCs w:val="20"/>
        </w:rPr>
        <w:footnoteReference w:id="104"/>
      </w:r>
      <w:r w:rsidR="00C10657" w:rsidRPr="00D55B2B">
        <w:rPr>
          <w:rFonts w:ascii="Verdana" w:hAnsi="Verdana"/>
          <w:sz w:val="20"/>
          <w:szCs w:val="20"/>
        </w:rPr>
        <w:t xml:space="preserve"> A new mandatory reporting duty has also been implemented requiring specified regulated professionals in England and Wales to make a report to the police. The duty applies where, in the course of their professional duties, a professional discovers that FGM appears to have been carried out on a girl aged under 18</w:t>
      </w:r>
      <w:r w:rsidR="003A076B" w:rsidRPr="00D55B2B">
        <w:rPr>
          <w:rFonts w:ascii="Verdana" w:hAnsi="Verdana"/>
          <w:sz w:val="20"/>
          <w:szCs w:val="20"/>
        </w:rPr>
        <w:t>.</w:t>
      </w:r>
      <w:r w:rsidR="00C10657" w:rsidRPr="00D55B2B">
        <w:rPr>
          <w:rStyle w:val="FootnoteReference"/>
          <w:rFonts w:ascii="Verdana" w:hAnsi="Verdana"/>
          <w:sz w:val="20"/>
          <w:szCs w:val="20"/>
        </w:rPr>
        <w:footnoteReference w:id="105"/>
      </w:r>
      <w:r w:rsidR="00C10657" w:rsidRPr="00D55B2B">
        <w:rPr>
          <w:rFonts w:ascii="Verdana" w:hAnsi="Verdana"/>
          <w:sz w:val="20"/>
          <w:szCs w:val="20"/>
        </w:rPr>
        <w:t xml:space="preserve"> Despite these efforts, however, there </w:t>
      </w:r>
      <w:r w:rsidR="004B627E">
        <w:rPr>
          <w:rFonts w:ascii="Verdana" w:hAnsi="Verdana"/>
          <w:sz w:val="20"/>
          <w:szCs w:val="20"/>
        </w:rPr>
        <w:t>has only been one</w:t>
      </w:r>
      <w:r w:rsidR="00A777AC">
        <w:rPr>
          <w:rFonts w:ascii="Verdana" w:hAnsi="Verdana"/>
          <w:sz w:val="20"/>
          <w:szCs w:val="20"/>
        </w:rPr>
        <w:t xml:space="preserve"> successful</w:t>
      </w:r>
      <w:r w:rsidR="004B627E">
        <w:rPr>
          <w:rFonts w:ascii="Verdana" w:hAnsi="Verdana"/>
          <w:sz w:val="20"/>
          <w:szCs w:val="20"/>
        </w:rPr>
        <w:t xml:space="preserve"> criminal prosecution for an FGM offence. </w:t>
      </w:r>
    </w:p>
    <w:p w14:paraId="2B378AD5" w14:textId="7869310D" w:rsidR="00744044" w:rsidRDefault="00C10657" w:rsidP="0060450D">
      <w:pPr>
        <w:pStyle w:val="NormalWeb"/>
        <w:spacing w:line="360" w:lineRule="auto"/>
        <w:ind w:left="851" w:right="-478"/>
        <w:jc w:val="both"/>
        <w:rPr>
          <w:rFonts w:ascii="Verdana" w:hAnsi="Verdana"/>
          <w:sz w:val="20"/>
          <w:szCs w:val="20"/>
        </w:rPr>
      </w:pPr>
      <w:r w:rsidRPr="00D55B2B">
        <w:rPr>
          <w:rFonts w:ascii="Verdana" w:hAnsi="Verdana"/>
          <w:sz w:val="20"/>
          <w:szCs w:val="20"/>
        </w:rPr>
        <w:t xml:space="preserve">In relation to other forms of honour violence, the CEDAW Committee recommended that the UK government criminalise forced marriage and take steps to ratify the </w:t>
      </w:r>
      <w:r w:rsidRPr="00D55B2B">
        <w:rPr>
          <w:rFonts w:ascii="Verdana" w:hAnsi="Verdana"/>
          <w:sz w:val="20"/>
          <w:szCs w:val="20"/>
          <w:shd w:val="clear" w:color="auto" w:fill="FFFFFF"/>
        </w:rPr>
        <w:t>Council of Europe Convention on Preventing and Combating Violence against Women and Domestic Violence (more commonly referred to as the Istanbul Convention), which the UK signed in June 2012</w:t>
      </w:r>
      <w:r w:rsidR="003A076B" w:rsidRPr="00D55B2B">
        <w:rPr>
          <w:rFonts w:ascii="Verdana" w:hAnsi="Verdana"/>
          <w:sz w:val="20"/>
          <w:szCs w:val="20"/>
          <w:shd w:val="clear" w:color="auto" w:fill="FFFFFF"/>
        </w:rPr>
        <w:t>.</w:t>
      </w:r>
      <w:r w:rsidRPr="00D55B2B">
        <w:rPr>
          <w:rStyle w:val="FootnoteReference"/>
          <w:rFonts w:ascii="Verdana" w:hAnsi="Verdana"/>
          <w:sz w:val="20"/>
          <w:szCs w:val="20"/>
          <w:shd w:val="clear" w:color="auto" w:fill="FFFFFF"/>
        </w:rPr>
        <w:footnoteReference w:id="106"/>
      </w:r>
      <w:r w:rsidRPr="00D55B2B">
        <w:rPr>
          <w:rFonts w:ascii="Verdana" w:hAnsi="Verdana"/>
          <w:sz w:val="20"/>
          <w:szCs w:val="20"/>
        </w:rPr>
        <w:t xml:space="preserve"> </w:t>
      </w:r>
      <w:r w:rsidR="00282625" w:rsidRPr="00D55B2B">
        <w:rPr>
          <w:rFonts w:ascii="Verdana" w:hAnsi="Verdana"/>
          <w:sz w:val="20"/>
          <w:szCs w:val="20"/>
        </w:rPr>
        <w:t xml:space="preserve">The steps that the UK have taken to prevent forced marriage and implement the first recommendation </w:t>
      </w:r>
      <w:r w:rsidR="00282625">
        <w:rPr>
          <w:rFonts w:ascii="Verdana" w:hAnsi="Verdana"/>
          <w:sz w:val="20"/>
          <w:szCs w:val="20"/>
        </w:rPr>
        <w:t xml:space="preserve">of the CEDAW committee </w:t>
      </w:r>
      <w:r w:rsidR="00282625" w:rsidRPr="00D55B2B">
        <w:rPr>
          <w:rFonts w:ascii="Verdana" w:hAnsi="Verdana"/>
          <w:sz w:val="20"/>
          <w:szCs w:val="20"/>
        </w:rPr>
        <w:t>were outlined earlier in this article. These include criminalisation and the introduction of protective orders. These provisions have been met with some success in tackling violence against women. Over the last year, 247 forced marriage protection orders have been granted (in all cases the applicants were women)</w:t>
      </w:r>
      <w:r w:rsidR="00282625" w:rsidRPr="00D55B2B">
        <w:rPr>
          <w:rStyle w:val="FootnoteReference"/>
          <w:rFonts w:ascii="Verdana" w:hAnsi="Verdana"/>
          <w:sz w:val="20"/>
          <w:szCs w:val="20"/>
        </w:rPr>
        <w:footnoteReference w:id="107"/>
      </w:r>
      <w:r w:rsidR="00282625" w:rsidRPr="00D55B2B">
        <w:rPr>
          <w:rFonts w:ascii="Verdana" w:hAnsi="Verdana"/>
          <w:sz w:val="20"/>
          <w:szCs w:val="20"/>
        </w:rPr>
        <w:t xml:space="preserve"> and two convictions for forced marriage have taken place.</w:t>
      </w:r>
      <w:r w:rsidR="00282625" w:rsidRPr="00D55B2B">
        <w:rPr>
          <w:rStyle w:val="FootnoteReference"/>
          <w:rFonts w:ascii="Verdana" w:hAnsi="Verdana"/>
          <w:sz w:val="20"/>
          <w:szCs w:val="20"/>
        </w:rPr>
        <w:footnoteReference w:id="108"/>
      </w:r>
      <w:r w:rsidR="00282625" w:rsidRPr="00D55B2B">
        <w:rPr>
          <w:rFonts w:ascii="Verdana" w:hAnsi="Verdana"/>
          <w:sz w:val="20"/>
          <w:szCs w:val="20"/>
        </w:rPr>
        <w:t xml:space="preserve"> </w:t>
      </w:r>
      <w:r w:rsidR="00282625">
        <w:rPr>
          <w:rFonts w:ascii="Verdana" w:hAnsi="Verdana"/>
          <w:sz w:val="20"/>
          <w:szCs w:val="20"/>
        </w:rPr>
        <w:t xml:space="preserve">The  delays in ratifying the </w:t>
      </w:r>
      <w:r w:rsidR="001C0B92">
        <w:rPr>
          <w:rFonts w:ascii="Verdana" w:hAnsi="Verdana"/>
          <w:sz w:val="20"/>
          <w:szCs w:val="20"/>
        </w:rPr>
        <w:t>Istanbul Convention are</w:t>
      </w:r>
      <w:r w:rsidR="00744044">
        <w:rPr>
          <w:rFonts w:ascii="Verdana" w:hAnsi="Verdana"/>
          <w:sz w:val="20"/>
          <w:szCs w:val="20"/>
        </w:rPr>
        <w:t xml:space="preserve"> examined further below. </w:t>
      </w:r>
    </w:p>
    <w:p w14:paraId="0CD5CAE6" w14:textId="77777777" w:rsidR="00744044" w:rsidRPr="0060450D" w:rsidRDefault="00DD3B8D" w:rsidP="0060450D">
      <w:pPr>
        <w:pStyle w:val="Bulletsbase"/>
        <w:numPr>
          <w:ilvl w:val="0"/>
          <w:numId w:val="31"/>
        </w:numPr>
        <w:ind w:hanging="436"/>
        <w:rPr>
          <w:rFonts w:ascii="Verdana" w:hAnsi="Verdana"/>
          <w:sz w:val="20"/>
          <w:szCs w:val="20"/>
        </w:rPr>
      </w:pPr>
      <w:r w:rsidRPr="0060450D">
        <w:rPr>
          <w:rFonts w:ascii="Verdana" w:hAnsi="Verdana"/>
          <w:sz w:val="20"/>
          <w:szCs w:val="20"/>
        </w:rPr>
        <w:t xml:space="preserve">The Istanbul Convention </w:t>
      </w:r>
    </w:p>
    <w:p w14:paraId="1C4B152D" w14:textId="77777777" w:rsidR="009B5090" w:rsidRPr="00D55B2B" w:rsidRDefault="00CA6430" w:rsidP="0060450D">
      <w:pPr>
        <w:pStyle w:val="NormalWeb"/>
        <w:spacing w:line="360" w:lineRule="auto"/>
        <w:ind w:left="851" w:right="-478"/>
        <w:jc w:val="both"/>
        <w:rPr>
          <w:rFonts w:ascii="Verdana" w:hAnsi="Verdana"/>
          <w:sz w:val="20"/>
          <w:szCs w:val="20"/>
        </w:rPr>
      </w:pPr>
      <w:r w:rsidRPr="00D55B2B">
        <w:rPr>
          <w:rFonts w:ascii="Verdana" w:hAnsi="Verdana"/>
          <w:sz w:val="20"/>
          <w:szCs w:val="20"/>
        </w:rPr>
        <w:t>The</w:t>
      </w:r>
      <w:r w:rsidR="00C10657" w:rsidRPr="00D55B2B">
        <w:rPr>
          <w:rFonts w:ascii="Verdana" w:hAnsi="Verdana"/>
          <w:sz w:val="20"/>
          <w:szCs w:val="20"/>
        </w:rPr>
        <w:t xml:space="preserve"> delays</w:t>
      </w:r>
      <w:r w:rsidR="00D870D6" w:rsidRPr="00D55B2B">
        <w:rPr>
          <w:rFonts w:ascii="Verdana" w:hAnsi="Verdana"/>
          <w:sz w:val="20"/>
          <w:szCs w:val="20"/>
        </w:rPr>
        <w:t xml:space="preserve"> to ratifying the Istanbul Convention appear</w:t>
      </w:r>
      <w:r w:rsidR="00C10657" w:rsidRPr="00D55B2B">
        <w:rPr>
          <w:rFonts w:ascii="Verdana" w:hAnsi="Verdana"/>
          <w:sz w:val="20"/>
          <w:szCs w:val="20"/>
        </w:rPr>
        <w:t xml:space="preserve"> to be largely caused by a failure of the devolved administrations to take the required steps to </w:t>
      </w:r>
      <w:r w:rsidR="00065806" w:rsidRPr="00D55B2B">
        <w:rPr>
          <w:rFonts w:ascii="Verdana" w:hAnsi="Verdana"/>
          <w:sz w:val="20"/>
          <w:szCs w:val="20"/>
        </w:rPr>
        <w:t>enable ratification</w:t>
      </w:r>
      <w:r w:rsidR="00C10657" w:rsidRPr="00D55B2B">
        <w:rPr>
          <w:rFonts w:ascii="Verdana" w:hAnsi="Verdana"/>
          <w:sz w:val="20"/>
          <w:szCs w:val="20"/>
        </w:rPr>
        <w:t>. In February 2015, the Joint Committee on Human Rights published a report on the UK’s progress towards ratification of the Convention. The report called on the</w:t>
      </w:r>
      <w:r w:rsidR="00350C00" w:rsidRPr="00D55B2B">
        <w:rPr>
          <w:rFonts w:ascii="Verdana" w:hAnsi="Verdana"/>
          <w:sz w:val="20"/>
          <w:szCs w:val="20"/>
        </w:rPr>
        <w:t xml:space="preserve"> </w:t>
      </w:r>
      <w:r w:rsidR="005B30B9" w:rsidRPr="00D55B2B">
        <w:rPr>
          <w:rFonts w:ascii="Verdana" w:hAnsi="Verdana"/>
          <w:sz w:val="20"/>
          <w:szCs w:val="20"/>
        </w:rPr>
        <w:t>g</w:t>
      </w:r>
      <w:r w:rsidR="00C10657" w:rsidRPr="00D55B2B">
        <w:rPr>
          <w:rFonts w:ascii="Verdana" w:hAnsi="Verdana"/>
          <w:sz w:val="20"/>
          <w:szCs w:val="20"/>
        </w:rPr>
        <w:t xml:space="preserve">overnment </w:t>
      </w:r>
      <w:r w:rsidR="009B5090" w:rsidRPr="00D55B2B">
        <w:rPr>
          <w:rFonts w:ascii="Verdana" w:hAnsi="Verdana"/>
          <w:sz w:val="20"/>
          <w:szCs w:val="20"/>
        </w:rPr>
        <w:t>‘</w:t>
      </w:r>
      <w:r w:rsidR="00C10657" w:rsidRPr="00D55B2B">
        <w:rPr>
          <w:rFonts w:ascii="Verdana" w:hAnsi="Verdana"/>
          <w:sz w:val="20"/>
          <w:szCs w:val="20"/>
        </w:rPr>
        <w:t>to prioritise ratification of the Istanbul Convention by putting the final legislative changes required</w:t>
      </w:r>
      <w:r w:rsidR="000A1589" w:rsidRPr="00D55B2B">
        <w:rPr>
          <w:rFonts w:ascii="Verdana" w:hAnsi="Verdana"/>
          <w:sz w:val="20"/>
          <w:szCs w:val="20"/>
        </w:rPr>
        <w:t xml:space="preserve"> </w:t>
      </w:r>
      <w:r w:rsidR="00C10657" w:rsidRPr="00D55B2B">
        <w:rPr>
          <w:rFonts w:ascii="Verdana" w:hAnsi="Verdana"/>
          <w:sz w:val="20"/>
          <w:szCs w:val="20"/>
        </w:rPr>
        <w:t>before this Parliament</w:t>
      </w:r>
      <w:r w:rsidR="009B5090" w:rsidRPr="00D55B2B">
        <w:rPr>
          <w:rFonts w:ascii="Verdana" w:hAnsi="Verdana"/>
          <w:sz w:val="20"/>
          <w:szCs w:val="20"/>
        </w:rPr>
        <w:t>’</w:t>
      </w:r>
      <w:r w:rsidR="00CD6CF7" w:rsidRPr="00D55B2B">
        <w:rPr>
          <w:rFonts w:ascii="Verdana" w:hAnsi="Verdana"/>
          <w:sz w:val="20"/>
          <w:szCs w:val="20"/>
        </w:rPr>
        <w:t>.</w:t>
      </w:r>
      <w:r w:rsidR="00C10657" w:rsidRPr="00D55B2B">
        <w:rPr>
          <w:rStyle w:val="FootnoteReference"/>
          <w:rFonts w:ascii="Verdana" w:hAnsi="Verdana"/>
          <w:sz w:val="20"/>
          <w:szCs w:val="20"/>
        </w:rPr>
        <w:footnoteReference w:id="109"/>
      </w:r>
      <w:r w:rsidR="00C10657" w:rsidRPr="00D55B2B">
        <w:rPr>
          <w:rFonts w:ascii="Verdana" w:hAnsi="Verdana"/>
          <w:sz w:val="20"/>
          <w:szCs w:val="20"/>
        </w:rPr>
        <w:t xml:space="preserve"> The report stated</w:t>
      </w:r>
      <w:r w:rsidR="009B5090" w:rsidRPr="00D55B2B">
        <w:rPr>
          <w:rFonts w:ascii="Verdana" w:hAnsi="Verdana"/>
          <w:sz w:val="20"/>
          <w:szCs w:val="20"/>
        </w:rPr>
        <w:t>:</w:t>
      </w:r>
      <w:r w:rsidR="00C10657" w:rsidRPr="00D55B2B">
        <w:rPr>
          <w:rFonts w:ascii="Verdana" w:hAnsi="Verdana"/>
          <w:sz w:val="20"/>
          <w:szCs w:val="20"/>
        </w:rPr>
        <w:t xml:space="preserve"> </w:t>
      </w:r>
    </w:p>
    <w:p w14:paraId="0778130E" w14:textId="77777777" w:rsidR="009B5090" w:rsidRPr="00D55B2B" w:rsidRDefault="00905A52" w:rsidP="0060450D">
      <w:pPr>
        <w:pStyle w:val="NormalWeb"/>
        <w:spacing w:line="360" w:lineRule="auto"/>
        <w:ind w:left="1560" w:right="-478"/>
        <w:jc w:val="both"/>
        <w:rPr>
          <w:rFonts w:ascii="Verdana" w:hAnsi="Verdana"/>
          <w:i/>
          <w:sz w:val="20"/>
          <w:szCs w:val="20"/>
        </w:rPr>
      </w:pPr>
      <w:r w:rsidRPr="00D55B2B">
        <w:rPr>
          <w:rFonts w:ascii="Verdana" w:hAnsi="Verdana"/>
          <w:i/>
          <w:sz w:val="20"/>
          <w:szCs w:val="20"/>
        </w:rPr>
        <w:t>W</w:t>
      </w:r>
      <w:r w:rsidR="00C10657" w:rsidRPr="00D55B2B">
        <w:rPr>
          <w:rFonts w:ascii="Verdana" w:hAnsi="Verdana"/>
          <w:i/>
          <w:sz w:val="20"/>
          <w:szCs w:val="20"/>
        </w:rPr>
        <w:t xml:space="preserve">e are concerned that the delay in ratifying the Istanbul Convention could harm the UK’s international reputation as a world leader in combating violence against women and girls. We acknowledge that, if the devolved administrations need to take further legislative steps, there may be a delay in ratifying the Istanbul Convention. We recommend, however, that the Government bring forward the necessary primary legislation regarding jurisdiction before the end of this Parliament, and that the devolved administrations also bring forward any legislative measures that they consider to be necessary, so that the goal of ratifying the Istanbul Convention can be given the priority it deserves. </w:t>
      </w:r>
    </w:p>
    <w:p w14:paraId="247FA571" w14:textId="4EF250DB" w:rsidR="00C10657" w:rsidRPr="00D55B2B" w:rsidRDefault="00C10657" w:rsidP="0060450D">
      <w:pPr>
        <w:pStyle w:val="NormalWeb"/>
        <w:spacing w:line="360" w:lineRule="auto"/>
        <w:ind w:left="851" w:right="-478"/>
        <w:jc w:val="both"/>
        <w:rPr>
          <w:rFonts w:ascii="Verdana" w:hAnsi="Verdana"/>
          <w:sz w:val="20"/>
          <w:szCs w:val="20"/>
        </w:rPr>
      </w:pPr>
      <w:r w:rsidRPr="00D55B2B">
        <w:rPr>
          <w:rFonts w:ascii="Verdana" w:hAnsi="Verdana"/>
          <w:sz w:val="20"/>
          <w:szCs w:val="20"/>
        </w:rPr>
        <w:t xml:space="preserve">In its March 2015 response, the then Government said it was </w:t>
      </w:r>
      <w:r w:rsidR="009B5090" w:rsidRPr="00D55B2B">
        <w:rPr>
          <w:rFonts w:ascii="Verdana" w:hAnsi="Verdana"/>
          <w:sz w:val="20"/>
          <w:szCs w:val="20"/>
        </w:rPr>
        <w:t>‘</w:t>
      </w:r>
      <w:r w:rsidRPr="00D55B2B">
        <w:rPr>
          <w:rFonts w:ascii="Verdana" w:hAnsi="Verdana"/>
          <w:sz w:val="20"/>
          <w:szCs w:val="20"/>
        </w:rPr>
        <w:t>committed to ratifying</w:t>
      </w:r>
      <w:r w:rsidR="009B5090" w:rsidRPr="00D55B2B">
        <w:rPr>
          <w:rFonts w:ascii="Verdana" w:hAnsi="Verdana"/>
          <w:sz w:val="20"/>
          <w:szCs w:val="20"/>
        </w:rPr>
        <w:t>’</w:t>
      </w:r>
      <w:r w:rsidRPr="00D55B2B">
        <w:rPr>
          <w:rFonts w:ascii="Verdana" w:hAnsi="Verdana"/>
          <w:sz w:val="20"/>
          <w:szCs w:val="20"/>
        </w:rPr>
        <w:t xml:space="preserve"> the Convention</w:t>
      </w:r>
      <w:r w:rsidRPr="00D55B2B">
        <w:rPr>
          <w:rStyle w:val="FootnoteReference"/>
          <w:rFonts w:ascii="Verdana" w:hAnsi="Verdana"/>
          <w:sz w:val="20"/>
          <w:szCs w:val="20"/>
        </w:rPr>
        <w:footnoteReference w:id="110"/>
      </w:r>
      <w:r w:rsidRPr="00D55B2B">
        <w:rPr>
          <w:rFonts w:ascii="Verdana" w:hAnsi="Verdana"/>
          <w:sz w:val="20"/>
          <w:szCs w:val="20"/>
        </w:rPr>
        <w:t xml:space="preserve"> Subsequently, the Government has proposed the Domestic Abuse Bill, which together with the Preventing and Combating Violence against Women and Domestic Violence (Ratification of Convention) Act 2017 should ratify the Istanbul Convention into domestic law. At present, however, the preoccupation with Brexit means that it is not clear when the Domestic Abuse Bill will become law. </w:t>
      </w:r>
    </w:p>
    <w:p w14:paraId="4FFA955D" w14:textId="77777777" w:rsidR="00C10657" w:rsidRPr="00D55B2B" w:rsidRDefault="00C10657" w:rsidP="0060450D">
      <w:pPr>
        <w:pStyle w:val="NormalWeb"/>
        <w:spacing w:line="360" w:lineRule="auto"/>
        <w:ind w:left="851" w:right="-478"/>
        <w:jc w:val="both"/>
        <w:rPr>
          <w:rFonts w:ascii="Verdana" w:hAnsi="Verdana"/>
          <w:sz w:val="20"/>
          <w:szCs w:val="20"/>
        </w:rPr>
      </w:pPr>
      <w:r w:rsidRPr="00D55B2B">
        <w:rPr>
          <w:rFonts w:ascii="Verdana" w:hAnsi="Verdana"/>
          <w:sz w:val="20"/>
          <w:szCs w:val="20"/>
        </w:rPr>
        <w:t xml:space="preserve">Notwithstanding this delay, the Government has taken steps to ensure its compliance with the Convention. As outlined above, at a domestic level, there has been growing recognition of the different forms that domestic abuse takes. This is evidenced through the introduction of the Modern Slavery Act 2015 which seeks to protect victims of human trafficking and the </w:t>
      </w:r>
      <w:r w:rsidR="00020F24" w:rsidRPr="00D55B2B">
        <w:rPr>
          <w:rFonts w:ascii="Verdana" w:hAnsi="Verdana"/>
          <w:sz w:val="20"/>
          <w:szCs w:val="20"/>
        </w:rPr>
        <w:t xml:space="preserve">SCA 2015 </w:t>
      </w:r>
      <w:r w:rsidR="00F87B54" w:rsidRPr="00D55B2B">
        <w:rPr>
          <w:rFonts w:ascii="Verdana" w:hAnsi="Verdana"/>
          <w:sz w:val="20"/>
          <w:szCs w:val="20"/>
        </w:rPr>
        <w:t>which criminalised</w:t>
      </w:r>
      <w:r w:rsidRPr="00D55B2B">
        <w:rPr>
          <w:rFonts w:ascii="Verdana" w:hAnsi="Verdana"/>
          <w:sz w:val="20"/>
          <w:szCs w:val="20"/>
        </w:rPr>
        <w:t xml:space="preserve"> coercive and controlling behaviour</w:t>
      </w:r>
      <w:r w:rsidR="0058002F">
        <w:rPr>
          <w:rStyle w:val="FootnoteReference"/>
          <w:rFonts w:ascii="Verdana" w:hAnsi="Verdana"/>
          <w:sz w:val="20"/>
          <w:szCs w:val="20"/>
        </w:rPr>
        <w:footnoteReference w:id="111"/>
      </w:r>
      <w:r w:rsidRPr="00D55B2B">
        <w:rPr>
          <w:rFonts w:ascii="Verdana" w:hAnsi="Verdana"/>
          <w:sz w:val="20"/>
          <w:szCs w:val="20"/>
        </w:rPr>
        <w:t>. In order to ensure that domestic abuse is properly understood, there have also been proposals for a statutory definition of domestic abuse, in line with the requirements of the Convention</w:t>
      </w:r>
      <w:r w:rsidR="00B51FBF" w:rsidRPr="00D55B2B">
        <w:rPr>
          <w:rFonts w:ascii="Verdana" w:hAnsi="Verdana"/>
          <w:sz w:val="20"/>
          <w:szCs w:val="20"/>
        </w:rPr>
        <w:t>, as explored above</w:t>
      </w:r>
      <w:r w:rsidR="0063644A" w:rsidRPr="00D55B2B">
        <w:rPr>
          <w:rFonts w:ascii="Verdana" w:hAnsi="Verdana"/>
          <w:sz w:val="20"/>
          <w:szCs w:val="20"/>
        </w:rPr>
        <w:t>.</w:t>
      </w:r>
      <w:r w:rsidRPr="00D55B2B">
        <w:rPr>
          <w:rStyle w:val="FootnoteReference"/>
          <w:rFonts w:ascii="Verdana" w:hAnsi="Verdana"/>
          <w:sz w:val="20"/>
          <w:szCs w:val="20"/>
        </w:rPr>
        <w:footnoteReference w:id="112"/>
      </w:r>
      <w:r w:rsidRPr="00D55B2B">
        <w:rPr>
          <w:rFonts w:ascii="Verdana" w:hAnsi="Verdana"/>
          <w:sz w:val="20"/>
          <w:szCs w:val="20"/>
        </w:rPr>
        <w:t xml:space="preserve"> </w:t>
      </w:r>
    </w:p>
    <w:p w14:paraId="5B40E08C" w14:textId="77777777" w:rsidR="00C10657" w:rsidRPr="00D55B2B" w:rsidRDefault="00C10657" w:rsidP="0060450D">
      <w:pPr>
        <w:pStyle w:val="NormalWeb"/>
        <w:spacing w:line="360" w:lineRule="auto"/>
        <w:ind w:left="851" w:right="-478"/>
        <w:jc w:val="both"/>
        <w:rPr>
          <w:rFonts w:ascii="Verdana" w:hAnsi="Verdana"/>
          <w:sz w:val="20"/>
          <w:szCs w:val="20"/>
        </w:rPr>
      </w:pPr>
      <w:r w:rsidRPr="00D55B2B">
        <w:rPr>
          <w:rFonts w:ascii="Verdana" w:hAnsi="Verdana"/>
          <w:sz w:val="20"/>
          <w:szCs w:val="20"/>
        </w:rPr>
        <w:t>The overarching message is th</w:t>
      </w:r>
      <w:r w:rsidR="007B2234" w:rsidRPr="00D55B2B">
        <w:rPr>
          <w:rFonts w:ascii="Verdana" w:hAnsi="Verdana"/>
          <w:sz w:val="20"/>
          <w:szCs w:val="20"/>
        </w:rPr>
        <w:t>erefore th</w:t>
      </w:r>
      <w:r w:rsidRPr="00D55B2B">
        <w:rPr>
          <w:rFonts w:ascii="Verdana" w:hAnsi="Verdana"/>
          <w:sz w:val="20"/>
          <w:szCs w:val="20"/>
        </w:rPr>
        <w:t>at</w:t>
      </w:r>
      <w:r w:rsidR="009B5090" w:rsidRPr="00D55B2B">
        <w:rPr>
          <w:rFonts w:ascii="Verdana" w:hAnsi="Verdana"/>
          <w:sz w:val="20"/>
          <w:szCs w:val="20"/>
        </w:rPr>
        <w:t>,</w:t>
      </w:r>
      <w:r w:rsidRPr="00D55B2B">
        <w:rPr>
          <w:rFonts w:ascii="Verdana" w:hAnsi="Verdana"/>
          <w:sz w:val="20"/>
          <w:szCs w:val="20"/>
        </w:rPr>
        <w:t xml:space="preserve"> whilst the UK appear amenable to making recommendations to comply with its international obligations, Russia have to date ignored requests to do the same. It is also noteworthy that Russia is among four out of forty-seven Member States who </w:t>
      </w:r>
      <w:r w:rsidR="00F549AD" w:rsidRPr="00D55B2B">
        <w:rPr>
          <w:rFonts w:ascii="Verdana" w:hAnsi="Verdana"/>
          <w:sz w:val="20"/>
          <w:szCs w:val="20"/>
        </w:rPr>
        <w:t>has not signed</w:t>
      </w:r>
      <w:r w:rsidR="00B87BFB" w:rsidRPr="00D55B2B">
        <w:rPr>
          <w:rFonts w:ascii="Verdana" w:hAnsi="Verdana"/>
          <w:sz w:val="20"/>
          <w:szCs w:val="20"/>
        </w:rPr>
        <w:t xml:space="preserve"> the</w:t>
      </w:r>
      <w:r w:rsidRPr="00D55B2B">
        <w:rPr>
          <w:rFonts w:ascii="Verdana" w:hAnsi="Verdana"/>
          <w:sz w:val="20"/>
          <w:szCs w:val="20"/>
        </w:rPr>
        <w:t xml:space="preserve"> Istanbul Convention</w:t>
      </w:r>
      <w:r w:rsidR="004E415A" w:rsidRPr="00D55B2B">
        <w:rPr>
          <w:rFonts w:ascii="Verdana" w:hAnsi="Verdana"/>
          <w:sz w:val="20"/>
          <w:szCs w:val="20"/>
        </w:rPr>
        <w:t xml:space="preserve">, </w:t>
      </w:r>
      <w:r w:rsidR="00A470B8" w:rsidRPr="00D55B2B">
        <w:rPr>
          <w:rFonts w:ascii="Verdana" w:hAnsi="Verdana"/>
          <w:sz w:val="20"/>
          <w:szCs w:val="20"/>
        </w:rPr>
        <w:t xml:space="preserve">arguably because they are not willing to </w:t>
      </w:r>
      <w:r w:rsidR="00AF527A" w:rsidRPr="00D55B2B">
        <w:rPr>
          <w:rFonts w:ascii="Verdana" w:hAnsi="Verdana"/>
          <w:sz w:val="20"/>
          <w:szCs w:val="20"/>
        </w:rPr>
        <w:t>undergo the legislative reform or financial investment</w:t>
      </w:r>
      <w:r w:rsidR="00A470B8" w:rsidRPr="00D55B2B">
        <w:rPr>
          <w:rFonts w:ascii="Verdana" w:hAnsi="Verdana"/>
          <w:sz w:val="20"/>
          <w:szCs w:val="20"/>
        </w:rPr>
        <w:t xml:space="preserve"> that would be required </w:t>
      </w:r>
      <w:r w:rsidR="00C46297" w:rsidRPr="00D55B2B">
        <w:rPr>
          <w:rFonts w:ascii="Verdana" w:hAnsi="Verdana"/>
          <w:sz w:val="20"/>
          <w:szCs w:val="20"/>
        </w:rPr>
        <w:t>to adhere to</w:t>
      </w:r>
      <w:r w:rsidR="00A470B8" w:rsidRPr="00D55B2B">
        <w:rPr>
          <w:rFonts w:ascii="Verdana" w:hAnsi="Verdana"/>
          <w:sz w:val="20"/>
          <w:szCs w:val="20"/>
        </w:rPr>
        <w:t xml:space="preserve"> the Convention. </w:t>
      </w:r>
      <w:r w:rsidRPr="00D55B2B">
        <w:rPr>
          <w:rFonts w:ascii="Verdana" w:hAnsi="Verdana"/>
          <w:sz w:val="20"/>
          <w:szCs w:val="20"/>
        </w:rPr>
        <w:t xml:space="preserve"> </w:t>
      </w:r>
    </w:p>
    <w:p w14:paraId="62F32F3A" w14:textId="77777777" w:rsidR="00580281" w:rsidRPr="0060450D" w:rsidRDefault="00BF2869" w:rsidP="0060450D">
      <w:pPr>
        <w:pStyle w:val="Bulletsbase"/>
        <w:numPr>
          <w:ilvl w:val="0"/>
          <w:numId w:val="31"/>
        </w:numPr>
        <w:ind w:hanging="436"/>
        <w:rPr>
          <w:rFonts w:ascii="Verdana" w:hAnsi="Verdana"/>
          <w:sz w:val="20"/>
          <w:szCs w:val="20"/>
          <w:u w:val="single"/>
        </w:rPr>
      </w:pPr>
      <w:r w:rsidRPr="0060450D">
        <w:rPr>
          <w:rFonts w:ascii="Verdana" w:hAnsi="Verdana"/>
          <w:sz w:val="20"/>
          <w:szCs w:val="20"/>
          <w:u w:val="single"/>
        </w:rPr>
        <w:t>European Convention on Human Rights (ECHR)</w:t>
      </w:r>
    </w:p>
    <w:p w14:paraId="2667B224" w14:textId="77777777" w:rsidR="009C63A7" w:rsidRPr="00D55B2B" w:rsidRDefault="00C10657" w:rsidP="006D155D">
      <w:pPr>
        <w:pStyle w:val="NormalWeb"/>
        <w:spacing w:line="360" w:lineRule="auto"/>
        <w:ind w:left="851" w:right="-478"/>
        <w:jc w:val="both"/>
        <w:rPr>
          <w:rFonts w:ascii="Verdana" w:hAnsi="Verdana"/>
          <w:sz w:val="20"/>
          <w:szCs w:val="20"/>
        </w:rPr>
      </w:pPr>
      <w:r w:rsidRPr="00D55B2B">
        <w:rPr>
          <w:rFonts w:ascii="Verdana" w:hAnsi="Verdana"/>
          <w:sz w:val="20"/>
          <w:szCs w:val="20"/>
        </w:rPr>
        <w:t xml:space="preserve">Russia and the </w:t>
      </w:r>
      <w:r w:rsidR="00EE391D" w:rsidRPr="00D55B2B">
        <w:rPr>
          <w:rFonts w:ascii="Verdana" w:hAnsi="Verdana"/>
          <w:sz w:val="20"/>
          <w:szCs w:val="20"/>
        </w:rPr>
        <w:t>UK</w:t>
      </w:r>
      <w:r w:rsidRPr="00D55B2B">
        <w:rPr>
          <w:rFonts w:ascii="Verdana" w:hAnsi="Verdana"/>
          <w:sz w:val="20"/>
          <w:szCs w:val="20"/>
        </w:rPr>
        <w:t xml:space="preserve"> are also parties to the European Convention on Human Rights (ECHR). The ECHR guarantees the right to life</w:t>
      </w:r>
      <w:r w:rsidR="0063644A" w:rsidRPr="00D55B2B">
        <w:rPr>
          <w:rFonts w:ascii="Verdana" w:hAnsi="Verdana"/>
          <w:sz w:val="20"/>
          <w:szCs w:val="20"/>
        </w:rPr>
        <w:t>,</w:t>
      </w:r>
      <w:r w:rsidRPr="00D55B2B">
        <w:rPr>
          <w:rStyle w:val="FootnoteReference"/>
          <w:rFonts w:ascii="Verdana" w:hAnsi="Verdana"/>
          <w:sz w:val="20"/>
          <w:szCs w:val="20"/>
        </w:rPr>
        <w:footnoteReference w:id="113"/>
      </w:r>
      <w:r w:rsidRPr="00D55B2B">
        <w:rPr>
          <w:rFonts w:ascii="Verdana" w:hAnsi="Verdana"/>
          <w:sz w:val="20"/>
          <w:szCs w:val="20"/>
        </w:rPr>
        <w:t xml:space="preserve"> the right not to be subject to torture or cruel, inhumane or degrading treatment</w:t>
      </w:r>
      <w:r w:rsidRPr="00D55B2B">
        <w:rPr>
          <w:rStyle w:val="FootnoteReference"/>
          <w:rFonts w:ascii="Verdana" w:hAnsi="Verdana"/>
          <w:sz w:val="20"/>
          <w:szCs w:val="20"/>
        </w:rPr>
        <w:footnoteReference w:id="114"/>
      </w:r>
      <w:r w:rsidRPr="00D55B2B">
        <w:rPr>
          <w:rFonts w:ascii="Verdana" w:hAnsi="Verdana"/>
          <w:sz w:val="20"/>
          <w:szCs w:val="20"/>
        </w:rPr>
        <w:t xml:space="preserve"> and the right to be free from discrimination</w:t>
      </w:r>
      <w:r w:rsidR="0063644A" w:rsidRPr="00D55B2B">
        <w:rPr>
          <w:rFonts w:ascii="Verdana" w:hAnsi="Verdana"/>
          <w:sz w:val="20"/>
          <w:szCs w:val="20"/>
        </w:rPr>
        <w:t>.</w:t>
      </w:r>
      <w:r w:rsidRPr="00D55B2B">
        <w:rPr>
          <w:rStyle w:val="FootnoteReference"/>
          <w:rFonts w:ascii="Verdana" w:hAnsi="Verdana"/>
          <w:sz w:val="20"/>
          <w:szCs w:val="20"/>
        </w:rPr>
        <w:footnoteReference w:id="115"/>
      </w:r>
      <w:r w:rsidRPr="00D55B2B">
        <w:rPr>
          <w:rFonts w:ascii="Verdana" w:hAnsi="Verdana"/>
          <w:sz w:val="20"/>
          <w:szCs w:val="20"/>
        </w:rPr>
        <w:t xml:space="preserve"> </w:t>
      </w:r>
      <w:r w:rsidR="00696E3B" w:rsidRPr="00D55B2B">
        <w:rPr>
          <w:rFonts w:ascii="Verdana" w:hAnsi="Verdana"/>
          <w:sz w:val="20"/>
          <w:szCs w:val="20"/>
        </w:rPr>
        <w:t>Domestic abuse t</w:t>
      </w:r>
      <w:r w:rsidR="00B55C53" w:rsidRPr="00D55B2B">
        <w:rPr>
          <w:rFonts w:ascii="Verdana" w:hAnsi="Verdana"/>
          <w:sz w:val="20"/>
          <w:szCs w:val="20"/>
        </w:rPr>
        <w:t>h</w:t>
      </w:r>
      <w:r w:rsidR="00696E3B" w:rsidRPr="00D55B2B">
        <w:rPr>
          <w:rFonts w:ascii="Verdana" w:hAnsi="Verdana"/>
          <w:sz w:val="20"/>
          <w:szCs w:val="20"/>
        </w:rPr>
        <w:t xml:space="preserve">reatens each of these fundamental freedoms. </w:t>
      </w:r>
      <w:r w:rsidRPr="00D55B2B">
        <w:rPr>
          <w:rFonts w:ascii="Verdana" w:hAnsi="Verdana"/>
          <w:sz w:val="20"/>
          <w:szCs w:val="20"/>
        </w:rPr>
        <w:t>Similar</w:t>
      </w:r>
      <w:r w:rsidR="00177263" w:rsidRPr="00D55B2B">
        <w:rPr>
          <w:rFonts w:ascii="Verdana" w:hAnsi="Verdana"/>
          <w:sz w:val="20"/>
          <w:szCs w:val="20"/>
        </w:rPr>
        <w:t xml:space="preserve"> </w:t>
      </w:r>
      <w:r w:rsidRPr="00D55B2B">
        <w:rPr>
          <w:rFonts w:ascii="Verdana" w:hAnsi="Verdana"/>
          <w:sz w:val="20"/>
          <w:szCs w:val="20"/>
        </w:rPr>
        <w:t>to CEDAW,</w:t>
      </w:r>
      <w:r w:rsidR="00373765" w:rsidRPr="00D55B2B">
        <w:rPr>
          <w:rFonts w:ascii="Verdana" w:hAnsi="Verdana"/>
          <w:sz w:val="20"/>
          <w:szCs w:val="20"/>
        </w:rPr>
        <w:t xml:space="preserve"> as well as giving negative rights to individuals (i.e. the rights that government</w:t>
      </w:r>
      <w:r w:rsidR="00D06EC1" w:rsidRPr="00D55B2B">
        <w:rPr>
          <w:rFonts w:ascii="Verdana" w:hAnsi="Verdana"/>
          <w:sz w:val="20"/>
          <w:szCs w:val="20"/>
        </w:rPr>
        <w:t>s</w:t>
      </w:r>
      <w:r w:rsidR="00373765" w:rsidRPr="00D55B2B">
        <w:rPr>
          <w:rFonts w:ascii="Verdana" w:hAnsi="Verdana"/>
          <w:sz w:val="20"/>
          <w:szCs w:val="20"/>
        </w:rPr>
        <w:t xml:space="preserve"> must refrain from interfering with)</w:t>
      </w:r>
      <w:r w:rsidRPr="00D55B2B">
        <w:rPr>
          <w:rFonts w:ascii="Verdana" w:hAnsi="Verdana"/>
          <w:sz w:val="20"/>
          <w:szCs w:val="20"/>
        </w:rPr>
        <w:t xml:space="preserve"> the ECHR imposes positive obligations on States to ensure compliance with the rights protected in the</w:t>
      </w:r>
      <w:r w:rsidR="002355E8" w:rsidRPr="00D55B2B">
        <w:rPr>
          <w:rFonts w:ascii="Verdana" w:hAnsi="Verdana"/>
          <w:sz w:val="20"/>
          <w:szCs w:val="20"/>
        </w:rPr>
        <w:t xml:space="preserve"> ECHR</w:t>
      </w:r>
      <w:r w:rsidR="000224CD" w:rsidRPr="00D55B2B">
        <w:rPr>
          <w:rFonts w:ascii="Verdana" w:hAnsi="Verdana"/>
          <w:sz w:val="20"/>
          <w:szCs w:val="20"/>
        </w:rPr>
        <w:t xml:space="preserve"> through </w:t>
      </w:r>
      <w:r w:rsidR="0044175F" w:rsidRPr="00D55B2B">
        <w:rPr>
          <w:rFonts w:ascii="Verdana" w:hAnsi="Verdana"/>
          <w:sz w:val="20"/>
          <w:szCs w:val="20"/>
        </w:rPr>
        <w:t>a due diligence requirement</w:t>
      </w:r>
      <w:r w:rsidR="0063644A" w:rsidRPr="00D55B2B">
        <w:rPr>
          <w:rFonts w:ascii="Verdana" w:hAnsi="Verdana"/>
          <w:sz w:val="20"/>
          <w:szCs w:val="20"/>
        </w:rPr>
        <w:t>.</w:t>
      </w:r>
      <w:r w:rsidR="00CC0A8D" w:rsidRPr="00D55B2B">
        <w:rPr>
          <w:rStyle w:val="FootnoteReference"/>
          <w:rFonts w:ascii="Verdana" w:hAnsi="Verdana"/>
          <w:sz w:val="20"/>
          <w:szCs w:val="20"/>
        </w:rPr>
        <w:footnoteReference w:id="116"/>
      </w:r>
    </w:p>
    <w:p w14:paraId="7329E265" w14:textId="77777777" w:rsidR="0027095A" w:rsidRPr="00D55B2B" w:rsidRDefault="00B823B3" w:rsidP="0060450D">
      <w:pPr>
        <w:pStyle w:val="NormalWeb"/>
        <w:spacing w:line="360" w:lineRule="auto"/>
        <w:ind w:left="851" w:right="-478"/>
        <w:jc w:val="both"/>
        <w:rPr>
          <w:rFonts w:ascii="Verdana" w:hAnsi="Verdana"/>
          <w:sz w:val="20"/>
          <w:szCs w:val="20"/>
        </w:rPr>
      </w:pPr>
      <w:r w:rsidRPr="00D55B2B">
        <w:rPr>
          <w:rFonts w:ascii="Verdana" w:hAnsi="Verdana"/>
          <w:sz w:val="20"/>
          <w:szCs w:val="20"/>
        </w:rPr>
        <w:t xml:space="preserve">In </w:t>
      </w:r>
      <w:r w:rsidR="00A4601F" w:rsidRPr="00D55B2B">
        <w:rPr>
          <w:rFonts w:ascii="Verdana" w:hAnsi="Verdana"/>
          <w:i/>
          <w:iCs/>
          <w:sz w:val="20"/>
          <w:szCs w:val="20"/>
        </w:rPr>
        <w:t>Osman v. United Kingdom</w:t>
      </w:r>
      <w:r w:rsidR="00C625C2" w:rsidRPr="00D55B2B">
        <w:rPr>
          <w:rFonts w:ascii="Verdana" w:hAnsi="Verdana"/>
          <w:sz w:val="20"/>
          <w:szCs w:val="20"/>
        </w:rPr>
        <w:t xml:space="preserve"> t</w:t>
      </w:r>
      <w:r w:rsidR="00A4601F" w:rsidRPr="00D55B2B">
        <w:rPr>
          <w:rFonts w:ascii="Verdana" w:hAnsi="Verdana"/>
          <w:sz w:val="20"/>
          <w:szCs w:val="20"/>
        </w:rPr>
        <w:t>he E</w:t>
      </w:r>
      <w:r w:rsidR="00236E19" w:rsidRPr="00D55B2B">
        <w:rPr>
          <w:rFonts w:ascii="Verdana" w:hAnsi="Verdana"/>
          <w:sz w:val="20"/>
          <w:szCs w:val="20"/>
        </w:rPr>
        <w:t>uropean Court of Human Rights</w:t>
      </w:r>
      <w:r w:rsidR="00A4601F" w:rsidRPr="00D55B2B">
        <w:rPr>
          <w:rFonts w:ascii="Verdana" w:hAnsi="Verdana"/>
          <w:sz w:val="20"/>
          <w:szCs w:val="20"/>
        </w:rPr>
        <w:t xml:space="preserve"> acknowledged that a state’s obligation </w:t>
      </w:r>
      <w:r w:rsidR="005D6944" w:rsidRPr="00D55B2B">
        <w:rPr>
          <w:rFonts w:ascii="Verdana" w:hAnsi="Verdana"/>
          <w:sz w:val="20"/>
          <w:szCs w:val="20"/>
        </w:rPr>
        <w:t>‘</w:t>
      </w:r>
      <w:r w:rsidR="00A4601F" w:rsidRPr="00D55B2B">
        <w:rPr>
          <w:rFonts w:ascii="Verdana" w:hAnsi="Verdana"/>
          <w:sz w:val="20"/>
          <w:szCs w:val="20"/>
        </w:rPr>
        <w:t>extends beyond its primary duty to secure the right to life by putting in place effective criminal-law provisions to deter the commission of offenses against the person backed up by law-enforcement machinery for the prevention, suppression and sanctioning of breaches of such provisions</w:t>
      </w:r>
      <w:r w:rsidR="005D6944" w:rsidRPr="00D55B2B">
        <w:rPr>
          <w:rFonts w:ascii="Verdana" w:hAnsi="Verdana"/>
          <w:sz w:val="20"/>
          <w:szCs w:val="20"/>
        </w:rPr>
        <w:t>’</w:t>
      </w:r>
      <w:r w:rsidR="009A31F3" w:rsidRPr="00D55B2B">
        <w:rPr>
          <w:rFonts w:ascii="Verdana" w:hAnsi="Verdana"/>
          <w:sz w:val="20"/>
          <w:szCs w:val="20"/>
        </w:rPr>
        <w:t>.</w:t>
      </w:r>
      <w:r w:rsidR="00420BA8" w:rsidRPr="00D55B2B">
        <w:rPr>
          <w:rStyle w:val="FootnoteReference"/>
          <w:rFonts w:ascii="Verdana" w:hAnsi="Verdana"/>
          <w:sz w:val="20"/>
          <w:szCs w:val="20"/>
        </w:rPr>
        <w:footnoteReference w:id="117"/>
      </w:r>
      <w:r w:rsidR="00A4601F" w:rsidRPr="00D55B2B">
        <w:rPr>
          <w:rFonts w:ascii="Verdana" w:hAnsi="Verdana"/>
          <w:sz w:val="20"/>
          <w:szCs w:val="20"/>
        </w:rPr>
        <w:t xml:space="preserve"> The </w:t>
      </w:r>
      <w:r w:rsidR="00513EBD" w:rsidRPr="00D55B2B">
        <w:rPr>
          <w:rFonts w:ascii="Verdana" w:hAnsi="Verdana"/>
          <w:sz w:val="20"/>
          <w:szCs w:val="20"/>
        </w:rPr>
        <w:t>c</w:t>
      </w:r>
      <w:r w:rsidR="00A4601F" w:rsidRPr="00D55B2B">
        <w:rPr>
          <w:rFonts w:ascii="Verdana" w:hAnsi="Verdana"/>
          <w:sz w:val="20"/>
          <w:szCs w:val="20"/>
        </w:rPr>
        <w:t>ourt</w:t>
      </w:r>
      <w:r w:rsidR="003C5EAC" w:rsidRPr="00D55B2B">
        <w:rPr>
          <w:rFonts w:ascii="Verdana" w:hAnsi="Verdana"/>
          <w:sz w:val="20"/>
          <w:szCs w:val="20"/>
        </w:rPr>
        <w:t xml:space="preserve"> noted that for </w:t>
      </w:r>
      <w:r w:rsidR="00F7553E" w:rsidRPr="00D55B2B">
        <w:rPr>
          <w:rFonts w:ascii="Verdana" w:hAnsi="Verdana"/>
          <w:sz w:val="20"/>
          <w:szCs w:val="20"/>
        </w:rPr>
        <w:t xml:space="preserve">there to be a violation of the </w:t>
      </w:r>
      <w:r w:rsidR="00A4601F" w:rsidRPr="00D55B2B">
        <w:rPr>
          <w:rFonts w:ascii="Verdana" w:hAnsi="Verdana"/>
          <w:sz w:val="20"/>
          <w:szCs w:val="20"/>
        </w:rPr>
        <w:t xml:space="preserve">obligation to protect life, it must be shown that the authorities knew, or ought to have known at the time, of the existence of a </w:t>
      </w:r>
      <w:r w:rsidR="005D6944" w:rsidRPr="00D55B2B">
        <w:rPr>
          <w:rFonts w:ascii="Verdana" w:hAnsi="Verdana"/>
          <w:sz w:val="20"/>
          <w:szCs w:val="20"/>
        </w:rPr>
        <w:t>‘</w:t>
      </w:r>
      <w:r w:rsidR="00A4601F" w:rsidRPr="00D55B2B">
        <w:rPr>
          <w:rFonts w:ascii="Verdana" w:hAnsi="Verdana"/>
          <w:sz w:val="20"/>
          <w:szCs w:val="20"/>
        </w:rPr>
        <w:t>real and immediate risk</w:t>
      </w:r>
      <w:r w:rsidR="005D6944" w:rsidRPr="00D55B2B">
        <w:rPr>
          <w:rFonts w:ascii="Verdana" w:hAnsi="Verdana"/>
          <w:sz w:val="20"/>
          <w:szCs w:val="20"/>
        </w:rPr>
        <w:t>’</w:t>
      </w:r>
      <w:r w:rsidR="00A4601F" w:rsidRPr="00D55B2B">
        <w:rPr>
          <w:rFonts w:ascii="Verdana" w:hAnsi="Verdana"/>
          <w:sz w:val="20"/>
          <w:szCs w:val="20"/>
        </w:rPr>
        <w:t xml:space="preserve"> and that they failed to </w:t>
      </w:r>
      <w:r w:rsidR="005D6944" w:rsidRPr="00D55B2B">
        <w:rPr>
          <w:rFonts w:ascii="Verdana" w:hAnsi="Verdana"/>
          <w:sz w:val="20"/>
          <w:szCs w:val="20"/>
        </w:rPr>
        <w:t>‘</w:t>
      </w:r>
      <w:r w:rsidR="00A4601F" w:rsidRPr="00D55B2B">
        <w:rPr>
          <w:rFonts w:ascii="Verdana" w:hAnsi="Verdana"/>
          <w:sz w:val="20"/>
          <w:szCs w:val="20"/>
        </w:rPr>
        <w:t>take measures within the scope of their powers which, judged reasonably, might have been expected to avoid that risk</w:t>
      </w:r>
      <w:r w:rsidR="005D6944" w:rsidRPr="00D55B2B">
        <w:rPr>
          <w:rFonts w:ascii="Verdana" w:hAnsi="Verdana"/>
          <w:sz w:val="20"/>
          <w:szCs w:val="20"/>
        </w:rPr>
        <w:t>’</w:t>
      </w:r>
      <w:r w:rsidR="009A31F3" w:rsidRPr="00D55B2B">
        <w:rPr>
          <w:rFonts w:ascii="Verdana" w:hAnsi="Verdana"/>
          <w:sz w:val="20"/>
          <w:szCs w:val="20"/>
        </w:rPr>
        <w:t>.</w:t>
      </w:r>
      <w:r w:rsidR="00110D69" w:rsidRPr="00D55B2B">
        <w:rPr>
          <w:rStyle w:val="FootnoteReference"/>
          <w:rFonts w:ascii="Verdana" w:hAnsi="Verdana"/>
          <w:sz w:val="20"/>
          <w:szCs w:val="20"/>
        </w:rPr>
        <w:footnoteReference w:id="118"/>
      </w:r>
      <w:r w:rsidR="008C2943" w:rsidRPr="00D55B2B">
        <w:rPr>
          <w:rFonts w:ascii="Verdana" w:hAnsi="Verdana"/>
          <w:sz w:val="20"/>
          <w:szCs w:val="20"/>
        </w:rPr>
        <w:t xml:space="preserve"> </w:t>
      </w:r>
      <w:r w:rsidR="0067754E" w:rsidRPr="00D55B2B">
        <w:rPr>
          <w:rFonts w:ascii="Verdana" w:hAnsi="Verdana"/>
          <w:sz w:val="20"/>
          <w:szCs w:val="20"/>
        </w:rPr>
        <w:t xml:space="preserve">This includes the provision of </w:t>
      </w:r>
      <w:r w:rsidR="00A4601F" w:rsidRPr="00D55B2B">
        <w:rPr>
          <w:rFonts w:ascii="Verdana" w:hAnsi="Verdana"/>
          <w:sz w:val="20"/>
          <w:szCs w:val="20"/>
        </w:rPr>
        <w:t>public education, treatment and assistance for victims, intervention for the perpetrators</w:t>
      </w:r>
      <w:r w:rsidR="006E5C8C" w:rsidRPr="00D55B2B">
        <w:rPr>
          <w:rFonts w:ascii="Verdana" w:hAnsi="Verdana"/>
          <w:sz w:val="20"/>
          <w:szCs w:val="20"/>
        </w:rPr>
        <w:t xml:space="preserve"> and</w:t>
      </w:r>
      <w:r w:rsidR="00540048" w:rsidRPr="00D55B2B">
        <w:rPr>
          <w:rFonts w:ascii="Verdana" w:hAnsi="Verdana"/>
          <w:sz w:val="20"/>
          <w:szCs w:val="20"/>
        </w:rPr>
        <w:t xml:space="preserve"> </w:t>
      </w:r>
      <w:r w:rsidR="004C4279" w:rsidRPr="00D55B2B">
        <w:rPr>
          <w:rFonts w:ascii="Verdana" w:hAnsi="Verdana"/>
          <w:sz w:val="20"/>
          <w:szCs w:val="20"/>
        </w:rPr>
        <w:t xml:space="preserve">interim measures </w:t>
      </w:r>
      <w:r w:rsidR="00A52015" w:rsidRPr="00D55B2B">
        <w:rPr>
          <w:rFonts w:ascii="Verdana" w:hAnsi="Verdana"/>
          <w:sz w:val="20"/>
          <w:szCs w:val="20"/>
        </w:rPr>
        <w:t>to prohibit the</w:t>
      </w:r>
      <w:r w:rsidR="004C4279" w:rsidRPr="00D55B2B">
        <w:rPr>
          <w:rFonts w:ascii="Verdana" w:hAnsi="Verdana"/>
          <w:sz w:val="20"/>
          <w:szCs w:val="20"/>
        </w:rPr>
        <w:t xml:space="preserve"> perpetrator from </w:t>
      </w:r>
      <w:r w:rsidR="005D6944" w:rsidRPr="00D55B2B">
        <w:rPr>
          <w:rFonts w:ascii="Verdana" w:hAnsi="Verdana"/>
          <w:sz w:val="20"/>
          <w:szCs w:val="20"/>
        </w:rPr>
        <w:t>‘</w:t>
      </w:r>
      <w:r w:rsidR="004C4279" w:rsidRPr="00D55B2B">
        <w:rPr>
          <w:rFonts w:ascii="Verdana" w:hAnsi="Verdana"/>
          <w:sz w:val="20"/>
          <w:szCs w:val="20"/>
        </w:rPr>
        <w:t>contacting, communicating with or approaching the victim [or] residing in or entering certain defined areas</w:t>
      </w:r>
      <w:r w:rsidR="005D6944" w:rsidRPr="00D55B2B">
        <w:rPr>
          <w:rFonts w:ascii="Verdana" w:hAnsi="Verdana"/>
          <w:sz w:val="20"/>
          <w:szCs w:val="20"/>
        </w:rPr>
        <w:t>’</w:t>
      </w:r>
      <w:r w:rsidR="004F1276" w:rsidRPr="00D55B2B">
        <w:rPr>
          <w:rFonts w:ascii="Verdana" w:hAnsi="Verdana"/>
          <w:sz w:val="20"/>
          <w:szCs w:val="20"/>
        </w:rPr>
        <w:t>.</w:t>
      </w:r>
      <w:r w:rsidR="0027095A" w:rsidRPr="00D55B2B">
        <w:rPr>
          <w:rStyle w:val="FootnoteReference"/>
          <w:rFonts w:ascii="Verdana" w:hAnsi="Verdana"/>
          <w:sz w:val="20"/>
          <w:szCs w:val="20"/>
        </w:rPr>
        <w:footnoteReference w:id="119"/>
      </w:r>
      <w:r w:rsidR="00A4601F" w:rsidRPr="00D55B2B">
        <w:rPr>
          <w:rFonts w:ascii="Verdana" w:hAnsi="Verdana"/>
          <w:sz w:val="20"/>
          <w:szCs w:val="20"/>
        </w:rPr>
        <w:t xml:space="preserve"> </w:t>
      </w:r>
    </w:p>
    <w:p w14:paraId="28DF3C4C" w14:textId="77777777" w:rsidR="00A07FB4" w:rsidRPr="00D55B2B" w:rsidRDefault="00861B73" w:rsidP="0060450D">
      <w:pPr>
        <w:adjustRightInd w:val="0"/>
        <w:spacing w:line="360" w:lineRule="auto"/>
        <w:ind w:left="851" w:right="-478"/>
        <w:jc w:val="both"/>
        <w:rPr>
          <w:rFonts w:ascii="Verdana" w:hAnsi="Verdana"/>
        </w:rPr>
      </w:pPr>
      <w:r w:rsidRPr="00D55B2B">
        <w:rPr>
          <w:rFonts w:ascii="Verdana" w:hAnsi="Verdana"/>
        </w:rPr>
        <w:t>The issue of how this works in practice has been considered by the</w:t>
      </w:r>
      <w:r w:rsidR="009C556A" w:rsidRPr="00D55B2B">
        <w:rPr>
          <w:rFonts w:ascii="Verdana" w:hAnsi="Verdana"/>
        </w:rPr>
        <w:t xml:space="preserve"> European Court of Human Rights</w:t>
      </w:r>
      <w:r w:rsidR="00954EB0" w:rsidRPr="00D55B2B">
        <w:rPr>
          <w:rFonts w:ascii="Verdana" w:hAnsi="Verdana"/>
        </w:rPr>
        <w:t xml:space="preserve">. </w:t>
      </w:r>
      <w:r w:rsidR="00A77775" w:rsidRPr="00D55B2B">
        <w:rPr>
          <w:rFonts w:ascii="Verdana" w:hAnsi="Verdana"/>
        </w:rPr>
        <w:t>The</w:t>
      </w:r>
      <w:r w:rsidR="00954EB0" w:rsidRPr="00D55B2B">
        <w:rPr>
          <w:rFonts w:ascii="Verdana" w:hAnsi="Verdana"/>
        </w:rPr>
        <w:t xml:space="preserve"> case of </w:t>
      </w:r>
      <w:r w:rsidR="00A4601F" w:rsidRPr="008556C4">
        <w:rPr>
          <w:rFonts w:ascii="Verdana" w:hAnsi="Verdana"/>
          <w:i/>
        </w:rPr>
        <w:t>Bevacqua and</w:t>
      </w:r>
      <w:r w:rsidR="00A4601F" w:rsidRPr="00D55B2B">
        <w:rPr>
          <w:rFonts w:ascii="Verdana" w:hAnsi="Verdana"/>
        </w:rPr>
        <w:t xml:space="preserve"> </w:t>
      </w:r>
      <w:r w:rsidR="00A4601F" w:rsidRPr="00D55B2B">
        <w:rPr>
          <w:rFonts w:ascii="Verdana" w:hAnsi="Verdana"/>
          <w:i/>
        </w:rPr>
        <w:t xml:space="preserve">S. v Bulgaria </w:t>
      </w:r>
      <w:r w:rsidR="005C6063" w:rsidRPr="00D55B2B">
        <w:rPr>
          <w:rFonts w:ascii="Verdana" w:hAnsi="Verdana"/>
        </w:rPr>
        <w:t xml:space="preserve">concerned </w:t>
      </w:r>
      <w:r w:rsidR="00202633" w:rsidRPr="00D55B2B">
        <w:rPr>
          <w:rFonts w:ascii="Verdana" w:hAnsi="Verdana"/>
        </w:rPr>
        <w:t xml:space="preserve">a man </w:t>
      </w:r>
      <w:r w:rsidR="00EF3E59" w:rsidRPr="00D55B2B">
        <w:rPr>
          <w:rFonts w:ascii="Verdana" w:hAnsi="Verdana"/>
        </w:rPr>
        <w:t xml:space="preserve">who </w:t>
      </w:r>
      <w:r w:rsidR="00202633" w:rsidRPr="00D55B2B">
        <w:rPr>
          <w:rFonts w:ascii="Verdana" w:hAnsi="Verdana"/>
        </w:rPr>
        <w:t>physically assaulted his ex-wife</w:t>
      </w:r>
      <w:r w:rsidR="000B1EB1" w:rsidRPr="00D55B2B">
        <w:rPr>
          <w:rFonts w:ascii="Verdana" w:hAnsi="Verdana"/>
        </w:rPr>
        <w:t>.</w:t>
      </w:r>
      <w:r w:rsidR="004C5EBA" w:rsidRPr="00D55B2B">
        <w:rPr>
          <w:rStyle w:val="FootnoteReference"/>
          <w:rFonts w:ascii="Verdana" w:hAnsi="Verdana"/>
        </w:rPr>
        <w:footnoteReference w:id="120"/>
      </w:r>
      <w:r w:rsidR="00A4601F" w:rsidRPr="00D55B2B">
        <w:rPr>
          <w:rFonts w:ascii="Verdana" w:hAnsi="Verdana"/>
        </w:rPr>
        <w:t xml:space="preserve"> </w:t>
      </w:r>
      <w:r w:rsidR="00996DA0" w:rsidRPr="00D55B2B">
        <w:rPr>
          <w:rFonts w:ascii="Verdana" w:hAnsi="Verdana"/>
        </w:rPr>
        <w:t xml:space="preserve">She argued firstly that </w:t>
      </w:r>
      <w:r w:rsidR="00F054F2" w:rsidRPr="00D55B2B">
        <w:rPr>
          <w:rFonts w:ascii="Verdana" w:hAnsi="Verdana"/>
          <w:lang w:val="en-GB"/>
        </w:rPr>
        <w:t xml:space="preserve">Bulgarian government officials had violated her right to respect for private and family </w:t>
      </w:r>
      <w:r w:rsidR="003C39B7" w:rsidRPr="00D55B2B">
        <w:rPr>
          <w:rFonts w:ascii="Verdana" w:hAnsi="Verdana"/>
          <w:lang w:val="en-GB"/>
        </w:rPr>
        <w:t xml:space="preserve">life (secured by </w:t>
      </w:r>
      <w:r w:rsidR="00F054F2" w:rsidRPr="00D55B2B">
        <w:rPr>
          <w:rFonts w:ascii="Verdana" w:hAnsi="Verdana"/>
          <w:lang w:val="en-GB"/>
        </w:rPr>
        <w:t>Article 8</w:t>
      </w:r>
      <w:r w:rsidR="003C39B7" w:rsidRPr="00D55B2B">
        <w:rPr>
          <w:rFonts w:ascii="Verdana" w:hAnsi="Verdana"/>
          <w:lang w:val="en-GB"/>
        </w:rPr>
        <w:t>)</w:t>
      </w:r>
      <w:r w:rsidR="00052E87" w:rsidRPr="00D55B2B">
        <w:rPr>
          <w:rFonts w:ascii="Verdana" w:hAnsi="Verdana"/>
          <w:lang w:val="en-GB"/>
        </w:rPr>
        <w:t xml:space="preserve"> by failing </w:t>
      </w:r>
      <w:r w:rsidR="00F054F2" w:rsidRPr="00D55B2B">
        <w:rPr>
          <w:rFonts w:ascii="Verdana" w:hAnsi="Verdana"/>
          <w:lang w:val="en-GB"/>
        </w:rPr>
        <w:t xml:space="preserve">to provide an adequate legal framework that would protect her and her son from </w:t>
      </w:r>
      <w:r w:rsidR="00DD4C12" w:rsidRPr="00D55B2B">
        <w:rPr>
          <w:rFonts w:ascii="Verdana" w:hAnsi="Verdana"/>
          <w:lang w:val="en-GB"/>
        </w:rPr>
        <w:t xml:space="preserve">abuse from her ex-husband. </w:t>
      </w:r>
      <w:r w:rsidR="006F3A6B" w:rsidRPr="00D55B2B">
        <w:rPr>
          <w:rFonts w:ascii="Verdana" w:hAnsi="Verdana"/>
          <w:lang w:val="en-GB"/>
        </w:rPr>
        <w:t xml:space="preserve">Secondly, she argued that </w:t>
      </w:r>
      <w:r w:rsidR="006D2B9A" w:rsidRPr="00D55B2B">
        <w:rPr>
          <w:rFonts w:ascii="Verdana" w:hAnsi="Verdana"/>
        </w:rPr>
        <w:t xml:space="preserve">it was </w:t>
      </w:r>
      <w:r w:rsidR="00060201" w:rsidRPr="00D55B2B">
        <w:rPr>
          <w:rFonts w:ascii="Verdana" w:hAnsi="Verdana"/>
        </w:rPr>
        <w:t xml:space="preserve">a breach of her </w:t>
      </w:r>
      <w:r w:rsidR="00EA7613" w:rsidRPr="00D55B2B">
        <w:rPr>
          <w:rFonts w:ascii="Verdana" w:hAnsi="Verdana"/>
        </w:rPr>
        <w:t>ECHR</w:t>
      </w:r>
      <w:r w:rsidR="00060201" w:rsidRPr="00D55B2B">
        <w:rPr>
          <w:rFonts w:ascii="Verdana" w:hAnsi="Verdana"/>
        </w:rPr>
        <w:t xml:space="preserve"> rights</w:t>
      </w:r>
      <w:r w:rsidR="00DD1A74" w:rsidRPr="00D55B2B">
        <w:rPr>
          <w:rFonts w:ascii="Verdana" w:hAnsi="Verdana"/>
        </w:rPr>
        <w:t xml:space="preserve"> that </w:t>
      </w:r>
      <w:r w:rsidR="00921A7E" w:rsidRPr="00D55B2B">
        <w:rPr>
          <w:rFonts w:ascii="Verdana" w:hAnsi="Verdana"/>
        </w:rPr>
        <w:t>B</w:t>
      </w:r>
      <w:r w:rsidR="00F23E45" w:rsidRPr="00D55B2B">
        <w:rPr>
          <w:rFonts w:ascii="Verdana" w:hAnsi="Verdana"/>
        </w:rPr>
        <w:t>ulgarian</w:t>
      </w:r>
      <w:r w:rsidR="00921A7E" w:rsidRPr="00D55B2B">
        <w:rPr>
          <w:rFonts w:ascii="Verdana" w:hAnsi="Verdana"/>
        </w:rPr>
        <w:t xml:space="preserve"> domestic legislation</w:t>
      </w:r>
      <w:r w:rsidR="002A2AA9" w:rsidRPr="00D55B2B">
        <w:rPr>
          <w:rFonts w:ascii="Verdana" w:hAnsi="Verdana"/>
        </w:rPr>
        <w:t xml:space="preserve"> specified </w:t>
      </w:r>
      <w:r w:rsidR="00DB42C1" w:rsidRPr="00D55B2B">
        <w:rPr>
          <w:rFonts w:ascii="Verdana" w:hAnsi="Verdana"/>
        </w:rPr>
        <w:t xml:space="preserve">that </w:t>
      </w:r>
      <w:r w:rsidR="00A4601F" w:rsidRPr="00D55B2B">
        <w:rPr>
          <w:rFonts w:ascii="Verdana" w:hAnsi="Verdana"/>
        </w:rPr>
        <w:t xml:space="preserve">when </w:t>
      </w:r>
      <w:r w:rsidR="005D6944" w:rsidRPr="00D55B2B">
        <w:rPr>
          <w:rFonts w:ascii="Verdana" w:hAnsi="Verdana"/>
        </w:rPr>
        <w:t>‘</w:t>
      </w:r>
      <w:r w:rsidR="00A4601F" w:rsidRPr="00D55B2B">
        <w:rPr>
          <w:rFonts w:ascii="Verdana" w:hAnsi="Verdana"/>
        </w:rPr>
        <w:t>medium bodily harm</w:t>
      </w:r>
      <w:r w:rsidR="005D6944" w:rsidRPr="00D55B2B">
        <w:rPr>
          <w:rFonts w:ascii="Verdana" w:hAnsi="Verdana"/>
        </w:rPr>
        <w:t>’</w:t>
      </w:r>
      <w:r w:rsidR="00A4601F" w:rsidRPr="00D55B2B">
        <w:rPr>
          <w:rFonts w:ascii="Verdana" w:hAnsi="Verdana"/>
        </w:rPr>
        <w:t xml:space="preserve"> or </w:t>
      </w:r>
      <w:r w:rsidR="005D6944" w:rsidRPr="00D55B2B">
        <w:rPr>
          <w:rFonts w:ascii="Verdana" w:hAnsi="Verdana"/>
        </w:rPr>
        <w:t>‘</w:t>
      </w:r>
      <w:r w:rsidR="00A4601F" w:rsidRPr="00D55B2B">
        <w:rPr>
          <w:rFonts w:ascii="Verdana" w:hAnsi="Verdana"/>
        </w:rPr>
        <w:t>light bodily harm</w:t>
      </w:r>
      <w:r w:rsidR="005D6944" w:rsidRPr="00D55B2B">
        <w:rPr>
          <w:rFonts w:ascii="Verdana" w:hAnsi="Verdana"/>
        </w:rPr>
        <w:t>’</w:t>
      </w:r>
      <w:r w:rsidR="00A4601F" w:rsidRPr="00D55B2B">
        <w:rPr>
          <w:rFonts w:ascii="Verdana" w:hAnsi="Verdana"/>
        </w:rPr>
        <w:t xml:space="preserve"> was inflicted by a family member, criminal proceedings had to be initiated by the victim</w:t>
      </w:r>
      <w:r w:rsidR="00510757" w:rsidRPr="00D55B2B">
        <w:rPr>
          <w:rFonts w:ascii="Verdana" w:hAnsi="Verdana"/>
        </w:rPr>
        <w:t xml:space="preserve"> as a private prosecution</w:t>
      </w:r>
      <w:r w:rsidR="00A4601F" w:rsidRPr="00D55B2B">
        <w:rPr>
          <w:rFonts w:ascii="Verdana" w:hAnsi="Verdana"/>
        </w:rPr>
        <w:t xml:space="preserve"> rather than</w:t>
      </w:r>
      <w:r w:rsidR="005D6944" w:rsidRPr="00D55B2B">
        <w:rPr>
          <w:rFonts w:ascii="Verdana" w:hAnsi="Verdana"/>
        </w:rPr>
        <w:t xml:space="preserve"> by</w:t>
      </w:r>
      <w:r w:rsidR="00A4601F" w:rsidRPr="00D55B2B">
        <w:rPr>
          <w:rFonts w:ascii="Verdana" w:hAnsi="Verdana"/>
        </w:rPr>
        <w:t xml:space="preserve"> a public prosecutor. </w:t>
      </w:r>
      <w:r w:rsidR="00C010C5" w:rsidRPr="00D55B2B">
        <w:rPr>
          <w:rFonts w:ascii="Verdana" w:hAnsi="Verdana"/>
        </w:rPr>
        <w:t xml:space="preserve">However, where the </w:t>
      </w:r>
      <w:r w:rsidR="003A416B" w:rsidRPr="00D55B2B">
        <w:rPr>
          <w:rFonts w:ascii="Verdana" w:hAnsi="Verdana"/>
        </w:rPr>
        <w:t xml:space="preserve">same harm had been </w:t>
      </w:r>
      <w:r w:rsidR="00AC6EDA" w:rsidRPr="00D55B2B">
        <w:rPr>
          <w:rFonts w:ascii="Verdana" w:hAnsi="Verdana"/>
        </w:rPr>
        <w:t xml:space="preserve">caused </w:t>
      </w:r>
      <w:r w:rsidR="00A4601F" w:rsidRPr="00D55B2B">
        <w:rPr>
          <w:rFonts w:ascii="Verdana" w:hAnsi="Verdana"/>
        </w:rPr>
        <w:t xml:space="preserve">by a stranger, the public prosecutor could initiate proceedings. </w:t>
      </w:r>
      <w:r w:rsidR="00713ACE" w:rsidRPr="00D55B2B">
        <w:rPr>
          <w:rFonts w:ascii="Verdana" w:hAnsi="Verdana"/>
        </w:rPr>
        <w:t xml:space="preserve">In upholding </w:t>
      </w:r>
      <w:r w:rsidR="00FF33D3" w:rsidRPr="00D55B2B">
        <w:rPr>
          <w:rFonts w:ascii="Verdana" w:hAnsi="Verdana"/>
        </w:rPr>
        <w:t>the applicant’s</w:t>
      </w:r>
      <w:r w:rsidR="00713ACE" w:rsidRPr="00D55B2B">
        <w:rPr>
          <w:rFonts w:ascii="Verdana" w:hAnsi="Verdana"/>
        </w:rPr>
        <w:t xml:space="preserve"> first claim, the </w:t>
      </w:r>
      <w:r w:rsidR="00061BB8" w:rsidRPr="00D55B2B">
        <w:rPr>
          <w:rFonts w:ascii="Verdana" w:hAnsi="Verdana"/>
        </w:rPr>
        <w:t xml:space="preserve">court found that </w:t>
      </w:r>
      <w:r w:rsidR="00372143" w:rsidRPr="00D55B2B">
        <w:rPr>
          <w:rFonts w:ascii="Verdana" w:hAnsi="Verdana"/>
        </w:rPr>
        <w:t>the</w:t>
      </w:r>
      <w:r w:rsidR="00061BB8" w:rsidRPr="00D55B2B">
        <w:rPr>
          <w:rFonts w:ascii="Verdana" w:hAnsi="Verdana"/>
        </w:rPr>
        <w:t xml:space="preserve"> minimum for compliance </w:t>
      </w:r>
      <w:r w:rsidR="003B5B07" w:rsidRPr="00D55B2B">
        <w:rPr>
          <w:rFonts w:ascii="Verdana" w:hAnsi="Verdana"/>
        </w:rPr>
        <w:t xml:space="preserve">with </w:t>
      </w:r>
      <w:r w:rsidR="00A07FB4" w:rsidRPr="00D55B2B">
        <w:rPr>
          <w:rFonts w:ascii="Verdana" w:hAnsi="Verdana"/>
        </w:rPr>
        <w:t>the due diligence standard</w:t>
      </w:r>
      <w:r w:rsidR="002843B4" w:rsidRPr="00D55B2B">
        <w:rPr>
          <w:rFonts w:ascii="Verdana" w:hAnsi="Verdana"/>
        </w:rPr>
        <w:t xml:space="preserve"> would require</w:t>
      </w:r>
      <w:r w:rsidR="00824C9E" w:rsidRPr="00D55B2B">
        <w:rPr>
          <w:rFonts w:ascii="Verdana" w:hAnsi="Verdana"/>
        </w:rPr>
        <w:t xml:space="preserve"> a state to</w:t>
      </w:r>
      <w:r w:rsidR="00E27618" w:rsidRPr="00D55B2B">
        <w:rPr>
          <w:rFonts w:ascii="Verdana" w:hAnsi="Verdana"/>
        </w:rPr>
        <w:t xml:space="preserve"> </w:t>
      </w:r>
      <w:r w:rsidR="00FE7BBF" w:rsidRPr="00D55B2B">
        <w:rPr>
          <w:rFonts w:ascii="Verdana" w:hAnsi="Verdana"/>
        </w:rPr>
        <w:t xml:space="preserve">allow for emergency protection measures such as </w:t>
      </w:r>
      <w:r w:rsidR="00A07FB4" w:rsidRPr="00D55B2B">
        <w:rPr>
          <w:rFonts w:ascii="Verdana" w:hAnsi="Verdana"/>
          <w:lang w:val="en-GB"/>
        </w:rPr>
        <w:t>an order to remove the abuser from the home</w:t>
      </w:r>
      <w:r w:rsidR="00422175" w:rsidRPr="00D55B2B">
        <w:rPr>
          <w:rFonts w:ascii="Verdana" w:hAnsi="Verdana"/>
          <w:lang w:val="en-GB"/>
        </w:rPr>
        <w:t xml:space="preserve"> and</w:t>
      </w:r>
      <w:r w:rsidR="00A07FB4" w:rsidRPr="00D55B2B">
        <w:rPr>
          <w:rFonts w:ascii="Verdana" w:hAnsi="Verdana"/>
          <w:lang w:val="en-GB"/>
        </w:rPr>
        <w:t xml:space="preserve"> prohibiting contact</w:t>
      </w:r>
      <w:r w:rsidR="00CA3811" w:rsidRPr="00D55B2B">
        <w:rPr>
          <w:rFonts w:ascii="Verdana" w:hAnsi="Verdana"/>
          <w:lang w:val="en-GB"/>
        </w:rPr>
        <w:t xml:space="preserve">. </w:t>
      </w:r>
    </w:p>
    <w:p w14:paraId="1718EFFA" w14:textId="77777777" w:rsidR="00FF33D3" w:rsidRPr="00D55B2B" w:rsidRDefault="00FF33D3" w:rsidP="0060450D">
      <w:pPr>
        <w:adjustRightInd w:val="0"/>
        <w:spacing w:line="360" w:lineRule="auto"/>
        <w:ind w:left="851" w:right="-478"/>
        <w:jc w:val="both"/>
        <w:rPr>
          <w:rFonts w:ascii="Verdana" w:hAnsi="Verdana"/>
        </w:rPr>
      </w:pPr>
    </w:p>
    <w:p w14:paraId="32BAFE6C" w14:textId="77777777" w:rsidR="00A4601F" w:rsidRPr="00D55B2B" w:rsidRDefault="00B15431" w:rsidP="0060450D">
      <w:pPr>
        <w:adjustRightInd w:val="0"/>
        <w:spacing w:line="360" w:lineRule="auto"/>
        <w:ind w:left="851" w:right="-478"/>
        <w:jc w:val="both"/>
        <w:rPr>
          <w:rFonts w:ascii="Verdana" w:hAnsi="Verdana"/>
        </w:rPr>
      </w:pPr>
      <w:r w:rsidRPr="00D55B2B">
        <w:rPr>
          <w:rFonts w:ascii="Verdana" w:hAnsi="Verdana"/>
        </w:rPr>
        <w:t xml:space="preserve">In relation to the requirement for victims to pursue private prosecutions, the </w:t>
      </w:r>
      <w:r w:rsidR="00FD11DC" w:rsidRPr="00D55B2B">
        <w:rPr>
          <w:rFonts w:ascii="Verdana" w:hAnsi="Verdana"/>
        </w:rPr>
        <w:t xml:space="preserve">European Court </w:t>
      </w:r>
      <w:r w:rsidR="00B00E0E" w:rsidRPr="00D55B2B">
        <w:rPr>
          <w:rFonts w:ascii="Verdana" w:hAnsi="Verdana"/>
        </w:rPr>
        <w:t xml:space="preserve">stated that: </w:t>
      </w:r>
    </w:p>
    <w:p w14:paraId="4ABF3C57" w14:textId="77777777" w:rsidR="00A4601F" w:rsidRPr="00D55B2B" w:rsidRDefault="00A4601F" w:rsidP="007E262A">
      <w:pPr>
        <w:pStyle w:val="ListParagraph"/>
        <w:adjustRightInd w:val="0"/>
        <w:spacing w:line="360" w:lineRule="auto"/>
        <w:ind w:right="-478"/>
        <w:jc w:val="both"/>
        <w:rPr>
          <w:rFonts w:ascii="Verdana" w:hAnsi="Verdana"/>
          <w:i/>
        </w:rPr>
      </w:pPr>
    </w:p>
    <w:p w14:paraId="257ABDE8" w14:textId="77777777" w:rsidR="00A4601F" w:rsidRPr="00D55B2B" w:rsidRDefault="00A4601F" w:rsidP="0060450D">
      <w:pPr>
        <w:pStyle w:val="ListParagraph"/>
        <w:adjustRightInd w:val="0"/>
        <w:spacing w:line="360" w:lineRule="auto"/>
        <w:ind w:left="1418" w:right="-478"/>
        <w:jc w:val="both"/>
        <w:rPr>
          <w:rFonts w:ascii="Verdana" w:hAnsi="Verdana"/>
          <w:i/>
        </w:rPr>
      </w:pPr>
      <w:r w:rsidRPr="00D55B2B">
        <w:rPr>
          <w:rFonts w:ascii="Verdana" w:hAnsi="Verdana"/>
          <w:i/>
        </w:rPr>
        <w:t>Member states should ensure that all victims of violence are able to institute proceedings, make provisions to ensure that criminal proceedings can be initiated by the public prosecutors, encourage prosecutors to regard violence against women as an aggravating or decisive factor in deciding whether or not to prosecute in the public interest, ensure where necessary that measures are taken to protect victims effectively against threats and possible acts of revenge and take specific measures to ensure that children’s rights are protected during proceedings</w:t>
      </w:r>
      <w:r w:rsidR="009C0039" w:rsidRPr="00D55B2B">
        <w:rPr>
          <w:rFonts w:ascii="Verdana" w:hAnsi="Verdana"/>
          <w:i/>
        </w:rPr>
        <w:t>.</w:t>
      </w:r>
      <w:r w:rsidR="00214DD2" w:rsidRPr="00D55B2B">
        <w:rPr>
          <w:rStyle w:val="FootnoteReference"/>
          <w:rFonts w:ascii="Verdana" w:hAnsi="Verdana"/>
          <w:i/>
        </w:rPr>
        <w:footnoteReference w:id="121"/>
      </w:r>
    </w:p>
    <w:p w14:paraId="70D44120" w14:textId="77777777" w:rsidR="00302796" w:rsidRPr="00D55B2B" w:rsidRDefault="00302796" w:rsidP="007E262A">
      <w:pPr>
        <w:pStyle w:val="ListParagraph"/>
        <w:adjustRightInd w:val="0"/>
        <w:spacing w:line="360" w:lineRule="auto"/>
        <w:ind w:right="-478"/>
        <w:jc w:val="both"/>
        <w:rPr>
          <w:rFonts w:ascii="Verdana" w:hAnsi="Verdana"/>
        </w:rPr>
      </w:pPr>
    </w:p>
    <w:p w14:paraId="19D34C48" w14:textId="77777777" w:rsidR="006D6243" w:rsidRPr="00D55B2B" w:rsidRDefault="006D5994" w:rsidP="0060450D">
      <w:pPr>
        <w:adjustRightInd w:val="0"/>
        <w:spacing w:line="360" w:lineRule="auto"/>
        <w:ind w:left="851" w:right="-478"/>
        <w:jc w:val="both"/>
        <w:rPr>
          <w:rFonts w:ascii="Verdana" w:hAnsi="Verdana"/>
        </w:rPr>
      </w:pPr>
      <w:r>
        <w:rPr>
          <w:rFonts w:ascii="Verdana" w:hAnsi="Verdana"/>
        </w:rPr>
        <w:t>T</w:t>
      </w:r>
      <w:r w:rsidR="00081F4F" w:rsidRPr="00D55B2B">
        <w:rPr>
          <w:rFonts w:ascii="Verdana" w:hAnsi="Verdana"/>
        </w:rPr>
        <w:t xml:space="preserve">he European Court disagreed that the requirement </w:t>
      </w:r>
      <w:r w:rsidR="008F72F3" w:rsidRPr="00D55B2B">
        <w:rPr>
          <w:rFonts w:ascii="Verdana" w:hAnsi="Verdana"/>
        </w:rPr>
        <w:t>for</w:t>
      </w:r>
      <w:r w:rsidR="00081F4F" w:rsidRPr="00D55B2B">
        <w:rPr>
          <w:rFonts w:ascii="Verdana" w:hAnsi="Verdana"/>
        </w:rPr>
        <w:t xml:space="preserve"> a victim to act as private prosecutor was a violation of ECHR rights under Article 8 and held that states have a </w:t>
      </w:r>
      <w:r w:rsidR="005D6944" w:rsidRPr="00D55B2B">
        <w:rPr>
          <w:rFonts w:ascii="Verdana" w:hAnsi="Verdana"/>
        </w:rPr>
        <w:t>‘</w:t>
      </w:r>
      <w:r w:rsidR="00081F4F" w:rsidRPr="00D55B2B">
        <w:rPr>
          <w:rFonts w:ascii="Verdana" w:hAnsi="Verdana"/>
        </w:rPr>
        <w:t>margin of appreciation</w:t>
      </w:r>
      <w:r w:rsidR="005D6944" w:rsidRPr="00D55B2B">
        <w:rPr>
          <w:rFonts w:ascii="Verdana" w:hAnsi="Verdana"/>
        </w:rPr>
        <w:t>’</w:t>
      </w:r>
      <w:r w:rsidR="00081F4F" w:rsidRPr="00D55B2B">
        <w:rPr>
          <w:rFonts w:ascii="Verdana" w:hAnsi="Verdana"/>
        </w:rPr>
        <w:t xml:space="preserve"> in meeting the ECHR requirements using </w:t>
      </w:r>
      <w:r w:rsidR="008F5A7D" w:rsidRPr="00D55B2B">
        <w:rPr>
          <w:rFonts w:ascii="Verdana" w:hAnsi="Verdana"/>
        </w:rPr>
        <w:t>domestic</w:t>
      </w:r>
      <w:r w:rsidR="00081F4F" w:rsidRPr="00D55B2B">
        <w:rPr>
          <w:rFonts w:ascii="Verdana" w:hAnsi="Verdana"/>
        </w:rPr>
        <w:t xml:space="preserve"> policies. </w:t>
      </w:r>
      <w:r w:rsidR="000A6091" w:rsidRPr="00D55B2B">
        <w:rPr>
          <w:rFonts w:ascii="Verdana" w:hAnsi="Verdana"/>
        </w:rPr>
        <w:t xml:space="preserve">The court stated that </w:t>
      </w:r>
      <w:r w:rsidR="005D6944" w:rsidRPr="00D55B2B">
        <w:rPr>
          <w:rFonts w:ascii="Verdana" w:hAnsi="Verdana"/>
        </w:rPr>
        <w:t>‘</w:t>
      </w:r>
      <w:r w:rsidR="000A6091" w:rsidRPr="00D55B2B">
        <w:rPr>
          <w:rFonts w:ascii="Verdana" w:hAnsi="Verdana"/>
        </w:rPr>
        <w:t>t</w:t>
      </w:r>
      <w:r w:rsidR="00D45108" w:rsidRPr="00D55B2B">
        <w:rPr>
          <w:rFonts w:ascii="Verdana" w:hAnsi="Verdana"/>
        </w:rPr>
        <w:t>he choice of a means to secure compliance with Article 8 in the sphere of the relations of individuals between themselves is in principle a matter that falls within the domestic authorities’ margin of appreciation</w:t>
      </w:r>
      <w:r w:rsidR="005D6944" w:rsidRPr="00D55B2B">
        <w:rPr>
          <w:rFonts w:ascii="Verdana" w:hAnsi="Verdana"/>
        </w:rPr>
        <w:t>’</w:t>
      </w:r>
      <w:r w:rsidR="00585FF4" w:rsidRPr="00D55B2B">
        <w:rPr>
          <w:rFonts w:ascii="Verdana" w:hAnsi="Verdana"/>
        </w:rPr>
        <w:t>.</w:t>
      </w:r>
      <w:r w:rsidR="004F589A" w:rsidRPr="00D55B2B">
        <w:rPr>
          <w:rStyle w:val="FootnoteReference"/>
          <w:rFonts w:ascii="Verdana" w:hAnsi="Verdana"/>
        </w:rPr>
        <w:footnoteReference w:id="122"/>
      </w:r>
      <w:r w:rsidR="0015682B" w:rsidRPr="00D55B2B">
        <w:rPr>
          <w:rFonts w:ascii="Verdana" w:hAnsi="Verdana"/>
        </w:rPr>
        <w:t xml:space="preserve"> </w:t>
      </w:r>
      <w:r w:rsidR="004A772B" w:rsidRPr="00D55B2B">
        <w:rPr>
          <w:rFonts w:ascii="Verdana" w:hAnsi="Verdana"/>
        </w:rPr>
        <w:t>The court therefore refused to accept that the</w:t>
      </w:r>
      <w:r w:rsidR="00D45108" w:rsidRPr="00D55B2B">
        <w:rPr>
          <w:rFonts w:ascii="Verdana" w:hAnsi="Verdana"/>
        </w:rPr>
        <w:t xml:space="preserve"> applicant’s </w:t>
      </w:r>
      <w:r w:rsidR="004A772B" w:rsidRPr="00D55B2B">
        <w:rPr>
          <w:rFonts w:ascii="Verdana" w:hAnsi="Verdana"/>
        </w:rPr>
        <w:t xml:space="preserve">ECHR </w:t>
      </w:r>
      <w:r w:rsidR="00D45108" w:rsidRPr="00D55B2B">
        <w:rPr>
          <w:rFonts w:ascii="Verdana" w:hAnsi="Verdana"/>
        </w:rPr>
        <w:t xml:space="preserve">rights could be secured only </w:t>
      </w:r>
      <w:r w:rsidR="00196804" w:rsidRPr="00D55B2B">
        <w:rPr>
          <w:rFonts w:ascii="Verdana" w:hAnsi="Verdana"/>
        </w:rPr>
        <w:t>through a public</w:t>
      </w:r>
      <w:r w:rsidR="00D45108" w:rsidRPr="00D55B2B">
        <w:rPr>
          <w:rFonts w:ascii="Verdana" w:hAnsi="Verdana"/>
        </w:rPr>
        <w:t xml:space="preserve"> prosecution and that such</w:t>
      </w:r>
      <w:r w:rsidR="00801758" w:rsidRPr="00D55B2B">
        <w:rPr>
          <w:rFonts w:ascii="Verdana" w:hAnsi="Verdana"/>
        </w:rPr>
        <w:t xml:space="preserve"> a</w:t>
      </w:r>
      <w:r w:rsidR="00D45108" w:rsidRPr="00D55B2B">
        <w:rPr>
          <w:rFonts w:ascii="Verdana" w:hAnsi="Verdana"/>
        </w:rPr>
        <w:t xml:space="preserve"> prosecution was required in all cases of domestic violence</w:t>
      </w:r>
      <w:r w:rsidR="00585FF4" w:rsidRPr="00D55B2B">
        <w:rPr>
          <w:rFonts w:ascii="Verdana" w:hAnsi="Verdana"/>
        </w:rPr>
        <w:t>.</w:t>
      </w:r>
      <w:r w:rsidR="00495229" w:rsidRPr="00D55B2B">
        <w:rPr>
          <w:rStyle w:val="FootnoteReference"/>
          <w:rFonts w:ascii="Verdana" w:hAnsi="Verdana"/>
        </w:rPr>
        <w:footnoteReference w:id="123"/>
      </w:r>
      <w:r w:rsidR="00D45108" w:rsidRPr="00D55B2B">
        <w:rPr>
          <w:rFonts w:ascii="Verdana" w:hAnsi="Verdana"/>
        </w:rPr>
        <w:t xml:space="preserve"> </w:t>
      </w:r>
      <w:r w:rsidR="004A772B" w:rsidRPr="00D55B2B">
        <w:rPr>
          <w:rFonts w:ascii="Verdana" w:hAnsi="Verdana"/>
        </w:rPr>
        <w:t>A relevant factor in this case, however, was that</w:t>
      </w:r>
      <w:r w:rsidR="00A218F5" w:rsidRPr="00D55B2B">
        <w:rPr>
          <w:rFonts w:ascii="Verdana" w:hAnsi="Verdana"/>
        </w:rPr>
        <w:t xml:space="preserve"> Bulgarian law permitted </w:t>
      </w:r>
      <w:r w:rsidR="004C284E" w:rsidRPr="00D55B2B">
        <w:rPr>
          <w:rFonts w:ascii="Verdana" w:hAnsi="Verdana"/>
        </w:rPr>
        <w:t xml:space="preserve">state prosecutions in “exceptional” circumstances and therefore it was not a blanket </w:t>
      </w:r>
      <w:r w:rsidR="008C5AB4" w:rsidRPr="00D55B2B">
        <w:rPr>
          <w:rFonts w:ascii="Verdana" w:hAnsi="Verdana"/>
        </w:rPr>
        <w:t>refusal to bring a public prosecu</w:t>
      </w:r>
      <w:r w:rsidR="00BF6582" w:rsidRPr="00D55B2B">
        <w:rPr>
          <w:rFonts w:ascii="Verdana" w:hAnsi="Verdana"/>
        </w:rPr>
        <w:t>ti</w:t>
      </w:r>
      <w:r w:rsidR="008C5AB4" w:rsidRPr="00D55B2B">
        <w:rPr>
          <w:rFonts w:ascii="Verdana" w:hAnsi="Verdana"/>
        </w:rPr>
        <w:t xml:space="preserve">on. </w:t>
      </w:r>
      <w:r w:rsidR="00B50952" w:rsidRPr="00D55B2B">
        <w:rPr>
          <w:rFonts w:ascii="Verdana" w:hAnsi="Verdana"/>
        </w:rPr>
        <w:t xml:space="preserve"> </w:t>
      </w:r>
    </w:p>
    <w:p w14:paraId="5A22301C" w14:textId="77777777" w:rsidR="00B21CE7" w:rsidRPr="00D55B2B" w:rsidRDefault="00B21CE7" w:rsidP="0060450D">
      <w:pPr>
        <w:adjustRightInd w:val="0"/>
        <w:spacing w:line="360" w:lineRule="auto"/>
        <w:ind w:left="851" w:right="-478"/>
        <w:jc w:val="both"/>
        <w:rPr>
          <w:rFonts w:ascii="Verdana" w:hAnsi="Verdana"/>
        </w:rPr>
      </w:pPr>
    </w:p>
    <w:p w14:paraId="6C9C86B9" w14:textId="77777777" w:rsidR="00170651" w:rsidRPr="00D55B2B" w:rsidRDefault="00DB352E" w:rsidP="0060450D">
      <w:pPr>
        <w:adjustRightInd w:val="0"/>
        <w:spacing w:line="360" w:lineRule="auto"/>
        <w:ind w:left="851" w:right="-478"/>
        <w:jc w:val="both"/>
        <w:rPr>
          <w:rFonts w:ascii="Verdana" w:hAnsi="Verdana"/>
          <w:lang w:val="en-GB"/>
        </w:rPr>
      </w:pPr>
      <w:r w:rsidRPr="00D55B2B">
        <w:rPr>
          <w:rFonts w:ascii="Verdana" w:hAnsi="Verdana"/>
        </w:rPr>
        <w:t xml:space="preserve">In contrast, </w:t>
      </w:r>
      <w:r w:rsidR="00677FFB" w:rsidRPr="00D55B2B">
        <w:rPr>
          <w:rFonts w:ascii="Verdana" w:hAnsi="Verdana"/>
        </w:rPr>
        <w:t>the</w:t>
      </w:r>
      <w:r w:rsidRPr="00D55B2B">
        <w:rPr>
          <w:rFonts w:ascii="Verdana" w:hAnsi="Verdana"/>
        </w:rPr>
        <w:t xml:space="preserve"> case of </w:t>
      </w:r>
      <w:r w:rsidR="001131AA" w:rsidRPr="00D55B2B">
        <w:rPr>
          <w:rFonts w:ascii="Verdana" w:hAnsi="Verdana"/>
          <w:i/>
        </w:rPr>
        <w:t>Opuz v</w:t>
      </w:r>
      <w:r w:rsidR="0010478B" w:rsidRPr="00D55B2B">
        <w:rPr>
          <w:rFonts w:ascii="Verdana" w:hAnsi="Verdana"/>
          <w:i/>
        </w:rPr>
        <w:t xml:space="preserve"> </w:t>
      </w:r>
      <w:r w:rsidR="001131AA" w:rsidRPr="00D55B2B">
        <w:rPr>
          <w:rFonts w:ascii="Verdana" w:hAnsi="Verdana"/>
          <w:i/>
        </w:rPr>
        <w:t>Turkey</w:t>
      </w:r>
      <w:r w:rsidR="00366116" w:rsidRPr="00D55B2B">
        <w:rPr>
          <w:rFonts w:ascii="Verdana" w:hAnsi="Verdana"/>
        </w:rPr>
        <w:t xml:space="preserve"> concerned </w:t>
      </w:r>
      <w:r w:rsidR="00DA3877" w:rsidRPr="00D55B2B">
        <w:rPr>
          <w:rFonts w:ascii="Verdana" w:hAnsi="Verdana"/>
        </w:rPr>
        <w:t xml:space="preserve">a daughter </w:t>
      </w:r>
      <w:r w:rsidR="00EE1036" w:rsidRPr="00D55B2B">
        <w:rPr>
          <w:rFonts w:ascii="Verdana" w:hAnsi="Verdana"/>
        </w:rPr>
        <w:t xml:space="preserve">(Nahide) </w:t>
      </w:r>
      <w:r w:rsidR="00DA3877" w:rsidRPr="00D55B2B">
        <w:rPr>
          <w:rFonts w:ascii="Verdana" w:hAnsi="Verdana"/>
        </w:rPr>
        <w:t xml:space="preserve">and her mother who had experienced decades of abuse from </w:t>
      </w:r>
      <w:r w:rsidR="00661099" w:rsidRPr="00D55B2B">
        <w:rPr>
          <w:rFonts w:ascii="Verdana" w:hAnsi="Verdana"/>
        </w:rPr>
        <w:t xml:space="preserve">Nahide’s husband, </w:t>
      </w:r>
      <w:r w:rsidR="00807356" w:rsidRPr="00D55B2B">
        <w:rPr>
          <w:rFonts w:ascii="Verdana" w:hAnsi="Verdana"/>
        </w:rPr>
        <w:t xml:space="preserve">who eventually killed her mother. </w:t>
      </w:r>
      <w:r w:rsidR="001F175C" w:rsidRPr="00D55B2B">
        <w:rPr>
          <w:rFonts w:ascii="Verdana" w:hAnsi="Verdana"/>
        </w:rPr>
        <w:t xml:space="preserve">Despite repeated complaints to the police, </w:t>
      </w:r>
      <w:r w:rsidR="00DD10B3" w:rsidRPr="00D55B2B">
        <w:rPr>
          <w:rFonts w:ascii="Verdana" w:hAnsi="Verdana"/>
        </w:rPr>
        <w:t xml:space="preserve">little action had been taken to ensure Nahide and her mother’s security. </w:t>
      </w:r>
      <w:r w:rsidR="00C34C71" w:rsidRPr="00D55B2B">
        <w:rPr>
          <w:rFonts w:ascii="Verdana" w:hAnsi="Verdana"/>
        </w:rPr>
        <w:t xml:space="preserve">Nahide subsequently brought a case that </w:t>
      </w:r>
      <w:r w:rsidR="007F2713" w:rsidRPr="00D55B2B">
        <w:rPr>
          <w:rFonts w:ascii="Verdana" w:hAnsi="Verdana"/>
          <w:lang w:val="en-GB"/>
        </w:rPr>
        <w:t xml:space="preserve">the Turkish authorities had violated her mother’s right to life under Article 2 and her own right to be free from torture and ill-treatment under Article 3. She also </w:t>
      </w:r>
      <w:r w:rsidR="002A0E25" w:rsidRPr="00D55B2B">
        <w:rPr>
          <w:rFonts w:ascii="Verdana" w:hAnsi="Verdana"/>
          <w:lang w:val="en-GB"/>
        </w:rPr>
        <w:t xml:space="preserve">argued </w:t>
      </w:r>
      <w:r w:rsidR="007F2713" w:rsidRPr="00D55B2B">
        <w:rPr>
          <w:rFonts w:ascii="Verdana" w:hAnsi="Verdana"/>
          <w:lang w:val="en-GB"/>
        </w:rPr>
        <w:t>that the inadequate response by law enforcement was a result of gender-based discrimination and th</w:t>
      </w:r>
      <w:r w:rsidR="00EB3EE7" w:rsidRPr="00D55B2B">
        <w:rPr>
          <w:rFonts w:ascii="Verdana" w:hAnsi="Verdana"/>
          <w:lang w:val="en-GB"/>
        </w:rPr>
        <w:t xml:space="preserve">erefore </w:t>
      </w:r>
      <w:r w:rsidR="007F2713" w:rsidRPr="00D55B2B">
        <w:rPr>
          <w:rFonts w:ascii="Verdana" w:hAnsi="Verdana"/>
          <w:lang w:val="en-GB"/>
        </w:rPr>
        <w:t xml:space="preserve">a violation of Article 14. </w:t>
      </w:r>
      <w:r w:rsidR="004D5E48" w:rsidRPr="00D55B2B">
        <w:rPr>
          <w:rFonts w:ascii="Verdana" w:hAnsi="Verdana"/>
          <w:lang w:val="en-GB"/>
        </w:rPr>
        <w:t xml:space="preserve">At the time, Turkish </w:t>
      </w:r>
      <w:r w:rsidR="004D5E48" w:rsidRPr="00D55B2B">
        <w:rPr>
          <w:rFonts w:ascii="Verdana" w:hAnsi="Verdana"/>
        </w:rPr>
        <w:t>legislation required official complaints by victims to pursue criminal investigations when criminal acts did not result in sickness or unfitness for work for ten days</w:t>
      </w:r>
      <w:r w:rsidR="00F14AD7" w:rsidRPr="00D55B2B">
        <w:rPr>
          <w:rFonts w:ascii="Verdana" w:hAnsi="Verdana"/>
        </w:rPr>
        <w:t xml:space="preserve">. In this case, Nahide and her mother </w:t>
      </w:r>
      <w:r w:rsidR="000C03C2" w:rsidRPr="00D55B2B">
        <w:rPr>
          <w:rFonts w:ascii="Verdana" w:hAnsi="Verdana"/>
        </w:rPr>
        <w:t xml:space="preserve">repeatedly </w:t>
      </w:r>
      <w:r w:rsidR="00E54DA9" w:rsidRPr="00D55B2B">
        <w:rPr>
          <w:rFonts w:ascii="Verdana" w:hAnsi="Verdana"/>
        </w:rPr>
        <w:t xml:space="preserve">withdrew their claims </w:t>
      </w:r>
      <w:r w:rsidR="00DB25AC" w:rsidRPr="00D55B2B">
        <w:rPr>
          <w:rFonts w:ascii="Verdana" w:hAnsi="Verdana"/>
        </w:rPr>
        <w:t>out of fear</w:t>
      </w:r>
      <w:r w:rsidR="001B53F4" w:rsidRPr="00D55B2B">
        <w:rPr>
          <w:rFonts w:ascii="Verdana" w:hAnsi="Verdana"/>
        </w:rPr>
        <w:t xml:space="preserve"> and therefore </w:t>
      </w:r>
      <w:r w:rsidR="00451E62" w:rsidRPr="00D55B2B">
        <w:rPr>
          <w:rFonts w:ascii="Verdana" w:hAnsi="Verdana"/>
        </w:rPr>
        <w:t>criminal prosecutions</w:t>
      </w:r>
      <w:r w:rsidR="001B53F4" w:rsidRPr="00D55B2B">
        <w:rPr>
          <w:rFonts w:ascii="Verdana" w:hAnsi="Verdana"/>
        </w:rPr>
        <w:t xml:space="preserve"> were not pursued. </w:t>
      </w:r>
      <w:r w:rsidR="00547FC5" w:rsidRPr="00D55B2B">
        <w:rPr>
          <w:rFonts w:ascii="Verdana" w:hAnsi="Verdana"/>
          <w:lang w:val="en-GB"/>
        </w:rPr>
        <w:t>The Turkish government argued that interfering with their wishes</w:t>
      </w:r>
      <w:r w:rsidR="00451E62" w:rsidRPr="00D55B2B">
        <w:rPr>
          <w:rFonts w:ascii="Verdana" w:hAnsi="Verdana"/>
          <w:lang w:val="en-GB"/>
        </w:rPr>
        <w:t xml:space="preserve"> not to prosecute would have been</w:t>
      </w:r>
      <w:r w:rsidR="00547FC5" w:rsidRPr="00D55B2B">
        <w:rPr>
          <w:rFonts w:ascii="Verdana" w:hAnsi="Verdana"/>
          <w:lang w:val="en-GB"/>
        </w:rPr>
        <w:t xml:space="preserve"> a violation of </w:t>
      </w:r>
      <w:r w:rsidR="005D6944" w:rsidRPr="00D55B2B">
        <w:rPr>
          <w:rFonts w:ascii="Verdana" w:hAnsi="Verdana"/>
          <w:lang w:val="en-GB"/>
        </w:rPr>
        <w:t xml:space="preserve">the </w:t>
      </w:r>
      <w:r w:rsidR="00547FC5" w:rsidRPr="00D55B2B">
        <w:rPr>
          <w:rFonts w:ascii="Verdana" w:hAnsi="Verdana"/>
          <w:lang w:val="en-GB"/>
        </w:rPr>
        <w:t>victim</w:t>
      </w:r>
      <w:r w:rsidR="005D6944" w:rsidRPr="00D55B2B">
        <w:rPr>
          <w:rFonts w:ascii="Verdana" w:hAnsi="Verdana"/>
          <w:lang w:val="en-GB"/>
        </w:rPr>
        <w:t>’s</w:t>
      </w:r>
      <w:r w:rsidR="00547FC5" w:rsidRPr="00D55B2B">
        <w:rPr>
          <w:rFonts w:ascii="Verdana" w:hAnsi="Verdana"/>
          <w:lang w:val="en-GB"/>
        </w:rPr>
        <w:t xml:space="preserve"> rights under Article 8</w:t>
      </w:r>
      <w:r w:rsidR="005D6944" w:rsidRPr="00D55B2B">
        <w:rPr>
          <w:rFonts w:ascii="Verdana" w:hAnsi="Verdana"/>
          <w:lang w:val="en-GB"/>
        </w:rPr>
        <w:t>.</w:t>
      </w:r>
      <w:r w:rsidR="002C0152" w:rsidRPr="00D55B2B">
        <w:rPr>
          <w:rFonts w:ascii="Verdana" w:hAnsi="Verdana"/>
          <w:lang w:val="en-GB"/>
        </w:rPr>
        <w:t xml:space="preserve"> </w:t>
      </w:r>
      <w:r w:rsidR="005D6944" w:rsidRPr="00D55B2B">
        <w:rPr>
          <w:rFonts w:ascii="Verdana" w:hAnsi="Verdana"/>
          <w:lang w:val="en-GB"/>
        </w:rPr>
        <w:t>H</w:t>
      </w:r>
      <w:r w:rsidR="002C0152" w:rsidRPr="00D55B2B">
        <w:rPr>
          <w:rFonts w:ascii="Verdana" w:hAnsi="Verdana"/>
          <w:lang w:val="en-GB"/>
        </w:rPr>
        <w:t>owever</w:t>
      </w:r>
      <w:r w:rsidR="005D6944" w:rsidRPr="00D55B2B">
        <w:rPr>
          <w:rFonts w:ascii="Verdana" w:hAnsi="Verdana"/>
          <w:lang w:val="en-GB"/>
        </w:rPr>
        <w:t>,</w:t>
      </w:r>
      <w:r w:rsidR="002C0152" w:rsidRPr="00D55B2B">
        <w:rPr>
          <w:rFonts w:ascii="Verdana" w:hAnsi="Verdana"/>
          <w:lang w:val="en-GB"/>
        </w:rPr>
        <w:t xml:space="preserve"> the Court found that </w:t>
      </w:r>
      <w:r w:rsidR="00EF3770" w:rsidRPr="00D55B2B">
        <w:rPr>
          <w:rFonts w:ascii="Verdana" w:hAnsi="Verdana"/>
        </w:rPr>
        <w:t xml:space="preserve">the legislation </w:t>
      </w:r>
      <w:r w:rsidR="005D6944" w:rsidRPr="00D55B2B">
        <w:rPr>
          <w:rFonts w:ascii="Verdana" w:hAnsi="Verdana"/>
        </w:rPr>
        <w:t>‘</w:t>
      </w:r>
      <w:r w:rsidR="004D5E48" w:rsidRPr="00D55B2B">
        <w:rPr>
          <w:rFonts w:ascii="Verdana" w:hAnsi="Verdana"/>
        </w:rPr>
        <w:t>f</w:t>
      </w:r>
      <w:r w:rsidR="00EF3770" w:rsidRPr="00D55B2B">
        <w:rPr>
          <w:rFonts w:ascii="Verdana" w:hAnsi="Verdana"/>
        </w:rPr>
        <w:t>e</w:t>
      </w:r>
      <w:r w:rsidR="004D5E48" w:rsidRPr="00D55B2B">
        <w:rPr>
          <w:rFonts w:ascii="Verdana" w:hAnsi="Verdana"/>
        </w:rPr>
        <w:t>ll short of the requirements inherent in the State’s positive obligations to establish and apply effectively a system punishing all forms of domestic violence and providing sufficient safeguards for the victims</w:t>
      </w:r>
      <w:r w:rsidR="005D6944" w:rsidRPr="00D55B2B">
        <w:rPr>
          <w:rFonts w:ascii="Verdana" w:hAnsi="Verdana"/>
        </w:rPr>
        <w:t>’</w:t>
      </w:r>
      <w:r w:rsidR="00E30AB1" w:rsidRPr="00D55B2B">
        <w:rPr>
          <w:rFonts w:ascii="Verdana" w:hAnsi="Verdana"/>
        </w:rPr>
        <w:t>.</w:t>
      </w:r>
      <w:r w:rsidR="004D5E48" w:rsidRPr="00D55B2B">
        <w:rPr>
          <w:rStyle w:val="FootnoteReference"/>
          <w:rFonts w:ascii="Verdana" w:hAnsi="Verdana"/>
        </w:rPr>
        <w:footnoteReference w:id="124"/>
      </w:r>
      <w:r w:rsidR="004D5E48" w:rsidRPr="00D55B2B">
        <w:rPr>
          <w:rFonts w:ascii="Verdana" w:hAnsi="Verdana"/>
        </w:rPr>
        <w:t xml:space="preserve"> </w:t>
      </w:r>
      <w:r w:rsidR="0019278E" w:rsidRPr="00D55B2B">
        <w:rPr>
          <w:rFonts w:ascii="Verdana" w:hAnsi="Verdana"/>
        </w:rPr>
        <w:t xml:space="preserve">The </w:t>
      </w:r>
      <w:r w:rsidR="00A3797A" w:rsidRPr="00D55B2B">
        <w:rPr>
          <w:rFonts w:ascii="Verdana" w:hAnsi="Verdana"/>
        </w:rPr>
        <w:t>Co</w:t>
      </w:r>
      <w:r w:rsidR="0019278E" w:rsidRPr="00D55B2B">
        <w:rPr>
          <w:rFonts w:ascii="Verdana" w:hAnsi="Verdana"/>
        </w:rPr>
        <w:t xml:space="preserve">urt noted that </w:t>
      </w:r>
      <w:r w:rsidR="003028F6" w:rsidRPr="00D55B2B">
        <w:rPr>
          <w:rFonts w:ascii="Verdana" w:hAnsi="Verdana"/>
          <w:lang w:val="en-GB"/>
        </w:rPr>
        <w:t>the more serious the offenc</w:t>
      </w:r>
      <w:r w:rsidR="007F2713" w:rsidRPr="00D55B2B">
        <w:rPr>
          <w:rFonts w:ascii="Verdana" w:hAnsi="Verdana"/>
          <w:lang w:val="en-GB"/>
        </w:rPr>
        <w:t>e or the</w:t>
      </w:r>
      <w:r w:rsidR="003028F6" w:rsidRPr="00D55B2B">
        <w:rPr>
          <w:rFonts w:ascii="Verdana" w:hAnsi="Verdana"/>
          <w:lang w:val="en-GB"/>
        </w:rPr>
        <w:t xml:space="preserve"> greater the risk of future offending</w:t>
      </w:r>
      <w:r w:rsidR="007F2713" w:rsidRPr="00D55B2B">
        <w:rPr>
          <w:rFonts w:ascii="Verdana" w:hAnsi="Verdana"/>
          <w:lang w:val="en-GB"/>
        </w:rPr>
        <w:t xml:space="preserve">, the more likely it is that the prosecution </w:t>
      </w:r>
      <w:r w:rsidR="00667115" w:rsidRPr="00D55B2B">
        <w:rPr>
          <w:rFonts w:ascii="Verdana" w:hAnsi="Verdana"/>
          <w:lang w:val="en-GB"/>
        </w:rPr>
        <w:t>should</w:t>
      </w:r>
      <w:r w:rsidR="007F2713" w:rsidRPr="00D55B2B">
        <w:rPr>
          <w:rFonts w:ascii="Verdana" w:hAnsi="Verdana"/>
          <w:lang w:val="en-GB"/>
        </w:rPr>
        <w:t xml:space="preserve"> continue </w:t>
      </w:r>
      <w:r w:rsidR="00C6239B" w:rsidRPr="00D55B2B">
        <w:rPr>
          <w:rFonts w:ascii="Verdana" w:hAnsi="Verdana"/>
          <w:lang w:val="en-GB"/>
        </w:rPr>
        <w:t>by the State</w:t>
      </w:r>
      <w:r w:rsidR="005D6944" w:rsidRPr="00D55B2B">
        <w:rPr>
          <w:rFonts w:ascii="Verdana" w:hAnsi="Verdana"/>
          <w:lang w:val="en-GB"/>
        </w:rPr>
        <w:t>,</w:t>
      </w:r>
      <w:r w:rsidR="003028F6" w:rsidRPr="00D55B2B">
        <w:rPr>
          <w:rFonts w:ascii="Verdana" w:hAnsi="Verdana"/>
          <w:lang w:val="en-GB"/>
        </w:rPr>
        <w:t xml:space="preserve"> notwithstanding that the victim has </w:t>
      </w:r>
      <w:r w:rsidR="007F2713" w:rsidRPr="00D55B2B">
        <w:rPr>
          <w:rFonts w:ascii="Verdana" w:hAnsi="Verdana"/>
          <w:lang w:val="en-GB"/>
        </w:rPr>
        <w:t>withdraw</w:t>
      </w:r>
      <w:r w:rsidR="003028F6" w:rsidRPr="00D55B2B">
        <w:rPr>
          <w:rFonts w:ascii="Verdana" w:hAnsi="Verdana"/>
          <w:lang w:val="en-GB"/>
        </w:rPr>
        <w:t>n</w:t>
      </w:r>
      <w:r w:rsidR="007F2713" w:rsidRPr="00D55B2B">
        <w:rPr>
          <w:rFonts w:ascii="Verdana" w:hAnsi="Verdana"/>
          <w:lang w:val="en-GB"/>
        </w:rPr>
        <w:t xml:space="preserve"> their </w:t>
      </w:r>
      <w:r w:rsidR="003028F6" w:rsidRPr="00D55B2B">
        <w:rPr>
          <w:rFonts w:ascii="Verdana" w:hAnsi="Verdana"/>
          <w:lang w:val="en-GB"/>
        </w:rPr>
        <w:t xml:space="preserve">complaint. </w:t>
      </w:r>
      <w:r w:rsidR="007F2713" w:rsidRPr="00D55B2B">
        <w:rPr>
          <w:rFonts w:ascii="Verdana" w:hAnsi="Verdana"/>
          <w:lang w:val="en-GB"/>
        </w:rPr>
        <w:t xml:space="preserve">In light of </w:t>
      </w:r>
      <w:r w:rsidR="003028F6" w:rsidRPr="00D55B2B">
        <w:rPr>
          <w:rFonts w:ascii="Verdana" w:hAnsi="Verdana"/>
          <w:lang w:val="en-GB"/>
        </w:rPr>
        <w:t>their failure to do so</w:t>
      </w:r>
      <w:r w:rsidR="007F2713" w:rsidRPr="00D55B2B">
        <w:rPr>
          <w:rFonts w:ascii="Verdana" w:hAnsi="Verdana"/>
          <w:lang w:val="en-GB"/>
        </w:rPr>
        <w:t xml:space="preserve">, </w:t>
      </w:r>
      <w:r w:rsidR="003028F6" w:rsidRPr="00D55B2B">
        <w:rPr>
          <w:rFonts w:ascii="Verdana" w:hAnsi="Verdana"/>
          <w:lang w:val="en-GB"/>
        </w:rPr>
        <w:t xml:space="preserve">Turkish authorities </w:t>
      </w:r>
      <w:r w:rsidR="005D6944" w:rsidRPr="00D55B2B">
        <w:rPr>
          <w:rFonts w:ascii="Verdana" w:hAnsi="Verdana"/>
          <w:lang w:val="en-GB"/>
        </w:rPr>
        <w:t>‘</w:t>
      </w:r>
      <w:r w:rsidR="003028F6" w:rsidRPr="00D55B2B">
        <w:rPr>
          <w:rFonts w:ascii="Verdana" w:hAnsi="Verdana"/>
          <w:lang w:val="en-GB"/>
        </w:rPr>
        <w:t xml:space="preserve">could not </w:t>
      </w:r>
      <w:r w:rsidR="007F2713" w:rsidRPr="00D55B2B">
        <w:rPr>
          <w:rFonts w:ascii="Verdana" w:hAnsi="Verdana"/>
          <w:lang w:val="en-GB"/>
        </w:rPr>
        <w:t>be considered t</w:t>
      </w:r>
      <w:r w:rsidR="00DC1143" w:rsidRPr="00D55B2B">
        <w:rPr>
          <w:rFonts w:ascii="Verdana" w:hAnsi="Verdana"/>
          <w:lang w:val="en-GB"/>
        </w:rPr>
        <w:t>o have displayed due diligence</w:t>
      </w:r>
      <w:r w:rsidR="005D6944" w:rsidRPr="00D55B2B">
        <w:rPr>
          <w:rFonts w:ascii="Verdana" w:hAnsi="Verdana"/>
          <w:lang w:val="en-GB"/>
        </w:rPr>
        <w:t>’</w:t>
      </w:r>
      <w:r w:rsidR="00E30AB1" w:rsidRPr="00D55B2B">
        <w:rPr>
          <w:rFonts w:ascii="Verdana" w:hAnsi="Verdana"/>
          <w:lang w:val="en-GB"/>
        </w:rPr>
        <w:t>.</w:t>
      </w:r>
      <w:r w:rsidR="007101D7" w:rsidRPr="00D55B2B">
        <w:rPr>
          <w:rStyle w:val="FootnoteReference"/>
          <w:rFonts w:ascii="Verdana" w:hAnsi="Verdana"/>
          <w:lang w:val="en-GB"/>
        </w:rPr>
        <w:footnoteReference w:id="125"/>
      </w:r>
      <w:r w:rsidR="007101D7" w:rsidRPr="00D55B2B">
        <w:rPr>
          <w:rFonts w:ascii="Verdana" w:hAnsi="Verdana"/>
          <w:lang w:val="en-GB"/>
        </w:rPr>
        <w:t xml:space="preserve"> </w:t>
      </w:r>
      <w:r w:rsidR="0071455F" w:rsidRPr="00D55B2B">
        <w:rPr>
          <w:rFonts w:ascii="Verdana" w:hAnsi="Verdana"/>
        </w:rPr>
        <w:t>Accordingly</w:t>
      </w:r>
      <w:r w:rsidR="00D77742" w:rsidRPr="00D55B2B">
        <w:rPr>
          <w:rFonts w:ascii="Verdana" w:hAnsi="Verdana"/>
        </w:rPr>
        <w:t>,</w:t>
      </w:r>
      <w:r w:rsidR="0071455F" w:rsidRPr="00D55B2B">
        <w:rPr>
          <w:rFonts w:ascii="Verdana" w:hAnsi="Verdana"/>
        </w:rPr>
        <w:t xml:space="preserve"> </w:t>
      </w:r>
      <w:r w:rsidR="004B43AD" w:rsidRPr="00D55B2B">
        <w:rPr>
          <w:rFonts w:ascii="Verdana" w:hAnsi="Verdana"/>
          <w:lang w:val="en-GB"/>
        </w:rPr>
        <w:t>breach</w:t>
      </w:r>
      <w:r w:rsidR="005D6944" w:rsidRPr="00D55B2B">
        <w:rPr>
          <w:rFonts w:ascii="Verdana" w:hAnsi="Verdana"/>
          <w:lang w:val="en-GB"/>
        </w:rPr>
        <w:t>es</w:t>
      </w:r>
      <w:r w:rsidR="004B43AD" w:rsidRPr="00D55B2B">
        <w:rPr>
          <w:rFonts w:ascii="Verdana" w:hAnsi="Verdana"/>
          <w:lang w:val="en-GB"/>
        </w:rPr>
        <w:t xml:space="preserve"> of Articles 2, 3 and 14 were established.</w:t>
      </w:r>
    </w:p>
    <w:p w14:paraId="4BE95E45" w14:textId="77777777" w:rsidR="00D77742" w:rsidRPr="00D55B2B" w:rsidRDefault="00D77742" w:rsidP="0060450D">
      <w:pPr>
        <w:adjustRightInd w:val="0"/>
        <w:spacing w:line="360" w:lineRule="auto"/>
        <w:ind w:left="851" w:right="-478"/>
        <w:jc w:val="both"/>
        <w:rPr>
          <w:rFonts w:ascii="Verdana" w:hAnsi="Verdana"/>
        </w:rPr>
      </w:pPr>
    </w:p>
    <w:p w14:paraId="52D248AB" w14:textId="77777777" w:rsidR="00035C8F" w:rsidRPr="0068170B" w:rsidRDefault="00F55B9E" w:rsidP="0060450D">
      <w:pPr>
        <w:adjustRightInd w:val="0"/>
        <w:spacing w:line="360" w:lineRule="auto"/>
        <w:ind w:left="851" w:right="-478"/>
        <w:jc w:val="both"/>
        <w:rPr>
          <w:rFonts w:ascii="Verdana" w:hAnsi="Verdana"/>
        </w:rPr>
      </w:pPr>
      <w:r w:rsidRPr="00D55B2B">
        <w:rPr>
          <w:rFonts w:ascii="Verdana" w:hAnsi="Verdana"/>
        </w:rPr>
        <w:t>When these cases are</w:t>
      </w:r>
      <w:r w:rsidR="005F1B91" w:rsidRPr="00D55B2B">
        <w:rPr>
          <w:rFonts w:ascii="Verdana" w:hAnsi="Verdana"/>
        </w:rPr>
        <w:t xml:space="preserve"> applied to the present situation in</w:t>
      </w:r>
      <w:r w:rsidR="00170651" w:rsidRPr="00D55B2B">
        <w:rPr>
          <w:rFonts w:ascii="Verdana" w:hAnsi="Verdana"/>
        </w:rPr>
        <w:t xml:space="preserve"> Russia</w:t>
      </w:r>
      <w:r w:rsidR="00E0270E" w:rsidRPr="00D55B2B">
        <w:rPr>
          <w:rFonts w:ascii="Verdana" w:hAnsi="Verdana"/>
        </w:rPr>
        <w:t xml:space="preserve">, </w:t>
      </w:r>
      <w:r w:rsidR="00233D6B" w:rsidRPr="00D55B2B">
        <w:rPr>
          <w:rFonts w:ascii="Verdana" w:hAnsi="Verdana"/>
        </w:rPr>
        <w:t xml:space="preserve">it paints a bleak picture of </w:t>
      </w:r>
      <w:r w:rsidR="00397FEE" w:rsidRPr="00D55B2B">
        <w:rPr>
          <w:rFonts w:ascii="Verdana" w:hAnsi="Verdana"/>
        </w:rPr>
        <w:t>the countr</w:t>
      </w:r>
      <w:r w:rsidR="00837E4C" w:rsidRPr="00D55B2B">
        <w:rPr>
          <w:rFonts w:ascii="Verdana" w:hAnsi="Verdana"/>
        </w:rPr>
        <w:t xml:space="preserve">y’s </w:t>
      </w:r>
      <w:r w:rsidR="00B462C0" w:rsidRPr="00D55B2B">
        <w:rPr>
          <w:rFonts w:ascii="Verdana" w:hAnsi="Verdana"/>
        </w:rPr>
        <w:t>compliance with the ECHR</w:t>
      </w:r>
      <w:r w:rsidR="00170651" w:rsidRPr="00D55B2B">
        <w:rPr>
          <w:rFonts w:ascii="Verdana" w:hAnsi="Verdana"/>
        </w:rPr>
        <w:t xml:space="preserve">. Firstly, </w:t>
      </w:r>
      <w:r w:rsidR="00EC5843" w:rsidRPr="00D55B2B">
        <w:rPr>
          <w:rFonts w:ascii="Verdana" w:hAnsi="Verdana"/>
        </w:rPr>
        <w:t>as has been examined, s</w:t>
      </w:r>
      <w:r w:rsidR="00F148EC" w:rsidRPr="00D55B2B">
        <w:rPr>
          <w:rFonts w:ascii="Verdana" w:hAnsi="Verdana"/>
        </w:rPr>
        <w:t xml:space="preserve">tatistics indicate </w:t>
      </w:r>
      <w:r w:rsidR="00B77A42" w:rsidRPr="00D55B2B">
        <w:rPr>
          <w:rFonts w:ascii="Verdana" w:hAnsi="Verdana"/>
        </w:rPr>
        <w:t xml:space="preserve">that domestic abuse is prevalent in Russia </w:t>
      </w:r>
      <w:r w:rsidR="00E32840" w:rsidRPr="00D55B2B">
        <w:rPr>
          <w:rFonts w:ascii="Verdana" w:hAnsi="Verdana"/>
        </w:rPr>
        <w:t xml:space="preserve">and that it is a gendered offence. </w:t>
      </w:r>
      <w:r w:rsidR="00F96A10" w:rsidRPr="00D55B2B">
        <w:rPr>
          <w:rFonts w:ascii="Verdana" w:hAnsi="Verdana"/>
        </w:rPr>
        <w:t xml:space="preserve">As such, the general passivity caused by </w:t>
      </w:r>
      <w:r w:rsidR="007A310D" w:rsidRPr="00D55B2B">
        <w:rPr>
          <w:rFonts w:ascii="Verdana" w:hAnsi="Verdana"/>
        </w:rPr>
        <w:t>the</w:t>
      </w:r>
      <w:r w:rsidR="00DB0903" w:rsidRPr="00D55B2B">
        <w:rPr>
          <w:rFonts w:ascii="Verdana" w:hAnsi="Verdana"/>
        </w:rPr>
        <w:t xml:space="preserve"> </w:t>
      </w:r>
      <w:r w:rsidR="005D6944" w:rsidRPr="00D55B2B">
        <w:rPr>
          <w:rFonts w:ascii="Verdana" w:hAnsi="Verdana"/>
        </w:rPr>
        <w:t xml:space="preserve">government’s </w:t>
      </w:r>
      <w:r w:rsidR="007A310D" w:rsidRPr="00D55B2B">
        <w:rPr>
          <w:rFonts w:ascii="Verdana" w:hAnsi="Verdana"/>
        </w:rPr>
        <w:t xml:space="preserve">failure to implement </w:t>
      </w:r>
      <w:r w:rsidR="00161170" w:rsidRPr="00D55B2B">
        <w:rPr>
          <w:rFonts w:ascii="Verdana" w:hAnsi="Verdana"/>
        </w:rPr>
        <w:t xml:space="preserve">a </w:t>
      </w:r>
      <w:r w:rsidR="006B2E9B" w:rsidRPr="00D55B2B">
        <w:rPr>
          <w:rFonts w:ascii="Verdana" w:hAnsi="Verdana"/>
        </w:rPr>
        <w:t>comprehensive</w:t>
      </w:r>
      <w:r w:rsidR="00B51FF4" w:rsidRPr="00D55B2B">
        <w:rPr>
          <w:rFonts w:ascii="Verdana" w:hAnsi="Verdana"/>
        </w:rPr>
        <w:t xml:space="preserve"> criminal and civil framework </w:t>
      </w:r>
      <w:r w:rsidR="007D3BDA" w:rsidRPr="00D55B2B">
        <w:rPr>
          <w:rFonts w:ascii="Verdana" w:hAnsi="Verdana"/>
        </w:rPr>
        <w:t xml:space="preserve">to protect victims </w:t>
      </w:r>
      <w:r w:rsidR="003C17B3" w:rsidRPr="00D55B2B">
        <w:rPr>
          <w:rFonts w:ascii="Verdana" w:hAnsi="Verdana"/>
        </w:rPr>
        <w:t xml:space="preserve">may </w:t>
      </w:r>
      <w:r w:rsidR="00250DA6" w:rsidRPr="00D55B2B">
        <w:rPr>
          <w:rFonts w:ascii="Verdana" w:hAnsi="Verdana"/>
        </w:rPr>
        <w:t xml:space="preserve">mean that Russia would struggle to defend </w:t>
      </w:r>
      <w:r w:rsidR="00566300" w:rsidRPr="00D55B2B">
        <w:rPr>
          <w:rFonts w:ascii="Verdana" w:hAnsi="Verdana"/>
        </w:rPr>
        <w:t xml:space="preserve">claims based on the right to life, under Osman. </w:t>
      </w:r>
      <w:r w:rsidR="008F44B1" w:rsidRPr="00D55B2B">
        <w:rPr>
          <w:rFonts w:ascii="Verdana" w:hAnsi="Verdana"/>
        </w:rPr>
        <w:t xml:space="preserve">This is particularly </w:t>
      </w:r>
      <w:r w:rsidR="00154610" w:rsidRPr="00D55B2B">
        <w:rPr>
          <w:rFonts w:ascii="Verdana" w:hAnsi="Verdana"/>
        </w:rPr>
        <w:t xml:space="preserve">relevant following the decision to decriminalise </w:t>
      </w:r>
      <w:r w:rsidR="0068179B" w:rsidRPr="00D55B2B">
        <w:rPr>
          <w:rFonts w:ascii="Verdana" w:hAnsi="Verdana"/>
        </w:rPr>
        <w:t>assault</w:t>
      </w:r>
      <w:r w:rsidR="007057C0" w:rsidRPr="00D55B2B">
        <w:rPr>
          <w:rFonts w:ascii="Verdana" w:hAnsi="Verdana"/>
        </w:rPr>
        <w:t xml:space="preserve"> and </w:t>
      </w:r>
      <w:r w:rsidR="0025521B" w:rsidRPr="00D55B2B">
        <w:rPr>
          <w:rFonts w:ascii="Verdana" w:hAnsi="Verdana"/>
        </w:rPr>
        <w:t>Russia’s</w:t>
      </w:r>
      <w:r w:rsidR="007057C0" w:rsidRPr="00D55B2B">
        <w:rPr>
          <w:rFonts w:ascii="Verdana" w:hAnsi="Verdana"/>
        </w:rPr>
        <w:t xml:space="preserve"> unwillingness to introduce protection orders, despite recommendations from the CEDAW Committee who have identified weaknesses with the current approach</w:t>
      </w:r>
      <w:r w:rsidR="0068179B" w:rsidRPr="00D55B2B">
        <w:rPr>
          <w:rFonts w:ascii="Verdana" w:hAnsi="Verdana"/>
        </w:rPr>
        <w:t>.</w:t>
      </w:r>
      <w:r w:rsidR="00250DA6" w:rsidRPr="00D55B2B">
        <w:rPr>
          <w:rFonts w:ascii="Verdana" w:hAnsi="Verdana"/>
        </w:rPr>
        <w:t xml:space="preserve"> </w:t>
      </w:r>
      <w:r w:rsidR="00072564" w:rsidRPr="00D55B2B">
        <w:rPr>
          <w:rFonts w:ascii="Verdana" w:hAnsi="Verdana"/>
        </w:rPr>
        <w:t>Following</w:t>
      </w:r>
      <w:r w:rsidR="00202E77" w:rsidRPr="00D55B2B">
        <w:rPr>
          <w:rFonts w:ascii="Verdana" w:hAnsi="Verdana"/>
        </w:rPr>
        <w:t xml:space="preserve"> </w:t>
      </w:r>
      <w:r w:rsidR="00F63DD3" w:rsidRPr="00D55B2B">
        <w:rPr>
          <w:rFonts w:ascii="Verdana" w:hAnsi="Verdana"/>
          <w:i/>
        </w:rPr>
        <w:t>Bevacqua</w:t>
      </w:r>
      <w:r w:rsidR="006D6EDB" w:rsidRPr="00D55B2B">
        <w:rPr>
          <w:rFonts w:ascii="Verdana" w:hAnsi="Verdana"/>
        </w:rPr>
        <w:t xml:space="preserve">, </w:t>
      </w:r>
      <w:r w:rsidR="00F63DD3" w:rsidRPr="00D55B2B">
        <w:rPr>
          <w:rFonts w:ascii="Verdana" w:hAnsi="Verdana"/>
        </w:rPr>
        <w:t xml:space="preserve">Russia’s </w:t>
      </w:r>
      <w:r w:rsidR="00F46931" w:rsidRPr="00D55B2B">
        <w:rPr>
          <w:rFonts w:ascii="Verdana" w:hAnsi="Verdana"/>
        </w:rPr>
        <w:t>lack of civil</w:t>
      </w:r>
      <w:r w:rsidR="00C754B3" w:rsidRPr="00D55B2B">
        <w:rPr>
          <w:rFonts w:ascii="Verdana" w:hAnsi="Verdana"/>
        </w:rPr>
        <w:t xml:space="preserve"> </w:t>
      </w:r>
      <w:r w:rsidR="0050379B" w:rsidRPr="00D55B2B">
        <w:rPr>
          <w:rFonts w:ascii="Verdana" w:hAnsi="Verdana"/>
        </w:rPr>
        <w:t xml:space="preserve">protective measures akin to non-molestation or occupation orders would be a </w:t>
      </w:r>
      <w:r w:rsidR="00901C75" w:rsidRPr="00D55B2B">
        <w:rPr>
          <w:rFonts w:ascii="Verdana" w:hAnsi="Verdana"/>
        </w:rPr>
        <w:t xml:space="preserve">failure to meet the </w:t>
      </w:r>
      <w:r w:rsidR="00E170EC" w:rsidRPr="00D55B2B">
        <w:rPr>
          <w:rFonts w:ascii="Verdana" w:hAnsi="Verdana"/>
        </w:rPr>
        <w:t xml:space="preserve">minimum </w:t>
      </w:r>
      <w:r w:rsidR="00901C75" w:rsidRPr="00D55B2B">
        <w:rPr>
          <w:rFonts w:ascii="Verdana" w:hAnsi="Verdana"/>
        </w:rPr>
        <w:t xml:space="preserve">due diligence standard. </w:t>
      </w:r>
      <w:r w:rsidR="00977465" w:rsidRPr="00D55B2B">
        <w:rPr>
          <w:rFonts w:ascii="Verdana" w:hAnsi="Verdana"/>
        </w:rPr>
        <w:t>Finally,</w:t>
      </w:r>
      <w:r w:rsidR="00016B28" w:rsidRPr="00D55B2B">
        <w:rPr>
          <w:rFonts w:ascii="Verdana" w:hAnsi="Verdana"/>
        </w:rPr>
        <w:t xml:space="preserve"> </w:t>
      </w:r>
      <w:r w:rsidR="000F6CDA" w:rsidRPr="00D55B2B">
        <w:rPr>
          <w:rFonts w:ascii="Verdana" w:hAnsi="Verdana"/>
        </w:rPr>
        <w:t xml:space="preserve">the </w:t>
      </w:r>
      <w:r w:rsidR="00460F3E" w:rsidRPr="00D55B2B">
        <w:rPr>
          <w:rFonts w:ascii="Verdana" w:hAnsi="Verdana"/>
        </w:rPr>
        <w:t>requirement for private prosecutions in respect of offences under Article 115 and 116 of the Russian Criminal Code may</w:t>
      </w:r>
      <w:r w:rsidR="00C65E50" w:rsidRPr="00D55B2B">
        <w:rPr>
          <w:rFonts w:ascii="Verdana" w:hAnsi="Verdana"/>
        </w:rPr>
        <w:t xml:space="preserve">, depending on the situation, also </w:t>
      </w:r>
      <w:r w:rsidR="006E3B08" w:rsidRPr="00D55B2B">
        <w:rPr>
          <w:rFonts w:ascii="Verdana" w:hAnsi="Verdana"/>
        </w:rPr>
        <w:t xml:space="preserve">be considered a </w:t>
      </w:r>
      <w:r w:rsidR="00DA5B07" w:rsidRPr="00D55B2B">
        <w:rPr>
          <w:rFonts w:ascii="Verdana" w:hAnsi="Verdana"/>
        </w:rPr>
        <w:t xml:space="preserve">failure to </w:t>
      </w:r>
      <w:r w:rsidR="00E4016B" w:rsidRPr="00D55B2B">
        <w:rPr>
          <w:rFonts w:ascii="Verdana" w:hAnsi="Verdana"/>
        </w:rPr>
        <w:t>provide adequate protec</w:t>
      </w:r>
      <w:r w:rsidR="00236E29" w:rsidRPr="00D55B2B">
        <w:rPr>
          <w:rFonts w:ascii="Verdana" w:hAnsi="Verdana"/>
        </w:rPr>
        <w:t xml:space="preserve">tion for victims. </w:t>
      </w:r>
      <w:r w:rsidR="006166C1" w:rsidRPr="00D55B2B">
        <w:rPr>
          <w:rFonts w:ascii="Verdana" w:hAnsi="Verdana"/>
        </w:rPr>
        <w:t>The</w:t>
      </w:r>
      <w:r w:rsidR="002831C1" w:rsidRPr="00D55B2B">
        <w:rPr>
          <w:rFonts w:ascii="Verdana" w:hAnsi="Verdana"/>
        </w:rPr>
        <w:t xml:space="preserve"> </w:t>
      </w:r>
      <w:r w:rsidR="00952539" w:rsidRPr="00D55B2B">
        <w:rPr>
          <w:rFonts w:ascii="Verdana" w:hAnsi="Verdana"/>
        </w:rPr>
        <w:t xml:space="preserve">Russian government </w:t>
      </w:r>
      <w:r w:rsidR="00060E9C" w:rsidRPr="00D55B2B">
        <w:rPr>
          <w:rFonts w:ascii="Verdana" w:hAnsi="Verdana"/>
        </w:rPr>
        <w:t>have attempted to justify</w:t>
      </w:r>
      <w:r w:rsidR="00952539" w:rsidRPr="00D55B2B">
        <w:rPr>
          <w:rFonts w:ascii="Verdana" w:hAnsi="Verdana"/>
        </w:rPr>
        <w:t xml:space="preserve"> using private prosecutions on the basis that</w:t>
      </w:r>
      <w:r w:rsidR="005D6944" w:rsidRPr="00D55B2B">
        <w:rPr>
          <w:rFonts w:ascii="Verdana" w:hAnsi="Verdana"/>
        </w:rPr>
        <w:t>,</w:t>
      </w:r>
      <w:r w:rsidR="00952539" w:rsidRPr="00D55B2B">
        <w:rPr>
          <w:rFonts w:ascii="Verdana" w:hAnsi="Verdana"/>
        </w:rPr>
        <w:t xml:space="preserve"> given the personal nature of the offence</w:t>
      </w:r>
      <w:r w:rsidR="005D6944" w:rsidRPr="00D55B2B">
        <w:rPr>
          <w:rFonts w:ascii="Verdana" w:hAnsi="Verdana"/>
        </w:rPr>
        <w:t>,</w:t>
      </w:r>
      <w:r w:rsidR="00952539" w:rsidRPr="00D55B2B">
        <w:rPr>
          <w:rFonts w:ascii="Verdana" w:hAnsi="Verdana"/>
        </w:rPr>
        <w:t xml:space="preserve"> it is appropriate for </w:t>
      </w:r>
      <w:r w:rsidR="00026BC5" w:rsidRPr="00D55B2B">
        <w:rPr>
          <w:rFonts w:ascii="Verdana" w:hAnsi="Verdana"/>
        </w:rPr>
        <w:t>victims</w:t>
      </w:r>
      <w:r w:rsidR="00952539" w:rsidRPr="00D55B2B">
        <w:rPr>
          <w:rFonts w:ascii="Verdana" w:hAnsi="Verdana"/>
        </w:rPr>
        <w:t xml:space="preserve"> to decide whether a prosecution is in their best interests.</w:t>
      </w:r>
      <w:r w:rsidR="00675CD5" w:rsidRPr="00D55B2B">
        <w:rPr>
          <w:rFonts w:ascii="Verdana" w:hAnsi="Verdana"/>
        </w:rPr>
        <w:t xml:space="preserve"> </w:t>
      </w:r>
      <w:r w:rsidR="00B15A7B" w:rsidRPr="00D55B2B">
        <w:rPr>
          <w:rFonts w:ascii="Verdana" w:hAnsi="Verdana"/>
        </w:rPr>
        <w:t xml:space="preserve">This </w:t>
      </w:r>
      <w:r w:rsidR="005D6944" w:rsidRPr="00D55B2B">
        <w:rPr>
          <w:rFonts w:ascii="Verdana" w:hAnsi="Verdana"/>
        </w:rPr>
        <w:t>is</w:t>
      </w:r>
      <w:r w:rsidR="00B15A7B" w:rsidRPr="00D55B2B">
        <w:rPr>
          <w:rFonts w:ascii="Verdana" w:hAnsi="Verdana"/>
        </w:rPr>
        <w:t xml:space="preserve"> similar</w:t>
      </w:r>
      <w:r w:rsidR="005D6944" w:rsidRPr="00D55B2B">
        <w:rPr>
          <w:rFonts w:ascii="Verdana" w:hAnsi="Verdana"/>
        </w:rPr>
        <w:t xml:space="preserve"> to the</w:t>
      </w:r>
      <w:r w:rsidR="00B15A7B" w:rsidRPr="00D55B2B">
        <w:rPr>
          <w:rFonts w:ascii="Verdana" w:hAnsi="Verdana"/>
        </w:rPr>
        <w:t xml:space="preserve"> </w:t>
      </w:r>
      <w:r w:rsidR="005D6944" w:rsidRPr="00D55B2B">
        <w:rPr>
          <w:rFonts w:ascii="Verdana" w:hAnsi="Verdana"/>
        </w:rPr>
        <w:t xml:space="preserve">argument that was </w:t>
      </w:r>
      <w:r w:rsidR="00B15A7B" w:rsidRPr="00D55B2B">
        <w:rPr>
          <w:rFonts w:ascii="Verdana" w:hAnsi="Verdana"/>
        </w:rPr>
        <w:t xml:space="preserve">raised by the Turkish authorities in </w:t>
      </w:r>
      <w:r w:rsidR="00B15A7B" w:rsidRPr="00D55B2B">
        <w:rPr>
          <w:rFonts w:ascii="Verdana" w:hAnsi="Verdana"/>
          <w:i/>
        </w:rPr>
        <w:t>Opuz</w:t>
      </w:r>
      <w:r w:rsidR="00B15A7B" w:rsidRPr="00D55B2B">
        <w:rPr>
          <w:rFonts w:ascii="Verdana" w:hAnsi="Verdana"/>
        </w:rPr>
        <w:t xml:space="preserve">. </w:t>
      </w:r>
      <w:r w:rsidR="00DD2676" w:rsidRPr="00D55B2B">
        <w:rPr>
          <w:rFonts w:ascii="Verdana" w:hAnsi="Verdana"/>
        </w:rPr>
        <w:t xml:space="preserve">Following the Judgments above, </w:t>
      </w:r>
      <w:r w:rsidR="001421F6" w:rsidRPr="00D55B2B">
        <w:rPr>
          <w:rFonts w:ascii="Verdana" w:hAnsi="Verdana"/>
        </w:rPr>
        <w:t xml:space="preserve">a </w:t>
      </w:r>
      <w:r w:rsidR="00105252" w:rsidRPr="00D55B2B">
        <w:rPr>
          <w:rFonts w:ascii="Verdana" w:hAnsi="Verdana"/>
        </w:rPr>
        <w:t xml:space="preserve">blanket ban </w:t>
      </w:r>
      <w:r w:rsidR="00CB179F" w:rsidRPr="00D55B2B">
        <w:rPr>
          <w:rFonts w:ascii="Verdana" w:hAnsi="Verdana"/>
        </w:rPr>
        <w:t xml:space="preserve">on public prosecutions </w:t>
      </w:r>
      <w:r w:rsidR="00105252" w:rsidRPr="00D55B2B">
        <w:rPr>
          <w:rFonts w:ascii="Verdana" w:hAnsi="Verdana"/>
        </w:rPr>
        <w:t xml:space="preserve">is unlikely to </w:t>
      </w:r>
      <w:r w:rsidR="005E22FC" w:rsidRPr="00D55B2B">
        <w:rPr>
          <w:rFonts w:ascii="Verdana" w:hAnsi="Verdana"/>
        </w:rPr>
        <w:t xml:space="preserve">fall within </w:t>
      </w:r>
      <w:r w:rsidR="0070649B" w:rsidRPr="00D55B2B">
        <w:rPr>
          <w:rFonts w:ascii="Verdana" w:hAnsi="Verdana"/>
        </w:rPr>
        <w:t xml:space="preserve">a </w:t>
      </w:r>
      <w:r w:rsidR="00BA740D" w:rsidRPr="00D55B2B">
        <w:rPr>
          <w:rFonts w:ascii="Verdana" w:hAnsi="Verdana"/>
        </w:rPr>
        <w:t>s</w:t>
      </w:r>
      <w:r w:rsidR="0070649B" w:rsidRPr="00D55B2B">
        <w:rPr>
          <w:rFonts w:ascii="Verdana" w:hAnsi="Verdana"/>
        </w:rPr>
        <w:t>tate’s</w:t>
      </w:r>
      <w:r w:rsidR="005E22FC" w:rsidRPr="00D55B2B">
        <w:rPr>
          <w:rFonts w:ascii="Verdana" w:hAnsi="Verdana"/>
        </w:rPr>
        <w:t xml:space="preserve"> ‘margin of appreciation’</w:t>
      </w:r>
      <w:r w:rsidR="00B30FAF" w:rsidRPr="00D55B2B">
        <w:rPr>
          <w:rFonts w:ascii="Verdana" w:hAnsi="Verdana"/>
        </w:rPr>
        <w:t xml:space="preserve"> and suggests that </w:t>
      </w:r>
      <w:r w:rsidR="00BA3271" w:rsidRPr="00D55B2B">
        <w:rPr>
          <w:rFonts w:ascii="Verdana" w:hAnsi="Verdana"/>
        </w:rPr>
        <w:t xml:space="preserve">Russia must </w:t>
      </w:r>
      <w:r w:rsidR="00E43510" w:rsidRPr="00D55B2B">
        <w:rPr>
          <w:rFonts w:ascii="Verdana" w:hAnsi="Verdana"/>
        </w:rPr>
        <w:t xml:space="preserve">in </w:t>
      </w:r>
      <w:r w:rsidR="001E0364" w:rsidRPr="00D55B2B">
        <w:rPr>
          <w:rFonts w:ascii="Verdana" w:hAnsi="Verdana"/>
        </w:rPr>
        <w:t>appropriate</w:t>
      </w:r>
      <w:r w:rsidR="00E43510" w:rsidRPr="00D55B2B">
        <w:rPr>
          <w:rFonts w:ascii="Verdana" w:hAnsi="Verdana"/>
        </w:rPr>
        <w:t xml:space="preserve"> cases p</w:t>
      </w:r>
      <w:r w:rsidR="00BA3271" w:rsidRPr="00D55B2B">
        <w:rPr>
          <w:rFonts w:ascii="Verdana" w:hAnsi="Verdana"/>
        </w:rPr>
        <w:t>ursue</w:t>
      </w:r>
      <w:r w:rsidR="00ED3831" w:rsidRPr="00D55B2B">
        <w:rPr>
          <w:rFonts w:ascii="Verdana" w:hAnsi="Verdana"/>
        </w:rPr>
        <w:t xml:space="preserve"> state</w:t>
      </w:r>
      <w:r w:rsidR="00BA3271" w:rsidRPr="00D55B2B">
        <w:rPr>
          <w:rFonts w:ascii="Verdana" w:hAnsi="Verdana"/>
        </w:rPr>
        <w:t xml:space="preserve"> prosecutions where </w:t>
      </w:r>
      <w:r w:rsidR="00295E97" w:rsidRPr="00D55B2B">
        <w:rPr>
          <w:rFonts w:ascii="Verdana" w:hAnsi="Verdana"/>
        </w:rPr>
        <w:t>the</w:t>
      </w:r>
      <w:r w:rsidR="009F00CE" w:rsidRPr="00D55B2B">
        <w:rPr>
          <w:rFonts w:ascii="Verdana" w:hAnsi="Verdana"/>
        </w:rPr>
        <w:t xml:space="preserve"> </w:t>
      </w:r>
      <w:r w:rsidR="009F00CE" w:rsidRPr="0068170B">
        <w:rPr>
          <w:rFonts w:ascii="Verdana" w:hAnsi="Verdana"/>
        </w:rPr>
        <w:t>victim feels unable to do so themselves</w:t>
      </w:r>
      <w:r w:rsidR="00F266A4" w:rsidRPr="0068170B">
        <w:rPr>
          <w:rFonts w:ascii="Verdana" w:hAnsi="Verdana"/>
        </w:rPr>
        <w:t xml:space="preserve">. </w:t>
      </w:r>
      <w:r w:rsidR="007C3083" w:rsidRPr="0068170B">
        <w:rPr>
          <w:rFonts w:ascii="Verdana" w:hAnsi="Verdana"/>
        </w:rPr>
        <w:t xml:space="preserve">At present, there is no evidence this is taking place. </w:t>
      </w:r>
    </w:p>
    <w:p w14:paraId="683AAC86" w14:textId="77777777" w:rsidR="00F46931" w:rsidRPr="0060450D" w:rsidRDefault="00F46931" w:rsidP="007E262A">
      <w:pPr>
        <w:adjustRightInd w:val="0"/>
        <w:spacing w:line="360" w:lineRule="auto"/>
        <w:ind w:right="-478"/>
        <w:jc w:val="both"/>
        <w:rPr>
          <w:rFonts w:ascii="Verdana" w:hAnsi="Verdana"/>
          <w:sz w:val="24"/>
          <w:szCs w:val="24"/>
        </w:rPr>
      </w:pPr>
    </w:p>
    <w:p w14:paraId="2DF979CE" w14:textId="77777777" w:rsidR="000F34B7" w:rsidRPr="0060450D" w:rsidRDefault="000A7C75" w:rsidP="0060450D">
      <w:pPr>
        <w:pStyle w:val="Bulletsbase"/>
        <w:numPr>
          <w:ilvl w:val="0"/>
          <w:numId w:val="34"/>
        </w:numPr>
        <w:ind w:left="567"/>
        <w:rPr>
          <w:i/>
        </w:rPr>
      </w:pPr>
      <w:r w:rsidRPr="0060450D">
        <w:rPr>
          <w:i/>
        </w:rPr>
        <w:t>Deterring domestic abuse</w:t>
      </w:r>
    </w:p>
    <w:p w14:paraId="56C2A79B" w14:textId="77777777" w:rsidR="000F34B7" w:rsidRPr="00D55B2B" w:rsidRDefault="000F34B7" w:rsidP="007E262A">
      <w:pPr>
        <w:pStyle w:val="ListParagraph"/>
        <w:spacing w:line="360" w:lineRule="auto"/>
        <w:ind w:left="360" w:right="-478"/>
        <w:jc w:val="both"/>
        <w:rPr>
          <w:rFonts w:ascii="Verdana" w:hAnsi="Verdana"/>
          <w:i/>
        </w:rPr>
      </w:pPr>
    </w:p>
    <w:p w14:paraId="04A4C200" w14:textId="6A137290" w:rsidR="00906A0B" w:rsidRDefault="00177C8C" w:rsidP="006D155D">
      <w:pPr>
        <w:autoSpaceDE/>
        <w:autoSpaceDN/>
        <w:spacing w:line="360" w:lineRule="auto"/>
        <w:ind w:right="-478"/>
        <w:jc w:val="both"/>
        <w:rPr>
          <w:rFonts w:ascii="Verdana" w:hAnsi="Verdana"/>
        </w:rPr>
      </w:pPr>
      <w:r>
        <w:rPr>
          <w:rFonts w:ascii="Verdana" w:hAnsi="Verdana"/>
        </w:rPr>
        <w:t xml:space="preserve">This section considers the extent to which </w:t>
      </w:r>
      <w:r w:rsidR="00B2289F">
        <w:rPr>
          <w:rFonts w:ascii="Verdana" w:hAnsi="Verdana"/>
        </w:rPr>
        <w:t xml:space="preserve">the </w:t>
      </w:r>
      <w:r w:rsidR="00275160">
        <w:rPr>
          <w:rFonts w:ascii="Verdana" w:hAnsi="Verdana"/>
        </w:rPr>
        <w:t xml:space="preserve">law </w:t>
      </w:r>
      <w:r w:rsidR="0021132C">
        <w:rPr>
          <w:rFonts w:ascii="Verdana" w:hAnsi="Verdana"/>
        </w:rPr>
        <w:t xml:space="preserve">surrounding </w:t>
      </w:r>
      <w:r w:rsidR="009F4B78">
        <w:rPr>
          <w:rFonts w:ascii="Verdana" w:hAnsi="Verdana"/>
        </w:rPr>
        <w:t>domestic abuse in England a</w:t>
      </w:r>
      <w:r w:rsidR="00DD383C">
        <w:rPr>
          <w:rFonts w:ascii="Verdana" w:hAnsi="Verdana"/>
        </w:rPr>
        <w:t>n</w:t>
      </w:r>
      <w:r w:rsidR="009F4B78">
        <w:rPr>
          <w:rFonts w:ascii="Verdana" w:hAnsi="Verdana"/>
        </w:rPr>
        <w:t xml:space="preserve">d Russia </w:t>
      </w:r>
      <w:r w:rsidR="00275160">
        <w:rPr>
          <w:rFonts w:ascii="Verdana" w:hAnsi="Verdana"/>
        </w:rPr>
        <w:t xml:space="preserve">is a </w:t>
      </w:r>
      <w:r w:rsidR="00D63C82">
        <w:rPr>
          <w:rFonts w:ascii="Verdana" w:hAnsi="Verdana"/>
        </w:rPr>
        <w:t>force for regulating people’s behaviour</w:t>
      </w:r>
      <w:r w:rsidR="00FE405B">
        <w:rPr>
          <w:rFonts w:ascii="Verdana" w:hAnsi="Verdana"/>
        </w:rPr>
        <w:t xml:space="preserve">. </w:t>
      </w:r>
      <w:r w:rsidR="00371ED2">
        <w:rPr>
          <w:rFonts w:ascii="Verdana" w:hAnsi="Verdana"/>
        </w:rPr>
        <w:t>Preventing unwanted behaviours is</w:t>
      </w:r>
      <w:r w:rsidR="00FE405B">
        <w:rPr>
          <w:rFonts w:ascii="Verdana" w:hAnsi="Verdana"/>
        </w:rPr>
        <w:t xml:space="preserve"> an often</w:t>
      </w:r>
      <w:r w:rsidR="00A27EA6">
        <w:rPr>
          <w:rFonts w:ascii="Verdana" w:hAnsi="Verdana"/>
        </w:rPr>
        <w:t>-</w:t>
      </w:r>
      <w:r w:rsidR="00FE405B">
        <w:rPr>
          <w:rFonts w:ascii="Verdana" w:hAnsi="Verdana"/>
        </w:rPr>
        <w:t xml:space="preserve">cited </w:t>
      </w:r>
      <w:r w:rsidR="00206990">
        <w:rPr>
          <w:rFonts w:ascii="Verdana" w:hAnsi="Verdana"/>
        </w:rPr>
        <w:t xml:space="preserve">measure of </w:t>
      </w:r>
      <w:r w:rsidR="004312FF">
        <w:rPr>
          <w:rFonts w:ascii="Verdana" w:hAnsi="Verdana"/>
        </w:rPr>
        <w:t>policy success</w:t>
      </w:r>
      <w:r w:rsidR="002F3C5A" w:rsidRPr="00D55B2B">
        <w:rPr>
          <w:rStyle w:val="FootnoteReference"/>
          <w:rFonts w:ascii="Verdana" w:hAnsi="Verdana"/>
        </w:rPr>
        <w:footnoteReference w:id="126"/>
      </w:r>
      <w:r w:rsidR="00206990">
        <w:rPr>
          <w:rFonts w:ascii="Verdana" w:hAnsi="Verdana"/>
        </w:rPr>
        <w:t xml:space="preserve">. </w:t>
      </w:r>
      <w:r w:rsidR="00D666C3">
        <w:rPr>
          <w:rFonts w:ascii="Verdana" w:hAnsi="Verdana"/>
        </w:rPr>
        <w:t xml:space="preserve">The </w:t>
      </w:r>
      <w:r w:rsidR="00AC1DFA">
        <w:rPr>
          <w:rFonts w:ascii="Verdana" w:hAnsi="Verdana"/>
        </w:rPr>
        <w:t xml:space="preserve">authors argue that </w:t>
      </w:r>
      <w:r w:rsidR="00036322">
        <w:rPr>
          <w:rFonts w:ascii="Verdana" w:hAnsi="Verdana"/>
        </w:rPr>
        <w:t xml:space="preserve">one of the </w:t>
      </w:r>
      <w:r w:rsidR="00DA6CD7">
        <w:rPr>
          <w:rFonts w:ascii="Verdana" w:hAnsi="Verdana"/>
        </w:rPr>
        <w:t xml:space="preserve">most </w:t>
      </w:r>
      <w:r w:rsidR="00BF074B">
        <w:rPr>
          <w:rFonts w:ascii="Verdana" w:hAnsi="Verdana"/>
        </w:rPr>
        <w:t>effective me</w:t>
      </w:r>
      <w:r w:rsidR="00E5188D">
        <w:rPr>
          <w:rFonts w:ascii="Verdana" w:hAnsi="Verdana"/>
        </w:rPr>
        <w:t xml:space="preserve">thods of </w:t>
      </w:r>
      <w:r w:rsidR="00954DD5">
        <w:rPr>
          <w:rFonts w:ascii="Verdana" w:hAnsi="Verdana"/>
        </w:rPr>
        <w:t xml:space="preserve">deterring domestic abuse </w:t>
      </w:r>
      <w:r w:rsidR="002F34D2">
        <w:rPr>
          <w:rFonts w:ascii="Verdana" w:hAnsi="Verdana"/>
        </w:rPr>
        <w:t xml:space="preserve">and </w:t>
      </w:r>
      <w:r w:rsidR="00A66AC2">
        <w:rPr>
          <w:rFonts w:ascii="Verdana" w:hAnsi="Verdana"/>
        </w:rPr>
        <w:t>socialising the wider public</w:t>
      </w:r>
      <w:r w:rsidR="00C45A56">
        <w:rPr>
          <w:rFonts w:ascii="Verdana" w:hAnsi="Verdana"/>
        </w:rPr>
        <w:t xml:space="preserve"> regarding different forms of abusive behaviours</w:t>
      </w:r>
      <w:r w:rsidR="00A66AC2">
        <w:rPr>
          <w:rFonts w:ascii="Verdana" w:hAnsi="Verdana"/>
        </w:rPr>
        <w:t xml:space="preserve"> </w:t>
      </w:r>
      <w:r w:rsidR="00D93D52">
        <w:rPr>
          <w:rFonts w:ascii="Verdana" w:hAnsi="Verdana"/>
        </w:rPr>
        <w:t xml:space="preserve">is through education. </w:t>
      </w:r>
      <w:r w:rsidR="00050A8C">
        <w:rPr>
          <w:rFonts w:ascii="Verdana" w:hAnsi="Verdana"/>
        </w:rPr>
        <w:t xml:space="preserve">The authors highlight different programs which have been adopted in England and Russia, with varying levels of success. </w:t>
      </w:r>
    </w:p>
    <w:p w14:paraId="3FB32190" w14:textId="77777777" w:rsidR="00906A0B" w:rsidRDefault="00906A0B" w:rsidP="006D155D">
      <w:pPr>
        <w:autoSpaceDE/>
        <w:autoSpaceDN/>
        <w:spacing w:line="360" w:lineRule="auto"/>
        <w:ind w:right="-478"/>
        <w:jc w:val="both"/>
        <w:rPr>
          <w:rFonts w:ascii="Verdana" w:hAnsi="Verdana"/>
        </w:rPr>
      </w:pPr>
    </w:p>
    <w:p w14:paraId="561B678E" w14:textId="071EED49" w:rsidR="00627CA1" w:rsidRPr="00D55B2B" w:rsidRDefault="00306539" w:rsidP="0060450D">
      <w:pPr>
        <w:autoSpaceDE/>
        <w:autoSpaceDN/>
        <w:spacing w:line="360" w:lineRule="auto"/>
        <w:ind w:right="-478"/>
        <w:jc w:val="both"/>
        <w:rPr>
          <w:rFonts w:ascii="Verdana" w:hAnsi="Verdana"/>
        </w:rPr>
      </w:pPr>
      <w:r w:rsidRPr="00D55B2B">
        <w:rPr>
          <w:rFonts w:ascii="Verdana" w:hAnsi="Verdana"/>
        </w:rPr>
        <w:t xml:space="preserve">In </w:t>
      </w:r>
      <w:r w:rsidR="000A18FB" w:rsidRPr="00D55B2B">
        <w:rPr>
          <w:rFonts w:ascii="Verdana" w:hAnsi="Verdana"/>
        </w:rPr>
        <w:t>relation to domestic abuse</w:t>
      </w:r>
      <w:r w:rsidRPr="00D55B2B">
        <w:rPr>
          <w:rFonts w:ascii="Verdana" w:hAnsi="Verdana"/>
        </w:rPr>
        <w:t>, the law</w:t>
      </w:r>
      <w:r w:rsidR="00184BB5" w:rsidRPr="00D55B2B">
        <w:rPr>
          <w:rFonts w:ascii="Verdana" w:hAnsi="Verdana"/>
        </w:rPr>
        <w:t xml:space="preserve"> in the UK</w:t>
      </w:r>
      <w:r w:rsidRPr="00D55B2B">
        <w:rPr>
          <w:rFonts w:ascii="Verdana" w:hAnsi="Verdana"/>
        </w:rPr>
        <w:t xml:space="preserve"> has been</w:t>
      </w:r>
      <w:r w:rsidR="00F053D5" w:rsidRPr="00D55B2B">
        <w:rPr>
          <w:rFonts w:ascii="Verdana" w:hAnsi="Verdana"/>
        </w:rPr>
        <w:t xml:space="preserve"> relied on both</w:t>
      </w:r>
      <w:r w:rsidRPr="00D55B2B">
        <w:rPr>
          <w:rFonts w:ascii="Verdana" w:hAnsi="Verdana"/>
        </w:rPr>
        <w:t xml:space="preserve"> to c</w:t>
      </w:r>
      <w:r w:rsidR="00F053D5" w:rsidRPr="00D55B2B">
        <w:rPr>
          <w:rFonts w:ascii="Verdana" w:hAnsi="Verdana"/>
        </w:rPr>
        <w:t xml:space="preserve">ontrol the behaviour of perpetrators and </w:t>
      </w:r>
      <w:r w:rsidRPr="00D55B2B">
        <w:rPr>
          <w:rFonts w:ascii="Verdana" w:hAnsi="Verdana"/>
        </w:rPr>
        <w:t xml:space="preserve">to </w:t>
      </w:r>
      <w:r w:rsidR="007F29DF" w:rsidRPr="00D55B2B">
        <w:rPr>
          <w:rFonts w:ascii="Verdana" w:hAnsi="Verdana"/>
        </w:rPr>
        <w:t xml:space="preserve">underpin and </w:t>
      </w:r>
      <w:r w:rsidRPr="00D55B2B">
        <w:rPr>
          <w:rFonts w:ascii="Verdana" w:hAnsi="Verdana"/>
        </w:rPr>
        <w:t xml:space="preserve">establish values that </w:t>
      </w:r>
      <w:r w:rsidR="00F053D5" w:rsidRPr="00D55B2B">
        <w:rPr>
          <w:rFonts w:ascii="Verdana" w:hAnsi="Verdana"/>
        </w:rPr>
        <w:t>domestic abuse in all forms is un</w:t>
      </w:r>
      <w:r w:rsidRPr="00D55B2B">
        <w:rPr>
          <w:rFonts w:ascii="Verdana" w:hAnsi="Verdana"/>
        </w:rPr>
        <w:t xml:space="preserve">acceptable. </w:t>
      </w:r>
      <w:r w:rsidR="00B73269" w:rsidRPr="00D55B2B">
        <w:rPr>
          <w:rFonts w:ascii="Verdana" w:hAnsi="Verdana"/>
          <w:lang w:val="en-GB"/>
        </w:rPr>
        <w:t xml:space="preserve">Education is one means by which the UK </w:t>
      </w:r>
      <w:r w:rsidR="00D95B8B" w:rsidRPr="00D55B2B">
        <w:rPr>
          <w:rFonts w:ascii="Verdana" w:hAnsi="Verdana"/>
          <w:lang w:val="en-GB"/>
        </w:rPr>
        <w:t xml:space="preserve">attempts to </w:t>
      </w:r>
      <w:r w:rsidR="00B73269" w:rsidRPr="00D55B2B">
        <w:rPr>
          <w:rFonts w:ascii="Verdana" w:hAnsi="Verdana"/>
          <w:lang w:val="en-GB"/>
        </w:rPr>
        <w:t>secure compliance with its international obligations</w:t>
      </w:r>
      <w:r w:rsidR="005D6944" w:rsidRPr="00D55B2B">
        <w:rPr>
          <w:rFonts w:ascii="Verdana" w:hAnsi="Verdana"/>
          <w:lang w:val="en-GB"/>
        </w:rPr>
        <w:t>,</w:t>
      </w:r>
      <w:r w:rsidR="00B73269" w:rsidRPr="00D55B2B">
        <w:rPr>
          <w:rFonts w:ascii="Verdana" w:hAnsi="Verdana"/>
          <w:lang w:val="en-GB"/>
        </w:rPr>
        <w:t xml:space="preserve"> whilst also aiming to deter future violence. </w:t>
      </w:r>
      <w:r w:rsidR="00B73269" w:rsidRPr="00D55B2B">
        <w:rPr>
          <w:rFonts w:ascii="Verdana" w:hAnsi="Verdana"/>
        </w:rPr>
        <w:t xml:space="preserve">Article 12 of the Istanbul Convention, for example, obliges states to promote changes in the social and cultural patterns of behaviour of women and men with a view to eradicating prejudices, customs, traditions and other practices which are based on the inferiority of women. It is expected this will be achieved through Article 13 which requires signatories to </w:t>
      </w:r>
      <w:r w:rsidR="00CD0F9F" w:rsidRPr="00D55B2B">
        <w:rPr>
          <w:rFonts w:ascii="Verdana" w:hAnsi="Verdana"/>
        </w:rPr>
        <w:t>‘</w:t>
      </w:r>
      <w:r w:rsidR="00B73269" w:rsidRPr="00D55B2B">
        <w:rPr>
          <w:rFonts w:ascii="Verdana" w:hAnsi="Verdana"/>
        </w:rPr>
        <w:t>promote or conduct on a regular basis awareness raising campaigns or programmes… to increase awareness and understanding among the general public of the different manifestations of all forms of violence covered by the Convention, their consequences on children and th</w:t>
      </w:r>
      <w:r w:rsidR="00CD0F9F" w:rsidRPr="00D55B2B">
        <w:rPr>
          <w:rFonts w:ascii="Verdana" w:hAnsi="Verdana"/>
        </w:rPr>
        <w:t>e need to prevent such violence’</w:t>
      </w:r>
      <w:r w:rsidR="00B73269" w:rsidRPr="00D55B2B">
        <w:rPr>
          <w:rFonts w:ascii="Verdana" w:hAnsi="Verdana"/>
        </w:rPr>
        <w:t xml:space="preserve">. </w:t>
      </w:r>
      <w:r w:rsidR="00507B97" w:rsidRPr="00D55B2B">
        <w:rPr>
          <w:rFonts w:ascii="Verdana" w:hAnsi="Verdana"/>
        </w:rPr>
        <w:t xml:space="preserve">As Russia is not a signatory to the Istanbul Convention it is not under any </w:t>
      </w:r>
      <w:r w:rsidR="003E25C1" w:rsidRPr="00D55B2B">
        <w:rPr>
          <w:rFonts w:ascii="Verdana" w:hAnsi="Verdana"/>
        </w:rPr>
        <w:t xml:space="preserve">such obligations to promote education. </w:t>
      </w:r>
      <w:r w:rsidR="00124929" w:rsidRPr="00D55B2B">
        <w:rPr>
          <w:rFonts w:ascii="Verdana" w:hAnsi="Verdana"/>
        </w:rPr>
        <w:t xml:space="preserve"> </w:t>
      </w:r>
    </w:p>
    <w:p w14:paraId="74608F0B" w14:textId="77777777" w:rsidR="00627CA1" w:rsidRPr="00D55B2B" w:rsidRDefault="00627CA1" w:rsidP="005931EC">
      <w:pPr>
        <w:spacing w:line="360" w:lineRule="auto"/>
        <w:ind w:left="567" w:right="-478"/>
        <w:jc w:val="both"/>
        <w:rPr>
          <w:rFonts w:ascii="Verdana" w:hAnsi="Verdana"/>
        </w:rPr>
      </w:pPr>
    </w:p>
    <w:p w14:paraId="375C9EBE" w14:textId="344AB3AA" w:rsidR="00053A22" w:rsidRPr="00D55B2B" w:rsidRDefault="00ED1A00" w:rsidP="00B952AD">
      <w:pPr>
        <w:spacing w:line="360" w:lineRule="auto"/>
        <w:ind w:right="-478"/>
        <w:jc w:val="both"/>
        <w:rPr>
          <w:rFonts w:ascii="Verdana" w:hAnsi="Verdana"/>
        </w:rPr>
      </w:pPr>
      <w:r w:rsidRPr="00D55B2B">
        <w:rPr>
          <w:rFonts w:ascii="Verdana" w:hAnsi="Verdana"/>
        </w:rPr>
        <w:t>In England,</w:t>
      </w:r>
      <w:r w:rsidR="00B966CB" w:rsidRPr="00D55B2B">
        <w:rPr>
          <w:rFonts w:ascii="Verdana" w:hAnsi="Verdana"/>
        </w:rPr>
        <w:t xml:space="preserve"> </w:t>
      </w:r>
      <w:r w:rsidR="00BF6A38" w:rsidRPr="00D55B2B">
        <w:rPr>
          <w:rFonts w:ascii="Verdana" w:hAnsi="Verdana"/>
        </w:rPr>
        <w:t xml:space="preserve">deterrence through education has been </w:t>
      </w:r>
      <w:r w:rsidR="00721ECA" w:rsidRPr="00D55B2B">
        <w:rPr>
          <w:rFonts w:ascii="Verdana" w:hAnsi="Verdana"/>
        </w:rPr>
        <w:t xml:space="preserve">a key feature of the </w:t>
      </w:r>
      <w:r w:rsidR="007365C3" w:rsidRPr="00D55B2B">
        <w:rPr>
          <w:rFonts w:ascii="Verdana" w:hAnsi="Verdana"/>
        </w:rPr>
        <w:t>government consultation ‘transforming the response to domestic abuse’</w:t>
      </w:r>
      <w:r w:rsidR="001B4BA7" w:rsidRPr="00D55B2B">
        <w:rPr>
          <w:rFonts w:ascii="Verdana" w:hAnsi="Verdana"/>
        </w:rPr>
        <w:t>, where one of the four themes was</w:t>
      </w:r>
      <w:r w:rsidR="00DD707B" w:rsidRPr="00D55B2B">
        <w:rPr>
          <w:rFonts w:ascii="Verdana" w:hAnsi="Verdana"/>
        </w:rPr>
        <w:t xml:space="preserve"> ‘promoting public and professional awareness’ of </w:t>
      </w:r>
      <w:r w:rsidR="005F07A6" w:rsidRPr="00D55B2B">
        <w:rPr>
          <w:rFonts w:ascii="Verdana" w:hAnsi="Verdana"/>
        </w:rPr>
        <w:t>domestic abuse</w:t>
      </w:r>
      <w:r w:rsidR="005B2F43" w:rsidRPr="00D55B2B">
        <w:rPr>
          <w:rFonts w:ascii="Verdana" w:hAnsi="Verdana"/>
        </w:rPr>
        <w:t>.</w:t>
      </w:r>
      <w:r w:rsidR="003F7B08" w:rsidRPr="00D55B2B">
        <w:rPr>
          <w:rStyle w:val="FootnoteReference"/>
          <w:rFonts w:ascii="Verdana" w:hAnsi="Verdana"/>
        </w:rPr>
        <w:footnoteReference w:id="127"/>
      </w:r>
      <w:r w:rsidR="00294E73" w:rsidRPr="00D55B2B">
        <w:rPr>
          <w:rFonts w:ascii="Verdana" w:hAnsi="Verdana"/>
        </w:rPr>
        <w:t xml:space="preserve"> </w:t>
      </w:r>
      <w:r w:rsidR="0030441C" w:rsidRPr="00D55B2B">
        <w:rPr>
          <w:rFonts w:ascii="Verdana" w:hAnsi="Verdana"/>
        </w:rPr>
        <w:t xml:space="preserve">Efforts </w:t>
      </w:r>
      <w:r w:rsidR="002E0134" w:rsidRPr="00D55B2B">
        <w:rPr>
          <w:rFonts w:ascii="Verdana" w:hAnsi="Verdana"/>
        </w:rPr>
        <w:t xml:space="preserve">have </w:t>
      </w:r>
      <w:r w:rsidR="0030441C" w:rsidRPr="00D55B2B">
        <w:rPr>
          <w:rFonts w:ascii="Verdana" w:hAnsi="Verdana"/>
        </w:rPr>
        <w:t>included</w:t>
      </w:r>
      <w:r w:rsidR="005D6944" w:rsidRPr="00D55B2B">
        <w:rPr>
          <w:rFonts w:ascii="Verdana" w:hAnsi="Verdana"/>
        </w:rPr>
        <w:t xml:space="preserve"> </w:t>
      </w:r>
      <w:r w:rsidR="00C82A65">
        <w:rPr>
          <w:rFonts w:ascii="Verdana" w:hAnsi="Verdana"/>
        </w:rPr>
        <w:t>proposing</w:t>
      </w:r>
      <w:r w:rsidR="00C82A65" w:rsidRPr="00D55B2B">
        <w:rPr>
          <w:rFonts w:ascii="Verdana" w:hAnsi="Verdana"/>
        </w:rPr>
        <w:t xml:space="preserve"> </w:t>
      </w:r>
      <w:r w:rsidR="0030441C" w:rsidRPr="00D55B2B">
        <w:rPr>
          <w:rFonts w:ascii="Verdana" w:hAnsi="Verdana"/>
        </w:rPr>
        <w:t>a</w:t>
      </w:r>
      <w:r w:rsidR="007E43C4" w:rsidRPr="00D55B2B">
        <w:rPr>
          <w:rFonts w:ascii="Verdana" w:hAnsi="Verdana"/>
        </w:rPr>
        <w:t xml:space="preserve"> statutory definition of domestic abuse </w:t>
      </w:r>
      <w:r w:rsidR="00C82A65">
        <w:rPr>
          <w:rFonts w:ascii="Verdana" w:hAnsi="Verdana"/>
        </w:rPr>
        <w:t>as part of the draft Domestic Abuse Bill</w:t>
      </w:r>
      <w:r w:rsidR="00885B64">
        <w:rPr>
          <w:rStyle w:val="FootnoteReference"/>
          <w:rFonts w:ascii="Verdana" w:hAnsi="Verdana"/>
        </w:rPr>
        <w:footnoteReference w:id="128"/>
      </w:r>
      <w:r w:rsidR="00C82A65">
        <w:rPr>
          <w:rFonts w:ascii="Verdana" w:hAnsi="Verdana"/>
        </w:rPr>
        <w:t xml:space="preserve"> </w:t>
      </w:r>
      <w:r w:rsidR="0030441C" w:rsidRPr="00D55B2B">
        <w:rPr>
          <w:rFonts w:ascii="Verdana" w:hAnsi="Verdana"/>
        </w:rPr>
        <w:t>to ensure the range of offences are</w:t>
      </w:r>
      <w:r w:rsidR="00A10A3B" w:rsidRPr="00D55B2B">
        <w:rPr>
          <w:rFonts w:ascii="Verdana" w:hAnsi="Verdana"/>
        </w:rPr>
        <w:t xml:space="preserve"> properly understood and providing funding </w:t>
      </w:r>
      <w:r w:rsidR="007E43C4" w:rsidRPr="00D55B2B">
        <w:rPr>
          <w:rFonts w:ascii="Verdana" w:hAnsi="Verdana"/>
        </w:rPr>
        <w:t xml:space="preserve">for all schools to deliver Relationships Education, Relationships and Sex Education and Personal, Social, Health and Economic Education so that young adults leave school with </w:t>
      </w:r>
      <w:r w:rsidR="00091C4D" w:rsidRPr="00D55B2B">
        <w:rPr>
          <w:rFonts w:ascii="Verdana" w:hAnsi="Verdana"/>
        </w:rPr>
        <w:t>an understanding of domestic abuse</w:t>
      </w:r>
      <w:r w:rsidR="007B50FB" w:rsidRPr="00D55B2B">
        <w:rPr>
          <w:rFonts w:ascii="Verdana" w:hAnsi="Verdana"/>
        </w:rPr>
        <w:t>.</w:t>
      </w:r>
      <w:r w:rsidR="00252B7E" w:rsidRPr="00D55B2B">
        <w:rPr>
          <w:rStyle w:val="FootnoteReference"/>
          <w:rFonts w:ascii="Verdana" w:hAnsi="Verdana"/>
        </w:rPr>
        <w:footnoteReference w:id="129"/>
      </w:r>
      <w:r w:rsidR="007E43C4" w:rsidRPr="00D55B2B">
        <w:rPr>
          <w:rFonts w:ascii="Verdana" w:hAnsi="Verdana"/>
        </w:rPr>
        <w:t xml:space="preserve"> </w:t>
      </w:r>
      <w:r w:rsidR="009E36A9" w:rsidRPr="00D55B2B">
        <w:rPr>
          <w:rFonts w:ascii="Verdana" w:hAnsi="Verdana"/>
        </w:rPr>
        <w:t>The need for such education recogni</w:t>
      </w:r>
      <w:r w:rsidR="009535CA" w:rsidRPr="00D55B2B">
        <w:rPr>
          <w:rFonts w:ascii="Verdana" w:hAnsi="Verdana"/>
        </w:rPr>
        <w:t>s</w:t>
      </w:r>
      <w:r w:rsidR="009E36A9" w:rsidRPr="00D55B2B">
        <w:rPr>
          <w:rFonts w:ascii="Verdana" w:hAnsi="Verdana"/>
        </w:rPr>
        <w:t>es that</w:t>
      </w:r>
      <w:r w:rsidR="008D1952" w:rsidRPr="00D55B2B">
        <w:rPr>
          <w:rFonts w:ascii="Verdana" w:hAnsi="Verdana"/>
        </w:rPr>
        <w:t xml:space="preserve"> whilst</w:t>
      </w:r>
      <w:r w:rsidR="00053A22" w:rsidRPr="00D55B2B">
        <w:rPr>
          <w:rFonts w:ascii="Verdana" w:hAnsi="Verdana"/>
        </w:rPr>
        <w:t xml:space="preserve"> legal reform can challenge socio-cultural perspectives which view women as subordinate to men, laws by themselves cannot </w:t>
      </w:r>
      <w:r w:rsidR="005E7E25" w:rsidRPr="00D55B2B">
        <w:rPr>
          <w:rFonts w:ascii="Verdana" w:hAnsi="Verdana"/>
        </w:rPr>
        <w:t>create</w:t>
      </w:r>
      <w:r w:rsidR="00053A22" w:rsidRPr="00D55B2B">
        <w:rPr>
          <w:rFonts w:ascii="Verdana" w:hAnsi="Verdana"/>
        </w:rPr>
        <w:t xml:space="preserve"> equality</w:t>
      </w:r>
      <w:r w:rsidR="007B50FB" w:rsidRPr="00D55B2B">
        <w:rPr>
          <w:rFonts w:ascii="Verdana" w:hAnsi="Verdana"/>
        </w:rPr>
        <w:t>.</w:t>
      </w:r>
      <w:r w:rsidR="00053A22" w:rsidRPr="00D55B2B">
        <w:rPr>
          <w:rStyle w:val="FootnoteReference"/>
          <w:rFonts w:ascii="Verdana" w:hAnsi="Verdana"/>
        </w:rPr>
        <w:footnoteReference w:id="130"/>
      </w:r>
    </w:p>
    <w:p w14:paraId="7742C1B3" w14:textId="77777777" w:rsidR="00053A22" w:rsidRPr="00D55B2B" w:rsidRDefault="00053A22" w:rsidP="003A4B1B">
      <w:pPr>
        <w:spacing w:line="360" w:lineRule="auto"/>
        <w:ind w:left="567" w:right="-478"/>
        <w:jc w:val="both"/>
        <w:rPr>
          <w:rFonts w:ascii="Verdana" w:hAnsi="Verdana"/>
          <w:lang w:val="en-GB"/>
        </w:rPr>
      </w:pPr>
    </w:p>
    <w:p w14:paraId="570DF8B2" w14:textId="30DB458B" w:rsidR="004D520D" w:rsidRDefault="006B1F62" w:rsidP="00906B0F">
      <w:pPr>
        <w:spacing w:line="360" w:lineRule="auto"/>
        <w:ind w:right="-478"/>
        <w:jc w:val="both"/>
        <w:rPr>
          <w:rFonts w:ascii="Verdana" w:hAnsi="Verdana"/>
          <w:lang w:val="en-GB"/>
        </w:rPr>
      </w:pPr>
      <w:r w:rsidRPr="00D55B2B">
        <w:rPr>
          <w:rFonts w:ascii="Verdana" w:hAnsi="Verdana"/>
          <w:lang w:val="en-GB"/>
        </w:rPr>
        <w:t>Similar</w:t>
      </w:r>
      <w:r w:rsidR="005E7AD4" w:rsidRPr="00D55B2B">
        <w:rPr>
          <w:rFonts w:ascii="Verdana" w:hAnsi="Verdana"/>
          <w:lang w:val="en-GB"/>
        </w:rPr>
        <w:t>ly</w:t>
      </w:r>
      <w:r w:rsidRPr="00D55B2B">
        <w:rPr>
          <w:rFonts w:ascii="Verdana" w:hAnsi="Verdana"/>
          <w:lang w:val="en-GB"/>
        </w:rPr>
        <w:t xml:space="preserve">, in </w:t>
      </w:r>
      <w:r w:rsidR="000F34B7" w:rsidRPr="00D55B2B">
        <w:rPr>
          <w:rFonts w:ascii="Verdana" w:hAnsi="Verdana"/>
          <w:lang w:val="en-GB"/>
        </w:rPr>
        <w:t xml:space="preserve">the consultation that preceded the introduction of </w:t>
      </w:r>
      <w:r w:rsidR="002A571C" w:rsidRPr="00D55B2B">
        <w:rPr>
          <w:rFonts w:ascii="Verdana" w:hAnsi="Verdana"/>
          <w:lang w:val="en-GB"/>
        </w:rPr>
        <w:t xml:space="preserve">the </w:t>
      </w:r>
      <w:r w:rsidR="00B84A42" w:rsidRPr="00D55B2B">
        <w:rPr>
          <w:rFonts w:ascii="Verdana" w:hAnsi="Verdana"/>
          <w:lang w:val="en-GB"/>
        </w:rPr>
        <w:t>coercive control</w:t>
      </w:r>
      <w:r w:rsidR="002A571C" w:rsidRPr="00D55B2B">
        <w:rPr>
          <w:rFonts w:ascii="Verdana" w:hAnsi="Verdana"/>
          <w:lang w:val="en-GB"/>
        </w:rPr>
        <w:t xml:space="preserve"> offence</w:t>
      </w:r>
      <w:r w:rsidR="000F34B7" w:rsidRPr="00D55B2B">
        <w:rPr>
          <w:rFonts w:ascii="Verdana" w:hAnsi="Verdana"/>
          <w:lang w:val="en-GB"/>
        </w:rPr>
        <w:t>, the Law Commission for England and Wales placed an emphasis on the educative value of the offence</w:t>
      </w:r>
      <w:r w:rsidR="00DA4C32" w:rsidRPr="00D55B2B">
        <w:rPr>
          <w:rFonts w:ascii="Verdana" w:hAnsi="Verdana"/>
          <w:lang w:val="en-GB"/>
        </w:rPr>
        <w:t>.</w:t>
      </w:r>
      <w:r w:rsidR="000F34B7" w:rsidRPr="00D55B2B">
        <w:rPr>
          <w:rStyle w:val="FootnoteReference"/>
          <w:rFonts w:ascii="Verdana" w:hAnsi="Verdana"/>
          <w:lang w:val="en-GB"/>
        </w:rPr>
        <w:footnoteReference w:id="131"/>
      </w:r>
      <w:r w:rsidR="000F34B7" w:rsidRPr="00D55B2B">
        <w:rPr>
          <w:rFonts w:ascii="Verdana" w:hAnsi="Verdana"/>
          <w:lang w:val="en-GB"/>
        </w:rPr>
        <w:t xml:space="preserve">  The hope was that educating the public about the nature of non-violent domestic abuse and the potential consequences of this behaviour would highlight behaviour that may not previously have been recognised as </w:t>
      </w:r>
      <w:r w:rsidR="001D7FF4" w:rsidRPr="00D55B2B">
        <w:rPr>
          <w:rFonts w:ascii="Verdana" w:hAnsi="Verdana"/>
          <w:lang w:val="en-GB"/>
        </w:rPr>
        <w:t>problematic.</w:t>
      </w:r>
      <w:r w:rsidR="000F34B7" w:rsidRPr="00D55B2B">
        <w:rPr>
          <w:rFonts w:ascii="Verdana" w:hAnsi="Verdana"/>
          <w:lang w:val="en-GB"/>
        </w:rPr>
        <w:t xml:space="preserve">  This societal acceptance of certain types of abusive behaviour has been emphasised by media reports, such as </w:t>
      </w:r>
      <w:r w:rsidR="005E1E52" w:rsidRPr="00D55B2B">
        <w:rPr>
          <w:rFonts w:ascii="Verdana" w:hAnsi="Verdana"/>
          <w:lang w:val="en-GB"/>
        </w:rPr>
        <w:t>those surrounding</w:t>
      </w:r>
      <w:r w:rsidR="000F34B7" w:rsidRPr="00D55B2B">
        <w:rPr>
          <w:rFonts w:ascii="Verdana" w:hAnsi="Verdana"/>
          <w:lang w:val="en-GB"/>
        </w:rPr>
        <w:t xml:space="preserve"> the murder of Richard Challen by his wife Sally Challen, in which witnesses described the controlling relationship she experienced as “old-fashioned”</w:t>
      </w:r>
      <w:r w:rsidR="00DA4C32" w:rsidRPr="00D55B2B">
        <w:rPr>
          <w:rFonts w:ascii="Verdana" w:hAnsi="Verdana"/>
          <w:lang w:val="en-GB"/>
        </w:rPr>
        <w:t>.</w:t>
      </w:r>
      <w:r w:rsidR="000F34B7" w:rsidRPr="00D55B2B">
        <w:rPr>
          <w:rStyle w:val="FootnoteReference"/>
          <w:rFonts w:ascii="Verdana" w:hAnsi="Verdana"/>
          <w:lang w:val="en-GB"/>
        </w:rPr>
        <w:footnoteReference w:id="132"/>
      </w:r>
      <w:r w:rsidR="00FF1D0B">
        <w:rPr>
          <w:rFonts w:ascii="Verdana" w:hAnsi="Verdana"/>
          <w:lang w:val="en-GB"/>
        </w:rPr>
        <w:t xml:space="preserve"> </w:t>
      </w:r>
      <w:r w:rsidR="000F34B7" w:rsidRPr="00D55B2B">
        <w:rPr>
          <w:rFonts w:ascii="Verdana" w:hAnsi="Verdana"/>
          <w:lang w:val="en-GB"/>
        </w:rPr>
        <w:t xml:space="preserve">The aim was that the introduction of a new domestic abuse offence would change this view of a controlling relationship simply being old-fashioned or traditional to an acknowledgment that this behaviour is abusive and psychologically damaging. </w:t>
      </w:r>
      <w:r w:rsidR="00552131">
        <w:rPr>
          <w:rFonts w:ascii="Verdana" w:hAnsi="Verdana"/>
          <w:lang w:val="en-GB"/>
        </w:rPr>
        <w:t>This was recognised in the Judgment in which permission was granted for Sally Challen to appeal her conviction on the basis that the new offence of coercive and controlling behav</w:t>
      </w:r>
      <w:r w:rsidR="00A72F1E">
        <w:rPr>
          <w:rFonts w:ascii="Verdana" w:hAnsi="Verdana"/>
          <w:lang w:val="en-GB"/>
        </w:rPr>
        <w:t xml:space="preserve">iour amounted to fresh evidence. </w:t>
      </w:r>
      <w:r w:rsidR="00F07D65">
        <w:rPr>
          <w:rFonts w:ascii="Verdana" w:hAnsi="Verdana"/>
          <w:lang w:val="en-GB"/>
        </w:rPr>
        <w:t>Lady Justice Rafferty stated;</w:t>
      </w:r>
    </w:p>
    <w:p w14:paraId="4E0AAA7E" w14:textId="77777777" w:rsidR="004D520D" w:rsidRDefault="004D520D" w:rsidP="00F2347B">
      <w:pPr>
        <w:spacing w:line="360" w:lineRule="auto"/>
        <w:ind w:right="-478"/>
        <w:jc w:val="both"/>
        <w:rPr>
          <w:rFonts w:ascii="Verdana" w:hAnsi="Verdana"/>
          <w:lang w:val="en-GB"/>
        </w:rPr>
      </w:pPr>
    </w:p>
    <w:p w14:paraId="0A3B77D9" w14:textId="6707B598" w:rsidR="00816B40" w:rsidRPr="00906B0F" w:rsidRDefault="004E4F14" w:rsidP="0060450D">
      <w:pPr>
        <w:spacing w:line="360" w:lineRule="auto"/>
        <w:ind w:left="851" w:right="515"/>
        <w:jc w:val="both"/>
        <w:rPr>
          <w:rFonts w:ascii="Verdana" w:hAnsi="Verdana"/>
          <w:lang w:val="en-GB"/>
        </w:rPr>
      </w:pPr>
      <w:r>
        <w:rPr>
          <w:rFonts w:ascii="Verdana" w:hAnsi="Verdana"/>
          <w:lang w:val="en-GB"/>
        </w:rPr>
        <w:t>I</w:t>
      </w:r>
      <w:r w:rsidR="00DD2B17">
        <w:rPr>
          <w:rFonts w:ascii="Verdana" w:hAnsi="Verdana"/>
          <w:lang w:val="en-GB"/>
        </w:rPr>
        <w:t>t</w:t>
      </w:r>
      <w:r w:rsidR="00A72F1E" w:rsidRPr="0060450D">
        <w:rPr>
          <w:rFonts w:ascii="Verdana" w:eastAsiaTheme="minorHAnsi" w:hAnsi="Verdana"/>
          <w:lang w:val="en-GB"/>
        </w:rPr>
        <w:t xml:space="preserve"> should be </w:t>
      </w:r>
      <w:r w:rsidR="00816B40" w:rsidRPr="0060450D">
        <w:rPr>
          <w:rFonts w:ascii="Verdana" w:eastAsiaTheme="minorHAnsi" w:hAnsi="Verdana"/>
          <w:lang w:val="en-GB"/>
        </w:rPr>
        <w:t>plainly understood that the application made today is but o</w:t>
      </w:r>
      <w:r w:rsidR="00A72F1E" w:rsidRPr="0060450D">
        <w:rPr>
          <w:rFonts w:ascii="Verdana" w:eastAsiaTheme="minorHAnsi" w:hAnsi="Verdana"/>
          <w:lang w:val="en-GB"/>
        </w:rPr>
        <w:t xml:space="preserve">ne step in what, it is hoped by </w:t>
      </w:r>
      <w:r w:rsidR="00816B40" w:rsidRPr="0060450D">
        <w:rPr>
          <w:rFonts w:ascii="Verdana" w:eastAsiaTheme="minorHAnsi" w:hAnsi="Verdana"/>
          <w:lang w:val="en-GB"/>
        </w:rPr>
        <w:t>counsel, those who instruct her and many others concerned in thi</w:t>
      </w:r>
      <w:r w:rsidR="00A72F1E" w:rsidRPr="0060450D">
        <w:rPr>
          <w:rFonts w:ascii="Verdana" w:eastAsiaTheme="minorHAnsi" w:hAnsi="Verdana"/>
          <w:lang w:val="en-GB"/>
        </w:rPr>
        <w:t xml:space="preserve">s case, will be a full detailed </w:t>
      </w:r>
      <w:r w:rsidR="00816B40" w:rsidRPr="0060450D">
        <w:rPr>
          <w:rFonts w:ascii="Verdana" w:eastAsiaTheme="minorHAnsi" w:hAnsi="Verdana"/>
          <w:lang w:val="en-GB"/>
        </w:rPr>
        <w:t>exploration of the position, based on scholarship, learning and c</w:t>
      </w:r>
      <w:r w:rsidR="00A72F1E" w:rsidRPr="0060450D">
        <w:rPr>
          <w:rFonts w:ascii="Verdana" w:eastAsiaTheme="minorHAnsi" w:hAnsi="Verdana"/>
          <w:lang w:val="en-GB"/>
        </w:rPr>
        <w:t xml:space="preserve">linical expertise, which should </w:t>
      </w:r>
      <w:r w:rsidR="00816B40" w:rsidRPr="0060450D">
        <w:rPr>
          <w:rFonts w:ascii="Verdana" w:eastAsiaTheme="minorHAnsi" w:hAnsi="Verdana"/>
          <w:lang w:val="en-GB"/>
        </w:rPr>
        <w:t>prevail now . . . A jury, it is argued, should, with the benefi</w:t>
      </w:r>
      <w:r w:rsidR="00A72F1E" w:rsidRPr="0060450D">
        <w:rPr>
          <w:rFonts w:ascii="Verdana" w:eastAsiaTheme="minorHAnsi" w:hAnsi="Verdana"/>
          <w:lang w:val="en-GB"/>
        </w:rPr>
        <w:t xml:space="preserve">t of that learning, be enabled to reach </w:t>
      </w:r>
      <w:r w:rsidR="00816B40" w:rsidRPr="0060450D">
        <w:rPr>
          <w:rFonts w:ascii="Verdana" w:eastAsiaTheme="minorHAnsi" w:hAnsi="Verdana"/>
          <w:lang w:val="en-GB"/>
        </w:rPr>
        <w:t>a clear settled conclusion on the basis o</w:t>
      </w:r>
      <w:r w:rsidR="00A72F1E" w:rsidRPr="0060450D">
        <w:rPr>
          <w:rFonts w:ascii="Verdana" w:eastAsiaTheme="minorHAnsi" w:hAnsi="Verdana"/>
          <w:lang w:val="en-GB"/>
        </w:rPr>
        <w:t xml:space="preserve">f an understanding which, it is said, was not available to </w:t>
      </w:r>
      <w:r w:rsidR="004D520D" w:rsidRPr="00906B0F">
        <w:rPr>
          <w:rFonts w:ascii="Verdana" w:eastAsiaTheme="minorHAnsi" w:hAnsi="Verdana"/>
          <w:lang w:val="en-GB"/>
        </w:rPr>
        <w:t>the jury in 2011</w:t>
      </w:r>
      <w:r w:rsidR="004D520D">
        <w:rPr>
          <w:rStyle w:val="FootnoteReference"/>
          <w:rFonts w:ascii="Verdana" w:eastAsiaTheme="minorHAnsi" w:hAnsi="Verdana"/>
          <w:lang w:val="en-GB"/>
        </w:rPr>
        <w:footnoteReference w:id="133"/>
      </w:r>
      <w:r w:rsidR="004D520D" w:rsidRPr="00906B0F">
        <w:rPr>
          <w:rFonts w:ascii="Verdana" w:eastAsiaTheme="minorHAnsi" w:hAnsi="Verdana"/>
          <w:lang w:val="en-GB"/>
        </w:rPr>
        <w:t>.</w:t>
      </w:r>
    </w:p>
    <w:p w14:paraId="26716BAB" w14:textId="23B5BFF1" w:rsidR="00FC5B5B" w:rsidRDefault="00FC5B5B" w:rsidP="0060450D">
      <w:pPr>
        <w:spacing w:line="360" w:lineRule="auto"/>
        <w:ind w:right="-478"/>
        <w:jc w:val="both"/>
        <w:rPr>
          <w:rFonts w:ascii="Verdana" w:hAnsi="Verdana"/>
          <w:lang w:val="en-GB"/>
        </w:rPr>
      </w:pPr>
    </w:p>
    <w:p w14:paraId="683C3C8F" w14:textId="0CC72BC9" w:rsidR="00770555" w:rsidRDefault="004F4BC9" w:rsidP="0060450D">
      <w:pPr>
        <w:spacing w:line="360" w:lineRule="auto"/>
        <w:ind w:right="-478"/>
        <w:jc w:val="both"/>
        <w:rPr>
          <w:rFonts w:ascii="Verdana" w:hAnsi="Verdana"/>
        </w:rPr>
      </w:pPr>
      <w:r>
        <w:rPr>
          <w:rFonts w:ascii="Verdana" w:hAnsi="Verdana"/>
          <w:lang w:val="en-GB"/>
        </w:rPr>
        <w:t>Sally Challen</w:t>
      </w:r>
      <w:r w:rsidR="00885B64">
        <w:rPr>
          <w:rFonts w:ascii="Verdana" w:hAnsi="Verdana"/>
          <w:lang w:val="en-GB"/>
        </w:rPr>
        <w:t xml:space="preserve"> has now won her appeal against her conviction and a retrial has been directed.</w:t>
      </w:r>
      <w:r w:rsidR="00724274">
        <w:rPr>
          <w:rStyle w:val="FootnoteReference"/>
          <w:rFonts w:ascii="Verdana" w:hAnsi="Verdana"/>
          <w:lang w:val="en-GB"/>
        </w:rPr>
        <w:footnoteReference w:id="134"/>
      </w:r>
      <w:r w:rsidR="00885B64">
        <w:rPr>
          <w:rFonts w:ascii="Verdana" w:hAnsi="Verdana"/>
          <w:lang w:val="en-GB"/>
        </w:rPr>
        <w:t xml:space="preserve"> However, she </w:t>
      </w:r>
      <w:r>
        <w:rPr>
          <w:rFonts w:ascii="Verdana" w:hAnsi="Verdana"/>
          <w:lang w:val="en-GB"/>
        </w:rPr>
        <w:t xml:space="preserve"> </w:t>
      </w:r>
      <w:r w:rsidR="00885B64">
        <w:rPr>
          <w:rFonts w:ascii="Verdana" w:hAnsi="Verdana"/>
          <w:lang w:val="en-GB"/>
        </w:rPr>
        <w:t xml:space="preserve">has arguably </w:t>
      </w:r>
      <w:r w:rsidR="00985706">
        <w:rPr>
          <w:rFonts w:ascii="Verdana" w:hAnsi="Verdana"/>
          <w:lang w:val="en-GB"/>
        </w:rPr>
        <w:t xml:space="preserve">only </w:t>
      </w:r>
      <w:r w:rsidR="00885B64">
        <w:rPr>
          <w:rFonts w:ascii="Verdana" w:hAnsi="Verdana"/>
          <w:lang w:val="en-GB"/>
        </w:rPr>
        <w:t xml:space="preserve">been </w:t>
      </w:r>
      <w:r w:rsidR="00985706">
        <w:rPr>
          <w:rFonts w:ascii="Verdana" w:hAnsi="Verdana"/>
          <w:lang w:val="en-GB"/>
        </w:rPr>
        <w:t xml:space="preserve">able to challenge her conviction </w:t>
      </w:r>
      <w:r w:rsidR="000F34B7" w:rsidRPr="00D55B2B">
        <w:rPr>
          <w:rFonts w:ascii="Verdana" w:hAnsi="Verdana"/>
          <w:lang w:val="en-GB"/>
        </w:rPr>
        <w:t xml:space="preserve">because of </w:t>
      </w:r>
      <w:r w:rsidR="008673A6">
        <w:rPr>
          <w:rFonts w:ascii="Verdana" w:hAnsi="Verdana"/>
          <w:lang w:val="en-GB"/>
        </w:rPr>
        <w:t>advance</w:t>
      </w:r>
      <w:r w:rsidR="00940BA4">
        <w:rPr>
          <w:rFonts w:ascii="Verdana" w:hAnsi="Verdana"/>
          <w:lang w:val="en-GB"/>
        </w:rPr>
        <w:t>ments</w:t>
      </w:r>
      <w:r w:rsidR="008673A6">
        <w:rPr>
          <w:rFonts w:ascii="Verdana" w:hAnsi="Verdana"/>
          <w:lang w:val="en-GB"/>
        </w:rPr>
        <w:t xml:space="preserve"> in</w:t>
      </w:r>
      <w:r w:rsidR="000F34B7" w:rsidRPr="00D55B2B">
        <w:rPr>
          <w:rFonts w:ascii="Verdana" w:hAnsi="Verdana"/>
          <w:lang w:val="en-GB"/>
        </w:rPr>
        <w:t xml:space="preserve"> understanding controlling and coercive behaviour </w:t>
      </w:r>
      <w:r w:rsidR="00724274">
        <w:rPr>
          <w:rFonts w:ascii="Verdana" w:hAnsi="Verdana"/>
          <w:lang w:val="en-GB"/>
        </w:rPr>
        <w:t xml:space="preserve">and the impact that this behaviour can have on a victim, </w:t>
      </w:r>
      <w:r w:rsidR="000F34B7" w:rsidRPr="00D55B2B">
        <w:rPr>
          <w:rFonts w:ascii="Verdana" w:hAnsi="Verdana"/>
          <w:lang w:val="en-GB"/>
        </w:rPr>
        <w:t>that ha</w:t>
      </w:r>
      <w:r w:rsidR="00940BA4">
        <w:rPr>
          <w:rFonts w:ascii="Verdana" w:hAnsi="Verdana"/>
          <w:lang w:val="en-GB"/>
        </w:rPr>
        <w:t>ve</w:t>
      </w:r>
      <w:r w:rsidR="000F34B7" w:rsidRPr="00D55B2B">
        <w:rPr>
          <w:rFonts w:ascii="Verdana" w:hAnsi="Verdana"/>
          <w:lang w:val="en-GB"/>
        </w:rPr>
        <w:t xml:space="preserve"> been gained through the introduction of the new offence.</w:t>
      </w:r>
      <w:r w:rsidR="001F79F0" w:rsidRPr="00D55B2B">
        <w:rPr>
          <w:rFonts w:ascii="Verdana" w:hAnsi="Verdana"/>
        </w:rPr>
        <w:t xml:space="preserve"> </w:t>
      </w:r>
      <w:r w:rsidR="002D4AEE">
        <w:rPr>
          <w:rFonts w:ascii="Verdana" w:hAnsi="Verdana"/>
        </w:rPr>
        <w:t>Arguments raised before the Court of Appeal</w:t>
      </w:r>
      <w:r w:rsidR="00F9565C">
        <w:rPr>
          <w:rFonts w:ascii="Verdana" w:hAnsi="Verdana"/>
        </w:rPr>
        <w:t xml:space="preserve"> at the permission hearing drew parallels with other societal advancements such as DNA testing, which can result in the safety of a conviction being challenged</w:t>
      </w:r>
      <w:r w:rsidR="00F9565C">
        <w:rPr>
          <w:rStyle w:val="FootnoteReference"/>
          <w:rFonts w:ascii="Verdana" w:hAnsi="Verdana"/>
        </w:rPr>
        <w:footnoteReference w:id="135"/>
      </w:r>
      <w:r w:rsidR="00F9565C">
        <w:rPr>
          <w:rFonts w:ascii="Verdana" w:hAnsi="Verdana"/>
        </w:rPr>
        <w:t>.</w:t>
      </w:r>
      <w:r w:rsidR="00EC51D0">
        <w:rPr>
          <w:rFonts w:ascii="Verdana" w:hAnsi="Verdana"/>
        </w:rPr>
        <w:t xml:space="preserve"> </w:t>
      </w:r>
      <w:r w:rsidR="007B6AA1">
        <w:rPr>
          <w:rFonts w:ascii="Verdana" w:hAnsi="Verdana"/>
        </w:rPr>
        <w:t xml:space="preserve">Bettinson </w:t>
      </w:r>
      <w:r w:rsidR="00713E57">
        <w:rPr>
          <w:rFonts w:ascii="Verdana" w:hAnsi="Verdana"/>
        </w:rPr>
        <w:t>notes</w:t>
      </w:r>
      <w:r w:rsidR="007B6AA1">
        <w:rPr>
          <w:rFonts w:ascii="Verdana" w:hAnsi="Verdana"/>
        </w:rPr>
        <w:t xml:space="preserve"> that the impact of the new offence is therefore significant in that it </w:t>
      </w:r>
      <w:r w:rsidR="004C4814">
        <w:rPr>
          <w:rFonts w:ascii="Verdana" w:hAnsi="Verdana"/>
        </w:rPr>
        <w:t>may lead to a new partial defence to murder convictions where a coerced and controlled victim kills their abuser</w:t>
      </w:r>
      <w:r w:rsidR="004C4814">
        <w:rPr>
          <w:rStyle w:val="FootnoteReference"/>
          <w:rFonts w:ascii="Verdana" w:hAnsi="Verdana"/>
        </w:rPr>
        <w:footnoteReference w:id="136"/>
      </w:r>
    </w:p>
    <w:p w14:paraId="69EC380D" w14:textId="77777777" w:rsidR="00EC51D0" w:rsidRDefault="00EC51D0" w:rsidP="00EC51D0">
      <w:pPr>
        <w:adjustRightInd w:val="0"/>
        <w:rPr>
          <w:rFonts w:ascii="AdvP7B6C" w:eastAsiaTheme="minorHAnsi" w:hAnsi="AdvP7B6C" w:cs="AdvP7B6C"/>
          <w:lang w:val="en-GB"/>
        </w:rPr>
      </w:pPr>
    </w:p>
    <w:p w14:paraId="262F3F76" w14:textId="77777777" w:rsidR="00EE1CC4" w:rsidRPr="0060450D" w:rsidRDefault="000F34B7" w:rsidP="0060450D">
      <w:pPr>
        <w:spacing w:line="360" w:lineRule="auto"/>
        <w:ind w:right="-478"/>
        <w:jc w:val="both"/>
        <w:rPr>
          <w:rFonts w:ascii="Verdana" w:hAnsi="Verdana"/>
          <w:lang w:val="en-GB"/>
        </w:rPr>
      </w:pPr>
      <w:r w:rsidRPr="00D55B2B">
        <w:rPr>
          <w:rFonts w:ascii="Verdana" w:hAnsi="Verdana"/>
          <w:lang w:val="en-GB"/>
        </w:rPr>
        <w:t>By educating the public in this way, perpetrators may acknowledge their own behaviour</w:t>
      </w:r>
      <w:r w:rsidR="00D72FAA" w:rsidRPr="00D55B2B">
        <w:rPr>
          <w:rFonts w:ascii="Verdana" w:hAnsi="Verdana"/>
          <w:lang w:val="en-GB"/>
        </w:rPr>
        <w:t xml:space="preserve"> as</w:t>
      </w:r>
      <w:r w:rsidRPr="00D55B2B">
        <w:rPr>
          <w:rFonts w:ascii="Verdana" w:hAnsi="Verdana"/>
          <w:lang w:val="en-GB"/>
        </w:rPr>
        <w:t xml:space="preserve"> wrong and seek to make changes. Alternatively, there is more scope for those close to a victim to recognise the behaviour and encourage them to seek support. </w:t>
      </w:r>
      <w:r w:rsidR="005E1E52" w:rsidRPr="00D55B2B">
        <w:rPr>
          <w:rFonts w:ascii="Verdana" w:hAnsi="Verdana"/>
          <w:lang w:val="en-GB"/>
        </w:rPr>
        <w:t>Public c</w:t>
      </w:r>
      <w:r w:rsidRPr="00D55B2B">
        <w:rPr>
          <w:rFonts w:ascii="Verdana" w:hAnsi="Verdana"/>
          <w:lang w:val="en-GB"/>
        </w:rPr>
        <w:t xml:space="preserve">ampaigns by Women’s Aid and alternative forms of education such as the Rattle Snake theatre production (commissioned by Durham </w:t>
      </w:r>
      <w:r w:rsidR="005E1E52" w:rsidRPr="00D55B2B">
        <w:rPr>
          <w:rFonts w:ascii="Verdana" w:hAnsi="Verdana"/>
          <w:lang w:val="en-GB"/>
        </w:rPr>
        <w:t>PCC</w:t>
      </w:r>
      <w:r w:rsidRPr="00D55B2B">
        <w:rPr>
          <w:rFonts w:ascii="Verdana" w:hAnsi="Verdana"/>
          <w:lang w:val="en-GB"/>
        </w:rPr>
        <w:t xml:space="preserve">) </w:t>
      </w:r>
      <w:r w:rsidR="005E1E52" w:rsidRPr="00D55B2B">
        <w:rPr>
          <w:rFonts w:ascii="Verdana" w:hAnsi="Verdana"/>
          <w:lang w:val="en-GB"/>
        </w:rPr>
        <w:t xml:space="preserve">have been designed to </w:t>
      </w:r>
      <w:r w:rsidRPr="00D55B2B">
        <w:rPr>
          <w:rFonts w:ascii="Verdana" w:hAnsi="Verdana"/>
          <w:lang w:val="en-GB"/>
        </w:rPr>
        <w:t>assist with this public education aim.</w:t>
      </w:r>
      <w:r w:rsidR="00481D9A" w:rsidRPr="00D55B2B">
        <w:rPr>
          <w:rFonts w:ascii="Verdana" w:hAnsi="Verdana"/>
          <w:lang w:val="en-GB"/>
        </w:rPr>
        <w:t xml:space="preserve"> </w:t>
      </w:r>
    </w:p>
    <w:p w14:paraId="7DA26B8E" w14:textId="77777777" w:rsidR="000F34B7" w:rsidRPr="00D55B2B" w:rsidRDefault="000F34B7" w:rsidP="003A4B1B">
      <w:pPr>
        <w:spacing w:line="360" w:lineRule="auto"/>
        <w:ind w:left="567" w:right="-478"/>
        <w:jc w:val="both"/>
        <w:rPr>
          <w:rFonts w:ascii="Verdana" w:hAnsi="Verdana"/>
          <w:lang w:val="en-GB"/>
        </w:rPr>
      </w:pPr>
    </w:p>
    <w:p w14:paraId="5B0510AF" w14:textId="77777777" w:rsidR="00DE3034" w:rsidRPr="00D55B2B" w:rsidRDefault="000F34B7" w:rsidP="0060450D">
      <w:pPr>
        <w:spacing w:line="360" w:lineRule="auto"/>
        <w:ind w:right="-478"/>
        <w:jc w:val="both"/>
        <w:rPr>
          <w:rFonts w:ascii="Verdana" w:hAnsi="Verdana"/>
          <w:lang w:val="en-GB"/>
        </w:rPr>
      </w:pPr>
      <w:r w:rsidRPr="00D55B2B">
        <w:rPr>
          <w:rFonts w:ascii="Verdana" w:hAnsi="Verdana"/>
          <w:lang w:val="en-GB"/>
        </w:rPr>
        <w:t xml:space="preserve">This process of public education is more difficult in countries like Russia where traditional views </w:t>
      </w:r>
      <w:r w:rsidR="00FB4745" w:rsidRPr="00D55B2B">
        <w:rPr>
          <w:rFonts w:ascii="Verdana" w:hAnsi="Verdana"/>
          <w:lang w:val="en-GB"/>
        </w:rPr>
        <w:t xml:space="preserve">tend to dominate. However, </w:t>
      </w:r>
      <w:r w:rsidR="00157928" w:rsidRPr="00D55B2B">
        <w:rPr>
          <w:rFonts w:ascii="Verdana" w:hAnsi="Verdana"/>
          <w:lang w:val="en-GB"/>
        </w:rPr>
        <w:t xml:space="preserve">some collectives have achieved success in educating members of the public. The </w:t>
      </w:r>
      <w:r w:rsidR="00DE3034" w:rsidRPr="00D55B2B">
        <w:rPr>
          <w:rFonts w:ascii="Verdana" w:hAnsi="Verdana"/>
        </w:rPr>
        <w:t xml:space="preserve">Russian Orthodox Church, for example, has promoted a </w:t>
      </w:r>
      <w:r w:rsidR="005960F5" w:rsidRPr="00D55B2B">
        <w:rPr>
          <w:rFonts w:ascii="Verdana" w:hAnsi="Verdana"/>
        </w:rPr>
        <w:t>‘</w:t>
      </w:r>
      <w:r w:rsidR="00DE3034" w:rsidRPr="00D55B2B">
        <w:rPr>
          <w:rFonts w:ascii="Verdana" w:hAnsi="Verdana"/>
        </w:rPr>
        <w:t>zero-tolerance</w:t>
      </w:r>
      <w:r w:rsidR="005960F5" w:rsidRPr="00D55B2B">
        <w:rPr>
          <w:rFonts w:ascii="Verdana" w:hAnsi="Verdana"/>
        </w:rPr>
        <w:t>’</w:t>
      </w:r>
      <w:r w:rsidR="00DE3034" w:rsidRPr="00D55B2B">
        <w:rPr>
          <w:rFonts w:ascii="Verdana" w:hAnsi="Verdana"/>
        </w:rPr>
        <w:t xml:space="preserve"> attitude towards familial violence through working with domestic abuse organisations to develop training for priests and establishing religious support services for women</w:t>
      </w:r>
      <w:r w:rsidR="00527E2B" w:rsidRPr="00D55B2B">
        <w:rPr>
          <w:rFonts w:ascii="Verdana" w:hAnsi="Verdana"/>
        </w:rPr>
        <w:t>.</w:t>
      </w:r>
      <w:r w:rsidR="005412AB" w:rsidRPr="00D55B2B">
        <w:rPr>
          <w:rStyle w:val="FootnoteReference"/>
          <w:rFonts w:ascii="Verdana" w:hAnsi="Verdana"/>
        </w:rPr>
        <w:footnoteReference w:id="137"/>
      </w:r>
      <w:r w:rsidR="00DE3034" w:rsidRPr="00D55B2B">
        <w:rPr>
          <w:rFonts w:ascii="Verdana" w:hAnsi="Verdana"/>
        </w:rPr>
        <w:t xml:space="preserve"> </w:t>
      </w:r>
      <w:r w:rsidR="002A3B8D" w:rsidRPr="00D55B2B">
        <w:rPr>
          <w:rFonts w:ascii="Verdana" w:hAnsi="Verdana"/>
        </w:rPr>
        <w:t>Similarly, ‘</w:t>
      </w:r>
      <w:r w:rsidR="00DE3034" w:rsidRPr="00D55B2B">
        <w:rPr>
          <w:rFonts w:ascii="Verdana" w:hAnsi="Verdana"/>
        </w:rPr>
        <w:t>Papa-group</w:t>
      </w:r>
      <w:r w:rsidR="002A3B8D" w:rsidRPr="00D55B2B">
        <w:rPr>
          <w:rFonts w:ascii="Verdana" w:hAnsi="Verdana"/>
        </w:rPr>
        <w:t>s’</w:t>
      </w:r>
      <w:r w:rsidR="00DE3034" w:rsidRPr="00D55B2B">
        <w:rPr>
          <w:rFonts w:ascii="Verdana" w:hAnsi="Verdana"/>
        </w:rPr>
        <w:t xml:space="preserve"> have attempted to promote gender equality and encourage men to</w:t>
      </w:r>
      <w:r w:rsidR="008333F5" w:rsidRPr="00D55B2B">
        <w:rPr>
          <w:rFonts w:ascii="Verdana" w:hAnsi="Verdana"/>
        </w:rPr>
        <w:t xml:space="preserve"> take on</w:t>
      </w:r>
      <w:r w:rsidR="00DE3034" w:rsidRPr="00D55B2B">
        <w:rPr>
          <w:rFonts w:ascii="Verdana" w:hAnsi="Verdana"/>
        </w:rPr>
        <w:t xml:space="preserve"> a </w:t>
      </w:r>
      <w:r w:rsidR="00362D28" w:rsidRPr="00D55B2B">
        <w:rPr>
          <w:rFonts w:ascii="Verdana" w:hAnsi="Verdana"/>
        </w:rPr>
        <w:t>more egalitarian approach</w:t>
      </w:r>
      <w:r w:rsidR="00E05772" w:rsidRPr="00D55B2B">
        <w:rPr>
          <w:rFonts w:ascii="Verdana" w:hAnsi="Verdana"/>
        </w:rPr>
        <w:t xml:space="preserve"> to parental roles</w:t>
      </w:r>
      <w:r w:rsidR="00984CA8" w:rsidRPr="00D55B2B">
        <w:rPr>
          <w:rFonts w:ascii="Verdana" w:hAnsi="Verdana"/>
        </w:rPr>
        <w:t>.</w:t>
      </w:r>
      <w:r w:rsidR="002A3B8D" w:rsidRPr="00D55B2B">
        <w:rPr>
          <w:rStyle w:val="FootnoteReference"/>
          <w:rFonts w:ascii="Verdana" w:hAnsi="Verdana"/>
        </w:rPr>
        <w:footnoteReference w:id="138"/>
      </w:r>
      <w:r w:rsidR="00DE3034" w:rsidRPr="00D55B2B">
        <w:rPr>
          <w:rFonts w:ascii="Verdana" w:hAnsi="Verdana"/>
        </w:rPr>
        <w:t xml:space="preserve"> </w:t>
      </w:r>
      <w:r w:rsidR="00C77A49" w:rsidRPr="00D55B2B">
        <w:rPr>
          <w:rFonts w:ascii="Verdana" w:hAnsi="Verdana"/>
        </w:rPr>
        <w:t>Unlike in England, however,</w:t>
      </w:r>
      <w:r w:rsidR="00ED1700" w:rsidRPr="00D55B2B">
        <w:rPr>
          <w:rFonts w:ascii="Verdana" w:hAnsi="Verdana"/>
        </w:rPr>
        <w:t xml:space="preserve"> there is</w:t>
      </w:r>
      <w:r w:rsidR="00C77A49" w:rsidRPr="00D55B2B">
        <w:rPr>
          <w:rFonts w:ascii="Verdana" w:hAnsi="Verdana"/>
        </w:rPr>
        <w:t xml:space="preserve"> no formal education regarding domesti</w:t>
      </w:r>
      <w:r w:rsidR="00FF4EA7" w:rsidRPr="00D55B2B">
        <w:rPr>
          <w:rFonts w:ascii="Verdana" w:hAnsi="Verdana"/>
        </w:rPr>
        <w:t xml:space="preserve">c violence or preventing violence against women. </w:t>
      </w:r>
    </w:p>
    <w:p w14:paraId="6C5DEB34" w14:textId="77777777" w:rsidR="000F34B7" w:rsidRPr="00D55B2B" w:rsidRDefault="000F34B7" w:rsidP="007E262A">
      <w:pPr>
        <w:spacing w:line="360" w:lineRule="auto"/>
        <w:ind w:left="142" w:right="-478"/>
        <w:jc w:val="both"/>
        <w:rPr>
          <w:rFonts w:ascii="Verdana" w:hAnsi="Verdana"/>
          <w:lang w:val="en-GB"/>
        </w:rPr>
      </w:pPr>
    </w:p>
    <w:p w14:paraId="6A151DBA" w14:textId="77777777" w:rsidR="0088293D" w:rsidRPr="00906B0F" w:rsidRDefault="006D5994" w:rsidP="0060450D">
      <w:pPr>
        <w:spacing w:line="360" w:lineRule="auto"/>
        <w:ind w:right="-478"/>
        <w:jc w:val="both"/>
        <w:rPr>
          <w:rFonts w:ascii="Verdana" w:hAnsi="Verdana"/>
          <w:lang w:val="en-GB"/>
        </w:rPr>
      </w:pPr>
      <w:r>
        <w:rPr>
          <w:rFonts w:ascii="Verdana" w:hAnsi="Verdana"/>
          <w:lang w:val="en-GB"/>
        </w:rPr>
        <w:t>T</w:t>
      </w:r>
      <w:r w:rsidR="000F34B7" w:rsidRPr="00D55B2B">
        <w:rPr>
          <w:rFonts w:ascii="Verdana" w:hAnsi="Verdana"/>
          <w:lang w:val="en-GB"/>
        </w:rPr>
        <w:t>his poses the question: is the purpose of domestic abuse offences</w:t>
      </w:r>
      <w:r w:rsidR="003E0A59">
        <w:rPr>
          <w:rFonts w:ascii="Verdana" w:hAnsi="Verdana"/>
          <w:lang w:val="en-GB"/>
        </w:rPr>
        <w:t>, or criminalisation more broadly,</w:t>
      </w:r>
      <w:r w:rsidR="000F34B7" w:rsidRPr="00D55B2B">
        <w:rPr>
          <w:rFonts w:ascii="Verdana" w:hAnsi="Verdana"/>
          <w:lang w:val="en-GB"/>
        </w:rPr>
        <w:t xml:space="preserve"> to send out a message and educate the public about different types of abusive behaviour or is it to act as a deterrent against future offending? </w:t>
      </w:r>
      <w:r w:rsidR="008765C3" w:rsidRPr="00D55B2B">
        <w:rPr>
          <w:rFonts w:ascii="Verdana" w:hAnsi="Verdana"/>
          <w:lang w:val="en-GB"/>
        </w:rPr>
        <w:t>Ideally, they can achieve both.</w:t>
      </w:r>
      <w:r w:rsidR="00E7103B" w:rsidRPr="00D55B2B">
        <w:rPr>
          <w:rFonts w:ascii="Verdana" w:hAnsi="Verdana"/>
          <w:lang w:val="en-GB"/>
        </w:rPr>
        <w:t xml:space="preserve"> </w:t>
      </w:r>
      <w:r w:rsidR="0011049A">
        <w:rPr>
          <w:rFonts w:ascii="Verdana" w:hAnsi="Verdana"/>
          <w:lang w:val="en-GB"/>
        </w:rPr>
        <w:t xml:space="preserve">Ashworth, for example, </w:t>
      </w:r>
      <w:r w:rsidR="002C1BAB">
        <w:rPr>
          <w:rFonts w:ascii="Verdana" w:hAnsi="Verdana"/>
          <w:lang w:val="en-GB"/>
        </w:rPr>
        <w:t xml:space="preserve">considers that educational policies may have a greater preventative effect than </w:t>
      </w:r>
      <w:r w:rsidR="006D383E">
        <w:rPr>
          <w:rFonts w:ascii="Verdana" w:hAnsi="Verdana"/>
          <w:lang w:val="en-GB"/>
        </w:rPr>
        <w:t>simply criminalising behaviours</w:t>
      </w:r>
      <w:r w:rsidR="00315AE5">
        <w:rPr>
          <w:rFonts w:ascii="Verdana" w:hAnsi="Verdana"/>
          <w:lang w:val="en-GB"/>
        </w:rPr>
        <w:t xml:space="preserve">, despite the fact that prevention is a </w:t>
      </w:r>
      <w:r w:rsidR="00350626">
        <w:rPr>
          <w:rFonts w:ascii="Verdana" w:hAnsi="Verdana"/>
          <w:lang w:val="en-GB"/>
        </w:rPr>
        <w:t xml:space="preserve">legitimate aim in criminalisation. </w:t>
      </w:r>
      <w:r w:rsidR="00315AE5">
        <w:rPr>
          <w:rStyle w:val="FootnoteReference"/>
          <w:rFonts w:ascii="Verdana" w:hAnsi="Verdana"/>
          <w:lang w:val="en-GB"/>
        </w:rPr>
        <w:footnoteReference w:id="139"/>
      </w:r>
      <w:r w:rsidR="006D383E">
        <w:rPr>
          <w:rFonts w:ascii="Verdana" w:hAnsi="Verdana"/>
          <w:lang w:val="en-GB"/>
        </w:rPr>
        <w:t xml:space="preserve"> </w:t>
      </w:r>
      <w:r w:rsidR="00315AE5">
        <w:rPr>
          <w:rFonts w:ascii="Verdana" w:hAnsi="Verdana"/>
          <w:lang w:val="en-GB"/>
        </w:rPr>
        <w:t xml:space="preserve"> </w:t>
      </w:r>
      <w:r w:rsidR="00686CD8">
        <w:rPr>
          <w:rFonts w:ascii="Verdana" w:hAnsi="Verdana"/>
          <w:lang w:val="en-GB"/>
        </w:rPr>
        <w:t xml:space="preserve">Similarly, Crofts </w:t>
      </w:r>
      <w:r w:rsidR="00686CD8">
        <w:rPr>
          <w:rFonts w:ascii="Verdana" w:hAnsi="Verdana"/>
          <w:i/>
          <w:lang w:val="en-GB"/>
        </w:rPr>
        <w:t>et al</w:t>
      </w:r>
      <w:r w:rsidR="00686CD8">
        <w:rPr>
          <w:rFonts w:ascii="Verdana" w:hAnsi="Verdana"/>
          <w:lang w:val="en-GB"/>
        </w:rPr>
        <w:t xml:space="preserve"> note that criminal law plays an important role in preventing unwanted behaviours ‘not just through the specific and general deterrent effect… but also through its educative, moralising and habituative functions’.</w:t>
      </w:r>
      <w:r w:rsidR="00686CD8">
        <w:rPr>
          <w:rStyle w:val="FootnoteReference"/>
          <w:rFonts w:ascii="Verdana" w:hAnsi="Verdana"/>
          <w:lang w:val="en-GB"/>
        </w:rPr>
        <w:footnoteReference w:id="140"/>
      </w:r>
    </w:p>
    <w:p w14:paraId="0D11D181" w14:textId="77777777" w:rsidR="0067549F" w:rsidRDefault="0067549F" w:rsidP="0067549F">
      <w:pPr>
        <w:spacing w:line="360" w:lineRule="auto"/>
        <w:ind w:right="-478"/>
        <w:jc w:val="both"/>
        <w:rPr>
          <w:rFonts w:ascii="Verdana" w:hAnsi="Verdana"/>
          <w:lang w:val="en-GB"/>
        </w:rPr>
      </w:pPr>
    </w:p>
    <w:p w14:paraId="7F9EF064" w14:textId="77777777" w:rsidR="000F34B7" w:rsidRPr="00D55B2B" w:rsidRDefault="00B44026" w:rsidP="006D155D">
      <w:pPr>
        <w:spacing w:line="360" w:lineRule="auto"/>
        <w:ind w:right="-478"/>
        <w:jc w:val="both"/>
        <w:rPr>
          <w:rFonts w:ascii="Verdana" w:hAnsi="Verdana"/>
          <w:lang w:val="en-GB"/>
        </w:rPr>
      </w:pPr>
      <w:r w:rsidRPr="00D55B2B">
        <w:rPr>
          <w:rFonts w:ascii="Verdana" w:hAnsi="Verdana"/>
          <w:lang w:val="en-GB"/>
        </w:rPr>
        <w:t xml:space="preserve">Inevitably, it is not possible to capture the number of offences that may have </w:t>
      </w:r>
      <w:r w:rsidR="000742D5" w:rsidRPr="00D55B2B">
        <w:rPr>
          <w:rFonts w:ascii="Verdana" w:hAnsi="Verdana"/>
          <w:lang w:val="en-GB"/>
        </w:rPr>
        <w:t xml:space="preserve">taken place but for the </w:t>
      </w:r>
      <w:r w:rsidR="001F1129" w:rsidRPr="00D55B2B">
        <w:rPr>
          <w:rFonts w:ascii="Verdana" w:hAnsi="Verdana"/>
          <w:lang w:val="en-GB"/>
        </w:rPr>
        <w:t xml:space="preserve">introduction of </w:t>
      </w:r>
      <w:r w:rsidR="0015416E" w:rsidRPr="00D55B2B">
        <w:rPr>
          <w:rFonts w:ascii="Verdana" w:hAnsi="Verdana"/>
          <w:lang w:val="en-GB"/>
        </w:rPr>
        <w:t>criminal offences</w:t>
      </w:r>
      <w:r w:rsidR="00965C0B" w:rsidRPr="00D55B2B">
        <w:rPr>
          <w:rFonts w:ascii="Verdana" w:hAnsi="Verdana"/>
          <w:lang w:val="en-GB"/>
        </w:rPr>
        <w:t xml:space="preserve"> in relation to domestic abuse. </w:t>
      </w:r>
      <w:r w:rsidR="000C4B29" w:rsidRPr="00D55B2B">
        <w:rPr>
          <w:rFonts w:ascii="Verdana" w:hAnsi="Verdana"/>
          <w:lang w:val="en-GB"/>
        </w:rPr>
        <w:t>However, w</w:t>
      </w:r>
      <w:r w:rsidR="000F34B7" w:rsidRPr="00D55B2B">
        <w:rPr>
          <w:rFonts w:ascii="Verdana" w:hAnsi="Verdana"/>
          <w:lang w:val="en-GB"/>
        </w:rPr>
        <w:t xml:space="preserve">hen we look at the statistics set out above about the number of non-molestation orders being </w:t>
      </w:r>
      <w:r w:rsidR="00727568" w:rsidRPr="00D55B2B">
        <w:rPr>
          <w:rFonts w:ascii="Verdana" w:hAnsi="Verdana"/>
          <w:lang w:val="en-GB"/>
        </w:rPr>
        <w:t>granted in England and Wales</w:t>
      </w:r>
      <w:r w:rsidR="000F34B7" w:rsidRPr="00D55B2B">
        <w:rPr>
          <w:rFonts w:ascii="Verdana" w:hAnsi="Verdana"/>
          <w:lang w:val="en-GB"/>
        </w:rPr>
        <w:t xml:space="preserve">, compared to the number of convictions for breaches, it could be argued that the prospect of a criminal conviction is a sufficient deterrent for perpetrators of domestic abuse.  This argument relies on the proposition that the only reason for the smaller number of convictions is that orders are not breached. However, this </w:t>
      </w:r>
      <w:r w:rsidR="00A93462" w:rsidRPr="00D55B2B">
        <w:rPr>
          <w:rFonts w:ascii="Verdana" w:hAnsi="Verdana"/>
          <w:lang w:val="en-GB"/>
        </w:rPr>
        <w:t>may be a</w:t>
      </w:r>
      <w:r w:rsidR="000F34B7" w:rsidRPr="00D55B2B">
        <w:rPr>
          <w:rFonts w:ascii="Verdana" w:hAnsi="Verdana"/>
          <w:lang w:val="en-GB"/>
        </w:rPr>
        <w:t xml:space="preserve"> simplistic view that ignores the fact that many breaches will go unreported by victims who, notwithstanding the abuse they have suffered, may not wish to see their ex-partner face a prison sentence. It also ignores the difference in the standard of proof in the civil/family courts, compared to the criminal courts. The standard of proof in the civil and family courts is ‘on the balance of probabilities’.  This means that non-molestation orders will often be granted based on </w:t>
      </w:r>
      <w:r w:rsidR="005E1E52" w:rsidRPr="00D55B2B">
        <w:rPr>
          <w:rFonts w:ascii="Verdana" w:hAnsi="Verdana"/>
          <w:lang w:val="en-GB"/>
        </w:rPr>
        <w:t xml:space="preserve">the </w:t>
      </w:r>
      <w:r w:rsidR="00DE2F2A" w:rsidRPr="00D55B2B">
        <w:rPr>
          <w:rFonts w:ascii="Verdana" w:hAnsi="Verdana"/>
          <w:lang w:val="en-GB"/>
        </w:rPr>
        <w:t>written and oral evidence of the applicant</w:t>
      </w:r>
      <w:r w:rsidR="000F34B7" w:rsidRPr="00D55B2B">
        <w:rPr>
          <w:rFonts w:ascii="Verdana" w:hAnsi="Verdana"/>
          <w:lang w:val="en-GB"/>
        </w:rPr>
        <w:t xml:space="preserve"> alone.  In the criminal court, the standard of proof is much higher, ‘beyond reasonable doubt’.  It is therefore entirely conceivable that an individual may obtain a non-molestation order but then have insufficient evidence of any breaches to prove to a criminal standard that the breach has actually occurred.  This can lead to the CPS refusing to take a case forward.  </w:t>
      </w:r>
      <w:r w:rsidR="00647892" w:rsidRPr="00D55B2B">
        <w:rPr>
          <w:rFonts w:ascii="Verdana" w:hAnsi="Verdana"/>
          <w:lang w:val="en-GB"/>
        </w:rPr>
        <w:t xml:space="preserve">In turn, this </w:t>
      </w:r>
      <w:r w:rsidR="00CD6A5B" w:rsidRPr="00D55B2B">
        <w:rPr>
          <w:rFonts w:ascii="Verdana" w:hAnsi="Verdana"/>
          <w:lang w:val="en-GB"/>
        </w:rPr>
        <w:t xml:space="preserve">reduces </w:t>
      </w:r>
      <w:r w:rsidR="00607D81" w:rsidRPr="00D55B2B">
        <w:rPr>
          <w:rFonts w:ascii="Verdana" w:hAnsi="Verdana"/>
          <w:lang w:val="en-GB"/>
        </w:rPr>
        <w:t xml:space="preserve">not only </w:t>
      </w:r>
      <w:r w:rsidR="00CD6A5B" w:rsidRPr="00D55B2B">
        <w:rPr>
          <w:rFonts w:ascii="Verdana" w:hAnsi="Verdana"/>
          <w:lang w:val="en-GB"/>
        </w:rPr>
        <w:t>the effectiveness of the protection</w:t>
      </w:r>
      <w:r w:rsidR="00607D81" w:rsidRPr="00D55B2B">
        <w:rPr>
          <w:rFonts w:ascii="Verdana" w:hAnsi="Verdana"/>
          <w:lang w:val="en-GB"/>
        </w:rPr>
        <w:t xml:space="preserve"> for the victim but the deterrent effect it may have on the perpetrator</w:t>
      </w:r>
      <w:r w:rsidR="00CD6A5B" w:rsidRPr="00D55B2B">
        <w:rPr>
          <w:rFonts w:ascii="Verdana" w:hAnsi="Verdana"/>
          <w:lang w:val="en-GB"/>
        </w:rPr>
        <w:t xml:space="preserve">. </w:t>
      </w:r>
    </w:p>
    <w:p w14:paraId="35861C66" w14:textId="77777777" w:rsidR="0067549F" w:rsidRPr="00D55B2B" w:rsidRDefault="0067549F" w:rsidP="0067549F">
      <w:pPr>
        <w:spacing w:line="360" w:lineRule="auto"/>
        <w:ind w:right="-478"/>
        <w:jc w:val="both"/>
        <w:rPr>
          <w:rFonts w:ascii="Verdana" w:hAnsi="Verdana"/>
          <w:lang w:val="en-GB"/>
        </w:rPr>
      </w:pPr>
    </w:p>
    <w:p w14:paraId="74FC50EA" w14:textId="479D7340" w:rsidR="0069274B" w:rsidRPr="00D55B2B" w:rsidRDefault="000C4D16" w:rsidP="006D155D">
      <w:pPr>
        <w:spacing w:line="360" w:lineRule="auto"/>
        <w:ind w:right="-478"/>
        <w:jc w:val="both"/>
        <w:rPr>
          <w:rFonts w:ascii="Verdana" w:hAnsi="Verdana"/>
          <w:lang w:val="en-GB"/>
        </w:rPr>
      </w:pPr>
      <w:r>
        <w:rPr>
          <w:rFonts w:ascii="Verdana" w:hAnsi="Verdana"/>
          <w:lang w:val="en-GB"/>
        </w:rPr>
        <w:t>T</w:t>
      </w:r>
      <w:r w:rsidR="00BD5BEF" w:rsidRPr="00D55B2B">
        <w:rPr>
          <w:rFonts w:ascii="Verdana" w:hAnsi="Verdana"/>
          <w:lang w:val="en-GB"/>
        </w:rPr>
        <w:t>here are difficulties with the position in England</w:t>
      </w:r>
      <w:r w:rsidR="00AC1390">
        <w:rPr>
          <w:rFonts w:ascii="Verdana" w:hAnsi="Verdana"/>
          <w:lang w:val="en-GB"/>
        </w:rPr>
        <w:t>. However,</w:t>
      </w:r>
      <w:r w:rsidR="00302D90" w:rsidRPr="00D55B2B">
        <w:rPr>
          <w:rFonts w:ascii="Verdana" w:hAnsi="Verdana"/>
          <w:lang w:val="en-GB"/>
        </w:rPr>
        <w:t xml:space="preserve"> </w:t>
      </w:r>
      <w:r w:rsidR="0025074E" w:rsidRPr="00D55B2B">
        <w:rPr>
          <w:rFonts w:ascii="Verdana" w:hAnsi="Verdana"/>
          <w:lang w:val="en-GB"/>
        </w:rPr>
        <w:t xml:space="preserve">the </w:t>
      </w:r>
      <w:r w:rsidR="00FB476A" w:rsidRPr="00D55B2B">
        <w:rPr>
          <w:rFonts w:ascii="Verdana" w:hAnsi="Verdana"/>
          <w:lang w:val="en-GB"/>
        </w:rPr>
        <w:t xml:space="preserve">failure </w:t>
      </w:r>
      <w:r w:rsidR="001A6EF8" w:rsidRPr="00D55B2B">
        <w:rPr>
          <w:rFonts w:ascii="Verdana" w:hAnsi="Verdana"/>
          <w:lang w:val="en-GB"/>
        </w:rPr>
        <w:t xml:space="preserve">of the Russian government </w:t>
      </w:r>
      <w:r w:rsidR="00FB476A" w:rsidRPr="00D55B2B">
        <w:rPr>
          <w:rFonts w:ascii="Verdana" w:hAnsi="Verdana"/>
          <w:lang w:val="en-GB"/>
        </w:rPr>
        <w:t>to</w:t>
      </w:r>
      <w:r w:rsidR="00EA5200" w:rsidRPr="00D55B2B">
        <w:rPr>
          <w:rFonts w:ascii="Verdana" w:hAnsi="Verdana"/>
          <w:lang w:val="en-GB"/>
        </w:rPr>
        <w:t xml:space="preserve"> recognise or</w:t>
      </w:r>
      <w:r w:rsidR="00FB476A" w:rsidRPr="00D55B2B">
        <w:rPr>
          <w:rFonts w:ascii="Verdana" w:hAnsi="Verdana"/>
          <w:lang w:val="en-GB"/>
        </w:rPr>
        <w:t xml:space="preserve"> </w:t>
      </w:r>
      <w:r w:rsidR="00B07F64" w:rsidRPr="00D55B2B">
        <w:rPr>
          <w:rFonts w:ascii="Verdana" w:hAnsi="Verdana"/>
          <w:lang w:val="en-GB"/>
        </w:rPr>
        <w:t xml:space="preserve">criminalise many forms </w:t>
      </w:r>
      <w:r w:rsidR="00BD471E" w:rsidRPr="00D55B2B">
        <w:rPr>
          <w:rFonts w:ascii="Verdana" w:hAnsi="Verdana"/>
          <w:lang w:val="en-GB"/>
        </w:rPr>
        <w:t xml:space="preserve">of domestic abuse </w:t>
      </w:r>
      <w:r w:rsidR="001920E1" w:rsidRPr="00D55B2B">
        <w:rPr>
          <w:rFonts w:ascii="Verdana" w:hAnsi="Verdana"/>
          <w:lang w:val="en-GB"/>
        </w:rPr>
        <w:t xml:space="preserve">provides a </w:t>
      </w:r>
      <w:r w:rsidR="00663191" w:rsidRPr="00D55B2B">
        <w:rPr>
          <w:rFonts w:ascii="Verdana" w:hAnsi="Verdana"/>
          <w:lang w:val="en-GB"/>
        </w:rPr>
        <w:t xml:space="preserve">culture of impunity for perpetrators </w:t>
      </w:r>
      <w:r w:rsidR="00A05642" w:rsidRPr="00D55B2B">
        <w:rPr>
          <w:rFonts w:ascii="Verdana" w:hAnsi="Verdana"/>
          <w:lang w:val="en-GB"/>
        </w:rPr>
        <w:t xml:space="preserve">and perpetuates </w:t>
      </w:r>
      <w:r w:rsidR="005A36F1" w:rsidRPr="00D55B2B">
        <w:rPr>
          <w:rFonts w:ascii="Verdana" w:hAnsi="Verdana"/>
          <w:lang w:val="en-GB"/>
        </w:rPr>
        <w:t>belie</w:t>
      </w:r>
      <w:r w:rsidR="0044778B" w:rsidRPr="00D55B2B">
        <w:rPr>
          <w:rFonts w:ascii="Verdana" w:hAnsi="Verdana"/>
          <w:lang w:val="en-GB"/>
        </w:rPr>
        <w:t>f</w:t>
      </w:r>
      <w:r w:rsidR="005A36F1" w:rsidRPr="00D55B2B">
        <w:rPr>
          <w:rFonts w:ascii="Verdana" w:hAnsi="Verdana"/>
          <w:lang w:val="en-GB"/>
        </w:rPr>
        <w:t>s such as “I could kill you and no one would stop me”</w:t>
      </w:r>
      <w:r w:rsidR="005A36F1" w:rsidRPr="00D55B2B">
        <w:rPr>
          <w:rStyle w:val="FootnoteReference"/>
          <w:rFonts w:ascii="Verdana" w:hAnsi="Verdana"/>
          <w:lang w:val="en-GB"/>
        </w:rPr>
        <w:footnoteReference w:id="141"/>
      </w:r>
      <w:r w:rsidR="009800C3" w:rsidRPr="00D55B2B">
        <w:rPr>
          <w:rFonts w:ascii="Verdana" w:hAnsi="Verdana"/>
          <w:lang w:val="en-GB"/>
        </w:rPr>
        <w:t xml:space="preserve">. </w:t>
      </w:r>
      <w:r w:rsidR="00E27CEB" w:rsidRPr="00D55B2B">
        <w:rPr>
          <w:rFonts w:ascii="Verdana" w:hAnsi="Verdana"/>
          <w:lang w:val="en-GB"/>
        </w:rPr>
        <w:t xml:space="preserve">This, combined with </w:t>
      </w:r>
      <w:r w:rsidR="00DF001A" w:rsidRPr="00D55B2B">
        <w:rPr>
          <w:rFonts w:ascii="Verdana" w:hAnsi="Verdana"/>
          <w:lang w:val="en-GB"/>
        </w:rPr>
        <w:t>the requirement for private prosecution</w:t>
      </w:r>
      <w:r w:rsidR="004D6BD9" w:rsidRPr="00D55B2B">
        <w:rPr>
          <w:rFonts w:ascii="Verdana" w:hAnsi="Verdana"/>
          <w:lang w:val="en-GB"/>
        </w:rPr>
        <w:t>s</w:t>
      </w:r>
      <w:r w:rsidR="00A17E75" w:rsidRPr="00D55B2B">
        <w:rPr>
          <w:rFonts w:ascii="Verdana" w:hAnsi="Verdana"/>
          <w:lang w:val="en-GB"/>
        </w:rPr>
        <w:t xml:space="preserve"> and </w:t>
      </w:r>
      <w:r w:rsidR="00F46A64" w:rsidRPr="00D55B2B">
        <w:rPr>
          <w:rFonts w:ascii="Verdana" w:hAnsi="Verdana"/>
          <w:lang w:val="en-GB"/>
        </w:rPr>
        <w:t>for a</w:t>
      </w:r>
      <w:r w:rsidR="00466027" w:rsidRPr="00D55B2B">
        <w:rPr>
          <w:rFonts w:ascii="Verdana" w:hAnsi="Verdana"/>
          <w:lang w:val="en-GB"/>
        </w:rPr>
        <w:t xml:space="preserve"> criminal</w:t>
      </w:r>
      <w:r w:rsidR="00565153" w:rsidRPr="00D55B2B">
        <w:rPr>
          <w:rFonts w:ascii="Verdana" w:hAnsi="Verdana"/>
          <w:lang w:val="en-GB"/>
        </w:rPr>
        <w:t xml:space="preserve"> case to be dropped if the parties </w:t>
      </w:r>
      <w:r w:rsidR="00466027" w:rsidRPr="00D55B2B">
        <w:rPr>
          <w:rFonts w:ascii="Verdana" w:hAnsi="Verdana"/>
          <w:lang w:val="en-GB"/>
        </w:rPr>
        <w:t>reconcile,</w:t>
      </w:r>
      <w:r w:rsidR="004D6BD9" w:rsidRPr="00D55B2B">
        <w:rPr>
          <w:rFonts w:ascii="Verdana" w:hAnsi="Verdana"/>
          <w:lang w:val="en-GB"/>
        </w:rPr>
        <w:t xml:space="preserve"> a general unwillingness of the police to investigate domestic violence offences and </w:t>
      </w:r>
      <w:r w:rsidR="005C4B90" w:rsidRPr="00D55B2B">
        <w:rPr>
          <w:rFonts w:ascii="Verdana" w:hAnsi="Verdana"/>
          <w:lang w:val="en-GB"/>
        </w:rPr>
        <w:t xml:space="preserve">of the judiciary to </w:t>
      </w:r>
      <w:r w:rsidR="00CD4863" w:rsidRPr="00D55B2B">
        <w:rPr>
          <w:rFonts w:ascii="Verdana" w:hAnsi="Verdana"/>
          <w:lang w:val="en-GB"/>
        </w:rPr>
        <w:t xml:space="preserve">properly </w:t>
      </w:r>
      <w:r w:rsidR="006A3BF5" w:rsidRPr="00D55B2B">
        <w:rPr>
          <w:rFonts w:ascii="Verdana" w:hAnsi="Verdana"/>
          <w:lang w:val="en-GB"/>
        </w:rPr>
        <w:t xml:space="preserve">understand domestic abuse </w:t>
      </w:r>
      <w:r w:rsidR="00481E66" w:rsidRPr="00D55B2B">
        <w:rPr>
          <w:rFonts w:ascii="Verdana" w:hAnsi="Verdana"/>
          <w:lang w:val="en-GB"/>
        </w:rPr>
        <w:t>as a criminal matter</w:t>
      </w:r>
      <w:r w:rsidR="005E1E52" w:rsidRPr="00D55B2B">
        <w:rPr>
          <w:rFonts w:ascii="Verdana" w:hAnsi="Verdana"/>
          <w:lang w:val="en-GB"/>
        </w:rPr>
        <w:t>,</w:t>
      </w:r>
      <w:r w:rsidR="00481E66" w:rsidRPr="00D55B2B">
        <w:rPr>
          <w:rFonts w:ascii="Verdana" w:hAnsi="Verdana"/>
          <w:lang w:val="en-GB"/>
        </w:rPr>
        <w:t xml:space="preserve"> </w:t>
      </w:r>
      <w:r w:rsidR="00FD21DF" w:rsidRPr="00D55B2B">
        <w:rPr>
          <w:rFonts w:ascii="Verdana" w:hAnsi="Verdana"/>
          <w:lang w:val="en-GB"/>
        </w:rPr>
        <w:t xml:space="preserve">means that </w:t>
      </w:r>
      <w:r w:rsidR="00D976FF" w:rsidRPr="00D55B2B">
        <w:rPr>
          <w:rFonts w:ascii="Verdana" w:hAnsi="Verdana"/>
          <w:lang w:val="en-GB"/>
        </w:rPr>
        <w:t xml:space="preserve">there are very </w:t>
      </w:r>
      <w:r w:rsidR="003D3D18" w:rsidRPr="00D55B2B">
        <w:rPr>
          <w:rFonts w:ascii="Verdana" w:hAnsi="Verdana"/>
          <w:lang w:val="en-GB"/>
        </w:rPr>
        <w:t>f</w:t>
      </w:r>
      <w:r w:rsidR="00D976FF" w:rsidRPr="00D55B2B">
        <w:rPr>
          <w:rFonts w:ascii="Verdana" w:hAnsi="Verdana"/>
          <w:lang w:val="en-GB"/>
        </w:rPr>
        <w:t xml:space="preserve">ew </w:t>
      </w:r>
      <w:r w:rsidR="003D3D18" w:rsidRPr="00D55B2B">
        <w:rPr>
          <w:rFonts w:ascii="Verdana" w:hAnsi="Verdana"/>
          <w:lang w:val="en-GB"/>
        </w:rPr>
        <w:t>deterrents</w:t>
      </w:r>
      <w:r w:rsidR="00C84C68" w:rsidRPr="00D55B2B">
        <w:rPr>
          <w:rFonts w:ascii="Verdana" w:hAnsi="Verdana"/>
          <w:lang w:val="en-GB"/>
        </w:rPr>
        <w:t xml:space="preserve"> </w:t>
      </w:r>
      <w:r w:rsidR="00956A4A" w:rsidRPr="00D55B2B">
        <w:rPr>
          <w:rFonts w:ascii="Verdana" w:hAnsi="Verdana"/>
          <w:lang w:val="en-GB"/>
        </w:rPr>
        <w:t xml:space="preserve">to perpetrating abuse in Russia. </w:t>
      </w:r>
      <w:r w:rsidR="00BD1FA0">
        <w:rPr>
          <w:rFonts w:ascii="Verdana" w:hAnsi="Verdana"/>
          <w:lang w:val="en-GB"/>
        </w:rPr>
        <w:t>It</w:t>
      </w:r>
      <w:r w:rsidR="002940A2" w:rsidRPr="00D55B2B">
        <w:rPr>
          <w:rFonts w:ascii="Verdana" w:hAnsi="Verdana"/>
          <w:lang w:val="en-GB"/>
        </w:rPr>
        <w:t xml:space="preserve"> is recognised </w:t>
      </w:r>
      <w:r w:rsidR="008E3D55" w:rsidRPr="00D55B2B">
        <w:rPr>
          <w:rFonts w:ascii="Verdana" w:hAnsi="Verdana"/>
          <w:lang w:val="en-GB"/>
        </w:rPr>
        <w:t xml:space="preserve">that </w:t>
      </w:r>
      <w:r w:rsidR="00CC7B4B" w:rsidRPr="00D55B2B">
        <w:rPr>
          <w:rFonts w:ascii="Verdana" w:hAnsi="Verdana"/>
          <w:lang w:val="en-GB"/>
        </w:rPr>
        <w:t xml:space="preserve">prisons </w:t>
      </w:r>
      <w:r w:rsidR="00686528" w:rsidRPr="00D55B2B">
        <w:rPr>
          <w:rFonts w:ascii="Verdana" w:hAnsi="Verdana"/>
          <w:lang w:val="en-GB"/>
        </w:rPr>
        <w:t xml:space="preserve">in Russia </w:t>
      </w:r>
      <w:r w:rsidR="00CC7B4B" w:rsidRPr="00D55B2B">
        <w:rPr>
          <w:rFonts w:ascii="Verdana" w:hAnsi="Verdana"/>
          <w:lang w:val="en-GB"/>
        </w:rPr>
        <w:t xml:space="preserve">are notoriously </w:t>
      </w:r>
      <w:r w:rsidR="0044596F" w:rsidRPr="00D55B2B">
        <w:rPr>
          <w:rFonts w:ascii="Verdana" w:hAnsi="Verdana"/>
          <w:lang w:val="en-GB"/>
        </w:rPr>
        <w:t>tough places compared to</w:t>
      </w:r>
      <w:r w:rsidR="00686528" w:rsidRPr="00D55B2B">
        <w:rPr>
          <w:rFonts w:ascii="Verdana" w:hAnsi="Verdana"/>
          <w:lang w:val="en-GB"/>
        </w:rPr>
        <w:t xml:space="preserve"> </w:t>
      </w:r>
      <w:r w:rsidR="00B82B5B" w:rsidRPr="00D55B2B">
        <w:rPr>
          <w:rFonts w:ascii="Verdana" w:hAnsi="Verdana"/>
          <w:lang w:val="en-GB"/>
        </w:rPr>
        <w:t>prisons in England,</w:t>
      </w:r>
      <w:r w:rsidR="007432E3">
        <w:rPr>
          <w:rFonts w:ascii="Verdana" w:hAnsi="Verdana"/>
          <w:lang w:val="en-GB"/>
        </w:rPr>
        <w:t xml:space="preserve"> but</w:t>
      </w:r>
      <w:r w:rsidR="00B82B5B" w:rsidRPr="00D55B2B">
        <w:rPr>
          <w:rFonts w:ascii="Verdana" w:hAnsi="Verdana"/>
          <w:lang w:val="en-GB"/>
        </w:rPr>
        <w:t xml:space="preserve"> in all but the most severe cases, a custodial sentence is </w:t>
      </w:r>
      <w:r w:rsidR="00A967A5" w:rsidRPr="00D55B2B">
        <w:rPr>
          <w:rFonts w:ascii="Verdana" w:hAnsi="Verdana"/>
          <w:lang w:val="en-GB"/>
        </w:rPr>
        <w:t>un</w:t>
      </w:r>
      <w:r w:rsidR="00B82B5B" w:rsidRPr="00D55B2B">
        <w:rPr>
          <w:rFonts w:ascii="Verdana" w:hAnsi="Verdana"/>
          <w:lang w:val="en-GB"/>
        </w:rPr>
        <w:t>likely to be imposed</w:t>
      </w:r>
      <w:r w:rsidR="00491B1E" w:rsidRPr="00D55B2B">
        <w:rPr>
          <w:rFonts w:ascii="Verdana" w:hAnsi="Verdana"/>
          <w:lang w:val="en-GB"/>
        </w:rPr>
        <w:t>.</w:t>
      </w:r>
      <w:r w:rsidR="00000AAF" w:rsidRPr="00D55B2B">
        <w:rPr>
          <w:rStyle w:val="FootnoteReference"/>
          <w:rFonts w:ascii="Verdana" w:hAnsi="Verdana"/>
          <w:lang w:val="en-GB"/>
        </w:rPr>
        <w:footnoteReference w:id="142"/>
      </w:r>
      <w:r w:rsidR="00EB5A81" w:rsidRPr="00D55B2B">
        <w:rPr>
          <w:rFonts w:ascii="Verdana" w:hAnsi="Verdana"/>
          <w:lang w:val="en-GB"/>
        </w:rPr>
        <w:t xml:space="preserve"> </w:t>
      </w:r>
    </w:p>
    <w:p w14:paraId="6D75BACC" w14:textId="77777777" w:rsidR="0067549F" w:rsidRPr="00D55B2B" w:rsidRDefault="0067549F" w:rsidP="003A4B1B">
      <w:pPr>
        <w:spacing w:line="360" w:lineRule="auto"/>
        <w:ind w:left="567" w:right="-478"/>
        <w:jc w:val="both"/>
        <w:rPr>
          <w:rFonts w:ascii="Verdana" w:hAnsi="Verdana"/>
          <w:lang w:val="en-GB"/>
        </w:rPr>
      </w:pPr>
    </w:p>
    <w:p w14:paraId="0E6BFB83" w14:textId="77777777" w:rsidR="00C22248" w:rsidRPr="00D55B2B" w:rsidRDefault="00C22248" w:rsidP="007E262A">
      <w:pPr>
        <w:autoSpaceDE/>
        <w:autoSpaceDN/>
        <w:spacing w:line="360" w:lineRule="auto"/>
        <w:ind w:right="-478"/>
        <w:jc w:val="both"/>
        <w:rPr>
          <w:rFonts w:ascii="Verdana" w:hAnsi="Verdana"/>
          <w:lang w:val="en-GB"/>
        </w:rPr>
      </w:pPr>
    </w:p>
    <w:p w14:paraId="5F9C89AF" w14:textId="77777777" w:rsidR="004D3AD3" w:rsidRPr="0060450D" w:rsidRDefault="004D3AD3" w:rsidP="0060450D">
      <w:pPr>
        <w:pStyle w:val="Bulletsbase"/>
        <w:numPr>
          <w:ilvl w:val="0"/>
          <w:numId w:val="34"/>
        </w:numPr>
        <w:ind w:left="340" w:hanging="340"/>
        <w:rPr>
          <w:rFonts w:ascii="Verdana" w:hAnsi="Verdana"/>
          <w:i/>
        </w:rPr>
      </w:pPr>
      <w:r w:rsidRPr="0060450D">
        <w:rPr>
          <w:rFonts w:ascii="Verdana" w:hAnsi="Verdana"/>
          <w:i/>
        </w:rPr>
        <w:t xml:space="preserve">Protecting victims of domestic abuse </w:t>
      </w:r>
      <w:r w:rsidR="008F2E03" w:rsidRPr="0060450D">
        <w:rPr>
          <w:rFonts w:ascii="Verdana" w:hAnsi="Verdana"/>
          <w:i/>
        </w:rPr>
        <w:t>and</w:t>
      </w:r>
      <w:r w:rsidRPr="0060450D">
        <w:rPr>
          <w:rFonts w:ascii="Verdana" w:hAnsi="Verdana"/>
          <w:i/>
        </w:rPr>
        <w:t xml:space="preserve"> promoting access to justice</w:t>
      </w:r>
    </w:p>
    <w:p w14:paraId="135AE827" w14:textId="77777777" w:rsidR="004D3AD3" w:rsidRPr="00D55B2B" w:rsidRDefault="004D3AD3" w:rsidP="007E262A">
      <w:pPr>
        <w:pStyle w:val="ListParagraph"/>
        <w:spacing w:line="360" w:lineRule="auto"/>
        <w:ind w:left="426" w:right="-478"/>
        <w:jc w:val="both"/>
        <w:rPr>
          <w:rFonts w:ascii="Verdana" w:hAnsi="Verdana"/>
          <w:i/>
        </w:rPr>
      </w:pPr>
    </w:p>
    <w:p w14:paraId="2188D106" w14:textId="77777777" w:rsidR="009B425B" w:rsidRDefault="009B425B" w:rsidP="009B425B">
      <w:pPr>
        <w:spacing w:line="360" w:lineRule="auto"/>
        <w:ind w:right="-478"/>
        <w:jc w:val="both"/>
        <w:rPr>
          <w:rFonts w:ascii="Verdana" w:hAnsi="Verdana"/>
          <w:lang w:val="en-GB"/>
        </w:rPr>
      </w:pPr>
      <w:r>
        <w:rPr>
          <w:rFonts w:ascii="Verdana" w:hAnsi="Verdana"/>
          <w:lang w:val="en-GB"/>
        </w:rPr>
        <w:t>This section will consider the w</w:t>
      </w:r>
      <w:r w:rsidR="00155C00">
        <w:rPr>
          <w:rFonts w:ascii="Verdana" w:hAnsi="Verdana"/>
          <w:lang w:val="en-GB"/>
        </w:rPr>
        <w:t xml:space="preserve">ays in which domestic abuse laws </w:t>
      </w:r>
      <w:r>
        <w:rPr>
          <w:rFonts w:ascii="Verdana" w:hAnsi="Verdana"/>
          <w:lang w:val="en-GB"/>
        </w:rPr>
        <w:t>in England and Russia ca</w:t>
      </w:r>
      <w:r w:rsidR="007946DB">
        <w:rPr>
          <w:rFonts w:ascii="Verdana" w:hAnsi="Verdana"/>
          <w:lang w:val="en-GB"/>
        </w:rPr>
        <w:t xml:space="preserve">n empower or disempower victims. </w:t>
      </w:r>
      <w:r w:rsidR="00E9462A">
        <w:rPr>
          <w:rFonts w:ascii="Verdana" w:hAnsi="Verdana"/>
          <w:lang w:val="en-GB"/>
        </w:rPr>
        <w:t xml:space="preserve">The analysis will focus on </w:t>
      </w:r>
      <w:r w:rsidR="00C56FFC">
        <w:rPr>
          <w:rFonts w:ascii="Verdana" w:hAnsi="Verdana"/>
          <w:lang w:val="en-GB"/>
        </w:rPr>
        <w:t>victim autonomy an</w:t>
      </w:r>
      <w:r w:rsidR="006722D7">
        <w:rPr>
          <w:rFonts w:ascii="Verdana" w:hAnsi="Verdana"/>
          <w:lang w:val="en-GB"/>
        </w:rPr>
        <w:t>d participation in proceedings,</w:t>
      </w:r>
      <w:r w:rsidR="00787ED9">
        <w:rPr>
          <w:rFonts w:ascii="Verdana" w:hAnsi="Verdana"/>
          <w:lang w:val="en-GB"/>
        </w:rPr>
        <w:t xml:space="preserve"> the role of private and public prosecutions and </w:t>
      </w:r>
      <w:r w:rsidR="006722D7">
        <w:rPr>
          <w:rFonts w:ascii="Verdana" w:hAnsi="Verdana"/>
          <w:lang w:val="en-GB"/>
        </w:rPr>
        <w:t>the availability of support services</w:t>
      </w:r>
      <w:r w:rsidR="00070886">
        <w:rPr>
          <w:rFonts w:ascii="Verdana" w:hAnsi="Verdana"/>
          <w:lang w:val="en-GB"/>
        </w:rPr>
        <w:t xml:space="preserve">. </w:t>
      </w:r>
      <w:r w:rsidR="00F22459">
        <w:rPr>
          <w:rFonts w:ascii="Verdana" w:hAnsi="Verdana"/>
          <w:lang w:val="en-GB"/>
        </w:rPr>
        <w:t xml:space="preserve">The analysis reveals that </w:t>
      </w:r>
      <w:r w:rsidR="005E2A5D">
        <w:rPr>
          <w:rFonts w:ascii="Verdana" w:hAnsi="Verdana"/>
          <w:lang w:val="en-GB"/>
        </w:rPr>
        <w:t>once again there are stark differences between the two jurisdictions</w:t>
      </w:r>
      <w:r w:rsidR="00E927BA">
        <w:rPr>
          <w:rFonts w:ascii="Verdana" w:hAnsi="Verdana"/>
          <w:lang w:val="en-GB"/>
        </w:rPr>
        <w:t xml:space="preserve">. </w:t>
      </w:r>
      <w:r w:rsidR="00D1041A">
        <w:rPr>
          <w:rFonts w:ascii="Verdana" w:hAnsi="Verdana"/>
          <w:lang w:val="en-GB"/>
        </w:rPr>
        <w:t xml:space="preserve">Whilst </w:t>
      </w:r>
      <w:r w:rsidR="005E2A5D">
        <w:rPr>
          <w:rFonts w:ascii="Verdana" w:hAnsi="Verdana"/>
          <w:lang w:val="en-GB"/>
        </w:rPr>
        <w:t xml:space="preserve">England favours a multi-agency approach to supporting victims which often </w:t>
      </w:r>
      <w:r w:rsidR="0040122B">
        <w:rPr>
          <w:rFonts w:ascii="Verdana" w:hAnsi="Verdana"/>
          <w:lang w:val="en-GB"/>
        </w:rPr>
        <w:t xml:space="preserve">takes </w:t>
      </w:r>
      <w:r w:rsidR="00D446EF">
        <w:rPr>
          <w:rFonts w:ascii="Verdana" w:hAnsi="Verdana"/>
          <w:lang w:val="en-GB"/>
        </w:rPr>
        <w:t>control o</w:t>
      </w:r>
      <w:r w:rsidR="00E26099">
        <w:rPr>
          <w:rFonts w:ascii="Verdana" w:hAnsi="Verdana"/>
          <w:lang w:val="en-GB"/>
        </w:rPr>
        <w:t xml:space="preserve">f the process away from victim, in </w:t>
      </w:r>
      <w:r w:rsidR="00BC74E1">
        <w:rPr>
          <w:rFonts w:ascii="Verdana" w:hAnsi="Verdana"/>
          <w:lang w:val="en-GB"/>
        </w:rPr>
        <w:t>Rus</w:t>
      </w:r>
      <w:r w:rsidR="0021443F">
        <w:rPr>
          <w:rFonts w:ascii="Verdana" w:hAnsi="Verdana"/>
          <w:lang w:val="en-GB"/>
        </w:rPr>
        <w:t>s</w:t>
      </w:r>
      <w:r w:rsidR="00BC74E1">
        <w:rPr>
          <w:rFonts w:ascii="Verdana" w:hAnsi="Verdana"/>
          <w:lang w:val="en-GB"/>
        </w:rPr>
        <w:t>ia</w:t>
      </w:r>
      <w:r w:rsidR="00C150FB">
        <w:rPr>
          <w:rFonts w:ascii="Verdana" w:hAnsi="Verdana"/>
          <w:lang w:val="en-GB"/>
        </w:rPr>
        <w:t xml:space="preserve"> </w:t>
      </w:r>
      <w:r w:rsidR="003F53F0">
        <w:rPr>
          <w:rFonts w:ascii="Verdana" w:hAnsi="Verdana"/>
          <w:lang w:val="en-GB"/>
        </w:rPr>
        <w:t xml:space="preserve">there are limited organisations </w:t>
      </w:r>
      <w:r w:rsidR="00BB1864">
        <w:rPr>
          <w:rFonts w:ascii="Verdana" w:hAnsi="Verdana"/>
          <w:lang w:val="en-GB"/>
        </w:rPr>
        <w:t>willing or able to support victims</w:t>
      </w:r>
      <w:r w:rsidR="0021443F">
        <w:rPr>
          <w:rFonts w:ascii="Verdana" w:hAnsi="Verdana"/>
          <w:lang w:val="en-GB"/>
        </w:rPr>
        <w:t xml:space="preserve">. This leads to victims </w:t>
      </w:r>
      <w:r w:rsidR="000E647D">
        <w:rPr>
          <w:rFonts w:ascii="Verdana" w:hAnsi="Verdana"/>
          <w:lang w:val="en-GB"/>
        </w:rPr>
        <w:t xml:space="preserve">assuming responsibility for the process. </w:t>
      </w:r>
    </w:p>
    <w:p w14:paraId="18C79724" w14:textId="77777777" w:rsidR="009B425B" w:rsidRDefault="009B425B" w:rsidP="007E262A">
      <w:pPr>
        <w:spacing w:line="360" w:lineRule="auto"/>
        <w:ind w:right="-478"/>
        <w:jc w:val="both"/>
        <w:rPr>
          <w:rFonts w:ascii="Verdana" w:hAnsi="Verdana"/>
          <w:lang w:val="en-GB"/>
        </w:rPr>
      </w:pPr>
    </w:p>
    <w:p w14:paraId="3BFE1041" w14:textId="77777777" w:rsidR="004D3AD3" w:rsidRPr="00D55B2B" w:rsidRDefault="004D3AD3" w:rsidP="007E262A">
      <w:pPr>
        <w:spacing w:line="360" w:lineRule="auto"/>
        <w:ind w:right="-478"/>
        <w:jc w:val="both"/>
        <w:rPr>
          <w:rFonts w:ascii="Verdana" w:hAnsi="Verdana"/>
          <w:lang w:val="en-GB"/>
        </w:rPr>
      </w:pPr>
      <w:r w:rsidRPr="00D55B2B">
        <w:rPr>
          <w:rFonts w:ascii="Verdana" w:hAnsi="Verdana"/>
          <w:lang w:val="en-GB"/>
        </w:rPr>
        <w:t>It is arguable that victims of domestic abuse in England and Wales have m</w:t>
      </w:r>
      <w:r w:rsidR="006F3637" w:rsidRPr="00D55B2B">
        <w:rPr>
          <w:rFonts w:ascii="Verdana" w:hAnsi="Verdana"/>
          <w:lang w:val="en-GB"/>
        </w:rPr>
        <w:t>any more opportunities</w:t>
      </w:r>
      <w:r w:rsidRPr="00D55B2B">
        <w:rPr>
          <w:rFonts w:ascii="Verdana" w:hAnsi="Verdana"/>
          <w:lang w:val="en-GB"/>
        </w:rPr>
        <w:t xml:space="preserve"> to obtain protection from domestic abuse because of the wide range of actions available to them both through civil remedies and through the different criminal sanctions.  Giving the victim the option of applying for protection under civil/family law or supporting the police in a criminal prosecution is potentially a very powerful tool and puts the control back in the hands of the victim. </w:t>
      </w:r>
      <w:r w:rsidR="008D5E77" w:rsidRPr="00D55B2B">
        <w:rPr>
          <w:rFonts w:ascii="Verdana" w:hAnsi="Verdana"/>
          <w:lang w:val="en-GB"/>
        </w:rPr>
        <w:t>It enables victims to make applications to ensure that the perpetrator is not able to return to the home</w:t>
      </w:r>
      <w:r w:rsidR="00D140BF" w:rsidRPr="00D55B2B">
        <w:rPr>
          <w:rFonts w:ascii="Verdana" w:hAnsi="Verdana"/>
          <w:lang w:val="en-GB"/>
        </w:rPr>
        <w:t xml:space="preserve"> or contact </w:t>
      </w:r>
      <w:r w:rsidR="00C34795" w:rsidRPr="00D55B2B">
        <w:rPr>
          <w:rFonts w:ascii="Verdana" w:hAnsi="Verdana"/>
          <w:lang w:val="en-GB"/>
        </w:rPr>
        <w:t>them</w:t>
      </w:r>
      <w:r w:rsidR="00D573CD" w:rsidRPr="00D55B2B">
        <w:rPr>
          <w:rFonts w:ascii="Verdana" w:hAnsi="Verdana"/>
          <w:lang w:val="en-GB"/>
        </w:rPr>
        <w:t xml:space="preserve">, thereby giving them breathing room to consider their next steps. </w:t>
      </w:r>
      <w:r w:rsidRPr="00D55B2B">
        <w:rPr>
          <w:rFonts w:ascii="Verdana" w:hAnsi="Verdana"/>
          <w:lang w:val="en-GB"/>
        </w:rPr>
        <w:t xml:space="preserve">Victims may find this choice empowering. It could therefore be suggested that providing victims with as many options as possible is a positive move. </w:t>
      </w:r>
    </w:p>
    <w:p w14:paraId="1CC24EBA" w14:textId="77777777" w:rsidR="008C1AC0" w:rsidRPr="00D55B2B" w:rsidRDefault="008C1AC0" w:rsidP="007E262A">
      <w:pPr>
        <w:spacing w:line="360" w:lineRule="auto"/>
        <w:ind w:right="-478"/>
        <w:jc w:val="both"/>
        <w:rPr>
          <w:rFonts w:ascii="Verdana" w:hAnsi="Verdana"/>
          <w:lang w:val="en-GB"/>
        </w:rPr>
      </w:pPr>
    </w:p>
    <w:p w14:paraId="6553097D" w14:textId="54745C41" w:rsidR="001B0B5A" w:rsidRPr="00D55B2B" w:rsidRDefault="006D5994" w:rsidP="007E262A">
      <w:pPr>
        <w:spacing w:line="360" w:lineRule="auto"/>
        <w:ind w:right="-478"/>
        <w:jc w:val="both"/>
        <w:rPr>
          <w:rFonts w:ascii="Verdana" w:hAnsi="Verdana"/>
          <w:lang w:val="en-GB"/>
        </w:rPr>
      </w:pPr>
      <w:r>
        <w:rPr>
          <w:rFonts w:ascii="Verdana" w:hAnsi="Verdana"/>
          <w:lang w:val="en-GB"/>
        </w:rPr>
        <w:t>T</w:t>
      </w:r>
      <w:r w:rsidR="004D3AD3" w:rsidRPr="00D55B2B">
        <w:rPr>
          <w:rFonts w:ascii="Verdana" w:hAnsi="Verdana"/>
          <w:lang w:val="en-GB"/>
        </w:rPr>
        <w:t>h</w:t>
      </w:r>
      <w:r w:rsidR="00756712">
        <w:rPr>
          <w:rFonts w:ascii="Verdana" w:hAnsi="Verdana"/>
          <w:lang w:val="en-GB"/>
        </w:rPr>
        <w:t>e</w:t>
      </w:r>
      <w:r w:rsidR="004D3AD3" w:rsidRPr="00D55B2B">
        <w:rPr>
          <w:rFonts w:ascii="Verdana" w:hAnsi="Verdana"/>
          <w:lang w:val="en-GB"/>
        </w:rPr>
        <w:t xml:space="preserve"> notion of empowering victims with choices ignores the fact that control is quite often out of the victim’s hands when it comes to criminal prosecution. It is not the victim’s choice at all whether to pursue a conviction, rather it is the decision of the CPS. Hitchings </w:t>
      </w:r>
      <w:r w:rsidR="00EC7EC0" w:rsidRPr="00D55B2B">
        <w:rPr>
          <w:rFonts w:ascii="Verdana" w:hAnsi="Verdana"/>
          <w:lang w:val="en-GB"/>
        </w:rPr>
        <w:t>et al</w:t>
      </w:r>
      <w:r w:rsidR="004D3AD3" w:rsidRPr="00D55B2B">
        <w:rPr>
          <w:rFonts w:ascii="Verdana" w:hAnsi="Verdana"/>
          <w:lang w:val="en-GB"/>
        </w:rPr>
        <w:t xml:space="preserve"> have argued against prosecutions being pursued without victim’s support, stating that this could remove the power from them once more and lead to increased trauma.</w:t>
      </w:r>
      <w:r w:rsidR="004D3AD3" w:rsidRPr="00D55B2B">
        <w:rPr>
          <w:rStyle w:val="FootnoteReference"/>
          <w:rFonts w:ascii="Verdana" w:hAnsi="Verdana"/>
          <w:lang w:val="en-GB"/>
        </w:rPr>
        <w:footnoteReference w:id="143"/>
      </w:r>
      <w:r w:rsidR="004D3AD3" w:rsidRPr="00D55B2B">
        <w:rPr>
          <w:rFonts w:ascii="Verdana" w:hAnsi="Verdana"/>
          <w:lang w:val="en-GB"/>
        </w:rPr>
        <w:t xml:space="preserve">  Hirschel </w:t>
      </w:r>
      <w:r w:rsidR="00EC7EC0" w:rsidRPr="00D55B2B">
        <w:rPr>
          <w:rFonts w:ascii="Verdana" w:hAnsi="Verdana"/>
          <w:i/>
          <w:lang w:val="en-GB"/>
        </w:rPr>
        <w:t>et a</w:t>
      </w:r>
      <w:r w:rsidR="00EC7EC0" w:rsidRPr="00D55B2B">
        <w:rPr>
          <w:rFonts w:ascii="Verdana" w:hAnsi="Verdana"/>
          <w:lang w:val="en-GB"/>
        </w:rPr>
        <w:t>l</w:t>
      </w:r>
      <w:r w:rsidR="004D3AD3" w:rsidRPr="00D55B2B">
        <w:rPr>
          <w:rFonts w:ascii="Verdana" w:hAnsi="Verdana"/>
          <w:lang w:val="en-GB"/>
        </w:rPr>
        <w:t xml:space="preserve"> agreed with this and went as far as to say that the victim is best placed to assess their own situation and whether a prosecution is the appropriate way forward</w:t>
      </w:r>
      <w:r w:rsidR="004D3AD3" w:rsidRPr="00D55B2B">
        <w:rPr>
          <w:rStyle w:val="FootnoteReference"/>
          <w:rFonts w:ascii="Verdana" w:hAnsi="Verdana"/>
          <w:lang w:val="en-GB"/>
        </w:rPr>
        <w:footnoteReference w:id="144"/>
      </w:r>
      <w:r w:rsidR="002E476D" w:rsidRPr="00D55B2B">
        <w:rPr>
          <w:rFonts w:ascii="Verdana" w:hAnsi="Verdana"/>
          <w:lang w:val="en-GB"/>
        </w:rPr>
        <w:t>.</w:t>
      </w:r>
      <w:r w:rsidR="004D3AD3" w:rsidRPr="00D55B2B">
        <w:rPr>
          <w:rFonts w:ascii="Verdana" w:hAnsi="Verdana"/>
          <w:lang w:val="en-GB"/>
        </w:rPr>
        <w:t xml:space="preserve"> </w:t>
      </w:r>
      <w:r>
        <w:rPr>
          <w:rFonts w:ascii="Verdana" w:hAnsi="Verdana"/>
          <w:lang w:val="en-GB"/>
        </w:rPr>
        <w:t>To</w:t>
      </w:r>
      <w:r w:rsidR="004D3AD3" w:rsidRPr="00D55B2B">
        <w:rPr>
          <w:rFonts w:ascii="Verdana" w:hAnsi="Verdana"/>
          <w:lang w:val="en-GB"/>
        </w:rPr>
        <w:t xml:space="preserve"> do this they would need an understanding of the different processes available and</w:t>
      </w:r>
      <w:r w:rsidR="00F7319E" w:rsidRPr="00D55B2B">
        <w:rPr>
          <w:rFonts w:ascii="Verdana" w:hAnsi="Verdana"/>
          <w:lang w:val="en-GB"/>
        </w:rPr>
        <w:t>, as explained above,</w:t>
      </w:r>
      <w:r w:rsidR="00DB0257" w:rsidRPr="00D55B2B">
        <w:rPr>
          <w:rFonts w:ascii="Verdana" w:hAnsi="Verdana"/>
          <w:lang w:val="en-GB"/>
        </w:rPr>
        <w:t xml:space="preserve"> </w:t>
      </w:r>
      <w:r w:rsidR="004D3AD3" w:rsidRPr="00D55B2B">
        <w:rPr>
          <w:rFonts w:ascii="Verdana" w:hAnsi="Verdana"/>
          <w:lang w:val="en-GB"/>
        </w:rPr>
        <w:t>legal advice may not be easily accessible</w:t>
      </w:r>
      <w:r w:rsidR="00DB0257" w:rsidRPr="00D55B2B">
        <w:rPr>
          <w:rFonts w:ascii="Verdana" w:hAnsi="Verdana"/>
          <w:lang w:val="en-GB"/>
        </w:rPr>
        <w:t xml:space="preserve"> </w:t>
      </w:r>
      <w:r w:rsidR="00F7319E" w:rsidRPr="00D55B2B">
        <w:rPr>
          <w:rFonts w:ascii="Verdana" w:hAnsi="Verdana"/>
          <w:lang w:val="en-GB"/>
        </w:rPr>
        <w:t xml:space="preserve">due to the cuts in </w:t>
      </w:r>
      <w:r w:rsidR="00DB0257" w:rsidRPr="00D55B2B">
        <w:rPr>
          <w:rFonts w:ascii="Verdana" w:hAnsi="Verdana"/>
          <w:lang w:val="en-GB"/>
        </w:rPr>
        <w:t>legal a</w:t>
      </w:r>
      <w:r w:rsidR="00554241" w:rsidRPr="00D55B2B">
        <w:rPr>
          <w:rFonts w:ascii="Verdana" w:hAnsi="Verdana"/>
          <w:lang w:val="en-GB"/>
        </w:rPr>
        <w:t xml:space="preserve">id. </w:t>
      </w:r>
      <w:r w:rsidR="00E148ED" w:rsidRPr="00D55B2B">
        <w:rPr>
          <w:rFonts w:ascii="Verdana" w:hAnsi="Verdana"/>
          <w:lang w:val="en-GB"/>
        </w:rPr>
        <w:t xml:space="preserve">Instead, many victims rely on charitable organisations such as </w:t>
      </w:r>
      <w:r w:rsidR="00315DA1" w:rsidRPr="00D55B2B">
        <w:rPr>
          <w:rFonts w:ascii="Verdana" w:hAnsi="Verdana"/>
          <w:lang w:val="en-GB"/>
        </w:rPr>
        <w:t>Victims First</w:t>
      </w:r>
      <w:r w:rsidR="00BD79B5" w:rsidRPr="00D55B2B">
        <w:rPr>
          <w:rFonts w:ascii="Verdana" w:hAnsi="Verdana"/>
          <w:lang w:val="en-GB"/>
        </w:rPr>
        <w:t xml:space="preserve"> to support them through the process</w:t>
      </w:r>
      <w:r w:rsidR="00315DA1" w:rsidRPr="00D55B2B">
        <w:rPr>
          <w:rFonts w:ascii="Verdana" w:hAnsi="Verdana"/>
          <w:lang w:val="en-GB"/>
        </w:rPr>
        <w:t xml:space="preserve">. </w:t>
      </w:r>
      <w:r w:rsidR="004D3AD3" w:rsidRPr="00D55B2B">
        <w:rPr>
          <w:rFonts w:ascii="Verdana" w:hAnsi="Verdana"/>
          <w:lang w:val="en-GB"/>
        </w:rPr>
        <w:t xml:space="preserve">Even where victims are in a position to afford legal advice, solicitors tend to specialise in only one area (family, criminal or civil) and </w:t>
      </w:r>
      <w:r w:rsidR="00AD3F31" w:rsidRPr="00D55B2B">
        <w:rPr>
          <w:rFonts w:ascii="Verdana" w:hAnsi="Verdana"/>
          <w:lang w:val="en-GB"/>
        </w:rPr>
        <w:t xml:space="preserve">are therefore unlikely to </w:t>
      </w:r>
      <w:r w:rsidR="004D3AD3" w:rsidRPr="00D55B2B">
        <w:rPr>
          <w:rFonts w:ascii="Verdana" w:hAnsi="Verdana"/>
          <w:lang w:val="en-GB"/>
        </w:rPr>
        <w:t xml:space="preserve">be in a position to provide survivors of domestic abuse with holistic advice about which process or combination of processes would best suit their needs.  </w:t>
      </w:r>
    </w:p>
    <w:p w14:paraId="3D9FEB09" w14:textId="77777777" w:rsidR="001B0B5A" w:rsidRPr="00D55B2B" w:rsidRDefault="001B0B5A" w:rsidP="007E262A">
      <w:pPr>
        <w:spacing w:line="360" w:lineRule="auto"/>
        <w:ind w:right="-478"/>
        <w:jc w:val="both"/>
        <w:rPr>
          <w:rFonts w:ascii="Verdana" w:hAnsi="Verdana"/>
          <w:lang w:val="en-GB"/>
        </w:rPr>
      </w:pPr>
    </w:p>
    <w:p w14:paraId="3B087DF4" w14:textId="77777777" w:rsidR="004D3AD3" w:rsidRPr="00D55B2B" w:rsidRDefault="004D3AD3" w:rsidP="007E262A">
      <w:pPr>
        <w:spacing w:line="360" w:lineRule="auto"/>
        <w:ind w:right="-478"/>
        <w:jc w:val="both"/>
        <w:rPr>
          <w:rFonts w:ascii="Verdana" w:hAnsi="Verdana"/>
          <w:lang w:val="en-GB"/>
        </w:rPr>
      </w:pPr>
      <w:r w:rsidRPr="00D55B2B">
        <w:rPr>
          <w:rFonts w:ascii="Verdana" w:hAnsi="Verdana"/>
          <w:lang w:val="en-GB"/>
        </w:rPr>
        <w:t xml:space="preserve">This issue is compounded by the range of options available, some of which were set out earlier in this article.  In addition to the </w:t>
      </w:r>
      <w:r w:rsidR="007D7CB5" w:rsidRPr="00D55B2B">
        <w:rPr>
          <w:rFonts w:ascii="Verdana" w:hAnsi="Verdana"/>
          <w:lang w:val="en-GB"/>
        </w:rPr>
        <w:t>specific</w:t>
      </w:r>
      <w:r w:rsidRPr="00D55B2B">
        <w:rPr>
          <w:rFonts w:ascii="Verdana" w:hAnsi="Verdana"/>
          <w:lang w:val="en-GB"/>
        </w:rPr>
        <w:t xml:space="preserve"> offence, the Home Office statutory guidance </w:t>
      </w:r>
      <w:r w:rsidR="007D7CB5" w:rsidRPr="00D55B2B">
        <w:rPr>
          <w:rFonts w:ascii="Verdana" w:hAnsi="Verdana"/>
          <w:lang w:val="en-GB"/>
        </w:rPr>
        <w:t xml:space="preserve">on controlling and coercive behaviour </w:t>
      </w:r>
      <w:r w:rsidRPr="00D55B2B">
        <w:rPr>
          <w:rFonts w:ascii="Verdana" w:hAnsi="Verdana"/>
          <w:lang w:val="en-GB"/>
        </w:rPr>
        <w:t>sets out 64 other criminal offences that may apply in a domestic abuse case</w:t>
      </w:r>
      <w:r w:rsidRPr="00D55B2B">
        <w:rPr>
          <w:rStyle w:val="FootnoteReference"/>
          <w:rFonts w:ascii="Verdana" w:hAnsi="Verdana"/>
          <w:lang w:val="en-GB"/>
        </w:rPr>
        <w:footnoteReference w:id="145"/>
      </w:r>
      <w:r w:rsidR="002E476D" w:rsidRPr="00D55B2B">
        <w:rPr>
          <w:rFonts w:ascii="Verdana" w:hAnsi="Verdana"/>
          <w:lang w:val="en-GB"/>
        </w:rPr>
        <w:t>.</w:t>
      </w:r>
      <w:r w:rsidRPr="00D55B2B">
        <w:rPr>
          <w:rFonts w:ascii="Verdana" w:hAnsi="Verdana"/>
          <w:lang w:val="en-GB"/>
        </w:rPr>
        <w:t xml:space="preserve"> Providing such a wide range of options risks confusing</w:t>
      </w:r>
      <w:r w:rsidR="00E8079D" w:rsidRPr="00D55B2B">
        <w:rPr>
          <w:rFonts w:ascii="Verdana" w:hAnsi="Verdana"/>
          <w:lang w:val="en-GB"/>
        </w:rPr>
        <w:t xml:space="preserve"> </w:t>
      </w:r>
      <w:r w:rsidRPr="00D55B2B">
        <w:rPr>
          <w:rFonts w:ascii="Verdana" w:hAnsi="Verdana"/>
          <w:lang w:val="en-GB"/>
        </w:rPr>
        <w:t xml:space="preserve">not only victims but also professionals involved in this area.  The police will need to consider which offence to bring a charge under, if any, and legal practitioners will need to advise their clients as to whether they should simply be relying on the CPS to pursue a criminal action or whether they should be seeking their own private action through the civil and family courts. Each action will have its own disadvantages and advantages, cost implications and timescales.  </w:t>
      </w:r>
    </w:p>
    <w:p w14:paraId="4FD4D0A2" w14:textId="77777777" w:rsidR="002B70BF" w:rsidRPr="00D55B2B" w:rsidRDefault="002B70BF" w:rsidP="007E262A">
      <w:pPr>
        <w:spacing w:line="360" w:lineRule="auto"/>
        <w:ind w:right="-478"/>
        <w:jc w:val="both"/>
        <w:rPr>
          <w:rFonts w:ascii="Verdana" w:hAnsi="Verdana"/>
          <w:lang w:val="en-GB"/>
        </w:rPr>
      </w:pPr>
    </w:p>
    <w:p w14:paraId="3254AC45" w14:textId="64341B4F" w:rsidR="004D3AD3" w:rsidRPr="00D55B2B" w:rsidRDefault="004D3AD3" w:rsidP="007E262A">
      <w:pPr>
        <w:spacing w:line="360" w:lineRule="auto"/>
        <w:ind w:right="-478"/>
        <w:jc w:val="both"/>
        <w:rPr>
          <w:rFonts w:ascii="Verdana" w:hAnsi="Verdana"/>
          <w:lang w:val="en-GB"/>
        </w:rPr>
      </w:pPr>
      <w:r w:rsidRPr="00D55B2B">
        <w:rPr>
          <w:rFonts w:ascii="Verdana" w:hAnsi="Verdana"/>
          <w:lang w:val="en-GB"/>
        </w:rPr>
        <w:t xml:space="preserve">This </w:t>
      </w:r>
      <w:r w:rsidR="003C0A19">
        <w:rPr>
          <w:rFonts w:ascii="Verdana" w:hAnsi="Verdana"/>
          <w:lang w:val="en-GB"/>
        </w:rPr>
        <w:t>was</w:t>
      </w:r>
      <w:r w:rsidRPr="00D55B2B">
        <w:rPr>
          <w:rFonts w:ascii="Verdana" w:hAnsi="Verdana"/>
          <w:lang w:val="en-GB"/>
        </w:rPr>
        <w:t xml:space="preserve"> acknowledged by the </w:t>
      </w:r>
      <w:r w:rsidR="00AE1F79" w:rsidRPr="00D55B2B">
        <w:rPr>
          <w:rFonts w:ascii="Verdana" w:hAnsi="Verdana"/>
          <w:lang w:val="en-GB"/>
        </w:rPr>
        <w:t xml:space="preserve">UK </w:t>
      </w:r>
      <w:r w:rsidRPr="00D55B2B">
        <w:rPr>
          <w:rFonts w:ascii="Verdana" w:hAnsi="Verdana"/>
          <w:lang w:val="en-GB"/>
        </w:rPr>
        <w:t xml:space="preserve">government in their 2018 consultation and yet they </w:t>
      </w:r>
      <w:r w:rsidR="00DC0B88">
        <w:rPr>
          <w:rFonts w:ascii="Verdana" w:hAnsi="Verdana"/>
          <w:lang w:val="en-GB"/>
        </w:rPr>
        <w:t xml:space="preserve">are </w:t>
      </w:r>
      <w:r w:rsidRPr="00D55B2B">
        <w:rPr>
          <w:rFonts w:ascii="Verdana" w:hAnsi="Verdana"/>
          <w:lang w:val="en-GB"/>
        </w:rPr>
        <w:t>still propos</w:t>
      </w:r>
      <w:r w:rsidR="00DC0B88">
        <w:rPr>
          <w:rFonts w:ascii="Verdana" w:hAnsi="Verdana"/>
          <w:lang w:val="en-GB"/>
        </w:rPr>
        <w:t>ing</w:t>
      </w:r>
      <w:r w:rsidRPr="00D55B2B">
        <w:rPr>
          <w:rFonts w:ascii="Verdana" w:hAnsi="Verdana"/>
          <w:lang w:val="en-GB"/>
        </w:rPr>
        <w:t xml:space="preserve"> the introduction of another type of </w:t>
      </w:r>
      <w:r w:rsidR="007D7CB5" w:rsidRPr="00D55B2B">
        <w:rPr>
          <w:rFonts w:ascii="Verdana" w:hAnsi="Verdana"/>
          <w:lang w:val="en-GB"/>
        </w:rPr>
        <w:t>order</w:t>
      </w:r>
      <w:r w:rsidR="009D0DF2" w:rsidRPr="00D55B2B">
        <w:rPr>
          <w:rFonts w:ascii="Verdana" w:hAnsi="Verdana"/>
          <w:lang w:val="en-GB"/>
        </w:rPr>
        <w:t xml:space="preserve">. </w:t>
      </w:r>
      <w:r w:rsidR="00DC0B88">
        <w:rPr>
          <w:rFonts w:ascii="Verdana" w:hAnsi="Verdana"/>
          <w:lang w:val="en-GB"/>
        </w:rPr>
        <w:t>As addressed earlier in this article, t</w:t>
      </w:r>
      <w:r w:rsidRPr="00D55B2B">
        <w:rPr>
          <w:rFonts w:ascii="Verdana" w:hAnsi="Verdana"/>
          <w:lang w:val="en-GB"/>
        </w:rPr>
        <w:t xml:space="preserve">he </w:t>
      </w:r>
      <w:r w:rsidR="002B44CA" w:rsidRPr="00D55B2B">
        <w:rPr>
          <w:rFonts w:ascii="Verdana" w:hAnsi="Verdana"/>
          <w:lang w:val="en-GB"/>
        </w:rPr>
        <w:t xml:space="preserve">newly </w:t>
      </w:r>
      <w:r w:rsidRPr="00D55B2B">
        <w:rPr>
          <w:rFonts w:ascii="Verdana" w:hAnsi="Verdana"/>
          <w:lang w:val="en-GB"/>
        </w:rPr>
        <w:t>proposed D</w:t>
      </w:r>
      <w:r w:rsidR="00A1410D" w:rsidRPr="00D55B2B">
        <w:rPr>
          <w:rFonts w:ascii="Verdana" w:hAnsi="Verdana"/>
          <w:lang w:val="en-GB"/>
        </w:rPr>
        <w:t>A</w:t>
      </w:r>
      <w:r w:rsidRPr="00D55B2B">
        <w:rPr>
          <w:rFonts w:ascii="Verdana" w:hAnsi="Verdana"/>
          <w:lang w:val="en-GB"/>
        </w:rPr>
        <w:t>PO will share similarities with non-molestation orders, causing the authors to question why such an order is required. The only obvious difference will be that D</w:t>
      </w:r>
      <w:r w:rsidR="00A1410D" w:rsidRPr="00D55B2B">
        <w:rPr>
          <w:rFonts w:ascii="Verdana" w:hAnsi="Verdana"/>
          <w:lang w:val="en-GB"/>
        </w:rPr>
        <w:t>A</w:t>
      </w:r>
      <w:r w:rsidRPr="00D55B2B">
        <w:rPr>
          <w:rFonts w:ascii="Verdana" w:hAnsi="Verdana"/>
          <w:lang w:val="en-GB"/>
        </w:rPr>
        <w:t>PO</w:t>
      </w:r>
      <w:r w:rsidR="00A1410D" w:rsidRPr="00D55B2B">
        <w:rPr>
          <w:rFonts w:ascii="Verdana" w:hAnsi="Verdana"/>
          <w:lang w:val="en-GB"/>
        </w:rPr>
        <w:t xml:space="preserve"> will be </w:t>
      </w:r>
      <w:r w:rsidRPr="00D55B2B">
        <w:rPr>
          <w:rFonts w:ascii="Verdana" w:hAnsi="Verdana"/>
          <w:lang w:val="en-GB"/>
        </w:rPr>
        <w:t>pursued by the police rather than by the victim themselves.  This has an advantage in cases where a victim is ineligible for legal aid to pursue a family court order but has the disadvantage of relying on police resources and a willingness on the part of the police to take a</w:t>
      </w:r>
      <w:r w:rsidR="001513B1" w:rsidRPr="00D55B2B">
        <w:rPr>
          <w:rFonts w:ascii="Verdana" w:hAnsi="Verdana"/>
          <w:lang w:val="en-GB"/>
        </w:rPr>
        <w:t xml:space="preserve"> case </w:t>
      </w:r>
      <w:r w:rsidRPr="00D55B2B">
        <w:rPr>
          <w:rFonts w:ascii="Verdana" w:hAnsi="Verdana"/>
          <w:lang w:val="en-GB"/>
        </w:rPr>
        <w:t>forward.</w:t>
      </w:r>
    </w:p>
    <w:p w14:paraId="7561AF9A" w14:textId="77777777" w:rsidR="004D3AD3" w:rsidRPr="00D55B2B" w:rsidRDefault="004D3AD3" w:rsidP="007E262A">
      <w:pPr>
        <w:spacing w:line="360" w:lineRule="auto"/>
        <w:ind w:right="-478"/>
        <w:jc w:val="both"/>
        <w:rPr>
          <w:rFonts w:ascii="Verdana" w:hAnsi="Verdana"/>
          <w:lang w:val="en-GB"/>
        </w:rPr>
      </w:pPr>
    </w:p>
    <w:p w14:paraId="3F9A8D4C" w14:textId="77777777" w:rsidR="004D3AD3" w:rsidRPr="00D55B2B" w:rsidRDefault="004D3AD3" w:rsidP="007E262A">
      <w:pPr>
        <w:spacing w:line="360" w:lineRule="auto"/>
        <w:ind w:right="-478"/>
        <w:jc w:val="both"/>
        <w:rPr>
          <w:rFonts w:ascii="Verdana" w:hAnsi="Verdana"/>
          <w:b/>
          <w:lang w:val="en-GB"/>
        </w:rPr>
      </w:pPr>
      <w:r w:rsidRPr="00D55B2B">
        <w:rPr>
          <w:rFonts w:ascii="Verdana" w:hAnsi="Verdana"/>
          <w:lang w:val="en-GB"/>
        </w:rPr>
        <w:t xml:space="preserve">The argument that we should empower victims to make a choice also ignores the coercive and controlling nature of domestic abuse. Criminalisation (with or without victim support) is potentially helpful in control and coercion cases where the perpetrator may continue to try an exert control over the victim to persuade them not to seek protection under the civil law/drop their applications.  As explained above, this is something that campaigners were particularly concerned about with the criminalisation of forced marriage.  </w:t>
      </w:r>
      <w:r w:rsidRPr="00D55B2B">
        <w:rPr>
          <w:rFonts w:ascii="Verdana" w:hAnsi="Verdana"/>
          <w:b/>
          <w:lang w:val="en-GB"/>
        </w:rPr>
        <w:t xml:space="preserve"> </w:t>
      </w:r>
    </w:p>
    <w:p w14:paraId="272B7B3F" w14:textId="77777777" w:rsidR="004D3AD3" w:rsidRPr="00D55B2B" w:rsidRDefault="004D3AD3" w:rsidP="007E262A">
      <w:pPr>
        <w:spacing w:line="360" w:lineRule="auto"/>
        <w:ind w:right="-478"/>
        <w:jc w:val="both"/>
        <w:rPr>
          <w:rFonts w:ascii="Verdana" w:hAnsi="Verdana"/>
          <w:lang w:val="en-GB"/>
        </w:rPr>
      </w:pPr>
    </w:p>
    <w:p w14:paraId="4A23E32C" w14:textId="77777777" w:rsidR="004D3AD3" w:rsidRPr="00D55B2B" w:rsidRDefault="004D3AD3" w:rsidP="007E262A">
      <w:pPr>
        <w:spacing w:line="360" w:lineRule="auto"/>
        <w:ind w:right="-478"/>
        <w:jc w:val="both"/>
        <w:rPr>
          <w:rFonts w:ascii="Verdana" w:hAnsi="Verdana"/>
          <w:lang w:val="en-GB"/>
        </w:rPr>
      </w:pPr>
      <w:r w:rsidRPr="00D55B2B">
        <w:rPr>
          <w:rFonts w:ascii="Verdana" w:hAnsi="Verdana"/>
          <w:lang w:val="en-GB"/>
        </w:rPr>
        <w:t>Indeed, some victims may not even self-identify as being in an abusive or controlling relationship.  For example, in “gaslighting” case</w:t>
      </w:r>
      <w:r w:rsidR="00EF1036" w:rsidRPr="00D55B2B">
        <w:rPr>
          <w:rFonts w:ascii="Verdana" w:hAnsi="Verdana"/>
          <w:lang w:val="en-GB"/>
        </w:rPr>
        <w:t>s</w:t>
      </w:r>
      <w:r w:rsidRPr="00D55B2B">
        <w:rPr>
          <w:rFonts w:ascii="Verdana" w:hAnsi="Verdana"/>
          <w:lang w:val="en-GB"/>
        </w:rPr>
        <w:t xml:space="preserve"> a victim may be convinced because of the psychological abuse that they have suffered, that they are to blame for the perpetrator’s actions. This particular type of psychological abuse is something that Prime Minister Theresa May has indicated she is committed to tackling as part of the draft domestic abuse bill</w:t>
      </w:r>
      <w:r w:rsidR="007C7146" w:rsidRPr="00D55B2B">
        <w:rPr>
          <w:rFonts w:ascii="Verdana" w:hAnsi="Verdana"/>
          <w:lang w:val="en-GB"/>
        </w:rPr>
        <w:t>.</w:t>
      </w:r>
      <w:r w:rsidRPr="00D55B2B">
        <w:rPr>
          <w:rStyle w:val="FootnoteReference"/>
          <w:rFonts w:ascii="Verdana" w:hAnsi="Verdana"/>
          <w:lang w:val="en-GB"/>
        </w:rPr>
        <w:footnoteReference w:id="146"/>
      </w:r>
      <w:r w:rsidRPr="00D55B2B">
        <w:rPr>
          <w:rFonts w:ascii="Verdana" w:hAnsi="Verdana"/>
          <w:lang w:val="en-GB"/>
        </w:rPr>
        <w:t xml:space="preserve">  In those cases, </w:t>
      </w:r>
      <w:r w:rsidR="006A4431" w:rsidRPr="00D55B2B">
        <w:rPr>
          <w:rFonts w:ascii="Verdana" w:hAnsi="Verdana"/>
          <w:lang w:val="en-GB"/>
        </w:rPr>
        <w:t>and following</w:t>
      </w:r>
      <w:r w:rsidR="00A1410D" w:rsidRPr="00D55B2B">
        <w:rPr>
          <w:rFonts w:ascii="Verdana" w:hAnsi="Verdana"/>
          <w:lang w:val="en-GB"/>
        </w:rPr>
        <w:t xml:space="preserve"> the ruling in</w:t>
      </w:r>
      <w:r w:rsidR="006A4431" w:rsidRPr="00D55B2B">
        <w:rPr>
          <w:rFonts w:ascii="Verdana" w:hAnsi="Verdana"/>
          <w:lang w:val="en-GB"/>
        </w:rPr>
        <w:t xml:space="preserve"> Opuz, t</w:t>
      </w:r>
      <w:r w:rsidRPr="00D55B2B">
        <w:rPr>
          <w:rFonts w:ascii="Verdana" w:hAnsi="Verdana"/>
          <w:lang w:val="en-GB"/>
        </w:rPr>
        <w:t>aking the responsibility for progressing an action away from the victim may be a positive step</w:t>
      </w:r>
      <w:r w:rsidR="00F76AE3" w:rsidRPr="00D55B2B">
        <w:rPr>
          <w:rFonts w:ascii="Verdana" w:hAnsi="Verdana"/>
          <w:lang w:val="en-GB"/>
        </w:rPr>
        <w:t>.</w:t>
      </w:r>
      <w:r w:rsidRPr="00D55B2B">
        <w:rPr>
          <w:rFonts w:ascii="Verdana" w:hAnsi="Verdana"/>
          <w:lang w:val="en-GB"/>
        </w:rPr>
        <w:t xml:space="preserve"> Implementing the ruling in </w:t>
      </w:r>
      <w:r w:rsidRPr="0060450D">
        <w:rPr>
          <w:rFonts w:ascii="Verdana" w:hAnsi="Verdana"/>
          <w:lang w:val="en-GB"/>
        </w:rPr>
        <w:t>Opuz</w:t>
      </w:r>
      <w:r w:rsidRPr="00241F04">
        <w:rPr>
          <w:rFonts w:ascii="Verdana" w:hAnsi="Verdana"/>
          <w:lang w:val="en-GB"/>
        </w:rPr>
        <w:t xml:space="preserve"> </w:t>
      </w:r>
      <w:r w:rsidRPr="00D55B2B">
        <w:rPr>
          <w:rFonts w:ascii="Verdana" w:hAnsi="Verdana"/>
          <w:lang w:val="en-GB"/>
        </w:rPr>
        <w:t xml:space="preserve">in the domestic framework in England and Wales relies on the CPS being able to successfully pursue a case without the victim’s involvement.  The idea was that this would be possible under the </w:t>
      </w:r>
      <w:r w:rsidR="00AD174A" w:rsidRPr="00D55B2B">
        <w:rPr>
          <w:rFonts w:ascii="Verdana" w:hAnsi="Verdana"/>
          <w:lang w:val="en-GB"/>
        </w:rPr>
        <w:t>coercive control legislation</w:t>
      </w:r>
      <w:r w:rsidRPr="00D55B2B">
        <w:rPr>
          <w:rFonts w:ascii="Verdana" w:hAnsi="Verdana"/>
          <w:lang w:val="en-GB"/>
        </w:rPr>
        <w:t xml:space="preserve"> and that evidence such as 999 tapes and police bodycams could assist with this</w:t>
      </w:r>
      <w:r w:rsidR="002133EF" w:rsidRPr="00D55B2B">
        <w:rPr>
          <w:rFonts w:ascii="Verdana" w:hAnsi="Verdana"/>
          <w:lang w:val="en-GB"/>
        </w:rPr>
        <w:t>.</w:t>
      </w:r>
      <w:r w:rsidRPr="00D55B2B">
        <w:rPr>
          <w:rStyle w:val="FootnoteReference"/>
          <w:rFonts w:ascii="Verdana" w:hAnsi="Verdana"/>
          <w:lang w:val="en-GB"/>
        </w:rPr>
        <w:footnoteReference w:id="147"/>
      </w:r>
      <w:r w:rsidR="002133EF" w:rsidRPr="00D55B2B">
        <w:rPr>
          <w:rFonts w:ascii="Verdana" w:hAnsi="Verdana"/>
          <w:lang w:val="en-GB"/>
        </w:rPr>
        <w:t xml:space="preserve"> </w:t>
      </w:r>
      <w:r w:rsidR="006D5994">
        <w:rPr>
          <w:rFonts w:ascii="Verdana" w:hAnsi="Verdana"/>
          <w:lang w:val="en-GB"/>
        </w:rPr>
        <w:t>Video</w:t>
      </w:r>
      <w:r w:rsidRPr="00D55B2B">
        <w:rPr>
          <w:rFonts w:ascii="Verdana" w:hAnsi="Verdana"/>
          <w:lang w:val="en-GB"/>
        </w:rPr>
        <w:t xml:space="preserve"> evidence is only useful if the correct questions are asked when the police attend an incident</w:t>
      </w:r>
      <w:r w:rsidR="00401304" w:rsidRPr="00D55B2B">
        <w:rPr>
          <w:rFonts w:ascii="Verdana" w:hAnsi="Verdana"/>
          <w:lang w:val="en-GB"/>
        </w:rPr>
        <w:t xml:space="preserve"> to </w:t>
      </w:r>
      <w:r w:rsidRPr="00D55B2B">
        <w:rPr>
          <w:rFonts w:ascii="Verdana" w:hAnsi="Verdana"/>
          <w:lang w:val="en-GB"/>
        </w:rPr>
        <w:t xml:space="preserve">speak to the victim.  </w:t>
      </w:r>
      <w:r w:rsidR="00CA56CE" w:rsidRPr="00D55B2B">
        <w:rPr>
          <w:rFonts w:ascii="Verdana" w:hAnsi="Verdana"/>
          <w:lang w:val="en-GB"/>
        </w:rPr>
        <w:t>F</w:t>
      </w:r>
      <w:r w:rsidRPr="00D55B2B">
        <w:rPr>
          <w:rFonts w:ascii="Verdana" w:hAnsi="Verdana"/>
          <w:lang w:val="en-GB"/>
        </w:rPr>
        <w:t xml:space="preserve">urther police training may therefore be required if prosecutions are to be progressed without victim support. </w:t>
      </w:r>
      <w:r w:rsidR="00CA56CE" w:rsidRPr="00D55B2B">
        <w:rPr>
          <w:rFonts w:ascii="Verdana" w:hAnsi="Verdana"/>
          <w:lang w:val="en-GB"/>
        </w:rPr>
        <w:t>T</w:t>
      </w:r>
      <w:r w:rsidRPr="00D55B2B">
        <w:rPr>
          <w:rFonts w:ascii="Verdana" w:hAnsi="Verdana"/>
          <w:lang w:val="en-GB"/>
        </w:rPr>
        <w:t>he Home Office guidance on the use of body worn devices also indicates that cameras should not be used where any allegations of serious sexual offences are made, unless the victim gives their explicit consent</w:t>
      </w:r>
      <w:r w:rsidR="002133EF" w:rsidRPr="00D55B2B">
        <w:rPr>
          <w:rFonts w:ascii="Verdana" w:hAnsi="Verdana"/>
          <w:lang w:val="en-GB"/>
        </w:rPr>
        <w:t>.</w:t>
      </w:r>
      <w:r w:rsidRPr="00D55B2B">
        <w:rPr>
          <w:rStyle w:val="FootnoteReference"/>
          <w:rFonts w:ascii="Verdana" w:hAnsi="Verdana"/>
          <w:lang w:val="en-GB"/>
        </w:rPr>
        <w:footnoteReference w:id="148"/>
      </w:r>
      <w:r w:rsidRPr="00D55B2B">
        <w:rPr>
          <w:rFonts w:ascii="Verdana" w:hAnsi="Verdana"/>
          <w:lang w:val="en-GB"/>
        </w:rPr>
        <w:t xml:space="preserve"> Given that 45% of female victims of rape or assault by penetration reported the offender to be a partner or ex-partner, this somewhat restricts their use</w:t>
      </w:r>
      <w:r w:rsidR="002133EF" w:rsidRPr="00D55B2B">
        <w:rPr>
          <w:rFonts w:ascii="Verdana" w:hAnsi="Verdana"/>
          <w:lang w:val="en-GB"/>
        </w:rPr>
        <w:t>.</w:t>
      </w:r>
      <w:r w:rsidRPr="00D55B2B">
        <w:rPr>
          <w:rStyle w:val="FootnoteReference"/>
          <w:rFonts w:ascii="Verdana" w:hAnsi="Verdana"/>
          <w:lang w:val="en-GB"/>
        </w:rPr>
        <w:footnoteReference w:id="149"/>
      </w:r>
      <w:r w:rsidRPr="00D55B2B">
        <w:rPr>
          <w:rFonts w:ascii="Verdana" w:hAnsi="Verdana"/>
          <w:lang w:val="en-GB"/>
        </w:rPr>
        <w:t xml:space="preserve"> </w:t>
      </w:r>
    </w:p>
    <w:p w14:paraId="5DCEED2B" w14:textId="77777777" w:rsidR="004D3AD3" w:rsidRPr="00D55B2B" w:rsidRDefault="004D3AD3" w:rsidP="007E262A">
      <w:pPr>
        <w:spacing w:line="360" w:lineRule="auto"/>
        <w:ind w:right="-478"/>
        <w:jc w:val="both"/>
        <w:rPr>
          <w:rFonts w:ascii="Verdana" w:hAnsi="Verdana"/>
          <w:lang w:val="en-GB"/>
        </w:rPr>
      </w:pPr>
    </w:p>
    <w:p w14:paraId="666D70D2" w14:textId="77777777" w:rsidR="004D3AD3" w:rsidRPr="00D55B2B" w:rsidRDefault="004D3AD3" w:rsidP="007E262A">
      <w:pPr>
        <w:spacing w:line="360" w:lineRule="auto"/>
        <w:ind w:right="-478"/>
        <w:jc w:val="both"/>
        <w:rPr>
          <w:rFonts w:ascii="Verdana" w:hAnsi="Verdana"/>
          <w:lang w:val="en-GB"/>
        </w:rPr>
      </w:pPr>
      <w:r w:rsidRPr="00D55B2B">
        <w:rPr>
          <w:rFonts w:ascii="Verdana" w:hAnsi="Verdana"/>
          <w:lang w:val="en-GB"/>
        </w:rPr>
        <w:t>The reality is that the majority of domestic abuse incidents will take place in the privacy of a victim’s home and there may not be any witnesses or outside involvement at all. Even with the 2015 offence, to pursue a conviction the CPS will need to be able to demonstrate what effect the behaviour had on a victim.  This is very difficu</w:t>
      </w:r>
      <w:r w:rsidR="00CD5C03" w:rsidRPr="00D55B2B">
        <w:rPr>
          <w:rFonts w:ascii="Verdana" w:hAnsi="Verdana"/>
          <w:lang w:val="en-GB"/>
        </w:rPr>
        <w:t xml:space="preserve">lt without a direct statement. </w:t>
      </w:r>
      <w:r w:rsidRPr="00D55B2B">
        <w:rPr>
          <w:rFonts w:ascii="Verdana" w:hAnsi="Verdana"/>
          <w:lang w:val="en-GB"/>
        </w:rPr>
        <w:t>Williamson gives the example of specific gestures or phrases that may cause a victim fear harm but may not be understood by a police officer attending an incident</w:t>
      </w:r>
      <w:r w:rsidR="00CD5C03" w:rsidRPr="00D55B2B">
        <w:rPr>
          <w:rFonts w:ascii="Verdana" w:hAnsi="Verdana"/>
          <w:lang w:val="en-GB"/>
        </w:rPr>
        <w:t>.</w:t>
      </w:r>
      <w:r w:rsidRPr="00D55B2B">
        <w:rPr>
          <w:rStyle w:val="FootnoteReference"/>
          <w:rFonts w:ascii="Verdana" w:hAnsi="Verdana"/>
          <w:lang w:val="en-GB"/>
        </w:rPr>
        <w:footnoteReference w:id="150"/>
      </w:r>
      <w:r w:rsidRPr="00D55B2B">
        <w:rPr>
          <w:rFonts w:ascii="Verdana" w:hAnsi="Verdana"/>
          <w:lang w:val="en-GB"/>
        </w:rPr>
        <w:t xml:space="preserve"> Certainly, the most recent statistics (ending March 2018) indicate that, despite the admissibility of hearsay evidence in the form of body cam footage, CCTV evidence or 999 calls, nearly half (48.8%) of domestic abuse-related of</w:t>
      </w:r>
      <w:r w:rsidR="0091751C" w:rsidRPr="00D55B2B">
        <w:rPr>
          <w:rFonts w:ascii="Verdana" w:hAnsi="Verdana"/>
          <w:lang w:val="en-GB"/>
        </w:rPr>
        <w:t>fences are still not progressed</w:t>
      </w:r>
      <w:r w:rsidRPr="00D55B2B">
        <w:rPr>
          <w:rFonts w:ascii="Verdana" w:hAnsi="Verdana"/>
          <w:lang w:val="en-GB"/>
        </w:rPr>
        <w:t xml:space="preserve"> due to evidential difficulties arising from the victim not supporting further action</w:t>
      </w:r>
      <w:r w:rsidR="00CD5C03" w:rsidRPr="00D55B2B">
        <w:rPr>
          <w:rFonts w:ascii="Verdana" w:hAnsi="Verdana"/>
          <w:lang w:val="en-GB"/>
        </w:rPr>
        <w:t>.</w:t>
      </w:r>
      <w:r w:rsidRPr="00D55B2B">
        <w:rPr>
          <w:rStyle w:val="FootnoteReference"/>
          <w:rFonts w:ascii="Verdana" w:hAnsi="Verdana"/>
          <w:lang w:val="en-GB"/>
        </w:rPr>
        <w:footnoteReference w:id="151"/>
      </w:r>
    </w:p>
    <w:p w14:paraId="0F8E1F34" w14:textId="77777777" w:rsidR="004D3AD3" w:rsidRPr="00D55B2B" w:rsidRDefault="004D3AD3" w:rsidP="007E262A">
      <w:pPr>
        <w:spacing w:line="360" w:lineRule="auto"/>
        <w:ind w:right="-478"/>
        <w:jc w:val="both"/>
        <w:rPr>
          <w:rFonts w:ascii="Verdana" w:hAnsi="Verdana"/>
          <w:lang w:val="en-GB"/>
        </w:rPr>
      </w:pPr>
    </w:p>
    <w:p w14:paraId="5A4FCB7B" w14:textId="77777777" w:rsidR="004D3AD3" w:rsidRPr="00D55B2B" w:rsidRDefault="004D3AD3" w:rsidP="007E262A">
      <w:pPr>
        <w:spacing w:line="360" w:lineRule="auto"/>
        <w:ind w:right="-478"/>
        <w:jc w:val="both"/>
        <w:rPr>
          <w:rFonts w:ascii="Verdana" w:hAnsi="Verdana"/>
          <w:lang w:val="en-GB"/>
        </w:rPr>
      </w:pPr>
      <w:r w:rsidRPr="00D55B2B">
        <w:rPr>
          <w:rFonts w:ascii="Verdana" w:hAnsi="Verdana"/>
          <w:lang w:val="en-GB"/>
        </w:rPr>
        <w:t xml:space="preserve">Bishop </w:t>
      </w:r>
      <w:r w:rsidR="00F675A0" w:rsidRPr="0006312F">
        <w:rPr>
          <w:rFonts w:ascii="Verdana" w:hAnsi="Verdana"/>
          <w:i/>
          <w:lang w:val="en-GB"/>
        </w:rPr>
        <w:t>et al</w:t>
      </w:r>
      <w:r w:rsidR="00F675A0" w:rsidRPr="00D55B2B">
        <w:rPr>
          <w:rFonts w:ascii="Verdana" w:hAnsi="Verdana"/>
          <w:lang w:val="en-GB"/>
        </w:rPr>
        <w:t xml:space="preserve"> </w:t>
      </w:r>
      <w:r w:rsidRPr="00D55B2B">
        <w:rPr>
          <w:rFonts w:ascii="Verdana" w:hAnsi="Verdana"/>
          <w:lang w:val="en-GB"/>
        </w:rPr>
        <w:t>summarise the literature in this area and the most common factors affecting the victim’s decision</w:t>
      </w:r>
      <w:r w:rsidR="006F7747" w:rsidRPr="00D55B2B">
        <w:rPr>
          <w:rFonts w:ascii="Verdana" w:hAnsi="Verdana"/>
          <w:lang w:val="en-GB"/>
        </w:rPr>
        <w:t xml:space="preserve"> not to support a conviction as</w:t>
      </w:r>
      <w:r w:rsidRPr="00D55B2B">
        <w:rPr>
          <w:rFonts w:ascii="Verdana" w:hAnsi="Verdana"/>
          <w:lang w:val="en-GB"/>
        </w:rPr>
        <w:t xml:space="preserve"> </w:t>
      </w:r>
      <w:r w:rsidR="00A1410D" w:rsidRPr="00D55B2B">
        <w:rPr>
          <w:rFonts w:ascii="Verdana" w:hAnsi="Verdana"/>
          <w:lang w:val="en-GB"/>
        </w:rPr>
        <w:t>‘</w:t>
      </w:r>
      <w:r w:rsidRPr="00D55B2B">
        <w:rPr>
          <w:rFonts w:ascii="Verdana" w:hAnsi="Verdana"/>
          <w:lang w:val="en-GB"/>
        </w:rPr>
        <w:t>fear of retaliation by the defendant or their relatives, a desire to continue with the relationship, and dissatisfaction with, or fear over, the court process</w:t>
      </w:r>
      <w:r w:rsidR="00A1410D" w:rsidRPr="00D55B2B">
        <w:rPr>
          <w:rFonts w:ascii="Verdana" w:hAnsi="Verdana"/>
          <w:lang w:val="en-GB"/>
        </w:rPr>
        <w:t>’</w:t>
      </w:r>
      <w:r w:rsidR="00D93164" w:rsidRPr="00D55B2B">
        <w:rPr>
          <w:rFonts w:ascii="Verdana" w:hAnsi="Verdana"/>
          <w:lang w:val="en-GB"/>
        </w:rPr>
        <w:t>.</w:t>
      </w:r>
      <w:r w:rsidRPr="00D55B2B">
        <w:rPr>
          <w:rStyle w:val="FootnoteReference"/>
          <w:rFonts w:ascii="Verdana" w:hAnsi="Verdana"/>
          <w:lang w:val="en-GB"/>
        </w:rPr>
        <w:footnoteReference w:id="152"/>
      </w:r>
      <w:r w:rsidRPr="00D55B2B">
        <w:rPr>
          <w:rFonts w:ascii="Verdana" w:hAnsi="Verdana"/>
          <w:lang w:val="en-GB"/>
        </w:rPr>
        <w:t xml:space="preserve"> Dissatisfaction with the court process could be a major issue for victims disengaging with criminal cases and, with a court system which is bulging at the seams, this does</w:t>
      </w:r>
      <w:r w:rsidR="00B75ECA" w:rsidRPr="00D55B2B">
        <w:rPr>
          <w:rFonts w:ascii="Verdana" w:hAnsi="Verdana"/>
          <w:lang w:val="en-GB"/>
        </w:rPr>
        <w:t xml:space="preserve"> not</w:t>
      </w:r>
      <w:r w:rsidRPr="00D55B2B">
        <w:rPr>
          <w:rFonts w:ascii="Verdana" w:hAnsi="Verdana"/>
          <w:lang w:val="en-GB"/>
        </w:rPr>
        <w:t xml:space="preserve"> look to be an issue that will be improved any time soon.  Cases are taking longer to be listed, too many cases are listed in a day leading to adjournments, and other cases need to be adjourned because of evidential problems that should have been resolved pre-trial. Bishop </w:t>
      </w:r>
      <w:r w:rsidR="00CD0956" w:rsidRPr="00D55B2B">
        <w:rPr>
          <w:rFonts w:ascii="Verdana" w:hAnsi="Verdana"/>
          <w:lang w:val="en-GB"/>
        </w:rPr>
        <w:t>et al</w:t>
      </w:r>
      <w:r w:rsidRPr="00D55B2B">
        <w:rPr>
          <w:rFonts w:ascii="Verdana" w:hAnsi="Verdana"/>
          <w:lang w:val="en-GB"/>
        </w:rPr>
        <w:t xml:space="preserve"> argue that the way to combat this is to increase confidence in the criminal justice system and point out that this is necessary because </w:t>
      </w:r>
      <w:r w:rsidR="00A1410D" w:rsidRPr="00D55B2B">
        <w:rPr>
          <w:rFonts w:ascii="Verdana" w:hAnsi="Verdana"/>
          <w:lang w:val="en-GB"/>
        </w:rPr>
        <w:t>‘</w:t>
      </w:r>
      <w:r w:rsidRPr="00D55B2B">
        <w:rPr>
          <w:rFonts w:ascii="Verdana" w:hAnsi="Verdana"/>
          <w:lang w:val="en-GB"/>
        </w:rPr>
        <w:t>a victim-centred approach is at the heart of the National Strategy to End Violence Against Women and Girls</w:t>
      </w:r>
      <w:r w:rsidR="00A1410D" w:rsidRPr="00D55B2B">
        <w:rPr>
          <w:rFonts w:ascii="Verdana" w:hAnsi="Verdana"/>
          <w:lang w:val="en-GB"/>
        </w:rPr>
        <w:t>’</w:t>
      </w:r>
      <w:r w:rsidR="00287E4C" w:rsidRPr="00D55B2B">
        <w:rPr>
          <w:rFonts w:ascii="Verdana" w:hAnsi="Verdana"/>
          <w:lang w:val="en-GB"/>
        </w:rPr>
        <w:t>.</w:t>
      </w:r>
      <w:r w:rsidRPr="00D55B2B">
        <w:rPr>
          <w:rStyle w:val="FootnoteReference"/>
          <w:rFonts w:ascii="Verdana" w:hAnsi="Verdana"/>
          <w:lang w:val="en-GB"/>
        </w:rPr>
        <w:footnoteReference w:id="153"/>
      </w:r>
      <w:r w:rsidR="00287E4C" w:rsidRPr="00D55B2B">
        <w:rPr>
          <w:rFonts w:ascii="Verdana" w:hAnsi="Verdana"/>
          <w:lang w:val="en-GB"/>
        </w:rPr>
        <w:t xml:space="preserve"> </w:t>
      </w:r>
      <w:r w:rsidRPr="00D55B2B">
        <w:rPr>
          <w:rFonts w:ascii="Verdana" w:hAnsi="Verdana"/>
          <w:lang w:val="en-GB"/>
        </w:rPr>
        <w:t xml:space="preserve">Bishop </w:t>
      </w:r>
      <w:r w:rsidR="00A5009B" w:rsidRPr="00D55B2B">
        <w:rPr>
          <w:rFonts w:ascii="Verdana" w:hAnsi="Verdana"/>
          <w:lang w:val="en-GB"/>
        </w:rPr>
        <w:t>et al</w:t>
      </w:r>
      <w:r w:rsidR="00207EF2" w:rsidRPr="00D55B2B">
        <w:rPr>
          <w:rFonts w:ascii="Verdana" w:hAnsi="Verdana"/>
          <w:lang w:val="en-GB"/>
        </w:rPr>
        <w:t xml:space="preserve"> </w:t>
      </w:r>
      <w:r w:rsidRPr="00D55B2B">
        <w:rPr>
          <w:rFonts w:ascii="Verdana" w:hAnsi="Verdana"/>
          <w:lang w:val="en-GB"/>
        </w:rPr>
        <w:t xml:space="preserve">also indicate that there is a need for </w:t>
      </w:r>
      <w:r w:rsidR="00A1410D" w:rsidRPr="00D55B2B">
        <w:rPr>
          <w:rFonts w:ascii="Verdana" w:hAnsi="Verdana"/>
          <w:lang w:val="en-GB"/>
        </w:rPr>
        <w:t>‘</w:t>
      </w:r>
      <w:r w:rsidRPr="00D55B2B">
        <w:rPr>
          <w:rFonts w:ascii="Verdana" w:hAnsi="Verdana"/>
          <w:lang w:val="en-GB"/>
        </w:rPr>
        <w:t>increased training for legal professionals</w:t>
      </w:r>
      <w:r w:rsidR="00A1410D" w:rsidRPr="00D55B2B">
        <w:rPr>
          <w:rFonts w:ascii="Verdana" w:hAnsi="Verdana"/>
          <w:lang w:val="en-GB"/>
        </w:rPr>
        <w:t>’</w:t>
      </w:r>
      <w:r w:rsidRPr="00D55B2B">
        <w:rPr>
          <w:rFonts w:ascii="Verdana" w:hAnsi="Verdana"/>
          <w:lang w:val="en-GB"/>
        </w:rPr>
        <w:t xml:space="preserve"> more generally on the effect of trauma on witness evidence</w:t>
      </w:r>
      <w:r w:rsidR="00287E4C" w:rsidRPr="00D55B2B">
        <w:rPr>
          <w:rFonts w:ascii="Verdana" w:hAnsi="Verdana"/>
          <w:lang w:val="en-GB"/>
        </w:rPr>
        <w:t>.</w:t>
      </w:r>
      <w:r w:rsidR="00207EF2" w:rsidRPr="00D55B2B">
        <w:rPr>
          <w:rStyle w:val="FootnoteReference"/>
          <w:rFonts w:ascii="Verdana" w:hAnsi="Verdana"/>
          <w:lang w:val="en-GB"/>
        </w:rPr>
        <w:footnoteReference w:id="154"/>
      </w:r>
      <w:r w:rsidR="00287E4C" w:rsidRPr="00D55B2B">
        <w:rPr>
          <w:rFonts w:ascii="Verdana" w:hAnsi="Verdana"/>
          <w:lang w:val="en-GB"/>
        </w:rPr>
        <w:t xml:space="preserve"> </w:t>
      </w:r>
      <w:r w:rsidRPr="00D55B2B">
        <w:rPr>
          <w:rFonts w:ascii="Verdana" w:hAnsi="Verdana"/>
          <w:lang w:val="en-GB"/>
        </w:rPr>
        <w:t>At a Justice for Women event in November 2018</w:t>
      </w:r>
      <w:r w:rsidR="00287E4C" w:rsidRPr="00D55B2B">
        <w:rPr>
          <w:rFonts w:ascii="Verdana" w:hAnsi="Verdana"/>
          <w:lang w:val="en-GB"/>
        </w:rPr>
        <w:t>,</w:t>
      </w:r>
      <w:r w:rsidR="00D4628D" w:rsidRPr="00D55B2B">
        <w:rPr>
          <w:rStyle w:val="FootnoteReference"/>
          <w:rFonts w:ascii="Verdana" w:hAnsi="Verdana"/>
          <w:lang w:val="en-GB"/>
        </w:rPr>
        <w:footnoteReference w:id="155"/>
      </w:r>
      <w:r w:rsidR="00287E4C" w:rsidRPr="00D55B2B">
        <w:rPr>
          <w:rFonts w:ascii="Verdana" w:hAnsi="Verdana"/>
          <w:lang w:val="en-GB"/>
        </w:rPr>
        <w:t xml:space="preserve"> </w:t>
      </w:r>
      <w:r w:rsidRPr="00D55B2B">
        <w:rPr>
          <w:rFonts w:ascii="Verdana" w:hAnsi="Verdana"/>
          <w:lang w:val="en-GB"/>
        </w:rPr>
        <w:t xml:space="preserve">when discussing the approach of lawyers to coercive </w:t>
      </w:r>
      <w:r w:rsidR="00DC0B88">
        <w:rPr>
          <w:rFonts w:ascii="Verdana" w:hAnsi="Verdana"/>
          <w:lang w:val="en-GB"/>
        </w:rPr>
        <w:t xml:space="preserve">and </w:t>
      </w:r>
      <w:r w:rsidRPr="00D55B2B">
        <w:rPr>
          <w:rFonts w:ascii="Verdana" w:hAnsi="Verdana"/>
          <w:lang w:val="en-GB"/>
        </w:rPr>
        <w:t>control</w:t>
      </w:r>
      <w:r w:rsidR="00DC0B88">
        <w:rPr>
          <w:rFonts w:ascii="Verdana" w:hAnsi="Verdana"/>
          <w:lang w:val="en-GB"/>
        </w:rPr>
        <w:t>ling behaviour</w:t>
      </w:r>
      <w:r w:rsidRPr="00D55B2B">
        <w:rPr>
          <w:rFonts w:ascii="Verdana" w:hAnsi="Verdana"/>
          <w:lang w:val="en-GB"/>
        </w:rPr>
        <w:t xml:space="preserve"> cases, Wistrich</w:t>
      </w:r>
      <w:r w:rsidRPr="00D55B2B">
        <w:rPr>
          <w:rStyle w:val="FootnoteReference"/>
          <w:rFonts w:ascii="Verdana" w:hAnsi="Verdana"/>
          <w:lang w:val="en-GB"/>
        </w:rPr>
        <w:footnoteReference w:id="156"/>
      </w:r>
      <w:r w:rsidRPr="00D55B2B">
        <w:rPr>
          <w:rFonts w:ascii="Verdana" w:hAnsi="Verdana"/>
          <w:lang w:val="en-GB"/>
        </w:rPr>
        <w:t xml:space="preserve"> suggested that lawyers acting in domestic abuse cases should have to participate in training and obtain accreditation in the same way that Children Panel solicitors do in care proceeding cases.  In an already stretched system where the number of legal aid solicitors are already lacking, additional burdens to instructing a solicitor are unlikely to be welcomed. However, as stated above, lawyers practising in this area need to, as a minimum, develop an understanding of the different options available to victims in the civil, family and criminal courts.  If the government continue with their plans to introduce more legislation on this subject, a knowledge of one of those practice areas alone will no longer suffice and victims will require increasingly holistic advice about </w:t>
      </w:r>
      <w:r w:rsidRPr="00D55B2B">
        <w:rPr>
          <w:rFonts w:ascii="Verdana" w:hAnsi="Verdana"/>
          <w:u w:val="single"/>
          <w:lang w:val="en-GB"/>
        </w:rPr>
        <w:t>all</w:t>
      </w:r>
      <w:r w:rsidRPr="00D55B2B">
        <w:rPr>
          <w:rFonts w:ascii="Verdana" w:hAnsi="Verdana"/>
          <w:lang w:val="en-GB"/>
        </w:rPr>
        <w:t xml:space="preserve"> their available options.</w:t>
      </w:r>
    </w:p>
    <w:p w14:paraId="423E135D" w14:textId="77777777" w:rsidR="00CD1E55" w:rsidRPr="00D55B2B" w:rsidRDefault="00CD1E55" w:rsidP="007E262A">
      <w:pPr>
        <w:spacing w:line="360" w:lineRule="auto"/>
        <w:ind w:right="-478"/>
        <w:jc w:val="both"/>
        <w:rPr>
          <w:rFonts w:ascii="Verdana" w:hAnsi="Verdana"/>
          <w:lang w:val="en-GB"/>
        </w:rPr>
      </w:pPr>
    </w:p>
    <w:p w14:paraId="62799CEB" w14:textId="77777777" w:rsidR="00736F99" w:rsidRPr="00D55B2B" w:rsidRDefault="006D5994" w:rsidP="007E262A">
      <w:pPr>
        <w:spacing w:line="360" w:lineRule="auto"/>
        <w:ind w:right="-478"/>
        <w:jc w:val="both"/>
        <w:rPr>
          <w:rFonts w:ascii="Verdana" w:hAnsi="Verdana"/>
        </w:rPr>
      </w:pPr>
      <w:r>
        <w:rPr>
          <w:rFonts w:ascii="Verdana" w:hAnsi="Verdana"/>
        </w:rPr>
        <w:t>T</w:t>
      </w:r>
      <w:r w:rsidR="002F4CC4" w:rsidRPr="00D55B2B">
        <w:rPr>
          <w:rFonts w:ascii="Verdana" w:hAnsi="Verdana"/>
        </w:rPr>
        <w:t xml:space="preserve">he limitations of </w:t>
      </w:r>
      <w:r w:rsidR="006B5576" w:rsidRPr="00D55B2B">
        <w:rPr>
          <w:rFonts w:ascii="Verdana" w:hAnsi="Verdana"/>
        </w:rPr>
        <w:t>victim participation</w:t>
      </w:r>
      <w:r w:rsidR="00E072EE" w:rsidRPr="00D55B2B">
        <w:rPr>
          <w:rFonts w:ascii="Verdana" w:hAnsi="Verdana"/>
        </w:rPr>
        <w:t xml:space="preserve"> in criminal proceedings</w:t>
      </w:r>
      <w:r w:rsidR="002F4CC4" w:rsidRPr="00D55B2B">
        <w:rPr>
          <w:rFonts w:ascii="Verdana" w:hAnsi="Verdana"/>
        </w:rPr>
        <w:t xml:space="preserve"> can be seen in the </w:t>
      </w:r>
      <w:r w:rsidR="006F7747" w:rsidRPr="00D55B2B">
        <w:rPr>
          <w:rFonts w:ascii="Verdana" w:hAnsi="Verdana"/>
        </w:rPr>
        <w:t xml:space="preserve">case of Russia where, </w:t>
      </w:r>
      <w:r w:rsidR="00635A07" w:rsidRPr="00D55B2B">
        <w:rPr>
          <w:rFonts w:ascii="Verdana" w:hAnsi="Verdana"/>
        </w:rPr>
        <w:t>under</w:t>
      </w:r>
      <w:r w:rsidR="00BD57BF" w:rsidRPr="00D55B2B">
        <w:rPr>
          <w:rFonts w:ascii="Verdana" w:hAnsi="Verdana"/>
        </w:rPr>
        <w:t xml:space="preserve"> Article 115 and</w:t>
      </w:r>
      <w:r w:rsidR="00CD1E55" w:rsidRPr="00D55B2B">
        <w:rPr>
          <w:rFonts w:ascii="Verdana" w:hAnsi="Verdana"/>
        </w:rPr>
        <w:t xml:space="preserve"> Article 116</w:t>
      </w:r>
      <w:r w:rsidR="006F7747" w:rsidRPr="00D55B2B">
        <w:rPr>
          <w:rFonts w:ascii="Verdana" w:hAnsi="Verdana"/>
        </w:rPr>
        <w:t>, prosecutions</w:t>
      </w:r>
      <w:r w:rsidR="00197E55" w:rsidRPr="00D55B2B">
        <w:rPr>
          <w:rFonts w:ascii="Verdana" w:hAnsi="Verdana"/>
        </w:rPr>
        <w:t xml:space="preserve"> are usually </w:t>
      </w:r>
      <w:r w:rsidR="00CD1E55" w:rsidRPr="00D55B2B">
        <w:rPr>
          <w:rFonts w:ascii="Verdana" w:hAnsi="Verdana"/>
        </w:rPr>
        <w:t xml:space="preserve">dealt with </w:t>
      </w:r>
      <w:r w:rsidR="00F658AC" w:rsidRPr="00D55B2B">
        <w:rPr>
          <w:rFonts w:ascii="Verdana" w:hAnsi="Verdana"/>
        </w:rPr>
        <w:t>privately</w:t>
      </w:r>
      <w:r w:rsidR="00CD1E55" w:rsidRPr="00D55B2B">
        <w:rPr>
          <w:rFonts w:ascii="Verdana" w:hAnsi="Verdana"/>
        </w:rPr>
        <w:t xml:space="preserve">. This means that </w:t>
      </w:r>
      <w:r w:rsidR="00FD5443" w:rsidRPr="00D55B2B">
        <w:rPr>
          <w:rFonts w:ascii="Verdana" w:hAnsi="Verdana"/>
        </w:rPr>
        <w:t xml:space="preserve">unlike in England, the </w:t>
      </w:r>
      <w:r w:rsidR="00CD1E55" w:rsidRPr="00D55B2B">
        <w:rPr>
          <w:rFonts w:ascii="Verdana" w:hAnsi="Verdana"/>
        </w:rPr>
        <w:t>onus is on the victim to start the proceedings, gather the evidence and present the case</w:t>
      </w:r>
      <w:r w:rsidR="000C7CC6" w:rsidRPr="00D55B2B">
        <w:rPr>
          <w:rFonts w:ascii="Verdana" w:hAnsi="Verdana"/>
        </w:rPr>
        <w:t xml:space="preserve">. Victims are expected to do so without </w:t>
      </w:r>
      <w:r w:rsidR="00CD1E55" w:rsidRPr="00D55B2B">
        <w:rPr>
          <w:rFonts w:ascii="Verdana" w:hAnsi="Verdana"/>
        </w:rPr>
        <w:t xml:space="preserve">any knowledge of the legal process, </w:t>
      </w:r>
      <w:r w:rsidR="0076448C" w:rsidRPr="00D55B2B">
        <w:rPr>
          <w:rFonts w:ascii="Verdana" w:hAnsi="Verdana"/>
        </w:rPr>
        <w:t xml:space="preserve">the </w:t>
      </w:r>
      <w:r w:rsidR="00CD1E55" w:rsidRPr="00D55B2B">
        <w:rPr>
          <w:rFonts w:ascii="Verdana" w:hAnsi="Verdana"/>
        </w:rPr>
        <w:t>evidential requirements</w:t>
      </w:r>
      <w:r w:rsidR="0076448C" w:rsidRPr="00D55B2B">
        <w:rPr>
          <w:rFonts w:ascii="Verdana" w:hAnsi="Verdana"/>
        </w:rPr>
        <w:t xml:space="preserve"> to secure a successful prosecution</w:t>
      </w:r>
      <w:r w:rsidR="00CD1E55" w:rsidRPr="00D55B2B">
        <w:rPr>
          <w:rFonts w:ascii="Verdana" w:hAnsi="Verdana"/>
        </w:rPr>
        <w:t xml:space="preserve"> or support from a publicly-funded legal adviser (unless, of course, they are willing and able to incur the costs in paying for an investigator and prosecutor). The victim is </w:t>
      </w:r>
      <w:r w:rsidR="00BC5B0D" w:rsidRPr="00D55B2B">
        <w:rPr>
          <w:rFonts w:ascii="Verdana" w:hAnsi="Verdana"/>
        </w:rPr>
        <w:t>expected</w:t>
      </w:r>
      <w:r w:rsidR="00CD1E55" w:rsidRPr="00D55B2B">
        <w:rPr>
          <w:rFonts w:ascii="Verdana" w:hAnsi="Verdana"/>
        </w:rPr>
        <w:t xml:space="preserve"> to take this action at a time when she is likely to be emotionally and physically vulnerable and may be facing further abuse from the perpetrator</w:t>
      </w:r>
      <w:r w:rsidR="00A1410D" w:rsidRPr="00D55B2B">
        <w:rPr>
          <w:rFonts w:ascii="Verdana" w:hAnsi="Verdana"/>
        </w:rPr>
        <w:t>.</w:t>
      </w:r>
      <w:r w:rsidR="00CD1E55" w:rsidRPr="00D55B2B">
        <w:rPr>
          <w:rFonts w:ascii="Verdana" w:hAnsi="Verdana"/>
        </w:rPr>
        <w:t xml:space="preserve"> </w:t>
      </w:r>
      <w:r w:rsidR="00A1410D" w:rsidRPr="00D55B2B">
        <w:rPr>
          <w:rFonts w:ascii="Verdana" w:hAnsi="Verdana"/>
        </w:rPr>
        <w:t xml:space="preserve">They could </w:t>
      </w:r>
      <w:r w:rsidR="00363E80" w:rsidRPr="00D55B2B">
        <w:rPr>
          <w:rFonts w:ascii="Verdana" w:hAnsi="Verdana"/>
        </w:rPr>
        <w:t xml:space="preserve">potentially </w:t>
      </w:r>
      <w:r w:rsidR="00A1410D" w:rsidRPr="00D55B2B">
        <w:rPr>
          <w:rFonts w:ascii="Verdana" w:hAnsi="Verdana"/>
        </w:rPr>
        <w:t xml:space="preserve">even </w:t>
      </w:r>
      <w:r w:rsidR="00363E80" w:rsidRPr="00D55B2B">
        <w:rPr>
          <w:rFonts w:ascii="Verdana" w:hAnsi="Verdana"/>
        </w:rPr>
        <w:t>still</w:t>
      </w:r>
      <w:r w:rsidR="00CD1E55" w:rsidRPr="00D55B2B">
        <w:rPr>
          <w:rFonts w:ascii="Verdana" w:hAnsi="Verdana"/>
        </w:rPr>
        <w:t xml:space="preserve"> </w:t>
      </w:r>
      <w:r w:rsidR="00A1410D" w:rsidRPr="00D55B2B">
        <w:rPr>
          <w:rFonts w:ascii="Verdana" w:hAnsi="Verdana"/>
        </w:rPr>
        <w:t>be living</w:t>
      </w:r>
      <w:r w:rsidR="00CD1E55" w:rsidRPr="00D55B2B">
        <w:rPr>
          <w:rFonts w:ascii="Verdana" w:hAnsi="Verdana"/>
        </w:rPr>
        <w:t xml:space="preserve"> with him, because </w:t>
      </w:r>
      <w:r w:rsidR="00D8586F" w:rsidRPr="00D55B2B">
        <w:rPr>
          <w:rFonts w:ascii="Verdana" w:hAnsi="Verdana"/>
        </w:rPr>
        <w:t xml:space="preserve">there </w:t>
      </w:r>
      <w:r w:rsidR="00A1410D" w:rsidRPr="00D55B2B">
        <w:rPr>
          <w:rFonts w:ascii="Verdana" w:hAnsi="Verdana"/>
        </w:rPr>
        <w:t>are</w:t>
      </w:r>
      <w:r w:rsidR="00D8586F" w:rsidRPr="00D55B2B">
        <w:rPr>
          <w:rFonts w:ascii="Verdana" w:hAnsi="Verdana"/>
        </w:rPr>
        <w:t xml:space="preserve"> no available family law injunctions which would be available to remove the </w:t>
      </w:r>
      <w:r w:rsidR="006506D8" w:rsidRPr="00D55B2B">
        <w:rPr>
          <w:rFonts w:ascii="Verdana" w:hAnsi="Verdana"/>
        </w:rPr>
        <w:t>perpetrator from the home</w:t>
      </w:r>
      <w:r w:rsidR="008E278E" w:rsidRPr="00D55B2B">
        <w:rPr>
          <w:rFonts w:ascii="Verdana" w:hAnsi="Verdana"/>
        </w:rPr>
        <w:t>, prohibit him from contacting her</w:t>
      </w:r>
      <w:r w:rsidR="006506D8" w:rsidRPr="00D55B2B">
        <w:rPr>
          <w:rFonts w:ascii="Verdana" w:hAnsi="Verdana"/>
        </w:rPr>
        <w:t xml:space="preserve"> and provide the victim with important breathing space</w:t>
      </w:r>
      <w:r w:rsidR="00CD1E55" w:rsidRPr="00D55B2B">
        <w:rPr>
          <w:rFonts w:ascii="Verdana" w:hAnsi="Verdana"/>
        </w:rPr>
        <w:t xml:space="preserve">. </w:t>
      </w:r>
    </w:p>
    <w:p w14:paraId="6E85BDCF" w14:textId="77777777" w:rsidR="00736F99" w:rsidRPr="00D55B2B" w:rsidRDefault="00736F99" w:rsidP="007E262A">
      <w:pPr>
        <w:spacing w:line="360" w:lineRule="auto"/>
        <w:ind w:right="-478"/>
        <w:jc w:val="both"/>
        <w:rPr>
          <w:rFonts w:ascii="Verdana" w:hAnsi="Verdana"/>
        </w:rPr>
      </w:pPr>
    </w:p>
    <w:p w14:paraId="1BCF9142" w14:textId="3E089FE8" w:rsidR="002E27F9" w:rsidRPr="00D55B2B" w:rsidRDefault="008F7935" w:rsidP="007E262A">
      <w:pPr>
        <w:spacing w:line="360" w:lineRule="auto"/>
        <w:ind w:right="-478"/>
        <w:jc w:val="both"/>
        <w:rPr>
          <w:rFonts w:ascii="Verdana" w:hAnsi="Verdana"/>
        </w:rPr>
      </w:pPr>
      <w:r w:rsidRPr="00D55B2B">
        <w:rPr>
          <w:rFonts w:ascii="Verdana" w:hAnsi="Verdana"/>
        </w:rPr>
        <w:t>As explained above, the</w:t>
      </w:r>
      <w:r w:rsidR="00CD1E55" w:rsidRPr="00D55B2B">
        <w:rPr>
          <w:rFonts w:ascii="Verdana" w:hAnsi="Verdana"/>
        </w:rPr>
        <w:t xml:space="preserve"> Russian government have justified using private prosecutions on the basis that</w:t>
      </w:r>
      <w:r w:rsidR="00A1410D" w:rsidRPr="00D55B2B">
        <w:rPr>
          <w:rFonts w:ascii="Verdana" w:hAnsi="Verdana"/>
        </w:rPr>
        <w:t>,</w:t>
      </w:r>
      <w:r w:rsidR="00CD1E55" w:rsidRPr="00D55B2B">
        <w:rPr>
          <w:rFonts w:ascii="Verdana" w:hAnsi="Verdana"/>
        </w:rPr>
        <w:t xml:space="preserve"> given the </w:t>
      </w:r>
      <w:r w:rsidR="0040772E" w:rsidRPr="00D55B2B">
        <w:rPr>
          <w:rFonts w:ascii="Verdana" w:hAnsi="Verdana"/>
        </w:rPr>
        <w:t>‘</w:t>
      </w:r>
      <w:r w:rsidR="00CD1E55" w:rsidRPr="00D55B2B">
        <w:rPr>
          <w:rFonts w:ascii="Verdana" w:hAnsi="Verdana"/>
        </w:rPr>
        <w:t>personal nature</w:t>
      </w:r>
      <w:r w:rsidR="0040772E" w:rsidRPr="00D55B2B">
        <w:rPr>
          <w:rFonts w:ascii="Verdana" w:hAnsi="Verdana"/>
        </w:rPr>
        <w:t>’</w:t>
      </w:r>
      <w:r w:rsidR="00CD1E55" w:rsidRPr="00D55B2B">
        <w:rPr>
          <w:rFonts w:ascii="Verdana" w:hAnsi="Verdana"/>
        </w:rPr>
        <w:t xml:space="preserve"> of the offence</w:t>
      </w:r>
      <w:r w:rsidR="00A1410D" w:rsidRPr="00D55B2B">
        <w:rPr>
          <w:rFonts w:ascii="Verdana" w:hAnsi="Verdana"/>
        </w:rPr>
        <w:t>,</w:t>
      </w:r>
      <w:r w:rsidR="00CD1E55" w:rsidRPr="00D55B2B">
        <w:rPr>
          <w:rFonts w:ascii="Verdana" w:hAnsi="Verdana"/>
        </w:rPr>
        <w:t xml:space="preserve"> it is appropriate for the victim to decide whether a prosecution is in their best interests. </w:t>
      </w:r>
      <w:r w:rsidR="008B2637">
        <w:rPr>
          <w:rFonts w:ascii="Verdana" w:hAnsi="Verdana"/>
        </w:rPr>
        <w:t>This</w:t>
      </w:r>
      <w:r w:rsidR="00CD1E55" w:rsidRPr="00D55B2B">
        <w:rPr>
          <w:rFonts w:ascii="Verdana" w:hAnsi="Verdana"/>
        </w:rPr>
        <w:t xml:space="preserve"> may seem admirable in theory,</w:t>
      </w:r>
      <w:r w:rsidR="00524942">
        <w:rPr>
          <w:rFonts w:ascii="Verdana" w:hAnsi="Verdana"/>
        </w:rPr>
        <w:t xml:space="preserve"> however</w:t>
      </w:r>
      <w:r w:rsidR="00CD1E55" w:rsidRPr="00D55B2B">
        <w:rPr>
          <w:rFonts w:ascii="Verdana" w:hAnsi="Verdana"/>
        </w:rPr>
        <w:t xml:space="preserve"> the reality is that many victims may not be aware of what is in their best interests and this is exaggerated further</w:t>
      </w:r>
      <w:r w:rsidR="002C1299" w:rsidRPr="00D55B2B">
        <w:rPr>
          <w:rFonts w:ascii="Verdana" w:hAnsi="Verdana"/>
        </w:rPr>
        <w:t xml:space="preserve"> </w:t>
      </w:r>
      <w:r w:rsidR="00CD1E55" w:rsidRPr="00D55B2B">
        <w:rPr>
          <w:rFonts w:ascii="Verdana" w:hAnsi="Verdana"/>
        </w:rPr>
        <w:t xml:space="preserve">when no public funding or support services are available to advise a victim about their options. </w:t>
      </w:r>
      <w:r w:rsidR="006B27BF" w:rsidRPr="00D55B2B">
        <w:rPr>
          <w:rFonts w:ascii="Verdana" w:hAnsi="Verdana"/>
        </w:rPr>
        <w:t xml:space="preserve">It also reinforces the message that domestic abuse </w:t>
      </w:r>
      <w:r w:rsidR="00E404A7" w:rsidRPr="00D55B2B">
        <w:rPr>
          <w:rFonts w:ascii="Verdana" w:hAnsi="Verdana"/>
        </w:rPr>
        <w:t xml:space="preserve">is a private matter which does not require state involvement. </w:t>
      </w:r>
      <w:r w:rsidR="00102796" w:rsidRPr="00D55B2B">
        <w:rPr>
          <w:rFonts w:ascii="Verdana" w:hAnsi="Verdana"/>
        </w:rPr>
        <w:t>E</w:t>
      </w:r>
      <w:r w:rsidR="00CD1E55" w:rsidRPr="00D55B2B">
        <w:rPr>
          <w:rFonts w:ascii="Verdana" w:hAnsi="Verdana"/>
        </w:rPr>
        <w:t>ven when a victim pursues a prosecution, they are left with virtually no state protection to support them in the conduct of proceedings. There are concerns that when victims do pay privately for representation, lawyers have not received the necessary training to effectively advocate for domestic abuse survivors</w:t>
      </w:r>
      <w:r w:rsidR="00190731" w:rsidRPr="00D55B2B">
        <w:rPr>
          <w:rFonts w:ascii="Verdana" w:hAnsi="Verdana"/>
        </w:rPr>
        <w:t>.</w:t>
      </w:r>
      <w:r w:rsidR="00CD1E55" w:rsidRPr="00D55B2B">
        <w:rPr>
          <w:rStyle w:val="FootnoteReference"/>
          <w:rFonts w:ascii="Verdana" w:hAnsi="Verdana"/>
        </w:rPr>
        <w:footnoteReference w:id="157"/>
      </w:r>
      <w:r w:rsidR="00CD1E55" w:rsidRPr="00D55B2B">
        <w:rPr>
          <w:rFonts w:ascii="Verdana" w:hAnsi="Verdana"/>
        </w:rPr>
        <w:t xml:space="preserve"> Likewise, a lack of training in the judiciary </w:t>
      </w:r>
      <w:r w:rsidR="002E27F9" w:rsidRPr="00D55B2B">
        <w:rPr>
          <w:rFonts w:ascii="Verdana" w:hAnsi="Verdana"/>
        </w:rPr>
        <w:t>often leads judges</w:t>
      </w:r>
      <w:r w:rsidR="00CD1E55" w:rsidRPr="00D55B2B">
        <w:rPr>
          <w:rFonts w:ascii="Verdana" w:hAnsi="Verdana"/>
        </w:rPr>
        <w:t xml:space="preserve"> to readily accept provocation as a defence and take such conduct into account in determ</w:t>
      </w:r>
      <w:r w:rsidR="00725003" w:rsidRPr="00D55B2B">
        <w:rPr>
          <w:rFonts w:ascii="Verdana" w:hAnsi="Verdana"/>
        </w:rPr>
        <w:t>ining sentencing. J</w:t>
      </w:r>
      <w:r w:rsidR="00CD1E55" w:rsidRPr="00D55B2B">
        <w:rPr>
          <w:rFonts w:ascii="Verdana" w:hAnsi="Verdana"/>
        </w:rPr>
        <w:t>udges can and do consider the ‘the conduct of the victim that led to the crime’</w:t>
      </w:r>
      <w:r w:rsidR="00190731" w:rsidRPr="00D55B2B">
        <w:rPr>
          <w:rFonts w:ascii="Verdana" w:hAnsi="Verdana"/>
        </w:rPr>
        <w:t>.</w:t>
      </w:r>
      <w:r w:rsidR="00CD1E55" w:rsidRPr="00D55B2B">
        <w:rPr>
          <w:rStyle w:val="FootnoteReference"/>
          <w:rFonts w:ascii="Verdana" w:hAnsi="Verdana"/>
        </w:rPr>
        <w:footnoteReference w:id="158"/>
      </w:r>
      <w:r w:rsidR="00190731" w:rsidRPr="00D55B2B">
        <w:rPr>
          <w:rFonts w:ascii="Verdana" w:hAnsi="Verdana"/>
        </w:rPr>
        <w:t xml:space="preserve"> </w:t>
      </w:r>
      <w:r w:rsidR="00CD1E55" w:rsidRPr="00D55B2B">
        <w:rPr>
          <w:rFonts w:ascii="Verdana" w:hAnsi="Verdana"/>
        </w:rPr>
        <w:t xml:space="preserve">Research by Danilenko et al also suggests that the judiciary mitigate defendants’ punishments if they try to get </w:t>
      </w:r>
      <w:r w:rsidR="001A129D" w:rsidRPr="00D55B2B">
        <w:rPr>
          <w:rFonts w:ascii="Verdana" w:hAnsi="Verdana"/>
        </w:rPr>
        <w:t>‘</w:t>
      </w:r>
      <w:r w:rsidR="00CD1E55" w:rsidRPr="00D55B2B">
        <w:rPr>
          <w:rFonts w:ascii="Verdana" w:hAnsi="Verdana"/>
        </w:rPr>
        <w:t>help</w:t>
      </w:r>
      <w:r w:rsidR="001A129D" w:rsidRPr="00D55B2B">
        <w:rPr>
          <w:rFonts w:ascii="Verdana" w:hAnsi="Verdana"/>
        </w:rPr>
        <w:t>’ for the victim,</w:t>
      </w:r>
      <w:r w:rsidR="00CD1E55" w:rsidRPr="00D55B2B">
        <w:rPr>
          <w:rFonts w:ascii="Verdana" w:hAnsi="Verdana"/>
        </w:rPr>
        <w:t xml:space="preserve"> they are in a ‘difficult situation’ </w:t>
      </w:r>
      <w:r w:rsidR="001A129D" w:rsidRPr="00D55B2B">
        <w:rPr>
          <w:rFonts w:ascii="Verdana" w:hAnsi="Verdana"/>
        </w:rPr>
        <w:t>or</w:t>
      </w:r>
      <w:r w:rsidR="00CD1E55" w:rsidRPr="00D55B2B">
        <w:rPr>
          <w:rFonts w:ascii="Verdana" w:hAnsi="Verdana"/>
        </w:rPr>
        <w:t xml:space="preserve"> </w:t>
      </w:r>
      <w:r w:rsidR="000B52CF" w:rsidRPr="00D55B2B">
        <w:rPr>
          <w:rFonts w:ascii="Verdana" w:hAnsi="Verdana"/>
        </w:rPr>
        <w:t>if they show</w:t>
      </w:r>
      <w:r w:rsidR="00CD1E55" w:rsidRPr="00D55B2B">
        <w:rPr>
          <w:rFonts w:ascii="Verdana" w:hAnsi="Verdana"/>
        </w:rPr>
        <w:t xml:space="preserve"> ‘compassion for the victim’</w:t>
      </w:r>
      <w:r w:rsidR="00861D6D" w:rsidRPr="00D55B2B">
        <w:rPr>
          <w:rFonts w:ascii="Verdana" w:hAnsi="Verdana"/>
        </w:rPr>
        <w:t>.</w:t>
      </w:r>
      <w:r w:rsidR="00C16C3F" w:rsidRPr="00D55B2B">
        <w:rPr>
          <w:rStyle w:val="FootnoteReference"/>
          <w:rFonts w:ascii="Verdana" w:hAnsi="Verdana"/>
        </w:rPr>
        <w:footnoteReference w:id="159"/>
      </w:r>
      <w:r w:rsidR="00CD1E55" w:rsidRPr="00D55B2B">
        <w:rPr>
          <w:rFonts w:ascii="Verdana" w:hAnsi="Verdana"/>
        </w:rPr>
        <w:t xml:space="preserve"> </w:t>
      </w:r>
    </w:p>
    <w:p w14:paraId="0504498D" w14:textId="77777777" w:rsidR="00FB2563" w:rsidRPr="00D55B2B" w:rsidRDefault="00FB2563" w:rsidP="007E262A">
      <w:pPr>
        <w:spacing w:line="360" w:lineRule="auto"/>
        <w:ind w:right="-478"/>
        <w:jc w:val="both"/>
        <w:rPr>
          <w:rFonts w:ascii="Verdana" w:hAnsi="Verdana"/>
        </w:rPr>
      </w:pPr>
    </w:p>
    <w:p w14:paraId="10865F06" w14:textId="77777777" w:rsidR="00905A52" w:rsidRPr="00D55B2B" w:rsidRDefault="006036B7" w:rsidP="007E262A">
      <w:pPr>
        <w:pStyle w:val="xmsonormal"/>
        <w:spacing w:before="0" w:beforeAutospacing="0" w:after="0" w:afterAutospacing="0" w:line="360" w:lineRule="auto"/>
        <w:ind w:right="-478"/>
        <w:jc w:val="both"/>
        <w:rPr>
          <w:rFonts w:ascii="Verdana" w:hAnsi="Verdana"/>
          <w:sz w:val="20"/>
          <w:szCs w:val="20"/>
        </w:rPr>
      </w:pPr>
      <w:r w:rsidRPr="00D55B2B">
        <w:rPr>
          <w:rFonts w:ascii="Verdana" w:hAnsi="Verdana"/>
          <w:sz w:val="20"/>
          <w:szCs w:val="20"/>
        </w:rPr>
        <w:t xml:space="preserve">Arguably, a more effective </w:t>
      </w:r>
      <w:r w:rsidR="003A0AE0" w:rsidRPr="00D55B2B">
        <w:rPr>
          <w:rFonts w:ascii="Verdana" w:hAnsi="Verdana"/>
          <w:sz w:val="20"/>
          <w:szCs w:val="20"/>
        </w:rPr>
        <w:t>compromise may</w:t>
      </w:r>
      <w:r w:rsidRPr="00D55B2B">
        <w:rPr>
          <w:rFonts w:ascii="Verdana" w:hAnsi="Verdana"/>
          <w:sz w:val="20"/>
          <w:szCs w:val="20"/>
        </w:rPr>
        <w:t xml:space="preserve"> be </w:t>
      </w:r>
      <w:r w:rsidR="002F6A57" w:rsidRPr="00D55B2B">
        <w:rPr>
          <w:rFonts w:ascii="Verdana" w:hAnsi="Verdana"/>
          <w:sz w:val="20"/>
          <w:szCs w:val="20"/>
        </w:rPr>
        <w:t xml:space="preserve">similar to the approach taken in </w:t>
      </w:r>
      <w:r w:rsidR="00603A90" w:rsidRPr="00D55B2B">
        <w:rPr>
          <w:rFonts w:ascii="Verdana" w:hAnsi="Verdana"/>
          <w:sz w:val="20"/>
          <w:szCs w:val="20"/>
        </w:rPr>
        <w:t xml:space="preserve">Germany </w:t>
      </w:r>
      <w:r w:rsidR="00162B2B" w:rsidRPr="00D55B2B">
        <w:rPr>
          <w:rFonts w:ascii="Verdana" w:hAnsi="Verdana"/>
          <w:sz w:val="20"/>
          <w:szCs w:val="20"/>
        </w:rPr>
        <w:t xml:space="preserve">where </w:t>
      </w:r>
      <w:r w:rsidR="006D7862" w:rsidRPr="00D55B2B">
        <w:rPr>
          <w:rFonts w:ascii="Verdana" w:hAnsi="Verdana"/>
          <w:sz w:val="20"/>
          <w:szCs w:val="20"/>
        </w:rPr>
        <w:t xml:space="preserve">complainants in criminal proceedings play a more active role as a ‘subsidiary prosecutor’, rather than </w:t>
      </w:r>
      <w:r w:rsidR="00C8661F" w:rsidRPr="00D55B2B">
        <w:rPr>
          <w:rFonts w:ascii="Verdana" w:hAnsi="Verdana"/>
          <w:sz w:val="20"/>
          <w:szCs w:val="20"/>
        </w:rPr>
        <w:t>either</w:t>
      </w:r>
      <w:r w:rsidR="006D7862" w:rsidRPr="00D55B2B">
        <w:rPr>
          <w:rFonts w:ascii="Verdana" w:hAnsi="Verdana"/>
          <w:sz w:val="20"/>
          <w:szCs w:val="20"/>
        </w:rPr>
        <w:t xml:space="preserve"> a prosecution witnes</w:t>
      </w:r>
      <w:r w:rsidR="00F959D8" w:rsidRPr="00D55B2B">
        <w:rPr>
          <w:rFonts w:ascii="Verdana" w:hAnsi="Verdana"/>
          <w:sz w:val="20"/>
          <w:szCs w:val="20"/>
        </w:rPr>
        <w:t xml:space="preserve">s or the prosecutor themselves. </w:t>
      </w:r>
      <w:r w:rsidR="006A20B7" w:rsidRPr="00D55B2B">
        <w:rPr>
          <w:rFonts w:ascii="Verdana" w:hAnsi="Verdana"/>
          <w:sz w:val="20"/>
          <w:szCs w:val="20"/>
        </w:rPr>
        <w:t>Doak describes that u</w:t>
      </w:r>
      <w:r w:rsidR="00D876F0" w:rsidRPr="00D55B2B">
        <w:rPr>
          <w:rFonts w:ascii="Verdana" w:hAnsi="Verdana"/>
          <w:sz w:val="20"/>
          <w:szCs w:val="20"/>
        </w:rPr>
        <w:t>nder this system</w:t>
      </w:r>
      <w:r w:rsidR="00DD5638" w:rsidRPr="00D55B2B">
        <w:rPr>
          <w:rFonts w:ascii="Verdana" w:hAnsi="Verdana"/>
          <w:sz w:val="20"/>
          <w:szCs w:val="20"/>
        </w:rPr>
        <w:t xml:space="preserve"> t</w:t>
      </w:r>
      <w:r w:rsidR="00603A90" w:rsidRPr="00D55B2B">
        <w:rPr>
          <w:rFonts w:ascii="Verdana" w:hAnsi="Verdana"/>
          <w:sz w:val="20"/>
          <w:szCs w:val="20"/>
        </w:rPr>
        <w:t>he victim is entitled to participatory rights, including</w:t>
      </w:r>
      <w:r w:rsidR="001D71EC" w:rsidRPr="00D55B2B">
        <w:rPr>
          <w:rFonts w:ascii="Verdana" w:hAnsi="Verdana"/>
          <w:sz w:val="20"/>
          <w:szCs w:val="20"/>
        </w:rPr>
        <w:t>:</w:t>
      </w:r>
    </w:p>
    <w:p w14:paraId="0DF81085" w14:textId="77777777" w:rsidR="00905A52" w:rsidRPr="00D55B2B" w:rsidRDefault="00905A52" w:rsidP="007E262A">
      <w:pPr>
        <w:pStyle w:val="xmsonormal"/>
        <w:spacing w:before="0" w:beforeAutospacing="0" w:after="0" w:afterAutospacing="0" w:line="360" w:lineRule="auto"/>
        <w:ind w:right="-478"/>
        <w:jc w:val="both"/>
        <w:rPr>
          <w:rFonts w:ascii="Verdana" w:hAnsi="Verdana"/>
          <w:sz w:val="20"/>
          <w:szCs w:val="20"/>
        </w:rPr>
      </w:pPr>
    </w:p>
    <w:p w14:paraId="009E7FA8" w14:textId="77777777" w:rsidR="00905A52" w:rsidRPr="00D55B2B" w:rsidRDefault="00D6078C" w:rsidP="007E262A">
      <w:pPr>
        <w:pStyle w:val="xmsonormal"/>
        <w:spacing w:before="0" w:beforeAutospacing="0" w:after="0" w:afterAutospacing="0" w:line="360" w:lineRule="auto"/>
        <w:ind w:left="851" w:right="-478"/>
        <w:jc w:val="both"/>
        <w:rPr>
          <w:rFonts w:ascii="Verdana" w:hAnsi="Verdana"/>
          <w:sz w:val="20"/>
          <w:szCs w:val="20"/>
        </w:rPr>
      </w:pPr>
      <w:r w:rsidRPr="00D55B2B">
        <w:rPr>
          <w:rFonts w:ascii="Verdana" w:hAnsi="Verdana"/>
          <w:sz w:val="20"/>
          <w:szCs w:val="20"/>
        </w:rPr>
        <w:t>T</w:t>
      </w:r>
      <w:r w:rsidR="00603A90" w:rsidRPr="00D55B2B">
        <w:rPr>
          <w:rFonts w:ascii="Verdana" w:hAnsi="Verdana"/>
          <w:sz w:val="20"/>
          <w:szCs w:val="20"/>
        </w:rPr>
        <w:t>he right to be present at all stages of the process; to put additional questions to witnesses; to provide additional evidence / make a statement; or to present a claim for compensation</w:t>
      </w:r>
      <w:r w:rsidR="00BC1E6B" w:rsidRPr="00D55B2B">
        <w:rPr>
          <w:rFonts w:ascii="Verdana" w:hAnsi="Verdana"/>
          <w:sz w:val="20"/>
          <w:szCs w:val="20"/>
        </w:rPr>
        <w:t>... t</w:t>
      </w:r>
      <w:r w:rsidR="00603A90" w:rsidRPr="00D55B2B">
        <w:rPr>
          <w:rFonts w:ascii="Verdana" w:hAnsi="Verdana"/>
          <w:sz w:val="20"/>
          <w:szCs w:val="20"/>
        </w:rPr>
        <w:t>he procedure thereby recognises the status of the complainant as the alleged victim of the criminal offence, whilst acknowledging at the same time the normative role of the state in prosecuting crime</w:t>
      </w:r>
      <w:r w:rsidR="008D3976" w:rsidRPr="00D55B2B">
        <w:rPr>
          <w:rFonts w:ascii="Verdana" w:hAnsi="Verdana"/>
          <w:sz w:val="20"/>
          <w:szCs w:val="20"/>
        </w:rPr>
        <w:t>.</w:t>
      </w:r>
      <w:r w:rsidR="003F502C" w:rsidRPr="00D55B2B">
        <w:rPr>
          <w:rStyle w:val="FootnoteReference"/>
          <w:rFonts w:ascii="Verdana" w:hAnsi="Verdana"/>
          <w:sz w:val="20"/>
          <w:szCs w:val="20"/>
        </w:rPr>
        <w:footnoteReference w:id="160"/>
      </w:r>
    </w:p>
    <w:p w14:paraId="5B94127E" w14:textId="77777777" w:rsidR="00905A52" w:rsidRPr="00D55B2B" w:rsidRDefault="00905A52" w:rsidP="007E262A">
      <w:pPr>
        <w:pStyle w:val="xmsonormal"/>
        <w:spacing w:before="0" w:beforeAutospacing="0" w:after="0" w:afterAutospacing="0" w:line="360" w:lineRule="auto"/>
        <w:ind w:right="-478"/>
        <w:jc w:val="both"/>
        <w:rPr>
          <w:rFonts w:ascii="Verdana" w:hAnsi="Verdana"/>
          <w:sz w:val="20"/>
          <w:szCs w:val="20"/>
        </w:rPr>
      </w:pPr>
    </w:p>
    <w:p w14:paraId="5A964A08" w14:textId="77777777" w:rsidR="00C641B0" w:rsidRPr="00D55B2B" w:rsidRDefault="00DA11F4" w:rsidP="007E262A">
      <w:pPr>
        <w:pStyle w:val="xmsonormal"/>
        <w:spacing w:before="0" w:beforeAutospacing="0" w:after="0" w:afterAutospacing="0" w:line="360" w:lineRule="auto"/>
        <w:ind w:right="-478"/>
        <w:jc w:val="both"/>
        <w:rPr>
          <w:rFonts w:ascii="Verdana" w:hAnsi="Verdana"/>
          <w:sz w:val="20"/>
          <w:szCs w:val="20"/>
        </w:rPr>
      </w:pPr>
      <w:r w:rsidRPr="00D55B2B">
        <w:rPr>
          <w:rFonts w:ascii="Verdana" w:hAnsi="Verdana"/>
          <w:sz w:val="20"/>
          <w:szCs w:val="20"/>
        </w:rPr>
        <w:t xml:space="preserve">Importantly, </w:t>
      </w:r>
      <w:r w:rsidR="00D876F0" w:rsidRPr="00D55B2B">
        <w:rPr>
          <w:rFonts w:ascii="Verdana" w:hAnsi="Verdana"/>
          <w:sz w:val="20"/>
          <w:szCs w:val="20"/>
        </w:rPr>
        <w:t xml:space="preserve">however, </w:t>
      </w:r>
      <w:r w:rsidRPr="00D55B2B">
        <w:rPr>
          <w:rFonts w:ascii="Verdana" w:hAnsi="Verdana"/>
          <w:sz w:val="20"/>
          <w:szCs w:val="20"/>
        </w:rPr>
        <w:t>the</w:t>
      </w:r>
      <w:r w:rsidR="00603A90" w:rsidRPr="00D55B2B">
        <w:rPr>
          <w:rFonts w:ascii="Verdana" w:hAnsi="Verdana"/>
          <w:sz w:val="20"/>
          <w:szCs w:val="20"/>
        </w:rPr>
        <w:t xml:space="preserve"> public prosecutor </w:t>
      </w:r>
      <w:r w:rsidR="00D876F0" w:rsidRPr="00D55B2B">
        <w:rPr>
          <w:rFonts w:ascii="Verdana" w:hAnsi="Verdana"/>
          <w:sz w:val="20"/>
          <w:szCs w:val="20"/>
        </w:rPr>
        <w:t>is ultimately responsible for</w:t>
      </w:r>
      <w:r w:rsidR="00603A90" w:rsidRPr="00D55B2B">
        <w:rPr>
          <w:rFonts w:ascii="Verdana" w:hAnsi="Verdana"/>
          <w:sz w:val="20"/>
          <w:szCs w:val="20"/>
        </w:rPr>
        <w:t xml:space="preserve"> preparing and presenting the prosecution</w:t>
      </w:r>
      <w:r w:rsidR="00F024B2" w:rsidRPr="00D55B2B">
        <w:rPr>
          <w:rFonts w:ascii="Verdana" w:hAnsi="Verdana"/>
          <w:sz w:val="20"/>
          <w:szCs w:val="20"/>
        </w:rPr>
        <w:t xml:space="preserve"> and therefore the victim does not bear this burden</w:t>
      </w:r>
      <w:r w:rsidR="00790E6E" w:rsidRPr="00D55B2B">
        <w:rPr>
          <w:rFonts w:ascii="Verdana" w:hAnsi="Verdana"/>
          <w:sz w:val="20"/>
          <w:szCs w:val="20"/>
        </w:rPr>
        <w:t xml:space="preserve">. </w:t>
      </w:r>
      <w:r w:rsidR="00435595" w:rsidRPr="00D55B2B">
        <w:rPr>
          <w:rFonts w:ascii="Verdana" w:hAnsi="Verdana"/>
          <w:sz w:val="20"/>
          <w:szCs w:val="20"/>
        </w:rPr>
        <w:t>Such an approach would have clear benefits for victims in both England and Russia.</w:t>
      </w:r>
    </w:p>
    <w:p w14:paraId="52A30D8A" w14:textId="77777777" w:rsidR="004D3AD3" w:rsidRPr="00D55B2B" w:rsidRDefault="004D3AD3" w:rsidP="007E262A">
      <w:pPr>
        <w:spacing w:line="360" w:lineRule="auto"/>
        <w:ind w:right="-478"/>
        <w:jc w:val="both"/>
        <w:rPr>
          <w:rFonts w:ascii="Verdana" w:hAnsi="Verdana"/>
          <w:lang w:val="en-GB"/>
        </w:rPr>
      </w:pPr>
    </w:p>
    <w:p w14:paraId="544B51E8" w14:textId="77777777" w:rsidR="004D3AD3" w:rsidRPr="00D55B2B" w:rsidRDefault="006D5994" w:rsidP="007E262A">
      <w:pPr>
        <w:spacing w:line="360" w:lineRule="auto"/>
        <w:ind w:right="-478"/>
        <w:jc w:val="both"/>
        <w:rPr>
          <w:rFonts w:ascii="Verdana" w:hAnsi="Verdana"/>
          <w:lang w:val="en-GB"/>
        </w:rPr>
      </w:pPr>
      <w:r>
        <w:rPr>
          <w:rFonts w:ascii="Verdana" w:hAnsi="Verdana"/>
          <w:lang w:val="en-GB"/>
        </w:rPr>
        <w:t>I</w:t>
      </w:r>
      <w:r w:rsidR="004D3AD3" w:rsidRPr="00D55B2B">
        <w:rPr>
          <w:rFonts w:ascii="Verdana" w:hAnsi="Verdana"/>
          <w:lang w:val="en-GB"/>
        </w:rPr>
        <w:t xml:space="preserve">t is not just about focusing on changes to the legal process, it is about ensuring that the services are available for survivors to access those processes and support them throughout.  </w:t>
      </w:r>
      <w:r w:rsidR="003C319F" w:rsidRPr="00D55B2B">
        <w:rPr>
          <w:rFonts w:ascii="Verdana" w:hAnsi="Verdana"/>
          <w:lang w:val="en-GB"/>
        </w:rPr>
        <w:t xml:space="preserve">This has been recognised by academics who </w:t>
      </w:r>
      <w:r w:rsidR="005C6372" w:rsidRPr="00D55B2B">
        <w:rPr>
          <w:rFonts w:ascii="Verdana" w:hAnsi="Verdana"/>
          <w:lang w:val="en-GB"/>
        </w:rPr>
        <w:t xml:space="preserve">have </w:t>
      </w:r>
      <w:r w:rsidR="00BD6F24" w:rsidRPr="00D55B2B">
        <w:rPr>
          <w:rFonts w:ascii="Verdana" w:hAnsi="Verdana"/>
          <w:lang w:val="en-GB"/>
        </w:rPr>
        <w:t>argued that</w:t>
      </w:r>
      <w:r w:rsidR="003C319F" w:rsidRPr="00D55B2B">
        <w:rPr>
          <w:rFonts w:ascii="Verdana" w:hAnsi="Verdana"/>
          <w:lang w:val="en-GB"/>
        </w:rPr>
        <w:t xml:space="preserve"> ‘</w:t>
      </w:r>
      <w:r w:rsidR="003C319F" w:rsidRPr="00D55B2B">
        <w:rPr>
          <w:rFonts w:ascii="Verdana" w:hAnsi="Verdana"/>
        </w:rPr>
        <w:t>the most important part of any legislation is how decision-makers put the provisions of the statutes into practice</w:t>
      </w:r>
      <w:r w:rsidR="005327CD" w:rsidRPr="00D55B2B">
        <w:rPr>
          <w:rFonts w:ascii="Verdana" w:hAnsi="Verdana"/>
        </w:rPr>
        <w:t xml:space="preserve"> -</w:t>
      </w:r>
      <w:r w:rsidR="003C319F" w:rsidRPr="00D55B2B">
        <w:rPr>
          <w:rFonts w:ascii="Verdana" w:hAnsi="Verdana"/>
        </w:rPr>
        <w:t xml:space="preserve"> </w:t>
      </w:r>
      <w:r w:rsidR="005327CD" w:rsidRPr="00D55B2B">
        <w:rPr>
          <w:rFonts w:ascii="Verdana" w:hAnsi="Verdana"/>
        </w:rPr>
        <w:t>u</w:t>
      </w:r>
      <w:r w:rsidR="003C319F" w:rsidRPr="00D55B2B">
        <w:rPr>
          <w:rFonts w:ascii="Verdana" w:hAnsi="Verdana"/>
        </w:rPr>
        <w:t>nfortunately, once legislation is passed, it is mistakenly credited with solving the problem</w:t>
      </w:r>
      <w:r w:rsidR="005327CD" w:rsidRPr="00D55B2B">
        <w:rPr>
          <w:rFonts w:ascii="Verdana" w:hAnsi="Verdana"/>
        </w:rPr>
        <w:t>’</w:t>
      </w:r>
      <w:r w:rsidR="008D3976" w:rsidRPr="00D55B2B">
        <w:rPr>
          <w:rFonts w:ascii="Verdana" w:hAnsi="Verdana"/>
        </w:rPr>
        <w:t>.</w:t>
      </w:r>
      <w:r w:rsidR="005327CD" w:rsidRPr="00D55B2B">
        <w:rPr>
          <w:rStyle w:val="FootnoteReference"/>
          <w:rFonts w:ascii="Verdana" w:hAnsi="Verdana"/>
        </w:rPr>
        <w:footnoteReference w:id="161"/>
      </w:r>
      <w:r w:rsidR="003C319F" w:rsidRPr="00D55B2B">
        <w:rPr>
          <w:rFonts w:ascii="Verdana" w:hAnsi="Verdana"/>
        </w:rPr>
        <w:t xml:space="preserve"> </w:t>
      </w:r>
      <w:r w:rsidR="00044B86" w:rsidRPr="00D55B2B">
        <w:rPr>
          <w:rFonts w:ascii="Verdana" w:hAnsi="Verdana"/>
          <w:lang w:val="en-GB"/>
        </w:rPr>
        <w:t xml:space="preserve"> </w:t>
      </w:r>
      <w:r w:rsidR="004D3AD3" w:rsidRPr="00D55B2B">
        <w:rPr>
          <w:rFonts w:ascii="Verdana" w:hAnsi="Verdana"/>
          <w:lang w:val="en-GB"/>
        </w:rPr>
        <w:t>The impact of the cuts to legal aid and the lack of legal advice</w:t>
      </w:r>
      <w:r w:rsidR="00044B86" w:rsidRPr="00D55B2B">
        <w:rPr>
          <w:rFonts w:ascii="Verdana" w:hAnsi="Verdana"/>
          <w:lang w:val="en-GB"/>
        </w:rPr>
        <w:t xml:space="preserve"> in England and Wales</w:t>
      </w:r>
      <w:r w:rsidR="004D3AD3" w:rsidRPr="00D55B2B">
        <w:rPr>
          <w:rFonts w:ascii="Verdana" w:hAnsi="Verdana"/>
          <w:lang w:val="en-GB"/>
        </w:rPr>
        <w:t xml:space="preserve"> ha</w:t>
      </w:r>
      <w:r w:rsidR="00A1410D" w:rsidRPr="00D55B2B">
        <w:rPr>
          <w:rFonts w:ascii="Verdana" w:hAnsi="Verdana"/>
          <w:lang w:val="en-GB"/>
        </w:rPr>
        <w:t>ve</w:t>
      </w:r>
      <w:r w:rsidR="004D3AD3" w:rsidRPr="00D55B2B">
        <w:rPr>
          <w:rFonts w:ascii="Verdana" w:hAnsi="Verdana"/>
          <w:lang w:val="en-GB"/>
        </w:rPr>
        <w:t xml:space="preserve"> already been addressed.  However, there have also been cuts to other support services as well. For example, whilst it is undeniable that there are more refuges available in England and Wales t</w:t>
      </w:r>
      <w:r w:rsidR="007958CB" w:rsidRPr="00D55B2B">
        <w:rPr>
          <w:rFonts w:ascii="Verdana" w:hAnsi="Verdana"/>
          <w:lang w:val="en-GB"/>
        </w:rPr>
        <w:t>ha</w:t>
      </w:r>
      <w:r w:rsidR="004D3AD3" w:rsidRPr="00D55B2B">
        <w:rPr>
          <w:rFonts w:ascii="Verdana" w:hAnsi="Verdana"/>
          <w:lang w:val="en-GB"/>
        </w:rPr>
        <w:t>n there are in Russia, this is still not sufficient for the demand.  Women’s Aid reported that in 2016/17 60% of referrals to their refuges were refused simply because of lack of bed spaces</w:t>
      </w:r>
      <w:r w:rsidR="008D3976" w:rsidRPr="00D55B2B">
        <w:rPr>
          <w:rFonts w:ascii="Verdana" w:hAnsi="Verdana"/>
          <w:lang w:val="en-GB"/>
        </w:rPr>
        <w:t>.</w:t>
      </w:r>
      <w:r w:rsidR="004D3AD3" w:rsidRPr="00D55B2B">
        <w:rPr>
          <w:rStyle w:val="FootnoteReference"/>
          <w:rFonts w:ascii="Verdana" w:hAnsi="Verdana"/>
          <w:lang w:val="en-GB"/>
        </w:rPr>
        <w:footnoteReference w:id="162"/>
      </w:r>
      <w:r w:rsidR="004D3AD3" w:rsidRPr="00D55B2B">
        <w:rPr>
          <w:rFonts w:ascii="Verdana" w:hAnsi="Verdana"/>
          <w:lang w:val="en-GB"/>
        </w:rPr>
        <w:t xml:space="preserve"> The nature of coercive and controlling behaviour means that many survivors will have been isolated from friends and families.  Therefore, without a refuge space available they may feel no choice but to return to their abusive relationships.  There may be additional complicating factors, which may mean that they are unable to find a refuge space.  Some refuges have restrictions on survivors bringing pets or male</w:t>
      </w:r>
      <w:r w:rsidR="002F0AE5" w:rsidRPr="00D55B2B">
        <w:rPr>
          <w:rFonts w:ascii="Verdana" w:hAnsi="Verdana"/>
          <w:lang w:val="en-GB"/>
        </w:rPr>
        <w:t xml:space="preserve"> teenage</w:t>
      </w:r>
      <w:r w:rsidR="004D3AD3" w:rsidRPr="00D55B2B">
        <w:rPr>
          <w:rFonts w:ascii="Verdana" w:hAnsi="Verdana"/>
          <w:lang w:val="en-GB"/>
        </w:rPr>
        <w:t xml:space="preserve"> children with them which may leave a survivor with the choice of leav</w:t>
      </w:r>
      <w:r w:rsidR="002F0AE5" w:rsidRPr="00D55B2B">
        <w:rPr>
          <w:rFonts w:ascii="Verdana" w:hAnsi="Verdana"/>
          <w:lang w:val="en-GB"/>
        </w:rPr>
        <w:t>ing</w:t>
      </w:r>
      <w:r w:rsidR="004D3AD3" w:rsidRPr="00D55B2B">
        <w:rPr>
          <w:rFonts w:ascii="Verdana" w:hAnsi="Verdana"/>
          <w:lang w:val="en-GB"/>
        </w:rPr>
        <w:t xml:space="preserve"> them behind </w:t>
      </w:r>
      <w:r w:rsidR="002F0AE5" w:rsidRPr="00D55B2B">
        <w:rPr>
          <w:rFonts w:ascii="Verdana" w:hAnsi="Verdana"/>
          <w:lang w:val="en-GB"/>
        </w:rPr>
        <w:t xml:space="preserve">with the perpetrator </w:t>
      </w:r>
      <w:r w:rsidR="004D3AD3" w:rsidRPr="00D55B2B">
        <w:rPr>
          <w:rFonts w:ascii="Verdana" w:hAnsi="Verdana"/>
          <w:lang w:val="en-GB"/>
        </w:rPr>
        <w:t>or stay</w:t>
      </w:r>
      <w:r w:rsidR="002F0AE5" w:rsidRPr="00D55B2B">
        <w:rPr>
          <w:rFonts w:ascii="Verdana" w:hAnsi="Verdana"/>
          <w:lang w:val="en-GB"/>
        </w:rPr>
        <w:t>ing</w:t>
      </w:r>
      <w:r w:rsidR="004D3AD3" w:rsidRPr="00D55B2B">
        <w:rPr>
          <w:rFonts w:ascii="Verdana" w:hAnsi="Verdana"/>
          <w:lang w:val="en-GB"/>
        </w:rPr>
        <w:t xml:space="preserve"> themselves. </w:t>
      </w:r>
    </w:p>
    <w:p w14:paraId="689204E6" w14:textId="77777777" w:rsidR="005460EB" w:rsidRPr="00D55B2B" w:rsidRDefault="005460EB" w:rsidP="007E262A">
      <w:pPr>
        <w:spacing w:line="360" w:lineRule="auto"/>
        <w:ind w:right="-478"/>
        <w:jc w:val="both"/>
        <w:rPr>
          <w:rFonts w:ascii="Verdana" w:hAnsi="Verdana"/>
          <w:lang w:val="en-GB"/>
        </w:rPr>
      </w:pPr>
    </w:p>
    <w:p w14:paraId="44D2E0AB" w14:textId="77777777" w:rsidR="005460EB" w:rsidRPr="00D55B2B" w:rsidRDefault="000B154E" w:rsidP="007E262A">
      <w:pPr>
        <w:spacing w:line="360" w:lineRule="auto"/>
        <w:ind w:right="-478"/>
        <w:jc w:val="both"/>
        <w:rPr>
          <w:rFonts w:ascii="Verdana" w:hAnsi="Verdana"/>
        </w:rPr>
      </w:pPr>
      <w:r w:rsidRPr="00D55B2B">
        <w:rPr>
          <w:rFonts w:ascii="Verdana" w:hAnsi="Verdana"/>
        </w:rPr>
        <w:t xml:space="preserve">Similar difficulties exist in Russia, where </w:t>
      </w:r>
      <w:r w:rsidR="00572C29" w:rsidRPr="00D55B2B">
        <w:rPr>
          <w:rFonts w:ascii="Verdana" w:hAnsi="Verdana"/>
        </w:rPr>
        <w:t>there is a lack of funding</w:t>
      </w:r>
      <w:r w:rsidR="005460EB" w:rsidRPr="00D55B2B">
        <w:rPr>
          <w:rFonts w:ascii="Verdana" w:hAnsi="Verdana"/>
        </w:rPr>
        <w:t xml:space="preserve"> dedicated to establishing support serv</w:t>
      </w:r>
      <w:r w:rsidR="006B5182" w:rsidRPr="00D55B2B">
        <w:rPr>
          <w:rFonts w:ascii="Verdana" w:hAnsi="Verdana"/>
        </w:rPr>
        <w:t>ices for survivors. It is understood that there</w:t>
      </w:r>
      <w:r w:rsidR="005460EB" w:rsidRPr="00D55B2B">
        <w:rPr>
          <w:rFonts w:ascii="Verdana" w:hAnsi="Verdana"/>
        </w:rPr>
        <w:t xml:space="preserve"> are approximately 42 refuges in Russia (a country which is approximately 70 times bigger than England)</w:t>
      </w:r>
      <w:r w:rsidR="008D3976" w:rsidRPr="00D55B2B">
        <w:rPr>
          <w:rFonts w:ascii="Verdana" w:hAnsi="Verdana"/>
        </w:rPr>
        <w:t>.</w:t>
      </w:r>
      <w:r w:rsidR="005460EB" w:rsidRPr="00D55B2B">
        <w:rPr>
          <w:rStyle w:val="FootnoteReference"/>
          <w:rFonts w:ascii="Verdana" w:hAnsi="Verdana"/>
        </w:rPr>
        <w:footnoteReference w:id="163"/>
      </w:r>
      <w:r w:rsidR="005460EB" w:rsidRPr="00D55B2B">
        <w:rPr>
          <w:rFonts w:ascii="Verdana" w:hAnsi="Verdana"/>
        </w:rPr>
        <w:t xml:space="preserve"> Many refuges impose residency requirements, meaning that if a victim does not live in the region where the refuge is based, they are unable to access support, whilst others exist to support particularly marginalised or vulnerable groups only such as teenage mothers. This is particularly </w:t>
      </w:r>
      <w:r w:rsidR="00CE49BB" w:rsidRPr="00D55B2B">
        <w:rPr>
          <w:rFonts w:ascii="Verdana" w:hAnsi="Verdana"/>
        </w:rPr>
        <w:t>difficult</w:t>
      </w:r>
      <w:r w:rsidR="005460EB" w:rsidRPr="00D55B2B">
        <w:rPr>
          <w:rFonts w:ascii="Verdana" w:hAnsi="Verdana"/>
        </w:rPr>
        <w:t xml:space="preserve"> for women who live outside the large cities of St. Petersburg and Moscow</w:t>
      </w:r>
      <w:r w:rsidR="008D3976" w:rsidRPr="00D55B2B">
        <w:rPr>
          <w:rFonts w:ascii="Verdana" w:hAnsi="Verdana"/>
        </w:rPr>
        <w:t>.</w:t>
      </w:r>
      <w:r w:rsidR="005460EB" w:rsidRPr="00D55B2B">
        <w:rPr>
          <w:rStyle w:val="FootnoteReference"/>
          <w:rFonts w:ascii="Verdana" w:hAnsi="Verdana"/>
        </w:rPr>
        <w:footnoteReference w:id="164"/>
      </w:r>
      <w:r w:rsidR="005460EB" w:rsidRPr="00D55B2B">
        <w:rPr>
          <w:rFonts w:ascii="Verdana" w:hAnsi="Verdana"/>
        </w:rPr>
        <w:t xml:space="preserve"> The majority of refuges receive nominal government funding and therefore rely on financial sponsorship from private companies and non-government organisations. Obtaining funding can be difficult because of the societal perceptions of domestic abuse as a private matter. Likewise, there is a scarcity of </w:t>
      </w:r>
      <w:r w:rsidR="005C5D11" w:rsidRPr="00D55B2B">
        <w:rPr>
          <w:rFonts w:ascii="Verdana" w:hAnsi="Verdana"/>
        </w:rPr>
        <w:t>organisations dedicated to</w:t>
      </w:r>
      <w:r w:rsidR="005460EB" w:rsidRPr="00D55B2B">
        <w:rPr>
          <w:rFonts w:ascii="Verdana" w:hAnsi="Verdana"/>
        </w:rPr>
        <w:t xml:space="preserve"> victim rehabilitation and the burden for providing support falls on women’s </w:t>
      </w:r>
      <w:r w:rsidR="005C5D11" w:rsidRPr="00D55B2B">
        <w:rPr>
          <w:rFonts w:ascii="Verdana" w:hAnsi="Verdana"/>
        </w:rPr>
        <w:t>charities</w:t>
      </w:r>
      <w:r w:rsidR="00DF55FA" w:rsidRPr="00D55B2B">
        <w:rPr>
          <w:rFonts w:ascii="Verdana" w:hAnsi="Verdana"/>
        </w:rPr>
        <w:t>.</w:t>
      </w:r>
      <w:r w:rsidR="005460EB" w:rsidRPr="00D55B2B">
        <w:rPr>
          <w:rStyle w:val="FootnoteReference"/>
          <w:rFonts w:ascii="Verdana" w:hAnsi="Verdana"/>
        </w:rPr>
        <w:footnoteReference w:id="165"/>
      </w:r>
      <w:r w:rsidR="005460EB" w:rsidRPr="00D55B2B">
        <w:rPr>
          <w:rFonts w:ascii="Verdana" w:hAnsi="Verdana"/>
        </w:rPr>
        <w:t xml:space="preserve"> It has been reported that psychologists and social workers employed by the state to work with survivors often perpetuate the same perceptions of domestic abuse as the criminal justice system, including a focus on reconciliation at all costs and a belief that victims provoke battery and therefore require counselling to ensure </w:t>
      </w:r>
      <w:r w:rsidR="005C5D11" w:rsidRPr="00D55B2B">
        <w:rPr>
          <w:rFonts w:ascii="Verdana" w:hAnsi="Verdana"/>
        </w:rPr>
        <w:t xml:space="preserve">that when they return to their abusers </w:t>
      </w:r>
      <w:r w:rsidR="005460EB" w:rsidRPr="00D55B2B">
        <w:rPr>
          <w:rFonts w:ascii="Verdana" w:hAnsi="Verdana"/>
        </w:rPr>
        <w:t>they do not repeat the</w:t>
      </w:r>
      <w:r w:rsidR="002F514F" w:rsidRPr="00D55B2B">
        <w:rPr>
          <w:rFonts w:ascii="Verdana" w:hAnsi="Verdana"/>
        </w:rPr>
        <w:t>i</w:t>
      </w:r>
      <w:r w:rsidR="00FB5AD3" w:rsidRPr="00D55B2B">
        <w:rPr>
          <w:rFonts w:ascii="Verdana" w:hAnsi="Verdana"/>
        </w:rPr>
        <w:t xml:space="preserve">r </w:t>
      </w:r>
      <w:r w:rsidR="005460EB" w:rsidRPr="00D55B2B">
        <w:rPr>
          <w:rFonts w:ascii="Verdana" w:hAnsi="Verdana"/>
        </w:rPr>
        <w:t>mistakes</w:t>
      </w:r>
      <w:r w:rsidR="00DF55FA" w:rsidRPr="00D55B2B">
        <w:rPr>
          <w:rFonts w:ascii="Verdana" w:hAnsi="Verdana"/>
        </w:rPr>
        <w:t>.</w:t>
      </w:r>
      <w:r w:rsidR="005460EB" w:rsidRPr="00D55B2B">
        <w:rPr>
          <w:rStyle w:val="FootnoteReference"/>
          <w:rFonts w:ascii="Verdana" w:hAnsi="Verdana"/>
        </w:rPr>
        <w:footnoteReference w:id="166"/>
      </w:r>
      <w:r w:rsidR="005460EB" w:rsidRPr="00D55B2B">
        <w:rPr>
          <w:rFonts w:ascii="Verdana" w:hAnsi="Verdana"/>
        </w:rPr>
        <w:t xml:space="preserve"> There have, however, been a number of women’s rights movements which have sought to advocate change through lobbying for legislative change</w:t>
      </w:r>
      <w:r w:rsidR="00DF55FA" w:rsidRPr="00D55B2B">
        <w:rPr>
          <w:rFonts w:ascii="Verdana" w:hAnsi="Verdana"/>
        </w:rPr>
        <w:t>.</w:t>
      </w:r>
      <w:r w:rsidR="005460EB" w:rsidRPr="00D55B2B">
        <w:rPr>
          <w:rStyle w:val="FootnoteReference"/>
          <w:rFonts w:ascii="Verdana" w:hAnsi="Verdana"/>
        </w:rPr>
        <w:footnoteReference w:id="167"/>
      </w:r>
      <w:r w:rsidR="005460EB" w:rsidRPr="00D55B2B">
        <w:rPr>
          <w:rFonts w:ascii="Verdana" w:hAnsi="Verdana"/>
        </w:rPr>
        <w:t xml:space="preserve"> In turn, many of these organisations have become domestic abuse specialists, able to provide practical support to women navigating unfamiliar court process. </w:t>
      </w:r>
    </w:p>
    <w:p w14:paraId="6901D649" w14:textId="77777777" w:rsidR="00AF2EE6" w:rsidRPr="00D55B2B" w:rsidRDefault="00AF2EE6" w:rsidP="007E262A">
      <w:pPr>
        <w:spacing w:line="360" w:lineRule="auto"/>
        <w:ind w:right="-478"/>
        <w:jc w:val="both"/>
        <w:rPr>
          <w:rFonts w:ascii="Verdana" w:hAnsi="Verdana"/>
        </w:rPr>
      </w:pPr>
    </w:p>
    <w:p w14:paraId="0686AA61" w14:textId="77777777" w:rsidR="00E07FFD" w:rsidRPr="00D55B2B" w:rsidRDefault="00104B33" w:rsidP="007E262A">
      <w:pPr>
        <w:autoSpaceDE/>
        <w:autoSpaceDN/>
        <w:spacing w:line="360" w:lineRule="auto"/>
        <w:ind w:right="-478"/>
        <w:jc w:val="both"/>
        <w:rPr>
          <w:rFonts w:ascii="Verdana" w:hAnsi="Verdana"/>
          <w:lang w:val="en-GB"/>
        </w:rPr>
      </w:pPr>
      <w:r w:rsidRPr="00D55B2B">
        <w:rPr>
          <w:rFonts w:ascii="Verdana" w:hAnsi="Verdana"/>
        </w:rPr>
        <w:t>A final key difference in the approach</w:t>
      </w:r>
      <w:r w:rsidR="000068F1" w:rsidRPr="00D55B2B">
        <w:rPr>
          <w:rFonts w:ascii="Verdana" w:hAnsi="Verdana"/>
        </w:rPr>
        <w:t>es</w:t>
      </w:r>
      <w:r w:rsidRPr="00D55B2B">
        <w:rPr>
          <w:rFonts w:ascii="Verdana" w:hAnsi="Verdana"/>
        </w:rPr>
        <w:t xml:space="preserve"> adopted </w:t>
      </w:r>
      <w:r w:rsidR="003F7531" w:rsidRPr="00D55B2B">
        <w:rPr>
          <w:rFonts w:ascii="Verdana" w:hAnsi="Verdana"/>
        </w:rPr>
        <w:t xml:space="preserve">by </w:t>
      </w:r>
      <w:r w:rsidR="00E91411" w:rsidRPr="00D55B2B">
        <w:rPr>
          <w:rFonts w:ascii="Verdana" w:hAnsi="Verdana"/>
        </w:rPr>
        <w:t>the</w:t>
      </w:r>
      <w:r w:rsidR="00B757CE" w:rsidRPr="00D55B2B">
        <w:rPr>
          <w:rFonts w:ascii="Verdana" w:hAnsi="Verdana"/>
        </w:rPr>
        <w:t xml:space="preserve"> </w:t>
      </w:r>
      <w:r w:rsidR="00973E5F" w:rsidRPr="00D55B2B">
        <w:rPr>
          <w:rFonts w:ascii="Verdana" w:hAnsi="Verdana"/>
        </w:rPr>
        <w:t xml:space="preserve">two jurisdictions </w:t>
      </w:r>
      <w:r w:rsidR="002A66B8" w:rsidRPr="00D55B2B">
        <w:rPr>
          <w:rFonts w:ascii="Verdana" w:hAnsi="Verdana"/>
        </w:rPr>
        <w:t xml:space="preserve">which </w:t>
      </w:r>
      <w:r w:rsidR="00AA0515" w:rsidRPr="00D55B2B">
        <w:rPr>
          <w:rFonts w:ascii="Verdana" w:hAnsi="Verdana"/>
        </w:rPr>
        <w:t xml:space="preserve">affects </w:t>
      </w:r>
      <w:r w:rsidR="007E2E65" w:rsidRPr="00D55B2B">
        <w:rPr>
          <w:rFonts w:ascii="Verdana" w:hAnsi="Verdana"/>
        </w:rPr>
        <w:t>the ability of victims</w:t>
      </w:r>
      <w:r w:rsidR="00AA0515" w:rsidRPr="00D55B2B">
        <w:rPr>
          <w:rFonts w:ascii="Verdana" w:hAnsi="Verdana"/>
        </w:rPr>
        <w:t xml:space="preserve"> to secure access to justice is in </w:t>
      </w:r>
      <w:r w:rsidR="000941A9" w:rsidRPr="00D55B2B">
        <w:rPr>
          <w:rFonts w:ascii="Verdana" w:hAnsi="Verdana"/>
        </w:rPr>
        <w:t xml:space="preserve">the agencies </w:t>
      </w:r>
      <w:r w:rsidR="00E536BD" w:rsidRPr="00D55B2B">
        <w:rPr>
          <w:rFonts w:ascii="Verdana" w:hAnsi="Verdana"/>
        </w:rPr>
        <w:t xml:space="preserve">which </w:t>
      </w:r>
      <w:r w:rsidR="00B757CE" w:rsidRPr="00D55B2B">
        <w:rPr>
          <w:rFonts w:ascii="Verdana" w:hAnsi="Verdana"/>
        </w:rPr>
        <w:t>engage in the provision of support</w:t>
      </w:r>
      <w:r w:rsidR="00417998" w:rsidRPr="00D55B2B">
        <w:rPr>
          <w:rFonts w:ascii="Verdana" w:hAnsi="Verdana"/>
        </w:rPr>
        <w:t xml:space="preserve">. </w:t>
      </w:r>
      <w:r w:rsidR="00771581" w:rsidRPr="00D55B2B">
        <w:rPr>
          <w:rFonts w:ascii="Verdana" w:hAnsi="Verdana"/>
        </w:rPr>
        <w:t xml:space="preserve">The position in England is </w:t>
      </w:r>
      <w:r w:rsidR="00226671" w:rsidRPr="00D55B2B">
        <w:rPr>
          <w:rFonts w:ascii="Verdana" w:hAnsi="Verdana"/>
        </w:rPr>
        <w:t>underpinned by</w:t>
      </w:r>
      <w:r w:rsidR="00585AD5" w:rsidRPr="00D55B2B">
        <w:rPr>
          <w:rFonts w:ascii="Verdana" w:hAnsi="Verdana"/>
        </w:rPr>
        <w:t xml:space="preserve"> the</w:t>
      </w:r>
      <w:r w:rsidR="00F761BD" w:rsidRPr="00D55B2B">
        <w:rPr>
          <w:rFonts w:ascii="Verdana" w:hAnsi="Verdana"/>
        </w:rPr>
        <w:t xml:space="preserve"> recognition that </w:t>
      </w:r>
      <w:r w:rsidR="00B862B7" w:rsidRPr="00D55B2B">
        <w:rPr>
          <w:rFonts w:ascii="Verdana" w:hAnsi="Verdana"/>
        </w:rPr>
        <w:t>victims</w:t>
      </w:r>
      <w:r w:rsidR="00B95B95" w:rsidRPr="00D55B2B">
        <w:rPr>
          <w:rFonts w:ascii="Verdana" w:hAnsi="Verdana"/>
        </w:rPr>
        <w:t>’</w:t>
      </w:r>
      <w:r w:rsidR="00B862B7" w:rsidRPr="00D55B2B">
        <w:rPr>
          <w:rFonts w:ascii="Verdana" w:hAnsi="Verdana"/>
        </w:rPr>
        <w:t xml:space="preserve"> needs are complex</w:t>
      </w:r>
      <w:r w:rsidR="00C579DF" w:rsidRPr="00D55B2B">
        <w:rPr>
          <w:rFonts w:ascii="Verdana" w:hAnsi="Verdana"/>
        </w:rPr>
        <w:t xml:space="preserve"> and that domestic abuse </w:t>
      </w:r>
      <w:r w:rsidR="00B95A70" w:rsidRPr="00D55B2B">
        <w:rPr>
          <w:rFonts w:ascii="Verdana" w:hAnsi="Verdana"/>
          <w:shd w:val="clear" w:color="auto" w:fill="FFFFFF"/>
        </w:rPr>
        <w:t>creates a range of problems that are unlikely to be effectively addressed by a single agency</w:t>
      </w:r>
      <w:r w:rsidR="00DF55FA" w:rsidRPr="00D55B2B">
        <w:rPr>
          <w:rFonts w:ascii="Verdana" w:hAnsi="Verdana"/>
          <w:shd w:val="clear" w:color="auto" w:fill="FFFFFF"/>
        </w:rPr>
        <w:t>.</w:t>
      </w:r>
      <w:r w:rsidR="001A472C" w:rsidRPr="00D55B2B">
        <w:rPr>
          <w:rStyle w:val="FootnoteReference"/>
          <w:rFonts w:ascii="Verdana" w:hAnsi="Verdana"/>
          <w:shd w:val="clear" w:color="auto" w:fill="FFFFFF"/>
        </w:rPr>
        <w:footnoteReference w:id="168"/>
      </w:r>
      <w:r w:rsidR="001A472C" w:rsidRPr="00D55B2B">
        <w:rPr>
          <w:rFonts w:ascii="Verdana" w:hAnsi="Verdana"/>
          <w:shd w:val="clear" w:color="auto" w:fill="FFFFFF"/>
        </w:rPr>
        <w:t xml:space="preserve"> </w:t>
      </w:r>
      <w:r w:rsidR="005762CB" w:rsidRPr="00D55B2B">
        <w:rPr>
          <w:rFonts w:ascii="Verdana" w:hAnsi="Verdana"/>
          <w:shd w:val="clear" w:color="auto" w:fill="FFFFFF"/>
        </w:rPr>
        <w:t xml:space="preserve">As such, England favours a multi-agency approach. </w:t>
      </w:r>
      <w:r w:rsidR="00A10ACA" w:rsidRPr="00D55B2B">
        <w:rPr>
          <w:rFonts w:ascii="Verdana" w:hAnsi="Verdana"/>
          <w:shd w:val="clear" w:color="auto" w:fill="FFFFFF"/>
        </w:rPr>
        <w:t xml:space="preserve">This is evidenced through the introduction of </w:t>
      </w:r>
      <w:r w:rsidR="00B50755" w:rsidRPr="00D55B2B">
        <w:rPr>
          <w:rFonts w:ascii="Verdana" w:hAnsi="Verdana"/>
        </w:rPr>
        <w:t>S</w:t>
      </w:r>
      <w:r w:rsidR="00047867" w:rsidRPr="00D55B2B">
        <w:rPr>
          <w:rFonts w:ascii="Verdana" w:hAnsi="Verdana"/>
          <w:shd w:val="clear" w:color="auto" w:fill="FFFFFF"/>
        </w:rPr>
        <w:t xml:space="preserve">pecialist Domestic Violence </w:t>
      </w:r>
      <w:r w:rsidR="00B657E0" w:rsidRPr="00D55B2B">
        <w:rPr>
          <w:rFonts w:ascii="Verdana" w:hAnsi="Verdana"/>
          <w:shd w:val="clear" w:color="auto" w:fill="FFFFFF"/>
        </w:rPr>
        <w:t>Courts,</w:t>
      </w:r>
      <w:r w:rsidR="00047867" w:rsidRPr="00D55B2B">
        <w:rPr>
          <w:rFonts w:ascii="Verdana" w:hAnsi="Verdana"/>
          <w:shd w:val="clear" w:color="auto" w:fill="FFFFFF"/>
        </w:rPr>
        <w:t xml:space="preserve"> Multi-Agency Risk Assessment Conference</w:t>
      </w:r>
      <w:r w:rsidR="00D54217" w:rsidRPr="00D55B2B">
        <w:rPr>
          <w:rFonts w:ascii="Verdana" w:hAnsi="Verdana"/>
          <w:shd w:val="clear" w:color="auto" w:fill="FFFFFF"/>
        </w:rPr>
        <w:t>s</w:t>
      </w:r>
      <w:r w:rsidR="00F5711E" w:rsidRPr="00D55B2B">
        <w:rPr>
          <w:rFonts w:ascii="Verdana" w:hAnsi="Verdana"/>
          <w:shd w:val="clear" w:color="auto" w:fill="FFFFFF"/>
        </w:rPr>
        <w:t xml:space="preserve"> (</w:t>
      </w:r>
      <w:r w:rsidR="00705540" w:rsidRPr="00D55B2B">
        <w:rPr>
          <w:rFonts w:ascii="Verdana" w:hAnsi="Verdana"/>
          <w:lang w:val="en-GB"/>
        </w:rPr>
        <w:t>where information is shared on the highest risk domestic abuse cases between representatives of local police, health, child protection, housing practitioners</w:t>
      </w:r>
      <w:r w:rsidR="003C65EB" w:rsidRPr="00D55B2B">
        <w:rPr>
          <w:rFonts w:ascii="Verdana" w:hAnsi="Verdana"/>
          <w:lang w:val="en-GB"/>
        </w:rPr>
        <w:t xml:space="preserve"> and </w:t>
      </w:r>
      <w:r w:rsidR="00705540" w:rsidRPr="00D55B2B">
        <w:rPr>
          <w:rFonts w:ascii="Verdana" w:hAnsi="Verdana"/>
          <w:lang w:val="en-GB"/>
        </w:rPr>
        <w:t>specialists from the statutory and voluntary sectors</w:t>
      </w:r>
      <w:r w:rsidR="0030647D" w:rsidRPr="00D55B2B">
        <w:rPr>
          <w:rFonts w:ascii="Verdana" w:hAnsi="Verdana"/>
          <w:lang w:val="en-GB"/>
        </w:rPr>
        <w:t xml:space="preserve">) </w:t>
      </w:r>
      <w:r w:rsidR="00F822B3" w:rsidRPr="00D55B2B">
        <w:rPr>
          <w:rFonts w:ascii="Verdana" w:hAnsi="Verdana"/>
          <w:shd w:val="clear" w:color="auto" w:fill="FFFFFF"/>
        </w:rPr>
        <w:t>and</w:t>
      </w:r>
      <w:r w:rsidR="00047867" w:rsidRPr="00D55B2B">
        <w:rPr>
          <w:rFonts w:ascii="Verdana" w:hAnsi="Verdana"/>
          <w:shd w:val="clear" w:color="auto" w:fill="FFFFFF"/>
        </w:rPr>
        <w:t xml:space="preserve"> Independent Domestic Violence Advisors </w:t>
      </w:r>
      <w:r w:rsidR="001917D3" w:rsidRPr="00D55B2B">
        <w:rPr>
          <w:rFonts w:ascii="Verdana" w:hAnsi="Verdana"/>
          <w:shd w:val="clear" w:color="auto" w:fill="FFFFFF"/>
        </w:rPr>
        <w:t>(whose role</w:t>
      </w:r>
      <w:r w:rsidR="00B57455" w:rsidRPr="00D55B2B">
        <w:rPr>
          <w:rFonts w:ascii="Verdana" w:hAnsi="Verdana"/>
          <w:shd w:val="clear" w:color="auto" w:fill="FFFFFF"/>
        </w:rPr>
        <w:t xml:space="preserve"> it</w:t>
      </w:r>
      <w:r w:rsidR="001917D3" w:rsidRPr="00D55B2B">
        <w:rPr>
          <w:rFonts w:ascii="Verdana" w:hAnsi="Verdana"/>
          <w:shd w:val="clear" w:color="auto" w:fill="FFFFFF"/>
        </w:rPr>
        <w:t xml:space="preserve"> is </w:t>
      </w:r>
      <w:r w:rsidR="00491C96" w:rsidRPr="00D55B2B">
        <w:rPr>
          <w:rFonts w:ascii="Verdana" w:hAnsi="Verdana"/>
          <w:shd w:val="clear" w:color="auto" w:fill="FFFFFF"/>
          <w:lang w:val="en-GB"/>
        </w:rPr>
        <w:t xml:space="preserve">to address the safety of victims at high risk of harm from </w:t>
      </w:r>
      <w:r w:rsidR="00E705BD" w:rsidRPr="00D55B2B">
        <w:rPr>
          <w:rFonts w:ascii="Verdana" w:hAnsi="Verdana"/>
          <w:shd w:val="clear" w:color="auto" w:fill="FFFFFF"/>
          <w:lang w:val="en-GB"/>
        </w:rPr>
        <w:t>family members and</w:t>
      </w:r>
      <w:r w:rsidR="00491C96" w:rsidRPr="00D55B2B">
        <w:rPr>
          <w:rFonts w:ascii="Verdana" w:hAnsi="Verdana"/>
          <w:shd w:val="clear" w:color="auto" w:fill="FFFFFF"/>
          <w:lang w:val="en-GB"/>
        </w:rPr>
        <w:t xml:space="preserve"> secure their safety</w:t>
      </w:r>
      <w:r w:rsidR="000C58EE" w:rsidRPr="00D55B2B">
        <w:rPr>
          <w:rFonts w:ascii="Verdana" w:hAnsi="Verdana"/>
          <w:shd w:val="clear" w:color="auto" w:fill="FFFFFF"/>
          <w:lang w:val="en-GB"/>
        </w:rPr>
        <w:t>).</w:t>
      </w:r>
      <w:r w:rsidR="00E423E4" w:rsidRPr="00D55B2B">
        <w:rPr>
          <w:rFonts w:ascii="Verdana" w:hAnsi="Verdana"/>
          <w:shd w:val="clear" w:color="auto" w:fill="FFFFFF"/>
          <w:lang w:val="en-GB"/>
        </w:rPr>
        <w:t xml:space="preserve"> An example of a multi-agency project is the </w:t>
      </w:r>
      <w:r w:rsidR="00E423E4" w:rsidRPr="00D55B2B">
        <w:rPr>
          <w:rFonts w:ascii="Verdana" w:hAnsi="Verdana"/>
          <w:lang w:val="en-GB"/>
        </w:rPr>
        <w:t>Home Office funded project entitled ‘The Whole System Approach’</w:t>
      </w:r>
      <w:r w:rsidR="00E423E4" w:rsidRPr="00D55B2B">
        <w:rPr>
          <w:rStyle w:val="FootnoteReference"/>
          <w:rFonts w:ascii="Verdana" w:hAnsi="Verdana"/>
          <w:lang w:val="en-GB"/>
        </w:rPr>
        <w:footnoteReference w:id="169"/>
      </w:r>
      <w:r w:rsidR="00E423E4" w:rsidRPr="00D55B2B">
        <w:rPr>
          <w:rFonts w:ascii="Verdana" w:hAnsi="Verdana"/>
          <w:lang w:val="en-GB"/>
        </w:rPr>
        <w:t xml:space="preserve"> </w:t>
      </w:r>
      <w:r w:rsidR="003D0282" w:rsidRPr="00D55B2B">
        <w:rPr>
          <w:rFonts w:ascii="Verdana" w:hAnsi="Verdana"/>
          <w:lang w:val="en-GB"/>
        </w:rPr>
        <w:t xml:space="preserve">which </w:t>
      </w:r>
      <w:r w:rsidR="00E423E4" w:rsidRPr="00D55B2B">
        <w:rPr>
          <w:rFonts w:ascii="Verdana" w:hAnsi="Verdana"/>
          <w:lang w:val="en-GB"/>
        </w:rPr>
        <w:t xml:space="preserve">is seeking to </w:t>
      </w:r>
      <w:r w:rsidR="00600FDF" w:rsidRPr="00D55B2B">
        <w:rPr>
          <w:rFonts w:ascii="Verdana" w:hAnsi="Verdana"/>
          <w:lang w:val="en-GB"/>
        </w:rPr>
        <w:t>integrate</w:t>
      </w:r>
      <w:r w:rsidR="00E423E4" w:rsidRPr="00D55B2B">
        <w:rPr>
          <w:rFonts w:ascii="Verdana" w:hAnsi="Verdana"/>
          <w:lang w:val="en-GB"/>
        </w:rPr>
        <w:t xml:space="preserve"> support services into both the criminal justice response and the family court process. The project has introduced domestic abuse cars in West Yorkshire, which will follow the frontline officers to a domestic abuse incident</w:t>
      </w:r>
      <w:r w:rsidR="00E23C8A" w:rsidRPr="00D55B2B">
        <w:rPr>
          <w:rFonts w:ascii="Verdana" w:hAnsi="Verdana"/>
          <w:lang w:val="en-GB"/>
        </w:rPr>
        <w:t>.</w:t>
      </w:r>
      <w:r w:rsidR="00E423E4" w:rsidRPr="00D55B2B">
        <w:rPr>
          <w:rStyle w:val="FootnoteReference"/>
          <w:rFonts w:ascii="Verdana" w:hAnsi="Verdana"/>
          <w:lang w:val="en-GB"/>
        </w:rPr>
        <w:footnoteReference w:id="170"/>
      </w:r>
      <w:r w:rsidR="00E423E4" w:rsidRPr="00D55B2B">
        <w:rPr>
          <w:rFonts w:ascii="Verdana" w:hAnsi="Verdana"/>
          <w:lang w:val="en-GB"/>
        </w:rPr>
        <w:t xml:space="preserve">  A police officer and a specialist IDVA will be present in the second car to provide support to the victim once a perpetrator has been removed from the property. In her research into the role of IDVAs, Taylor-Dunn found that victims supported by an IDVA were </w:t>
      </w:r>
      <w:r w:rsidR="002F0AE5" w:rsidRPr="00D55B2B">
        <w:rPr>
          <w:rFonts w:ascii="Verdana" w:hAnsi="Verdana"/>
          <w:lang w:val="en-GB"/>
        </w:rPr>
        <w:t>‘</w:t>
      </w:r>
      <w:r w:rsidR="00E423E4" w:rsidRPr="00D55B2B">
        <w:rPr>
          <w:rFonts w:ascii="Verdana" w:hAnsi="Verdana"/>
          <w:lang w:val="en-GB"/>
        </w:rPr>
        <w:t>more likely to continue with the criminal justice process</w:t>
      </w:r>
      <w:r w:rsidR="00741288" w:rsidRPr="00D55B2B">
        <w:rPr>
          <w:rFonts w:ascii="Verdana" w:hAnsi="Verdana"/>
          <w:lang w:val="en-GB"/>
        </w:rPr>
        <w:t>.</w:t>
      </w:r>
      <w:r w:rsidR="002F0AE5" w:rsidRPr="00D55B2B">
        <w:rPr>
          <w:rFonts w:ascii="Verdana" w:hAnsi="Verdana"/>
          <w:lang w:val="en-GB"/>
        </w:rPr>
        <w:t>’</w:t>
      </w:r>
      <w:r w:rsidR="00E423E4" w:rsidRPr="00D55B2B">
        <w:rPr>
          <w:rStyle w:val="FootnoteReference"/>
          <w:rFonts w:ascii="Verdana" w:hAnsi="Verdana"/>
          <w:lang w:val="en-GB"/>
        </w:rPr>
        <w:footnoteReference w:id="171"/>
      </w:r>
      <w:r w:rsidR="00E423E4" w:rsidRPr="00D55B2B">
        <w:rPr>
          <w:rFonts w:ascii="Verdana" w:hAnsi="Verdana"/>
          <w:lang w:val="en-GB"/>
        </w:rPr>
        <w:t xml:space="preserve">  Therefore, the involvement of IDVAs at this very early stage could be a positive step towards better victim engagement. </w:t>
      </w:r>
    </w:p>
    <w:p w14:paraId="77430860" w14:textId="77777777" w:rsidR="00E07FFD" w:rsidRPr="00D55B2B" w:rsidRDefault="00E07FFD" w:rsidP="007E262A">
      <w:pPr>
        <w:autoSpaceDE/>
        <w:autoSpaceDN/>
        <w:spacing w:line="360" w:lineRule="auto"/>
        <w:ind w:right="-478"/>
        <w:jc w:val="both"/>
        <w:rPr>
          <w:rFonts w:ascii="Verdana" w:hAnsi="Verdana"/>
          <w:lang w:val="en-GB"/>
        </w:rPr>
      </w:pPr>
    </w:p>
    <w:p w14:paraId="61A55378" w14:textId="6BEB6AEF" w:rsidR="00E423E4" w:rsidRPr="00D55B2B" w:rsidRDefault="00E423E4" w:rsidP="007E262A">
      <w:pPr>
        <w:autoSpaceDE/>
        <w:autoSpaceDN/>
        <w:spacing w:line="360" w:lineRule="auto"/>
        <w:ind w:right="-478"/>
        <w:jc w:val="both"/>
        <w:rPr>
          <w:rFonts w:ascii="Verdana" w:hAnsi="Verdana"/>
          <w:shd w:val="clear" w:color="auto" w:fill="FFFFFF"/>
          <w:lang w:val="en-GB"/>
        </w:rPr>
      </w:pPr>
      <w:r w:rsidRPr="00D55B2B">
        <w:rPr>
          <w:rFonts w:ascii="Verdana" w:hAnsi="Verdana"/>
          <w:lang w:val="en-GB"/>
        </w:rPr>
        <w:t>Acknowledging that there will still be many victims who do not want to engage with the criminal justice process, but who do want to seek protection through the family courts, the project has also introduced Family Court Liaison Workers (FCLWs)</w:t>
      </w:r>
      <w:r w:rsidR="00FD4EF0" w:rsidRPr="00D55B2B">
        <w:rPr>
          <w:rFonts w:ascii="Verdana" w:hAnsi="Verdana"/>
          <w:lang w:val="en-GB"/>
        </w:rPr>
        <w:t>.</w:t>
      </w:r>
      <w:r w:rsidRPr="00D55B2B">
        <w:rPr>
          <w:rStyle w:val="FootnoteReference"/>
          <w:rFonts w:ascii="Verdana" w:hAnsi="Verdana"/>
          <w:lang w:val="en-GB"/>
        </w:rPr>
        <w:footnoteReference w:id="172"/>
      </w:r>
      <w:r w:rsidRPr="00D55B2B">
        <w:rPr>
          <w:rFonts w:ascii="Verdana" w:hAnsi="Verdana"/>
          <w:lang w:val="en-GB"/>
        </w:rPr>
        <w:t xml:space="preserve">  The FCLWs are present in courts in the Northumbria, Cleveland and Durham areas of England and provide support and assistance to unrepresented victims of domestic abuse throughout the family court process.  IDVAs and FCLWs cannot provide legal advice or representation,</w:t>
      </w:r>
      <w:r w:rsidR="00627BAB">
        <w:rPr>
          <w:rFonts w:ascii="Verdana" w:hAnsi="Verdana"/>
          <w:lang w:val="en-GB"/>
        </w:rPr>
        <w:t xml:space="preserve"> but</w:t>
      </w:r>
      <w:r w:rsidRPr="00D55B2B">
        <w:rPr>
          <w:rFonts w:ascii="Verdana" w:hAnsi="Verdana"/>
          <w:lang w:val="en-GB"/>
        </w:rPr>
        <w:t xml:space="preserve"> they can provide much needed support for victims who, because of the nature of the abuse they have suffered, may have become isolated from the rest of society.  </w:t>
      </w:r>
    </w:p>
    <w:p w14:paraId="1E800188" w14:textId="77777777" w:rsidR="00E423E4" w:rsidRPr="00D55B2B" w:rsidRDefault="00E423E4" w:rsidP="007E262A">
      <w:pPr>
        <w:autoSpaceDE/>
        <w:autoSpaceDN/>
        <w:spacing w:line="360" w:lineRule="auto"/>
        <w:ind w:right="-478"/>
        <w:jc w:val="both"/>
        <w:rPr>
          <w:rFonts w:ascii="Verdana" w:hAnsi="Verdana"/>
          <w:shd w:val="clear" w:color="auto" w:fill="FFFFFF"/>
          <w:lang w:val="en-GB"/>
        </w:rPr>
      </w:pPr>
    </w:p>
    <w:p w14:paraId="2FC77734" w14:textId="77777777" w:rsidR="00842FD2" w:rsidRPr="00D55B2B" w:rsidRDefault="009C64E2" w:rsidP="007E262A">
      <w:pPr>
        <w:autoSpaceDE/>
        <w:autoSpaceDN/>
        <w:spacing w:line="360" w:lineRule="auto"/>
        <w:ind w:right="-478"/>
        <w:jc w:val="both"/>
        <w:rPr>
          <w:rFonts w:ascii="Verdana" w:hAnsi="Verdana"/>
          <w:lang w:val="en-GB"/>
        </w:rPr>
      </w:pPr>
      <w:r w:rsidRPr="00D55B2B">
        <w:rPr>
          <w:rFonts w:ascii="Verdana" w:hAnsi="Verdana"/>
          <w:shd w:val="clear" w:color="auto" w:fill="FFFFFF"/>
          <w:lang w:val="en-GB"/>
        </w:rPr>
        <w:t xml:space="preserve">Graca highlights that </w:t>
      </w:r>
      <w:r w:rsidR="00CD4BD1" w:rsidRPr="00D55B2B">
        <w:rPr>
          <w:rFonts w:ascii="Verdana" w:hAnsi="Verdana"/>
          <w:shd w:val="clear" w:color="auto" w:fill="FFFFFF"/>
          <w:lang w:val="en-GB"/>
        </w:rPr>
        <w:t>whilst</w:t>
      </w:r>
      <w:r w:rsidR="00257CBC" w:rsidRPr="00D55B2B">
        <w:rPr>
          <w:rFonts w:ascii="Verdana" w:hAnsi="Verdana"/>
          <w:shd w:val="clear" w:color="auto" w:fill="FFFFFF"/>
          <w:lang w:val="en-GB"/>
        </w:rPr>
        <w:t xml:space="preserve"> a multiagency approach is favoured by the Istanbul Convention</w:t>
      </w:r>
      <w:r w:rsidR="00374360" w:rsidRPr="00D55B2B">
        <w:rPr>
          <w:rFonts w:ascii="Verdana" w:hAnsi="Verdana"/>
          <w:shd w:val="clear" w:color="auto" w:fill="FFFFFF"/>
          <w:lang w:val="en-GB"/>
        </w:rPr>
        <w:t>, it is not</w:t>
      </w:r>
      <w:r w:rsidR="009F0F7F" w:rsidRPr="00D55B2B">
        <w:rPr>
          <w:rFonts w:ascii="Verdana" w:hAnsi="Verdana"/>
          <w:shd w:val="clear" w:color="auto" w:fill="FFFFFF"/>
          <w:lang w:val="en-GB"/>
        </w:rPr>
        <w:t xml:space="preserve"> </w:t>
      </w:r>
      <w:r w:rsidR="00374360" w:rsidRPr="00D55B2B">
        <w:rPr>
          <w:rFonts w:ascii="Verdana" w:hAnsi="Verdana"/>
          <w:shd w:val="clear" w:color="auto" w:fill="FFFFFF"/>
          <w:lang w:val="en-GB"/>
        </w:rPr>
        <w:t>without difficulties</w:t>
      </w:r>
      <w:r w:rsidR="00FD4EF0" w:rsidRPr="00D55B2B">
        <w:rPr>
          <w:rFonts w:ascii="Verdana" w:hAnsi="Verdana"/>
          <w:shd w:val="clear" w:color="auto" w:fill="FFFFFF"/>
          <w:lang w:val="en-GB"/>
        </w:rPr>
        <w:t>.</w:t>
      </w:r>
      <w:r w:rsidR="00337090" w:rsidRPr="00D55B2B">
        <w:rPr>
          <w:rStyle w:val="FootnoteReference"/>
          <w:rFonts w:ascii="Verdana" w:hAnsi="Verdana"/>
          <w:shd w:val="clear" w:color="auto" w:fill="FFFFFF"/>
          <w:lang w:val="en-GB"/>
        </w:rPr>
        <w:footnoteReference w:id="173"/>
      </w:r>
      <w:r w:rsidR="00374360" w:rsidRPr="00D55B2B">
        <w:rPr>
          <w:rFonts w:ascii="Verdana" w:hAnsi="Verdana"/>
          <w:shd w:val="clear" w:color="auto" w:fill="FFFFFF"/>
          <w:lang w:val="en-GB"/>
        </w:rPr>
        <w:t xml:space="preserve"> The</w:t>
      </w:r>
      <w:r w:rsidR="00D7029D" w:rsidRPr="00D55B2B">
        <w:rPr>
          <w:rFonts w:ascii="Verdana" w:hAnsi="Verdana"/>
          <w:shd w:val="clear" w:color="auto" w:fill="FFFFFF"/>
          <w:lang w:val="en-GB"/>
        </w:rPr>
        <w:t xml:space="preserve"> key concerns are that </w:t>
      </w:r>
      <w:r w:rsidR="00E542A8" w:rsidRPr="00D55B2B">
        <w:rPr>
          <w:rFonts w:ascii="Verdana" w:hAnsi="Verdana"/>
          <w:shd w:val="clear" w:color="auto" w:fill="FFFFFF"/>
        </w:rPr>
        <w:t xml:space="preserve">multi-agency initiatives work as a </w:t>
      </w:r>
      <w:r w:rsidR="003F45ED" w:rsidRPr="00D55B2B">
        <w:rPr>
          <w:rFonts w:ascii="Verdana" w:hAnsi="Verdana"/>
          <w:shd w:val="clear" w:color="auto" w:fill="FFFFFF"/>
        </w:rPr>
        <w:t>‘</w:t>
      </w:r>
      <w:r w:rsidR="00E542A8" w:rsidRPr="00D55B2B">
        <w:rPr>
          <w:rFonts w:ascii="Verdana" w:hAnsi="Verdana"/>
          <w:shd w:val="clear" w:color="auto" w:fill="FFFFFF"/>
        </w:rPr>
        <w:t>mere forum for discussion with few practical results</w:t>
      </w:r>
      <w:r w:rsidR="008C2AF9" w:rsidRPr="00D55B2B">
        <w:rPr>
          <w:rFonts w:ascii="Verdana" w:hAnsi="Verdana"/>
          <w:shd w:val="clear" w:color="auto" w:fill="FFFFFF"/>
        </w:rPr>
        <w:t>’</w:t>
      </w:r>
      <w:r w:rsidR="00E542A8" w:rsidRPr="00D55B2B">
        <w:rPr>
          <w:rFonts w:ascii="Verdana" w:hAnsi="Verdana"/>
          <w:shd w:val="clear" w:color="auto" w:fill="FFFFFF"/>
        </w:rPr>
        <w:t>, or as a 'smokescreen' for local government to draw attention away from ineffective practices, and a way to show good will and engagement in finding solutions for domestic violence</w:t>
      </w:r>
      <w:r w:rsidR="003F45ED" w:rsidRPr="00D55B2B">
        <w:rPr>
          <w:rFonts w:ascii="Verdana" w:hAnsi="Verdana"/>
          <w:shd w:val="clear" w:color="auto" w:fill="FFFFFF"/>
        </w:rPr>
        <w:t>’</w:t>
      </w:r>
      <w:r w:rsidR="00FD4EF0" w:rsidRPr="00D55B2B">
        <w:rPr>
          <w:rFonts w:ascii="Verdana" w:hAnsi="Verdana"/>
          <w:shd w:val="clear" w:color="auto" w:fill="FFFFFF"/>
        </w:rPr>
        <w:t>.</w:t>
      </w:r>
      <w:r w:rsidR="003F45ED" w:rsidRPr="00D55B2B">
        <w:rPr>
          <w:rStyle w:val="FootnoteReference"/>
          <w:rFonts w:ascii="Verdana" w:hAnsi="Verdana"/>
          <w:shd w:val="clear" w:color="auto" w:fill="FFFFFF"/>
        </w:rPr>
        <w:footnoteReference w:id="174"/>
      </w:r>
      <w:r w:rsidR="00E542A8" w:rsidRPr="00D55B2B">
        <w:rPr>
          <w:rFonts w:ascii="Verdana" w:hAnsi="Verdana"/>
          <w:shd w:val="clear" w:color="auto" w:fill="FFFFFF"/>
        </w:rPr>
        <w:t xml:space="preserve"> </w:t>
      </w:r>
      <w:r w:rsidR="006D5994">
        <w:rPr>
          <w:rFonts w:ascii="Verdana" w:hAnsi="Verdana"/>
          <w:shd w:val="clear" w:color="auto" w:fill="FFFFFF"/>
        </w:rPr>
        <w:t xml:space="preserve">It </w:t>
      </w:r>
      <w:r w:rsidR="00951162" w:rsidRPr="00D55B2B">
        <w:rPr>
          <w:rFonts w:ascii="Verdana" w:hAnsi="Verdana"/>
          <w:shd w:val="clear" w:color="auto" w:fill="FFFFFF"/>
        </w:rPr>
        <w:t>is recognised</w:t>
      </w:r>
      <w:r w:rsidR="00E542A8" w:rsidRPr="00D55B2B">
        <w:rPr>
          <w:rFonts w:ascii="Verdana" w:hAnsi="Verdana"/>
          <w:shd w:val="clear" w:color="auto" w:fill="FFFFFF"/>
        </w:rPr>
        <w:t xml:space="preserve"> tha</w:t>
      </w:r>
      <w:r w:rsidR="00257161" w:rsidRPr="00D55B2B">
        <w:rPr>
          <w:rFonts w:ascii="Verdana" w:hAnsi="Verdana"/>
          <w:shd w:val="clear" w:color="auto" w:fill="FFFFFF"/>
        </w:rPr>
        <w:t xml:space="preserve">t </w:t>
      </w:r>
      <w:r w:rsidR="00EE7F94" w:rsidRPr="00D55B2B">
        <w:rPr>
          <w:rFonts w:ascii="Verdana" w:hAnsi="Verdana"/>
          <w:shd w:val="clear" w:color="auto" w:fill="FFFFFF"/>
        </w:rPr>
        <w:t xml:space="preserve">they </w:t>
      </w:r>
      <w:r w:rsidR="00E542A8" w:rsidRPr="00D55B2B">
        <w:rPr>
          <w:rFonts w:ascii="Verdana" w:hAnsi="Verdana"/>
          <w:shd w:val="clear" w:color="auto" w:fill="FFFFFF"/>
        </w:rPr>
        <w:t xml:space="preserve">can also be a way for the police and local authorities to </w:t>
      </w:r>
      <w:r w:rsidR="00C2796A" w:rsidRPr="00D55B2B">
        <w:rPr>
          <w:rFonts w:ascii="Verdana" w:hAnsi="Verdana"/>
          <w:shd w:val="clear" w:color="auto" w:fill="FFFFFF"/>
        </w:rPr>
        <w:t>‘</w:t>
      </w:r>
      <w:r w:rsidR="00E542A8" w:rsidRPr="00D55B2B">
        <w:rPr>
          <w:rFonts w:ascii="Verdana" w:hAnsi="Verdana"/>
          <w:shd w:val="clear" w:color="auto" w:fill="FFFFFF"/>
        </w:rPr>
        <w:t>divert accountability for their actions</w:t>
      </w:r>
      <w:r w:rsidR="00C2796A" w:rsidRPr="00D55B2B">
        <w:rPr>
          <w:rFonts w:ascii="Verdana" w:hAnsi="Verdana"/>
          <w:shd w:val="clear" w:color="auto" w:fill="FFFFFF"/>
        </w:rPr>
        <w:t>’</w:t>
      </w:r>
      <w:r w:rsidR="00E542A8" w:rsidRPr="00D55B2B">
        <w:rPr>
          <w:rFonts w:ascii="Verdana" w:hAnsi="Verdana"/>
          <w:shd w:val="clear" w:color="auto" w:fill="FFFFFF"/>
        </w:rPr>
        <w:t xml:space="preserve"> to </w:t>
      </w:r>
      <w:r w:rsidR="00C2796A" w:rsidRPr="00D55B2B">
        <w:rPr>
          <w:rFonts w:ascii="Verdana" w:hAnsi="Verdana"/>
          <w:shd w:val="clear" w:color="auto" w:fill="FFFFFF"/>
        </w:rPr>
        <w:t>other organisations</w:t>
      </w:r>
      <w:r w:rsidR="00FD4EF0" w:rsidRPr="00D55B2B">
        <w:rPr>
          <w:rFonts w:ascii="Verdana" w:hAnsi="Verdana"/>
          <w:shd w:val="clear" w:color="auto" w:fill="FFFFFF"/>
        </w:rPr>
        <w:t>.</w:t>
      </w:r>
      <w:r w:rsidR="00C2796A" w:rsidRPr="00D55B2B">
        <w:rPr>
          <w:rStyle w:val="FootnoteReference"/>
          <w:rFonts w:ascii="Verdana" w:hAnsi="Verdana"/>
          <w:shd w:val="clear" w:color="auto" w:fill="FFFFFF"/>
        </w:rPr>
        <w:footnoteReference w:id="175"/>
      </w:r>
      <w:r w:rsidR="00E542A8" w:rsidRPr="00D55B2B">
        <w:rPr>
          <w:rFonts w:ascii="Verdana" w:hAnsi="Verdana"/>
          <w:lang w:val="en-GB"/>
        </w:rPr>
        <w:t xml:space="preserve"> </w:t>
      </w:r>
      <w:r w:rsidR="00A27573" w:rsidRPr="00D55B2B">
        <w:rPr>
          <w:rFonts w:ascii="Verdana" w:hAnsi="Verdana"/>
          <w:lang w:val="en-GB"/>
        </w:rPr>
        <w:t xml:space="preserve">Despite these difficulties, </w:t>
      </w:r>
      <w:r w:rsidR="00B05B2C" w:rsidRPr="00D55B2B">
        <w:rPr>
          <w:rFonts w:ascii="Verdana" w:hAnsi="Verdana"/>
          <w:lang w:val="en-GB"/>
        </w:rPr>
        <w:t xml:space="preserve">however, </w:t>
      </w:r>
      <w:r w:rsidR="00882935" w:rsidRPr="00D55B2B">
        <w:rPr>
          <w:rFonts w:ascii="Verdana" w:hAnsi="Verdana"/>
          <w:lang w:val="en-GB"/>
        </w:rPr>
        <w:t>the presence of multiagency working suggests that</w:t>
      </w:r>
      <w:r w:rsidR="00C96C1E" w:rsidRPr="00D55B2B">
        <w:rPr>
          <w:rFonts w:ascii="Verdana" w:hAnsi="Verdana"/>
          <w:lang w:val="en-GB"/>
        </w:rPr>
        <w:t xml:space="preserve"> </w:t>
      </w:r>
      <w:r w:rsidR="00842FD2" w:rsidRPr="00D55B2B">
        <w:rPr>
          <w:rFonts w:ascii="Verdana" w:hAnsi="Verdana"/>
          <w:lang w:val="en-GB"/>
        </w:rPr>
        <w:t xml:space="preserve">there are many </w:t>
      </w:r>
      <w:r w:rsidR="00A73B81" w:rsidRPr="00D55B2B">
        <w:rPr>
          <w:rFonts w:ascii="Verdana" w:hAnsi="Verdana"/>
          <w:lang w:val="en-GB"/>
        </w:rPr>
        <w:t xml:space="preserve">organisations with </w:t>
      </w:r>
      <w:r w:rsidR="005E5874" w:rsidRPr="00D55B2B">
        <w:rPr>
          <w:rFonts w:ascii="Verdana" w:hAnsi="Verdana"/>
          <w:lang w:val="en-GB"/>
        </w:rPr>
        <w:t>an</w:t>
      </w:r>
      <w:r w:rsidR="00450CEC" w:rsidRPr="00D55B2B">
        <w:rPr>
          <w:rFonts w:ascii="Verdana" w:hAnsi="Verdana"/>
          <w:lang w:val="en-GB"/>
        </w:rPr>
        <w:t xml:space="preserve"> ostensible </w:t>
      </w:r>
      <w:r w:rsidR="00320547" w:rsidRPr="00D55B2B">
        <w:rPr>
          <w:rFonts w:ascii="Verdana" w:hAnsi="Verdana"/>
          <w:lang w:val="en-GB"/>
        </w:rPr>
        <w:t>i</w:t>
      </w:r>
      <w:r w:rsidR="005E5874" w:rsidRPr="00D55B2B">
        <w:rPr>
          <w:rFonts w:ascii="Verdana" w:hAnsi="Verdana"/>
          <w:lang w:val="en-GB"/>
        </w:rPr>
        <w:t xml:space="preserve">nterest in supporting victims. </w:t>
      </w:r>
      <w:r w:rsidR="003E3DD1" w:rsidRPr="00D55B2B">
        <w:rPr>
          <w:rFonts w:ascii="Verdana" w:hAnsi="Verdana"/>
          <w:lang w:val="en-GB"/>
        </w:rPr>
        <w:t xml:space="preserve">The same does not appear to be </w:t>
      </w:r>
      <w:r w:rsidR="003707F1" w:rsidRPr="00D55B2B">
        <w:rPr>
          <w:rFonts w:ascii="Verdana" w:hAnsi="Verdana"/>
          <w:lang w:val="en-GB"/>
        </w:rPr>
        <w:t xml:space="preserve">true of </w:t>
      </w:r>
      <w:r w:rsidR="002A68A8" w:rsidRPr="00D55B2B">
        <w:rPr>
          <w:rFonts w:ascii="Verdana" w:hAnsi="Verdana"/>
          <w:lang w:val="en-GB"/>
        </w:rPr>
        <w:t xml:space="preserve">Russia where no government department or </w:t>
      </w:r>
      <w:r w:rsidR="00951CE9" w:rsidRPr="00D55B2B">
        <w:rPr>
          <w:rFonts w:ascii="Verdana" w:hAnsi="Verdana"/>
          <w:lang w:val="en-GB"/>
        </w:rPr>
        <w:t xml:space="preserve">state-funded </w:t>
      </w:r>
      <w:r w:rsidR="005F294E" w:rsidRPr="00D55B2B">
        <w:rPr>
          <w:rFonts w:ascii="Verdana" w:hAnsi="Verdana"/>
          <w:lang w:val="en-GB"/>
        </w:rPr>
        <w:t xml:space="preserve">organisation </w:t>
      </w:r>
      <w:r w:rsidR="00F92BAA" w:rsidRPr="00D55B2B">
        <w:rPr>
          <w:rFonts w:ascii="Verdana" w:hAnsi="Verdana"/>
          <w:lang w:val="en-GB"/>
        </w:rPr>
        <w:t xml:space="preserve">seem </w:t>
      </w:r>
      <w:r w:rsidR="008E14F0" w:rsidRPr="00D55B2B">
        <w:rPr>
          <w:rFonts w:ascii="Verdana" w:hAnsi="Verdana"/>
          <w:lang w:val="en-GB"/>
        </w:rPr>
        <w:t xml:space="preserve">willing </w:t>
      </w:r>
      <w:r w:rsidR="004342AA" w:rsidRPr="00D55B2B">
        <w:rPr>
          <w:rFonts w:ascii="Verdana" w:hAnsi="Verdana"/>
          <w:lang w:val="en-GB"/>
        </w:rPr>
        <w:t xml:space="preserve">or competent </w:t>
      </w:r>
      <w:r w:rsidR="00A56CFA" w:rsidRPr="00D55B2B">
        <w:rPr>
          <w:rFonts w:ascii="Verdana" w:hAnsi="Verdana"/>
          <w:lang w:val="en-GB"/>
        </w:rPr>
        <w:t>in</w:t>
      </w:r>
      <w:r w:rsidR="008E14F0" w:rsidRPr="00D55B2B">
        <w:rPr>
          <w:rFonts w:ascii="Verdana" w:hAnsi="Verdana"/>
          <w:lang w:val="en-GB"/>
        </w:rPr>
        <w:t xml:space="preserve"> </w:t>
      </w:r>
      <w:r w:rsidR="00A16656" w:rsidRPr="00D55B2B">
        <w:rPr>
          <w:rFonts w:ascii="Verdana" w:hAnsi="Verdana"/>
          <w:lang w:val="en-GB"/>
        </w:rPr>
        <w:t>assum</w:t>
      </w:r>
      <w:r w:rsidR="009D64BD" w:rsidRPr="00D55B2B">
        <w:rPr>
          <w:rFonts w:ascii="Verdana" w:hAnsi="Verdana"/>
          <w:lang w:val="en-GB"/>
        </w:rPr>
        <w:t>ing</w:t>
      </w:r>
      <w:r w:rsidR="00A16656" w:rsidRPr="00D55B2B">
        <w:rPr>
          <w:rFonts w:ascii="Verdana" w:hAnsi="Verdana"/>
          <w:lang w:val="en-GB"/>
        </w:rPr>
        <w:t xml:space="preserve"> accountability for </w:t>
      </w:r>
      <w:r w:rsidR="00E831A6" w:rsidRPr="00D55B2B">
        <w:rPr>
          <w:rFonts w:ascii="Verdana" w:hAnsi="Verdana"/>
          <w:lang w:val="en-GB"/>
        </w:rPr>
        <w:t xml:space="preserve">securing access to justice for victims. </w:t>
      </w:r>
    </w:p>
    <w:p w14:paraId="1234D398" w14:textId="77777777" w:rsidR="00FD4EF0" w:rsidRPr="00D55B2B" w:rsidRDefault="00FD4EF0" w:rsidP="007E262A">
      <w:pPr>
        <w:autoSpaceDE/>
        <w:autoSpaceDN/>
        <w:spacing w:line="360" w:lineRule="auto"/>
        <w:ind w:right="-478"/>
        <w:jc w:val="both"/>
        <w:rPr>
          <w:rFonts w:ascii="Verdana" w:hAnsi="Verdana"/>
          <w:lang w:val="en-GB"/>
        </w:rPr>
      </w:pPr>
    </w:p>
    <w:p w14:paraId="0FA62F8F" w14:textId="77777777" w:rsidR="00842FD2" w:rsidRPr="00D55B2B" w:rsidRDefault="00842FD2" w:rsidP="007E262A">
      <w:pPr>
        <w:autoSpaceDE/>
        <w:autoSpaceDN/>
        <w:spacing w:line="360" w:lineRule="auto"/>
        <w:ind w:right="-478"/>
        <w:jc w:val="both"/>
        <w:rPr>
          <w:rFonts w:ascii="Verdana" w:hAnsi="Verdana"/>
          <w:lang w:val="en-GB"/>
        </w:rPr>
      </w:pPr>
    </w:p>
    <w:p w14:paraId="757B4368" w14:textId="77777777" w:rsidR="00E55F04" w:rsidRPr="00D55B2B" w:rsidRDefault="00AB1727" w:rsidP="007E262A">
      <w:pPr>
        <w:spacing w:line="360" w:lineRule="auto"/>
        <w:ind w:right="-478"/>
        <w:jc w:val="both"/>
        <w:rPr>
          <w:rFonts w:ascii="Verdana" w:hAnsi="Verdana"/>
          <w:b/>
          <w:i/>
          <w:sz w:val="21"/>
          <w:szCs w:val="21"/>
        </w:rPr>
      </w:pPr>
      <w:r w:rsidRPr="00D55B2B">
        <w:rPr>
          <w:rFonts w:ascii="Verdana" w:hAnsi="Verdana"/>
          <w:b/>
          <w:i/>
          <w:sz w:val="21"/>
          <w:szCs w:val="21"/>
        </w:rPr>
        <w:t>Conclusion</w:t>
      </w:r>
    </w:p>
    <w:p w14:paraId="14D5F168" w14:textId="77777777" w:rsidR="008153A4" w:rsidRPr="00D55B2B" w:rsidRDefault="008153A4" w:rsidP="007E262A">
      <w:pPr>
        <w:spacing w:line="360" w:lineRule="auto"/>
        <w:ind w:right="-478"/>
        <w:jc w:val="both"/>
        <w:rPr>
          <w:rFonts w:ascii="Verdana" w:hAnsi="Verdana"/>
        </w:rPr>
      </w:pPr>
    </w:p>
    <w:p w14:paraId="6E9AE9BC" w14:textId="417242FE" w:rsidR="00447D50" w:rsidRPr="00D55B2B" w:rsidRDefault="00014D0B" w:rsidP="007E262A">
      <w:pPr>
        <w:adjustRightInd w:val="0"/>
        <w:spacing w:line="360" w:lineRule="auto"/>
        <w:ind w:right="-478"/>
        <w:jc w:val="both"/>
        <w:rPr>
          <w:rFonts w:ascii="Verdana" w:hAnsi="Verdana"/>
        </w:rPr>
      </w:pPr>
      <w:r>
        <w:rPr>
          <w:rFonts w:ascii="Verdana" w:hAnsi="Verdana"/>
        </w:rPr>
        <w:t>It</w:t>
      </w:r>
      <w:r w:rsidR="002E0DCA" w:rsidRPr="00D55B2B">
        <w:rPr>
          <w:rFonts w:ascii="Verdana" w:hAnsi="Verdana"/>
        </w:rPr>
        <w:t xml:space="preserve"> is</w:t>
      </w:r>
      <w:r w:rsidR="000A46AB" w:rsidRPr="00D55B2B">
        <w:rPr>
          <w:rFonts w:ascii="Verdana" w:hAnsi="Verdana"/>
        </w:rPr>
        <w:t xml:space="preserve"> </w:t>
      </w:r>
      <w:r w:rsidR="00E55F04" w:rsidRPr="00D55B2B">
        <w:rPr>
          <w:rFonts w:ascii="Verdana" w:hAnsi="Verdana"/>
        </w:rPr>
        <w:t>acknowledged that</w:t>
      </w:r>
      <w:r w:rsidR="005801B8">
        <w:rPr>
          <w:rFonts w:ascii="Verdana" w:hAnsi="Verdana"/>
        </w:rPr>
        <w:t xml:space="preserve"> although</w:t>
      </w:r>
      <w:r w:rsidR="00E55F04" w:rsidRPr="00D55B2B">
        <w:rPr>
          <w:rFonts w:ascii="Verdana" w:hAnsi="Verdana"/>
        </w:rPr>
        <w:t xml:space="preserve"> there is no single model that w</w:t>
      </w:r>
      <w:r w:rsidR="005165AB" w:rsidRPr="00D55B2B">
        <w:rPr>
          <w:rFonts w:ascii="Verdana" w:hAnsi="Verdana"/>
        </w:rPr>
        <w:t>ill</w:t>
      </w:r>
      <w:r w:rsidR="00E55F04" w:rsidRPr="00D55B2B">
        <w:rPr>
          <w:rFonts w:ascii="Verdana" w:hAnsi="Verdana"/>
        </w:rPr>
        <w:t xml:space="preserve"> lead to the eradication of </w:t>
      </w:r>
      <w:r w:rsidR="00B7114B" w:rsidRPr="00D55B2B">
        <w:rPr>
          <w:rFonts w:ascii="Verdana" w:hAnsi="Verdana"/>
        </w:rPr>
        <w:t>domestic violence</w:t>
      </w:r>
      <w:r w:rsidR="00E55F04" w:rsidRPr="00D55B2B">
        <w:rPr>
          <w:rFonts w:ascii="Verdana" w:hAnsi="Verdana"/>
        </w:rPr>
        <w:t xml:space="preserve"> in all societies</w:t>
      </w:r>
      <w:r w:rsidR="00567402" w:rsidRPr="00D55B2B">
        <w:rPr>
          <w:rFonts w:ascii="Verdana" w:hAnsi="Verdana"/>
        </w:rPr>
        <w:t xml:space="preserve">, </w:t>
      </w:r>
      <w:r w:rsidR="00741312" w:rsidRPr="00D55B2B">
        <w:rPr>
          <w:rFonts w:ascii="Verdana" w:hAnsi="Verdana"/>
        </w:rPr>
        <w:t>it is recognised</w:t>
      </w:r>
      <w:r w:rsidR="00973E2E" w:rsidRPr="00D55B2B">
        <w:rPr>
          <w:rFonts w:ascii="Verdana" w:hAnsi="Verdana"/>
        </w:rPr>
        <w:t xml:space="preserve"> by the authors</w:t>
      </w:r>
      <w:r w:rsidR="00741312" w:rsidRPr="00D55B2B">
        <w:rPr>
          <w:rFonts w:ascii="Verdana" w:hAnsi="Verdana"/>
        </w:rPr>
        <w:t xml:space="preserve"> that there</w:t>
      </w:r>
      <w:r w:rsidR="00414B51" w:rsidRPr="00D55B2B">
        <w:rPr>
          <w:rFonts w:ascii="Verdana" w:hAnsi="Verdana"/>
        </w:rPr>
        <w:t xml:space="preserve"> are </w:t>
      </w:r>
      <w:r w:rsidR="00E55F04" w:rsidRPr="00D55B2B">
        <w:rPr>
          <w:rFonts w:ascii="Verdana" w:hAnsi="Verdana"/>
        </w:rPr>
        <w:t xml:space="preserve">several key elements </w:t>
      </w:r>
      <w:r w:rsidR="0019230A" w:rsidRPr="00D55B2B">
        <w:rPr>
          <w:rFonts w:ascii="Verdana" w:hAnsi="Verdana"/>
        </w:rPr>
        <w:t>which any effective policy will incorporate</w:t>
      </w:r>
      <w:r w:rsidR="009E14F8" w:rsidRPr="00D55B2B">
        <w:rPr>
          <w:rFonts w:ascii="Verdana" w:hAnsi="Verdana"/>
        </w:rPr>
        <w:t xml:space="preserve"> to ensure </w:t>
      </w:r>
      <w:r w:rsidR="00D242EB" w:rsidRPr="00D55B2B">
        <w:rPr>
          <w:rFonts w:ascii="Verdana" w:hAnsi="Verdana"/>
        </w:rPr>
        <w:t>access to justice</w:t>
      </w:r>
      <w:r w:rsidR="00616486" w:rsidRPr="00D55B2B">
        <w:rPr>
          <w:rFonts w:ascii="Verdana" w:hAnsi="Verdana"/>
        </w:rPr>
        <w:t xml:space="preserve"> for victims, the punishment of offenders and </w:t>
      </w:r>
      <w:r w:rsidR="006B117B" w:rsidRPr="00D55B2B">
        <w:rPr>
          <w:rFonts w:ascii="Verdana" w:hAnsi="Verdana"/>
        </w:rPr>
        <w:t xml:space="preserve">compliance with international obligations. </w:t>
      </w:r>
      <w:r w:rsidR="001E4F07" w:rsidRPr="00D55B2B">
        <w:rPr>
          <w:rFonts w:ascii="Verdana" w:hAnsi="Verdana"/>
        </w:rPr>
        <w:t xml:space="preserve">These include </w:t>
      </w:r>
      <w:r w:rsidR="008D5950" w:rsidRPr="00D55B2B">
        <w:rPr>
          <w:rFonts w:ascii="Verdana" w:hAnsi="Verdana"/>
        </w:rPr>
        <w:t xml:space="preserve">efficient </w:t>
      </w:r>
      <w:r w:rsidR="00E55F04" w:rsidRPr="00D55B2B">
        <w:rPr>
          <w:rFonts w:ascii="Verdana" w:hAnsi="Verdana"/>
        </w:rPr>
        <w:t>responses from law enforcement</w:t>
      </w:r>
      <w:r w:rsidR="00F92735" w:rsidRPr="00D55B2B">
        <w:rPr>
          <w:rFonts w:ascii="Verdana" w:hAnsi="Verdana"/>
        </w:rPr>
        <w:t xml:space="preserve"> </w:t>
      </w:r>
      <w:r w:rsidR="005D269E" w:rsidRPr="00D55B2B">
        <w:rPr>
          <w:rFonts w:ascii="Verdana" w:hAnsi="Verdana"/>
        </w:rPr>
        <w:t>and judicial officers</w:t>
      </w:r>
      <w:r w:rsidR="00A00791" w:rsidRPr="00D55B2B">
        <w:rPr>
          <w:rFonts w:ascii="Verdana" w:hAnsi="Verdana"/>
        </w:rPr>
        <w:t xml:space="preserve"> who </w:t>
      </w:r>
      <w:r w:rsidR="005D269E" w:rsidRPr="00D55B2B">
        <w:rPr>
          <w:rFonts w:ascii="Verdana" w:hAnsi="Verdana"/>
        </w:rPr>
        <w:t>investigate, prosecute, and punis</w:t>
      </w:r>
      <w:r w:rsidR="00113BD4" w:rsidRPr="00D55B2B">
        <w:rPr>
          <w:rFonts w:ascii="Verdana" w:hAnsi="Verdana"/>
        </w:rPr>
        <w:t>h</w:t>
      </w:r>
      <w:r w:rsidR="00F92735" w:rsidRPr="00D55B2B">
        <w:rPr>
          <w:rFonts w:ascii="Verdana" w:hAnsi="Verdana"/>
        </w:rPr>
        <w:t xml:space="preserve"> perpetrators</w:t>
      </w:r>
      <w:r w:rsidR="001C256F" w:rsidRPr="00D55B2B">
        <w:rPr>
          <w:rFonts w:ascii="Verdana" w:hAnsi="Verdana"/>
        </w:rPr>
        <w:t xml:space="preserve">; </w:t>
      </w:r>
      <w:r w:rsidR="00113BD4" w:rsidRPr="00D55B2B">
        <w:rPr>
          <w:rFonts w:ascii="Verdana" w:hAnsi="Verdana"/>
        </w:rPr>
        <w:t>the empowerment of women through education</w:t>
      </w:r>
      <w:r w:rsidR="00447D50" w:rsidRPr="00D55B2B">
        <w:rPr>
          <w:rFonts w:ascii="Verdana" w:hAnsi="Verdana"/>
        </w:rPr>
        <w:t xml:space="preserve"> and </w:t>
      </w:r>
      <w:r w:rsidR="00113BD4" w:rsidRPr="00D55B2B">
        <w:rPr>
          <w:rFonts w:ascii="Verdana" w:hAnsi="Verdana"/>
        </w:rPr>
        <w:t>legal literacy; appropriate legislative frameworks, policing systems and judicial procedures t</w:t>
      </w:r>
      <w:r w:rsidR="00447D50" w:rsidRPr="00D55B2B">
        <w:rPr>
          <w:rFonts w:ascii="Verdana" w:hAnsi="Verdana"/>
        </w:rPr>
        <w:t>o provide adequate protection</w:t>
      </w:r>
      <w:r w:rsidR="00113BD4" w:rsidRPr="00D55B2B">
        <w:rPr>
          <w:rFonts w:ascii="Verdana" w:hAnsi="Verdana"/>
        </w:rPr>
        <w:t xml:space="preserve">; and support services such as </w:t>
      </w:r>
      <w:r w:rsidR="007D5865" w:rsidRPr="00D55B2B">
        <w:rPr>
          <w:rFonts w:ascii="Verdana" w:hAnsi="Verdana"/>
        </w:rPr>
        <w:t xml:space="preserve">shelters </w:t>
      </w:r>
      <w:r w:rsidR="00113BD4" w:rsidRPr="00D55B2B">
        <w:rPr>
          <w:rFonts w:ascii="Verdana" w:hAnsi="Verdana"/>
        </w:rPr>
        <w:t xml:space="preserve">and </w:t>
      </w:r>
      <w:r w:rsidR="007D5865" w:rsidRPr="00D55B2B">
        <w:rPr>
          <w:rFonts w:ascii="Verdana" w:hAnsi="Verdana"/>
        </w:rPr>
        <w:t>public funding</w:t>
      </w:r>
      <w:r w:rsidR="009620C4" w:rsidRPr="00D55B2B">
        <w:rPr>
          <w:rFonts w:ascii="Verdana" w:hAnsi="Verdana"/>
        </w:rPr>
        <w:t>.</w:t>
      </w:r>
      <w:r w:rsidR="004174E4" w:rsidRPr="00D55B2B">
        <w:rPr>
          <w:rStyle w:val="FootnoteReference"/>
          <w:rFonts w:ascii="Verdana" w:hAnsi="Verdana"/>
        </w:rPr>
        <w:footnoteReference w:id="176"/>
      </w:r>
    </w:p>
    <w:p w14:paraId="4805D206" w14:textId="77777777" w:rsidR="00447D50" w:rsidRPr="00D55B2B" w:rsidRDefault="00447D50" w:rsidP="007E262A">
      <w:pPr>
        <w:adjustRightInd w:val="0"/>
        <w:spacing w:line="360" w:lineRule="auto"/>
        <w:ind w:right="-478"/>
        <w:jc w:val="both"/>
        <w:rPr>
          <w:rFonts w:ascii="Verdana" w:hAnsi="Verdana"/>
        </w:rPr>
      </w:pPr>
    </w:p>
    <w:p w14:paraId="22570C6B" w14:textId="77777777" w:rsidR="0053500D" w:rsidRDefault="00663058" w:rsidP="007E262A">
      <w:pPr>
        <w:adjustRightInd w:val="0"/>
        <w:spacing w:line="360" w:lineRule="auto"/>
        <w:ind w:right="-478"/>
        <w:jc w:val="both"/>
        <w:rPr>
          <w:rFonts w:ascii="Verdana" w:hAnsi="Verdana"/>
        </w:rPr>
      </w:pPr>
      <w:r w:rsidRPr="00D55B2B">
        <w:rPr>
          <w:rFonts w:ascii="Verdana" w:hAnsi="Verdana"/>
        </w:rPr>
        <w:t xml:space="preserve">As has been considered throughout this article, </w:t>
      </w:r>
      <w:r w:rsidR="00F03AFC" w:rsidRPr="00D55B2B">
        <w:rPr>
          <w:rFonts w:ascii="Verdana" w:hAnsi="Verdana"/>
        </w:rPr>
        <w:t xml:space="preserve">whilst domestic abuse has been at the forefront of </w:t>
      </w:r>
      <w:r w:rsidR="002F0AE5" w:rsidRPr="00D55B2B">
        <w:rPr>
          <w:rFonts w:ascii="Verdana" w:hAnsi="Verdana"/>
        </w:rPr>
        <w:t xml:space="preserve">legal policy changes in </w:t>
      </w:r>
      <w:r w:rsidR="00F03AFC" w:rsidRPr="00D55B2B">
        <w:rPr>
          <w:rFonts w:ascii="Verdana" w:hAnsi="Verdana"/>
        </w:rPr>
        <w:t xml:space="preserve">both </w:t>
      </w:r>
      <w:r w:rsidRPr="00D55B2B">
        <w:rPr>
          <w:rFonts w:ascii="Verdana" w:hAnsi="Verdana"/>
        </w:rPr>
        <w:t>Russia and England</w:t>
      </w:r>
      <w:r w:rsidR="00A209E3" w:rsidRPr="00D55B2B">
        <w:rPr>
          <w:rFonts w:ascii="Verdana" w:hAnsi="Verdana"/>
        </w:rPr>
        <w:t xml:space="preserve"> </w:t>
      </w:r>
      <w:r w:rsidR="00803799" w:rsidRPr="00D55B2B">
        <w:rPr>
          <w:rFonts w:ascii="Verdana" w:hAnsi="Verdana"/>
        </w:rPr>
        <w:t xml:space="preserve">in recent years, </w:t>
      </w:r>
      <w:r w:rsidR="00D0206B" w:rsidRPr="00D55B2B">
        <w:rPr>
          <w:rFonts w:ascii="Verdana" w:hAnsi="Verdana"/>
        </w:rPr>
        <w:t xml:space="preserve">their approaches have </w:t>
      </w:r>
      <w:r w:rsidR="00A86046" w:rsidRPr="00D55B2B">
        <w:rPr>
          <w:rFonts w:ascii="Verdana" w:hAnsi="Verdana"/>
        </w:rPr>
        <w:t>contrasted greatly</w:t>
      </w:r>
      <w:r w:rsidR="00D0206B" w:rsidRPr="00D55B2B">
        <w:rPr>
          <w:rFonts w:ascii="Verdana" w:hAnsi="Verdana"/>
        </w:rPr>
        <w:t xml:space="preserve">. </w:t>
      </w:r>
      <w:r w:rsidR="00417D9A" w:rsidRPr="00D55B2B">
        <w:rPr>
          <w:rFonts w:ascii="Verdana" w:hAnsi="Verdana"/>
        </w:rPr>
        <w:t xml:space="preserve">At a </w:t>
      </w:r>
      <w:r w:rsidR="001777E7" w:rsidRPr="00D55B2B">
        <w:rPr>
          <w:rFonts w:ascii="Verdana" w:hAnsi="Verdana"/>
        </w:rPr>
        <w:t xml:space="preserve">very basic </w:t>
      </w:r>
      <w:r w:rsidR="00417D9A" w:rsidRPr="00D55B2B">
        <w:rPr>
          <w:rFonts w:ascii="Verdana" w:hAnsi="Verdana"/>
        </w:rPr>
        <w:t xml:space="preserve">level, </w:t>
      </w:r>
      <w:r w:rsidR="00AE79B1" w:rsidRPr="00D55B2B">
        <w:rPr>
          <w:rFonts w:ascii="Verdana" w:hAnsi="Verdana"/>
        </w:rPr>
        <w:t xml:space="preserve">the two jurisdictions have </w:t>
      </w:r>
      <w:r w:rsidR="00F1486D" w:rsidRPr="00D55B2B">
        <w:rPr>
          <w:rFonts w:ascii="Verdana" w:hAnsi="Verdana"/>
        </w:rPr>
        <w:t>different</w:t>
      </w:r>
      <w:r w:rsidR="0086634F" w:rsidRPr="00D55B2B">
        <w:rPr>
          <w:rFonts w:ascii="Verdana" w:hAnsi="Verdana"/>
        </w:rPr>
        <w:t xml:space="preserve"> </w:t>
      </w:r>
      <w:r w:rsidR="00BC325F" w:rsidRPr="00D55B2B">
        <w:rPr>
          <w:rFonts w:ascii="Verdana" w:hAnsi="Verdana"/>
        </w:rPr>
        <w:t>theoretical understandings of domestic abuse</w:t>
      </w:r>
      <w:r w:rsidR="00723346" w:rsidRPr="00D55B2B">
        <w:rPr>
          <w:rFonts w:ascii="Verdana" w:hAnsi="Verdana"/>
        </w:rPr>
        <w:t>.</w:t>
      </w:r>
      <w:r w:rsidR="003D4A31" w:rsidRPr="00D55B2B">
        <w:rPr>
          <w:rFonts w:ascii="Verdana" w:hAnsi="Verdana"/>
        </w:rPr>
        <w:t xml:space="preserve"> </w:t>
      </w:r>
      <w:r w:rsidR="00723346" w:rsidRPr="00D55B2B">
        <w:rPr>
          <w:rFonts w:ascii="Verdana" w:hAnsi="Verdana"/>
        </w:rPr>
        <w:t>This</w:t>
      </w:r>
      <w:r w:rsidR="0041247A" w:rsidRPr="00D55B2B">
        <w:rPr>
          <w:rFonts w:ascii="Verdana" w:hAnsi="Verdana"/>
        </w:rPr>
        <w:t xml:space="preserve"> has impacted </w:t>
      </w:r>
      <w:r w:rsidR="002F0AE5" w:rsidRPr="00D55B2B">
        <w:rPr>
          <w:rFonts w:ascii="Verdana" w:hAnsi="Verdana"/>
        </w:rPr>
        <w:t xml:space="preserve">on </w:t>
      </w:r>
      <w:r w:rsidR="0041247A" w:rsidRPr="00D55B2B">
        <w:rPr>
          <w:rFonts w:ascii="Verdana" w:hAnsi="Verdana"/>
        </w:rPr>
        <w:t xml:space="preserve">the </w:t>
      </w:r>
      <w:r w:rsidR="009311DC" w:rsidRPr="00D55B2B">
        <w:rPr>
          <w:rFonts w:ascii="Verdana" w:hAnsi="Verdana"/>
        </w:rPr>
        <w:t>type</w:t>
      </w:r>
      <w:r w:rsidR="00F30670" w:rsidRPr="00D55B2B">
        <w:rPr>
          <w:rFonts w:ascii="Verdana" w:hAnsi="Verdana"/>
        </w:rPr>
        <w:t>s</w:t>
      </w:r>
      <w:r w:rsidR="009311DC" w:rsidRPr="00D55B2B">
        <w:rPr>
          <w:rFonts w:ascii="Verdana" w:hAnsi="Verdana"/>
        </w:rPr>
        <w:t xml:space="preserve"> of protection</w:t>
      </w:r>
      <w:r w:rsidR="00F30670" w:rsidRPr="00D55B2B">
        <w:rPr>
          <w:rFonts w:ascii="Verdana" w:hAnsi="Verdana"/>
        </w:rPr>
        <w:t>s</w:t>
      </w:r>
      <w:r w:rsidR="009311DC" w:rsidRPr="00D55B2B">
        <w:rPr>
          <w:rFonts w:ascii="Verdana" w:hAnsi="Verdana"/>
        </w:rPr>
        <w:t xml:space="preserve"> </w:t>
      </w:r>
      <w:r w:rsidR="002F0AE5" w:rsidRPr="00D55B2B">
        <w:rPr>
          <w:rFonts w:ascii="Verdana" w:hAnsi="Verdana"/>
        </w:rPr>
        <w:t xml:space="preserve">that are </w:t>
      </w:r>
      <w:r w:rsidR="002F0B11" w:rsidRPr="00D55B2B">
        <w:rPr>
          <w:rFonts w:ascii="Verdana" w:hAnsi="Verdana"/>
        </w:rPr>
        <w:t xml:space="preserve">made </w:t>
      </w:r>
      <w:r w:rsidR="009311DC" w:rsidRPr="00D55B2B">
        <w:rPr>
          <w:rFonts w:ascii="Verdana" w:hAnsi="Verdana"/>
        </w:rPr>
        <w:t>available to victims</w:t>
      </w:r>
      <w:r w:rsidR="00714E5A" w:rsidRPr="00D55B2B">
        <w:rPr>
          <w:rFonts w:ascii="Verdana" w:hAnsi="Verdana"/>
        </w:rPr>
        <w:t xml:space="preserve"> (or the lack thereof)</w:t>
      </w:r>
      <w:r w:rsidR="006B546E" w:rsidRPr="00D55B2B">
        <w:rPr>
          <w:rFonts w:ascii="Verdana" w:hAnsi="Verdana"/>
        </w:rPr>
        <w:t xml:space="preserve"> and the countries’ </w:t>
      </w:r>
      <w:r w:rsidR="005B2605" w:rsidRPr="00D55B2B">
        <w:rPr>
          <w:rFonts w:ascii="Verdana" w:hAnsi="Verdana"/>
        </w:rPr>
        <w:t>willingness to</w:t>
      </w:r>
      <w:r w:rsidR="009311DC" w:rsidRPr="00D55B2B">
        <w:rPr>
          <w:rFonts w:ascii="Verdana" w:hAnsi="Verdana"/>
        </w:rPr>
        <w:t xml:space="preserve"> invest in support services</w:t>
      </w:r>
      <w:r w:rsidR="003B13FF" w:rsidRPr="00D55B2B">
        <w:rPr>
          <w:rFonts w:ascii="Verdana" w:hAnsi="Verdana"/>
        </w:rPr>
        <w:t xml:space="preserve"> and </w:t>
      </w:r>
      <w:r w:rsidR="00714E5A" w:rsidRPr="00D55B2B">
        <w:rPr>
          <w:rFonts w:ascii="Verdana" w:hAnsi="Verdana"/>
        </w:rPr>
        <w:t>give effect to</w:t>
      </w:r>
      <w:r w:rsidR="000D233E" w:rsidRPr="00D55B2B">
        <w:rPr>
          <w:rFonts w:ascii="Verdana" w:hAnsi="Verdana"/>
        </w:rPr>
        <w:t xml:space="preserve"> international instruments.</w:t>
      </w:r>
      <w:r w:rsidR="000A1397" w:rsidRPr="00D55B2B">
        <w:rPr>
          <w:rFonts w:ascii="Verdana" w:hAnsi="Verdana"/>
        </w:rPr>
        <w:t xml:space="preserve"> </w:t>
      </w:r>
      <w:r w:rsidR="00D45D40" w:rsidRPr="00D55B2B">
        <w:rPr>
          <w:rFonts w:ascii="Verdana" w:hAnsi="Verdana"/>
        </w:rPr>
        <w:t xml:space="preserve">On the one hand, </w:t>
      </w:r>
      <w:r w:rsidR="00BA63C9" w:rsidRPr="00D55B2B">
        <w:rPr>
          <w:rFonts w:ascii="Verdana" w:hAnsi="Verdana"/>
        </w:rPr>
        <w:t xml:space="preserve">in England </w:t>
      </w:r>
      <w:r w:rsidR="00383149" w:rsidRPr="00D55B2B">
        <w:rPr>
          <w:rFonts w:ascii="Verdana" w:hAnsi="Verdana"/>
        </w:rPr>
        <w:t xml:space="preserve">there </w:t>
      </w:r>
      <w:r w:rsidR="00921231" w:rsidRPr="00D55B2B">
        <w:rPr>
          <w:rFonts w:ascii="Verdana" w:hAnsi="Verdana"/>
        </w:rPr>
        <w:t>are an ever-expanding range of options available to victims</w:t>
      </w:r>
      <w:r w:rsidR="00F1152E" w:rsidRPr="00D55B2B">
        <w:rPr>
          <w:rFonts w:ascii="Verdana" w:hAnsi="Verdana"/>
        </w:rPr>
        <w:t xml:space="preserve"> under the criminal</w:t>
      </w:r>
      <w:r w:rsidR="005D1BD0" w:rsidRPr="00D55B2B">
        <w:rPr>
          <w:rFonts w:ascii="Verdana" w:hAnsi="Verdana"/>
        </w:rPr>
        <w:t xml:space="preserve">, civil </w:t>
      </w:r>
      <w:r w:rsidR="00F1152E" w:rsidRPr="00D55B2B">
        <w:rPr>
          <w:rFonts w:ascii="Verdana" w:hAnsi="Verdana"/>
        </w:rPr>
        <w:t xml:space="preserve">and family </w:t>
      </w:r>
      <w:r w:rsidR="00F222FD" w:rsidRPr="00D55B2B">
        <w:rPr>
          <w:rFonts w:ascii="Verdana" w:hAnsi="Verdana"/>
        </w:rPr>
        <w:t xml:space="preserve">law </w:t>
      </w:r>
      <w:r w:rsidR="00F1152E" w:rsidRPr="00D55B2B">
        <w:rPr>
          <w:rFonts w:ascii="Verdana" w:hAnsi="Verdana"/>
        </w:rPr>
        <w:t>justice systems</w:t>
      </w:r>
      <w:r w:rsidR="00B07DA7" w:rsidRPr="00D55B2B">
        <w:rPr>
          <w:rFonts w:ascii="Verdana" w:hAnsi="Verdana"/>
        </w:rPr>
        <w:t>. H</w:t>
      </w:r>
      <w:r w:rsidR="0075506D" w:rsidRPr="00D55B2B">
        <w:rPr>
          <w:rFonts w:ascii="Verdana" w:hAnsi="Verdana"/>
        </w:rPr>
        <w:t>owever</w:t>
      </w:r>
      <w:r w:rsidR="001E4C93" w:rsidRPr="00D55B2B">
        <w:rPr>
          <w:rFonts w:ascii="Verdana" w:hAnsi="Verdana"/>
        </w:rPr>
        <w:t>,</w:t>
      </w:r>
      <w:r w:rsidR="0075506D" w:rsidRPr="00D55B2B">
        <w:rPr>
          <w:rFonts w:ascii="Verdana" w:hAnsi="Verdana"/>
        </w:rPr>
        <w:t xml:space="preserve"> the quantity of </w:t>
      </w:r>
      <w:r w:rsidR="00571DB1" w:rsidRPr="00D55B2B">
        <w:rPr>
          <w:rFonts w:ascii="Verdana" w:hAnsi="Verdana"/>
        </w:rPr>
        <w:t xml:space="preserve">opportunities </w:t>
      </w:r>
      <w:r w:rsidR="002B66E5" w:rsidRPr="00D55B2B">
        <w:rPr>
          <w:rFonts w:ascii="Verdana" w:hAnsi="Verdana"/>
        </w:rPr>
        <w:t xml:space="preserve">can lead to a confusing system for both victims, the police and practitioners. </w:t>
      </w:r>
      <w:r w:rsidR="002C2939" w:rsidRPr="00D55B2B">
        <w:rPr>
          <w:rFonts w:ascii="Verdana" w:hAnsi="Verdana"/>
        </w:rPr>
        <w:t>The</w:t>
      </w:r>
      <w:r w:rsidR="00C73F65" w:rsidRPr="00D55B2B">
        <w:rPr>
          <w:rFonts w:ascii="Verdana" w:hAnsi="Verdana"/>
        </w:rPr>
        <w:t xml:space="preserve">se difficulties are compounded </w:t>
      </w:r>
      <w:r w:rsidR="00A34406" w:rsidRPr="00D55B2B">
        <w:rPr>
          <w:rFonts w:ascii="Verdana" w:hAnsi="Verdana"/>
        </w:rPr>
        <w:t xml:space="preserve">by a lack of public funding and specialists who </w:t>
      </w:r>
      <w:r w:rsidR="00DE7AD6" w:rsidRPr="00D55B2B">
        <w:rPr>
          <w:rFonts w:ascii="Verdana" w:hAnsi="Verdana"/>
        </w:rPr>
        <w:t>have a holistic understanding of the options</w:t>
      </w:r>
      <w:r w:rsidR="00261391" w:rsidRPr="00D55B2B">
        <w:rPr>
          <w:rFonts w:ascii="Verdana" w:hAnsi="Verdana"/>
        </w:rPr>
        <w:t xml:space="preserve">. </w:t>
      </w:r>
      <w:r w:rsidR="00A234EA" w:rsidRPr="00D55B2B">
        <w:rPr>
          <w:rFonts w:ascii="Verdana" w:hAnsi="Verdana"/>
        </w:rPr>
        <w:t>In contrast, in Russi</w:t>
      </w:r>
      <w:r w:rsidR="00AC72C0" w:rsidRPr="00D55B2B">
        <w:rPr>
          <w:rFonts w:ascii="Verdana" w:hAnsi="Verdana"/>
        </w:rPr>
        <w:t xml:space="preserve">a </w:t>
      </w:r>
      <w:r w:rsidR="007A21DA" w:rsidRPr="00D55B2B">
        <w:rPr>
          <w:rFonts w:ascii="Verdana" w:hAnsi="Verdana"/>
        </w:rPr>
        <w:t xml:space="preserve">there is a lack of </w:t>
      </w:r>
      <w:r w:rsidR="00A67B8F" w:rsidRPr="00D55B2B">
        <w:rPr>
          <w:rFonts w:ascii="Verdana" w:hAnsi="Verdana"/>
        </w:rPr>
        <w:t xml:space="preserve">statutory </w:t>
      </w:r>
      <w:r w:rsidR="00DF2FEC" w:rsidRPr="00D55B2B">
        <w:rPr>
          <w:rFonts w:ascii="Verdana" w:hAnsi="Verdana"/>
        </w:rPr>
        <w:t xml:space="preserve">protection </w:t>
      </w:r>
      <w:r w:rsidR="00A67B8F" w:rsidRPr="00D55B2B">
        <w:rPr>
          <w:rFonts w:ascii="Verdana" w:hAnsi="Verdana"/>
        </w:rPr>
        <w:t xml:space="preserve">under the criminal law </w:t>
      </w:r>
      <w:r w:rsidR="00DF2FEC" w:rsidRPr="00D55B2B">
        <w:rPr>
          <w:rFonts w:ascii="Verdana" w:hAnsi="Verdana"/>
        </w:rPr>
        <w:t>and these</w:t>
      </w:r>
      <w:r w:rsidR="00A67B8F" w:rsidRPr="00D55B2B">
        <w:rPr>
          <w:rFonts w:ascii="Verdana" w:hAnsi="Verdana"/>
        </w:rPr>
        <w:t xml:space="preserve"> options</w:t>
      </w:r>
      <w:r w:rsidR="00DF2FEC" w:rsidRPr="00D55B2B">
        <w:rPr>
          <w:rFonts w:ascii="Verdana" w:hAnsi="Verdana"/>
        </w:rPr>
        <w:t xml:space="preserve"> </w:t>
      </w:r>
      <w:r w:rsidR="007A3D60" w:rsidRPr="00D55B2B">
        <w:rPr>
          <w:rFonts w:ascii="Verdana" w:hAnsi="Verdana"/>
        </w:rPr>
        <w:t>have reduced in recent years</w:t>
      </w:r>
      <w:r w:rsidR="00956D3B" w:rsidRPr="00D55B2B">
        <w:rPr>
          <w:rFonts w:ascii="Verdana" w:hAnsi="Verdana"/>
        </w:rPr>
        <w:t xml:space="preserve">. </w:t>
      </w:r>
      <w:r w:rsidR="00D244A9" w:rsidRPr="00D55B2B">
        <w:rPr>
          <w:rFonts w:ascii="Verdana" w:hAnsi="Verdana"/>
        </w:rPr>
        <w:t xml:space="preserve">There are next to </w:t>
      </w:r>
      <w:r w:rsidR="00E12124" w:rsidRPr="00D55B2B">
        <w:rPr>
          <w:rFonts w:ascii="Verdana" w:hAnsi="Verdana"/>
        </w:rPr>
        <w:t xml:space="preserve">no </w:t>
      </w:r>
      <w:r w:rsidR="00D244A9" w:rsidRPr="00D55B2B">
        <w:rPr>
          <w:rFonts w:ascii="Verdana" w:hAnsi="Verdana"/>
        </w:rPr>
        <w:t>civil remedies available to victims</w:t>
      </w:r>
      <w:r w:rsidR="0033514E" w:rsidRPr="00D55B2B">
        <w:rPr>
          <w:rFonts w:ascii="Verdana" w:hAnsi="Verdana"/>
        </w:rPr>
        <w:t xml:space="preserve">. </w:t>
      </w:r>
      <w:r w:rsidR="006D5994">
        <w:rPr>
          <w:rFonts w:ascii="Verdana" w:hAnsi="Verdana"/>
        </w:rPr>
        <w:t>There</w:t>
      </w:r>
      <w:r w:rsidR="00F3389E" w:rsidRPr="00D55B2B">
        <w:rPr>
          <w:rFonts w:ascii="Verdana" w:hAnsi="Verdana"/>
        </w:rPr>
        <w:t xml:space="preserve"> has been </w:t>
      </w:r>
      <w:r w:rsidR="00A67B8F" w:rsidRPr="00D55B2B">
        <w:rPr>
          <w:rFonts w:ascii="Verdana" w:hAnsi="Verdana"/>
        </w:rPr>
        <w:t>little, if any,</w:t>
      </w:r>
      <w:r w:rsidR="00F3389E" w:rsidRPr="00D55B2B">
        <w:rPr>
          <w:rFonts w:ascii="Verdana" w:hAnsi="Verdana"/>
        </w:rPr>
        <w:t xml:space="preserve"> investment in infrastructure to change attitudes towards domestic abuse</w:t>
      </w:r>
      <w:r w:rsidR="00AA0532" w:rsidRPr="00D55B2B">
        <w:rPr>
          <w:rFonts w:ascii="Verdana" w:hAnsi="Verdana"/>
        </w:rPr>
        <w:t xml:space="preserve"> or provide training for law enforcement</w:t>
      </w:r>
      <w:r w:rsidR="00204F52" w:rsidRPr="00D55B2B">
        <w:rPr>
          <w:rFonts w:ascii="Verdana" w:hAnsi="Verdana"/>
        </w:rPr>
        <w:t xml:space="preserve"> or the judiciary. </w:t>
      </w:r>
    </w:p>
    <w:p w14:paraId="00842F5B" w14:textId="77777777" w:rsidR="005801B8" w:rsidRDefault="00DC0B88" w:rsidP="00DC0B88">
      <w:pPr>
        <w:spacing w:line="360" w:lineRule="auto"/>
        <w:ind w:right="-478"/>
        <w:jc w:val="both"/>
        <w:rPr>
          <w:rFonts w:ascii="Verdana" w:hAnsi="Verdana"/>
          <w:lang w:val="en-GB"/>
        </w:rPr>
      </w:pPr>
      <w:r w:rsidRPr="00D55B2B">
        <w:rPr>
          <w:rFonts w:ascii="Verdana" w:hAnsi="Verdana"/>
          <w:lang w:val="en-GB"/>
        </w:rPr>
        <w:t xml:space="preserve">There are a number of steps that could </w:t>
      </w:r>
      <w:r>
        <w:rPr>
          <w:rFonts w:ascii="Verdana" w:hAnsi="Verdana"/>
          <w:lang w:val="en-GB"/>
        </w:rPr>
        <w:t>improve the approach to</w:t>
      </w:r>
      <w:r w:rsidRPr="00D55B2B">
        <w:rPr>
          <w:rFonts w:ascii="Verdana" w:hAnsi="Verdana"/>
          <w:lang w:val="en-GB"/>
        </w:rPr>
        <w:t xml:space="preserve"> domestic abuse in Russia. </w:t>
      </w:r>
      <w:r w:rsidR="005801B8">
        <w:rPr>
          <w:rFonts w:ascii="Verdana" w:hAnsi="Verdana"/>
          <w:lang w:val="en-GB"/>
        </w:rPr>
        <w:t>Firstly, the authors would suggest</w:t>
      </w:r>
      <w:r w:rsidRPr="00D55B2B">
        <w:rPr>
          <w:rFonts w:ascii="Verdana" w:hAnsi="Verdana"/>
          <w:lang w:val="en-GB"/>
        </w:rPr>
        <w:t xml:space="preserve"> </w:t>
      </w:r>
      <w:r w:rsidR="005801B8">
        <w:rPr>
          <w:rFonts w:ascii="Verdana" w:hAnsi="Verdana"/>
          <w:lang w:val="en-GB"/>
        </w:rPr>
        <w:t>establishing</w:t>
      </w:r>
      <w:r w:rsidRPr="00D55B2B">
        <w:rPr>
          <w:rFonts w:ascii="Verdana" w:hAnsi="Verdana"/>
          <w:lang w:val="en-GB"/>
        </w:rPr>
        <w:t xml:space="preserve"> a statutory definition of domestic abuse which recognises the broad range of behaviours that can fall within its remit</w:t>
      </w:r>
      <w:r w:rsidR="005801B8">
        <w:rPr>
          <w:rFonts w:ascii="Verdana" w:hAnsi="Verdana"/>
          <w:lang w:val="en-GB"/>
        </w:rPr>
        <w:t>, similar to that proposed under the draft Domestic Abuse Bill in England and Wales. A statutory definition would assist</w:t>
      </w:r>
      <w:r w:rsidRPr="00D55B2B">
        <w:rPr>
          <w:rFonts w:ascii="Verdana" w:hAnsi="Verdana"/>
          <w:lang w:val="en-GB"/>
        </w:rPr>
        <w:t xml:space="preserve"> in </w:t>
      </w:r>
      <w:r w:rsidR="005801B8">
        <w:rPr>
          <w:rFonts w:ascii="Verdana" w:hAnsi="Verdana"/>
          <w:lang w:val="en-GB"/>
        </w:rPr>
        <w:t>improving</w:t>
      </w:r>
      <w:r w:rsidRPr="00D55B2B">
        <w:rPr>
          <w:rFonts w:ascii="Verdana" w:hAnsi="Verdana"/>
          <w:lang w:val="en-GB"/>
        </w:rPr>
        <w:t xml:space="preserve"> public understanding of domestic abuse as a gendered offence and a human rights infringement. In conjunction with this, the government should begin collecting statistics on domestic abuse, so they are able to effectively allocate resources to domestic abuse prevention/perpetration programmes similar to those operating in England and Wales. Such programmes have met with some success in encouraging perpetrators to think about their abusive behaviour, consider the impact this had on their partners and children and provide them with tools and techniques to tackle abusive behaviours.</w:t>
      </w:r>
      <w:r w:rsidRPr="00D55B2B">
        <w:rPr>
          <w:rStyle w:val="FootnoteReference"/>
          <w:rFonts w:ascii="Verdana" w:hAnsi="Verdana"/>
          <w:lang w:val="en-GB"/>
        </w:rPr>
        <w:footnoteReference w:id="177"/>
      </w:r>
      <w:r w:rsidRPr="00D55B2B">
        <w:rPr>
          <w:rFonts w:ascii="Verdana" w:hAnsi="Verdana"/>
          <w:lang w:val="en-GB"/>
        </w:rPr>
        <w:t xml:space="preserve">  This could also fit within a broader policy regarding the prevention of violence against women to send a clear message about the State’s disapproval of domestic abuse and which would address many of the CEDAW Committees’ concerns. </w:t>
      </w:r>
    </w:p>
    <w:p w14:paraId="6A19584C" w14:textId="77777777" w:rsidR="005801B8" w:rsidRDefault="005801B8" w:rsidP="00DC0B88">
      <w:pPr>
        <w:spacing w:line="360" w:lineRule="auto"/>
        <w:ind w:right="-478"/>
        <w:jc w:val="both"/>
        <w:rPr>
          <w:rFonts w:ascii="Verdana" w:hAnsi="Verdana"/>
          <w:lang w:val="en-GB"/>
        </w:rPr>
      </w:pPr>
    </w:p>
    <w:p w14:paraId="695D5C2F" w14:textId="77777777" w:rsidR="005801B8" w:rsidRDefault="005801B8" w:rsidP="00DC0B88">
      <w:pPr>
        <w:spacing w:line="360" w:lineRule="auto"/>
        <w:ind w:right="-478"/>
        <w:jc w:val="both"/>
        <w:rPr>
          <w:rFonts w:ascii="Verdana" w:hAnsi="Verdana"/>
          <w:lang w:val="en-GB"/>
        </w:rPr>
      </w:pPr>
      <w:r>
        <w:rPr>
          <w:rFonts w:ascii="Verdana" w:hAnsi="Verdana"/>
          <w:lang w:val="en-GB"/>
        </w:rPr>
        <w:t>The authors would also suggest that c</w:t>
      </w:r>
      <w:r w:rsidR="00DC0B88" w:rsidRPr="00D55B2B">
        <w:rPr>
          <w:rFonts w:ascii="Verdana" w:hAnsi="Verdana"/>
          <w:lang w:val="en-GB"/>
        </w:rPr>
        <w:t xml:space="preserve">rimes committed by family members should be excluded from the category of private prosecution and should be pursued publicly, with the assistance of the state. This would ensure that the sole responsibility for bringing a prosecution would not be left with the victim who is likely to have no knowledge of the legal process or evidential requirements. In turn, this may increase the number of successful prosecutions.  </w:t>
      </w:r>
    </w:p>
    <w:p w14:paraId="3DA6770D" w14:textId="77777777" w:rsidR="005801B8" w:rsidRDefault="005801B8" w:rsidP="00DC0B88">
      <w:pPr>
        <w:spacing w:line="360" w:lineRule="auto"/>
        <w:ind w:right="-478"/>
        <w:jc w:val="both"/>
        <w:rPr>
          <w:rFonts w:ascii="Verdana" w:hAnsi="Verdana"/>
          <w:lang w:val="en-GB"/>
        </w:rPr>
      </w:pPr>
    </w:p>
    <w:p w14:paraId="363210DB" w14:textId="77777777" w:rsidR="00DC0B88" w:rsidRPr="00D55B2B" w:rsidRDefault="00DC0B88" w:rsidP="00DC0B88">
      <w:pPr>
        <w:spacing w:line="360" w:lineRule="auto"/>
        <w:ind w:right="-478"/>
        <w:jc w:val="both"/>
        <w:rPr>
          <w:rFonts w:ascii="Verdana" w:hAnsi="Verdana"/>
        </w:rPr>
      </w:pPr>
      <w:r w:rsidRPr="00D55B2B">
        <w:rPr>
          <w:rFonts w:ascii="Verdana" w:hAnsi="Verdana"/>
        </w:rPr>
        <w:t>Finally, returning to the theme of education, there would be benefits of including formal training about gender and domestic abuse at all stages of education and particularly for those employed by the state, including social services, police, judges, prosecutors and public administrations.</w:t>
      </w:r>
      <w:r w:rsidRPr="00D55B2B">
        <w:rPr>
          <w:rStyle w:val="FootnoteReference"/>
          <w:rFonts w:ascii="Verdana" w:hAnsi="Verdana"/>
        </w:rPr>
        <w:footnoteReference w:id="178"/>
      </w:r>
      <w:r w:rsidRPr="00D55B2B">
        <w:rPr>
          <w:rFonts w:ascii="Verdana" w:hAnsi="Verdana"/>
        </w:rPr>
        <w:t xml:space="preserve"> </w:t>
      </w:r>
      <w:r w:rsidRPr="00D55B2B">
        <w:rPr>
          <w:rFonts w:ascii="Verdana" w:hAnsi="Verdana"/>
          <w:lang w:val="en-GB"/>
        </w:rPr>
        <w:t xml:space="preserve">Of course, all of this would require a commitment to ending domestic violence and heavy financial investment, which seems at odds with the Russian government’s current passivity towards these issues. </w:t>
      </w:r>
    </w:p>
    <w:p w14:paraId="313D1761" w14:textId="77777777" w:rsidR="0053500D" w:rsidRPr="00D55B2B" w:rsidRDefault="0053500D" w:rsidP="007E262A">
      <w:pPr>
        <w:adjustRightInd w:val="0"/>
        <w:spacing w:line="360" w:lineRule="auto"/>
        <w:ind w:right="-478"/>
        <w:jc w:val="both"/>
        <w:rPr>
          <w:rFonts w:ascii="Verdana" w:hAnsi="Verdana"/>
        </w:rPr>
      </w:pPr>
    </w:p>
    <w:p w14:paraId="0FB6BA8F" w14:textId="77777777" w:rsidR="002A067B" w:rsidRDefault="00916F60" w:rsidP="007E262A">
      <w:pPr>
        <w:adjustRightInd w:val="0"/>
        <w:spacing w:line="360" w:lineRule="auto"/>
        <w:ind w:right="-478"/>
        <w:jc w:val="both"/>
        <w:rPr>
          <w:rFonts w:ascii="Verdana" w:hAnsi="Verdana"/>
          <w:lang w:val="en-GB"/>
        </w:rPr>
      </w:pPr>
      <w:r w:rsidRPr="00D55B2B">
        <w:rPr>
          <w:rFonts w:ascii="Verdana" w:hAnsi="Verdana"/>
        </w:rPr>
        <w:t xml:space="preserve">Clearly, both jurisdictions must take action to ensure </w:t>
      </w:r>
      <w:r w:rsidR="00AE6214" w:rsidRPr="00D55B2B">
        <w:rPr>
          <w:rFonts w:ascii="Verdana" w:hAnsi="Verdana"/>
        </w:rPr>
        <w:t xml:space="preserve">that their policies </w:t>
      </w:r>
      <w:r w:rsidR="00F26765" w:rsidRPr="00D55B2B">
        <w:rPr>
          <w:rFonts w:ascii="Verdana" w:hAnsi="Verdana"/>
        </w:rPr>
        <w:t xml:space="preserve">are </w:t>
      </w:r>
      <w:r w:rsidR="00F50CB5" w:rsidRPr="00D55B2B">
        <w:rPr>
          <w:rFonts w:ascii="Verdana" w:hAnsi="Verdana"/>
        </w:rPr>
        <w:t xml:space="preserve">better equipped to </w:t>
      </w:r>
      <w:r w:rsidR="00331CC0" w:rsidRPr="00D55B2B">
        <w:rPr>
          <w:rFonts w:ascii="Verdana" w:hAnsi="Verdana"/>
        </w:rPr>
        <w:t>prevent</w:t>
      </w:r>
      <w:r w:rsidR="00BC240E" w:rsidRPr="00D55B2B">
        <w:rPr>
          <w:rFonts w:ascii="Verdana" w:hAnsi="Verdana"/>
        </w:rPr>
        <w:t xml:space="preserve"> domestic violence</w:t>
      </w:r>
      <w:r w:rsidR="00331CC0" w:rsidRPr="00D55B2B">
        <w:rPr>
          <w:rFonts w:ascii="Verdana" w:hAnsi="Verdana"/>
        </w:rPr>
        <w:t xml:space="preserve">, protect </w:t>
      </w:r>
      <w:r w:rsidR="00BC240E" w:rsidRPr="00D55B2B">
        <w:rPr>
          <w:rFonts w:ascii="Verdana" w:hAnsi="Verdana"/>
        </w:rPr>
        <w:t xml:space="preserve">victims </w:t>
      </w:r>
      <w:r w:rsidR="00331CC0" w:rsidRPr="00D55B2B">
        <w:rPr>
          <w:rFonts w:ascii="Verdana" w:hAnsi="Verdana"/>
        </w:rPr>
        <w:t>an</w:t>
      </w:r>
      <w:r w:rsidR="00A67B8F" w:rsidRPr="00D55B2B">
        <w:rPr>
          <w:rFonts w:ascii="Verdana" w:hAnsi="Verdana"/>
        </w:rPr>
        <w:t>d</w:t>
      </w:r>
      <w:r w:rsidR="00331CC0" w:rsidRPr="00D55B2B">
        <w:rPr>
          <w:rFonts w:ascii="Verdana" w:hAnsi="Verdana"/>
        </w:rPr>
        <w:t xml:space="preserve"> prosecute</w:t>
      </w:r>
      <w:r w:rsidR="00DC5B5C" w:rsidRPr="00D55B2B">
        <w:rPr>
          <w:rFonts w:ascii="Verdana" w:hAnsi="Verdana"/>
        </w:rPr>
        <w:t xml:space="preserve"> </w:t>
      </w:r>
      <w:r w:rsidR="00BC240E" w:rsidRPr="00D55B2B">
        <w:rPr>
          <w:rFonts w:ascii="Verdana" w:hAnsi="Verdana"/>
        </w:rPr>
        <w:t xml:space="preserve">perpetrators. </w:t>
      </w:r>
      <w:r w:rsidR="001B3C27" w:rsidRPr="00D55B2B">
        <w:rPr>
          <w:rFonts w:ascii="Verdana" w:hAnsi="Verdana"/>
        </w:rPr>
        <w:t xml:space="preserve">A possible </w:t>
      </w:r>
      <w:r w:rsidR="00284257" w:rsidRPr="00D55B2B">
        <w:rPr>
          <w:rFonts w:ascii="Verdana" w:hAnsi="Verdana"/>
        </w:rPr>
        <w:t xml:space="preserve">solution for both countries </w:t>
      </w:r>
      <w:r w:rsidR="007E2ED5" w:rsidRPr="00D55B2B">
        <w:rPr>
          <w:rFonts w:ascii="Verdana" w:hAnsi="Verdana"/>
        </w:rPr>
        <w:t>to meet these objectives would be a</w:t>
      </w:r>
      <w:r w:rsidR="00B915E2" w:rsidRPr="00D55B2B">
        <w:rPr>
          <w:rFonts w:ascii="Verdana" w:hAnsi="Verdana"/>
        </w:rPr>
        <w:t xml:space="preserve"> streamlined system where </w:t>
      </w:r>
      <w:r w:rsidR="00621E8D" w:rsidRPr="00D55B2B">
        <w:rPr>
          <w:rFonts w:ascii="Verdana" w:hAnsi="Verdana"/>
          <w:lang w:val="en-GB"/>
        </w:rPr>
        <w:t xml:space="preserve">both </w:t>
      </w:r>
      <w:r w:rsidR="002F0AE5" w:rsidRPr="00D55B2B">
        <w:rPr>
          <w:rFonts w:ascii="Verdana" w:hAnsi="Verdana"/>
          <w:lang w:val="en-GB"/>
        </w:rPr>
        <w:t>victim</w:t>
      </w:r>
      <w:r w:rsidR="00810B52" w:rsidRPr="00D55B2B">
        <w:rPr>
          <w:rFonts w:ascii="Verdana" w:hAnsi="Verdana"/>
          <w:lang w:val="en-GB"/>
        </w:rPr>
        <w:t>-</w:t>
      </w:r>
      <w:r w:rsidR="002F0AE5" w:rsidRPr="00D55B2B">
        <w:rPr>
          <w:rFonts w:ascii="Verdana" w:hAnsi="Verdana"/>
          <w:lang w:val="en-GB"/>
        </w:rPr>
        <w:t xml:space="preserve">led </w:t>
      </w:r>
      <w:r w:rsidR="00621E8D" w:rsidRPr="00D55B2B">
        <w:rPr>
          <w:rFonts w:ascii="Verdana" w:hAnsi="Verdana"/>
          <w:lang w:val="en-GB"/>
        </w:rPr>
        <w:t xml:space="preserve">civil and </w:t>
      </w:r>
      <w:r w:rsidR="002F0AE5" w:rsidRPr="00D55B2B">
        <w:rPr>
          <w:rFonts w:ascii="Verdana" w:hAnsi="Verdana"/>
          <w:lang w:val="en-GB"/>
        </w:rPr>
        <w:t>state</w:t>
      </w:r>
      <w:r w:rsidR="002E7A2F" w:rsidRPr="00D55B2B">
        <w:rPr>
          <w:rFonts w:ascii="Verdana" w:hAnsi="Verdana"/>
          <w:lang w:val="en-GB"/>
        </w:rPr>
        <w:t>-</w:t>
      </w:r>
      <w:r w:rsidR="002F0AE5" w:rsidRPr="00D55B2B">
        <w:rPr>
          <w:rFonts w:ascii="Verdana" w:hAnsi="Verdana"/>
          <w:lang w:val="en-GB"/>
        </w:rPr>
        <w:t xml:space="preserve">led </w:t>
      </w:r>
      <w:r w:rsidR="00621E8D" w:rsidRPr="00D55B2B">
        <w:rPr>
          <w:rFonts w:ascii="Verdana" w:hAnsi="Verdana"/>
          <w:lang w:val="en-GB"/>
        </w:rPr>
        <w:t xml:space="preserve">criminal options are </w:t>
      </w:r>
      <w:r w:rsidR="002F0AE5" w:rsidRPr="00D55B2B">
        <w:rPr>
          <w:rFonts w:ascii="Verdana" w:hAnsi="Verdana"/>
          <w:lang w:val="en-GB"/>
        </w:rPr>
        <w:t xml:space="preserve">facilitated in </w:t>
      </w:r>
      <w:r w:rsidR="00BF1026">
        <w:rPr>
          <w:rFonts w:ascii="Verdana" w:hAnsi="Verdana"/>
          <w:lang w:val="en-GB"/>
        </w:rPr>
        <w:t xml:space="preserve">expanded </w:t>
      </w:r>
      <w:r w:rsidR="009C6D7B" w:rsidRPr="00D55B2B">
        <w:rPr>
          <w:rFonts w:ascii="Verdana" w:hAnsi="Verdana"/>
          <w:lang w:val="en-GB"/>
        </w:rPr>
        <w:t>s</w:t>
      </w:r>
      <w:r w:rsidR="00621E8D" w:rsidRPr="00D55B2B">
        <w:rPr>
          <w:rFonts w:ascii="Verdana" w:hAnsi="Verdana"/>
          <w:lang w:val="en-GB"/>
        </w:rPr>
        <w:t>pecialist domestic abuse courts, with funded IDVAs present and special measures facilities established.</w:t>
      </w:r>
      <w:r w:rsidR="002F0AE5" w:rsidRPr="00D55B2B">
        <w:rPr>
          <w:rFonts w:ascii="Verdana" w:hAnsi="Verdana"/>
          <w:lang w:val="en-GB"/>
        </w:rPr>
        <w:t xml:space="preserve">  </w:t>
      </w:r>
    </w:p>
    <w:p w14:paraId="701FBD03" w14:textId="77777777" w:rsidR="002A067B" w:rsidRDefault="002A067B" w:rsidP="007E262A">
      <w:pPr>
        <w:adjustRightInd w:val="0"/>
        <w:spacing w:line="360" w:lineRule="auto"/>
        <w:ind w:right="-478"/>
        <w:jc w:val="both"/>
        <w:rPr>
          <w:rFonts w:ascii="Verdana" w:hAnsi="Verdana"/>
          <w:lang w:val="en-GB"/>
        </w:rPr>
      </w:pPr>
    </w:p>
    <w:p w14:paraId="0CA31DB8" w14:textId="77777777" w:rsidR="00BB4591" w:rsidRDefault="00475F7D" w:rsidP="007E262A">
      <w:pPr>
        <w:adjustRightInd w:val="0"/>
        <w:spacing w:line="360" w:lineRule="auto"/>
        <w:ind w:right="-478"/>
        <w:jc w:val="both"/>
        <w:rPr>
          <w:rFonts w:ascii="Verdana" w:hAnsi="Verdana"/>
          <w:lang w:val="en-GB"/>
        </w:rPr>
      </w:pPr>
      <w:r>
        <w:rPr>
          <w:rFonts w:ascii="Verdana" w:hAnsi="Verdana"/>
          <w:lang w:val="en-GB"/>
        </w:rPr>
        <w:t>It is acknowledged that specialist domestic abuse courts (SDACs) have previously been piloted in England and Wales.  However, these were criminal courts and therefore only dealt with one aspect of a victim’s case.  As addressed earlier in this article, domestic abuse cases can rarely be dealt with by one set of proceedings and often there will be inter-related issues</w:t>
      </w:r>
      <w:r w:rsidR="005801B8">
        <w:rPr>
          <w:rFonts w:ascii="Verdana" w:hAnsi="Verdana"/>
          <w:lang w:val="en-GB"/>
        </w:rPr>
        <w:t xml:space="preserve"> to be considered</w:t>
      </w:r>
      <w:r>
        <w:rPr>
          <w:rFonts w:ascii="Verdana" w:hAnsi="Verdana"/>
          <w:lang w:val="en-GB"/>
        </w:rPr>
        <w:t xml:space="preserve"> such as child arrangements and divorce</w:t>
      </w:r>
      <w:r w:rsidR="005801B8">
        <w:rPr>
          <w:rFonts w:ascii="Verdana" w:hAnsi="Verdana"/>
          <w:lang w:val="en-GB"/>
        </w:rPr>
        <w:t>/judicial separation</w:t>
      </w:r>
      <w:r>
        <w:rPr>
          <w:rFonts w:ascii="Verdana" w:hAnsi="Verdana"/>
          <w:lang w:val="en-GB"/>
        </w:rPr>
        <w:t>. The previous format of the SDAC ignored this and meant that victims would</w:t>
      </w:r>
      <w:r w:rsidR="005801B8">
        <w:rPr>
          <w:rFonts w:ascii="Verdana" w:hAnsi="Verdana"/>
          <w:lang w:val="en-GB"/>
        </w:rPr>
        <w:t xml:space="preserve"> also</w:t>
      </w:r>
      <w:r>
        <w:rPr>
          <w:rFonts w:ascii="Verdana" w:hAnsi="Verdana"/>
          <w:lang w:val="en-GB"/>
        </w:rPr>
        <w:t xml:space="preserve"> need to commence separate sets of proceedings in non-specialist family courts, with limited special measures facilities and a lack of court based IDVAs. </w:t>
      </w:r>
      <w:r w:rsidR="005801B8">
        <w:rPr>
          <w:rFonts w:ascii="Verdana" w:hAnsi="Verdana"/>
          <w:lang w:val="en-GB"/>
        </w:rPr>
        <w:t>The authors suggest that a</w:t>
      </w:r>
      <w:r w:rsidR="00E2065D">
        <w:rPr>
          <w:rFonts w:ascii="Verdana" w:hAnsi="Verdana"/>
          <w:lang w:val="en-GB"/>
        </w:rPr>
        <w:t xml:space="preserve"> similar approach could be taken to that adopted in the Family Drug and </w:t>
      </w:r>
      <w:r w:rsidR="005801B8">
        <w:rPr>
          <w:rFonts w:ascii="Verdana" w:hAnsi="Verdana"/>
          <w:lang w:val="en-GB"/>
        </w:rPr>
        <w:t>Alcohol Courts (FDACs).  In the FDACs</w:t>
      </w:r>
      <w:r>
        <w:rPr>
          <w:rFonts w:ascii="Verdana" w:hAnsi="Verdana"/>
          <w:lang w:val="en-GB"/>
        </w:rPr>
        <w:t xml:space="preserve"> a holistic approach is taken to cases, with</w:t>
      </w:r>
      <w:r w:rsidR="002A067B">
        <w:rPr>
          <w:rFonts w:ascii="Verdana" w:hAnsi="Verdana"/>
          <w:lang w:val="en-GB"/>
        </w:rPr>
        <w:t xml:space="preserve"> a specialist team</w:t>
      </w:r>
      <w:r>
        <w:rPr>
          <w:rFonts w:ascii="Verdana" w:hAnsi="Verdana"/>
          <w:lang w:val="en-GB"/>
        </w:rPr>
        <w:t xml:space="preserve"> from a range of professions (including medical professionals</w:t>
      </w:r>
      <w:r w:rsidR="002A067B">
        <w:rPr>
          <w:rFonts w:ascii="Verdana" w:hAnsi="Verdana"/>
          <w:lang w:val="en-GB"/>
        </w:rPr>
        <w:t>, child and family social workers, substance misuse teams and domestic abuse specialists</w:t>
      </w:r>
      <w:r>
        <w:rPr>
          <w:rFonts w:ascii="Verdana" w:hAnsi="Verdana"/>
          <w:lang w:val="en-GB"/>
        </w:rPr>
        <w:t xml:space="preserve">) </w:t>
      </w:r>
      <w:r w:rsidR="002A067B">
        <w:rPr>
          <w:rFonts w:ascii="Verdana" w:hAnsi="Verdana"/>
          <w:lang w:val="en-GB"/>
        </w:rPr>
        <w:t>supporting the Judge in the process</w:t>
      </w:r>
      <w:r w:rsidR="00E2065D">
        <w:rPr>
          <w:rFonts w:ascii="Verdana" w:hAnsi="Verdana"/>
          <w:lang w:val="en-GB"/>
        </w:rPr>
        <w:t xml:space="preserve">.  </w:t>
      </w:r>
      <w:r w:rsidR="00BB4591">
        <w:rPr>
          <w:rFonts w:ascii="Verdana" w:hAnsi="Verdana"/>
          <w:lang w:val="en-GB"/>
        </w:rPr>
        <w:t xml:space="preserve">The specialist team draw up an intervention plan and encourages parties to engage with specialist services. In a domestic abuse case, this could be encouraging a victim to engage with an IDVA or specialist support service and for the perpetrator it could be encouraging them to participate in a perpetrator programme. </w:t>
      </w:r>
    </w:p>
    <w:p w14:paraId="68B7D89C" w14:textId="77777777" w:rsidR="00BB4591" w:rsidRDefault="00BB4591" w:rsidP="007E262A">
      <w:pPr>
        <w:adjustRightInd w:val="0"/>
        <w:spacing w:line="360" w:lineRule="auto"/>
        <w:ind w:right="-478"/>
        <w:jc w:val="both"/>
        <w:rPr>
          <w:rFonts w:ascii="Verdana" w:hAnsi="Verdana"/>
          <w:lang w:val="en-GB"/>
        </w:rPr>
      </w:pPr>
    </w:p>
    <w:p w14:paraId="6FFDBE6C" w14:textId="77777777" w:rsidR="002A067B" w:rsidRDefault="00BB4591" w:rsidP="007E262A">
      <w:pPr>
        <w:adjustRightInd w:val="0"/>
        <w:spacing w:line="360" w:lineRule="auto"/>
        <w:ind w:right="-478"/>
        <w:jc w:val="both"/>
        <w:rPr>
          <w:rFonts w:ascii="Verdana" w:hAnsi="Verdana"/>
          <w:lang w:val="en-GB"/>
        </w:rPr>
      </w:pPr>
      <w:r>
        <w:rPr>
          <w:rFonts w:ascii="Verdana" w:hAnsi="Verdana"/>
          <w:lang w:val="en-GB"/>
        </w:rPr>
        <w:t>The use of specialist court facilities, designed with special measures in mind and with allocated IDVAs,</w:t>
      </w:r>
      <w:r w:rsidR="002A067B">
        <w:rPr>
          <w:rFonts w:ascii="Verdana" w:hAnsi="Verdana"/>
          <w:lang w:val="en-GB"/>
        </w:rPr>
        <w:t xml:space="preserve"> could potentially allow victims to take a more active role in proceedings</w:t>
      </w:r>
      <w:r>
        <w:rPr>
          <w:rFonts w:ascii="Verdana" w:hAnsi="Verdana"/>
          <w:lang w:val="en-GB"/>
        </w:rPr>
        <w:t>. This could be</w:t>
      </w:r>
      <w:r w:rsidR="002A067B" w:rsidRPr="002A067B">
        <w:rPr>
          <w:rFonts w:ascii="Verdana" w:hAnsi="Verdana"/>
          <w:lang w:val="en-GB"/>
        </w:rPr>
        <w:t xml:space="preserve"> </w:t>
      </w:r>
      <w:r w:rsidR="002A067B">
        <w:rPr>
          <w:rFonts w:ascii="Verdana" w:hAnsi="Verdana"/>
          <w:lang w:val="en-GB"/>
        </w:rPr>
        <w:t>in a similar way to ‘subsidiary prosecutors’ in Germany, should they so wish, but in a supportive environment, where their safety is prioritised.  The inclusion of non-lawyer specialists may also mean that there is scope to work with perpetrators during the proceedings to address their behaviour and prevent the same offences being committed in their future relationships.</w:t>
      </w:r>
    </w:p>
    <w:p w14:paraId="747F28B2" w14:textId="77777777" w:rsidR="002A067B" w:rsidRDefault="002A067B" w:rsidP="007E262A">
      <w:pPr>
        <w:adjustRightInd w:val="0"/>
        <w:spacing w:line="360" w:lineRule="auto"/>
        <w:ind w:right="-478"/>
        <w:jc w:val="both"/>
        <w:rPr>
          <w:rFonts w:ascii="Verdana" w:hAnsi="Verdana"/>
          <w:lang w:val="en-GB"/>
        </w:rPr>
      </w:pPr>
    </w:p>
    <w:p w14:paraId="4D49316B" w14:textId="77777777" w:rsidR="00E2065D" w:rsidRDefault="00E2065D" w:rsidP="007E262A">
      <w:pPr>
        <w:adjustRightInd w:val="0"/>
        <w:spacing w:line="360" w:lineRule="auto"/>
        <w:ind w:right="-478"/>
        <w:jc w:val="both"/>
        <w:rPr>
          <w:rFonts w:ascii="Verdana" w:hAnsi="Verdana"/>
          <w:lang w:val="en-GB"/>
        </w:rPr>
      </w:pPr>
      <w:r>
        <w:rPr>
          <w:rFonts w:ascii="Verdana" w:hAnsi="Verdana"/>
          <w:lang w:val="en-GB"/>
        </w:rPr>
        <w:t>Arguably,</w:t>
      </w:r>
      <w:r w:rsidR="00BF1026">
        <w:rPr>
          <w:rFonts w:ascii="Verdana" w:hAnsi="Verdana"/>
          <w:lang w:val="en-GB"/>
        </w:rPr>
        <w:t xml:space="preserve"> </w:t>
      </w:r>
      <w:r>
        <w:rPr>
          <w:rFonts w:ascii="Verdana" w:hAnsi="Verdana"/>
          <w:lang w:val="en-GB"/>
        </w:rPr>
        <w:t xml:space="preserve">society has </w:t>
      </w:r>
      <w:r w:rsidR="00BB4591">
        <w:rPr>
          <w:rFonts w:ascii="Verdana" w:hAnsi="Verdana"/>
          <w:lang w:val="en-GB"/>
        </w:rPr>
        <w:t>moved on since the</w:t>
      </w:r>
      <w:r>
        <w:rPr>
          <w:rFonts w:ascii="Verdana" w:hAnsi="Verdana"/>
          <w:lang w:val="en-GB"/>
        </w:rPr>
        <w:t xml:space="preserve"> initial </w:t>
      </w:r>
      <w:r w:rsidR="005801B8">
        <w:rPr>
          <w:rFonts w:ascii="Verdana" w:hAnsi="Verdana"/>
          <w:lang w:val="en-GB"/>
        </w:rPr>
        <w:t xml:space="preserve">SDAC </w:t>
      </w:r>
      <w:r>
        <w:rPr>
          <w:rFonts w:ascii="Verdana" w:hAnsi="Verdana"/>
          <w:lang w:val="en-GB"/>
        </w:rPr>
        <w:t xml:space="preserve">pilot and the understanding of domestic abuse has now developed, as demonstrated by the Sally Challen case. With the renewed Government commitment to tackling domestic abuse and in particular the </w:t>
      </w:r>
      <w:r w:rsidR="005801B8">
        <w:rPr>
          <w:rFonts w:ascii="Verdana" w:hAnsi="Verdana"/>
          <w:lang w:val="en-GB"/>
        </w:rPr>
        <w:t xml:space="preserve">financial </w:t>
      </w:r>
      <w:r>
        <w:rPr>
          <w:rFonts w:ascii="Verdana" w:hAnsi="Verdana"/>
          <w:lang w:val="en-GB"/>
        </w:rPr>
        <w:t>commitments set out in Annex C of the consultation response</w:t>
      </w:r>
      <w:r>
        <w:rPr>
          <w:rStyle w:val="FootnoteReference"/>
          <w:rFonts w:ascii="Verdana" w:hAnsi="Verdana"/>
          <w:lang w:val="en-GB"/>
        </w:rPr>
        <w:footnoteReference w:id="179"/>
      </w:r>
      <w:r>
        <w:rPr>
          <w:rFonts w:ascii="Verdana" w:hAnsi="Verdana"/>
          <w:lang w:val="en-GB"/>
        </w:rPr>
        <w:t>, perhaps now</w:t>
      </w:r>
      <w:r w:rsidR="00BF1026">
        <w:rPr>
          <w:rFonts w:ascii="Verdana" w:hAnsi="Verdana"/>
          <w:lang w:val="en-GB"/>
        </w:rPr>
        <w:t xml:space="preserve"> is the time to reconsider the potential benefits </w:t>
      </w:r>
      <w:r>
        <w:rPr>
          <w:rFonts w:ascii="Verdana" w:hAnsi="Verdana"/>
          <w:lang w:val="en-GB"/>
        </w:rPr>
        <w:t>of</w:t>
      </w:r>
      <w:r w:rsidR="00BF1026">
        <w:rPr>
          <w:rFonts w:ascii="Verdana" w:hAnsi="Verdana"/>
          <w:lang w:val="en-GB"/>
        </w:rPr>
        <w:t xml:space="preserve"> rolling out</w:t>
      </w:r>
      <w:r>
        <w:rPr>
          <w:rFonts w:ascii="Verdana" w:hAnsi="Verdana"/>
          <w:lang w:val="en-GB"/>
        </w:rPr>
        <w:t xml:space="preserve"> specialist courts</w:t>
      </w:r>
      <w:r w:rsidR="00BF1026">
        <w:rPr>
          <w:rFonts w:ascii="Verdana" w:hAnsi="Verdana"/>
          <w:lang w:val="en-GB"/>
        </w:rPr>
        <w:t xml:space="preserve"> across England and Wales</w:t>
      </w:r>
      <w:r>
        <w:rPr>
          <w:rFonts w:ascii="Verdana" w:hAnsi="Verdana"/>
          <w:lang w:val="en-GB"/>
        </w:rPr>
        <w:t>?</w:t>
      </w:r>
    </w:p>
    <w:p w14:paraId="0BF9C059" w14:textId="77777777" w:rsidR="00E2065D" w:rsidRDefault="00E2065D" w:rsidP="007E262A">
      <w:pPr>
        <w:adjustRightInd w:val="0"/>
        <w:spacing w:line="360" w:lineRule="auto"/>
        <w:ind w:right="-478"/>
        <w:jc w:val="both"/>
        <w:rPr>
          <w:rFonts w:ascii="Verdana" w:hAnsi="Verdana"/>
          <w:lang w:val="en-GB"/>
        </w:rPr>
      </w:pPr>
    </w:p>
    <w:p w14:paraId="0754CE15" w14:textId="5780E0F7" w:rsidR="00621E8D" w:rsidRPr="00D55B2B" w:rsidRDefault="002F0AE5" w:rsidP="007E262A">
      <w:pPr>
        <w:adjustRightInd w:val="0"/>
        <w:spacing w:line="360" w:lineRule="auto"/>
        <w:ind w:right="-478"/>
        <w:jc w:val="both"/>
        <w:rPr>
          <w:rFonts w:ascii="Verdana" w:hAnsi="Verdana"/>
        </w:rPr>
      </w:pPr>
      <w:r w:rsidRPr="00D55B2B">
        <w:rPr>
          <w:rFonts w:ascii="Verdana" w:hAnsi="Verdana"/>
          <w:lang w:val="en-GB"/>
        </w:rPr>
        <w:t>Th</w:t>
      </w:r>
      <w:r w:rsidR="00BF1026">
        <w:rPr>
          <w:rFonts w:ascii="Verdana" w:hAnsi="Verdana"/>
          <w:lang w:val="en-GB"/>
        </w:rPr>
        <w:t>ese recommendations</w:t>
      </w:r>
      <w:r w:rsidRPr="00D55B2B">
        <w:rPr>
          <w:rFonts w:ascii="Verdana" w:hAnsi="Verdana"/>
          <w:lang w:val="en-GB"/>
        </w:rPr>
        <w:t xml:space="preserve"> w</w:t>
      </w:r>
      <w:r w:rsidR="00796CF4" w:rsidRPr="00D55B2B">
        <w:rPr>
          <w:rFonts w:ascii="Verdana" w:hAnsi="Verdana"/>
          <w:lang w:val="en-GB"/>
        </w:rPr>
        <w:t>ould</w:t>
      </w:r>
      <w:r w:rsidRPr="00D55B2B">
        <w:rPr>
          <w:rFonts w:ascii="Verdana" w:hAnsi="Verdana"/>
          <w:lang w:val="en-GB"/>
        </w:rPr>
        <w:t xml:space="preserve"> </w:t>
      </w:r>
      <w:r w:rsidR="002A067B">
        <w:rPr>
          <w:rFonts w:ascii="Verdana" w:hAnsi="Verdana"/>
          <w:lang w:val="en-GB"/>
        </w:rPr>
        <w:t xml:space="preserve">all </w:t>
      </w:r>
      <w:r w:rsidRPr="00D55B2B">
        <w:rPr>
          <w:rFonts w:ascii="Verdana" w:hAnsi="Verdana"/>
          <w:lang w:val="en-GB"/>
        </w:rPr>
        <w:t>require significant financial investment by both countries but w</w:t>
      </w:r>
      <w:r w:rsidR="00DC0701" w:rsidRPr="00D55B2B">
        <w:rPr>
          <w:rFonts w:ascii="Verdana" w:hAnsi="Verdana"/>
          <w:lang w:val="en-GB"/>
        </w:rPr>
        <w:t>ould likewise</w:t>
      </w:r>
      <w:r w:rsidRPr="00D55B2B">
        <w:rPr>
          <w:rFonts w:ascii="Verdana" w:hAnsi="Verdana"/>
          <w:lang w:val="en-GB"/>
        </w:rPr>
        <w:t xml:space="preserve"> ensure that international obligations are met and, more importantly, victims are supported in accessing justice at a time when they are most vulnerable.</w:t>
      </w:r>
    </w:p>
    <w:p w14:paraId="5B72B480" w14:textId="77777777" w:rsidR="009D4A82" w:rsidRPr="00D55B2B" w:rsidRDefault="009D4A82" w:rsidP="00031308">
      <w:pPr>
        <w:spacing w:line="360" w:lineRule="auto"/>
        <w:ind w:right="-336"/>
        <w:jc w:val="both"/>
        <w:rPr>
          <w:b/>
          <w:i/>
        </w:rPr>
      </w:pPr>
    </w:p>
    <w:sectPr w:rsidR="009D4A82" w:rsidRPr="00D55B2B" w:rsidSect="004A5459">
      <w:headerReference w:type="default" r:id="rId8"/>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9B8779" w16cid:durableId="20152AFF"/>
  <w16cid:commentId w16cid:paraId="37443F85" w16cid:durableId="20152B07"/>
  <w16cid:commentId w16cid:paraId="5045A10A" w16cid:durableId="20152B08"/>
  <w16cid:commentId w16cid:paraId="1A3FE0AA" w16cid:durableId="20152B09"/>
  <w16cid:commentId w16cid:paraId="09FA8803" w16cid:durableId="20152B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11E61" w14:textId="77777777" w:rsidR="00A777AC" w:rsidRDefault="00A777AC" w:rsidP="006334E2">
      <w:r>
        <w:separator/>
      </w:r>
    </w:p>
  </w:endnote>
  <w:endnote w:type="continuationSeparator" w:id="0">
    <w:p w14:paraId="75A8E80A" w14:textId="77777777" w:rsidR="00A777AC" w:rsidRDefault="00A777AC" w:rsidP="0063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taOT-Light">
    <w:altName w:val="MetaOT-Light"/>
    <w:panose1 w:val="00000000000000000000"/>
    <w:charset w:val="00"/>
    <w:family w:val="swiss"/>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AdvP7B72">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98F0" w14:textId="77777777" w:rsidR="00A777AC" w:rsidRDefault="00A777AC" w:rsidP="006334E2">
      <w:r>
        <w:separator/>
      </w:r>
    </w:p>
  </w:footnote>
  <w:footnote w:type="continuationSeparator" w:id="0">
    <w:p w14:paraId="15A2FBE7" w14:textId="77777777" w:rsidR="00A777AC" w:rsidRDefault="00A777AC" w:rsidP="006334E2">
      <w:r>
        <w:continuationSeparator/>
      </w:r>
    </w:p>
  </w:footnote>
  <w:footnote w:id="1">
    <w:p w14:paraId="0AA0EE63" w14:textId="77777777" w:rsidR="00A777AC" w:rsidRPr="00D55B2B" w:rsidRDefault="00A777AC" w:rsidP="00D55B2B">
      <w:pPr>
        <w:pStyle w:val="FootnoteText"/>
        <w:spacing w:line="360" w:lineRule="auto"/>
        <w:ind w:right="95"/>
        <w:jc w:val="both"/>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Kayliegh Richardson is a Senior Lecturer at Northumbria University, Newcastle upon Tyne, England, NE1 8ST (phone: 0191 349 5539; email: </w:t>
      </w:r>
      <w:hyperlink r:id="rId1" w:history="1">
        <w:r w:rsidRPr="00D55B2B">
          <w:rPr>
            <w:rStyle w:val="Hyperlink"/>
            <w:rFonts w:ascii="Verdana" w:hAnsi="Verdana"/>
            <w:color w:val="auto"/>
            <w:sz w:val="16"/>
            <w:szCs w:val="16"/>
          </w:rPr>
          <w:t>kayliegh2.richardson@northumbria.ac.uk)</w:t>
        </w:r>
      </w:hyperlink>
      <w:r w:rsidRPr="00D55B2B">
        <w:rPr>
          <w:rFonts w:ascii="Verdana" w:hAnsi="Verdana"/>
          <w:sz w:val="16"/>
          <w:szCs w:val="16"/>
        </w:rPr>
        <w:t xml:space="preserve">.  </w:t>
      </w:r>
      <w:r>
        <w:rPr>
          <w:rFonts w:ascii="Verdana" w:hAnsi="Verdana"/>
          <w:sz w:val="16"/>
          <w:szCs w:val="16"/>
        </w:rPr>
        <w:t>Kayleigh</w:t>
      </w:r>
      <w:r w:rsidRPr="00D55B2B">
        <w:rPr>
          <w:rFonts w:ascii="Verdana" w:hAnsi="Verdana"/>
          <w:sz w:val="16"/>
          <w:szCs w:val="16"/>
        </w:rPr>
        <w:t xml:space="preserve"> is a practising solicitor specialising in Family Law.</w:t>
      </w:r>
    </w:p>
  </w:footnote>
  <w:footnote w:id="2">
    <w:p w14:paraId="5AE608BB" w14:textId="77777777" w:rsidR="00A777AC" w:rsidRPr="00D55B2B" w:rsidRDefault="00A777AC" w:rsidP="00D55B2B">
      <w:pPr>
        <w:pStyle w:val="FootnoteText"/>
        <w:spacing w:line="360" w:lineRule="auto"/>
        <w:jc w:val="both"/>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Ana Speed is a Solicitor Tutor and Senior Lecturer at Northumbria University, Newcastle upon Tyne, England, NE1 8ST (phone: 0191 243 7958; email: </w:t>
      </w:r>
      <w:hyperlink r:id="rId2" w:history="1">
        <w:r w:rsidRPr="00D55B2B">
          <w:rPr>
            <w:rStyle w:val="Hyperlink"/>
            <w:rFonts w:ascii="Verdana" w:hAnsi="Verdana"/>
            <w:color w:val="auto"/>
            <w:sz w:val="16"/>
            <w:szCs w:val="16"/>
          </w:rPr>
          <w:t>ana.speed@northumbria.ac.uk)</w:t>
        </w:r>
      </w:hyperlink>
      <w:r w:rsidRPr="00D55B2B">
        <w:rPr>
          <w:rStyle w:val="Hyperlink"/>
          <w:rFonts w:ascii="Verdana" w:hAnsi="Verdana"/>
          <w:color w:val="auto"/>
          <w:sz w:val="16"/>
          <w:szCs w:val="16"/>
        </w:rPr>
        <w:t>.</w:t>
      </w:r>
      <w:r w:rsidRPr="00D55B2B">
        <w:rPr>
          <w:rFonts w:ascii="Verdana" w:hAnsi="Verdana"/>
          <w:sz w:val="16"/>
          <w:szCs w:val="16"/>
        </w:rPr>
        <w:t xml:space="preserve">  </w:t>
      </w:r>
      <w:r>
        <w:rPr>
          <w:rFonts w:ascii="Verdana" w:hAnsi="Verdana"/>
          <w:sz w:val="16"/>
          <w:szCs w:val="16"/>
        </w:rPr>
        <w:t>Ana</w:t>
      </w:r>
      <w:r w:rsidRPr="00D55B2B">
        <w:rPr>
          <w:rFonts w:ascii="Verdana" w:hAnsi="Verdana"/>
          <w:sz w:val="16"/>
          <w:szCs w:val="16"/>
        </w:rPr>
        <w:t xml:space="preserve"> is also a practising solicitor specialising in Family Law.</w:t>
      </w:r>
    </w:p>
  </w:footnote>
  <w:footnote w:id="3">
    <w:p w14:paraId="45E9D3B0"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Office for National Statistics, ‘Domestic abuse in England and Wales: year ending March 2018’ (Office for National Statistics, 22 November 2018) Available at: </w:t>
      </w:r>
      <w:hyperlink r:id="rId3" w:history="1">
        <w:r w:rsidRPr="00D55B2B">
          <w:rPr>
            <w:rStyle w:val="Hyperlink"/>
            <w:rFonts w:ascii="Verdana" w:hAnsi="Verdana"/>
            <w:color w:val="auto"/>
            <w:sz w:val="16"/>
            <w:szCs w:val="16"/>
          </w:rPr>
          <w:t>https://www.ons.gov.uk/peoplepopulationandcommunity/crimeandjustice/bulletins/domesticabuseinenglandandwales/yearendingmarch2018</w:t>
        </w:r>
      </w:hyperlink>
      <w:r w:rsidRPr="00D55B2B">
        <w:rPr>
          <w:rFonts w:ascii="Verdana" w:hAnsi="Verdana"/>
          <w:sz w:val="16"/>
          <w:szCs w:val="16"/>
        </w:rPr>
        <w:t xml:space="preserve"> (accessed 05 January 2019). </w:t>
      </w:r>
    </w:p>
  </w:footnote>
  <w:footnote w:id="4">
    <w:p w14:paraId="366AD40A"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HM Government, ‘Transforming the Response to Domestic Abuse’ (Government Consultation, 8 March 2018) 8. Available at: </w:t>
      </w:r>
      <w:hyperlink r:id="rId4" w:history="1">
        <w:r w:rsidRPr="00D55B2B">
          <w:rPr>
            <w:rStyle w:val="Hyperlink"/>
            <w:rFonts w:ascii="Verdana" w:hAnsi="Verdana"/>
            <w:color w:val="auto"/>
            <w:sz w:val="16"/>
            <w:szCs w:val="16"/>
          </w:rPr>
          <w:t>https://consult.justice.gov.uk/homeoffice-moj/domestic-abuse-consultation/supporting_documents/Transforming%20the%20response%20to%20domestic%20abuse.pdf</w:t>
        </w:r>
      </w:hyperlink>
      <w:r w:rsidRPr="00D55B2B">
        <w:rPr>
          <w:rFonts w:ascii="Verdana" w:hAnsi="Verdana"/>
          <w:sz w:val="16"/>
          <w:szCs w:val="16"/>
        </w:rPr>
        <w:t xml:space="preserve"> (accessed 05 January 2019); </w:t>
      </w:r>
      <w:r w:rsidRPr="00D55B2B">
        <w:rPr>
          <w:rFonts w:ascii="Verdana" w:hAnsi="Verdana"/>
          <w:sz w:val="16"/>
          <w:szCs w:val="16"/>
          <w:lang w:val="en-GB"/>
        </w:rPr>
        <w:t xml:space="preserve">Women’s Aid, ‘Survival and Beyond: The Domestic Abuse Report 2017’ (2017) 23. Available at: </w:t>
      </w:r>
      <w:hyperlink r:id="rId5" w:history="1">
        <w:r w:rsidRPr="00D55B2B">
          <w:rPr>
            <w:rStyle w:val="Hyperlink"/>
            <w:rFonts w:ascii="Verdana" w:hAnsi="Verdana"/>
            <w:color w:val="auto"/>
            <w:sz w:val="16"/>
            <w:szCs w:val="16"/>
            <w:lang w:val="en-GB"/>
          </w:rPr>
          <w:t>https://1q7dqy2unor827bqjls0c4rn-wpengine.netdna-ssl.com/wp-content/uploads/2018/03/Survival-and-Beyond.pdf</w:t>
        </w:r>
      </w:hyperlink>
      <w:r w:rsidRPr="00D55B2B">
        <w:rPr>
          <w:rFonts w:ascii="Verdana" w:hAnsi="Verdana"/>
          <w:sz w:val="16"/>
          <w:szCs w:val="16"/>
          <w:lang w:val="en-GB"/>
        </w:rPr>
        <w:t xml:space="preserve"> (accessed 05 January 2019). </w:t>
      </w:r>
    </w:p>
  </w:footnote>
  <w:footnote w:id="5">
    <w:p w14:paraId="3B5559F3"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lang w:val="en-GB"/>
        </w:rPr>
        <w:t xml:space="preserve"> H. Bows,‘Domestic Homicide of Older People (2010-15): A Comparative Analysis of Intimate-Partner Homicide and Parricide Cases in the UK’ (2018) </w:t>
      </w:r>
      <w:r w:rsidRPr="00D55B2B">
        <w:rPr>
          <w:rFonts w:ascii="Verdana" w:hAnsi="Verdana"/>
          <w:i/>
          <w:sz w:val="16"/>
          <w:szCs w:val="16"/>
          <w:lang w:val="en-GB"/>
        </w:rPr>
        <w:t>The British Journal of Social Work</w:t>
      </w:r>
      <w:r w:rsidRPr="00D55B2B">
        <w:rPr>
          <w:rFonts w:ascii="Verdana" w:hAnsi="Verdana"/>
          <w:sz w:val="16"/>
          <w:szCs w:val="16"/>
          <w:lang w:val="en-GB"/>
        </w:rPr>
        <w:t xml:space="preserve">, 1-20. </w:t>
      </w:r>
    </w:p>
  </w:footnote>
  <w:footnote w:id="6">
    <w:p w14:paraId="5468A2B5" w14:textId="77777777" w:rsidR="00A777AC" w:rsidRPr="00D55B2B" w:rsidRDefault="00A777AC" w:rsidP="00D55B2B">
      <w:pPr>
        <w:pStyle w:val="FootnoteText"/>
        <w:spacing w:line="360" w:lineRule="auto"/>
        <w:jc w:val="both"/>
        <w:rPr>
          <w:rFonts w:ascii="Verdana" w:hAnsi="Verdana" w:cstheme="minorHAnsi"/>
          <w:sz w:val="16"/>
          <w:szCs w:val="16"/>
        </w:rPr>
      </w:pPr>
      <w:r w:rsidRPr="00D55B2B">
        <w:rPr>
          <w:rStyle w:val="FootnoteReference"/>
          <w:rFonts w:ascii="Verdana" w:hAnsi="Verdana" w:cstheme="minorHAnsi"/>
          <w:sz w:val="16"/>
          <w:szCs w:val="16"/>
        </w:rPr>
        <w:footnoteRef/>
      </w:r>
      <w:r w:rsidRPr="00D55B2B">
        <w:rPr>
          <w:rFonts w:ascii="Verdana" w:hAnsi="Verdana" w:cstheme="minorHAnsi"/>
          <w:sz w:val="16"/>
          <w:szCs w:val="16"/>
        </w:rPr>
        <w:t xml:space="preserve"> The European Institute for Gender Inequality, ‘Strategic Framework on Violence against Women 2015-2018’ (2015) (Luxembourg: Publications Office of the European Union). Available at: </w:t>
      </w:r>
      <w:hyperlink r:id="rId6" w:history="1">
        <w:r w:rsidRPr="00D55B2B">
          <w:rPr>
            <w:rStyle w:val="Hyperlink"/>
            <w:rFonts w:ascii="Verdana" w:hAnsi="Verdana" w:cstheme="minorHAnsi"/>
            <w:color w:val="auto"/>
            <w:sz w:val="16"/>
            <w:szCs w:val="16"/>
          </w:rPr>
          <w:t>https://eige.europa.eu/rdc/eige-publications/strategic-framework-violence-against-women-2015-2018</w:t>
        </w:r>
      </w:hyperlink>
      <w:r w:rsidRPr="00D55B2B">
        <w:rPr>
          <w:rFonts w:ascii="Verdana" w:hAnsi="Verdana" w:cstheme="minorHAnsi"/>
          <w:sz w:val="16"/>
          <w:szCs w:val="16"/>
        </w:rPr>
        <w:t xml:space="preserve"> (accessed 05 January 2019). </w:t>
      </w:r>
    </w:p>
  </w:footnote>
  <w:footnote w:id="7">
    <w:p w14:paraId="4D36D504"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The Equality and Human Rights Commission, ‘Response of the Equality and Human Rights Commission to the Consultation: Transforming the Response to Domestic Abuse’ (2018). Available at:  The response can be accessed: </w:t>
      </w:r>
      <w:hyperlink r:id="rId7" w:history="1">
        <w:r w:rsidRPr="00D55B2B">
          <w:rPr>
            <w:rStyle w:val="Hyperlink"/>
            <w:rFonts w:ascii="Verdana" w:hAnsi="Verdana"/>
            <w:color w:val="auto"/>
            <w:sz w:val="16"/>
            <w:szCs w:val="16"/>
            <w:lang w:val="en-GB"/>
          </w:rPr>
          <w:t>https://www.equalityhumanrights.com/sites/default/files/consultation-response-transforming-response-to-domestic-abuse-may-2018.pdf</w:t>
        </w:r>
      </w:hyperlink>
      <w:r w:rsidRPr="00D55B2B">
        <w:rPr>
          <w:rFonts w:ascii="Verdana" w:hAnsi="Verdana"/>
          <w:sz w:val="16"/>
          <w:szCs w:val="16"/>
          <w:lang w:val="en-GB"/>
        </w:rPr>
        <w:t xml:space="preserve"> (accessed 05 January 2019). </w:t>
      </w:r>
    </w:p>
  </w:footnote>
  <w:footnote w:id="8">
    <w:p w14:paraId="4B96DD6F" w14:textId="77777777" w:rsidR="00A777AC" w:rsidRPr="00D55B2B" w:rsidRDefault="00A777AC" w:rsidP="00D55B2B">
      <w:pPr>
        <w:pStyle w:val="NormalWeb"/>
        <w:spacing w:before="0" w:beforeAutospacing="0" w:after="0" w:afterAutospacing="0"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Office for National Statistics ‘Crime Statistics, Focus on Violent Crime and Sexual Offences, Year ending March 2016, Chapter 2: Homicide’ (2016). </w:t>
      </w:r>
    </w:p>
  </w:footnote>
  <w:footnote w:id="9">
    <w:p w14:paraId="75B9C323"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Home Office ‘Controlling or Coercive Behaviour in an Intimate or Family Relationship: Statutory Guidance Framework’ (2015) 7. Available at: </w:t>
      </w:r>
      <w:hyperlink r:id="rId8" w:history="1">
        <w:r w:rsidRPr="00D55B2B">
          <w:rPr>
            <w:rStyle w:val="Hyperlink"/>
            <w:rFonts w:ascii="Verdana" w:hAnsi="Verdana"/>
            <w:color w:val="auto"/>
            <w:sz w:val="16"/>
            <w:szCs w:val="16"/>
          </w:rPr>
          <w:t>https://assets.publishing.service.gov.uk/government/uploads/system/uploads/attachment_data/file/482528/Controlling_or_coercive_behaviour_-_statutory_guidance.pdf</w:t>
        </w:r>
      </w:hyperlink>
      <w:r w:rsidRPr="00D55B2B">
        <w:rPr>
          <w:rFonts w:ascii="Verdana" w:hAnsi="Verdana"/>
          <w:sz w:val="16"/>
          <w:szCs w:val="16"/>
        </w:rPr>
        <w:t xml:space="preserve"> (accessed 05 January 2019). </w:t>
      </w:r>
    </w:p>
  </w:footnote>
  <w:footnote w:id="10">
    <w:p w14:paraId="7280116B"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The Equality and Human Rights Commission, above n. 7. </w:t>
      </w:r>
    </w:p>
  </w:footnote>
  <w:footnote w:id="11">
    <w:p w14:paraId="362931E1"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Law Commission ‘Reform of Offences against the Person: A Scoping Consultation Paper’ CP 217 (2014), para. 150. Available at: </w:t>
      </w:r>
      <w:hyperlink r:id="rId9" w:history="1">
        <w:r w:rsidRPr="00D55B2B">
          <w:rPr>
            <w:rStyle w:val="Hyperlink"/>
            <w:rFonts w:ascii="Verdana" w:hAnsi="Verdana"/>
            <w:color w:val="auto"/>
            <w:sz w:val="16"/>
            <w:szCs w:val="16"/>
            <w:lang w:val="en-GB"/>
          </w:rPr>
          <w:t>http://www.lawcom.gov.uk/app/uploads/2015/06/cp217_offences_against_the_person.pdf</w:t>
        </w:r>
      </w:hyperlink>
      <w:r w:rsidRPr="00D55B2B">
        <w:rPr>
          <w:rFonts w:ascii="Verdana" w:hAnsi="Verdana"/>
          <w:sz w:val="16"/>
          <w:szCs w:val="16"/>
          <w:lang w:val="en-GB"/>
        </w:rPr>
        <w:t xml:space="preserve"> (accessed 05 January 2019). </w:t>
      </w:r>
    </w:p>
  </w:footnote>
  <w:footnote w:id="12">
    <w:p w14:paraId="656B4FE4" w14:textId="77777777" w:rsidR="00A777AC" w:rsidRPr="00D55B2B" w:rsidRDefault="00A777AC" w:rsidP="00D55B2B">
      <w:pPr>
        <w:pStyle w:val="FootnoteText"/>
        <w:spacing w:line="360" w:lineRule="auto"/>
        <w:jc w:val="both"/>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J. E. </w:t>
      </w:r>
      <w:r w:rsidRPr="00D55B2B">
        <w:rPr>
          <w:rFonts w:ascii="Verdana" w:hAnsi="Verdana"/>
          <w:sz w:val="16"/>
          <w:szCs w:val="16"/>
          <w:lang w:val="en-GB"/>
        </w:rPr>
        <w:t xml:space="preserve">Johnson, ‘Privatizing Pain: The Problem of Woman Battery in Russia’ (2001) 13(2) </w:t>
      </w:r>
      <w:r w:rsidRPr="00D55B2B">
        <w:rPr>
          <w:rFonts w:ascii="Verdana" w:hAnsi="Verdana"/>
          <w:i/>
          <w:sz w:val="16"/>
          <w:szCs w:val="16"/>
          <w:lang w:val="en-GB"/>
        </w:rPr>
        <w:t>National Women’s Studies Association Journal</w:t>
      </w:r>
      <w:r w:rsidRPr="00D55B2B">
        <w:rPr>
          <w:rFonts w:ascii="Verdana" w:hAnsi="Verdana"/>
          <w:sz w:val="16"/>
          <w:szCs w:val="16"/>
          <w:lang w:val="en-GB"/>
        </w:rPr>
        <w:t xml:space="preserve">, 153-168. </w:t>
      </w:r>
    </w:p>
  </w:footnote>
  <w:footnote w:id="13">
    <w:p w14:paraId="60E4BEC9" w14:textId="77777777" w:rsidR="00A777AC" w:rsidRPr="00D55B2B" w:rsidRDefault="00A777AC" w:rsidP="00D55B2B">
      <w:pPr>
        <w:pStyle w:val="FootnoteText"/>
        <w:spacing w:line="360" w:lineRule="auto"/>
        <w:jc w:val="both"/>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The Russian Orthodox Church, for example, has promoted a zero-tolerance attitude towards familial violence through working in conjunction with domestic abuse organisations to develop an effective response to incidents of violence, including providing training for priests and establishing religious support services for women</w:t>
      </w:r>
      <w:r w:rsidRPr="00D55B2B">
        <w:rPr>
          <w:rStyle w:val="FootnoteReference"/>
          <w:rFonts w:ascii="Verdana" w:hAnsi="Verdana"/>
          <w:sz w:val="16"/>
          <w:szCs w:val="16"/>
        </w:rPr>
        <w:footnoteRef/>
      </w:r>
      <w:r w:rsidRPr="00D55B2B">
        <w:rPr>
          <w:rFonts w:ascii="Verdana" w:hAnsi="Verdana"/>
          <w:sz w:val="16"/>
          <w:szCs w:val="16"/>
        </w:rPr>
        <w:t>. Collectives such as “Papa-groups” have also attempted to promote gender equality and encourage men to assume a joint approach to parental responsibility with the children’s mother. This has been reported in ANNA – Centre for the Prevention of Violence ‘Domestic Violence against Women in the Russian Federation: An Alternative Report to the United Nations Committee on the Elimination of Discrimination against Women’ (62</w:t>
      </w:r>
      <w:r w:rsidRPr="00D55B2B">
        <w:rPr>
          <w:rFonts w:ascii="Verdana" w:hAnsi="Verdana"/>
          <w:sz w:val="16"/>
          <w:szCs w:val="16"/>
          <w:vertAlign w:val="superscript"/>
        </w:rPr>
        <w:t>nd</w:t>
      </w:r>
      <w:r w:rsidRPr="00D55B2B">
        <w:rPr>
          <w:rFonts w:ascii="Verdana" w:hAnsi="Verdana"/>
          <w:sz w:val="16"/>
          <w:szCs w:val="16"/>
        </w:rPr>
        <w:t xml:space="preserve"> Session, October 2015). Examination of the eighth periodic report submitted by the Russian Federation. Available at:</w:t>
      </w:r>
    </w:p>
    <w:p w14:paraId="42780082" w14:textId="77777777" w:rsidR="00A777AC" w:rsidRPr="00CB5EC9" w:rsidRDefault="00A777AC" w:rsidP="00D55B2B">
      <w:pPr>
        <w:pStyle w:val="FootnoteText"/>
        <w:spacing w:line="360" w:lineRule="auto"/>
        <w:rPr>
          <w:rFonts w:ascii="Verdana" w:hAnsi="Verdana"/>
          <w:sz w:val="16"/>
          <w:szCs w:val="16"/>
        </w:rPr>
      </w:pPr>
      <w:r w:rsidRPr="00CB5EC9">
        <w:rPr>
          <w:rStyle w:val="Hyperlink"/>
          <w:rFonts w:ascii="Verdana" w:hAnsi="Verdana"/>
          <w:color w:val="auto"/>
          <w:sz w:val="16"/>
          <w:szCs w:val="16"/>
          <w:u w:val="none"/>
        </w:rPr>
        <w:t>https://tbinternet.ohchr.org/Treaties/CEDAW/Shared%20Documents/RUS/INT_CEDAW_NGO_RUS_21870_E.pdf</w:t>
      </w:r>
      <w:r w:rsidRPr="00CB5EC9">
        <w:rPr>
          <w:rFonts w:ascii="Verdana" w:hAnsi="Verdana"/>
          <w:sz w:val="16"/>
          <w:szCs w:val="16"/>
        </w:rPr>
        <w:t xml:space="preserve"> (accessed 05 January 2019). </w:t>
      </w:r>
    </w:p>
  </w:footnote>
  <w:footnote w:id="14">
    <w:p w14:paraId="10B84CC0" w14:textId="77777777" w:rsidR="00A777AC" w:rsidRPr="00CB5EC9" w:rsidRDefault="00A777AC" w:rsidP="00D55B2B">
      <w:pPr>
        <w:pStyle w:val="FootnoteText"/>
        <w:spacing w:line="360" w:lineRule="auto"/>
        <w:jc w:val="both"/>
        <w:rPr>
          <w:rFonts w:ascii="Verdana" w:hAnsi="Verdana"/>
          <w:sz w:val="16"/>
          <w:szCs w:val="16"/>
        </w:rPr>
      </w:pPr>
      <w:r w:rsidRPr="00CB5EC9">
        <w:rPr>
          <w:rStyle w:val="FootnoteReference"/>
          <w:rFonts w:ascii="Verdana" w:hAnsi="Verdana"/>
          <w:sz w:val="16"/>
          <w:szCs w:val="16"/>
        </w:rPr>
        <w:footnoteRef/>
      </w:r>
      <w:r w:rsidRPr="00CB5EC9">
        <w:rPr>
          <w:rFonts w:ascii="Verdana" w:hAnsi="Verdana"/>
          <w:sz w:val="16"/>
          <w:szCs w:val="16"/>
        </w:rPr>
        <w:t xml:space="preserve"> Ibid. </w:t>
      </w:r>
    </w:p>
  </w:footnote>
  <w:footnote w:id="15">
    <w:p w14:paraId="09652D35" w14:textId="77777777" w:rsidR="00A777AC" w:rsidRPr="00CB5EC9" w:rsidRDefault="00A777AC" w:rsidP="00D55B2B">
      <w:pPr>
        <w:pStyle w:val="FootnoteText"/>
        <w:spacing w:line="360" w:lineRule="auto"/>
        <w:rPr>
          <w:rFonts w:ascii="Verdana" w:hAnsi="Verdana"/>
          <w:sz w:val="16"/>
          <w:szCs w:val="16"/>
        </w:rPr>
      </w:pPr>
      <w:r w:rsidRPr="00CB5EC9">
        <w:rPr>
          <w:rStyle w:val="FootnoteReference"/>
          <w:rFonts w:ascii="Verdana" w:hAnsi="Verdana"/>
          <w:sz w:val="16"/>
          <w:szCs w:val="16"/>
        </w:rPr>
        <w:footnoteRef/>
      </w:r>
      <w:r w:rsidRPr="00CB5EC9">
        <w:rPr>
          <w:rFonts w:ascii="Verdana" w:hAnsi="Verdana"/>
          <w:sz w:val="16"/>
          <w:szCs w:val="16"/>
        </w:rPr>
        <w:t xml:space="preserve"> CEDAW, ‘Concluding Observations on the Eighth Periodic Report of the Russian Federation (UN Doc CEWAD/CO/RUS/8) (20 November 2015) which can be accessed at: </w:t>
      </w:r>
      <w:hyperlink r:id="rId10" w:history="1">
        <w:r w:rsidRPr="00CB5EC9">
          <w:rPr>
            <w:rStyle w:val="Hyperlink"/>
            <w:rFonts w:ascii="Verdana" w:hAnsi="Verdana"/>
            <w:color w:val="auto"/>
            <w:sz w:val="16"/>
            <w:szCs w:val="16"/>
          </w:rPr>
          <w:t>http://docstore.ohchr.org/SelfServices/FilesHandler.ashx?enc=6QkG1d%2fPPRiCAqhKb7yhsnINnqKYBbHCTOaqVs8CBP2%2fEJgS2uWhk7nuL22CY5Q6EygEUW%2bboviXGrJ6B4KEJr4JalKJZyYib0P1wYeg13mjbxpuvgBQIHs8SaZvXdjX</w:t>
        </w:r>
      </w:hyperlink>
      <w:r w:rsidRPr="00CB5EC9">
        <w:rPr>
          <w:rFonts w:ascii="Verdana" w:hAnsi="Verdana"/>
          <w:sz w:val="16"/>
          <w:szCs w:val="16"/>
        </w:rPr>
        <w:t xml:space="preserve"> (accessed 05 January 2019). </w:t>
      </w:r>
    </w:p>
  </w:footnote>
  <w:footnote w:id="16">
    <w:p w14:paraId="0983FA5D" w14:textId="77777777" w:rsidR="00A777AC" w:rsidRPr="00CB5EC9" w:rsidRDefault="00A777AC" w:rsidP="00D55B2B">
      <w:pPr>
        <w:pStyle w:val="FootnoteText"/>
        <w:spacing w:line="360" w:lineRule="auto"/>
        <w:rPr>
          <w:rFonts w:ascii="Verdana" w:hAnsi="Verdana"/>
          <w:sz w:val="16"/>
          <w:szCs w:val="16"/>
          <w:lang w:val="en-GB"/>
        </w:rPr>
      </w:pPr>
      <w:r w:rsidRPr="00CB5EC9">
        <w:rPr>
          <w:rStyle w:val="FootnoteReference"/>
          <w:rFonts w:ascii="Verdana" w:hAnsi="Verdana"/>
          <w:sz w:val="16"/>
          <w:szCs w:val="16"/>
        </w:rPr>
        <w:footnoteRef/>
      </w:r>
      <w:r w:rsidRPr="00CB5EC9">
        <w:rPr>
          <w:rFonts w:ascii="Verdana" w:hAnsi="Verdana"/>
          <w:sz w:val="16"/>
          <w:szCs w:val="16"/>
        </w:rPr>
        <w:t xml:space="preserve"> Ibid. </w:t>
      </w:r>
    </w:p>
  </w:footnote>
  <w:footnote w:id="17">
    <w:p w14:paraId="2728666D" w14:textId="5D86B13C" w:rsidR="00A777AC" w:rsidRPr="00D55B2B" w:rsidRDefault="00A777AC" w:rsidP="00D55B2B">
      <w:pPr>
        <w:pStyle w:val="FootnoteText"/>
        <w:spacing w:line="360" w:lineRule="auto"/>
        <w:rPr>
          <w:rFonts w:ascii="Verdana" w:hAnsi="Verdana"/>
          <w:sz w:val="16"/>
          <w:szCs w:val="16"/>
          <w:lang w:val="en-GB"/>
        </w:rPr>
      </w:pPr>
      <w:r w:rsidRPr="00CB5EC9">
        <w:rPr>
          <w:rStyle w:val="FootnoteReference"/>
          <w:rFonts w:ascii="Verdana" w:hAnsi="Verdana"/>
          <w:sz w:val="16"/>
          <w:szCs w:val="16"/>
        </w:rPr>
        <w:footnoteRef/>
      </w:r>
      <w:r w:rsidRPr="00CB5EC9">
        <w:rPr>
          <w:rFonts w:ascii="Verdana" w:hAnsi="Verdana"/>
          <w:sz w:val="16"/>
          <w:szCs w:val="16"/>
        </w:rPr>
        <w:t xml:space="preserve"> </w:t>
      </w:r>
      <w:r w:rsidRPr="00CB5EC9">
        <w:rPr>
          <w:rFonts w:ascii="Verdana" w:hAnsi="Verdana"/>
          <w:sz w:val="16"/>
          <w:szCs w:val="16"/>
          <w:lang w:val="en-GB"/>
        </w:rPr>
        <w:t>Bianca Chamusco (2017) ‘If he beats you, it means he loves you’ University of Chicago Law School, Chicago Unbound: Student Papers.</w:t>
      </w:r>
    </w:p>
  </w:footnote>
  <w:footnote w:id="18">
    <w:p w14:paraId="53EE369E"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Johnson, above n. 12. </w:t>
      </w:r>
    </w:p>
  </w:footnote>
  <w:footnote w:id="19">
    <w:p w14:paraId="74B22F20" w14:textId="77777777" w:rsidR="00A777AC" w:rsidRPr="00D55B2B" w:rsidRDefault="00A777AC" w:rsidP="00D55B2B">
      <w:pPr>
        <w:pStyle w:val="FootnoteText"/>
        <w:spacing w:line="360" w:lineRule="auto"/>
        <w:jc w:val="both"/>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The Law Library of Congress, </w:t>
      </w:r>
      <w:r w:rsidRPr="00D55B2B">
        <w:rPr>
          <w:rFonts w:ascii="Verdana" w:hAnsi="Verdana"/>
          <w:sz w:val="16"/>
          <w:szCs w:val="16"/>
          <w:lang w:val="en-GB"/>
        </w:rPr>
        <w:t xml:space="preserve">‘Russia: Decriminalisation of Domestic Violence’ (2017). Available at: </w:t>
      </w:r>
      <w:hyperlink r:id="rId11" w:history="1">
        <w:r w:rsidRPr="00D55B2B">
          <w:rPr>
            <w:rStyle w:val="Hyperlink"/>
            <w:rFonts w:ascii="Verdana" w:hAnsi="Verdana"/>
            <w:color w:val="auto"/>
            <w:sz w:val="16"/>
            <w:szCs w:val="16"/>
            <w:lang w:val="en-GB"/>
          </w:rPr>
          <w:t>https://www.loc.gov/law/help/domestic-violence/russia-decriminalization-domestic-violence.pdf</w:t>
        </w:r>
      </w:hyperlink>
      <w:r w:rsidRPr="00D55B2B">
        <w:rPr>
          <w:rFonts w:ascii="Verdana" w:hAnsi="Verdana"/>
          <w:sz w:val="16"/>
          <w:szCs w:val="16"/>
          <w:lang w:val="en-GB"/>
        </w:rPr>
        <w:t xml:space="preserve"> (accessed 05 January 2019). </w:t>
      </w:r>
    </w:p>
  </w:footnote>
  <w:footnote w:id="20">
    <w:p w14:paraId="72C6D5C2" w14:textId="77777777" w:rsidR="00A777AC" w:rsidRPr="00D55B2B" w:rsidRDefault="00A777AC" w:rsidP="00D55B2B">
      <w:pPr>
        <w:pStyle w:val="FootnoteText"/>
        <w:spacing w:line="360" w:lineRule="auto"/>
        <w:jc w:val="both"/>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ANNA – Centre for the Prevention of Violence, above n. 13. </w:t>
      </w:r>
    </w:p>
  </w:footnote>
  <w:footnote w:id="21">
    <w:p w14:paraId="51036C7C"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Johnson, above n. 12. </w:t>
      </w:r>
    </w:p>
  </w:footnote>
  <w:footnote w:id="22">
    <w:p w14:paraId="0B65B860"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World Health Organisation, ‘Violence against women: Factsheet’ (2017). Available at:  </w:t>
      </w:r>
      <w:hyperlink r:id="rId12" w:history="1">
        <w:r w:rsidRPr="00D55B2B">
          <w:rPr>
            <w:rStyle w:val="Hyperlink"/>
            <w:rFonts w:ascii="Verdana" w:hAnsi="Verdana"/>
            <w:color w:val="auto"/>
            <w:sz w:val="16"/>
            <w:szCs w:val="16"/>
          </w:rPr>
          <w:t>https://www.who.int/news-room/fact-sheets/detail/violence-against-women</w:t>
        </w:r>
      </w:hyperlink>
      <w:r w:rsidRPr="00D55B2B">
        <w:rPr>
          <w:rFonts w:ascii="Verdana" w:hAnsi="Verdana"/>
          <w:sz w:val="16"/>
          <w:szCs w:val="16"/>
        </w:rPr>
        <w:t xml:space="preserve"> (accessed 05 January 2019). </w:t>
      </w:r>
    </w:p>
  </w:footnote>
  <w:footnote w:id="23">
    <w:p w14:paraId="585F00DB" w14:textId="77777777" w:rsidR="00A777AC" w:rsidRPr="00D55B2B" w:rsidRDefault="00A777AC" w:rsidP="00D55B2B">
      <w:pPr>
        <w:pStyle w:val="FootnoteText"/>
        <w:spacing w:line="360" w:lineRule="auto"/>
        <w:jc w:val="both"/>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C. Mahserjian, ‘We’re All in this Together: A Global Comparison on Domestic Violence and the Means Necessary to Combat It’ (2016) 79(1) </w:t>
      </w:r>
      <w:r w:rsidRPr="00D55B2B">
        <w:rPr>
          <w:rFonts w:ascii="Verdana" w:hAnsi="Verdana"/>
          <w:i/>
          <w:sz w:val="16"/>
          <w:szCs w:val="16"/>
        </w:rPr>
        <w:t>Albany Law Review</w:t>
      </w:r>
      <w:r w:rsidRPr="00D55B2B">
        <w:rPr>
          <w:rFonts w:ascii="Verdana" w:hAnsi="Verdana"/>
          <w:sz w:val="16"/>
          <w:szCs w:val="16"/>
        </w:rPr>
        <w:t xml:space="preserve">, 297- 324. </w:t>
      </w:r>
    </w:p>
  </w:footnote>
  <w:footnote w:id="24">
    <w:p w14:paraId="4FB0C46C" w14:textId="134A2FA7" w:rsidR="00A777AC" w:rsidRPr="00D55B2B" w:rsidRDefault="00A777AC" w:rsidP="00D55B2B">
      <w:pPr>
        <w:pStyle w:val="FootnoteText"/>
        <w:spacing w:line="360" w:lineRule="auto"/>
        <w:jc w:val="both"/>
        <w:rPr>
          <w:rFonts w:ascii="Verdana" w:hAnsi="Verdana"/>
          <w:sz w:val="16"/>
          <w:szCs w:val="16"/>
          <w:lang w:val="en-GB"/>
        </w:rPr>
      </w:pPr>
      <w:r w:rsidRPr="0060450D">
        <w:rPr>
          <w:rStyle w:val="FootnoteReference"/>
          <w:rFonts w:ascii="Verdana" w:hAnsi="Verdana"/>
          <w:sz w:val="16"/>
          <w:szCs w:val="16"/>
        </w:rPr>
        <w:footnoteRef/>
      </w:r>
      <w:r w:rsidRPr="0060450D">
        <w:rPr>
          <w:rFonts w:ascii="Verdana" w:hAnsi="Verdana"/>
          <w:sz w:val="16"/>
          <w:szCs w:val="16"/>
        </w:rPr>
        <w:t xml:space="preserve"> See </w:t>
      </w:r>
      <w:r w:rsidRPr="0060450D">
        <w:rPr>
          <w:rFonts w:ascii="Verdana" w:hAnsi="Verdana"/>
          <w:sz w:val="16"/>
          <w:szCs w:val="16"/>
          <w:lang w:val="en-GB"/>
        </w:rPr>
        <w:t>B. Chamusco, above n. 17</w:t>
      </w:r>
      <w:r w:rsidRPr="002A1338">
        <w:rPr>
          <w:rFonts w:ascii="Verdana" w:hAnsi="Verdana"/>
          <w:sz w:val="16"/>
          <w:szCs w:val="16"/>
          <w:lang w:val="en-GB"/>
        </w:rPr>
        <w:t>.</w:t>
      </w:r>
      <w:r w:rsidRPr="00D55B2B">
        <w:rPr>
          <w:rFonts w:ascii="Verdana" w:hAnsi="Verdana"/>
          <w:sz w:val="16"/>
          <w:szCs w:val="16"/>
          <w:lang w:val="en-GB"/>
        </w:rPr>
        <w:t xml:space="preserve"> </w:t>
      </w:r>
    </w:p>
  </w:footnote>
  <w:footnote w:id="25">
    <w:p w14:paraId="4B6C4E88" w14:textId="77777777" w:rsidR="00A777AC" w:rsidRPr="00D55B2B" w:rsidRDefault="00A777AC" w:rsidP="00D55B2B">
      <w:pPr>
        <w:pStyle w:val="FootnoteText"/>
        <w:spacing w:line="360" w:lineRule="auto"/>
        <w:jc w:val="both"/>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ANNA – Centre for the Prevention of Violence, above n. 13. </w:t>
      </w:r>
    </w:p>
  </w:footnote>
  <w:footnote w:id="26">
    <w:p w14:paraId="150D9572" w14:textId="77777777" w:rsidR="00A777AC" w:rsidRPr="00D55B2B" w:rsidRDefault="00A777AC" w:rsidP="00D55B2B">
      <w:pPr>
        <w:pStyle w:val="FootnoteText"/>
        <w:spacing w:line="360" w:lineRule="auto"/>
        <w:jc w:val="both"/>
        <w:rPr>
          <w:rFonts w:ascii="Verdana" w:hAnsi="Verdana"/>
          <w:sz w:val="16"/>
          <w:szCs w:val="16"/>
          <w:lang w:val="en-GB"/>
        </w:rPr>
      </w:pPr>
      <w:r w:rsidRPr="0060450D">
        <w:rPr>
          <w:rStyle w:val="FootnoteReference"/>
          <w:rFonts w:ascii="Verdana" w:hAnsi="Verdana"/>
          <w:sz w:val="16"/>
          <w:szCs w:val="16"/>
        </w:rPr>
        <w:footnoteRef/>
      </w:r>
      <w:r w:rsidRPr="0060450D">
        <w:rPr>
          <w:rFonts w:ascii="Verdana" w:hAnsi="Verdana"/>
          <w:sz w:val="16"/>
          <w:szCs w:val="16"/>
        </w:rPr>
        <w:t xml:space="preserve"> See </w:t>
      </w:r>
      <w:r w:rsidRPr="0060450D">
        <w:rPr>
          <w:rFonts w:ascii="Verdana" w:hAnsi="Verdana"/>
          <w:sz w:val="16"/>
          <w:szCs w:val="16"/>
          <w:lang w:val="en-GB"/>
        </w:rPr>
        <w:t>B. Chamusco, above n. 17</w:t>
      </w:r>
      <w:r w:rsidRPr="002A1338">
        <w:rPr>
          <w:rFonts w:ascii="Verdana" w:hAnsi="Verdana"/>
          <w:sz w:val="16"/>
          <w:szCs w:val="16"/>
          <w:lang w:val="en-GB"/>
        </w:rPr>
        <w:t>.</w:t>
      </w:r>
      <w:r w:rsidRPr="00D55B2B">
        <w:rPr>
          <w:rFonts w:ascii="Verdana" w:hAnsi="Verdana"/>
          <w:sz w:val="16"/>
          <w:szCs w:val="16"/>
          <w:lang w:val="en-GB"/>
        </w:rPr>
        <w:t xml:space="preserve"> </w:t>
      </w:r>
    </w:p>
  </w:footnote>
  <w:footnote w:id="27">
    <w:p w14:paraId="452AE851" w14:textId="77777777" w:rsidR="00A777AC" w:rsidRPr="0060450D" w:rsidRDefault="00A777AC">
      <w:pPr>
        <w:pStyle w:val="FootnoteText"/>
        <w:rPr>
          <w:rFonts w:ascii="Verdana" w:hAnsi="Verdana"/>
          <w:sz w:val="16"/>
          <w:szCs w:val="16"/>
          <w:lang w:val="en-GB"/>
        </w:rPr>
      </w:pPr>
      <w:r w:rsidRPr="0060450D">
        <w:rPr>
          <w:rStyle w:val="FootnoteReference"/>
          <w:rFonts w:ascii="Verdana" w:hAnsi="Verdana"/>
          <w:sz w:val="16"/>
          <w:szCs w:val="16"/>
        </w:rPr>
        <w:footnoteRef/>
      </w:r>
      <w:r w:rsidRPr="0060450D">
        <w:rPr>
          <w:rFonts w:ascii="Verdana" w:hAnsi="Verdana"/>
          <w:sz w:val="16"/>
          <w:szCs w:val="16"/>
        </w:rPr>
        <w:t xml:space="preserve"> </w:t>
      </w:r>
      <w:r w:rsidRPr="0060450D">
        <w:rPr>
          <w:rFonts w:ascii="Verdana" w:hAnsi="Verdana"/>
          <w:sz w:val="16"/>
          <w:szCs w:val="16"/>
          <w:lang w:val="en-GB"/>
        </w:rPr>
        <w:t xml:space="preserve">See </w:t>
      </w:r>
      <w:r>
        <w:rPr>
          <w:rFonts w:ascii="Verdana" w:hAnsi="Verdana"/>
          <w:sz w:val="16"/>
          <w:szCs w:val="16"/>
          <w:lang w:val="en-GB"/>
        </w:rPr>
        <w:t>ANNA – Centre for the Prevention of Violence, above n.13 and B. Chamusco, above n. 17.</w:t>
      </w:r>
    </w:p>
  </w:footnote>
  <w:footnote w:id="28">
    <w:p w14:paraId="1A1F4438"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Part IV of the Family Law Act 1996. </w:t>
      </w:r>
    </w:p>
  </w:footnote>
  <w:footnote w:id="29">
    <w:p w14:paraId="3C88D530"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section 63 of the Family Law Act 1996 as amended by the Forced Marriage (Civil Protection) Act 2007. </w:t>
      </w:r>
    </w:p>
  </w:footnote>
  <w:footnote w:id="30">
    <w:p w14:paraId="686758CB"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the Female Genital Mutilation Act 2003 as amended by the Serious Crime Act 2015. </w:t>
      </w:r>
    </w:p>
  </w:footnote>
  <w:footnote w:id="31">
    <w:p w14:paraId="5FC65317" w14:textId="77777777" w:rsidR="00A777AC" w:rsidRPr="00D55B2B" w:rsidRDefault="00A777AC" w:rsidP="00D55B2B">
      <w:pPr>
        <w:pStyle w:val="FootnoteText"/>
        <w:spacing w:line="360" w:lineRule="auto"/>
        <w:rPr>
          <w:rFonts w:ascii="Verdana" w:hAnsi="Verdana"/>
          <w:sz w:val="16"/>
          <w:szCs w:val="16"/>
          <w:lang w:val="de-DE"/>
        </w:rPr>
      </w:pPr>
      <w:r w:rsidRPr="00D55B2B">
        <w:rPr>
          <w:rStyle w:val="FootnoteReference"/>
          <w:rFonts w:ascii="Verdana" w:hAnsi="Verdana"/>
          <w:sz w:val="16"/>
          <w:szCs w:val="16"/>
        </w:rPr>
        <w:footnoteRef/>
      </w:r>
      <w:r w:rsidRPr="00D55B2B">
        <w:rPr>
          <w:rFonts w:ascii="Verdana" w:hAnsi="Verdana"/>
          <w:sz w:val="16"/>
          <w:szCs w:val="16"/>
          <w:lang w:val="de-DE"/>
        </w:rPr>
        <w:t xml:space="preserve"> </w:t>
      </w:r>
      <w:r w:rsidRPr="00D55B2B">
        <w:rPr>
          <w:rFonts w:ascii="Verdana" w:hAnsi="Verdana"/>
          <w:i/>
          <w:sz w:val="16"/>
          <w:szCs w:val="16"/>
          <w:lang w:val="de-DE"/>
        </w:rPr>
        <w:t>R v Ireland</w:t>
      </w:r>
      <w:r w:rsidRPr="00D55B2B">
        <w:rPr>
          <w:rFonts w:ascii="Verdana" w:hAnsi="Verdana"/>
          <w:sz w:val="16"/>
          <w:szCs w:val="16"/>
          <w:lang w:val="de-DE"/>
        </w:rPr>
        <w:t xml:space="preserve"> [1997] All ER 225 HL. </w:t>
      </w:r>
    </w:p>
  </w:footnote>
  <w:footnote w:id="32">
    <w:p w14:paraId="566E700C" w14:textId="77777777" w:rsidR="00A777AC" w:rsidRPr="00DB3BA8"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B3BA8">
        <w:rPr>
          <w:rFonts w:ascii="Verdana" w:hAnsi="Verdana"/>
          <w:i/>
          <w:sz w:val="16"/>
          <w:szCs w:val="16"/>
          <w:lang w:val="en-GB"/>
        </w:rPr>
        <w:t>R v Widdows (David Roger)</w:t>
      </w:r>
      <w:r w:rsidRPr="00DB3BA8">
        <w:rPr>
          <w:rFonts w:ascii="Verdana" w:hAnsi="Verdana"/>
          <w:sz w:val="16"/>
          <w:szCs w:val="16"/>
          <w:lang w:val="en-GB"/>
        </w:rPr>
        <w:t xml:space="preserve"> [2011] EWCA Crim 1500 at [29]. </w:t>
      </w:r>
    </w:p>
  </w:footnote>
  <w:footnote w:id="33">
    <w:p w14:paraId="65CD5C44"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E. Stark, Coercive Control: How Men Entrap Women in Personal Life (Oxford University Press: New York, 2007).</w:t>
      </w:r>
    </w:p>
  </w:footnote>
  <w:footnote w:id="34">
    <w:p w14:paraId="125989BA"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H. Douglas, ‘Do we need a specific domestic violence offence?’</w:t>
      </w:r>
      <w:r w:rsidRPr="00D55B2B">
        <w:rPr>
          <w:rFonts w:ascii="Verdana" w:hAnsi="Verdana"/>
          <w:i/>
          <w:sz w:val="16"/>
          <w:szCs w:val="16"/>
        </w:rPr>
        <w:t xml:space="preserve"> </w:t>
      </w:r>
      <w:r w:rsidRPr="00D55B2B">
        <w:rPr>
          <w:rFonts w:ascii="Verdana" w:hAnsi="Verdana"/>
          <w:sz w:val="16"/>
          <w:szCs w:val="16"/>
        </w:rPr>
        <w:t xml:space="preserve">(2015) 39(2) </w:t>
      </w:r>
      <w:r w:rsidRPr="00D55B2B">
        <w:rPr>
          <w:rFonts w:ascii="Verdana" w:hAnsi="Verdana"/>
          <w:i/>
          <w:sz w:val="16"/>
          <w:szCs w:val="16"/>
        </w:rPr>
        <w:t>Melbourne University Law Review</w:t>
      </w:r>
      <w:r w:rsidRPr="00D55B2B">
        <w:rPr>
          <w:rFonts w:ascii="Verdana" w:hAnsi="Verdana"/>
          <w:sz w:val="16"/>
          <w:szCs w:val="16"/>
        </w:rPr>
        <w:t xml:space="preserve"> 434, 440.</w:t>
      </w:r>
    </w:p>
  </w:footnote>
  <w:footnote w:id="35">
    <w:p w14:paraId="10056310"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36">
    <w:p w14:paraId="39B62305"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Justice for Women Conference ‘Coercive Control: Punishment and Resistance’ (November 2018) (unreported).</w:t>
      </w:r>
    </w:p>
  </w:footnote>
  <w:footnote w:id="37">
    <w:p w14:paraId="1B6A583A"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H. </w:t>
      </w:r>
      <w:r w:rsidRPr="00D55B2B">
        <w:rPr>
          <w:rFonts w:ascii="Verdana" w:hAnsi="Verdana"/>
          <w:sz w:val="16"/>
          <w:szCs w:val="16"/>
          <w:lang w:val="en-GB"/>
        </w:rPr>
        <w:t xml:space="preserve">Walmsley-Johnson, ‘Look What You Made Me Do: A Powerful Memoir of Coercive Control’ (MacMillan Publishers 2018). </w:t>
      </w:r>
    </w:p>
  </w:footnote>
  <w:footnote w:id="38">
    <w:p w14:paraId="59C761A4"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Family Law Act 1996, s. 42A (as amended by the Domestic Violence Crime and Victims Act 2004, s. 1)</w:t>
      </w:r>
    </w:p>
  </w:footnote>
  <w:footnote w:id="39">
    <w:p w14:paraId="50F9AFBD"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Office for National Statistics, above n. 3.  </w:t>
      </w:r>
    </w:p>
  </w:footnote>
  <w:footnote w:id="40">
    <w:p w14:paraId="15D7B35D"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w:t>
      </w:r>
    </w:p>
  </w:footnote>
  <w:footnote w:id="41">
    <w:p w14:paraId="0F08B820"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Family Law Act 1996, s. 63A (as amended by the Forced Marriage (Civil Protection) Act 2007)</w:t>
      </w:r>
    </w:p>
  </w:footnote>
  <w:footnote w:id="42">
    <w:p w14:paraId="5C8C6616"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R. </w:t>
      </w:r>
      <w:r w:rsidRPr="00D55B2B">
        <w:rPr>
          <w:rFonts w:ascii="Verdana" w:hAnsi="Verdana"/>
          <w:sz w:val="16"/>
          <w:szCs w:val="16"/>
          <w:lang w:val="en-GB"/>
        </w:rPr>
        <w:t xml:space="preserve">Gaffney-Rhys, ‘The Criminalisation of Forced Marriage in England and Wales: one year on’ (2015) 45(11) </w:t>
      </w:r>
      <w:r w:rsidRPr="00D55B2B">
        <w:rPr>
          <w:rFonts w:ascii="Verdana" w:hAnsi="Verdana"/>
          <w:i/>
          <w:sz w:val="16"/>
          <w:szCs w:val="16"/>
          <w:lang w:val="en-GB"/>
        </w:rPr>
        <w:t>Family Law</w:t>
      </w:r>
      <w:r w:rsidRPr="00D55B2B">
        <w:rPr>
          <w:rFonts w:ascii="Verdana" w:hAnsi="Verdana"/>
          <w:sz w:val="16"/>
          <w:szCs w:val="16"/>
          <w:lang w:val="en-GB"/>
        </w:rPr>
        <w:t xml:space="preserve">, 1378 -1380. </w:t>
      </w:r>
    </w:p>
  </w:footnote>
  <w:footnote w:id="43">
    <w:p w14:paraId="11353841"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Anti-Social Behaviour, Crime and Policing Act 2014.</w:t>
      </w:r>
    </w:p>
  </w:footnote>
  <w:footnote w:id="44">
    <w:p w14:paraId="41BBDC6C" w14:textId="77777777" w:rsidR="00A777AC" w:rsidRPr="00601418" w:rsidRDefault="00A777AC" w:rsidP="00601418">
      <w:pPr>
        <w:pStyle w:val="FootnoteText"/>
      </w:pPr>
      <w:r>
        <w:rPr>
          <w:rStyle w:val="FootnoteReference"/>
        </w:rPr>
        <w:footnoteRef/>
      </w:r>
      <w:r>
        <w:t xml:space="preserve"> </w:t>
      </w:r>
      <w:r w:rsidRPr="00D55B2B">
        <w:rPr>
          <w:rFonts w:ascii="Verdana" w:hAnsi="Verdana"/>
          <w:sz w:val="16"/>
          <w:szCs w:val="16"/>
        </w:rPr>
        <w:t xml:space="preserve">HM Government, </w:t>
      </w:r>
      <w:r>
        <w:rPr>
          <w:rFonts w:ascii="Verdana" w:hAnsi="Verdana"/>
          <w:sz w:val="16"/>
          <w:szCs w:val="16"/>
        </w:rPr>
        <w:t xml:space="preserve">’Transforming the Response to Domestic Abuse: Consultation Response and Draft Bill’ (2019), clause 53. Available at: </w:t>
      </w:r>
      <w:r w:rsidRPr="005770E1">
        <w:rPr>
          <w:rFonts w:ascii="Verdana" w:hAnsi="Verdana"/>
          <w:sz w:val="16"/>
          <w:szCs w:val="16"/>
        </w:rPr>
        <w:t>https://assets.publishing.service.gov.uk/government/uploads/system/uploads/attachment_data/file/772202/CCS1218158068-Web_Accessible.pdf</w:t>
      </w:r>
    </w:p>
  </w:footnote>
  <w:footnote w:id="45">
    <w:p w14:paraId="5F03E7A9"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Crime and Security Act 2010, s. 24(2). </w:t>
      </w:r>
    </w:p>
  </w:footnote>
  <w:footnote w:id="46">
    <w:p w14:paraId="33DB22B9"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Ibid. s. 26. </w:t>
      </w:r>
    </w:p>
  </w:footnote>
  <w:footnote w:id="47">
    <w:p w14:paraId="78CFF55C"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Home Office, ‘Police Workforce, England and Wales, 31 March 2018’ (2018) Statistical Bulletin 11/18. Available at: </w:t>
      </w:r>
      <w:hyperlink r:id="rId13" w:history="1">
        <w:r w:rsidRPr="00D55B2B">
          <w:rPr>
            <w:rStyle w:val="Hyperlink"/>
            <w:rFonts w:ascii="Verdana" w:hAnsi="Verdana"/>
            <w:color w:val="auto"/>
            <w:sz w:val="16"/>
            <w:szCs w:val="16"/>
            <w:u w:val="none"/>
          </w:rPr>
          <w:t>https://assets.publishing.service.gov.uk/government/uploads/system/uploads/attachment_data/file/726401/hosb1118-police-workforce.pdf</w:t>
        </w:r>
      </w:hyperlink>
      <w:r w:rsidRPr="00D55B2B">
        <w:rPr>
          <w:rFonts w:ascii="Verdana" w:hAnsi="Verdana"/>
          <w:sz w:val="16"/>
          <w:szCs w:val="16"/>
        </w:rPr>
        <w:t xml:space="preserve"> (accessed 05 January 2019).  </w:t>
      </w:r>
    </w:p>
  </w:footnote>
  <w:footnote w:id="48">
    <w:p w14:paraId="5D04C8AD"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Crime and Security Act 2010, s. 28.</w:t>
      </w:r>
    </w:p>
  </w:footnote>
  <w:footnote w:id="49">
    <w:p w14:paraId="1B93713D"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 s. 28(10).</w:t>
      </w:r>
    </w:p>
  </w:footnote>
  <w:footnote w:id="50">
    <w:p w14:paraId="7FF87557" w14:textId="77777777" w:rsidR="00A777AC" w:rsidRPr="00D55B2B" w:rsidRDefault="00A777AC" w:rsidP="007B19CE">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Serious Crime Act 2015, s. 76. </w:t>
      </w:r>
    </w:p>
  </w:footnote>
  <w:footnote w:id="51">
    <w:p w14:paraId="79BA8BEE"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Ibid.</w:t>
      </w:r>
    </w:p>
  </w:footnote>
  <w:footnote w:id="52">
    <w:p w14:paraId="04972E03"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Ibid. s. 76(11). </w:t>
      </w:r>
    </w:p>
  </w:footnote>
  <w:footnote w:id="53">
    <w:p w14:paraId="36CCE901"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Offences Against the Person Act 1861, s. 47.</w:t>
      </w:r>
    </w:p>
  </w:footnote>
  <w:footnote w:id="54">
    <w:p w14:paraId="6E13A2E1" w14:textId="77777777" w:rsidR="00A777AC" w:rsidRPr="00D55B2B" w:rsidRDefault="00A777AC" w:rsidP="00D55B2B">
      <w:pPr>
        <w:pStyle w:val="FootnoteText"/>
        <w:spacing w:line="360" w:lineRule="auto"/>
        <w:rPr>
          <w:rFonts w:ascii="Verdana" w:hAnsi="Verdana"/>
          <w:i/>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Home Office, New Definition of Domestic Violence (November 2012) Available at: </w:t>
      </w:r>
      <w:r w:rsidRPr="00D55B2B">
        <w:rPr>
          <w:rStyle w:val="Hyperlink"/>
          <w:rFonts w:ascii="Verdana" w:hAnsi="Verdana"/>
          <w:color w:val="auto"/>
          <w:sz w:val="16"/>
          <w:szCs w:val="16"/>
          <w:u w:val="none"/>
        </w:rPr>
        <w:t>https://www.gov.uk/guidance/domestic-violence-and-abuse#domestic-violence-and-abuse-new-definition</w:t>
      </w:r>
      <w:r w:rsidRPr="00D55B2B">
        <w:rPr>
          <w:rFonts w:ascii="Verdana" w:hAnsi="Verdana"/>
          <w:sz w:val="16"/>
          <w:szCs w:val="16"/>
        </w:rPr>
        <w:t xml:space="preserve"> (accessed 05 January 2019). </w:t>
      </w:r>
    </w:p>
  </w:footnote>
  <w:footnote w:id="55">
    <w:p w14:paraId="025C7193"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w:t>
      </w:r>
      <w:r w:rsidRPr="00D55B2B">
        <w:rPr>
          <w:rFonts w:ascii="Verdana" w:hAnsi="Verdana"/>
          <w:sz w:val="16"/>
          <w:szCs w:val="16"/>
          <w:lang w:val="en-GB"/>
        </w:rPr>
        <w:t xml:space="preserve">. </w:t>
      </w:r>
    </w:p>
  </w:footnote>
  <w:footnote w:id="56">
    <w:p w14:paraId="2F7DD42B"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w:t>
      </w:r>
      <w:r w:rsidRPr="00D55B2B">
        <w:rPr>
          <w:rFonts w:ascii="Verdana" w:hAnsi="Verdana"/>
          <w:sz w:val="16"/>
          <w:szCs w:val="16"/>
          <w:lang w:val="en-GB"/>
        </w:rPr>
        <w:t xml:space="preserve">. </w:t>
      </w:r>
    </w:p>
  </w:footnote>
  <w:footnote w:id="57">
    <w:p w14:paraId="09413F35"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E. Stark, above n. 32. </w:t>
      </w:r>
    </w:p>
  </w:footnote>
  <w:footnote w:id="58">
    <w:p w14:paraId="2722869C" w14:textId="77777777" w:rsidR="00A777AC" w:rsidRPr="00D55B2B" w:rsidRDefault="00A777AC" w:rsidP="00D55B2B">
      <w:pPr>
        <w:autoSpaceDE/>
        <w:autoSpaceDN/>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E. Williamson, ‘Living in the World of the Domestic Violence Perpetrator: Negotiating the Unreality of Coercive Control Violence against Women’ (2010) 16(2) </w:t>
      </w:r>
      <w:r w:rsidRPr="00D55B2B">
        <w:rPr>
          <w:rFonts w:ascii="Verdana" w:hAnsi="Verdana"/>
          <w:i/>
          <w:sz w:val="16"/>
          <w:szCs w:val="16"/>
        </w:rPr>
        <w:t>Journal of Violence against Women</w:t>
      </w:r>
      <w:r w:rsidRPr="00D55B2B">
        <w:rPr>
          <w:rFonts w:ascii="Verdana" w:hAnsi="Verdana"/>
          <w:sz w:val="16"/>
          <w:szCs w:val="16"/>
        </w:rPr>
        <w:t xml:space="preserve">, </w:t>
      </w:r>
      <w:r w:rsidRPr="00D55B2B">
        <w:rPr>
          <w:rFonts w:ascii="Verdana" w:hAnsi="Verdana"/>
          <w:sz w:val="16"/>
          <w:szCs w:val="16"/>
          <w:shd w:val="clear" w:color="auto" w:fill="FFFFFF"/>
          <w:lang w:val="en-GB"/>
        </w:rPr>
        <w:t xml:space="preserve">1412-1423. </w:t>
      </w:r>
    </w:p>
  </w:footnote>
  <w:footnote w:id="59">
    <w:p w14:paraId="7292C48B"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Office for National Statistics, above n. 3</w:t>
      </w:r>
    </w:p>
  </w:footnote>
  <w:footnote w:id="60">
    <w:p w14:paraId="038AF958"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61">
    <w:p w14:paraId="058C475D" w14:textId="0F2375C9"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HM Government, </w:t>
      </w:r>
      <w:r>
        <w:rPr>
          <w:rFonts w:ascii="Verdana" w:hAnsi="Verdana"/>
          <w:sz w:val="16"/>
          <w:szCs w:val="16"/>
        </w:rPr>
        <w:t xml:space="preserve">’Transforming the Response to Domestic Abuse: Consultation Response and Draft Bill’ (2019). Available at: </w:t>
      </w:r>
      <w:r w:rsidRPr="005770E1">
        <w:rPr>
          <w:rFonts w:ascii="Verdana" w:hAnsi="Verdana"/>
          <w:sz w:val="16"/>
          <w:szCs w:val="16"/>
        </w:rPr>
        <w:t>https://assets.publishing.service.gov.uk/government/uploads/system/uploads/attachment_data/file/772202/CCS1218158068-Web_Accessible.pdf</w:t>
      </w:r>
      <w:r w:rsidRPr="00D55B2B">
        <w:rPr>
          <w:rFonts w:ascii="Verdana" w:hAnsi="Verdana"/>
          <w:sz w:val="16"/>
          <w:szCs w:val="16"/>
        </w:rPr>
        <w:t xml:space="preserve"> </w:t>
      </w:r>
    </w:p>
  </w:footnote>
  <w:footnote w:id="62">
    <w:p w14:paraId="719A7C92" w14:textId="77777777" w:rsidR="00A777AC" w:rsidRPr="0060450D" w:rsidRDefault="00A777AC">
      <w:pPr>
        <w:pStyle w:val="FootnoteText"/>
        <w:rPr>
          <w:rFonts w:ascii="Verdana" w:hAnsi="Verdana"/>
          <w:sz w:val="16"/>
          <w:szCs w:val="16"/>
        </w:rPr>
      </w:pPr>
      <w:r w:rsidRPr="0060450D">
        <w:rPr>
          <w:rStyle w:val="FootnoteReference"/>
          <w:rFonts w:ascii="Verdana" w:hAnsi="Verdana"/>
          <w:sz w:val="16"/>
          <w:szCs w:val="16"/>
        </w:rPr>
        <w:footnoteRef/>
      </w:r>
      <w:r w:rsidRPr="0060450D">
        <w:rPr>
          <w:rFonts w:ascii="Verdana" w:hAnsi="Verdana"/>
          <w:sz w:val="16"/>
          <w:szCs w:val="16"/>
        </w:rPr>
        <w:t xml:space="preserve"> </w:t>
      </w:r>
      <w:r>
        <w:rPr>
          <w:rFonts w:ascii="Verdana" w:hAnsi="Verdana"/>
          <w:sz w:val="16"/>
          <w:szCs w:val="16"/>
        </w:rPr>
        <w:t xml:space="preserve">Sentencing Council, Domestic Abuse Sentencing Guideline (2018) Available at: </w:t>
      </w:r>
      <w:r w:rsidRPr="006910EE">
        <w:rPr>
          <w:rFonts w:ascii="Verdana" w:hAnsi="Verdana"/>
          <w:sz w:val="16"/>
          <w:szCs w:val="16"/>
        </w:rPr>
        <w:t xml:space="preserve">https://www.sentencingcouncil.org.uk/publications/item/overarching-principles-domestic-abuse-definitive-guideline/ </w:t>
      </w:r>
      <w:r>
        <w:rPr>
          <w:rFonts w:ascii="Verdana" w:hAnsi="Verdana"/>
          <w:sz w:val="16"/>
          <w:szCs w:val="16"/>
        </w:rPr>
        <w:t>(accessed on 19 February 2019)</w:t>
      </w:r>
    </w:p>
  </w:footnote>
  <w:footnote w:id="63">
    <w:p w14:paraId="4EA9D94F" w14:textId="77777777" w:rsidR="00A777AC" w:rsidRPr="0060450D" w:rsidRDefault="00A777AC">
      <w:pPr>
        <w:pStyle w:val="FootnoteText"/>
        <w:rPr>
          <w:rFonts w:ascii="Verdana" w:hAnsi="Verdana"/>
          <w:sz w:val="16"/>
          <w:szCs w:val="16"/>
        </w:rPr>
      </w:pPr>
      <w:r w:rsidRPr="0060450D">
        <w:rPr>
          <w:rStyle w:val="FootnoteReference"/>
          <w:rFonts w:ascii="Verdana" w:hAnsi="Verdana"/>
          <w:sz w:val="16"/>
          <w:szCs w:val="16"/>
        </w:rPr>
        <w:footnoteRef/>
      </w:r>
      <w:r w:rsidRPr="0060450D">
        <w:rPr>
          <w:rFonts w:ascii="Verdana" w:hAnsi="Verdana"/>
          <w:sz w:val="16"/>
          <w:szCs w:val="16"/>
        </w:rPr>
        <w:t xml:space="preserve"> Ibid, 3.</w:t>
      </w:r>
    </w:p>
  </w:footnote>
  <w:footnote w:id="64">
    <w:p w14:paraId="650297AB" w14:textId="77777777" w:rsidR="00A777AC" w:rsidRPr="00D55B2B" w:rsidRDefault="00A777AC" w:rsidP="00D55B2B">
      <w:pPr>
        <w:autoSpaceDE/>
        <w:autoSpaceDN/>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shd w:val="clear" w:color="auto" w:fill="FFFFFF"/>
        </w:rPr>
        <w:t xml:space="preserve">Decision of the Plenary Meeting of the Supreme Court of the Russian Federation No. 37 of July 31, 2015. Available at: </w:t>
      </w:r>
      <w:hyperlink r:id="rId14" w:history="1">
        <w:r w:rsidRPr="00D55B2B">
          <w:rPr>
            <w:rStyle w:val="Hyperlink"/>
            <w:rFonts w:ascii="Verdana" w:hAnsi="Verdana"/>
            <w:color w:val="auto"/>
            <w:sz w:val="16"/>
            <w:szCs w:val="16"/>
            <w:u w:val="none"/>
            <w:bdr w:val="none" w:sz="0" w:space="0" w:color="auto" w:frame="1"/>
          </w:rPr>
          <w:t>http://www.supcourt.ru/Show_pdf.php?Id=10240</w:t>
        </w:r>
      </w:hyperlink>
      <w:r w:rsidRPr="00D55B2B">
        <w:rPr>
          <w:rStyle w:val="apple-converted-space"/>
          <w:rFonts w:ascii="Verdana" w:hAnsi="Verdana"/>
          <w:sz w:val="16"/>
          <w:szCs w:val="16"/>
          <w:shd w:val="clear" w:color="auto" w:fill="FFFFFF"/>
        </w:rPr>
        <w:t> </w:t>
      </w:r>
      <w:r w:rsidRPr="00D55B2B">
        <w:rPr>
          <w:rFonts w:ascii="Verdana" w:hAnsi="Verdana"/>
          <w:sz w:val="16"/>
          <w:szCs w:val="16"/>
          <w:shd w:val="clear" w:color="auto" w:fill="FFFFFF"/>
        </w:rPr>
        <w:t xml:space="preserve">(accessed 05 January 2019). </w:t>
      </w:r>
    </w:p>
  </w:footnote>
  <w:footnote w:id="65">
    <w:p w14:paraId="2F817182"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The Law Library of Congress, above n. 19. </w:t>
      </w:r>
      <w:r w:rsidRPr="00D55B2B">
        <w:rPr>
          <w:rFonts w:ascii="Verdana" w:hAnsi="Verdana"/>
          <w:sz w:val="16"/>
          <w:szCs w:val="16"/>
          <w:lang w:val="en-GB"/>
        </w:rPr>
        <w:t xml:space="preserve"> </w:t>
      </w:r>
    </w:p>
  </w:footnote>
  <w:footnote w:id="66">
    <w:p w14:paraId="13EC61C5"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67">
    <w:p w14:paraId="6E6F785D"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Ibid</w:t>
      </w:r>
      <w:r w:rsidRPr="00D55B2B">
        <w:rPr>
          <w:rFonts w:ascii="Verdana" w:hAnsi="Verdana"/>
          <w:sz w:val="16"/>
          <w:szCs w:val="16"/>
          <w:lang w:val="en-GB"/>
        </w:rPr>
        <w:t xml:space="preserve">. </w:t>
      </w:r>
    </w:p>
  </w:footnote>
  <w:footnote w:id="68">
    <w:p w14:paraId="456971A9"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Johnson, above n. 12. </w:t>
      </w:r>
    </w:p>
  </w:footnote>
  <w:footnote w:id="69">
    <w:p w14:paraId="793A2D31" w14:textId="77777777" w:rsidR="00A777AC" w:rsidRPr="00D55B2B" w:rsidRDefault="00A777AC" w:rsidP="00D55B2B">
      <w:pPr>
        <w:pStyle w:val="FootnoteText"/>
        <w:spacing w:line="360" w:lineRule="auto"/>
        <w:jc w:val="both"/>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ANNA – Centre for the Prevention of Violence, above n. 13. </w:t>
      </w:r>
    </w:p>
  </w:footnote>
  <w:footnote w:id="70">
    <w:p w14:paraId="47E4B7F9" w14:textId="77777777" w:rsidR="00A777AC" w:rsidRPr="00D55B2B" w:rsidRDefault="00A777AC" w:rsidP="00D55B2B">
      <w:pPr>
        <w:pStyle w:val="FootnoteText"/>
        <w:spacing w:line="360" w:lineRule="auto"/>
        <w:jc w:val="both"/>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Ibid.</w:t>
      </w:r>
    </w:p>
  </w:footnote>
  <w:footnote w:id="71">
    <w:p w14:paraId="2C729902"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Johnson, above n. 12. </w:t>
      </w:r>
    </w:p>
  </w:footnote>
  <w:footnote w:id="72">
    <w:p w14:paraId="4364BB7E"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73">
    <w:p w14:paraId="0A799B7B" w14:textId="30D57804" w:rsidR="00A777AC" w:rsidRPr="00D55B2B" w:rsidRDefault="00A777AC" w:rsidP="00D55B2B">
      <w:pPr>
        <w:pStyle w:val="FootnoteText"/>
        <w:spacing w:line="360" w:lineRule="auto"/>
        <w:rPr>
          <w:rFonts w:ascii="Verdana" w:hAnsi="Verdana"/>
          <w:sz w:val="16"/>
          <w:szCs w:val="16"/>
          <w:lang w:val="en-GB"/>
        </w:rPr>
      </w:pPr>
      <w:r w:rsidRPr="0060450D">
        <w:rPr>
          <w:rStyle w:val="FootnoteReference"/>
          <w:rFonts w:ascii="Verdana" w:hAnsi="Verdana"/>
          <w:sz w:val="16"/>
          <w:szCs w:val="16"/>
        </w:rPr>
        <w:footnoteRef/>
      </w:r>
      <w:r w:rsidRPr="0060450D">
        <w:rPr>
          <w:rFonts w:ascii="Verdana" w:hAnsi="Verdana"/>
          <w:sz w:val="16"/>
          <w:szCs w:val="16"/>
        </w:rPr>
        <w:t xml:space="preserve"> </w:t>
      </w:r>
      <w:r w:rsidRPr="000E6463">
        <w:rPr>
          <w:rFonts w:ascii="Verdana" w:hAnsi="Verdana"/>
          <w:sz w:val="16"/>
          <w:szCs w:val="16"/>
        </w:rPr>
        <w:t>Editorial</w:t>
      </w:r>
      <w:r w:rsidRPr="00D55B2B">
        <w:rPr>
          <w:rFonts w:ascii="Verdana" w:hAnsi="Verdana"/>
          <w:sz w:val="16"/>
          <w:szCs w:val="16"/>
        </w:rPr>
        <w:t xml:space="preserve">, ‘Russia: Bill to Decriminalize Domestic Violence: Parliament Should Reject Measure that Harms Families’ </w:t>
      </w:r>
      <w:r w:rsidRPr="00D55B2B">
        <w:rPr>
          <w:rFonts w:ascii="Verdana" w:hAnsi="Verdana"/>
          <w:i/>
          <w:sz w:val="16"/>
          <w:szCs w:val="16"/>
        </w:rPr>
        <w:t>Human Rights Watch</w:t>
      </w:r>
      <w:r w:rsidRPr="00D55B2B">
        <w:rPr>
          <w:rFonts w:ascii="Verdana" w:hAnsi="Verdana"/>
          <w:sz w:val="16"/>
          <w:szCs w:val="16"/>
        </w:rPr>
        <w:t xml:space="preserve"> (23 January 2017). Available at: </w:t>
      </w:r>
      <w:hyperlink r:id="rId15" w:history="1">
        <w:r w:rsidRPr="00D55B2B">
          <w:rPr>
            <w:rStyle w:val="Hyperlink"/>
            <w:rFonts w:ascii="Verdana" w:hAnsi="Verdana"/>
            <w:color w:val="auto"/>
            <w:sz w:val="16"/>
            <w:szCs w:val="16"/>
            <w:u w:val="none"/>
            <w:bdr w:val="none" w:sz="0" w:space="0" w:color="auto" w:frame="1"/>
          </w:rPr>
          <w:t>https://www.hrw.org/news/2017/01/23/russia-bill-decriminalize-domestic-violence</w:t>
        </w:r>
      </w:hyperlink>
      <w:r w:rsidRPr="00D55B2B">
        <w:rPr>
          <w:rStyle w:val="Hyperlink"/>
          <w:rFonts w:ascii="Verdana" w:hAnsi="Verdana"/>
          <w:color w:val="auto"/>
          <w:sz w:val="16"/>
          <w:szCs w:val="16"/>
          <w:u w:val="none"/>
          <w:bdr w:val="none" w:sz="0" w:space="0" w:color="auto" w:frame="1"/>
        </w:rPr>
        <w:t xml:space="preserve"> (accessed 05 January 2018.</w:t>
      </w:r>
    </w:p>
  </w:footnote>
  <w:footnote w:id="74">
    <w:p w14:paraId="764E74D4"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article 20 of the Criminal Procedural Code with states that “cases . . . are subject to termination in connection with . . . reconciliation”. </w:t>
      </w:r>
    </w:p>
  </w:footnote>
  <w:footnote w:id="75">
    <w:p w14:paraId="3AE4DD3B" w14:textId="77777777" w:rsidR="00A777AC" w:rsidRPr="00D55B2B" w:rsidRDefault="00A777AC" w:rsidP="00D55B2B">
      <w:pPr>
        <w:autoSpaceDE/>
        <w:autoSpaceDN/>
        <w:spacing w:line="360" w:lineRule="auto"/>
        <w:ind w:right="-478"/>
        <w:jc w:val="both"/>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Mahserjian, above n. 23.  </w:t>
      </w:r>
    </w:p>
  </w:footnote>
  <w:footnote w:id="76">
    <w:p w14:paraId="7907EFC8" w14:textId="77777777" w:rsidR="00A777AC" w:rsidRPr="00D55B2B" w:rsidRDefault="00A777AC" w:rsidP="00D55B2B">
      <w:pPr>
        <w:pStyle w:val="FootnoteText"/>
        <w:spacing w:line="360" w:lineRule="auto"/>
        <w:rPr>
          <w:rFonts w:ascii="Verdana" w:hAnsi="Verdana"/>
          <w:sz w:val="16"/>
          <w:szCs w:val="16"/>
          <w:lang w:val="en-GB"/>
        </w:rPr>
      </w:pPr>
      <w:r w:rsidRPr="0060450D">
        <w:rPr>
          <w:rStyle w:val="FootnoteReference"/>
          <w:rFonts w:ascii="Verdana" w:hAnsi="Verdana"/>
          <w:sz w:val="16"/>
          <w:szCs w:val="16"/>
        </w:rPr>
        <w:footnoteRef/>
      </w:r>
      <w:r w:rsidRPr="0060450D">
        <w:rPr>
          <w:rFonts w:ascii="Verdana" w:hAnsi="Verdana"/>
          <w:sz w:val="16"/>
          <w:szCs w:val="16"/>
        </w:rPr>
        <w:t xml:space="preserve"> See </w:t>
      </w:r>
      <w:r w:rsidRPr="0060450D">
        <w:rPr>
          <w:rFonts w:ascii="Verdana" w:hAnsi="Verdana"/>
          <w:sz w:val="16"/>
          <w:szCs w:val="16"/>
          <w:lang w:val="en-GB"/>
        </w:rPr>
        <w:t>B. Chamusco, above n. 17</w:t>
      </w:r>
      <w:r w:rsidRPr="002A1338">
        <w:rPr>
          <w:rFonts w:ascii="Verdana" w:hAnsi="Verdana"/>
          <w:sz w:val="16"/>
          <w:szCs w:val="16"/>
          <w:lang w:val="en-GB"/>
        </w:rPr>
        <w:t>.</w:t>
      </w:r>
      <w:r w:rsidRPr="00D55B2B">
        <w:rPr>
          <w:rFonts w:ascii="Verdana" w:hAnsi="Verdana"/>
          <w:sz w:val="16"/>
          <w:szCs w:val="16"/>
          <w:lang w:val="en-GB"/>
        </w:rPr>
        <w:t xml:space="preserve"> </w:t>
      </w:r>
    </w:p>
  </w:footnote>
  <w:footnote w:id="77">
    <w:p w14:paraId="4086B335"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Johnson, above n. 12. </w:t>
      </w:r>
    </w:p>
  </w:footnote>
  <w:footnote w:id="78">
    <w:p w14:paraId="0A95D34C" w14:textId="77777777" w:rsidR="00A777AC" w:rsidRPr="00D55B2B" w:rsidRDefault="00A777AC" w:rsidP="00D55B2B">
      <w:pPr>
        <w:pStyle w:val="FootnoteText"/>
        <w:spacing w:line="360" w:lineRule="auto"/>
        <w:jc w:val="both"/>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See, for example, an order for ‘eviction without the granting of alternative accommodation’ under Articles 53 and 98 of the Housing Code. </w:t>
      </w:r>
    </w:p>
  </w:footnote>
  <w:footnote w:id="79">
    <w:p w14:paraId="30D7B253" w14:textId="0869FF28" w:rsidR="00A777AC" w:rsidRPr="00D55B2B" w:rsidRDefault="00A777AC" w:rsidP="00D55B2B">
      <w:pPr>
        <w:pStyle w:val="FootnoteText"/>
        <w:spacing w:line="360" w:lineRule="auto"/>
        <w:rPr>
          <w:rFonts w:ascii="Verdana" w:hAnsi="Verdana"/>
          <w:sz w:val="16"/>
          <w:szCs w:val="16"/>
          <w:lang w:val="en-GB"/>
        </w:rPr>
      </w:pPr>
      <w:r w:rsidRPr="0060450D">
        <w:rPr>
          <w:rStyle w:val="FootnoteReference"/>
          <w:rFonts w:ascii="Verdana" w:hAnsi="Verdana"/>
          <w:sz w:val="16"/>
          <w:szCs w:val="16"/>
        </w:rPr>
        <w:footnoteRef/>
      </w:r>
      <w:r w:rsidRPr="0060450D">
        <w:rPr>
          <w:rFonts w:ascii="Verdana" w:hAnsi="Verdana"/>
          <w:sz w:val="16"/>
          <w:szCs w:val="16"/>
        </w:rPr>
        <w:t xml:space="preserve"> </w:t>
      </w:r>
      <w:r>
        <w:rPr>
          <w:rFonts w:ascii="Verdana" w:hAnsi="Verdana"/>
          <w:sz w:val="16"/>
          <w:szCs w:val="16"/>
        </w:rPr>
        <w:t xml:space="preserve">See </w:t>
      </w:r>
      <w:r w:rsidRPr="0060450D">
        <w:rPr>
          <w:rFonts w:ascii="Verdana" w:hAnsi="Verdana"/>
          <w:sz w:val="16"/>
          <w:szCs w:val="16"/>
          <w:lang w:val="en-GB"/>
        </w:rPr>
        <w:t>Human Rights Watch</w:t>
      </w:r>
      <w:r>
        <w:rPr>
          <w:rFonts w:ascii="Verdana" w:hAnsi="Verdana"/>
          <w:sz w:val="16"/>
          <w:szCs w:val="16"/>
          <w:lang w:val="en-GB"/>
        </w:rPr>
        <w:t>, above n. 73</w:t>
      </w:r>
      <w:r w:rsidRPr="0060450D">
        <w:rPr>
          <w:rFonts w:ascii="Verdana" w:hAnsi="Verdana"/>
          <w:sz w:val="16"/>
          <w:szCs w:val="16"/>
          <w:lang w:val="en-GB"/>
        </w:rPr>
        <w:t>.</w:t>
      </w:r>
      <w:r w:rsidRPr="00D55B2B">
        <w:rPr>
          <w:rFonts w:ascii="Verdana" w:hAnsi="Verdana"/>
          <w:sz w:val="16"/>
          <w:szCs w:val="16"/>
          <w:lang w:val="en-GB"/>
        </w:rPr>
        <w:t xml:space="preserve"> </w:t>
      </w:r>
      <w:r w:rsidRPr="00D55B2B">
        <w:rPr>
          <w:rFonts w:ascii="Verdana" w:hAnsi="Verdana"/>
          <w:sz w:val="16"/>
          <w:szCs w:val="16"/>
        </w:rPr>
        <w:t xml:space="preserve">See also </w:t>
      </w:r>
      <w:r w:rsidRPr="00D55B2B">
        <w:rPr>
          <w:rFonts w:ascii="Verdana" w:hAnsi="Verdana"/>
          <w:sz w:val="16"/>
          <w:szCs w:val="16"/>
          <w:lang w:val="en-GB"/>
        </w:rPr>
        <w:t xml:space="preserve">Johnson, above n. 12. </w:t>
      </w:r>
    </w:p>
  </w:footnote>
  <w:footnote w:id="80">
    <w:p w14:paraId="5DE0D7F7"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Johnson, above n. 12. </w:t>
      </w:r>
    </w:p>
  </w:footnote>
  <w:footnote w:id="81">
    <w:p w14:paraId="15CA1951"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CEDAW, above n. 15. </w:t>
      </w:r>
      <w:r w:rsidRPr="00D55B2B">
        <w:rPr>
          <w:rFonts w:ascii="Verdana" w:hAnsi="Verdana"/>
          <w:sz w:val="16"/>
          <w:szCs w:val="16"/>
          <w:lang w:val="en-GB"/>
        </w:rPr>
        <w:t xml:space="preserve"> </w:t>
      </w:r>
    </w:p>
  </w:footnote>
  <w:footnote w:id="82">
    <w:p w14:paraId="0539F233" w14:textId="77777777" w:rsidR="00A777AC" w:rsidRPr="00D55B2B" w:rsidRDefault="00A777AC" w:rsidP="00D55B2B">
      <w:pPr>
        <w:pStyle w:val="FootnoteText"/>
        <w:spacing w:line="360" w:lineRule="auto"/>
        <w:jc w:val="both"/>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the full text of the Convention available at: </w:t>
      </w:r>
      <w:hyperlink r:id="rId16" w:history="1">
        <w:r w:rsidRPr="00D55B2B">
          <w:rPr>
            <w:rStyle w:val="Hyperlink"/>
            <w:rFonts w:ascii="Verdana" w:hAnsi="Verdana"/>
            <w:color w:val="auto"/>
            <w:sz w:val="16"/>
            <w:szCs w:val="16"/>
            <w:u w:val="none"/>
          </w:rPr>
          <w:t>http://www.un.org/womenwatch/daw/cedaw/cedaw.htm</w:t>
        </w:r>
      </w:hyperlink>
      <w:r w:rsidRPr="00D55B2B">
        <w:rPr>
          <w:rFonts w:ascii="Verdana" w:hAnsi="Verdana"/>
          <w:sz w:val="16"/>
          <w:szCs w:val="16"/>
        </w:rPr>
        <w:t xml:space="preserve"> (accessed 05 January 2019). </w:t>
      </w:r>
    </w:p>
  </w:footnote>
  <w:footnote w:id="83">
    <w:p w14:paraId="1B0D43BB" w14:textId="77777777" w:rsidR="00A777AC" w:rsidRPr="00CB5EC9" w:rsidRDefault="00A777AC" w:rsidP="00D55B2B">
      <w:pPr>
        <w:pStyle w:val="Heading3"/>
        <w:shd w:val="clear" w:color="auto" w:fill="FFFFFF"/>
        <w:spacing w:line="360" w:lineRule="auto"/>
        <w:jc w:val="both"/>
        <w:rPr>
          <w:rFonts w:ascii="Verdana" w:hAnsi="Verdana" w:cs="Times New Roman"/>
          <w:color w:val="auto"/>
          <w:sz w:val="16"/>
          <w:szCs w:val="16"/>
          <w:lang w:val="en-GB"/>
        </w:rPr>
      </w:pPr>
      <w:r w:rsidRPr="00CB5EC9">
        <w:rPr>
          <w:rStyle w:val="FootnoteReference"/>
          <w:rFonts w:ascii="Verdana" w:hAnsi="Verdana" w:cs="Times New Roman"/>
          <w:color w:val="auto"/>
          <w:sz w:val="16"/>
          <w:szCs w:val="16"/>
        </w:rPr>
        <w:footnoteRef/>
      </w:r>
      <w:r w:rsidRPr="00CB5EC9">
        <w:rPr>
          <w:rFonts w:ascii="Verdana" w:hAnsi="Verdana" w:cs="Times New Roman"/>
          <w:color w:val="auto"/>
          <w:sz w:val="16"/>
          <w:szCs w:val="16"/>
        </w:rPr>
        <w:t xml:space="preserve"> Velasquez Rodriguez Case, Judgment of July 29, 1988, Inter-Am.Ct.H.R. (Ser. C) No. 4 (1988).</w:t>
      </w:r>
    </w:p>
  </w:footnote>
  <w:footnote w:id="84">
    <w:p w14:paraId="66EC0F0F" w14:textId="77777777" w:rsidR="00A777AC" w:rsidRPr="00D55B2B" w:rsidRDefault="00A777AC" w:rsidP="00D55B2B">
      <w:pPr>
        <w:pStyle w:val="FootnoteText"/>
        <w:spacing w:line="360" w:lineRule="auto"/>
        <w:rPr>
          <w:rFonts w:ascii="Verdana" w:hAnsi="Verdana"/>
          <w:sz w:val="16"/>
          <w:szCs w:val="16"/>
          <w:lang w:val="en-GB"/>
        </w:rPr>
      </w:pPr>
      <w:r w:rsidRPr="00CB5EC9">
        <w:rPr>
          <w:rStyle w:val="FootnoteReference"/>
          <w:rFonts w:ascii="Verdana" w:hAnsi="Verdana"/>
          <w:sz w:val="16"/>
          <w:szCs w:val="16"/>
        </w:rPr>
        <w:footnoteRef/>
      </w:r>
      <w:r w:rsidRPr="00CB5EC9">
        <w:rPr>
          <w:rFonts w:ascii="Verdana" w:hAnsi="Verdana"/>
          <w:sz w:val="16"/>
          <w:szCs w:val="16"/>
        </w:rPr>
        <w:t xml:space="preserve"> </w:t>
      </w:r>
      <w:r w:rsidRPr="00CB5EC9">
        <w:rPr>
          <w:rFonts w:ascii="Verdana" w:hAnsi="Verdana"/>
          <w:sz w:val="16"/>
          <w:szCs w:val="16"/>
          <w:lang w:val="en-GB"/>
        </w:rPr>
        <w:t>Ibid. at [172].</w:t>
      </w:r>
      <w:r w:rsidRPr="00D55B2B">
        <w:rPr>
          <w:rFonts w:ascii="Verdana" w:hAnsi="Verdana"/>
          <w:sz w:val="16"/>
          <w:szCs w:val="16"/>
          <w:lang w:val="en-GB"/>
        </w:rPr>
        <w:t xml:space="preserve"> </w:t>
      </w:r>
    </w:p>
  </w:footnote>
  <w:footnote w:id="85">
    <w:p w14:paraId="090AA026"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CEDAW, General Recommendation No. 19 (llth Session, 1992). Available at: </w:t>
      </w:r>
      <w:hyperlink r:id="rId17" w:history="1">
        <w:r w:rsidRPr="00D55B2B">
          <w:rPr>
            <w:rStyle w:val="Hyperlink"/>
            <w:rFonts w:ascii="Verdana" w:hAnsi="Verdana"/>
            <w:color w:val="auto"/>
            <w:sz w:val="16"/>
            <w:szCs w:val="16"/>
            <w:u w:val="none"/>
          </w:rPr>
          <w:t>http://www.un.org/womenwatch/daw/cedaw/recommendations/recomm.htm</w:t>
        </w:r>
      </w:hyperlink>
      <w:r w:rsidRPr="00D55B2B">
        <w:rPr>
          <w:rFonts w:ascii="Verdana" w:hAnsi="Verdana"/>
          <w:sz w:val="16"/>
          <w:szCs w:val="16"/>
        </w:rPr>
        <w:t xml:space="preserve"> (accessed 06 January 2019). </w:t>
      </w:r>
    </w:p>
  </w:footnote>
  <w:footnote w:id="86">
    <w:p w14:paraId="77AE8248"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L. Hasselbacher, ‘State Obligations Regarding Domestic Violence: The European Court of Human Rights, Due Diligence and International Legal Minimums of Protection’ (2010) 8(2) </w:t>
      </w:r>
      <w:r w:rsidRPr="00D55B2B">
        <w:rPr>
          <w:rFonts w:ascii="Verdana" w:hAnsi="Verdana"/>
          <w:i/>
          <w:sz w:val="16"/>
          <w:szCs w:val="16"/>
        </w:rPr>
        <w:t>Northwestern Journal of International Human Rights</w:t>
      </w:r>
      <w:r w:rsidRPr="00D55B2B">
        <w:rPr>
          <w:rFonts w:ascii="Verdana" w:hAnsi="Verdana"/>
          <w:sz w:val="16"/>
          <w:szCs w:val="16"/>
        </w:rPr>
        <w:t>, Article 3.</w:t>
      </w:r>
    </w:p>
  </w:footnote>
  <w:footnote w:id="87">
    <w:p w14:paraId="7CC8F1FF"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Authorised Professional Practice (APP) on Domestic Abuse. Available at: </w:t>
      </w:r>
      <w:hyperlink r:id="rId18" w:history="1">
        <w:r w:rsidRPr="00D55B2B">
          <w:rPr>
            <w:rStyle w:val="Hyperlink"/>
            <w:rFonts w:ascii="Verdana" w:hAnsi="Verdana"/>
            <w:color w:val="auto"/>
            <w:sz w:val="16"/>
            <w:szCs w:val="16"/>
            <w:u w:val="none"/>
          </w:rPr>
          <w:t>https://www.app.college.police.uk/app-content/major-investigation-and-public-protection/domestic-abuse/</w:t>
        </w:r>
      </w:hyperlink>
      <w:r w:rsidRPr="00D55B2B">
        <w:rPr>
          <w:rFonts w:ascii="Verdana" w:hAnsi="Verdana"/>
          <w:sz w:val="16"/>
          <w:szCs w:val="16"/>
        </w:rPr>
        <w:t xml:space="preserve"> (accessed 05 January 2019). </w:t>
      </w:r>
    </w:p>
  </w:footnote>
  <w:footnote w:id="88">
    <w:p w14:paraId="43F8CEEE"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CEDAW, above n. 15. </w:t>
      </w:r>
    </w:p>
  </w:footnote>
  <w:footnote w:id="89">
    <w:p w14:paraId="3B274DB6"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90">
    <w:p w14:paraId="6DDD235E"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Mahserjian, above n. 23. </w:t>
      </w:r>
    </w:p>
  </w:footnote>
  <w:footnote w:id="91">
    <w:p w14:paraId="57A2CEB3"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As reported in Human Rights Watch, Rebecca Hendin, “I could kill you and no one would stop me” weak state response to Domestic Violence in Russia’ </w:t>
      </w:r>
      <w:r w:rsidRPr="00D55B2B">
        <w:rPr>
          <w:rFonts w:ascii="Verdana" w:hAnsi="Verdana"/>
          <w:i/>
          <w:sz w:val="16"/>
          <w:szCs w:val="16"/>
          <w:lang w:val="en-GB"/>
        </w:rPr>
        <w:t>Human Rights Watch</w:t>
      </w:r>
      <w:r w:rsidRPr="00D55B2B">
        <w:rPr>
          <w:rFonts w:ascii="Verdana" w:hAnsi="Verdana"/>
          <w:sz w:val="16"/>
          <w:szCs w:val="16"/>
          <w:lang w:val="en-GB"/>
        </w:rPr>
        <w:t xml:space="preserve"> (25 October 2018). Available at: </w:t>
      </w:r>
      <w:hyperlink r:id="rId19" w:history="1">
        <w:r w:rsidRPr="00D55B2B">
          <w:rPr>
            <w:rStyle w:val="Hyperlink"/>
            <w:rFonts w:ascii="Verdana" w:hAnsi="Verdana"/>
            <w:color w:val="auto"/>
            <w:sz w:val="16"/>
            <w:szCs w:val="16"/>
            <w:u w:val="none"/>
            <w:lang w:val="en-GB"/>
          </w:rPr>
          <w:t>https://www.hrw.org/report/2018/10/25/i-could-kill-you-and-no-one-would-stop-me/weak-state-response-domestic-violence</w:t>
        </w:r>
      </w:hyperlink>
      <w:r w:rsidRPr="00D55B2B">
        <w:rPr>
          <w:rFonts w:ascii="Verdana" w:hAnsi="Verdana"/>
          <w:sz w:val="16"/>
          <w:szCs w:val="16"/>
          <w:lang w:val="en-GB"/>
        </w:rPr>
        <w:t xml:space="preserve"> (accessed 05 January 2019). </w:t>
      </w:r>
    </w:p>
  </w:footnote>
  <w:footnote w:id="92">
    <w:p w14:paraId="1BE0851E" w14:textId="77777777" w:rsidR="00A777AC" w:rsidRPr="00D55B2B" w:rsidRDefault="00A777AC" w:rsidP="00D55B2B">
      <w:pPr>
        <w:autoSpaceDE/>
        <w:autoSpaceDN/>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Editorial, ‘Russia: Bill to Decriminalize Domestic Violence: Parliament Should Reject Measure that Harms Families’ </w:t>
      </w:r>
      <w:r w:rsidRPr="00D55B2B">
        <w:rPr>
          <w:rFonts w:ascii="Verdana" w:hAnsi="Verdana"/>
          <w:i/>
          <w:sz w:val="16"/>
          <w:szCs w:val="16"/>
        </w:rPr>
        <w:t>Human Rights Watch</w:t>
      </w:r>
      <w:r w:rsidRPr="00D55B2B">
        <w:rPr>
          <w:rFonts w:ascii="Verdana" w:hAnsi="Verdana"/>
          <w:sz w:val="16"/>
          <w:szCs w:val="16"/>
        </w:rPr>
        <w:t xml:space="preserve"> (23 January 2017). Available at: </w:t>
      </w:r>
      <w:hyperlink r:id="rId20" w:history="1">
        <w:r w:rsidRPr="00D55B2B">
          <w:rPr>
            <w:rStyle w:val="Hyperlink"/>
            <w:rFonts w:ascii="Verdana" w:hAnsi="Verdana"/>
            <w:color w:val="auto"/>
            <w:sz w:val="16"/>
            <w:szCs w:val="16"/>
            <w:u w:val="none"/>
            <w:bdr w:val="none" w:sz="0" w:space="0" w:color="auto" w:frame="1"/>
          </w:rPr>
          <w:t>https://www.hrw.org/news/2017/01/23/russia-bill-decriminalize-domestic-violence</w:t>
        </w:r>
      </w:hyperlink>
      <w:r w:rsidRPr="00D55B2B">
        <w:rPr>
          <w:rStyle w:val="Hyperlink"/>
          <w:rFonts w:ascii="Verdana" w:hAnsi="Verdana"/>
          <w:color w:val="auto"/>
          <w:sz w:val="16"/>
          <w:szCs w:val="16"/>
          <w:u w:val="none"/>
          <w:bdr w:val="none" w:sz="0" w:space="0" w:color="auto" w:frame="1"/>
        </w:rPr>
        <w:t xml:space="preserve"> (accessed 05 January 2018. </w:t>
      </w:r>
    </w:p>
  </w:footnote>
  <w:footnote w:id="93">
    <w:p w14:paraId="0F5F8C72"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Mahserjian, above n. 23. </w:t>
      </w:r>
    </w:p>
  </w:footnote>
  <w:footnote w:id="94">
    <w:p w14:paraId="5F9B9BE6"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For an overview of LASPO 2012 and its effect on family matters, see K. Richardson &amp; A. Speed, ‘Restrictions on legal aid in family law cases in England and Wales: creating a necessary barrier to public funding or simply increasing the burden on the family courts?’ (2019) </w:t>
      </w:r>
      <w:r w:rsidRPr="00D55B2B">
        <w:rPr>
          <w:rFonts w:ascii="Verdana" w:hAnsi="Verdana"/>
          <w:i/>
          <w:sz w:val="16"/>
          <w:szCs w:val="16"/>
          <w:lang w:val="en-GB"/>
        </w:rPr>
        <w:t>Journal of Social Welfare and Family Law</w:t>
      </w:r>
      <w:r w:rsidRPr="00D55B2B">
        <w:rPr>
          <w:rFonts w:ascii="Verdana" w:hAnsi="Verdana"/>
          <w:sz w:val="16"/>
          <w:szCs w:val="16"/>
          <w:lang w:val="en-GB"/>
        </w:rPr>
        <w:t xml:space="preserve"> (in press). </w:t>
      </w:r>
    </w:p>
  </w:footnote>
  <w:footnote w:id="95">
    <w:p w14:paraId="6FB8A004"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Equality and Human Rights Commission, ‘Concluding Observations of the Committee on the Elimination of Discrimination against Women: understanding what governments need to do to advance women’s rights in Great Britain’ (2014). Available at: </w:t>
      </w:r>
      <w:hyperlink r:id="rId21" w:history="1">
        <w:r w:rsidRPr="00D55B2B">
          <w:rPr>
            <w:rStyle w:val="Hyperlink"/>
            <w:rFonts w:ascii="Verdana" w:hAnsi="Verdana"/>
            <w:color w:val="auto"/>
            <w:sz w:val="16"/>
            <w:szCs w:val="16"/>
            <w:u w:val="none"/>
          </w:rPr>
          <w:t>https://www.equalityhumanrights.com/sites/default/files/cedaw_concluding_observations_251114_1.p</w:t>
        </w:r>
        <w:r w:rsidRPr="00D55B2B">
          <w:rPr>
            <w:rStyle w:val="Hyperlink"/>
            <w:rFonts w:ascii="Verdana" w:hAnsi="Verdana"/>
            <w:color w:val="auto"/>
            <w:sz w:val="16"/>
            <w:szCs w:val="16"/>
          </w:rPr>
          <w:t>df</w:t>
        </w:r>
      </w:hyperlink>
      <w:r w:rsidRPr="00D55B2B">
        <w:rPr>
          <w:rFonts w:ascii="Verdana" w:hAnsi="Verdana"/>
          <w:sz w:val="16"/>
          <w:szCs w:val="16"/>
        </w:rPr>
        <w:t xml:space="preserve"> (accessed 05 January 2019). </w:t>
      </w:r>
    </w:p>
  </w:footnote>
  <w:footnote w:id="96">
    <w:p w14:paraId="18DFB503"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i/>
          <w:sz w:val="16"/>
          <w:szCs w:val="16"/>
          <w:lang w:val="en-GB"/>
        </w:rPr>
        <w:t>R (Rights of Women) v The Lord Chancellor and the Secretary of State for Justice</w:t>
      </w:r>
      <w:r w:rsidRPr="00D55B2B">
        <w:rPr>
          <w:rFonts w:ascii="Verdana" w:hAnsi="Verdana"/>
          <w:sz w:val="16"/>
          <w:szCs w:val="16"/>
          <w:lang w:val="en-GB"/>
        </w:rPr>
        <w:t xml:space="preserve"> [2016] EWCA Civ 91. </w:t>
      </w:r>
    </w:p>
  </w:footnote>
  <w:footnote w:id="97">
    <w:p w14:paraId="592FFBCC"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[2018] EWFC B16. </w:t>
      </w:r>
    </w:p>
  </w:footnote>
  <w:footnote w:id="98">
    <w:p w14:paraId="20DB946F" w14:textId="77777777" w:rsidR="00A777AC" w:rsidRPr="001A5E67" w:rsidRDefault="00A777AC">
      <w:pPr>
        <w:pStyle w:val="FootnoteText"/>
        <w:rPr>
          <w:rFonts w:ascii="Verdana" w:hAnsi="Verdana" w:cstheme="minorHAnsi"/>
          <w:sz w:val="16"/>
          <w:szCs w:val="16"/>
        </w:rPr>
      </w:pPr>
      <w:r w:rsidRPr="001A5E67">
        <w:rPr>
          <w:rStyle w:val="FootnoteReference"/>
          <w:rFonts w:ascii="Verdana" w:hAnsi="Verdana" w:cstheme="minorHAnsi"/>
          <w:sz w:val="16"/>
          <w:szCs w:val="16"/>
        </w:rPr>
        <w:footnoteRef/>
      </w:r>
      <w:r w:rsidRPr="001A5E67">
        <w:rPr>
          <w:rFonts w:ascii="Verdana" w:hAnsi="Verdana" w:cstheme="minorHAnsi"/>
          <w:sz w:val="16"/>
          <w:szCs w:val="16"/>
        </w:rPr>
        <w:t xml:space="preserve"> Ministry of Justice, ‘Legal Support: The Way Ahead’ (2019). Available at: https://assets.publishing.service.gov.uk/government/uploads/system/uploads/attachment_data/file/777036/legal-support-the-way-ahead.pdf</w:t>
      </w:r>
    </w:p>
  </w:footnote>
  <w:footnote w:id="99">
    <w:p w14:paraId="22DA1934" w14:textId="77777777" w:rsidR="00A777AC" w:rsidRPr="001A5E67" w:rsidRDefault="00A777AC" w:rsidP="00D55B2B">
      <w:pPr>
        <w:pStyle w:val="FootnoteText"/>
        <w:spacing w:line="360" w:lineRule="auto"/>
        <w:rPr>
          <w:rFonts w:ascii="Verdana" w:hAnsi="Verdana" w:cstheme="minorHAnsi"/>
          <w:sz w:val="16"/>
          <w:szCs w:val="16"/>
          <w:lang w:val="en-GB"/>
        </w:rPr>
      </w:pPr>
      <w:r w:rsidRPr="001A5E67">
        <w:rPr>
          <w:rStyle w:val="FootnoteReference"/>
          <w:rFonts w:ascii="Verdana" w:hAnsi="Verdana" w:cstheme="minorHAnsi"/>
          <w:sz w:val="16"/>
          <w:szCs w:val="16"/>
        </w:rPr>
        <w:footnoteRef/>
      </w:r>
      <w:r w:rsidRPr="001A5E67">
        <w:rPr>
          <w:rFonts w:ascii="Verdana" w:hAnsi="Verdana" w:cstheme="minorHAnsi"/>
          <w:sz w:val="16"/>
          <w:szCs w:val="16"/>
        </w:rPr>
        <w:t xml:space="preserve"> </w:t>
      </w:r>
      <w:r w:rsidRPr="001A5E67">
        <w:rPr>
          <w:rFonts w:ascii="Verdana" w:hAnsi="Verdana" w:cstheme="minorHAnsi"/>
          <w:sz w:val="16"/>
          <w:szCs w:val="16"/>
          <w:lang w:val="en-GB"/>
        </w:rPr>
        <w:t xml:space="preserve">See Richardson &amp; Speed, above n. 91. </w:t>
      </w:r>
    </w:p>
  </w:footnote>
  <w:footnote w:id="100">
    <w:p w14:paraId="2405A02E" w14:textId="56D3C779" w:rsidR="00A777AC" w:rsidRPr="00D55B2B" w:rsidRDefault="00A777AC" w:rsidP="00D55B2B">
      <w:pPr>
        <w:pStyle w:val="FootnoteText"/>
        <w:spacing w:line="360" w:lineRule="auto"/>
        <w:rPr>
          <w:rFonts w:ascii="Verdana" w:hAnsi="Verdana"/>
          <w:sz w:val="16"/>
          <w:szCs w:val="16"/>
          <w:lang w:val="en-GB"/>
        </w:rPr>
      </w:pPr>
      <w:r w:rsidRPr="001A5E67">
        <w:rPr>
          <w:rStyle w:val="FootnoteReference"/>
          <w:rFonts w:ascii="Verdana" w:hAnsi="Verdana" w:cstheme="minorHAnsi"/>
          <w:sz w:val="16"/>
          <w:szCs w:val="16"/>
        </w:rPr>
        <w:footnoteRef/>
      </w:r>
      <w:r w:rsidRPr="001A5E67">
        <w:rPr>
          <w:rFonts w:ascii="Verdana" w:hAnsi="Verdana" w:cstheme="minorHAnsi"/>
          <w:sz w:val="16"/>
          <w:szCs w:val="16"/>
        </w:rPr>
        <w:t xml:space="preserve"> See Equality and Human Rights Commission, above n. 95,  para 35 and para 37</w:t>
      </w:r>
      <w:r w:rsidRPr="00D55B2B">
        <w:rPr>
          <w:rFonts w:ascii="Verdana" w:hAnsi="Verdana"/>
          <w:sz w:val="16"/>
          <w:szCs w:val="16"/>
        </w:rPr>
        <w:t xml:space="preserve"> </w:t>
      </w:r>
    </w:p>
  </w:footnote>
  <w:footnote w:id="101">
    <w:p w14:paraId="06DED8B6"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See Schedule 2 of the Female Genital Mutilation Act 2003. </w:t>
      </w:r>
    </w:p>
  </w:footnote>
  <w:footnote w:id="102">
    <w:p w14:paraId="2E2C62FC"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Ministry of Justice and National Statistics, ‘Family Court Statistics Quarterly, England and Wales, April to June 2018’ (2018). Available at: https://assets.publishing.service.gov.uk/government/uploads/system/uploads/attachment_data/file/752737/FCSQ_April_to_June_2018_-_FINAL.pdf (accessed 06 January 2019). </w:t>
      </w:r>
    </w:p>
  </w:footnote>
  <w:footnote w:id="103">
    <w:p w14:paraId="77DE1F1B" w14:textId="77777777" w:rsidR="00A777AC" w:rsidRPr="00D55B2B" w:rsidRDefault="00A777AC" w:rsidP="00D55B2B">
      <w:pPr>
        <w:pStyle w:val="NormalWeb"/>
        <w:spacing w:before="0" w:beforeAutospacing="0" w:after="0" w:afterAutospacing="0"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sections 1- 4 of the Female Genital Mutilation Act 2003. In addition, section 72 of the 2015 Act inserts new section 3A into the 2003 Act; this creates a new offence of failing to protect a girl from FGM. This will mean that if an offence of FGM is committed against a girl under the age of 16, each person who is responsible for the girl at the time of FGM occurred will be liable under this new offence. </w:t>
      </w:r>
    </w:p>
  </w:footnote>
  <w:footnote w:id="104">
    <w:p w14:paraId="1F5C4C8A" w14:textId="77777777" w:rsidR="00A777AC" w:rsidRPr="00D55B2B" w:rsidRDefault="00A777AC" w:rsidP="00D55B2B">
      <w:pPr>
        <w:pStyle w:val="NormalWeb"/>
        <w:spacing w:before="0" w:beforeAutospacing="0" w:after="0" w:afterAutospacing="0"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section 71 of the Serious Crime Act 2015 inserts a new section x into the Female Genital Mutilation Act 2003. This prohibits the publication of any information that would be likely to lead to the identification of a person against whom an FGM offence is alleged to have been committed. </w:t>
      </w:r>
    </w:p>
  </w:footnote>
  <w:footnote w:id="105">
    <w:p w14:paraId="32F11C2E"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Section 74 inserts new section 5B into the 2003 Act. </w:t>
      </w:r>
    </w:p>
  </w:footnote>
  <w:footnote w:id="106">
    <w:p w14:paraId="43E49BC0" w14:textId="77777777" w:rsidR="00A777AC" w:rsidRPr="00D55B2B" w:rsidRDefault="00A777AC" w:rsidP="00D55B2B">
      <w:pPr>
        <w:pStyle w:val="NormalWeb"/>
        <w:spacing w:before="0" w:beforeAutospacing="0" w:after="0" w:afterAutospacing="0" w:line="360" w:lineRule="auto"/>
        <w:ind w:right="-478"/>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The Convention can be accessed in full at </w:t>
      </w:r>
      <w:hyperlink r:id="rId22" w:history="1">
        <w:r w:rsidRPr="00D55B2B">
          <w:rPr>
            <w:rStyle w:val="Hyperlink"/>
            <w:rFonts w:ascii="Verdana" w:hAnsi="Verdana"/>
            <w:color w:val="auto"/>
            <w:sz w:val="16"/>
            <w:szCs w:val="16"/>
          </w:rPr>
          <w:t>https://www.coe.int/fr/web/conventions/full-list/-/conventions/rms/090000168008482e</w:t>
        </w:r>
      </w:hyperlink>
      <w:r w:rsidRPr="00D55B2B">
        <w:rPr>
          <w:rFonts w:ascii="Verdana" w:hAnsi="Verdana"/>
          <w:sz w:val="16"/>
          <w:szCs w:val="16"/>
        </w:rPr>
        <w:t xml:space="preserve">. </w:t>
      </w:r>
      <w:r w:rsidRPr="00D55B2B">
        <w:rPr>
          <w:rFonts w:ascii="Verdana" w:hAnsi="Verdana"/>
          <w:sz w:val="16"/>
          <w:szCs w:val="16"/>
          <w:shd w:val="clear" w:color="auto" w:fill="FFFFFF"/>
        </w:rPr>
        <w:t xml:space="preserve">The three key themes of the Convention are prevention, protection and prosecution. In relation to protection, signatories are obliged to ensure victims are able to access clear and accessible information about support available to them. Member states are also obliged to ensure free of charge 24/7 helplines to offer immediate expert advice and specialised support services. Regarding prevention, signatories must promote awareness through awareness raising campaigns and education at all levels to ensure </w:t>
      </w:r>
      <w:r w:rsidRPr="00D55B2B">
        <w:rPr>
          <w:rFonts w:ascii="Verdana" w:hAnsi="Verdana"/>
          <w:sz w:val="16"/>
          <w:szCs w:val="16"/>
        </w:rPr>
        <w:t xml:space="preserve">that the general public are informed of the various forms of violence that women experience on a regular basis as well as of the different manifestations of domestic violence. Finally, states must ensure systems are in place to ensure perpetrators are prosecuted for crimes committed. This requires states to give power to the police, ensure effective and timely prosecutions and immediate protection for victims. </w:t>
      </w:r>
    </w:p>
  </w:footnote>
  <w:footnote w:id="107">
    <w:p w14:paraId="3437E260" w14:textId="77777777" w:rsidR="00A777AC" w:rsidRPr="00D55B2B" w:rsidRDefault="00A777AC" w:rsidP="00282625">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cstheme="minorHAnsi"/>
          <w:sz w:val="16"/>
          <w:szCs w:val="16"/>
        </w:rPr>
        <w:t xml:space="preserve">Ministry of Justice and National Statistics ‘Family Court Statistics Quarterly: Annual 2017 including October to December 2017’ (2018). Available at: https://assets.publishing.service.gov.uk/government/uploads/system/uploads/attachment_data/file/695363/family-court-stats-oct-dec-2017.pdf (accessed 06 January 2019). </w:t>
      </w:r>
    </w:p>
  </w:footnote>
  <w:footnote w:id="108">
    <w:p w14:paraId="5EF45D9B" w14:textId="77777777" w:rsidR="00A777AC" w:rsidRPr="00D55B2B" w:rsidRDefault="00A777AC" w:rsidP="00282625">
      <w:pPr>
        <w:pStyle w:val="FootnoteText"/>
        <w:spacing w:line="360" w:lineRule="auto"/>
        <w:rPr>
          <w:rFonts w:ascii="Verdana" w:hAnsi="Verdana" w:cstheme="minorHAnsi"/>
          <w:sz w:val="16"/>
          <w:szCs w:val="16"/>
        </w:rPr>
      </w:pPr>
      <w:r w:rsidRPr="00D55B2B">
        <w:rPr>
          <w:rStyle w:val="FootnoteReference"/>
          <w:rFonts w:ascii="Verdana" w:hAnsi="Verdana" w:cstheme="minorHAnsi"/>
          <w:sz w:val="16"/>
          <w:szCs w:val="16"/>
        </w:rPr>
        <w:footnoteRef/>
      </w:r>
      <w:r w:rsidRPr="00D55B2B">
        <w:rPr>
          <w:rFonts w:ascii="Verdana" w:hAnsi="Verdana" w:cstheme="minorHAnsi"/>
          <w:sz w:val="16"/>
          <w:szCs w:val="16"/>
        </w:rPr>
        <w:t xml:space="preserve"> Editorial, ‘Second forced marriage conviction within a week’ </w:t>
      </w:r>
      <w:r w:rsidRPr="00D55B2B">
        <w:rPr>
          <w:rFonts w:ascii="Verdana" w:hAnsi="Verdana" w:cstheme="minorHAnsi"/>
          <w:i/>
          <w:sz w:val="16"/>
          <w:szCs w:val="16"/>
        </w:rPr>
        <w:t>Family Law Week</w:t>
      </w:r>
      <w:r w:rsidRPr="00D55B2B">
        <w:rPr>
          <w:rFonts w:ascii="Verdana" w:hAnsi="Verdana" w:cstheme="minorHAnsi"/>
          <w:sz w:val="16"/>
          <w:szCs w:val="16"/>
        </w:rPr>
        <w:t xml:space="preserve"> (29 May 2018). Available at: http://www.familylawweek.co.uk/site.aspx?i=ed190141 (accessed 06 January 2018). </w:t>
      </w:r>
    </w:p>
  </w:footnote>
  <w:footnote w:id="109">
    <w:p w14:paraId="50F3B7D4" w14:textId="0E8A6A28" w:rsidR="00A777AC" w:rsidRPr="00D55B2B" w:rsidRDefault="00A777AC" w:rsidP="00D55B2B">
      <w:pPr>
        <w:pStyle w:val="FootnoteText"/>
        <w:spacing w:line="360" w:lineRule="auto"/>
        <w:rPr>
          <w:rFonts w:ascii="Verdana" w:hAnsi="Verdana"/>
          <w:sz w:val="16"/>
          <w:szCs w:val="16"/>
          <w:lang w:val="en-GB"/>
        </w:rPr>
      </w:pPr>
      <w:r w:rsidRPr="0060450D">
        <w:rPr>
          <w:rStyle w:val="FootnoteReference"/>
          <w:rFonts w:ascii="Verdana" w:hAnsi="Verdana"/>
          <w:sz w:val="16"/>
          <w:szCs w:val="16"/>
        </w:rPr>
        <w:footnoteRef/>
      </w:r>
      <w:r w:rsidRPr="0060450D">
        <w:rPr>
          <w:rFonts w:ascii="Verdana" w:hAnsi="Verdana"/>
          <w:sz w:val="16"/>
          <w:szCs w:val="16"/>
        </w:rPr>
        <w:t xml:space="preserve"> </w:t>
      </w:r>
      <w:r w:rsidRPr="0060450D">
        <w:rPr>
          <w:rFonts w:ascii="Verdana" w:hAnsi="Verdana"/>
          <w:sz w:val="16"/>
          <w:szCs w:val="16"/>
          <w:lang w:val="en-GB"/>
        </w:rPr>
        <w:t>House of Commons’ Briefing Paper Number 7829 ‘UK Policy on Ratifying the Istanbul Convention on Preventing Violence against Women (House of Commons Library 21 February 2017) Available at: http://researchbriefings.files.parliament.uk/documents/CBP-7829/CBP-7829.pdf (accessed 06 January 2019).</w:t>
      </w:r>
      <w:r w:rsidRPr="00D55B2B">
        <w:rPr>
          <w:rFonts w:ascii="Verdana" w:hAnsi="Verdana"/>
          <w:sz w:val="16"/>
          <w:szCs w:val="16"/>
          <w:lang w:val="en-GB"/>
        </w:rPr>
        <w:t xml:space="preserve"> </w:t>
      </w:r>
    </w:p>
  </w:footnote>
  <w:footnote w:id="110">
    <w:p w14:paraId="30E0210D" w14:textId="77777777" w:rsidR="00A777AC" w:rsidRPr="00D55B2B" w:rsidRDefault="00A777AC" w:rsidP="00D55B2B">
      <w:pPr>
        <w:autoSpaceDE/>
        <w:autoSpaceDN/>
        <w:spacing w:line="360" w:lineRule="auto"/>
        <w:ind w:right="515"/>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The response stated “</w:t>
      </w:r>
      <w:r w:rsidRPr="00D55B2B">
        <w:rPr>
          <w:rFonts w:ascii="Verdana" w:hAnsi="Verdana"/>
          <w:sz w:val="16"/>
          <w:szCs w:val="16"/>
          <w:lang w:val="en-GB"/>
        </w:rPr>
        <w:t>The UK has some of the most robust laws in the world against violence towards women and girls and as the Committee has acknowledged, we already comply with the vast majority of the articles in the Convention. The Government takes its international commitments very seriously and will only commit to such ratification when we are absolutely satisfied that we comply with all articles. As the Committee has recognised, the Convention applies to the whole of the UK and the devolved administrations are responsible for implementing the positive obligations of the Convention in their territories. The Government has liaised with the devolved administrations about ratification of the Istanbul Convention, including the further legislative steps necessary on extraterritorial jurisdiction, and will continue to do so through consultation and the Inter-Ministerial Group, of which the devolved administrations are members”.</w:t>
      </w:r>
    </w:p>
  </w:footnote>
  <w:footnote w:id="111">
    <w:p w14:paraId="2160ABD1" w14:textId="77777777" w:rsidR="00A777AC" w:rsidRPr="0060450D" w:rsidRDefault="00A777AC">
      <w:pPr>
        <w:pStyle w:val="FootnoteText"/>
        <w:rPr>
          <w:rFonts w:ascii="Verdana" w:hAnsi="Verdana"/>
          <w:sz w:val="16"/>
          <w:szCs w:val="16"/>
        </w:rPr>
      </w:pPr>
      <w:r w:rsidRPr="0060450D">
        <w:rPr>
          <w:rStyle w:val="FootnoteReference"/>
          <w:rFonts w:ascii="Verdana" w:hAnsi="Verdana"/>
          <w:sz w:val="16"/>
          <w:szCs w:val="16"/>
        </w:rPr>
        <w:footnoteRef/>
      </w:r>
      <w:r w:rsidRPr="0060450D">
        <w:rPr>
          <w:rFonts w:ascii="Verdana" w:hAnsi="Verdana"/>
          <w:sz w:val="16"/>
          <w:szCs w:val="16"/>
        </w:rPr>
        <w:t xml:space="preserve"> </w:t>
      </w:r>
      <w:r>
        <w:rPr>
          <w:rFonts w:ascii="Verdana" w:hAnsi="Verdana"/>
          <w:sz w:val="16"/>
          <w:szCs w:val="16"/>
        </w:rPr>
        <w:t>S. Edwards ‘Coercion and Compulsion – re-imagining crimes and defences’ (2016) Criminal Law Review (12) 876-899s</w:t>
      </w:r>
    </w:p>
  </w:footnote>
  <w:footnote w:id="112">
    <w:p w14:paraId="14AC3E54" w14:textId="77777777" w:rsidR="00A777AC" w:rsidRPr="00D55B2B" w:rsidRDefault="00A777AC" w:rsidP="00D55B2B">
      <w:pPr>
        <w:pStyle w:val="NormalWeb"/>
        <w:spacing w:before="0" w:beforeAutospacing="0" w:after="0" w:afterAutospacing="0"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HM Government, above n. 4: The consultation defines domestic violence as ‘</w:t>
      </w:r>
      <w:r w:rsidRPr="00D55B2B">
        <w:rPr>
          <w:rFonts w:ascii="Verdana" w:hAnsi="Verdana"/>
          <w:iCs/>
          <w:sz w:val="16"/>
          <w:szCs w:val="16"/>
        </w:rPr>
        <w:t>any incident or pattern of incidents of controlling, coercive, threatening behaviour, violence or abuse between those aged 16 or over who are, or have been, intimate partners or family members regardless of gender or sexual orientation. The abuse can encompass, but is not limited to: psychological, physical, sexual, economic, emotional, controlling behaviour (controlling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or coercive behaviour (coercive behaviour is an act or a pattern of acts of assault, threats, humiliation and intimidation or other abuse that is used to harm, punish, or frighten their victim).</w:t>
      </w:r>
    </w:p>
  </w:footnote>
  <w:footnote w:id="113">
    <w:p w14:paraId="2EDFE858" w14:textId="77777777" w:rsidR="00A777AC" w:rsidRPr="00D55B2B" w:rsidRDefault="00A777AC" w:rsidP="00D55B2B">
      <w:pPr>
        <w:pStyle w:val="NormalWeb"/>
        <w:spacing w:before="0" w:beforeAutospacing="0" w:after="0" w:afterAutospacing="0"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European Convention of Human Rights (1950), Article 2 provides that ‘everyone’s right to life shall be protected by law. No one shall be deprived of his life intentionally save in the execution of a sentence of a court following his conviction of a crime for which this penalty is provided by law’.</w:t>
      </w:r>
    </w:p>
  </w:footnote>
  <w:footnote w:id="114">
    <w:p w14:paraId="5EE14AEA" w14:textId="77777777" w:rsidR="00A777AC" w:rsidRPr="00D55B2B" w:rsidRDefault="00A777AC" w:rsidP="00D55B2B">
      <w:pPr>
        <w:pStyle w:val="NormalWeb"/>
        <w:spacing w:before="0" w:beforeAutospacing="0" w:after="0" w:afterAutospacing="0"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Ibid. Article 3 states that ‘no one shall be subjected to torture or to inhuman or degrading treatment or punishment’. </w:t>
      </w:r>
    </w:p>
  </w:footnote>
  <w:footnote w:id="115">
    <w:p w14:paraId="0403CFC6" w14:textId="77777777" w:rsidR="00A777AC" w:rsidRPr="00D55B2B" w:rsidRDefault="00A777AC" w:rsidP="00D55B2B">
      <w:pPr>
        <w:pStyle w:val="NormalWeb"/>
        <w:spacing w:before="0" w:beforeAutospacing="0" w:after="0" w:afterAutospacing="0"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Ibid. Article 14 provides that ‘the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 </w:t>
      </w:r>
    </w:p>
  </w:footnote>
  <w:footnote w:id="116">
    <w:p w14:paraId="21468D76" w14:textId="77777777" w:rsidR="00A777AC" w:rsidRPr="00D55B2B" w:rsidRDefault="00A777AC" w:rsidP="00D55B2B">
      <w:pPr>
        <w:autoSpaceDE/>
        <w:autoSpaceDN/>
        <w:spacing w:line="360" w:lineRule="auto"/>
        <w:ind w:right="-478"/>
        <w:jc w:val="both"/>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Hasselbacher, above n. 83. </w:t>
      </w:r>
    </w:p>
  </w:footnote>
  <w:footnote w:id="117">
    <w:p w14:paraId="2AADB9FD" w14:textId="77777777" w:rsidR="00A777AC" w:rsidRPr="001A5E67" w:rsidRDefault="00A777AC" w:rsidP="00D55B2B">
      <w:pPr>
        <w:pStyle w:val="NormalWeb"/>
        <w:spacing w:before="0" w:beforeAutospacing="0" w:after="0" w:afterAutospacing="0" w:line="360" w:lineRule="auto"/>
        <w:rPr>
          <w:rFonts w:ascii="Verdana" w:hAnsi="Verdana"/>
          <w:sz w:val="16"/>
          <w:szCs w:val="16"/>
        </w:rPr>
      </w:pPr>
      <w:r w:rsidRPr="001A5E67">
        <w:rPr>
          <w:rStyle w:val="FootnoteReference"/>
          <w:rFonts w:ascii="Verdana" w:hAnsi="Verdana"/>
          <w:sz w:val="16"/>
          <w:szCs w:val="16"/>
        </w:rPr>
        <w:footnoteRef/>
      </w:r>
      <w:r w:rsidRPr="001A5E67">
        <w:rPr>
          <w:rFonts w:ascii="Verdana" w:hAnsi="Verdana"/>
          <w:sz w:val="16"/>
          <w:szCs w:val="16"/>
        </w:rPr>
        <w:t xml:space="preserve"> </w:t>
      </w:r>
      <w:r w:rsidRPr="001A5E67">
        <w:rPr>
          <w:rFonts w:ascii="Verdana" w:hAnsi="Verdana"/>
          <w:i/>
          <w:sz w:val="16"/>
          <w:szCs w:val="16"/>
        </w:rPr>
        <w:t>Osman v UK</w:t>
      </w:r>
      <w:r w:rsidRPr="001A5E67">
        <w:rPr>
          <w:rFonts w:ascii="Verdana" w:hAnsi="Verdana"/>
          <w:sz w:val="16"/>
          <w:szCs w:val="16"/>
        </w:rPr>
        <w:t xml:space="preserve"> ECHR 1998–VIII 3124 at [115]. </w:t>
      </w:r>
    </w:p>
  </w:footnote>
  <w:footnote w:id="118">
    <w:p w14:paraId="65C4FBBF" w14:textId="77777777" w:rsidR="00A777AC" w:rsidRPr="00D55B2B" w:rsidRDefault="00A777AC" w:rsidP="00D55B2B">
      <w:pPr>
        <w:pStyle w:val="FootnoteText"/>
        <w:spacing w:line="360" w:lineRule="auto"/>
        <w:rPr>
          <w:rFonts w:ascii="Verdana" w:hAnsi="Verdana"/>
          <w:sz w:val="16"/>
          <w:szCs w:val="16"/>
          <w:lang w:val="en-GB"/>
        </w:rPr>
      </w:pPr>
      <w:r w:rsidRPr="001A5E67">
        <w:rPr>
          <w:rStyle w:val="FootnoteReference"/>
          <w:rFonts w:ascii="Verdana" w:hAnsi="Verdana"/>
          <w:sz w:val="16"/>
          <w:szCs w:val="16"/>
        </w:rPr>
        <w:footnoteRef/>
      </w:r>
      <w:r w:rsidRPr="001A5E67">
        <w:rPr>
          <w:rFonts w:ascii="Verdana" w:hAnsi="Verdana"/>
          <w:sz w:val="16"/>
          <w:szCs w:val="16"/>
        </w:rPr>
        <w:t xml:space="preserve"> Ibid.</w:t>
      </w:r>
      <w:r w:rsidRPr="00D55B2B">
        <w:rPr>
          <w:rFonts w:ascii="Verdana" w:hAnsi="Verdana"/>
          <w:sz w:val="16"/>
          <w:szCs w:val="16"/>
        </w:rPr>
        <w:t xml:space="preserve"> </w:t>
      </w:r>
    </w:p>
  </w:footnote>
  <w:footnote w:id="119">
    <w:p w14:paraId="50FAAA40"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Council of Europe Comm. of Ministers, Recommendation Rec (2002)5 on the Protection of Women against Violence, 794th Sess., (Apr. 30, 2002). Available at: </w:t>
      </w:r>
      <w:hyperlink r:id="rId23" w:history="1">
        <w:r w:rsidRPr="00D55B2B">
          <w:rPr>
            <w:rStyle w:val="Hyperlink"/>
            <w:rFonts w:ascii="Verdana" w:hAnsi="Verdana"/>
            <w:color w:val="auto"/>
            <w:sz w:val="16"/>
            <w:szCs w:val="16"/>
          </w:rPr>
          <w:t>https://search.coe.int/cm/Pages/result_details.aspx?ObjectID=09000016805e2612</w:t>
        </w:r>
      </w:hyperlink>
      <w:r w:rsidRPr="00D55B2B">
        <w:rPr>
          <w:rFonts w:ascii="Verdana" w:hAnsi="Verdana"/>
          <w:sz w:val="16"/>
          <w:szCs w:val="16"/>
        </w:rPr>
        <w:t xml:space="preserve"> (accessed 06 January 2019). </w:t>
      </w:r>
    </w:p>
  </w:footnote>
  <w:footnote w:id="120">
    <w:p w14:paraId="3B622740" w14:textId="77777777" w:rsidR="00A777AC" w:rsidRPr="004C5327" w:rsidRDefault="00A777AC" w:rsidP="00D55B2B">
      <w:pPr>
        <w:pStyle w:val="FootnoteText"/>
        <w:spacing w:line="360" w:lineRule="auto"/>
        <w:rPr>
          <w:rFonts w:ascii="Verdana" w:hAnsi="Verdana"/>
          <w:sz w:val="16"/>
          <w:szCs w:val="16"/>
        </w:rPr>
      </w:pPr>
      <w:r w:rsidRPr="004C5327">
        <w:rPr>
          <w:rStyle w:val="FootnoteReference"/>
          <w:rFonts w:ascii="Verdana" w:hAnsi="Verdana"/>
          <w:sz w:val="16"/>
          <w:szCs w:val="16"/>
        </w:rPr>
        <w:footnoteRef/>
      </w:r>
      <w:r w:rsidRPr="00DB3BA8">
        <w:rPr>
          <w:rFonts w:ascii="Verdana" w:hAnsi="Verdana"/>
          <w:sz w:val="16"/>
          <w:szCs w:val="16"/>
          <w:lang w:val="es-ES_tradnl"/>
        </w:rPr>
        <w:t xml:space="preserve"> </w:t>
      </w:r>
      <w:r w:rsidRPr="00DB3BA8">
        <w:rPr>
          <w:rFonts w:ascii="Verdana" w:hAnsi="Verdana"/>
          <w:i/>
          <w:sz w:val="16"/>
          <w:szCs w:val="16"/>
          <w:lang w:val="es-ES_tradnl"/>
        </w:rPr>
        <w:t>Bevacqua and S. v. Bulgaria</w:t>
      </w:r>
      <w:r w:rsidRPr="00DB3BA8">
        <w:rPr>
          <w:rFonts w:ascii="Verdana" w:hAnsi="Verdana"/>
          <w:sz w:val="16"/>
          <w:szCs w:val="16"/>
          <w:lang w:val="es-ES_tradnl"/>
        </w:rPr>
        <w:t xml:space="preserve"> App no 71127/01 (ECtHR, 12 June 2008). </w:t>
      </w:r>
      <w:r w:rsidRPr="004C5327">
        <w:rPr>
          <w:rFonts w:ascii="Verdana" w:hAnsi="Verdana"/>
          <w:sz w:val="16"/>
          <w:szCs w:val="16"/>
        </w:rPr>
        <w:t xml:space="preserve">The judgment can be accessed at: </w:t>
      </w:r>
      <w:r w:rsidRPr="004C5327">
        <w:rPr>
          <w:rStyle w:val="Hyperlink"/>
          <w:rFonts w:ascii="Verdana" w:hAnsi="Verdana"/>
          <w:color w:val="auto"/>
          <w:sz w:val="16"/>
          <w:szCs w:val="16"/>
          <w:u w:val="none"/>
        </w:rPr>
        <w:t>http://hrlibrary.umn.edu/research/bulgaria/BEVACQUA.pdf</w:t>
      </w:r>
      <w:r w:rsidRPr="004C5327">
        <w:rPr>
          <w:rFonts w:ascii="Verdana" w:hAnsi="Verdana"/>
          <w:sz w:val="16"/>
          <w:szCs w:val="16"/>
        </w:rPr>
        <w:t xml:space="preserve"> (accessed 06 January 2019). </w:t>
      </w:r>
    </w:p>
  </w:footnote>
  <w:footnote w:id="121">
    <w:p w14:paraId="3F889F76"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Style w:val="Hyperlink"/>
          <w:rFonts w:ascii="Verdana" w:hAnsi="Verdana"/>
          <w:color w:val="auto"/>
          <w:sz w:val="16"/>
          <w:szCs w:val="16"/>
          <w:u w:val="none"/>
        </w:rPr>
        <w:t>Ibid</w:t>
      </w:r>
      <w:r w:rsidRPr="00D55B2B">
        <w:rPr>
          <w:rFonts w:ascii="Verdana" w:hAnsi="Verdana"/>
          <w:sz w:val="16"/>
          <w:szCs w:val="16"/>
        </w:rPr>
        <w:t xml:space="preserve">. para 50. </w:t>
      </w:r>
    </w:p>
  </w:footnote>
  <w:footnote w:id="122">
    <w:p w14:paraId="775A4A34"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 para 82.</w:t>
      </w:r>
      <w:r w:rsidRPr="00D55B2B" w:rsidDel="00E952FC">
        <w:rPr>
          <w:rFonts w:ascii="Verdana" w:hAnsi="Verdana"/>
          <w:sz w:val="16"/>
          <w:szCs w:val="16"/>
        </w:rPr>
        <w:t xml:space="preserve"> </w:t>
      </w:r>
    </w:p>
  </w:footnote>
  <w:footnote w:id="123">
    <w:p w14:paraId="5DDDB303"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Hasselbacher, above n. 83.</w:t>
      </w:r>
    </w:p>
  </w:footnote>
  <w:footnote w:id="124">
    <w:p w14:paraId="1D295953" w14:textId="77777777" w:rsidR="00A777AC" w:rsidRPr="00482D3B" w:rsidRDefault="00A777AC" w:rsidP="00D55B2B">
      <w:pPr>
        <w:pStyle w:val="FootnoteText"/>
        <w:spacing w:line="360" w:lineRule="auto"/>
        <w:rPr>
          <w:rFonts w:ascii="Verdana" w:hAnsi="Verdana"/>
          <w:sz w:val="16"/>
          <w:szCs w:val="16"/>
          <w:lang w:val="en-GB"/>
        </w:rPr>
      </w:pPr>
      <w:r w:rsidRPr="00482D3B">
        <w:rPr>
          <w:rStyle w:val="FootnoteReference"/>
          <w:rFonts w:ascii="Verdana" w:hAnsi="Verdana"/>
          <w:sz w:val="16"/>
          <w:szCs w:val="16"/>
        </w:rPr>
        <w:footnoteRef/>
      </w:r>
      <w:r w:rsidRPr="00482D3B">
        <w:rPr>
          <w:rFonts w:ascii="Verdana" w:hAnsi="Verdana"/>
          <w:sz w:val="16"/>
          <w:szCs w:val="16"/>
        </w:rPr>
        <w:t xml:space="preserve"> </w:t>
      </w:r>
      <w:r w:rsidRPr="00482D3B">
        <w:rPr>
          <w:rFonts w:ascii="Verdana" w:hAnsi="Verdana"/>
          <w:i/>
          <w:sz w:val="16"/>
          <w:szCs w:val="16"/>
        </w:rPr>
        <w:t>Opuz v Turkey</w:t>
      </w:r>
      <w:r w:rsidRPr="00482D3B">
        <w:rPr>
          <w:rFonts w:ascii="Verdana" w:hAnsi="Verdana"/>
          <w:sz w:val="16"/>
          <w:szCs w:val="16"/>
        </w:rPr>
        <w:t xml:space="preserve"> </w:t>
      </w:r>
      <w:r>
        <w:rPr>
          <w:rFonts w:ascii="Verdana" w:hAnsi="Verdana"/>
          <w:sz w:val="16"/>
          <w:szCs w:val="16"/>
        </w:rPr>
        <w:t>App no</w:t>
      </w:r>
      <w:r w:rsidRPr="00482D3B">
        <w:rPr>
          <w:rFonts w:ascii="Verdana" w:hAnsi="Verdana"/>
          <w:sz w:val="16"/>
          <w:szCs w:val="16"/>
        </w:rPr>
        <w:t xml:space="preserve"> 33401/02 (ECtHR, 9 June 2009) at [145].</w:t>
      </w:r>
      <w:r>
        <w:rPr>
          <w:rFonts w:ascii="Verdana" w:hAnsi="Verdana"/>
          <w:sz w:val="16"/>
          <w:szCs w:val="16"/>
        </w:rPr>
        <w:t xml:space="preserve"> </w:t>
      </w:r>
      <w:r w:rsidRPr="00BC44B0">
        <w:rPr>
          <w:rFonts w:ascii="Verdana" w:hAnsi="Verdana"/>
          <w:sz w:val="16"/>
          <w:szCs w:val="16"/>
        </w:rPr>
        <w:t>T</w:t>
      </w:r>
      <w:r>
        <w:rPr>
          <w:rFonts w:ascii="Verdana" w:hAnsi="Verdana"/>
          <w:sz w:val="16"/>
          <w:szCs w:val="16"/>
        </w:rPr>
        <w:t xml:space="preserve">he judgment can be accessed at: </w:t>
      </w:r>
      <w:hyperlink r:id="rId24" w:history="1">
        <w:r w:rsidRPr="00F53B83">
          <w:rPr>
            <w:rStyle w:val="Hyperlink"/>
            <w:rFonts w:ascii="Verdana" w:hAnsi="Verdana"/>
            <w:sz w:val="16"/>
            <w:szCs w:val="16"/>
          </w:rPr>
          <w:t>http://www.bailii.org/eu/cases/ECHR/2009/870.html</w:t>
        </w:r>
      </w:hyperlink>
      <w:r>
        <w:rPr>
          <w:rFonts w:ascii="Verdana" w:hAnsi="Verdana"/>
          <w:sz w:val="16"/>
          <w:szCs w:val="16"/>
        </w:rPr>
        <w:t xml:space="preserve"> (accessed 07 January 2019). </w:t>
      </w:r>
    </w:p>
  </w:footnote>
  <w:footnote w:id="125">
    <w:p w14:paraId="565499D2" w14:textId="77777777" w:rsidR="00A777AC" w:rsidRPr="00D55B2B" w:rsidRDefault="00A777AC" w:rsidP="00D55B2B">
      <w:pPr>
        <w:pStyle w:val="FootnoteText"/>
        <w:spacing w:line="360" w:lineRule="auto"/>
        <w:rPr>
          <w:rFonts w:ascii="Verdana" w:hAnsi="Verdana"/>
          <w:sz w:val="16"/>
          <w:szCs w:val="16"/>
          <w:lang w:val="en-GB"/>
        </w:rPr>
      </w:pPr>
      <w:r w:rsidRPr="00482D3B">
        <w:rPr>
          <w:rStyle w:val="FootnoteReference"/>
          <w:rFonts w:ascii="Verdana" w:hAnsi="Verdana"/>
          <w:sz w:val="16"/>
          <w:szCs w:val="16"/>
        </w:rPr>
        <w:footnoteRef/>
      </w:r>
      <w:r w:rsidRPr="00482D3B">
        <w:rPr>
          <w:rFonts w:ascii="Verdana" w:hAnsi="Verdana"/>
          <w:sz w:val="16"/>
          <w:szCs w:val="16"/>
        </w:rPr>
        <w:t xml:space="preserve"> Ibid. at [149].</w:t>
      </w:r>
      <w:r w:rsidRPr="00D55B2B">
        <w:rPr>
          <w:rFonts w:ascii="Verdana" w:hAnsi="Verdana"/>
          <w:sz w:val="16"/>
          <w:szCs w:val="16"/>
        </w:rPr>
        <w:t xml:space="preserve"> </w:t>
      </w:r>
    </w:p>
  </w:footnote>
  <w:footnote w:id="126">
    <w:p w14:paraId="069DF0DF" w14:textId="77777777" w:rsidR="00A777AC" w:rsidRPr="00D55B2B" w:rsidRDefault="00A777AC" w:rsidP="00D55B2B">
      <w:pPr>
        <w:pStyle w:val="Heading1"/>
        <w:shd w:val="clear" w:color="auto" w:fill="FFFFFF"/>
        <w:spacing w:before="0" w:after="60" w:line="360" w:lineRule="auto"/>
        <w:ind w:right="240"/>
        <w:rPr>
          <w:rFonts w:ascii="Verdana" w:hAnsi="Verdana" w:cs="Times New Roman"/>
          <w:color w:val="auto"/>
          <w:sz w:val="16"/>
          <w:szCs w:val="16"/>
          <w:lang w:val="en-GB"/>
        </w:rPr>
      </w:pPr>
      <w:r w:rsidRPr="00D55B2B">
        <w:rPr>
          <w:rStyle w:val="FootnoteReference"/>
          <w:rFonts w:ascii="Verdana" w:hAnsi="Verdana" w:cs="Times New Roman"/>
          <w:color w:val="auto"/>
          <w:sz w:val="16"/>
          <w:szCs w:val="16"/>
        </w:rPr>
        <w:footnoteRef/>
      </w:r>
      <w:r w:rsidRPr="00D55B2B">
        <w:rPr>
          <w:rFonts w:ascii="Verdana" w:hAnsi="Verdana" w:cs="Times New Roman"/>
          <w:color w:val="auto"/>
          <w:sz w:val="16"/>
          <w:szCs w:val="16"/>
        </w:rPr>
        <w:t xml:space="preserve"> S. </w:t>
      </w:r>
      <w:r w:rsidRPr="00D55B2B">
        <w:rPr>
          <w:rFonts w:ascii="Verdana" w:hAnsi="Verdana" w:cs="Times New Roman"/>
          <w:color w:val="auto"/>
          <w:sz w:val="16"/>
          <w:szCs w:val="16"/>
          <w:lang w:val="en-GB"/>
        </w:rPr>
        <w:t>Graca, ‘</w:t>
      </w:r>
      <w:r w:rsidRPr="00D55B2B">
        <w:rPr>
          <w:rFonts w:ascii="Verdana" w:hAnsi="Verdana" w:cs="Times New Roman"/>
          <w:color w:val="auto"/>
          <w:sz w:val="16"/>
          <w:szCs w:val="16"/>
        </w:rPr>
        <w:t xml:space="preserve">Domestic violence policy and legislation in the UK: a discussion of immigrant women's vulnerabilities’ (2017) 23(1) </w:t>
      </w:r>
      <w:r w:rsidRPr="00D55B2B">
        <w:rPr>
          <w:rFonts w:ascii="Verdana" w:hAnsi="Verdana" w:cs="Times New Roman"/>
          <w:i/>
          <w:color w:val="auto"/>
          <w:sz w:val="16"/>
          <w:szCs w:val="16"/>
        </w:rPr>
        <w:t>European Journal of Current Legal Issues</w:t>
      </w:r>
      <w:r w:rsidRPr="00D55B2B">
        <w:rPr>
          <w:rFonts w:ascii="Verdana" w:hAnsi="Verdana" w:cs="Times New Roman"/>
          <w:color w:val="auto"/>
          <w:sz w:val="16"/>
          <w:szCs w:val="16"/>
        </w:rPr>
        <w:t xml:space="preserve">. Available at: http://webjcli.org/article/view/531/715 (accessed 06 January 2019). </w:t>
      </w:r>
    </w:p>
  </w:footnote>
  <w:footnote w:id="127">
    <w:p w14:paraId="742E5DD8"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HM Government, above n. 4. </w:t>
      </w:r>
    </w:p>
  </w:footnote>
  <w:footnote w:id="128">
    <w:p w14:paraId="31D32892" w14:textId="77777777" w:rsidR="00A777AC" w:rsidRPr="0060450D" w:rsidRDefault="00A777AC">
      <w:pPr>
        <w:pStyle w:val="FootnoteText"/>
        <w:rPr>
          <w:lang w:val="en-GB"/>
        </w:rPr>
      </w:pPr>
      <w:r>
        <w:rPr>
          <w:rStyle w:val="FootnoteReference"/>
        </w:rPr>
        <w:footnoteRef/>
      </w:r>
      <w:r>
        <w:t xml:space="preserve"> See HM Government, above n.62</w:t>
      </w:r>
    </w:p>
  </w:footnote>
  <w:footnote w:id="129">
    <w:p w14:paraId="0CC841AF"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130">
    <w:p w14:paraId="798C857A"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A. Gill and S. Anitha, ‘The Illusion of Protection: an analysis of forced marriage legislation and policy in the UK’ (2009) 31(3) </w:t>
      </w:r>
      <w:r w:rsidRPr="00D55B2B">
        <w:rPr>
          <w:rFonts w:ascii="Verdana" w:hAnsi="Verdana"/>
          <w:i/>
          <w:sz w:val="16"/>
          <w:szCs w:val="16"/>
        </w:rPr>
        <w:t>Journal of Social Welfare and Family Law</w:t>
      </w:r>
      <w:r w:rsidRPr="00D55B2B">
        <w:rPr>
          <w:rFonts w:ascii="Verdana" w:hAnsi="Verdana"/>
          <w:sz w:val="16"/>
          <w:szCs w:val="16"/>
        </w:rPr>
        <w:t xml:space="preserve">, 257 – 269. </w:t>
      </w:r>
    </w:p>
  </w:footnote>
  <w:footnote w:id="131">
    <w:p w14:paraId="1EE98E49" w14:textId="6630798C" w:rsidR="00A777AC" w:rsidRPr="00D55B2B" w:rsidRDefault="00A777AC" w:rsidP="00D55B2B">
      <w:pPr>
        <w:pStyle w:val="FootnoteText"/>
        <w:spacing w:line="360" w:lineRule="auto"/>
        <w:rPr>
          <w:rFonts w:ascii="Verdana" w:hAnsi="Verdana"/>
          <w:sz w:val="16"/>
          <w:szCs w:val="16"/>
          <w:lang w:val="en-GB"/>
        </w:rPr>
      </w:pPr>
      <w:r w:rsidRPr="0060450D">
        <w:rPr>
          <w:rStyle w:val="FootnoteReference"/>
          <w:rFonts w:ascii="Verdana" w:hAnsi="Verdana"/>
          <w:sz w:val="16"/>
          <w:szCs w:val="16"/>
        </w:rPr>
        <w:footnoteRef/>
      </w:r>
      <w:r w:rsidRPr="0060450D">
        <w:rPr>
          <w:rFonts w:ascii="Verdana" w:hAnsi="Verdana"/>
          <w:sz w:val="16"/>
          <w:szCs w:val="16"/>
        </w:rPr>
        <w:t xml:space="preserve"> See </w:t>
      </w:r>
      <w:r w:rsidRPr="0060450D">
        <w:rPr>
          <w:rFonts w:ascii="Verdana" w:hAnsi="Verdana"/>
          <w:sz w:val="16"/>
          <w:szCs w:val="16"/>
          <w:lang w:val="en-GB"/>
        </w:rPr>
        <w:t xml:space="preserve">Law Commission, above n. 11 </w:t>
      </w:r>
    </w:p>
  </w:footnote>
  <w:footnote w:id="132">
    <w:p w14:paraId="01044ED4"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Anna Moore, “I miss him so much”: why did a devoted wife kill the man she loved?’ </w:t>
      </w:r>
      <w:r w:rsidRPr="00D55B2B">
        <w:rPr>
          <w:rFonts w:ascii="Verdana" w:hAnsi="Verdana"/>
          <w:i/>
          <w:sz w:val="16"/>
          <w:szCs w:val="16"/>
        </w:rPr>
        <w:t>The Guardian</w:t>
      </w:r>
      <w:r w:rsidRPr="00D55B2B">
        <w:rPr>
          <w:rFonts w:ascii="Verdana" w:hAnsi="Verdana"/>
          <w:sz w:val="16"/>
          <w:szCs w:val="16"/>
        </w:rPr>
        <w:t xml:space="preserve"> (29 September 2018). Available at: https://www.theguardian.com/uk-news/2018/sep/29/devoted-wife-who-killed-husband-with-hammer-sally-challen (accessed 06 January 2019). </w:t>
      </w:r>
    </w:p>
  </w:footnote>
  <w:footnote w:id="133">
    <w:p w14:paraId="1D50D95C" w14:textId="77777777" w:rsidR="00A777AC" w:rsidRPr="0060450D" w:rsidRDefault="00A777AC">
      <w:pPr>
        <w:pStyle w:val="FootnoteText"/>
        <w:rPr>
          <w:rFonts w:ascii="Verdana" w:hAnsi="Verdana"/>
          <w:sz w:val="16"/>
          <w:szCs w:val="16"/>
          <w:lang w:val="en-GB"/>
        </w:rPr>
      </w:pPr>
      <w:r w:rsidRPr="0060450D">
        <w:rPr>
          <w:rStyle w:val="FootnoteReference"/>
          <w:rFonts w:ascii="Verdana" w:hAnsi="Verdana"/>
          <w:sz w:val="16"/>
          <w:szCs w:val="16"/>
        </w:rPr>
        <w:footnoteRef/>
      </w:r>
      <w:r w:rsidRPr="0060450D">
        <w:rPr>
          <w:rFonts w:ascii="Verdana" w:hAnsi="Verdana"/>
          <w:sz w:val="16"/>
          <w:szCs w:val="16"/>
        </w:rPr>
        <w:t xml:space="preserve"> </w:t>
      </w:r>
      <w:r w:rsidRPr="00906B0F">
        <w:rPr>
          <w:rFonts w:ascii="Verdana" w:hAnsi="Verdana"/>
          <w:sz w:val="16"/>
          <w:szCs w:val="16"/>
          <w:lang w:val="en-GB"/>
        </w:rPr>
        <w:t xml:space="preserve">Cited in V. </w:t>
      </w:r>
      <w:r w:rsidRPr="005B54C7">
        <w:rPr>
          <w:rFonts w:ascii="Verdana" w:hAnsi="Verdana"/>
          <w:sz w:val="16"/>
          <w:szCs w:val="16"/>
          <w:lang w:val="en-GB"/>
        </w:rPr>
        <w:t>Bettinson ‘</w:t>
      </w:r>
      <w:r w:rsidRPr="00F2347B">
        <w:rPr>
          <w:rFonts w:ascii="Verdana" w:hAnsi="Verdana"/>
          <w:sz w:val="16"/>
          <w:szCs w:val="16"/>
          <w:lang w:val="en-GB"/>
        </w:rPr>
        <w:t>Aligning Par</w:t>
      </w:r>
      <w:r w:rsidRPr="00640D2D">
        <w:rPr>
          <w:rFonts w:ascii="Verdana" w:hAnsi="Verdana"/>
          <w:sz w:val="16"/>
          <w:szCs w:val="16"/>
          <w:lang w:val="en-GB"/>
        </w:rPr>
        <w:t>tial Defences to Murder with the Offence of Coercive and Controlling Behaviour’ (</w:t>
      </w:r>
      <w:r w:rsidRPr="00F9565C">
        <w:rPr>
          <w:rFonts w:ascii="Verdana" w:hAnsi="Verdana"/>
          <w:sz w:val="16"/>
          <w:szCs w:val="16"/>
          <w:lang w:val="en-GB"/>
        </w:rPr>
        <w:t xml:space="preserve">2019) 83(1) </w:t>
      </w:r>
      <w:r w:rsidRPr="0060450D">
        <w:rPr>
          <w:rFonts w:ascii="Verdana" w:hAnsi="Verdana"/>
          <w:i/>
          <w:sz w:val="16"/>
          <w:szCs w:val="16"/>
          <w:lang w:val="en-GB"/>
        </w:rPr>
        <w:t>The Journal of Criminal Law</w:t>
      </w:r>
      <w:r w:rsidRPr="00906B0F">
        <w:rPr>
          <w:rFonts w:ascii="Verdana" w:hAnsi="Verdana"/>
          <w:sz w:val="16"/>
          <w:szCs w:val="16"/>
          <w:lang w:val="en-GB"/>
        </w:rPr>
        <w:t xml:space="preserve"> 71-86</w:t>
      </w:r>
    </w:p>
  </w:footnote>
  <w:footnote w:id="134">
    <w:p w14:paraId="7E9DB973" w14:textId="77777777" w:rsidR="00A777AC" w:rsidRPr="0060450D" w:rsidRDefault="00A777AC">
      <w:pPr>
        <w:pStyle w:val="FootnoteText"/>
        <w:rPr>
          <w:lang w:val="en-GB"/>
        </w:rPr>
      </w:pPr>
      <w:r>
        <w:rPr>
          <w:rStyle w:val="FootnoteReference"/>
        </w:rPr>
        <w:footnoteRef/>
      </w:r>
      <w:r>
        <w:t xml:space="preserve"> R v Challen [2018] EWCA Crim 471</w:t>
      </w:r>
    </w:p>
  </w:footnote>
  <w:footnote w:id="135">
    <w:p w14:paraId="03E05D94" w14:textId="6CB3D217" w:rsidR="00A777AC" w:rsidRPr="0060450D" w:rsidRDefault="00A777AC">
      <w:pPr>
        <w:pStyle w:val="FootnoteText"/>
        <w:rPr>
          <w:rFonts w:ascii="Verdana" w:hAnsi="Verdana"/>
          <w:sz w:val="16"/>
          <w:szCs w:val="16"/>
        </w:rPr>
      </w:pPr>
      <w:r w:rsidRPr="0060450D">
        <w:rPr>
          <w:rStyle w:val="FootnoteReference"/>
          <w:rFonts w:ascii="Verdana" w:hAnsi="Verdana"/>
          <w:sz w:val="16"/>
          <w:szCs w:val="16"/>
        </w:rPr>
        <w:footnoteRef/>
      </w:r>
      <w:r w:rsidRPr="0060450D">
        <w:rPr>
          <w:rFonts w:ascii="Verdana" w:hAnsi="Verdana"/>
          <w:sz w:val="16"/>
          <w:szCs w:val="16"/>
        </w:rPr>
        <w:t xml:space="preserve"> </w:t>
      </w:r>
      <w:r w:rsidRPr="00906B0F">
        <w:rPr>
          <w:rFonts w:ascii="Verdana" w:hAnsi="Verdana"/>
          <w:sz w:val="16"/>
          <w:szCs w:val="16"/>
          <w:lang w:val="en-GB"/>
        </w:rPr>
        <w:t xml:space="preserve">Cited in V. </w:t>
      </w:r>
      <w:r w:rsidRPr="005B54C7">
        <w:rPr>
          <w:rFonts w:ascii="Verdana" w:hAnsi="Verdana"/>
          <w:sz w:val="16"/>
          <w:szCs w:val="16"/>
          <w:lang w:val="en-GB"/>
        </w:rPr>
        <w:t>Bettinson ‘</w:t>
      </w:r>
      <w:r w:rsidRPr="00F2347B">
        <w:rPr>
          <w:rFonts w:ascii="Verdana" w:hAnsi="Verdana"/>
          <w:sz w:val="16"/>
          <w:szCs w:val="16"/>
          <w:lang w:val="en-GB"/>
        </w:rPr>
        <w:t>Aligning Par</w:t>
      </w:r>
      <w:r w:rsidRPr="00640D2D">
        <w:rPr>
          <w:rFonts w:ascii="Verdana" w:hAnsi="Verdana"/>
          <w:sz w:val="16"/>
          <w:szCs w:val="16"/>
          <w:lang w:val="en-GB"/>
        </w:rPr>
        <w:t>tial Defences to Murder with the Offence of Coercive and Controlling Behaviour’ (</w:t>
      </w:r>
      <w:r w:rsidRPr="00F9565C">
        <w:rPr>
          <w:rFonts w:ascii="Verdana" w:hAnsi="Verdana"/>
          <w:sz w:val="16"/>
          <w:szCs w:val="16"/>
          <w:lang w:val="en-GB"/>
        </w:rPr>
        <w:t xml:space="preserve">2019) 83(1) </w:t>
      </w:r>
      <w:r w:rsidRPr="00E535D8">
        <w:rPr>
          <w:rFonts w:ascii="Verdana" w:hAnsi="Verdana"/>
          <w:i/>
          <w:sz w:val="16"/>
          <w:szCs w:val="16"/>
          <w:lang w:val="en-GB"/>
        </w:rPr>
        <w:t>The Journal of Criminal Law</w:t>
      </w:r>
      <w:r w:rsidRPr="00906B0F">
        <w:rPr>
          <w:rFonts w:ascii="Verdana" w:hAnsi="Verdana"/>
          <w:sz w:val="16"/>
          <w:szCs w:val="16"/>
          <w:lang w:val="en-GB"/>
        </w:rPr>
        <w:t xml:space="preserve"> 71-86</w:t>
      </w:r>
    </w:p>
  </w:footnote>
  <w:footnote w:id="136">
    <w:p w14:paraId="5172A05A" w14:textId="77777777" w:rsidR="00A777AC" w:rsidRPr="00906B0F" w:rsidRDefault="00A777AC">
      <w:pPr>
        <w:pStyle w:val="FootnoteText"/>
      </w:pPr>
      <w:r w:rsidRPr="0060450D">
        <w:rPr>
          <w:rStyle w:val="FootnoteReference"/>
          <w:rFonts w:ascii="Verdana" w:hAnsi="Verdana"/>
          <w:sz w:val="16"/>
          <w:szCs w:val="16"/>
        </w:rPr>
        <w:footnoteRef/>
      </w:r>
      <w:r w:rsidRPr="0060450D">
        <w:rPr>
          <w:rFonts w:ascii="Verdana" w:hAnsi="Verdana"/>
          <w:sz w:val="16"/>
          <w:szCs w:val="16"/>
        </w:rPr>
        <w:t xml:space="preserve"> Ibid.</w:t>
      </w:r>
      <w:r>
        <w:t xml:space="preserve"> </w:t>
      </w:r>
    </w:p>
  </w:footnote>
  <w:footnote w:id="137">
    <w:p w14:paraId="357E6F44" w14:textId="77777777" w:rsidR="00A777AC" w:rsidRPr="00D55B2B" w:rsidRDefault="00A777AC" w:rsidP="00D55B2B">
      <w:pPr>
        <w:pStyle w:val="FootnoteText"/>
        <w:spacing w:line="360" w:lineRule="auto"/>
        <w:jc w:val="both"/>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ANNA – Centre for the Prevention of Violence, above n. 13. </w:t>
      </w:r>
    </w:p>
  </w:footnote>
  <w:footnote w:id="138">
    <w:p w14:paraId="4E7F63FC" w14:textId="77777777" w:rsidR="00A777AC" w:rsidRPr="00D55B2B" w:rsidRDefault="00A777AC" w:rsidP="00D55B2B">
      <w:pPr>
        <w:pStyle w:val="FootnoteText"/>
        <w:spacing w:line="360" w:lineRule="auto"/>
        <w:jc w:val="both"/>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139">
    <w:p w14:paraId="082BA40D" w14:textId="77777777" w:rsidR="00A777AC" w:rsidRPr="0060450D" w:rsidRDefault="00A777AC">
      <w:pPr>
        <w:pStyle w:val="FootnoteText"/>
        <w:rPr>
          <w:rFonts w:ascii="Verdana" w:hAnsi="Verdana"/>
          <w:sz w:val="16"/>
          <w:szCs w:val="16"/>
        </w:rPr>
      </w:pPr>
      <w:r w:rsidRPr="0060450D">
        <w:rPr>
          <w:rStyle w:val="FootnoteReference"/>
          <w:rFonts w:ascii="Verdana" w:hAnsi="Verdana"/>
          <w:sz w:val="16"/>
          <w:szCs w:val="16"/>
        </w:rPr>
        <w:footnoteRef/>
      </w:r>
      <w:r w:rsidRPr="0060450D">
        <w:rPr>
          <w:rFonts w:ascii="Verdana" w:hAnsi="Verdana"/>
          <w:sz w:val="16"/>
          <w:szCs w:val="16"/>
        </w:rPr>
        <w:t xml:space="preserve"> </w:t>
      </w:r>
      <w:r w:rsidRPr="0060450D">
        <w:rPr>
          <w:rFonts w:ascii="Verdana" w:eastAsiaTheme="minorHAnsi" w:hAnsi="Verdana" w:cs="AdvP7B6C"/>
          <w:sz w:val="16"/>
          <w:szCs w:val="16"/>
          <w:lang w:val="en-GB"/>
        </w:rPr>
        <w:t xml:space="preserve">A Ashworth, ‘Is the Criminal Law a Lost Cause?’ (2000) 116 </w:t>
      </w:r>
      <w:r w:rsidRPr="0060450D">
        <w:rPr>
          <w:rFonts w:ascii="Verdana" w:eastAsiaTheme="minorHAnsi" w:hAnsi="Verdana" w:cs="AdvP7B72"/>
          <w:i/>
          <w:sz w:val="16"/>
          <w:szCs w:val="16"/>
          <w:lang w:val="en-GB"/>
        </w:rPr>
        <w:t xml:space="preserve">Law Quarterly Review </w:t>
      </w:r>
      <w:r w:rsidRPr="0060450D">
        <w:rPr>
          <w:rFonts w:ascii="Verdana" w:eastAsiaTheme="minorHAnsi" w:hAnsi="Verdana" w:cs="AdvP7B6C"/>
          <w:sz w:val="16"/>
          <w:szCs w:val="16"/>
          <w:lang w:val="en-GB"/>
        </w:rPr>
        <w:t>225, 226.</w:t>
      </w:r>
    </w:p>
  </w:footnote>
  <w:footnote w:id="140">
    <w:p w14:paraId="0D41309C" w14:textId="77777777" w:rsidR="00A777AC" w:rsidRPr="0060450D" w:rsidRDefault="00A777AC">
      <w:pPr>
        <w:pStyle w:val="FootnoteText"/>
        <w:rPr>
          <w:rFonts w:ascii="Verdana" w:hAnsi="Verdana"/>
          <w:sz w:val="16"/>
          <w:szCs w:val="16"/>
        </w:rPr>
      </w:pPr>
      <w:r>
        <w:rPr>
          <w:rStyle w:val="FootnoteReference"/>
        </w:rPr>
        <w:footnoteRef/>
      </w:r>
      <w:r>
        <w:t xml:space="preserve"> </w:t>
      </w:r>
      <w:r>
        <w:rPr>
          <w:rFonts w:ascii="Verdana" w:hAnsi="Verdana"/>
          <w:sz w:val="16"/>
          <w:szCs w:val="16"/>
        </w:rPr>
        <w:t xml:space="preserve">T Crofts and T Kichengast ‘A Ladder Approach to Criminalising Revenge Pornography’ </w:t>
      </w:r>
      <w:r w:rsidRPr="007F0A10">
        <w:rPr>
          <w:rFonts w:ascii="Verdana" w:hAnsi="Verdana"/>
          <w:sz w:val="16"/>
          <w:szCs w:val="16"/>
          <w:lang w:val="en-GB"/>
        </w:rPr>
        <w:t xml:space="preserve">(2019) 83(1) </w:t>
      </w:r>
      <w:r w:rsidRPr="007F0A10">
        <w:rPr>
          <w:rFonts w:ascii="Verdana" w:hAnsi="Verdana"/>
          <w:i/>
          <w:sz w:val="16"/>
          <w:szCs w:val="16"/>
          <w:lang w:val="en-GB"/>
        </w:rPr>
        <w:t>The Journal of Criminal Law</w:t>
      </w:r>
      <w:r w:rsidRPr="007F0A10">
        <w:rPr>
          <w:rFonts w:ascii="Verdana" w:hAnsi="Verdana"/>
          <w:sz w:val="16"/>
          <w:szCs w:val="16"/>
          <w:lang w:val="en-GB"/>
        </w:rPr>
        <w:t xml:space="preserve"> </w:t>
      </w:r>
      <w:r>
        <w:rPr>
          <w:rFonts w:ascii="Verdana" w:hAnsi="Verdana"/>
          <w:sz w:val="16"/>
          <w:szCs w:val="16"/>
          <w:lang w:val="en-GB"/>
        </w:rPr>
        <w:t>87-103.</w:t>
      </w:r>
    </w:p>
  </w:footnote>
  <w:footnote w:id="141">
    <w:p w14:paraId="18F298C1" w14:textId="498F9B37" w:rsidR="00A777AC" w:rsidRPr="00D55B2B" w:rsidRDefault="00A777AC" w:rsidP="00D55B2B">
      <w:pPr>
        <w:pStyle w:val="FootnoteText"/>
        <w:spacing w:line="360" w:lineRule="auto"/>
        <w:rPr>
          <w:rFonts w:ascii="Verdana" w:hAnsi="Verdana"/>
          <w:sz w:val="16"/>
          <w:szCs w:val="16"/>
          <w:lang w:val="en-GB"/>
        </w:rPr>
      </w:pPr>
      <w:r w:rsidRPr="0060450D">
        <w:rPr>
          <w:rStyle w:val="FootnoteReference"/>
          <w:rFonts w:ascii="Verdana" w:hAnsi="Verdana"/>
          <w:sz w:val="16"/>
          <w:szCs w:val="16"/>
        </w:rPr>
        <w:footnoteRef/>
      </w:r>
      <w:r w:rsidRPr="0060450D">
        <w:rPr>
          <w:rFonts w:ascii="Verdana" w:hAnsi="Verdana"/>
          <w:sz w:val="16"/>
          <w:szCs w:val="16"/>
        </w:rPr>
        <w:t xml:space="preserve"> </w:t>
      </w:r>
      <w:r w:rsidRPr="0060450D">
        <w:rPr>
          <w:rFonts w:ascii="Verdana" w:hAnsi="Verdana"/>
          <w:sz w:val="16"/>
          <w:szCs w:val="16"/>
          <w:lang w:val="en-GB"/>
        </w:rPr>
        <w:t>See Human Rights Watch, above at n. 91</w:t>
      </w:r>
      <w:r w:rsidRPr="00D55B2B">
        <w:rPr>
          <w:rFonts w:ascii="Verdana" w:hAnsi="Verdana"/>
          <w:sz w:val="16"/>
          <w:szCs w:val="16"/>
          <w:lang w:val="en-GB"/>
        </w:rPr>
        <w:t xml:space="preserve"> </w:t>
      </w:r>
    </w:p>
  </w:footnote>
  <w:footnote w:id="142">
    <w:p w14:paraId="2DDAF3EA"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This has been recognised in a Storyville documentary: ‘Russia’s Toughest Prison: The Condemned’ which is available on BBC iPlayer. </w:t>
      </w:r>
    </w:p>
  </w:footnote>
  <w:footnote w:id="143">
    <w:p w14:paraId="5804D632"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E. Hitchings, ‘A Consequence of Blurring the Boundaries Less Choice for the Victims of Domestic Violence?’ (2006) 5(1) 91-101; J. </w:t>
      </w:r>
      <w:r w:rsidRPr="00D55B2B">
        <w:rPr>
          <w:rFonts w:ascii="Verdana" w:hAnsi="Verdana"/>
          <w:sz w:val="16"/>
          <w:szCs w:val="16"/>
          <w:lang w:val="en"/>
        </w:rPr>
        <w:t>Herman, ‘Trauma and Recovery: From Domestic Abuse to Political Terror’(New York: Basic Books 1992)</w:t>
      </w:r>
    </w:p>
  </w:footnote>
  <w:footnote w:id="144">
    <w:p w14:paraId="4C9A1375"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D. Hirschel and I. Hutchinson, ‘</w:t>
      </w:r>
      <w:r w:rsidRPr="00D55B2B">
        <w:rPr>
          <w:rFonts w:ascii="Verdana" w:eastAsiaTheme="minorHAnsi" w:hAnsi="Verdana"/>
          <w:bCs/>
          <w:sz w:val="16"/>
          <w:szCs w:val="16"/>
          <w:lang w:val="en-GB"/>
        </w:rPr>
        <w:t xml:space="preserve">The Voices of Domestic Violence Victims: Predictors of Victim Preference for Arrest and the Relationship Between Preference for Arrest and Revictimization’ (2003) 49(2) Journal of Crime and Delinquency, 313-336. </w:t>
      </w:r>
    </w:p>
  </w:footnote>
  <w:footnote w:id="145">
    <w:p w14:paraId="4DE93A6F"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Home Office, above n. 9 at 17. </w:t>
      </w:r>
    </w:p>
  </w:footnote>
  <w:footnote w:id="146">
    <w:p w14:paraId="07738061"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Anna Mikhailova, ‘Theresa May pledges to tighten the law on “gaslighting” abuse’ </w:t>
      </w:r>
      <w:r w:rsidRPr="00D55B2B">
        <w:rPr>
          <w:rFonts w:ascii="Verdana" w:hAnsi="Verdana"/>
          <w:i/>
          <w:sz w:val="16"/>
          <w:szCs w:val="16"/>
        </w:rPr>
        <w:t>The Telegraph</w:t>
      </w:r>
      <w:r w:rsidRPr="00D55B2B">
        <w:rPr>
          <w:rFonts w:ascii="Verdana" w:hAnsi="Verdana"/>
          <w:sz w:val="16"/>
          <w:szCs w:val="16"/>
        </w:rPr>
        <w:t xml:space="preserve"> (23 May 2018). Available at: https://www.telegraph.co.uk/politics/2018/05/23/theresa-may-pledges-tighten-law-gaslighting-abuse/ (accessed 06 January 2019). </w:t>
      </w:r>
    </w:p>
  </w:footnote>
  <w:footnote w:id="147">
    <w:p w14:paraId="7510CAB9" w14:textId="25426553" w:rsidR="00A777AC" w:rsidRPr="00D55B2B" w:rsidRDefault="00A777AC" w:rsidP="00D55B2B">
      <w:pPr>
        <w:pStyle w:val="FootnoteText"/>
        <w:spacing w:line="360" w:lineRule="auto"/>
        <w:rPr>
          <w:rFonts w:ascii="Verdana" w:hAnsi="Verdana"/>
          <w:sz w:val="16"/>
          <w:szCs w:val="16"/>
        </w:rPr>
      </w:pPr>
      <w:r w:rsidRPr="0060450D">
        <w:rPr>
          <w:rStyle w:val="FootnoteReference"/>
          <w:rFonts w:ascii="Verdana" w:hAnsi="Verdana"/>
          <w:sz w:val="16"/>
          <w:szCs w:val="16"/>
        </w:rPr>
        <w:footnoteRef/>
      </w:r>
      <w:r w:rsidRPr="0060450D">
        <w:rPr>
          <w:rFonts w:ascii="Verdana" w:hAnsi="Verdana"/>
          <w:sz w:val="16"/>
          <w:szCs w:val="16"/>
        </w:rPr>
        <w:t xml:space="preserve"> See Home Office, above at n. 9</w:t>
      </w:r>
      <w:r w:rsidRPr="00D55B2B">
        <w:rPr>
          <w:rFonts w:ascii="Verdana" w:hAnsi="Verdana"/>
          <w:sz w:val="16"/>
          <w:szCs w:val="16"/>
        </w:rPr>
        <w:t xml:space="preserve"> </w:t>
      </w:r>
    </w:p>
  </w:footnote>
  <w:footnote w:id="148">
    <w:p w14:paraId="203E11F8"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Home Office, ‘Guidance for the Police use of Body-worn Video Devices’ (2007). Available at: http://library.college.police.uk/docs/homeoffice/guidance-body-worn-devices.pdf (accessed 06 January 2019). </w:t>
      </w:r>
    </w:p>
  </w:footnote>
  <w:footnote w:id="149">
    <w:p w14:paraId="08442D31" w14:textId="77777777" w:rsidR="00A777AC" w:rsidRPr="00D55B2B" w:rsidRDefault="00A777AC" w:rsidP="00D55B2B">
      <w:pPr>
        <w:pStyle w:val="FootnoteText"/>
        <w:spacing w:line="360" w:lineRule="auto"/>
        <w:rPr>
          <w:rFonts w:ascii="Verdana" w:hAnsi="Verdana"/>
          <w:i/>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Office for National Statistics, ‘</w:t>
      </w:r>
      <w:r w:rsidRPr="00D55B2B">
        <w:rPr>
          <w:rFonts w:ascii="Verdana" w:hAnsi="Verdana"/>
          <w:sz w:val="16"/>
          <w:szCs w:val="16"/>
          <w:lang w:val="en-GB"/>
        </w:rPr>
        <w:t>Sexual offences in England and Wales: year ending March 2017’</w:t>
      </w:r>
      <w:r w:rsidRPr="00D55B2B">
        <w:rPr>
          <w:rFonts w:ascii="Verdana" w:hAnsi="Verdana"/>
          <w:i/>
          <w:sz w:val="16"/>
          <w:szCs w:val="16"/>
          <w:lang w:val="en-GB"/>
        </w:rPr>
        <w:t xml:space="preserve"> </w:t>
      </w:r>
      <w:r w:rsidRPr="00D55B2B">
        <w:rPr>
          <w:rFonts w:ascii="Verdana" w:hAnsi="Verdana"/>
          <w:sz w:val="16"/>
          <w:szCs w:val="16"/>
          <w:lang w:val="en-GB"/>
        </w:rPr>
        <w:t xml:space="preserve">(2018). Available at: https://www.ons.gov.uk/peoplepopulationandcommunity/crimeandjustice/articles/sexualoffencesinenglandandwales/yearendingmarch2017/previous/v1 (accessed 06 January 2019). </w:t>
      </w:r>
    </w:p>
  </w:footnote>
  <w:footnote w:id="150">
    <w:p w14:paraId="3A8658F7"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Williamson, above n. 57. </w:t>
      </w:r>
    </w:p>
  </w:footnote>
  <w:footnote w:id="151">
    <w:p w14:paraId="4F0FBCFE"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See Office for National Statistics, above n. 4. </w:t>
      </w:r>
    </w:p>
  </w:footnote>
  <w:footnote w:id="152">
    <w:p w14:paraId="29D23E22"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C. Bishop and V. Bettinson, ‘Evidencing domestic violence, including behaviour that falls under the new offence of ‘controlling or coercive behaviour’ (2018) 22(1) </w:t>
      </w:r>
      <w:r w:rsidRPr="00D55B2B">
        <w:rPr>
          <w:rFonts w:ascii="Verdana" w:hAnsi="Verdana"/>
          <w:i/>
          <w:sz w:val="16"/>
          <w:szCs w:val="16"/>
        </w:rPr>
        <w:t>The International Journal of Evidence &amp; Proof</w:t>
      </w:r>
      <w:r w:rsidRPr="00D55B2B">
        <w:rPr>
          <w:rFonts w:ascii="Verdana" w:hAnsi="Verdana"/>
          <w:sz w:val="16"/>
          <w:szCs w:val="16"/>
        </w:rPr>
        <w:t xml:space="preserve"> 3, 6.</w:t>
      </w:r>
      <w:r>
        <w:rPr>
          <w:rFonts w:ascii="Verdana" w:hAnsi="Verdana"/>
          <w:sz w:val="16"/>
          <w:szCs w:val="16"/>
        </w:rPr>
        <w:t xml:space="preserve"> See also V. Bettinson ‘Is the creation of a discrete offence of coercive control necessary to combat domestic violence?’ (2016) 66(2) Northern Ireland Legal Quarterly, 179-97 and S. Hilder and V. Bettinson ‘Domestic violence: interdisciplinary perspectives on protection, prevention and intervention’ (2016) Basingstoke: Palgrave Macmillan. </w:t>
      </w:r>
    </w:p>
  </w:footnote>
  <w:footnote w:id="153">
    <w:p w14:paraId="01A65A60"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154">
    <w:p w14:paraId="65E5B4F1"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Ibid. 3 – 29. </w:t>
      </w:r>
    </w:p>
  </w:footnote>
  <w:footnote w:id="155">
    <w:p w14:paraId="385B77DD"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Justice for Women conference, above n. 35. </w:t>
      </w:r>
    </w:p>
  </w:footnote>
  <w:footnote w:id="156">
    <w:p w14:paraId="28123752"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Solicitor and co-founder of Justice for Women</w:t>
      </w:r>
    </w:p>
  </w:footnote>
  <w:footnote w:id="157">
    <w:p w14:paraId="5DE11D0E" w14:textId="77777777" w:rsidR="00A777AC" w:rsidRPr="001A5E67" w:rsidRDefault="00A777AC" w:rsidP="00D55B2B">
      <w:pPr>
        <w:pStyle w:val="FootnoteText"/>
        <w:spacing w:line="360" w:lineRule="auto"/>
        <w:rPr>
          <w:rFonts w:ascii="Verdana" w:hAnsi="Verdana"/>
          <w:sz w:val="16"/>
          <w:szCs w:val="16"/>
          <w:lang w:val="en-GB"/>
        </w:rPr>
      </w:pPr>
      <w:r w:rsidRPr="001A5E67">
        <w:rPr>
          <w:rStyle w:val="FootnoteReference"/>
          <w:rFonts w:ascii="Verdana" w:hAnsi="Verdana"/>
          <w:sz w:val="16"/>
          <w:szCs w:val="16"/>
        </w:rPr>
        <w:footnoteRef/>
      </w:r>
      <w:r w:rsidRPr="001A5E67">
        <w:rPr>
          <w:rFonts w:ascii="Verdana" w:hAnsi="Verdana"/>
          <w:sz w:val="16"/>
          <w:szCs w:val="16"/>
        </w:rPr>
        <w:t xml:space="preserve"> See </w:t>
      </w:r>
      <w:r w:rsidRPr="001A5E67">
        <w:rPr>
          <w:rFonts w:ascii="Verdana" w:hAnsi="Verdana"/>
          <w:sz w:val="16"/>
          <w:szCs w:val="16"/>
          <w:lang w:val="en-GB"/>
        </w:rPr>
        <w:t xml:space="preserve">Johnson, above n. 12. </w:t>
      </w:r>
    </w:p>
  </w:footnote>
  <w:footnote w:id="158">
    <w:p w14:paraId="20247AE1" w14:textId="7F35DA8B" w:rsidR="00A777AC" w:rsidRPr="001A5E67" w:rsidRDefault="00A777AC" w:rsidP="00D55B2B">
      <w:pPr>
        <w:pStyle w:val="FootnoteText"/>
        <w:spacing w:line="360" w:lineRule="auto"/>
        <w:rPr>
          <w:rFonts w:ascii="Verdana" w:hAnsi="Verdana"/>
          <w:sz w:val="16"/>
          <w:szCs w:val="16"/>
          <w:lang w:val="en-GB"/>
        </w:rPr>
      </w:pPr>
      <w:r w:rsidRPr="001A5E67">
        <w:rPr>
          <w:rStyle w:val="FootnoteReference"/>
          <w:rFonts w:ascii="Verdana" w:hAnsi="Verdana"/>
          <w:sz w:val="16"/>
          <w:szCs w:val="16"/>
        </w:rPr>
        <w:footnoteRef/>
      </w:r>
      <w:r w:rsidRPr="001A5E67">
        <w:rPr>
          <w:rFonts w:ascii="Verdana" w:hAnsi="Verdana"/>
          <w:sz w:val="16"/>
          <w:szCs w:val="16"/>
        </w:rPr>
        <w:t xml:space="preserve"> (</w:t>
      </w:r>
      <w:r w:rsidR="00E1499B" w:rsidRPr="001A5E67">
        <w:rPr>
          <w:rFonts w:ascii="Verdana" w:hAnsi="Verdana"/>
          <w:sz w:val="16"/>
          <w:szCs w:val="16"/>
          <w:lang w:val="en-GB"/>
        </w:rPr>
        <w:t xml:space="preserve">Criminal Code of the Russian Federation </w:t>
      </w:r>
      <w:r w:rsidRPr="001A5E67">
        <w:rPr>
          <w:rFonts w:ascii="Verdana" w:hAnsi="Verdana"/>
          <w:sz w:val="16"/>
          <w:szCs w:val="16"/>
          <w:lang w:val="en-GB"/>
        </w:rPr>
        <w:t xml:space="preserve">Article 16[2]h). </w:t>
      </w:r>
    </w:p>
  </w:footnote>
  <w:footnote w:id="159">
    <w:p w14:paraId="328AC695" w14:textId="77777777" w:rsidR="00A777AC" w:rsidRPr="00D55B2B" w:rsidRDefault="00A777AC" w:rsidP="00D55B2B">
      <w:pPr>
        <w:pStyle w:val="FootnoteText"/>
        <w:spacing w:line="360" w:lineRule="auto"/>
        <w:rPr>
          <w:rFonts w:ascii="Verdana" w:hAnsi="Verdana"/>
          <w:sz w:val="16"/>
          <w:szCs w:val="16"/>
          <w:lang w:val="en-GB"/>
        </w:rPr>
      </w:pPr>
      <w:r w:rsidRPr="001A5E67">
        <w:rPr>
          <w:rStyle w:val="FootnoteReference"/>
          <w:rFonts w:ascii="Verdana" w:hAnsi="Verdana"/>
          <w:sz w:val="16"/>
          <w:szCs w:val="16"/>
        </w:rPr>
        <w:footnoteRef/>
      </w:r>
      <w:r w:rsidRPr="001A5E67">
        <w:rPr>
          <w:rFonts w:ascii="Verdana" w:hAnsi="Verdana"/>
          <w:sz w:val="16"/>
          <w:szCs w:val="16"/>
        </w:rPr>
        <w:t xml:space="preserve"> See </w:t>
      </w:r>
      <w:r w:rsidRPr="001A5E67">
        <w:rPr>
          <w:rFonts w:ascii="Verdana" w:hAnsi="Verdana"/>
          <w:sz w:val="16"/>
          <w:szCs w:val="16"/>
          <w:lang w:val="en-GB"/>
        </w:rPr>
        <w:t>Johnson, above n. 12.</w:t>
      </w:r>
      <w:r w:rsidRPr="00D55B2B">
        <w:rPr>
          <w:rFonts w:ascii="Verdana" w:hAnsi="Verdana"/>
          <w:sz w:val="16"/>
          <w:szCs w:val="16"/>
          <w:lang w:val="en-GB"/>
        </w:rPr>
        <w:t xml:space="preserve"> </w:t>
      </w:r>
    </w:p>
  </w:footnote>
  <w:footnote w:id="160">
    <w:p w14:paraId="10F1087D"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J. Doak, ‘Victims’ Rights in Criminal Trials: Prospects for Participation’ (2005) 32(2) </w:t>
      </w:r>
      <w:r w:rsidRPr="00D55B2B">
        <w:rPr>
          <w:rFonts w:ascii="Verdana" w:hAnsi="Verdana"/>
          <w:i/>
          <w:sz w:val="16"/>
          <w:szCs w:val="16"/>
        </w:rPr>
        <w:t>Journal of Law and Society</w:t>
      </w:r>
      <w:r w:rsidRPr="00D55B2B">
        <w:rPr>
          <w:rFonts w:ascii="Verdana" w:hAnsi="Verdana"/>
          <w:sz w:val="16"/>
          <w:szCs w:val="16"/>
        </w:rPr>
        <w:t>, 294 – 316.</w:t>
      </w:r>
    </w:p>
  </w:footnote>
  <w:footnote w:id="161">
    <w:p w14:paraId="09DF6C65"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E. Stanko, ‘Intimate Intrusions (Routledge Revivals): Women’s Experience of Male Violence’ (Routledge 2013) 165. </w:t>
      </w:r>
    </w:p>
  </w:footnote>
  <w:footnote w:id="162">
    <w:p w14:paraId="5B4E0F05"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Women’s Aid, ‘Refuges send out SOS in response to government’s proposed supported housing funding plans’ (2017) Available at: </w:t>
      </w:r>
      <w:r w:rsidRPr="00D55B2B">
        <w:rPr>
          <w:rStyle w:val="Hyperlink"/>
          <w:rFonts w:ascii="Verdana" w:hAnsi="Verdana"/>
          <w:color w:val="auto"/>
          <w:sz w:val="16"/>
          <w:szCs w:val="16"/>
          <w:u w:val="none"/>
          <w:lang w:val="en-GB"/>
        </w:rPr>
        <w:t>https://www.womensaid.org.uk/refuges-send-sos-response-governments-proposed-supported-housing-funding-plans/</w:t>
      </w:r>
      <w:r w:rsidRPr="00D55B2B">
        <w:rPr>
          <w:rFonts w:ascii="Verdana" w:hAnsi="Verdana"/>
          <w:sz w:val="16"/>
          <w:szCs w:val="16"/>
          <w:lang w:val="en-GB"/>
        </w:rPr>
        <w:t xml:space="preserve"> (accessed 27 November 2018). </w:t>
      </w:r>
    </w:p>
  </w:footnote>
  <w:footnote w:id="163">
    <w:p w14:paraId="5CA312B9" w14:textId="77777777" w:rsidR="00A777AC" w:rsidRPr="00D55B2B" w:rsidRDefault="00A777AC" w:rsidP="00D55B2B">
      <w:pPr>
        <w:pStyle w:val="FootnoteText"/>
        <w:spacing w:line="360" w:lineRule="auto"/>
        <w:jc w:val="both"/>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ANNA – Centre for the Prevention of Violence, above n. 13. </w:t>
      </w:r>
    </w:p>
  </w:footnote>
  <w:footnote w:id="164">
    <w:p w14:paraId="7712303A"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Mahserjian, above n. 23. </w:t>
      </w:r>
    </w:p>
  </w:footnote>
  <w:footnote w:id="165">
    <w:p w14:paraId="0FD105ED"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Johnson, above n. 12. </w:t>
      </w:r>
    </w:p>
  </w:footnote>
  <w:footnote w:id="166">
    <w:p w14:paraId="60DD1B74"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167">
    <w:p w14:paraId="1D73207D"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w:t>
      </w:r>
      <w:r w:rsidRPr="00D55B2B">
        <w:rPr>
          <w:rFonts w:ascii="Verdana" w:hAnsi="Verdana"/>
          <w:sz w:val="16"/>
          <w:szCs w:val="16"/>
          <w:lang w:val="en-GB"/>
        </w:rPr>
        <w:t xml:space="preserve">See, for example ANNA Centre for the Prevention of Violence. </w:t>
      </w:r>
    </w:p>
  </w:footnote>
  <w:footnote w:id="168">
    <w:p w14:paraId="64B20BBD"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Graca, above at n. 122. </w:t>
      </w:r>
    </w:p>
  </w:footnote>
  <w:footnote w:id="169">
    <w:p w14:paraId="1D793192"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http://dawsa.org.uk (accessed 06 January 2019). </w:t>
      </w:r>
    </w:p>
  </w:footnote>
  <w:footnote w:id="170">
    <w:p w14:paraId="4D6F74B2"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Available at: https://www.westyorkshire-pcc.gov.uk/media/135339/amber_rudd_221217.pdf (accessed 06 January 2019). </w:t>
      </w:r>
    </w:p>
  </w:footnote>
  <w:footnote w:id="171">
    <w:p w14:paraId="47DCB584" w14:textId="77777777" w:rsidR="00A777AC" w:rsidRPr="00D55B2B" w:rsidRDefault="00A777AC" w:rsidP="00D55B2B">
      <w:pPr>
        <w:pStyle w:val="FootnoteText"/>
        <w:spacing w:line="360" w:lineRule="auto"/>
        <w:rPr>
          <w:rFonts w:ascii="Verdana" w:hAnsi="Verdana"/>
          <w:sz w:val="16"/>
          <w:szCs w:val="16"/>
        </w:rPr>
      </w:pPr>
      <w:r w:rsidRPr="00D55B2B">
        <w:rPr>
          <w:rStyle w:val="FootnoteReference"/>
          <w:rFonts w:ascii="Verdana" w:hAnsi="Verdana"/>
          <w:sz w:val="16"/>
          <w:szCs w:val="16"/>
        </w:rPr>
        <w:footnoteRef/>
      </w:r>
      <w:r w:rsidRPr="00D55B2B">
        <w:rPr>
          <w:rFonts w:ascii="Verdana" w:hAnsi="Verdana"/>
          <w:sz w:val="16"/>
          <w:szCs w:val="16"/>
        </w:rPr>
        <w:t xml:space="preserve"> H. Taylor-Dunn, ‘The impact of victim advocacy on the prosecution of domestic violence offences: Lessons from a realistic evaluation’ (2016) 16(12) </w:t>
      </w:r>
      <w:r w:rsidRPr="00D55B2B">
        <w:rPr>
          <w:rFonts w:ascii="Verdana" w:hAnsi="Verdana"/>
          <w:i/>
          <w:sz w:val="16"/>
          <w:szCs w:val="16"/>
        </w:rPr>
        <w:t>Criminology and Criminal Justice</w:t>
      </w:r>
      <w:r w:rsidRPr="00D55B2B">
        <w:rPr>
          <w:rFonts w:ascii="Verdana" w:hAnsi="Verdana"/>
          <w:sz w:val="16"/>
          <w:szCs w:val="16"/>
        </w:rPr>
        <w:t xml:space="preserve">, 21 – 27. </w:t>
      </w:r>
    </w:p>
  </w:footnote>
  <w:footnote w:id="172">
    <w:p w14:paraId="792C7585"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http://dawsa.org.uk/partnership-work-with-civil-and-family-courts/ (accessed 06 January 2019). </w:t>
      </w:r>
    </w:p>
  </w:footnote>
  <w:footnote w:id="173">
    <w:p w14:paraId="39A57716"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w:t>
      </w:r>
      <w:r w:rsidRPr="00D55B2B">
        <w:rPr>
          <w:rFonts w:ascii="Verdana" w:hAnsi="Verdana"/>
          <w:sz w:val="16"/>
          <w:szCs w:val="16"/>
          <w:lang w:val="en-GB"/>
        </w:rPr>
        <w:t xml:space="preserve">Graca, above at n. 122. </w:t>
      </w:r>
    </w:p>
  </w:footnote>
  <w:footnote w:id="174">
    <w:p w14:paraId="1BD665EE"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175">
    <w:p w14:paraId="0B111443"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Ibid. </w:t>
      </w:r>
    </w:p>
  </w:footnote>
  <w:footnote w:id="176">
    <w:p w14:paraId="2942F5AE" w14:textId="77777777" w:rsidR="00A777AC" w:rsidRPr="00D55B2B" w:rsidRDefault="00A777AC" w:rsidP="00D55B2B">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Hasselbacher, n. 83 above. </w:t>
      </w:r>
    </w:p>
  </w:footnote>
  <w:footnote w:id="177">
    <w:p w14:paraId="08D7D58D" w14:textId="77777777" w:rsidR="00A777AC" w:rsidRPr="00D55B2B" w:rsidRDefault="00A777AC" w:rsidP="00DC0B88">
      <w:pPr>
        <w:pStyle w:val="FootnoteText"/>
        <w:spacing w:line="360" w:lineRule="auto"/>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E. </w:t>
      </w:r>
      <w:r w:rsidRPr="00D55B2B">
        <w:rPr>
          <w:rFonts w:ascii="Verdana" w:hAnsi="Verdana"/>
          <w:sz w:val="16"/>
          <w:szCs w:val="16"/>
          <w:lang w:val="en-GB"/>
        </w:rPr>
        <w:t xml:space="preserve">Williamson and M. Hester, ‘Evaluation of the South Tyneside Domestic Abuse Perpetrator Programme (STDAPP) 2006-2008)’ (2009) University of Bristol School for Policy Studies. Available at: </w:t>
      </w:r>
      <w:hyperlink r:id="rId25" w:history="1">
        <w:r w:rsidRPr="00D55B2B">
          <w:rPr>
            <w:rStyle w:val="Hyperlink"/>
            <w:rFonts w:ascii="Verdana" w:hAnsi="Verdana"/>
            <w:color w:val="auto"/>
            <w:sz w:val="16"/>
            <w:szCs w:val="16"/>
            <w:lang w:val="en-GB"/>
          </w:rPr>
          <w:t>http://www.bristol.ac.uk/media-library/sites/sps/migrated/documents/finalreport1.pdf</w:t>
        </w:r>
      </w:hyperlink>
      <w:r w:rsidRPr="00D55B2B">
        <w:rPr>
          <w:rFonts w:ascii="Verdana" w:hAnsi="Verdana"/>
          <w:sz w:val="16"/>
          <w:szCs w:val="16"/>
          <w:lang w:val="en-GB"/>
        </w:rPr>
        <w:t xml:space="preserve"> (accessed 06 January 2019). See also N. Stanley, N. Graham-Kevan, R. Borthwick, ‘Fathers and Domestic Violence: Building Motivation through Perpetrator Programmes’ (2012) 21(4) </w:t>
      </w:r>
      <w:r w:rsidRPr="00D55B2B">
        <w:rPr>
          <w:rFonts w:ascii="Verdana" w:hAnsi="Verdana"/>
          <w:i/>
          <w:sz w:val="16"/>
          <w:szCs w:val="16"/>
          <w:lang w:val="en-GB"/>
        </w:rPr>
        <w:t>Child Abuse Review</w:t>
      </w:r>
      <w:r w:rsidRPr="00D55B2B">
        <w:rPr>
          <w:rFonts w:ascii="Verdana" w:hAnsi="Verdana"/>
          <w:sz w:val="16"/>
          <w:szCs w:val="16"/>
          <w:lang w:val="en-GB"/>
        </w:rPr>
        <w:t xml:space="preserve">, 264-274. </w:t>
      </w:r>
    </w:p>
  </w:footnote>
  <w:footnote w:id="178">
    <w:p w14:paraId="5B2844AF" w14:textId="77777777" w:rsidR="00A777AC" w:rsidRPr="00D55B2B" w:rsidRDefault="00A777AC" w:rsidP="00DC0B88">
      <w:pPr>
        <w:pStyle w:val="FootnoteText"/>
        <w:spacing w:line="360" w:lineRule="auto"/>
        <w:jc w:val="both"/>
        <w:rPr>
          <w:rFonts w:ascii="Verdana" w:hAnsi="Verdana"/>
          <w:sz w:val="16"/>
          <w:szCs w:val="16"/>
          <w:lang w:val="en-GB"/>
        </w:rPr>
      </w:pPr>
      <w:r w:rsidRPr="00D55B2B">
        <w:rPr>
          <w:rStyle w:val="FootnoteReference"/>
          <w:rFonts w:ascii="Verdana" w:hAnsi="Verdana"/>
          <w:sz w:val="16"/>
          <w:szCs w:val="16"/>
        </w:rPr>
        <w:footnoteRef/>
      </w:r>
      <w:r w:rsidRPr="00D55B2B">
        <w:rPr>
          <w:rFonts w:ascii="Verdana" w:hAnsi="Verdana"/>
          <w:sz w:val="16"/>
          <w:szCs w:val="16"/>
        </w:rPr>
        <w:t xml:space="preserve"> See ANNA – Centre for the Prevention of Violence, above n. 13. </w:t>
      </w:r>
    </w:p>
  </w:footnote>
  <w:footnote w:id="179">
    <w:p w14:paraId="32DFCBD6" w14:textId="77777777" w:rsidR="00A777AC" w:rsidRPr="0060450D" w:rsidRDefault="00A777AC">
      <w:pPr>
        <w:pStyle w:val="FootnoteText"/>
        <w:rPr>
          <w:lang w:val="en-GB"/>
        </w:rPr>
      </w:pPr>
      <w:r>
        <w:rPr>
          <w:rStyle w:val="FootnoteReference"/>
        </w:rPr>
        <w:footnoteRef/>
      </w:r>
      <w:r>
        <w:t xml:space="preserve"> </w:t>
      </w:r>
      <w:r>
        <w:rPr>
          <w:lang w:val="en-GB"/>
        </w:rPr>
        <w:t>See HM Government, above at n. 62,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96CAE" w14:textId="77777777" w:rsidR="00A777AC" w:rsidRDefault="00A777AC" w:rsidP="007E262A">
    <w:pPr>
      <w:widowControl w:val="0"/>
      <w:suppressAutoHyphens/>
      <w:adjustRightInd w:val="0"/>
      <w:spacing w:before="60" w:after="60" w:line="288" w:lineRule="auto"/>
      <w:jc w:val="right"/>
      <w:rPr>
        <w:rFonts w:ascii="Verdana" w:hAnsi="Verdana" w:cs="Verdana"/>
        <w:i/>
        <w:iCs/>
        <w:color w:val="000000"/>
        <w:sz w:val="16"/>
        <w:szCs w:val="16"/>
      </w:rPr>
    </w:pPr>
    <w:r>
      <w:rPr>
        <w:rFonts w:ascii="Verdana" w:hAnsi="Verdana" w:cs="Verdana"/>
        <w:i/>
        <w:iCs/>
        <w:color w:val="000000"/>
        <w:sz w:val="16"/>
        <w:szCs w:val="16"/>
      </w:rPr>
      <w:t xml:space="preserve">Page </w:t>
    </w:r>
    <w:r>
      <w:rPr>
        <w:rFonts w:ascii="Verdana" w:hAnsi="Verdana" w:cs="Verdana"/>
        <w:i/>
        <w:iCs/>
        <w:color w:val="000000"/>
        <w:sz w:val="16"/>
        <w:szCs w:val="16"/>
      </w:rPr>
      <w:pgNum/>
    </w:r>
  </w:p>
  <w:p w14:paraId="58AB1C50" w14:textId="77777777" w:rsidR="00A777AC" w:rsidRDefault="00A7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D5D"/>
    <w:multiLevelType w:val="multilevel"/>
    <w:tmpl w:val="AFAC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4165D"/>
    <w:multiLevelType w:val="hybridMultilevel"/>
    <w:tmpl w:val="4F3C095E"/>
    <w:lvl w:ilvl="0" w:tplc="DAB4DF84">
      <w:start w:val="1"/>
      <w:numFmt w:val="lowerLetter"/>
      <w:pStyle w:val="Bulletsbas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9564D1"/>
    <w:multiLevelType w:val="hybridMultilevel"/>
    <w:tmpl w:val="236C57C6"/>
    <w:lvl w:ilvl="0" w:tplc="EEEED4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8346F"/>
    <w:multiLevelType w:val="multilevel"/>
    <w:tmpl w:val="9854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81B7E"/>
    <w:multiLevelType w:val="hybridMultilevel"/>
    <w:tmpl w:val="3BC0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32AE3"/>
    <w:multiLevelType w:val="hybridMultilevel"/>
    <w:tmpl w:val="84B0CC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1792E"/>
    <w:multiLevelType w:val="hybridMultilevel"/>
    <w:tmpl w:val="63A0533C"/>
    <w:lvl w:ilvl="0" w:tplc="7F3A5C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068DA"/>
    <w:multiLevelType w:val="hybridMultilevel"/>
    <w:tmpl w:val="851ACDF8"/>
    <w:lvl w:ilvl="0" w:tplc="47EEFECE">
      <w:start w:val="1"/>
      <w:numFmt w:val="bullet"/>
      <w:pStyle w:val="L4Header"/>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B2414"/>
    <w:multiLevelType w:val="multilevel"/>
    <w:tmpl w:val="903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D2EDA"/>
    <w:multiLevelType w:val="hybridMultilevel"/>
    <w:tmpl w:val="FBDA89FC"/>
    <w:lvl w:ilvl="0" w:tplc="26363C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276BF"/>
    <w:multiLevelType w:val="hybridMultilevel"/>
    <w:tmpl w:val="9B12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C1ED6"/>
    <w:multiLevelType w:val="hybridMultilevel"/>
    <w:tmpl w:val="44DE5CD8"/>
    <w:lvl w:ilvl="0" w:tplc="AEA2F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A040A"/>
    <w:multiLevelType w:val="multilevel"/>
    <w:tmpl w:val="2EC6AF4A"/>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B7128"/>
    <w:multiLevelType w:val="hybridMultilevel"/>
    <w:tmpl w:val="D86AEF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3A1223"/>
    <w:multiLevelType w:val="multilevel"/>
    <w:tmpl w:val="E23A6EFC"/>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B0B44"/>
    <w:multiLevelType w:val="hybridMultilevel"/>
    <w:tmpl w:val="2A206EF0"/>
    <w:lvl w:ilvl="0" w:tplc="6B7034D6">
      <w:start w:val="1"/>
      <w:numFmt w:val="lowerLetter"/>
      <w:lvlText w:val="(%1)"/>
      <w:lvlJc w:val="left"/>
      <w:pPr>
        <w:ind w:left="786" w:hanging="360"/>
      </w:pPr>
      <w:rPr>
        <w:rFonts w:ascii="Verdana" w:hAnsi="Verdana"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5A53E39"/>
    <w:multiLevelType w:val="multilevel"/>
    <w:tmpl w:val="A790A8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B6180"/>
    <w:multiLevelType w:val="multilevel"/>
    <w:tmpl w:val="7036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522AA"/>
    <w:multiLevelType w:val="hybridMultilevel"/>
    <w:tmpl w:val="96467684"/>
    <w:lvl w:ilvl="0" w:tplc="09E886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3B7535"/>
    <w:multiLevelType w:val="multilevel"/>
    <w:tmpl w:val="6DE2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EF7AA0"/>
    <w:multiLevelType w:val="hybridMultilevel"/>
    <w:tmpl w:val="2FDEC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F845C3"/>
    <w:multiLevelType w:val="hybridMultilevel"/>
    <w:tmpl w:val="0F4E8C88"/>
    <w:lvl w:ilvl="0" w:tplc="4F54DB8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CE03A3F"/>
    <w:multiLevelType w:val="hybridMultilevel"/>
    <w:tmpl w:val="C58ACEB0"/>
    <w:lvl w:ilvl="0" w:tplc="7F3A5C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65896"/>
    <w:multiLevelType w:val="hybridMultilevel"/>
    <w:tmpl w:val="7D7A3784"/>
    <w:lvl w:ilvl="0" w:tplc="7F3A5C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B24CB"/>
    <w:multiLevelType w:val="hybridMultilevel"/>
    <w:tmpl w:val="01C2EACA"/>
    <w:lvl w:ilvl="0" w:tplc="AEA2F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42625"/>
    <w:multiLevelType w:val="hybridMultilevel"/>
    <w:tmpl w:val="1FA8D182"/>
    <w:lvl w:ilvl="0" w:tplc="B1F4508A">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63C54C48"/>
    <w:multiLevelType w:val="multilevel"/>
    <w:tmpl w:val="358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7532F7"/>
    <w:multiLevelType w:val="hybridMultilevel"/>
    <w:tmpl w:val="B8D6A1D8"/>
    <w:lvl w:ilvl="0" w:tplc="E9A039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8252418"/>
    <w:multiLevelType w:val="multilevel"/>
    <w:tmpl w:val="A538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8925F5"/>
    <w:multiLevelType w:val="hybridMultilevel"/>
    <w:tmpl w:val="4C20EE40"/>
    <w:lvl w:ilvl="0" w:tplc="3F00712E">
      <w:start w:val="1"/>
      <w:numFmt w:val="lowerLetter"/>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78122A3B"/>
    <w:multiLevelType w:val="hybridMultilevel"/>
    <w:tmpl w:val="F68E5A24"/>
    <w:lvl w:ilvl="0" w:tplc="7F3A5C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20317"/>
    <w:multiLevelType w:val="hybridMultilevel"/>
    <w:tmpl w:val="8C30AB38"/>
    <w:lvl w:ilvl="0" w:tplc="DAB4DF8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CC14AD5"/>
    <w:multiLevelType w:val="multilevel"/>
    <w:tmpl w:val="024A0E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677280"/>
    <w:multiLevelType w:val="hybridMultilevel"/>
    <w:tmpl w:val="0F1AC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0"/>
  </w:num>
  <w:num w:numId="3">
    <w:abstractNumId w:val="2"/>
  </w:num>
  <w:num w:numId="4">
    <w:abstractNumId w:val="31"/>
  </w:num>
  <w:num w:numId="5">
    <w:abstractNumId w:val="13"/>
  </w:num>
  <w:num w:numId="6">
    <w:abstractNumId w:val="20"/>
  </w:num>
  <w:num w:numId="7">
    <w:abstractNumId w:val="24"/>
  </w:num>
  <w:num w:numId="8">
    <w:abstractNumId w:val="11"/>
  </w:num>
  <w:num w:numId="9">
    <w:abstractNumId w:val="33"/>
  </w:num>
  <w:num w:numId="10">
    <w:abstractNumId w:val="19"/>
  </w:num>
  <w:num w:numId="11">
    <w:abstractNumId w:val="15"/>
  </w:num>
  <w:num w:numId="12">
    <w:abstractNumId w:val="3"/>
  </w:num>
  <w:num w:numId="13">
    <w:abstractNumId w:val="8"/>
  </w:num>
  <w:num w:numId="14">
    <w:abstractNumId w:val="17"/>
  </w:num>
  <w:num w:numId="15">
    <w:abstractNumId w:val="0"/>
  </w:num>
  <w:num w:numId="16">
    <w:abstractNumId w:val="26"/>
  </w:num>
  <w:num w:numId="17">
    <w:abstractNumId w:val="22"/>
  </w:num>
  <w:num w:numId="18">
    <w:abstractNumId w:val="4"/>
  </w:num>
  <w:num w:numId="19">
    <w:abstractNumId w:val="27"/>
  </w:num>
  <w:num w:numId="20">
    <w:abstractNumId w:val="10"/>
  </w:num>
  <w:num w:numId="21">
    <w:abstractNumId w:val="7"/>
  </w:num>
  <w:num w:numId="22">
    <w:abstractNumId w:val="32"/>
  </w:num>
  <w:num w:numId="23">
    <w:abstractNumId w:val="16"/>
  </w:num>
  <w:num w:numId="24">
    <w:abstractNumId w:val="12"/>
  </w:num>
  <w:num w:numId="25">
    <w:abstractNumId w:val="14"/>
  </w:num>
  <w:num w:numId="26">
    <w:abstractNumId w:val="6"/>
  </w:num>
  <w:num w:numId="27">
    <w:abstractNumId w:val="23"/>
  </w:num>
  <w:num w:numId="28">
    <w:abstractNumId w:val="28"/>
  </w:num>
  <w:num w:numId="29">
    <w:abstractNumId w:val="5"/>
  </w:num>
  <w:num w:numId="30">
    <w:abstractNumId w:val="9"/>
  </w:num>
  <w:num w:numId="31">
    <w:abstractNumId w:val="25"/>
  </w:num>
  <w:num w:numId="32">
    <w:abstractNumId w:val="21"/>
  </w:num>
  <w:num w:numId="33">
    <w:abstractNumId w:val="1"/>
    <w:lvlOverride w:ilvl="0">
      <w:startOverride w:val="9"/>
    </w:lvlOverride>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AD"/>
    <w:rsid w:val="00000702"/>
    <w:rsid w:val="00000AAF"/>
    <w:rsid w:val="00001D6E"/>
    <w:rsid w:val="00002904"/>
    <w:rsid w:val="0000394B"/>
    <w:rsid w:val="00003F27"/>
    <w:rsid w:val="00004745"/>
    <w:rsid w:val="00004780"/>
    <w:rsid w:val="00004C7F"/>
    <w:rsid w:val="00004D58"/>
    <w:rsid w:val="000055CB"/>
    <w:rsid w:val="00005959"/>
    <w:rsid w:val="00005D24"/>
    <w:rsid w:val="00005D2F"/>
    <w:rsid w:val="0000607D"/>
    <w:rsid w:val="00006764"/>
    <w:rsid w:val="000068F1"/>
    <w:rsid w:val="00006B6E"/>
    <w:rsid w:val="000071DB"/>
    <w:rsid w:val="00007FD3"/>
    <w:rsid w:val="00010085"/>
    <w:rsid w:val="00010772"/>
    <w:rsid w:val="00010A34"/>
    <w:rsid w:val="000110F5"/>
    <w:rsid w:val="000112F2"/>
    <w:rsid w:val="0001150B"/>
    <w:rsid w:val="00011751"/>
    <w:rsid w:val="00011DB6"/>
    <w:rsid w:val="00012050"/>
    <w:rsid w:val="00012BF4"/>
    <w:rsid w:val="0001337A"/>
    <w:rsid w:val="00013C2F"/>
    <w:rsid w:val="00013F10"/>
    <w:rsid w:val="00013F7A"/>
    <w:rsid w:val="00014CAF"/>
    <w:rsid w:val="00014D0B"/>
    <w:rsid w:val="00014EA9"/>
    <w:rsid w:val="000163C1"/>
    <w:rsid w:val="00016A96"/>
    <w:rsid w:val="00016B28"/>
    <w:rsid w:val="00016C18"/>
    <w:rsid w:val="00017F22"/>
    <w:rsid w:val="00020384"/>
    <w:rsid w:val="00020847"/>
    <w:rsid w:val="00020F24"/>
    <w:rsid w:val="00021382"/>
    <w:rsid w:val="000214E1"/>
    <w:rsid w:val="00021897"/>
    <w:rsid w:val="000219DA"/>
    <w:rsid w:val="000224CD"/>
    <w:rsid w:val="00022502"/>
    <w:rsid w:val="0002286F"/>
    <w:rsid w:val="00023250"/>
    <w:rsid w:val="0002346A"/>
    <w:rsid w:val="0002398E"/>
    <w:rsid w:val="00023D36"/>
    <w:rsid w:val="00023DEE"/>
    <w:rsid w:val="00023E41"/>
    <w:rsid w:val="00023F2A"/>
    <w:rsid w:val="000249C4"/>
    <w:rsid w:val="00024AB5"/>
    <w:rsid w:val="00024D81"/>
    <w:rsid w:val="000250CD"/>
    <w:rsid w:val="0002591E"/>
    <w:rsid w:val="00025B17"/>
    <w:rsid w:val="00025EF9"/>
    <w:rsid w:val="00026571"/>
    <w:rsid w:val="00026BC5"/>
    <w:rsid w:val="00026F71"/>
    <w:rsid w:val="00027DC7"/>
    <w:rsid w:val="00030145"/>
    <w:rsid w:val="00030DB9"/>
    <w:rsid w:val="00031308"/>
    <w:rsid w:val="00031976"/>
    <w:rsid w:val="00031C02"/>
    <w:rsid w:val="00031F9E"/>
    <w:rsid w:val="000321A7"/>
    <w:rsid w:val="000329BA"/>
    <w:rsid w:val="000329D7"/>
    <w:rsid w:val="00032A62"/>
    <w:rsid w:val="0003338A"/>
    <w:rsid w:val="000338B4"/>
    <w:rsid w:val="000339A6"/>
    <w:rsid w:val="00034025"/>
    <w:rsid w:val="0003446E"/>
    <w:rsid w:val="000348FA"/>
    <w:rsid w:val="00034F0B"/>
    <w:rsid w:val="000356B2"/>
    <w:rsid w:val="000356FE"/>
    <w:rsid w:val="00035908"/>
    <w:rsid w:val="000359BE"/>
    <w:rsid w:val="00035BCB"/>
    <w:rsid w:val="00035C43"/>
    <w:rsid w:val="00035C8F"/>
    <w:rsid w:val="00035EF0"/>
    <w:rsid w:val="00036322"/>
    <w:rsid w:val="0003641D"/>
    <w:rsid w:val="000369EE"/>
    <w:rsid w:val="00036EE0"/>
    <w:rsid w:val="000376E5"/>
    <w:rsid w:val="000377A2"/>
    <w:rsid w:val="00037C39"/>
    <w:rsid w:val="0004017B"/>
    <w:rsid w:val="0004173A"/>
    <w:rsid w:val="00042C44"/>
    <w:rsid w:val="00042E5E"/>
    <w:rsid w:val="00043304"/>
    <w:rsid w:val="000434A2"/>
    <w:rsid w:val="000437A9"/>
    <w:rsid w:val="0004380E"/>
    <w:rsid w:val="00044038"/>
    <w:rsid w:val="0004417E"/>
    <w:rsid w:val="000444BD"/>
    <w:rsid w:val="0004473C"/>
    <w:rsid w:val="0004476D"/>
    <w:rsid w:val="00044B86"/>
    <w:rsid w:val="00045000"/>
    <w:rsid w:val="000461F9"/>
    <w:rsid w:val="00046EE8"/>
    <w:rsid w:val="0004714D"/>
    <w:rsid w:val="00047712"/>
    <w:rsid w:val="00047867"/>
    <w:rsid w:val="00047BEB"/>
    <w:rsid w:val="00047E98"/>
    <w:rsid w:val="000506D3"/>
    <w:rsid w:val="00050A58"/>
    <w:rsid w:val="00050A8C"/>
    <w:rsid w:val="00050DA6"/>
    <w:rsid w:val="000516D2"/>
    <w:rsid w:val="0005246C"/>
    <w:rsid w:val="000529BC"/>
    <w:rsid w:val="00052E87"/>
    <w:rsid w:val="000536D9"/>
    <w:rsid w:val="00053A22"/>
    <w:rsid w:val="00054497"/>
    <w:rsid w:val="000550C4"/>
    <w:rsid w:val="000551BA"/>
    <w:rsid w:val="000556D2"/>
    <w:rsid w:val="0005637C"/>
    <w:rsid w:val="000565F7"/>
    <w:rsid w:val="00056B96"/>
    <w:rsid w:val="0005725C"/>
    <w:rsid w:val="00057B7F"/>
    <w:rsid w:val="00057E3C"/>
    <w:rsid w:val="00057F91"/>
    <w:rsid w:val="00060201"/>
    <w:rsid w:val="0006048B"/>
    <w:rsid w:val="00060B4F"/>
    <w:rsid w:val="00060E9C"/>
    <w:rsid w:val="0006177D"/>
    <w:rsid w:val="00061988"/>
    <w:rsid w:val="00061BB8"/>
    <w:rsid w:val="00062315"/>
    <w:rsid w:val="000623AD"/>
    <w:rsid w:val="00062B19"/>
    <w:rsid w:val="0006312F"/>
    <w:rsid w:val="00063133"/>
    <w:rsid w:val="000637D1"/>
    <w:rsid w:val="00063996"/>
    <w:rsid w:val="0006469D"/>
    <w:rsid w:val="0006497F"/>
    <w:rsid w:val="00064BAD"/>
    <w:rsid w:val="0006529A"/>
    <w:rsid w:val="00065806"/>
    <w:rsid w:val="00065ABA"/>
    <w:rsid w:val="0006604D"/>
    <w:rsid w:val="0006660E"/>
    <w:rsid w:val="00066F13"/>
    <w:rsid w:val="00067751"/>
    <w:rsid w:val="00067BC7"/>
    <w:rsid w:val="000701F8"/>
    <w:rsid w:val="00070762"/>
    <w:rsid w:val="00070886"/>
    <w:rsid w:val="00071586"/>
    <w:rsid w:val="0007173E"/>
    <w:rsid w:val="00071C4E"/>
    <w:rsid w:val="00072564"/>
    <w:rsid w:val="00072623"/>
    <w:rsid w:val="0007283D"/>
    <w:rsid w:val="00072A14"/>
    <w:rsid w:val="00072D4D"/>
    <w:rsid w:val="000732CD"/>
    <w:rsid w:val="00073351"/>
    <w:rsid w:val="000733DA"/>
    <w:rsid w:val="000737B0"/>
    <w:rsid w:val="000737C6"/>
    <w:rsid w:val="0007398D"/>
    <w:rsid w:val="00073A64"/>
    <w:rsid w:val="00073D2B"/>
    <w:rsid w:val="000740AB"/>
    <w:rsid w:val="000742D5"/>
    <w:rsid w:val="00074A8B"/>
    <w:rsid w:val="00074C36"/>
    <w:rsid w:val="00074F56"/>
    <w:rsid w:val="00075034"/>
    <w:rsid w:val="00075AC3"/>
    <w:rsid w:val="000765B3"/>
    <w:rsid w:val="000766B4"/>
    <w:rsid w:val="00076B75"/>
    <w:rsid w:val="0007700C"/>
    <w:rsid w:val="00077211"/>
    <w:rsid w:val="00077716"/>
    <w:rsid w:val="00077D19"/>
    <w:rsid w:val="0008095C"/>
    <w:rsid w:val="000809F6"/>
    <w:rsid w:val="000810FB"/>
    <w:rsid w:val="00081F4F"/>
    <w:rsid w:val="00082523"/>
    <w:rsid w:val="000829C8"/>
    <w:rsid w:val="0008396C"/>
    <w:rsid w:val="00084531"/>
    <w:rsid w:val="000851B8"/>
    <w:rsid w:val="000853FF"/>
    <w:rsid w:val="00085961"/>
    <w:rsid w:val="0008696B"/>
    <w:rsid w:val="00086C99"/>
    <w:rsid w:val="00087816"/>
    <w:rsid w:val="00087ED3"/>
    <w:rsid w:val="0009066C"/>
    <w:rsid w:val="00091BE5"/>
    <w:rsid w:val="00091C4D"/>
    <w:rsid w:val="0009275A"/>
    <w:rsid w:val="00092931"/>
    <w:rsid w:val="00092E6F"/>
    <w:rsid w:val="000931B5"/>
    <w:rsid w:val="00094199"/>
    <w:rsid w:val="000941A9"/>
    <w:rsid w:val="00094456"/>
    <w:rsid w:val="00094891"/>
    <w:rsid w:val="00094A9B"/>
    <w:rsid w:val="000960EA"/>
    <w:rsid w:val="00096228"/>
    <w:rsid w:val="000967E1"/>
    <w:rsid w:val="0009717B"/>
    <w:rsid w:val="000977F9"/>
    <w:rsid w:val="00097CFE"/>
    <w:rsid w:val="000A0280"/>
    <w:rsid w:val="000A0525"/>
    <w:rsid w:val="000A0DD2"/>
    <w:rsid w:val="000A12E4"/>
    <w:rsid w:val="000A1397"/>
    <w:rsid w:val="000A13F7"/>
    <w:rsid w:val="000A1589"/>
    <w:rsid w:val="000A18FB"/>
    <w:rsid w:val="000A29C7"/>
    <w:rsid w:val="000A3B36"/>
    <w:rsid w:val="000A3CDF"/>
    <w:rsid w:val="000A46AB"/>
    <w:rsid w:val="000A513B"/>
    <w:rsid w:val="000A54D8"/>
    <w:rsid w:val="000A5D22"/>
    <w:rsid w:val="000A6091"/>
    <w:rsid w:val="000A63F1"/>
    <w:rsid w:val="000A7C75"/>
    <w:rsid w:val="000B02FF"/>
    <w:rsid w:val="000B0B8C"/>
    <w:rsid w:val="000B0BAA"/>
    <w:rsid w:val="000B1195"/>
    <w:rsid w:val="000B11E1"/>
    <w:rsid w:val="000B154E"/>
    <w:rsid w:val="000B1572"/>
    <w:rsid w:val="000B174F"/>
    <w:rsid w:val="000B1A1D"/>
    <w:rsid w:val="000B1B1D"/>
    <w:rsid w:val="000B1EB1"/>
    <w:rsid w:val="000B2162"/>
    <w:rsid w:val="000B227D"/>
    <w:rsid w:val="000B2533"/>
    <w:rsid w:val="000B27A8"/>
    <w:rsid w:val="000B319F"/>
    <w:rsid w:val="000B3540"/>
    <w:rsid w:val="000B4DAE"/>
    <w:rsid w:val="000B52CF"/>
    <w:rsid w:val="000B54A7"/>
    <w:rsid w:val="000B54BA"/>
    <w:rsid w:val="000B58E2"/>
    <w:rsid w:val="000B62A3"/>
    <w:rsid w:val="000B6F3E"/>
    <w:rsid w:val="000B7674"/>
    <w:rsid w:val="000B7F39"/>
    <w:rsid w:val="000C03C2"/>
    <w:rsid w:val="000C0895"/>
    <w:rsid w:val="000C1B87"/>
    <w:rsid w:val="000C2383"/>
    <w:rsid w:val="000C34F3"/>
    <w:rsid w:val="000C3D17"/>
    <w:rsid w:val="000C3FC7"/>
    <w:rsid w:val="000C41DE"/>
    <w:rsid w:val="000C468B"/>
    <w:rsid w:val="000C4B29"/>
    <w:rsid w:val="000C4CAE"/>
    <w:rsid w:val="000C4D16"/>
    <w:rsid w:val="000C56CC"/>
    <w:rsid w:val="000C58EE"/>
    <w:rsid w:val="000C6526"/>
    <w:rsid w:val="000C6A93"/>
    <w:rsid w:val="000C6AD9"/>
    <w:rsid w:val="000C720F"/>
    <w:rsid w:val="000C74FE"/>
    <w:rsid w:val="000C7CC6"/>
    <w:rsid w:val="000C7CDE"/>
    <w:rsid w:val="000C7EA9"/>
    <w:rsid w:val="000D04DF"/>
    <w:rsid w:val="000D09F2"/>
    <w:rsid w:val="000D11EE"/>
    <w:rsid w:val="000D233E"/>
    <w:rsid w:val="000D2366"/>
    <w:rsid w:val="000D2CCB"/>
    <w:rsid w:val="000D2D7C"/>
    <w:rsid w:val="000D3687"/>
    <w:rsid w:val="000D3AB5"/>
    <w:rsid w:val="000D3B0E"/>
    <w:rsid w:val="000D5615"/>
    <w:rsid w:val="000D56E7"/>
    <w:rsid w:val="000D59A2"/>
    <w:rsid w:val="000D6185"/>
    <w:rsid w:val="000D631C"/>
    <w:rsid w:val="000D68F0"/>
    <w:rsid w:val="000D7119"/>
    <w:rsid w:val="000E067B"/>
    <w:rsid w:val="000E0BF7"/>
    <w:rsid w:val="000E11E4"/>
    <w:rsid w:val="000E1580"/>
    <w:rsid w:val="000E2B0D"/>
    <w:rsid w:val="000E32F6"/>
    <w:rsid w:val="000E34CF"/>
    <w:rsid w:val="000E370E"/>
    <w:rsid w:val="000E3D5F"/>
    <w:rsid w:val="000E4360"/>
    <w:rsid w:val="000E4791"/>
    <w:rsid w:val="000E4A5F"/>
    <w:rsid w:val="000E4C6C"/>
    <w:rsid w:val="000E562C"/>
    <w:rsid w:val="000E6463"/>
    <w:rsid w:val="000E647D"/>
    <w:rsid w:val="000E6B49"/>
    <w:rsid w:val="000E6D5B"/>
    <w:rsid w:val="000E6F2E"/>
    <w:rsid w:val="000E73DA"/>
    <w:rsid w:val="000E7660"/>
    <w:rsid w:val="000E77C4"/>
    <w:rsid w:val="000E7B1D"/>
    <w:rsid w:val="000E7F7B"/>
    <w:rsid w:val="000F010C"/>
    <w:rsid w:val="000F082A"/>
    <w:rsid w:val="000F1459"/>
    <w:rsid w:val="000F17BA"/>
    <w:rsid w:val="000F1993"/>
    <w:rsid w:val="000F1C34"/>
    <w:rsid w:val="000F34B7"/>
    <w:rsid w:val="000F3554"/>
    <w:rsid w:val="000F3910"/>
    <w:rsid w:val="000F51E9"/>
    <w:rsid w:val="000F540B"/>
    <w:rsid w:val="000F55EC"/>
    <w:rsid w:val="000F5996"/>
    <w:rsid w:val="000F6CDA"/>
    <w:rsid w:val="000F7223"/>
    <w:rsid w:val="000F7866"/>
    <w:rsid w:val="000F7A91"/>
    <w:rsid w:val="00100185"/>
    <w:rsid w:val="0010044C"/>
    <w:rsid w:val="0010058D"/>
    <w:rsid w:val="00100B5A"/>
    <w:rsid w:val="0010109D"/>
    <w:rsid w:val="001011EC"/>
    <w:rsid w:val="00101FFE"/>
    <w:rsid w:val="0010202E"/>
    <w:rsid w:val="001020DD"/>
    <w:rsid w:val="00102358"/>
    <w:rsid w:val="0010238C"/>
    <w:rsid w:val="00102796"/>
    <w:rsid w:val="00102A2C"/>
    <w:rsid w:val="00103178"/>
    <w:rsid w:val="001034B8"/>
    <w:rsid w:val="00103BAB"/>
    <w:rsid w:val="0010478B"/>
    <w:rsid w:val="00104B17"/>
    <w:rsid w:val="00104B33"/>
    <w:rsid w:val="00104ED4"/>
    <w:rsid w:val="00105252"/>
    <w:rsid w:val="0010538F"/>
    <w:rsid w:val="00105DD9"/>
    <w:rsid w:val="001064D0"/>
    <w:rsid w:val="00106666"/>
    <w:rsid w:val="001067AB"/>
    <w:rsid w:val="001067E9"/>
    <w:rsid w:val="0010694A"/>
    <w:rsid w:val="001069C4"/>
    <w:rsid w:val="00106BAB"/>
    <w:rsid w:val="00106BFB"/>
    <w:rsid w:val="001074A3"/>
    <w:rsid w:val="00110075"/>
    <w:rsid w:val="0011049A"/>
    <w:rsid w:val="001104C0"/>
    <w:rsid w:val="00110BD8"/>
    <w:rsid w:val="00110D69"/>
    <w:rsid w:val="00110DC0"/>
    <w:rsid w:val="00111C2D"/>
    <w:rsid w:val="00111E5D"/>
    <w:rsid w:val="00112BC0"/>
    <w:rsid w:val="00112DEC"/>
    <w:rsid w:val="00112DF9"/>
    <w:rsid w:val="001131AA"/>
    <w:rsid w:val="00113577"/>
    <w:rsid w:val="001135D6"/>
    <w:rsid w:val="00113AD2"/>
    <w:rsid w:val="00113BD4"/>
    <w:rsid w:val="0011434D"/>
    <w:rsid w:val="00114541"/>
    <w:rsid w:val="00114640"/>
    <w:rsid w:val="00114828"/>
    <w:rsid w:val="00114EDC"/>
    <w:rsid w:val="00114F79"/>
    <w:rsid w:val="00115187"/>
    <w:rsid w:val="001151C9"/>
    <w:rsid w:val="00115519"/>
    <w:rsid w:val="00115673"/>
    <w:rsid w:val="00116214"/>
    <w:rsid w:val="00116637"/>
    <w:rsid w:val="00116873"/>
    <w:rsid w:val="001169CC"/>
    <w:rsid w:val="00116A2A"/>
    <w:rsid w:val="00117663"/>
    <w:rsid w:val="001208DF"/>
    <w:rsid w:val="00120AA8"/>
    <w:rsid w:val="00120AB5"/>
    <w:rsid w:val="00120F76"/>
    <w:rsid w:val="0012128B"/>
    <w:rsid w:val="001213CA"/>
    <w:rsid w:val="00121844"/>
    <w:rsid w:val="001219AD"/>
    <w:rsid w:val="00121AB1"/>
    <w:rsid w:val="00121BDA"/>
    <w:rsid w:val="00122334"/>
    <w:rsid w:val="001223E9"/>
    <w:rsid w:val="001224BE"/>
    <w:rsid w:val="00122C59"/>
    <w:rsid w:val="00122F51"/>
    <w:rsid w:val="00123118"/>
    <w:rsid w:val="001235F5"/>
    <w:rsid w:val="00123886"/>
    <w:rsid w:val="0012388E"/>
    <w:rsid w:val="00123A7C"/>
    <w:rsid w:val="00123D3A"/>
    <w:rsid w:val="00124552"/>
    <w:rsid w:val="00124929"/>
    <w:rsid w:val="00125248"/>
    <w:rsid w:val="00125623"/>
    <w:rsid w:val="0012564F"/>
    <w:rsid w:val="00125DA4"/>
    <w:rsid w:val="001272A0"/>
    <w:rsid w:val="00127AD3"/>
    <w:rsid w:val="0013032D"/>
    <w:rsid w:val="0013050B"/>
    <w:rsid w:val="001307EE"/>
    <w:rsid w:val="00130F14"/>
    <w:rsid w:val="001314EE"/>
    <w:rsid w:val="001315C7"/>
    <w:rsid w:val="00131733"/>
    <w:rsid w:val="00131BD4"/>
    <w:rsid w:val="0013275C"/>
    <w:rsid w:val="00132E52"/>
    <w:rsid w:val="00132E94"/>
    <w:rsid w:val="00133356"/>
    <w:rsid w:val="0013365A"/>
    <w:rsid w:val="00133981"/>
    <w:rsid w:val="001339B4"/>
    <w:rsid w:val="00134171"/>
    <w:rsid w:val="001345AD"/>
    <w:rsid w:val="001349D6"/>
    <w:rsid w:val="00134BB6"/>
    <w:rsid w:val="00134CC8"/>
    <w:rsid w:val="001353E3"/>
    <w:rsid w:val="00135719"/>
    <w:rsid w:val="001357AC"/>
    <w:rsid w:val="00135F59"/>
    <w:rsid w:val="00135FBC"/>
    <w:rsid w:val="0013649E"/>
    <w:rsid w:val="001377E5"/>
    <w:rsid w:val="00140348"/>
    <w:rsid w:val="001406CF"/>
    <w:rsid w:val="00141508"/>
    <w:rsid w:val="00141944"/>
    <w:rsid w:val="00141E6D"/>
    <w:rsid w:val="001421F6"/>
    <w:rsid w:val="001422C0"/>
    <w:rsid w:val="00143C61"/>
    <w:rsid w:val="00145376"/>
    <w:rsid w:val="00145942"/>
    <w:rsid w:val="00145C06"/>
    <w:rsid w:val="00145F27"/>
    <w:rsid w:val="001460A3"/>
    <w:rsid w:val="001460BE"/>
    <w:rsid w:val="001463A7"/>
    <w:rsid w:val="0014644A"/>
    <w:rsid w:val="001464F1"/>
    <w:rsid w:val="001467CF"/>
    <w:rsid w:val="00146A47"/>
    <w:rsid w:val="00146A80"/>
    <w:rsid w:val="001473EC"/>
    <w:rsid w:val="00147AC6"/>
    <w:rsid w:val="00150000"/>
    <w:rsid w:val="00150019"/>
    <w:rsid w:val="0015012D"/>
    <w:rsid w:val="0015074A"/>
    <w:rsid w:val="001509E4"/>
    <w:rsid w:val="001513B1"/>
    <w:rsid w:val="00152286"/>
    <w:rsid w:val="0015234B"/>
    <w:rsid w:val="0015235F"/>
    <w:rsid w:val="00152DF3"/>
    <w:rsid w:val="00153267"/>
    <w:rsid w:val="001532ED"/>
    <w:rsid w:val="00153785"/>
    <w:rsid w:val="00154116"/>
    <w:rsid w:val="0015416E"/>
    <w:rsid w:val="00154610"/>
    <w:rsid w:val="00154C5A"/>
    <w:rsid w:val="00155015"/>
    <w:rsid w:val="00155C00"/>
    <w:rsid w:val="00155E1C"/>
    <w:rsid w:val="0015681B"/>
    <w:rsid w:val="0015682B"/>
    <w:rsid w:val="00156FDD"/>
    <w:rsid w:val="001570EA"/>
    <w:rsid w:val="00157928"/>
    <w:rsid w:val="00157A42"/>
    <w:rsid w:val="00157A6D"/>
    <w:rsid w:val="0016057A"/>
    <w:rsid w:val="00160A1C"/>
    <w:rsid w:val="00160B4D"/>
    <w:rsid w:val="00161170"/>
    <w:rsid w:val="00161530"/>
    <w:rsid w:val="00161950"/>
    <w:rsid w:val="00161A6E"/>
    <w:rsid w:val="00161B3A"/>
    <w:rsid w:val="00162633"/>
    <w:rsid w:val="00162A31"/>
    <w:rsid w:val="00162B2B"/>
    <w:rsid w:val="0016341B"/>
    <w:rsid w:val="00163BEB"/>
    <w:rsid w:val="00163FF2"/>
    <w:rsid w:val="00164FC3"/>
    <w:rsid w:val="00165B01"/>
    <w:rsid w:val="00165CEE"/>
    <w:rsid w:val="00165E2E"/>
    <w:rsid w:val="0016727D"/>
    <w:rsid w:val="00167419"/>
    <w:rsid w:val="00167BA2"/>
    <w:rsid w:val="00167D83"/>
    <w:rsid w:val="00170591"/>
    <w:rsid w:val="00170651"/>
    <w:rsid w:val="00171322"/>
    <w:rsid w:val="001715E0"/>
    <w:rsid w:val="001717E1"/>
    <w:rsid w:val="0017256C"/>
    <w:rsid w:val="00172591"/>
    <w:rsid w:val="001730FE"/>
    <w:rsid w:val="00173180"/>
    <w:rsid w:val="00173709"/>
    <w:rsid w:val="00173DEC"/>
    <w:rsid w:val="00174290"/>
    <w:rsid w:val="00174694"/>
    <w:rsid w:val="00175208"/>
    <w:rsid w:val="001753E9"/>
    <w:rsid w:val="00176564"/>
    <w:rsid w:val="00176868"/>
    <w:rsid w:val="00177263"/>
    <w:rsid w:val="001777A4"/>
    <w:rsid w:val="001777E7"/>
    <w:rsid w:val="00177BF1"/>
    <w:rsid w:val="00177C8C"/>
    <w:rsid w:val="0018058A"/>
    <w:rsid w:val="0018066E"/>
    <w:rsid w:val="00180F38"/>
    <w:rsid w:val="0018137A"/>
    <w:rsid w:val="001815D3"/>
    <w:rsid w:val="00181C8E"/>
    <w:rsid w:val="00181FD5"/>
    <w:rsid w:val="001823B3"/>
    <w:rsid w:val="0018273F"/>
    <w:rsid w:val="0018330C"/>
    <w:rsid w:val="001835E6"/>
    <w:rsid w:val="00183D68"/>
    <w:rsid w:val="00184680"/>
    <w:rsid w:val="00184A2B"/>
    <w:rsid w:val="00184BB5"/>
    <w:rsid w:val="001851CA"/>
    <w:rsid w:val="001855C6"/>
    <w:rsid w:val="0018566A"/>
    <w:rsid w:val="00186A04"/>
    <w:rsid w:val="00187ADF"/>
    <w:rsid w:val="00190731"/>
    <w:rsid w:val="00190F5B"/>
    <w:rsid w:val="0019110A"/>
    <w:rsid w:val="00191342"/>
    <w:rsid w:val="00191641"/>
    <w:rsid w:val="0019172F"/>
    <w:rsid w:val="001917D3"/>
    <w:rsid w:val="001920E1"/>
    <w:rsid w:val="0019230A"/>
    <w:rsid w:val="00192373"/>
    <w:rsid w:val="0019278E"/>
    <w:rsid w:val="00192AFB"/>
    <w:rsid w:val="00192C2E"/>
    <w:rsid w:val="00192DE0"/>
    <w:rsid w:val="00193542"/>
    <w:rsid w:val="001938BB"/>
    <w:rsid w:val="00193EF6"/>
    <w:rsid w:val="001943FD"/>
    <w:rsid w:val="00194975"/>
    <w:rsid w:val="00195089"/>
    <w:rsid w:val="0019563B"/>
    <w:rsid w:val="001958F7"/>
    <w:rsid w:val="00195ABD"/>
    <w:rsid w:val="00195FB0"/>
    <w:rsid w:val="001961E2"/>
    <w:rsid w:val="00196426"/>
    <w:rsid w:val="00196804"/>
    <w:rsid w:val="00196C6E"/>
    <w:rsid w:val="00196C84"/>
    <w:rsid w:val="00196E3C"/>
    <w:rsid w:val="001971A6"/>
    <w:rsid w:val="00197652"/>
    <w:rsid w:val="00197E55"/>
    <w:rsid w:val="001A067F"/>
    <w:rsid w:val="001A08CE"/>
    <w:rsid w:val="001A0D12"/>
    <w:rsid w:val="001A129D"/>
    <w:rsid w:val="001A1BB9"/>
    <w:rsid w:val="001A26FA"/>
    <w:rsid w:val="001A472C"/>
    <w:rsid w:val="001A47AD"/>
    <w:rsid w:val="001A4D09"/>
    <w:rsid w:val="001A4FFC"/>
    <w:rsid w:val="001A50CB"/>
    <w:rsid w:val="001A5E67"/>
    <w:rsid w:val="001A69AE"/>
    <w:rsid w:val="001A6EF8"/>
    <w:rsid w:val="001A7827"/>
    <w:rsid w:val="001A78C0"/>
    <w:rsid w:val="001A7EE0"/>
    <w:rsid w:val="001A7F41"/>
    <w:rsid w:val="001B0260"/>
    <w:rsid w:val="001B02EA"/>
    <w:rsid w:val="001B05B3"/>
    <w:rsid w:val="001B095D"/>
    <w:rsid w:val="001B0B5A"/>
    <w:rsid w:val="001B157C"/>
    <w:rsid w:val="001B16F2"/>
    <w:rsid w:val="001B1918"/>
    <w:rsid w:val="001B1C3B"/>
    <w:rsid w:val="001B25CC"/>
    <w:rsid w:val="001B284D"/>
    <w:rsid w:val="001B2910"/>
    <w:rsid w:val="001B29E5"/>
    <w:rsid w:val="001B34C6"/>
    <w:rsid w:val="001B3838"/>
    <w:rsid w:val="001B392B"/>
    <w:rsid w:val="001B3C27"/>
    <w:rsid w:val="001B4050"/>
    <w:rsid w:val="001B47CC"/>
    <w:rsid w:val="001B495D"/>
    <w:rsid w:val="001B4BA7"/>
    <w:rsid w:val="001B4C31"/>
    <w:rsid w:val="001B4C67"/>
    <w:rsid w:val="001B4D8A"/>
    <w:rsid w:val="001B53F4"/>
    <w:rsid w:val="001B5FD1"/>
    <w:rsid w:val="001B6E95"/>
    <w:rsid w:val="001B7849"/>
    <w:rsid w:val="001B7B63"/>
    <w:rsid w:val="001B7BD4"/>
    <w:rsid w:val="001C0B92"/>
    <w:rsid w:val="001C0DE1"/>
    <w:rsid w:val="001C185C"/>
    <w:rsid w:val="001C252D"/>
    <w:rsid w:val="001C256F"/>
    <w:rsid w:val="001C25C0"/>
    <w:rsid w:val="001C2620"/>
    <w:rsid w:val="001C2D11"/>
    <w:rsid w:val="001C33C3"/>
    <w:rsid w:val="001C3521"/>
    <w:rsid w:val="001C3532"/>
    <w:rsid w:val="001C35E3"/>
    <w:rsid w:val="001C39EB"/>
    <w:rsid w:val="001C40E7"/>
    <w:rsid w:val="001C4370"/>
    <w:rsid w:val="001C43F0"/>
    <w:rsid w:val="001C4406"/>
    <w:rsid w:val="001C52D2"/>
    <w:rsid w:val="001C5A72"/>
    <w:rsid w:val="001C5FDC"/>
    <w:rsid w:val="001C6030"/>
    <w:rsid w:val="001C6197"/>
    <w:rsid w:val="001C6715"/>
    <w:rsid w:val="001C6CBA"/>
    <w:rsid w:val="001C6D02"/>
    <w:rsid w:val="001C6F46"/>
    <w:rsid w:val="001C72C8"/>
    <w:rsid w:val="001D08CF"/>
    <w:rsid w:val="001D099F"/>
    <w:rsid w:val="001D0AEE"/>
    <w:rsid w:val="001D0D99"/>
    <w:rsid w:val="001D0F71"/>
    <w:rsid w:val="001D15E4"/>
    <w:rsid w:val="001D18CD"/>
    <w:rsid w:val="001D220A"/>
    <w:rsid w:val="001D26D9"/>
    <w:rsid w:val="001D32B7"/>
    <w:rsid w:val="001D3748"/>
    <w:rsid w:val="001D3DC7"/>
    <w:rsid w:val="001D4435"/>
    <w:rsid w:val="001D47E9"/>
    <w:rsid w:val="001D4943"/>
    <w:rsid w:val="001D49F8"/>
    <w:rsid w:val="001D546C"/>
    <w:rsid w:val="001D580C"/>
    <w:rsid w:val="001D5BB4"/>
    <w:rsid w:val="001D6118"/>
    <w:rsid w:val="001D633B"/>
    <w:rsid w:val="001D6467"/>
    <w:rsid w:val="001D64D0"/>
    <w:rsid w:val="001D6A60"/>
    <w:rsid w:val="001D6FF6"/>
    <w:rsid w:val="001D71EC"/>
    <w:rsid w:val="001D73D5"/>
    <w:rsid w:val="001D77A4"/>
    <w:rsid w:val="001D7A92"/>
    <w:rsid w:val="001D7EFB"/>
    <w:rsid w:val="001D7FF4"/>
    <w:rsid w:val="001E0364"/>
    <w:rsid w:val="001E0BE5"/>
    <w:rsid w:val="001E1492"/>
    <w:rsid w:val="001E16DF"/>
    <w:rsid w:val="001E2085"/>
    <w:rsid w:val="001E2111"/>
    <w:rsid w:val="001E2171"/>
    <w:rsid w:val="001E2202"/>
    <w:rsid w:val="001E2364"/>
    <w:rsid w:val="001E320D"/>
    <w:rsid w:val="001E3DE8"/>
    <w:rsid w:val="001E4C93"/>
    <w:rsid w:val="001E4C96"/>
    <w:rsid w:val="001E4F07"/>
    <w:rsid w:val="001E4F9A"/>
    <w:rsid w:val="001E591F"/>
    <w:rsid w:val="001E5FFB"/>
    <w:rsid w:val="001E662E"/>
    <w:rsid w:val="001F0034"/>
    <w:rsid w:val="001F003F"/>
    <w:rsid w:val="001F06B5"/>
    <w:rsid w:val="001F07AB"/>
    <w:rsid w:val="001F082B"/>
    <w:rsid w:val="001F0853"/>
    <w:rsid w:val="001F1129"/>
    <w:rsid w:val="001F1451"/>
    <w:rsid w:val="001F175C"/>
    <w:rsid w:val="001F1835"/>
    <w:rsid w:val="001F1955"/>
    <w:rsid w:val="001F2235"/>
    <w:rsid w:val="001F2679"/>
    <w:rsid w:val="001F2F4D"/>
    <w:rsid w:val="001F33AA"/>
    <w:rsid w:val="001F3699"/>
    <w:rsid w:val="001F3A97"/>
    <w:rsid w:val="001F42C4"/>
    <w:rsid w:val="001F4390"/>
    <w:rsid w:val="001F47CE"/>
    <w:rsid w:val="001F4F8E"/>
    <w:rsid w:val="001F538C"/>
    <w:rsid w:val="001F6000"/>
    <w:rsid w:val="001F6218"/>
    <w:rsid w:val="001F630B"/>
    <w:rsid w:val="001F63BF"/>
    <w:rsid w:val="001F6CF0"/>
    <w:rsid w:val="001F79F0"/>
    <w:rsid w:val="001F7CF2"/>
    <w:rsid w:val="002005B7"/>
    <w:rsid w:val="00200759"/>
    <w:rsid w:val="00200990"/>
    <w:rsid w:val="00200F94"/>
    <w:rsid w:val="002011FE"/>
    <w:rsid w:val="00201211"/>
    <w:rsid w:val="002012B1"/>
    <w:rsid w:val="0020142F"/>
    <w:rsid w:val="00201732"/>
    <w:rsid w:val="00201B4F"/>
    <w:rsid w:val="00201C75"/>
    <w:rsid w:val="00202633"/>
    <w:rsid w:val="00202832"/>
    <w:rsid w:val="00202E77"/>
    <w:rsid w:val="002036B0"/>
    <w:rsid w:val="00203976"/>
    <w:rsid w:val="00203DBB"/>
    <w:rsid w:val="002041FE"/>
    <w:rsid w:val="00204C4F"/>
    <w:rsid w:val="00204C95"/>
    <w:rsid w:val="00204F52"/>
    <w:rsid w:val="002054A2"/>
    <w:rsid w:val="0020680C"/>
    <w:rsid w:val="00206990"/>
    <w:rsid w:val="002072CE"/>
    <w:rsid w:val="0020736A"/>
    <w:rsid w:val="0020741E"/>
    <w:rsid w:val="002078E2"/>
    <w:rsid w:val="00207C9F"/>
    <w:rsid w:val="00207EF2"/>
    <w:rsid w:val="00210E3C"/>
    <w:rsid w:val="002110F2"/>
    <w:rsid w:val="00211306"/>
    <w:rsid w:val="0021132C"/>
    <w:rsid w:val="002117C5"/>
    <w:rsid w:val="00212461"/>
    <w:rsid w:val="0021247B"/>
    <w:rsid w:val="00212C1F"/>
    <w:rsid w:val="00212D00"/>
    <w:rsid w:val="00212ECA"/>
    <w:rsid w:val="00212FE0"/>
    <w:rsid w:val="002130C1"/>
    <w:rsid w:val="002133EF"/>
    <w:rsid w:val="0021443F"/>
    <w:rsid w:val="00214712"/>
    <w:rsid w:val="00214778"/>
    <w:rsid w:val="00214DD2"/>
    <w:rsid w:val="0021506C"/>
    <w:rsid w:val="00215816"/>
    <w:rsid w:val="002159F2"/>
    <w:rsid w:val="00215C5D"/>
    <w:rsid w:val="00215D59"/>
    <w:rsid w:val="0021708A"/>
    <w:rsid w:val="00217C66"/>
    <w:rsid w:val="00217E5F"/>
    <w:rsid w:val="00217ECF"/>
    <w:rsid w:val="00221752"/>
    <w:rsid w:val="00222465"/>
    <w:rsid w:val="00222C87"/>
    <w:rsid w:val="00222E6D"/>
    <w:rsid w:val="00223A6D"/>
    <w:rsid w:val="00223D4A"/>
    <w:rsid w:val="0022446A"/>
    <w:rsid w:val="002245F0"/>
    <w:rsid w:val="00224C0C"/>
    <w:rsid w:val="00224DA2"/>
    <w:rsid w:val="00224F92"/>
    <w:rsid w:val="00225035"/>
    <w:rsid w:val="0022565D"/>
    <w:rsid w:val="002259CD"/>
    <w:rsid w:val="00226671"/>
    <w:rsid w:val="00226742"/>
    <w:rsid w:val="002269F9"/>
    <w:rsid w:val="00226EE4"/>
    <w:rsid w:val="002270E0"/>
    <w:rsid w:val="00227445"/>
    <w:rsid w:val="00227BA9"/>
    <w:rsid w:val="00227C2A"/>
    <w:rsid w:val="002306D5"/>
    <w:rsid w:val="00230D08"/>
    <w:rsid w:val="00231177"/>
    <w:rsid w:val="002312F9"/>
    <w:rsid w:val="002319FF"/>
    <w:rsid w:val="002325D5"/>
    <w:rsid w:val="00232C04"/>
    <w:rsid w:val="00232FBE"/>
    <w:rsid w:val="0023318D"/>
    <w:rsid w:val="00233C67"/>
    <w:rsid w:val="00233D6B"/>
    <w:rsid w:val="00234016"/>
    <w:rsid w:val="002346F1"/>
    <w:rsid w:val="00234756"/>
    <w:rsid w:val="00235263"/>
    <w:rsid w:val="002355E8"/>
    <w:rsid w:val="002357E1"/>
    <w:rsid w:val="002358E8"/>
    <w:rsid w:val="00236323"/>
    <w:rsid w:val="002363A1"/>
    <w:rsid w:val="002365C0"/>
    <w:rsid w:val="00236C63"/>
    <w:rsid w:val="00236C68"/>
    <w:rsid w:val="00236E19"/>
    <w:rsid w:val="00236E29"/>
    <w:rsid w:val="00237549"/>
    <w:rsid w:val="0023786C"/>
    <w:rsid w:val="00237EF8"/>
    <w:rsid w:val="002402F7"/>
    <w:rsid w:val="002404E7"/>
    <w:rsid w:val="0024125F"/>
    <w:rsid w:val="00241323"/>
    <w:rsid w:val="00241D31"/>
    <w:rsid w:val="00241F04"/>
    <w:rsid w:val="002421DC"/>
    <w:rsid w:val="00243277"/>
    <w:rsid w:val="00243495"/>
    <w:rsid w:val="002436E2"/>
    <w:rsid w:val="00243756"/>
    <w:rsid w:val="00243DD9"/>
    <w:rsid w:val="00245782"/>
    <w:rsid w:val="0024599C"/>
    <w:rsid w:val="0024616F"/>
    <w:rsid w:val="00246A00"/>
    <w:rsid w:val="0024739C"/>
    <w:rsid w:val="00250476"/>
    <w:rsid w:val="002504F8"/>
    <w:rsid w:val="0025074E"/>
    <w:rsid w:val="0025083B"/>
    <w:rsid w:val="002509FB"/>
    <w:rsid w:val="00250DA6"/>
    <w:rsid w:val="002514BD"/>
    <w:rsid w:val="002515DF"/>
    <w:rsid w:val="00251718"/>
    <w:rsid w:val="00251783"/>
    <w:rsid w:val="00252B7E"/>
    <w:rsid w:val="002532B8"/>
    <w:rsid w:val="00254155"/>
    <w:rsid w:val="002545D6"/>
    <w:rsid w:val="002548DE"/>
    <w:rsid w:val="00254B82"/>
    <w:rsid w:val="0025521B"/>
    <w:rsid w:val="002556BA"/>
    <w:rsid w:val="002563B9"/>
    <w:rsid w:val="00256415"/>
    <w:rsid w:val="00257161"/>
    <w:rsid w:val="002574A1"/>
    <w:rsid w:val="00257AE5"/>
    <w:rsid w:val="00257CBC"/>
    <w:rsid w:val="00257E4D"/>
    <w:rsid w:val="002608D4"/>
    <w:rsid w:val="00260E34"/>
    <w:rsid w:val="00261104"/>
    <w:rsid w:val="00261391"/>
    <w:rsid w:val="00261414"/>
    <w:rsid w:val="002614AF"/>
    <w:rsid w:val="00261848"/>
    <w:rsid w:val="00262641"/>
    <w:rsid w:val="0026275B"/>
    <w:rsid w:val="00262E5B"/>
    <w:rsid w:val="0026369F"/>
    <w:rsid w:val="00263988"/>
    <w:rsid w:val="00263B42"/>
    <w:rsid w:val="002640D5"/>
    <w:rsid w:val="00264FD1"/>
    <w:rsid w:val="002654D7"/>
    <w:rsid w:val="00265842"/>
    <w:rsid w:val="00265C7B"/>
    <w:rsid w:val="00265D06"/>
    <w:rsid w:val="00265DC7"/>
    <w:rsid w:val="002661DB"/>
    <w:rsid w:val="0026691A"/>
    <w:rsid w:val="00267427"/>
    <w:rsid w:val="00267629"/>
    <w:rsid w:val="00267DF3"/>
    <w:rsid w:val="0027095A"/>
    <w:rsid w:val="00270D00"/>
    <w:rsid w:val="00270FC7"/>
    <w:rsid w:val="0027138A"/>
    <w:rsid w:val="002714CA"/>
    <w:rsid w:val="002716C4"/>
    <w:rsid w:val="00271AED"/>
    <w:rsid w:val="0027215B"/>
    <w:rsid w:val="002727BE"/>
    <w:rsid w:val="00272EA9"/>
    <w:rsid w:val="00273344"/>
    <w:rsid w:val="0027381D"/>
    <w:rsid w:val="00273D0C"/>
    <w:rsid w:val="00273EC9"/>
    <w:rsid w:val="0027416C"/>
    <w:rsid w:val="00274433"/>
    <w:rsid w:val="002746E5"/>
    <w:rsid w:val="002747FD"/>
    <w:rsid w:val="00274C17"/>
    <w:rsid w:val="00274E15"/>
    <w:rsid w:val="00274FBF"/>
    <w:rsid w:val="00275160"/>
    <w:rsid w:val="002758D1"/>
    <w:rsid w:val="002760B5"/>
    <w:rsid w:val="002762CB"/>
    <w:rsid w:val="00276732"/>
    <w:rsid w:val="002777BA"/>
    <w:rsid w:val="00277874"/>
    <w:rsid w:val="00277886"/>
    <w:rsid w:val="002778E6"/>
    <w:rsid w:val="00277D44"/>
    <w:rsid w:val="0028041A"/>
    <w:rsid w:val="00280F19"/>
    <w:rsid w:val="0028120A"/>
    <w:rsid w:val="002815EC"/>
    <w:rsid w:val="00281671"/>
    <w:rsid w:val="0028169D"/>
    <w:rsid w:val="00281A17"/>
    <w:rsid w:val="00281D8C"/>
    <w:rsid w:val="002824A8"/>
    <w:rsid w:val="0028252D"/>
    <w:rsid w:val="00282625"/>
    <w:rsid w:val="00282BEC"/>
    <w:rsid w:val="00282D1C"/>
    <w:rsid w:val="002831C1"/>
    <w:rsid w:val="00283AAB"/>
    <w:rsid w:val="00283BD0"/>
    <w:rsid w:val="00283F29"/>
    <w:rsid w:val="00284257"/>
    <w:rsid w:val="002843B4"/>
    <w:rsid w:val="002845BA"/>
    <w:rsid w:val="00284A3A"/>
    <w:rsid w:val="00284ED3"/>
    <w:rsid w:val="00285E66"/>
    <w:rsid w:val="0028671E"/>
    <w:rsid w:val="0028710C"/>
    <w:rsid w:val="002872C3"/>
    <w:rsid w:val="00287E4C"/>
    <w:rsid w:val="00290CD6"/>
    <w:rsid w:val="00290E4D"/>
    <w:rsid w:val="0029197E"/>
    <w:rsid w:val="00291998"/>
    <w:rsid w:val="002919D1"/>
    <w:rsid w:val="00293875"/>
    <w:rsid w:val="002940A2"/>
    <w:rsid w:val="00294452"/>
    <w:rsid w:val="00294D87"/>
    <w:rsid w:val="00294E73"/>
    <w:rsid w:val="00295088"/>
    <w:rsid w:val="002954A9"/>
    <w:rsid w:val="00295AD2"/>
    <w:rsid w:val="00295E43"/>
    <w:rsid w:val="00295E97"/>
    <w:rsid w:val="0029606F"/>
    <w:rsid w:val="002963D3"/>
    <w:rsid w:val="0029691B"/>
    <w:rsid w:val="0029725D"/>
    <w:rsid w:val="00297663"/>
    <w:rsid w:val="00297B99"/>
    <w:rsid w:val="00297F94"/>
    <w:rsid w:val="00297FD2"/>
    <w:rsid w:val="002A0548"/>
    <w:rsid w:val="002A067B"/>
    <w:rsid w:val="002A09B3"/>
    <w:rsid w:val="002A0B54"/>
    <w:rsid w:val="002A0E25"/>
    <w:rsid w:val="002A103B"/>
    <w:rsid w:val="002A1338"/>
    <w:rsid w:val="002A13A5"/>
    <w:rsid w:val="002A1D63"/>
    <w:rsid w:val="002A209A"/>
    <w:rsid w:val="002A20CC"/>
    <w:rsid w:val="002A27E7"/>
    <w:rsid w:val="002A2AA9"/>
    <w:rsid w:val="002A3B8D"/>
    <w:rsid w:val="002A3BE3"/>
    <w:rsid w:val="002A3F5D"/>
    <w:rsid w:val="002A5239"/>
    <w:rsid w:val="002A571C"/>
    <w:rsid w:val="002A5A2C"/>
    <w:rsid w:val="002A5D92"/>
    <w:rsid w:val="002A6249"/>
    <w:rsid w:val="002A65EA"/>
    <w:rsid w:val="002A66B8"/>
    <w:rsid w:val="002A68A8"/>
    <w:rsid w:val="002A78AF"/>
    <w:rsid w:val="002A7C99"/>
    <w:rsid w:val="002B0731"/>
    <w:rsid w:val="002B17A7"/>
    <w:rsid w:val="002B21E0"/>
    <w:rsid w:val="002B2358"/>
    <w:rsid w:val="002B2EA9"/>
    <w:rsid w:val="002B3302"/>
    <w:rsid w:val="002B360A"/>
    <w:rsid w:val="002B413E"/>
    <w:rsid w:val="002B44CA"/>
    <w:rsid w:val="002B4638"/>
    <w:rsid w:val="002B5017"/>
    <w:rsid w:val="002B521C"/>
    <w:rsid w:val="002B5376"/>
    <w:rsid w:val="002B56AE"/>
    <w:rsid w:val="002B5C52"/>
    <w:rsid w:val="002B5CAD"/>
    <w:rsid w:val="002B5F41"/>
    <w:rsid w:val="002B6130"/>
    <w:rsid w:val="002B61D9"/>
    <w:rsid w:val="002B6363"/>
    <w:rsid w:val="002B64FE"/>
    <w:rsid w:val="002B66E5"/>
    <w:rsid w:val="002B699E"/>
    <w:rsid w:val="002B6BAA"/>
    <w:rsid w:val="002B70BF"/>
    <w:rsid w:val="002B7154"/>
    <w:rsid w:val="002B728D"/>
    <w:rsid w:val="002B72B5"/>
    <w:rsid w:val="002B7736"/>
    <w:rsid w:val="002B7A5F"/>
    <w:rsid w:val="002C00F1"/>
    <w:rsid w:val="002C0152"/>
    <w:rsid w:val="002C057B"/>
    <w:rsid w:val="002C0FE7"/>
    <w:rsid w:val="002C113F"/>
    <w:rsid w:val="002C1299"/>
    <w:rsid w:val="002C135C"/>
    <w:rsid w:val="002C151A"/>
    <w:rsid w:val="002C1A06"/>
    <w:rsid w:val="002C1BAB"/>
    <w:rsid w:val="002C2939"/>
    <w:rsid w:val="002C335E"/>
    <w:rsid w:val="002C3943"/>
    <w:rsid w:val="002C47FE"/>
    <w:rsid w:val="002C4A53"/>
    <w:rsid w:val="002C5164"/>
    <w:rsid w:val="002C6376"/>
    <w:rsid w:val="002C65EF"/>
    <w:rsid w:val="002C6733"/>
    <w:rsid w:val="002C6B0D"/>
    <w:rsid w:val="002C6E06"/>
    <w:rsid w:val="002C6E64"/>
    <w:rsid w:val="002C7242"/>
    <w:rsid w:val="002C72A9"/>
    <w:rsid w:val="002C73AD"/>
    <w:rsid w:val="002C7776"/>
    <w:rsid w:val="002C79F1"/>
    <w:rsid w:val="002D0F8A"/>
    <w:rsid w:val="002D1069"/>
    <w:rsid w:val="002D16B8"/>
    <w:rsid w:val="002D22F6"/>
    <w:rsid w:val="002D2331"/>
    <w:rsid w:val="002D2426"/>
    <w:rsid w:val="002D244E"/>
    <w:rsid w:val="002D37CA"/>
    <w:rsid w:val="002D397B"/>
    <w:rsid w:val="002D3B1F"/>
    <w:rsid w:val="002D403B"/>
    <w:rsid w:val="002D4127"/>
    <w:rsid w:val="002D435F"/>
    <w:rsid w:val="002D49AE"/>
    <w:rsid w:val="002D4AEE"/>
    <w:rsid w:val="002D5410"/>
    <w:rsid w:val="002D6D1D"/>
    <w:rsid w:val="002D6D30"/>
    <w:rsid w:val="002D6ECF"/>
    <w:rsid w:val="002D6F00"/>
    <w:rsid w:val="002D7697"/>
    <w:rsid w:val="002D7715"/>
    <w:rsid w:val="002D77B3"/>
    <w:rsid w:val="002D7D83"/>
    <w:rsid w:val="002D7E9B"/>
    <w:rsid w:val="002E0134"/>
    <w:rsid w:val="002E090D"/>
    <w:rsid w:val="002E0CB2"/>
    <w:rsid w:val="002E0DCA"/>
    <w:rsid w:val="002E1603"/>
    <w:rsid w:val="002E1C03"/>
    <w:rsid w:val="002E233B"/>
    <w:rsid w:val="002E26D1"/>
    <w:rsid w:val="002E27F9"/>
    <w:rsid w:val="002E2A9A"/>
    <w:rsid w:val="002E33D4"/>
    <w:rsid w:val="002E35DD"/>
    <w:rsid w:val="002E38A7"/>
    <w:rsid w:val="002E4232"/>
    <w:rsid w:val="002E4708"/>
    <w:rsid w:val="002E476D"/>
    <w:rsid w:val="002E58A7"/>
    <w:rsid w:val="002E6082"/>
    <w:rsid w:val="002E6106"/>
    <w:rsid w:val="002E64F6"/>
    <w:rsid w:val="002E66DF"/>
    <w:rsid w:val="002E6A6D"/>
    <w:rsid w:val="002E6B09"/>
    <w:rsid w:val="002E6B42"/>
    <w:rsid w:val="002E6C7E"/>
    <w:rsid w:val="002E7A2F"/>
    <w:rsid w:val="002E7CF9"/>
    <w:rsid w:val="002F0604"/>
    <w:rsid w:val="002F0A3B"/>
    <w:rsid w:val="002F0AE5"/>
    <w:rsid w:val="002F0B11"/>
    <w:rsid w:val="002F0CCD"/>
    <w:rsid w:val="002F1252"/>
    <w:rsid w:val="002F13A2"/>
    <w:rsid w:val="002F1D67"/>
    <w:rsid w:val="002F23FC"/>
    <w:rsid w:val="002F2DB8"/>
    <w:rsid w:val="002F31B1"/>
    <w:rsid w:val="002F32BA"/>
    <w:rsid w:val="002F341E"/>
    <w:rsid w:val="002F34D2"/>
    <w:rsid w:val="002F354C"/>
    <w:rsid w:val="002F36D6"/>
    <w:rsid w:val="002F3742"/>
    <w:rsid w:val="002F3C5A"/>
    <w:rsid w:val="002F4094"/>
    <w:rsid w:val="002F42C9"/>
    <w:rsid w:val="002F4352"/>
    <w:rsid w:val="002F4392"/>
    <w:rsid w:val="002F4CC4"/>
    <w:rsid w:val="002F514F"/>
    <w:rsid w:val="002F59E1"/>
    <w:rsid w:val="002F5FBD"/>
    <w:rsid w:val="002F60D3"/>
    <w:rsid w:val="002F6188"/>
    <w:rsid w:val="002F6A57"/>
    <w:rsid w:val="002F6F9B"/>
    <w:rsid w:val="002F714E"/>
    <w:rsid w:val="002F731E"/>
    <w:rsid w:val="002F7ACF"/>
    <w:rsid w:val="002F7B0D"/>
    <w:rsid w:val="002F7D56"/>
    <w:rsid w:val="00300147"/>
    <w:rsid w:val="003005FC"/>
    <w:rsid w:val="00301435"/>
    <w:rsid w:val="003014AD"/>
    <w:rsid w:val="0030154F"/>
    <w:rsid w:val="003016CD"/>
    <w:rsid w:val="003022C0"/>
    <w:rsid w:val="00302796"/>
    <w:rsid w:val="003028F6"/>
    <w:rsid w:val="003029CD"/>
    <w:rsid w:val="00302D90"/>
    <w:rsid w:val="00303325"/>
    <w:rsid w:val="0030360A"/>
    <w:rsid w:val="003036CD"/>
    <w:rsid w:val="00303954"/>
    <w:rsid w:val="0030441C"/>
    <w:rsid w:val="0030444F"/>
    <w:rsid w:val="00304C2F"/>
    <w:rsid w:val="0030501D"/>
    <w:rsid w:val="003052A2"/>
    <w:rsid w:val="00305E42"/>
    <w:rsid w:val="00305E9E"/>
    <w:rsid w:val="003060E0"/>
    <w:rsid w:val="003061CA"/>
    <w:rsid w:val="00306286"/>
    <w:rsid w:val="0030647D"/>
    <w:rsid w:val="00306539"/>
    <w:rsid w:val="00306E7D"/>
    <w:rsid w:val="00307324"/>
    <w:rsid w:val="00307B77"/>
    <w:rsid w:val="00307F7C"/>
    <w:rsid w:val="003100C4"/>
    <w:rsid w:val="00310707"/>
    <w:rsid w:val="00310819"/>
    <w:rsid w:val="00310C15"/>
    <w:rsid w:val="00310E98"/>
    <w:rsid w:val="00310EA7"/>
    <w:rsid w:val="003112D4"/>
    <w:rsid w:val="0031312A"/>
    <w:rsid w:val="0031327D"/>
    <w:rsid w:val="00313824"/>
    <w:rsid w:val="00313C94"/>
    <w:rsid w:val="00313F47"/>
    <w:rsid w:val="003141C8"/>
    <w:rsid w:val="00314611"/>
    <w:rsid w:val="00314CFF"/>
    <w:rsid w:val="00315298"/>
    <w:rsid w:val="0031550B"/>
    <w:rsid w:val="00315693"/>
    <w:rsid w:val="003159F8"/>
    <w:rsid w:val="00315AE5"/>
    <w:rsid w:val="00315DA1"/>
    <w:rsid w:val="0031673A"/>
    <w:rsid w:val="00316C21"/>
    <w:rsid w:val="00316CE5"/>
    <w:rsid w:val="00316DCE"/>
    <w:rsid w:val="00316F52"/>
    <w:rsid w:val="003171AE"/>
    <w:rsid w:val="00317CA5"/>
    <w:rsid w:val="00320547"/>
    <w:rsid w:val="00320605"/>
    <w:rsid w:val="003206CF"/>
    <w:rsid w:val="00320859"/>
    <w:rsid w:val="00320D1B"/>
    <w:rsid w:val="00320EE3"/>
    <w:rsid w:val="0032115C"/>
    <w:rsid w:val="003218EC"/>
    <w:rsid w:val="003219CA"/>
    <w:rsid w:val="00321CC7"/>
    <w:rsid w:val="00322291"/>
    <w:rsid w:val="0032262E"/>
    <w:rsid w:val="00322E49"/>
    <w:rsid w:val="00323379"/>
    <w:rsid w:val="003233F2"/>
    <w:rsid w:val="0032373B"/>
    <w:rsid w:val="00323996"/>
    <w:rsid w:val="00324FFA"/>
    <w:rsid w:val="003253A3"/>
    <w:rsid w:val="003260A6"/>
    <w:rsid w:val="00326629"/>
    <w:rsid w:val="00327030"/>
    <w:rsid w:val="00327919"/>
    <w:rsid w:val="00327988"/>
    <w:rsid w:val="00327F5A"/>
    <w:rsid w:val="00330B9D"/>
    <w:rsid w:val="00330C44"/>
    <w:rsid w:val="00330E1D"/>
    <w:rsid w:val="00330E98"/>
    <w:rsid w:val="00330EB6"/>
    <w:rsid w:val="00331592"/>
    <w:rsid w:val="00331601"/>
    <w:rsid w:val="00331761"/>
    <w:rsid w:val="00331956"/>
    <w:rsid w:val="00331A97"/>
    <w:rsid w:val="00331B4B"/>
    <w:rsid w:val="00331BFC"/>
    <w:rsid w:val="00331CC0"/>
    <w:rsid w:val="00331F20"/>
    <w:rsid w:val="0033202A"/>
    <w:rsid w:val="003323D1"/>
    <w:rsid w:val="0033242D"/>
    <w:rsid w:val="00332580"/>
    <w:rsid w:val="0033294B"/>
    <w:rsid w:val="00332E83"/>
    <w:rsid w:val="0033375A"/>
    <w:rsid w:val="0033376E"/>
    <w:rsid w:val="00333966"/>
    <w:rsid w:val="00334449"/>
    <w:rsid w:val="0033514E"/>
    <w:rsid w:val="0033539B"/>
    <w:rsid w:val="00335DBC"/>
    <w:rsid w:val="00336610"/>
    <w:rsid w:val="00336BF8"/>
    <w:rsid w:val="00337090"/>
    <w:rsid w:val="0033758E"/>
    <w:rsid w:val="00337CB7"/>
    <w:rsid w:val="00337E85"/>
    <w:rsid w:val="00337F84"/>
    <w:rsid w:val="00340189"/>
    <w:rsid w:val="00340396"/>
    <w:rsid w:val="0034116E"/>
    <w:rsid w:val="00341432"/>
    <w:rsid w:val="003415BD"/>
    <w:rsid w:val="00342BE1"/>
    <w:rsid w:val="00343085"/>
    <w:rsid w:val="0034323C"/>
    <w:rsid w:val="00343260"/>
    <w:rsid w:val="003437C0"/>
    <w:rsid w:val="0034424F"/>
    <w:rsid w:val="00344EE9"/>
    <w:rsid w:val="003450C7"/>
    <w:rsid w:val="003457CC"/>
    <w:rsid w:val="00345EB5"/>
    <w:rsid w:val="00345F9A"/>
    <w:rsid w:val="00346709"/>
    <w:rsid w:val="00346BB6"/>
    <w:rsid w:val="003471AF"/>
    <w:rsid w:val="003473AE"/>
    <w:rsid w:val="003474B4"/>
    <w:rsid w:val="003502B1"/>
    <w:rsid w:val="00350424"/>
    <w:rsid w:val="00350626"/>
    <w:rsid w:val="00350AAD"/>
    <w:rsid w:val="00350C00"/>
    <w:rsid w:val="0035170D"/>
    <w:rsid w:val="00351AAF"/>
    <w:rsid w:val="00351B39"/>
    <w:rsid w:val="00351C9B"/>
    <w:rsid w:val="003526FB"/>
    <w:rsid w:val="003528E9"/>
    <w:rsid w:val="0035326C"/>
    <w:rsid w:val="0035341B"/>
    <w:rsid w:val="00353E7B"/>
    <w:rsid w:val="003543C7"/>
    <w:rsid w:val="00354F09"/>
    <w:rsid w:val="003557BF"/>
    <w:rsid w:val="00355B2A"/>
    <w:rsid w:val="00355B2F"/>
    <w:rsid w:val="00355CA0"/>
    <w:rsid w:val="00356B01"/>
    <w:rsid w:val="0035717E"/>
    <w:rsid w:val="00357934"/>
    <w:rsid w:val="00357B7B"/>
    <w:rsid w:val="00357CCC"/>
    <w:rsid w:val="00357DB3"/>
    <w:rsid w:val="00357FD4"/>
    <w:rsid w:val="00360328"/>
    <w:rsid w:val="003606F2"/>
    <w:rsid w:val="00360F61"/>
    <w:rsid w:val="00360F81"/>
    <w:rsid w:val="00361349"/>
    <w:rsid w:val="003613CA"/>
    <w:rsid w:val="0036144B"/>
    <w:rsid w:val="003619B7"/>
    <w:rsid w:val="00361C3A"/>
    <w:rsid w:val="00362BC6"/>
    <w:rsid w:val="00362D28"/>
    <w:rsid w:val="00363014"/>
    <w:rsid w:val="0036314C"/>
    <w:rsid w:val="00363292"/>
    <w:rsid w:val="003634E2"/>
    <w:rsid w:val="00363E80"/>
    <w:rsid w:val="00364A4D"/>
    <w:rsid w:val="00364AC3"/>
    <w:rsid w:val="00364F6E"/>
    <w:rsid w:val="0036503F"/>
    <w:rsid w:val="00365D10"/>
    <w:rsid w:val="00365FEC"/>
    <w:rsid w:val="00366116"/>
    <w:rsid w:val="003664FB"/>
    <w:rsid w:val="00366602"/>
    <w:rsid w:val="00366F68"/>
    <w:rsid w:val="00366F89"/>
    <w:rsid w:val="00367FC8"/>
    <w:rsid w:val="00370054"/>
    <w:rsid w:val="003707F1"/>
    <w:rsid w:val="00370FD3"/>
    <w:rsid w:val="00371795"/>
    <w:rsid w:val="00371DA2"/>
    <w:rsid w:val="00371ED2"/>
    <w:rsid w:val="00372143"/>
    <w:rsid w:val="00372E48"/>
    <w:rsid w:val="003730FD"/>
    <w:rsid w:val="003734CD"/>
    <w:rsid w:val="00373765"/>
    <w:rsid w:val="00374360"/>
    <w:rsid w:val="00374541"/>
    <w:rsid w:val="0037537C"/>
    <w:rsid w:val="00375BFB"/>
    <w:rsid w:val="00375CFA"/>
    <w:rsid w:val="00375CFB"/>
    <w:rsid w:val="00375FFC"/>
    <w:rsid w:val="00376D59"/>
    <w:rsid w:val="00377446"/>
    <w:rsid w:val="0038028A"/>
    <w:rsid w:val="00380E3A"/>
    <w:rsid w:val="00380F26"/>
    <w:rsid w:val="003816BA"/>
    <w:rsid w:val="0038171C"/>
    <w:rsid w:val="00381D75"/>
    <w:rsid w:val="00381FFA"/>
    <w:rsid w:val="003824A6"/>
    <w:rsid w:val="00382752"/>
    <w:rsid w:val="00382C2D"/>
    <w:rsid w:val="00382D02"/>
    <w:rsid w:val="00383057"/>
    <w:rsid w:val="00383149"/>
    <w:rsid w:val="0038318F"/>
    <w:rsid w:val="00383B36"/>
    <w:rsid w:val="00383EB6"/>
    <w:rsid w:val="00384B43"/>
    <w:rsid w:val="00384E25"/>
    <w:rsid w:val="003856B9"/>
    <w:rsid w:val="00385961"/>
    <w:rsid w:val="00385997"/>
    <w:rsid w:val="00385CA8"/>
    <w:rsid w:val="003860FF"/>
    <w:rsid w:val="00386AF2"/>
    <w:rsid w:val="003879AC"/>
    <w:rsid w:val="00387C0A"/>
    <w:rsid w:val="00387D34"/>
    <w:rsid w:val="00390C1C"/>
    <w:rsid w:val="003917A2"/>
    <w:rsid w:val="00391D66"/>
    <w:rsid w:val="00391EC9"/>
    <w:rsid w:val="00391F87"/>
    <w:rsid w:val="0039239E"/>
    <w:rsid w:val="003923AA"/>
    <w:rsid w:val="003933CC"/>
    <w:rsid w:val="00393774"/>
    <w:rsid w:val="0039389C"/>
    <w:rsid w:val="00393942"/>
    <w:rsid w:val="00393CA9"/>
    <w:rsid w:val="00394479"/>
    <w:rsid w:val="0039463E"/>
    <w:rsid w:val="003948CA"/>
    <w:rsid w:val="00394C9A"/>
    <w:rsid w:val="00394D11"/>
    <w:rsid w:val="003957A6"/>
    <w:rsid w:val="00395C9F"/>
    <w:rsid w:val="00396411"/>
    <w:rsid w:val="0039657E"/>
    <w:rsid w:val="003974E0"/>
    <w:rsid w:val="00397656"/>
    <w:rsid w:val="00397FEE"/>
    <w:rsid w:val="003A076B"/>
    <w:rsid w:val="003A092F"/>
    <w:rsid w:val="003A0AE0"/>
    <w:rsid w:val="003A1884"/>
    <w:rsid w:val="003A1953"/>
    <w:rsid w:val="003A19B1"/>
    <w:rsid w:val="003A19B9"/>
    <w:rsid w:val="003A1A2F"/>
    <w:rsid w:val="003A1D0A"/>
    <w:rsid w:val="003A2436"/>
    <w:rsid w:val="003A2BE1"/>
    <w:rsid w:val="003A32B1"/>
    <w:rsid w:val="003A3832"/>
    <w:rsid w:val="003A416B"/>
    <w:rsid w:val="003A4193"/>
    <w:rsid w:val="003A42D0"/>
    <w:rsid w:val="003A47F7"/>
    <w:rsid w:val="003A4A4D"/>
    <w:rsid w:val="003A4B1B"/>
    <w:rsid w:val="003A4BE2"/>
    <w:rsid w:val="003A4E48"/>
    <w:rsid w:val="003A4F1A"/>
    <w:rsid w:val="003A4FEE"/>
    <w:rsid w:val="003A5B8E"/>
    <w:rsid w:val="003A5F50"/>
    <w:rsid w:val="003A6C34"/>
    <w:rsid w:val="003A6FF3"/>
    <w:rsid w:val="003A7CAA"/>
    <w:rsid w:val="003A7CE3"/>
    <w:rsid w:val="003B00EB"/>
    <w:rsid w:val="003B117A"/>
    <w:rsid w:val="003B1306"/>
    <w:rsid w:val="003B13FF"/>
    <w:rsid w:val="003B1AA4"/>
    <w:rsid w:val="003B1E35"/>
    <w:rsid w:val="003B212E"/>
    <w:rsid w:val="003B268B"/>
    <w:rsid w:val="003B27C7"/>
    <w:rsid w:val="003B289D"/>
    <w:rsid w:val="003B2C90"/>
    <w:rsid w:val="003B3641"/>
    <w:rsid w:val="003B3743"/>
    <w:rsid w:val="003B4828"/>
    <w:rsid w:val="003B4B1D"/>
    <w:rsid w:val="003B5120"/>
    <w:rsid w:val="003B54C0"/>
    <w:rsid w:val="003B5804"/>
    <w:rsid w:val="003B5B07"/>
    <w:rsid w:val="003B5EB2"/>
    <w:rsid w:val="003B6647"/>
    <w:rsid w:val="003B67E2"/>
    <w:rsid w:val="003B7256"/>
    <w:rsid w:val="003B7359"/>
    <w:rsid w:val="003B7D6C"/>
    <w:rsid w:val="003B7F5D"/>
    <w:rsid w:val="003C0294"/>
    <w:rsid w:val="003C08FC"/>
    <w:rsid w:val="003C0901"/>
    <w:rsid w:val="003C0A19"/>
    <w:rsid w:val="003C0A33"/>
    <w:rsid w:val="003C0C30"/>
    <w:rsid w:val="003C17B3"/>
    <w:rsid w:val="003C1B93"/>
    <w:rsid w:val="003C1CD8"/>
    <w:rsid w:val="003C27CA"/>
    <w:rsid w:val="003C2AF6"/>
    <w:rsid w:val="003C319F"/>
    <w:rsid w:val="003C3359"/>
    <w:rsid w:val="003C365C"/>
    <w:rsid w:val="003C39B7"/>
    <w:rsid w:val="003C3ECD"/>
    <w:rsid w:val="003C41BC"/>
    <w:rsid w:val="003C4E32"/>
    <w:rsid w:val="003C4ED6"/>
    <w:rsid w:val="003C5A81"/>
    <w:rsid w:val="003C5EAC"/>
    <w:rsid w:val="003C65EB"/>
    <w:rsid w:val="003C706E"/>
    <w:rsid w:val="003C7339"/>
    <w:rsid w:val="003C76BD"/>
    <w:rsid w:val="003C7D97"/>
    <w:rsid w:val="003D0282"/>
    <w:rsid w:val="003D0321"/>
    <w:rsid w:val="003D032C"/>
    <w:rsid w:val="003D0399"/>
    <w:rsid w:val="003D2224"/>
    <w:rsid w:val="003D2577"/>
    <w:rsid w:val="003D3036"/>
    <w:rsid w:val="003D317B"/>
    <w:rsid w:val="003D39B2"/>
    <w:rsid w:val="003D3AC5"/>
    <w:rsid w:val="003D3CC5"/>
    <w:rsid w:val="003D3D18"/>
    <w:rsid w:val="003D4A31"/>
    <w:rsid w:val="003D4D46"/>
    <w:rsid w:val="003D6112"/>
    <w:rsid w:val="003D67AF"/>
    <w:rsid w:val="003D6BC8"/>
    <w:rsid w:val="003D6E55"/>
    <w:rsid w:val="003D7637"/>
    <w:rsid w:val="003D7AEC"/>
    <w:rsid w:val="003D7E91"/>
    <w:rsid w:val="003E0856"/>
    <w:rsid w:val="003E0A59"/>
    <w:rsid w:val="003E0A5E"/>
    <w:rsid w:val="003E0B17"/>
    <w:rsid w:val="003E1CA5"/>
    <w:rsid w:val="003E1CB6"/>
    <w:rsid w:val="003E2130"/>
    <w:rsid w:val="003E25C1"/>
    <w:rsid w:val="003E33DE"/>
    <w:rsid w:val="003E3730"/>
    <w:rsid w:val="003E3C0F"/>
    <w:rsid w:val="003E3DD1"/>
    <w:rsid w:val="003E47E9"/>
    <w:rsid w:val="003E6025"/>
    <w:rsid w:val="003E684F"/>
    <w:rsid w:val="003E6A7F"/>
    <w:rsid w:val="003E6E14"/>
    <w:rsid w:val="003E7B21"/>
    <w:rsid w:val="003E7C38"/>
    <w:rsid w:val="003E7F96"/>
    <w:rsid w:val="003F0250"/>
    <w:rsid w:val="003F09BA"/>
    <w:rsid w:val="003F09C8"/>
    <w:rsid w:val="003F0B42"/>
    <w:rsid w:val="003F1110"/>
    <w:rsid w:val="003F13AC"/>
    <w:rsid w:val="003F13B0"/>
    <w:rsid w:val="003F1EB5"/>
    <w:rsid w:val="003F2A46"/>
    <w:rsid w:val="003F2B1B"/>
    <w:rsid w:val="003F2BCF"/>
    <w:rsid w:val="003F2EEB"/>
    <w:rsid w:val="003F33CF"/>
    <w:rsid w:val="003F45ED"/>
    <w:rsid w:val="003F502C"/>
    <w:rsid w:val="003F5042"/>
    <w:rsid w:val="003F53F0"/>
    <w:rsid w:val="003F5464"/>
    <w:rsid w:val="003F5644"/>
    <w:rsid w:val="003F684A"/>
    <w:rsid w:val="003F6D42"/>
    <w:rsid w:val="003F6E9C"/>
    <w:rsid w:val="003F736F"/>
    <w:rsid w:val="003F7531"/>
    <w:rsid w:val="003F7B08"/>
    <w:rsid w:val="00400C51"/>
    <w:rsid w:val="0040122B"/>
    <w:rsid w:val="00401304"/>
    <w:rsid w:val="004016CB"/>
    <w:rsid w:val="004017BC"/>
    <w:rsid w:val="004019D8"/>
    <w:rsid w:val="00401D93"/>
    <w:rsid w:val="00401DB9"/>
    <w:rsid w:val="0040259D"/>
    <w:rsid w:val="00403F54"/>
    <w:rsid w:val="0040422D"/>
    <w:rsid w:val="0040439C"/>
    <w:rsid w:val="00404648"/>
    <w:rsid w:val="00404A86"/>
    <w:rsid w:val="00404FB4"/>
    <w:rsid w:val="00406BEC"/>
    <w:rsid w:val="00406D1B"/>
    <w:rsid w:val="0040712E"/>
    <w:rsid w:val="00407236"/>
    <w:rsid w:val="00407639"/>
    <w:rsid w:val="0040772E"/>
    <w:rsid w:val="00407D1B"/>
    <w:rsid w:val="00407D78"/>
    <w:rsid w:val="00407D8F"/>
    <w:rsid w:val="00407DC4"/>
    <w:rsid w:val="004104B7"/>
    <w:rsid w:val="00410AB6"/>
    <w:rsid w:val="00410B4D"/>
    <w:rsid w:val="00410E58"/>
    <w:rsid w:val="00411039"/>
    <w:rsid w:val="00411066"/>
    <w:rsid w:val="00411123"/>
    <w:rsid w:val="004111FF"/>
    <w:rsid w:val="0041151A"/>
    <w:rsid w:val="00411657"/>
    <w:rsid w:val="00411B70"/>
    <w:rsid w:val="004123C4"/>
    <w:rsid w:val="0041247A"/>
    <w:rsid w:val="00413226"/>
    <w:rsid w:val="00413ABE"/>
    <w:rsid w:val="00413B10"/>
    <w:rsid w:val="004146A4"/>
    <w:rsid w:val="00414B51"/>
    <w:rsid w:val="00414BC1"/>
    <w:rsid w:val="00414CDA"/>
    <w:rsid w:val="00415247"/>
    <w:rsid w:val="004155DE"/>
    <w:rsid w:val="00415899"/>
    <w:rsid w:val="00415DE2"/>
    <w:rsid w:val="00415E6E"/>
    <w:rsid w:val="004164AF"/>
    <w:rsid w:val="0041680D"/>
    <w:rsid w:val="00416B3F"/>
    <w:rsid w:val="004170AA"/>
    <w:rsid w:val="00417340"/>
    <w:rsid w:val="004174E4"/>
    <w:rsid w:val="0041781A"/>
    <w:rsid w:val="0041791E"/>
    <w:rsid w:val="00417998"/>
    <w:rsid w:val="00417A89"/>
    <w:rsid w:val="00417BEA"/>
    <w:rsid w:val="00417D9A"/>
    <w:rsid w:val="00420012"/>
    <w:rsid w:val="0042007A"/>
    <w:rsid w:val="0042032B"/>
    <w:rsid w:val="00420970"/>
    <w:rsid w:val="00420ABF"/>
    <w:rsid w:val="00420BA8"/>
    <w:rsid w:val="00421094"/>
    <w:rsid w:val="00421CE1"/>
    <w:rsid w:val="00421DFA"/>
    <w:rsid w:val="00422175"/>
    <w:rsid w:val="0042219F"/>
    <w:rsid w:val="00422A95"/>
    <w:rsid w:val="00422B63"/>
    <w:rsid w:val="00422EE8"/>
    <w:rsid w:val="0042301C"/>
    <w:rsid w:val="0042380E"/>
    <w:rsid w:val="004244FB"/>
    <w:rsid w:val="00424699"/>
    <w:rsid w:val="00425067"/>
    <w:rsid w:val="00425546"/>
    <w:rsid w:val="0042574C"/>
    <w:rsid w:val="00425925"/>
    <w:rsid w:val="004266C6"/>
    <w:rsid w:val="00426A54"/>
    <w:rsid w:val="00426B2C"/>
    <w:rsid w:val="0042778C"/>
    <w:rsid w:val="0042791B"/>
    <w:rsid w:val="004279F7"/>
    <w:rsid w:val="00427BA8"/>
    <w:rsid w:val="0043024F"/>
    <w:rsid w:val="004312FF"/>
    <w:rsid w:val="00431EF1"/>
    <w:rsid w:val="00432538"/>
    <w:rsid w:val="004330FA"/>
    <w:rsid w:val="00433799"/>
    <w:rsid w:val="00433808"/>
    <w:rsid w:val="00434293"/>
    <w:rsid w:val="004342AA"/>
    <w:rsid w:val="00434542"/>
    <w:rsid w:val="00435595"/>
    <w:rsid w:val="00435837"/>
    <w:rsid w:val="00435B0F"/>
    <w:rsid w:val="00435B7C"/>
    <w:rsid w:val="00435BEC"/>
    <w:rsid w:val="00436107"/>
    <w:rsid w:val="00436A65"/>
    <w:rsid w:val="00436E4D"/>
    <w:rsid w:val="00437536"/>
    <w:rsid w:val="0043795D"/>
    <w:rsid w:val="00440A8D"/>
    <w:rsid w:val="00440DED"/>
    <w:rsid w:val="00440E01"/>
    <w:rsid w:val="0044175F"/>
    <w:rsid w:val="004417CC"/>
    <w:rsid w:val="0044205A"/>
    <w:rsid w:val="00442A52"/>
    <w:rsid w:val="00442C4B"/>
    <w:rsid w:val="00442DA5"/>
    <w:rsid w:val="00442F75"/>
    <w:rsid w:val="004432B8"/>
    <w:rsid w:val="00443900"/>
    <w:rsid w:val="00443DB5"/>
    <w:rsid w:val="00443E4F"/>
    <w:rsid w:val="0044403E"/>
    <w:rsid w:val="0044449C"/>
    <w:rsid w:val="0044469A"/>
    <w:rsid w:val="004449C3"/>
    <w:rsid w:val="004449F8"/>
    <w:rsid w:val="00444C3B"/>
    <w:rsid w:val="004455BD"/>
    <w:rsid w:val="0044596F"/>
    <w:rsid w:val="00445B37"/>
    <w:rsid w:val="00445C1F"/>
    <w:rsid w:val="00445E5A"/>
    <w:rsid w:val="00446072"/>
    <w:rsid w:val="00446636"/>
    <w:rsid w:val="004469C2"/>
    <w:rsid w:val="00446B1E"/>
    <w:rsid w:val="00447293"/>
    <w:rsid w:val="004475AF"/>
    <w:rsid w:val="0044778B"/>
    <w:rsid w:val="00447B6C"/>
    <w:rsid w:val="00447D50"/>
    <w:rsid w:val="00447EEE"/>
    <w:rsid w:val="0045069E"/>
    <w:rsid w:val="00450819"/>
    <w:rsid w:val="00450CEC"/>
    <w:rsid w:val="00450E0C"/>
    <w:rsid w:val="00451029"/>
    <w:rsid w:val="00451229"/>
    <w:rsid w:val="00451527"/>
    <w:rsid w:val="00451653"/>
    <w:rsid w:val="0045191E"/>
    <w:rsid w:val="00451E62"/>
    <w:rsid w:val="004525C7"/>
    <w:rsid w:val="0045283C"/>
    <w:rsid w:val="00453019"/>
    <w:rsid w:val="0045388D"/>
    <w:rsid w:val="00453B20"/>
    <w:rsid w:val="0045411A"/>
    <w:rsid w:val="0045419A"/>
    <w:rsid w:val="004543DF"/>
    <w:rsid w:val="00454853"/>
    <w:rsid w:val="00454894"/>
    <w:rsid w:val="00454B7A"/>
    <w:rsid w:val="004550EE"/>
    <w:rsid w:val="004558DB"/>
    <w:rsid w:val="00456B53"/>
    <w:rsid w:val="00456B8C"/>
    <w:rsid w:val="00456D1A"/>
    <w:rsid w:val="00456DB9"/>
    <w:rsid w:val="00456E28"/>
    <w:rsid w:val="00456EAC"/>
    <w:rsid w:val="00457280"/>
    <w:rsid w:val="004609B7"/>
    <w:rsid w:val="00460F3E"/>
    <w:rsid w:val="00461102"/>
    <w:rsid w:val="004612B3"/>
    <w:rsid w:val="00461B41"/>
    <w:rsid w:val="00461C0C"/>
    <w:rsid w:val="00462643"/>
    <w:rsid w:val="00462946"/>
    <w:rsid w:val="00462C9A"/>
    <w:rsid w:val="00462ED3"/>
    <w:rsid w:val="00463668"/>
    <w:rsid w:val="00463ADD"/>
    <w:rsid w:val="00463C28"/>
    <w:rsid w:val="00463C83"/>
    <w:rsid w:val="004643E9"/>
    <w:rsid w:val="00464DF1"/>
    <w:rsid w:val="00464F29"/>
    <w:rsid w:val="004655EF"/>
    <w:rsid w:val="0046564F"/>
    <w:rsid w:val="00466027"/>
    <w:rsid w:val="004660BF"/>
    <w:rsid w:val="00466F3C"/>
    <w:rsid w:val="00466F68"/>
    <w:rsid w:val="004672F8"/>
    <w:rsid w:val="0047019B"/>
    <w:rsid w:val="00470538"/>
    <w:rsid w:val="00470565"/>
    <w:rsid w:val="0047072A"/>
    <w:rsid w:val="00470E83"/>
    <w:rsid w:val="00471451"/>
    <w:rsid w:val="00471457"/>
    <w:rsid w:val="00471B8A"/>
    <w:rsid w:val="00471FF9"/>
    <w:rsid w:val="00472278"/>
    <w:rsid w:val="004723F7"/>
    <w:rsid w:val="004725A6"/>
    <w:rsid w:val="004736BE"/>
    <w:rsid w:val="004736D0"/>
    <w:rsid w:val="00474432"/>
    <w:rsid w:val="0047523A"/>
    <w:rsid w:val="00475D0E"/>
    <w:rsid w:val="00475F7D"/>
    <w:rsid w:val="0047629D"/>
    <w:rsid w:val="00476602"/>
    <w:rsid w:val="00476C5A"/>
    <w:rsid w:val="00476C91"/>
    <w:rsid w:val="00477739"/>
    <w:rsid w:val="00480A52"/>
    <w:rsid w:val="00481421"/>
    <w:rsid w:val="004817DB"/>
    <w:rsid w:val="00481D9A"/>
    <w:rsid w:val="00481DB1"/>
    <w:rsid w:val="00481E66"/>
    <w:rsid w:val="0048209B"/>
    <w:rsid w:val="00482534"/>
    <w:rsid w:val="004826FE"/>
    <w:rsid w:val="00482A6B"/>
    <w:rsid w:val="00482D3B"/>
    <w:rsid w:val="0048348E"/>
    <w:rsid w:val="004836D5"/>
    <w:rsid w:val="004840B6"/>
    <w:rsid w:val="004844F8"/>
    <w:rsid w:val="00484A42"/>
    <w:rsid w:val="004851B7"/>
    <w:rsid w:val="00485398"/>
    <w:rsid w:val="00485549"/>
    <w:rsid w:val="00485746"/>
    <w:rsid w:val="00485AE9"/>
    <w:rsid w:val="0048631F"/>
    <w:rsid w:val="004863D8"/>
    <w:rsid w:val="0048687F"/>
    <w:rsid w:val="00486955"/>
    <w:rsid w:val="004871AA"/>
    <w:rsid w:val="004877E2"/>
    <w:rsid w:val="0049056E"/>
    <w:rsid w:val="00490644"/>
    <w:rsid w:val="00490948"/>
    <w:rsid w:val="00490BA4"/>
    <w:rsid w:val="00491B1E"/>
    <w:rsid w:val="00491C96"/>
    <w:rsid w:val="004923E7"/>
    <w:rsid w:val="004923F3"/>
    <w:rsid w:val="0049299F"/>
    <w:rsid w:val="00492FCF"/>
    <w:rsid w:val="004933F1"/>
    <w:rsid w:val="00493E60"/>
    <w:rsid w:val="0049521A"/>
    <w:rsid w:val="00495229"/>
    <w:rsid w:val="004957E9"/>
    <w:rsid w:val="00495B81"/>
    <w:rsid w:val="00495E0E"/>
    <w:rsid w:val="00496333"/>
    <w:rsid w:val="004963BF"/>
    <w:rsid w:val="00496760"/>
    <w:rsid w:val="00496A1F"/>
    <w:rsid w:val="00496B62"/>
    <w:rsid w:val="00496BDC"/>
    <w:rsid w:val="00497271"/>
    <w:rsid w:val="004973E2"/>
    <w:rsid w:val="00497427"/>
    <w:rsid w:val="00497613"/>
    <w:rsid w:val="0049791D"/>
    <w:rsid w:val="004A032D"/>
    <w:rsid w:val="004A073B"/>
    <w:rsid w:val="004A0792"/>
    <w:rsid w:val="004A1036"/>
    <w:rsid w:val="004A15C6"/>
    <w:rsid w:val="004A1C07"/>
    <w:rsid w:val="004A1F50"/>
    <w:rsid w:val="004A2700"/>
    <w:rsid w:val="004A2C11"/>
    <w:rsid w:val="004A3294"/>
    <w:rsid w:val="004A37B1"/>
    <w:rsid w:val="004A3B6E"/>
    <w:rsid w:val="004A3DF4"/>
    <w:rsid w:val="004A4109"/>
    <w:rsid w:val="004A46DB"/>
    <w:rsid w:val="004A46F3"/>
    <w:rsid w:val="004A4A91"/>
    <w:rsid w:val="004A5459"/>
    <w:rsid w:val="004A56AD"/>
    <w:rsid w:val="004A5845"/>
    <w:rsid w:val="004A5AD2"/>
    <w:rsid w:val="004A5BC5"/>
    <w:rsid w:val="004A620C"/>
    <w:rsid w:val="004A6360"/>
    <w:rsid w:val="004A67CA"/>
    <w:rsid w:val="004A6BC3"/>
    <w:rsid w:val="004A6D45"/>
    <w:rsid w:val="004A6F94"/>
    <w:rsid w:val="004A7216"/>
    <w:rsid w:val="004A741F"/>
    <w:rsid w:val="004A74C0"/>
    <w:rsid w:val="004A7528"/>
    <w:rsid w:val="004A772B"/>
    <w:rsid w:val="004A7B6D"/>
    <w:rsid w:val="004A7DB2"/>
    <w:rsid w:val="004A7E7F"/>
    <w:rsid w:val="004B01E2"/>
    <w:rsid w:val="004B0AAC"/>
    <w:rsid w:val="004B0AFA"/>
    <w:rsid w:val="004B0CAD"/>
    <w:rsid w:val="004B1693"/>
    <w:rsid w:val="004B1731"/>
    <w:rsid w:val="004B176E"/>
    <w:rsid w:val="004B2142"/>
    <w:rsid w:val="004B2873"/>
    <w:rsid w:val="004B2BAC"/>
    <w:rsid w:val="004B2C39"/>
    <w:rsid w:val="004B30D9"/>
    <w:rsid w:val="004B3D40"/>
    <w:rsid w:val="004B42C9"/>
    <w:rsid w:val="004B43AD"/>
    <w:rsid w:val="004B45C2"/>
    <w:rsid w:val="004B53BC"/>
    <w:rsid w:val="004B56D9"/>
    <w:rsid w:val="004B59DB"/>
    <w:rsid w:val="004B5A4C"/>
    <w:rsid w:val="004B5A58"/>
    <w:rsid w:val="004B6081"/>
    <w:rsid w:val="004B627E"/>
    <w:rsid w:val="004B699C"/>
    <w:rsid w:val="004B6BBD"/>
    <w:rsid w:val="004B7094"/>
    <w:rsid w:val="004B7457"/>
    <w:rsid w:val="004B7E06"/>
    <w:rsid w:val="004C0012"/>
    <w:rsid w:val="004C0B64"/>
    <w:rsid w:val="004C11CF"/>
    <w:rsid w:val="004C1CA1"/>
    <w:rsid w:val="004C212C"/>
    <w:rsid w:val="004C235F"/>
    <w:rsid w:val="004C284E"/>
    <w:rsid w:val="004C2850"/>
    <w:rsid w:val="004C2934"/>
    <w:rsid w:val="004C32CD"/>
    <w:rsid w:val="004C3B12"/>
    <w:rsid w:val="004C3C5E"/>
    <w:rsid w:val="004C4279"/>
    <w:rsid w:val="004C46BA"/>
    <w:rsid w:val="004C4814"/>
    <w:rsid w:val="004C51D2"/>
    <w:rsid w:val="004C5327"/>
    <w:rsid w:val="004C5441"/>
    <w:rsid w:val="004C5DC8"/>
    <w:rsid w:val="004C5EBA"/>
    <w:rsid w:val="004C5ED3"/>
    <w:rsid w:val="004C6673"/>
    <w:rsid w:val="004C697E"/>
    <w:rsid w:val="004C77A2"/>
    <w:rsid w:val="004D0491"/>
    <w:rsid w:val="004D0624"/>
    <w:rsid w:val="004D0682"/>
    <w:rsid w:val="004D0CAE"/>
    <w:rsid w:val="004D121E"/>
    <w:rsid w:val="004D1970"/>
    <w:rsid w:val="004D1CFC"/>
    <w:rsid w:val="004D1F35"/>
    <w:rsid w:val="004D1FBF"/>
    <w:rsid w:val="004D29B9"/>
    <w:rsid w:val="004D29E3"/>
    <w:rsid w:val="004D2C51"/>
    <w:rsid w:val="004D353D"/>
    <w:rsid w:val="004D3AD3"/>
    <w:rsid w:val="004D3F11"/>
    <w:rsid w:val="004D4858"/>
    <w:rsid w:val="004D4E7B"/>
    <w:rsid w:val="004D520D"/>
    <w:rsid w:val="004D5792"/>
    <w:rsid w:val="004D5E48"/>
    <w:rsid w:val="004D6091"/>
    <w:rsid w:val="004D61AC"/>
    <w:rsid w:val="004D644E"/>
    <w:rsid w:val="004D6AF1"/>
    <w:rsid w:val="004D6BD9"/>
    <w:rsid w:val="004D71BB"/>
    <w:rsid w:val="004D7483"/>
    <w:rsid w:val="004D76F2"/>
    <w:rsid w:val="004D7750"/>
    <w:rsid w:val="004D785A"/>
    <w:rsid w:val="004E02A2"/>
    <w:rsid w:val="004E0935"/>
    <w:rsid w:val="004E0C9D"/>
    <w:rsid w:val="004E0E9B"/>
    <w:rsid w:val="004E1146"/>
    <w:rsid w:val="004E173D"/>
    <w:rsid w:val="004E25DA"/>
    <w:rsid w:val="004E28C6"/>
    <w:rsid w:val="004E29AB"/>
    <w:rsid w:val="004E3178"/>
    <w:rsid w:val="004E323A"/>
    <w:rsid w:val="004E4044"/>
    <w:rsid w:val="004E4106"/>
    <w:rsid w:val="004E415A"/>
    <w:rsid w:val="004E4F14"/>
    <w:rsid w:val="004E6C69"/>
    <w:rsid w:val="004E75D2"/>
    <w:rsid w:val="004E799D"/>
    <w:rsid w:val="004E7B34"/>
    <w:rsid w:val="004F0106"/>
    <w:rsid w:val="004F03D8"/>
    <w:rsid w:val="004F0DBD"/>
    <w:rsid w:val="004F0DFC"/>
    <w:rsid w:val="004F1276"/>
    <w:rsid w:val="004F1B1E"/>
    <w:rsid w:val="004F1D39"/>
    <w:rsid w:val="004F1EAC"/>
    <w:rsid w:val="004F2A0D"/>
    <w:rsid w:val="004F3D12"/>
    <w:rsid w:val="004F3D95"/>
    <w:rsid w:val="004F3DE1"/>
    <w:rsid w:val="004F3EAA"/>
    <w:rsid w:val="004F3FB0"/>
    <w:rsid w:val="004F407C"/>
    <w:rsid w:val="004F418A"/>
    <w:rsid w:val="004F4295"/>
    <w:rsid w:val="004F458B"/>
    <w:rsid w:val="004F4BC9"/>
    <w:rsid w:val="004F578A"/>
    <w:rsid w:val="004F589A"/>
    <w:rsid w:val="004F658E"/>
    <w:rsid w:val="004F7B46"/>
    <w:rsid w:val="005003DD"/>
    <w:rsid w:val="0050060A"/>
    <w:rsid w:val="00500CAB"/>
    <w:rsid w:val="00501A84"/>
    <w:rsid w:val="00501C1C"/>
    <w:rsid w:val="00501C42"/>
    <w:rsid w:val="00501CE2"/>
    <w:rsid w:val="005020B3"/>
    <w:rsid w:val="00502680"/>
    <w:rsid w:val="0050270E"/>
    <w:rsid w:val="0050379B"/>
    <w:rsid w:val="00503A7E"/>
    <w:rsid w:val="00504431"/>
    <w:rsid w:val="00504AA9"/>
    <w:rsid w:val="00504C62"/>
    <w:rsid w:val="00505011"/>
    <w:rsid w:val="0050504B"/>
    <w:rsid w:val="00505229"/>
    <w:rsid w:val="00505864"/>
    <w:rsid w:val="00505885"/>
    <w:rsid w:val="005058CF"/>
    <w:rsid w:val="00505B8A"/>
    <w:rsid w:val="00505DC4"/>
    <w:rsid w:val="00506B05"/>
    <w:rsid w:val="00506EA5"/>
    <w:rsid w:val="0050784A"/>
    <w:rsid w:val="00507B97"/>
    <w:rsid w:val="00507E9E"/>
    <w:rsid w:val="00510757"/>
    <w:rsid w:val="00510E3F"/>
    <w:rsid w:val="00511674"/>
    <w:rsid w:val="005117D9"/>
    <w:rsid w:val="00511B6C"/>
    <w:rsid w:val="00511D19"/>
    <w:rsid w:val="0051233E"/>
    <w:rsid w:val="0051246D"/>
    <w:rsid w:val="005128AF"/>
    <w:rsid w:val="00512CCD"/>
    <w:rsid w:val="00513422"/>
    <w:rsid w:val="005134D5"/>
    <w:rsid w:val="005136D4"/>
    <w:rsid w:val="00513B3F"/>
    <w:rsid w:val="00513EBD"/>
    <w:rsid w:val="00514256"/>
    <w:rsid w:val="00514509"/>
    <w:rsid w:val="00514F3D"/>
    <w:rsid w:val="00515323"/>
    <w:rsid w:val="00515CCD"/>
    <w:rsid w:val="00516460"/>
    <w:rsid w:val="005165AB"/>
    <w:rsid w:val="0051730F"/>
    <w:rsid w:val="0052012A"/>
    <w:rsid w:val="00521796"/>
    <w:rsid w:val="00521828"/>
    <w:rsid w:val="0052327F"/>
    <w:rsid w:val="005232E9"/>
    <w:rsid w:val="00523356"/>
    <w:rsid w:val="00523B69"/>
    <w:rsid w:val="00523B6E"/>
    <w:rsid w:val="00523FBF"/>
    <w:rsid w:val="005246F9"/>
    <w:rsid w:val="0052477D"/>
    <w:rsid w:val="0052486C"/>
    <w:rsid w:val="00524942"/>
    <w:rsid w:val="005250C5"/>
    <w:rsid w:val="00525BEE"/>
    <w:rsid w:val="00525E6A"/>
    <w:rsid w:val="0052650F"/>
    <w:rsid w:val="0052676F"/>
    <w:rsid w:val="005271B8"/>
    <w:rsid w:val="00527E2B"/>
    <w:rsid w:val="00530275"/>
    <w:rsid w:val="0053041E"/>
    <w:rsid w:val="00530E53"/>
    <w:rsid w:val="00530FFC"/>
    <w:rsid w:val="0053174D"/>
    <w:rsid w:val="005318AF"/>
    <w:rsid w:val="005319D0"/>
    <w:rsid w:val="00531F0E"/>
    <w:rsid w:val="0053222E"/>
    <w:rsid w:val="0053257E"/>
    <w:rsid w:val="005326F5"/>
    <w:rsid w:val="005327CD"/>
    <w:rsid w:val="0053285A"/>
    <w:rsid w:val="005328CE"/>
    <w:rsid w:val="0053368B"/>
    <w:rsid w:val="005338A9"/>
    <w:rsid w:val="005341B1"/>
    <w:rsid w:val="00534815"/>
    <w:rsid w:val="00534A81"/>
    <w:rsid w:val="00534BDF"/>
    <w:rsid w:val="0053500D"/>
    <w:rsid w:val="00535661"/>
    <w:rsid w:val="00535835"/>
    <w:rsid w:val="005361FF"/>
    <w:rsid w:val="00536DC7"/>
    <w:rsid w:val="00540048"/>
    <w:rsid w:val="0054018E"/>
    <w:rsid w:val="005405CB"/>
    <w:rsid w:val="0054083A"/>
    <w:rsid w:val="005409CE"/>
    <w:rsid w:val="00540BCA"/>
    <w:rsid w:val="00540CF1"/>
    <w:rsid w:val="00541257"/>
    <w:rsid w:val="005412AB"/>
    <w:rsid w:val="005414BB"/>
    <w:rsid w:val="00541677"/>
    <w:rsid w:val="00541748"/>
    <w:rsid w:val="005418B2"/>
    <w:rsid w:val="00541D61"/>
    <w:rsid w:val="0054207D"/>
    <w:rsid w:val="00542289"/>
    <w:rsid w:val="0054281C"/>
    <w:rsid w:val="00543195"/>
    <w:rsid w:val="0054355C"/>
    <w:rsid w:val="00543823"/>
    <w:rsid w:val="0054420F"/>
    <w:rsid w:val="00544877"/>
    <w:rsid w:val="005450F3"/>
    <w:rsid w:val="005451F2"/>
    <w:rsid w:val="00545C56"/>
    <w:rsid w:val="00545C6A"/>
    <w:rsid w:val="005460EB"/>
    <w:rsid w:val="005467FB"/>
    <w:rsid w:val="00546822"/>
    <w:rsid w:val="005470FA"/>
    <w:rsid w:val="00547E1F"/>
    <w:rsid w:val="00547FC5"/>
    <w:rsid w:val="005500B5"/>
    <w:rsid w:val="005501A5"/>
    <w:rsid w:val="005502C1"/>
    <w:rsid w:val="005507F0"/>
    <w:rsid w:val="005508EA"/>
    <w:rsid w:val="00550EC4"/>
    <w:rsid w:val="00551022"/>
    <w:rsid w:val="00551225"/>
    <w:rsid w:val="005515AB"/>
    <w:rsid w:val="00552131"/>
    <w:rsid w:val="005521D0"/>
    <w:rsid w:val="00552724"/>
    <w:rsid w:val="00552F04"/>
    <w:rsid w:val="00552F6E"/>
    <w:rsid w:val="0055342B"/>
    <w:rsid w:val="00553E9E"/>
    <w:rsid w:val="00554057"/>
    <w:rsid w:val="00554241"/>
    <w:rsid w:val="00555109"/>
    <w:rsid w:val="00555BB2"/>
    <w:rsid w:val="0055624A"/>
    <w:rsid w:val="00556975"/>
    <w:rsid w:val="00556B1F"/>
    <w:rsid w:val="005576EE"/>
    <w:rsid w:val="00560349"/>
    <w:rsid w:val="005606E9"/>
    <w:rsid w:val="00560AA5"/>
    <w:rsid w:val="00560CA2"/>
    <w:rsid w:val="00562143"/>
    <w:rsid w:val="00562E64"/>
    <w:rsid w:val="0056304E"/>
    <w:rsid w:val="005637C3"/>
    <w:rsid w:val="00563802"/>
    <w:rsid w:val="00563B86"/>
    <w:rsid w:val="00563DF3"/>
    <w:rsid w:val="005641F4"/>
    <w:rsid w:val="00565153"/>
    <w:rsid w:val="00565B53"/>
    <w:rsid w:val="00566226"/>
    <w:rsid w:val="00566300"/>
    <w:rsid w:val="00566CCA"/>
    <w:rsid w:val="00567402"/>
    <w:rsid w:val="0056763A"/>
    <w:rsid w:val="00567968"/>
    <w:rsid w:val="0057010D"/>
    <w:rsid w:val="0057020B"/>
    <w:rsid w:val="0057040E"/>
    <w:rsid w:val="005705DA"/>
    <w:rsid w:val="005707E8"/>
    <w:rsid w:val="00570826"/>
    <w:rsid w:val="00570AC6"/>
    <w:rsid w:val="00570F86"/>
    <w:rsid w:val="00571DB1"/>
    <w:rsid w:val="00571E6C"/>
    <w:rsid w:val="00571E95"/>
    <w:rsid w:val="005723DC"/>
    <w:rsid w:val="00572C29"/>
    <w:rsid w:val="00572C3A"/>
    <w:rsid w:val="005731B7"/>
    <w:rsid w:val="005739BB"/>
    <w:rsid w:val="00573E5A"/>
    <w:rsid w:val="00574008"/>
    <w:rsid w:val="005745CF"/>
    <w:rsid w:val="00574703"/>
    <w:rsid w:val="00575038"/>
    <w:rsid w:val="005762CB"/>
    <w:rsid w:val="0057698D"/>
    <w:rsid w:val="00576E36"/>
    <w:rsid w:val="00577092"/>
    <w:rsid w:val="005770E1"/>
    <w:rsid w:val="0057760A"/>
    <w:rsid w:val="00577741"/>
    <w:rsid w:val="00577AE4"/>
    <w:rsid w:val="00577F1F"/>
    <w:rsid w:val="00577FB5"/>
    <w:rsid w:val="0058002F"/>
    <w:rsid w:val="005801B8"/>
    <w:rsid w:val="00580281"/>
    <w:rsid w:val="005809FC"/>
    <w:rsid w:val="0058113F"/>
    <w:rsid w:val="0058208D"/>
    <w:rsid w:val="00582988"/>
    <w:rsid w:val="00582DE2"/>
    <w:rsid w:val="005831A9"/>
    <w:rsid w:val="005835D9"/>
    <w:rsid w:val="0058386F"/>
    <w:rsid w:val="00583A0D"/>
    <w:rsid w:val="00583C66"/>
    <w:rsid w:val="00584ADF"/>
    <w:rsid w:val="00585855"/>
    <w:rsid w:val="00585AD5"/>
    <w:rsid w:val="00585DD0"/>
    <w:rsid w:val="00585FF4"/>
    <w:rsid w:val="005862CC"/>
    <w:rsid w:val="005863E4"/>
    <w:rsid w:val="005865E0"/>
    <w:rsid w:val="00586639"/>
    <w:rsid w:val="0058727E"/>
    <w:rsid w:val="00587EE6"/>
    <w:rsid w:val="0059001E"/>
    <w:rsid w:val="00590833"/>
    <w:rsid w:val="00590F70"/>
    <w:rsid w:val="0059117F"/>
    <w:rsid w:val="0059177A"/>
    <w:rsid w:val="00591C70"/>
    <w:rsid w:val="00591FA0"/>
    <w:rsid w:val="00592031"/>
    <w:rsid w:val="00592330"/>
    <w:rsid w:val="005926E5"/>
    <w:rsid w:val="00592F69"/>
    <w:rsid w:val="005931EC"/>
    <w:rsid w:val="0059354C"/>
    <w:rsid w:val="005936BC"/>
    <w:rsid w:val="00593EEE"/>
    <w:rsid w:val="00594279"/>
    <w:rsid w:val="005944F1"/>
    <w:rsid w:val="0059466C"/>
    <w:rsid w:val="00594EF4"/>
    <w:rsid w:val="0059543A"/>
    <w:rsid w:val="00595A17"/>
    <w:rsid w:val="00595AB7"/>
    <w:rsid w:val="00595DA8"/>
    <w:rsid w:val="00595E4F"/>
    <w:rsid w:val="005960F5"/>
    <w:rsid w:val="0059698D"/>
    <w:rsid w:val="00596A14"/>
    <w:rsid w:val="00596F52"/>
    <w:rsid w:val="00597639"/>
    <w:rsid w:val="005A0666"/>
    <w:rsid w:val="005A0899"/>
    <w:rsid w:val="005A0E60"/>
    <w:rsid w:val="005A1E02"/>
    <w:rsid w:val="005A1F1B"/>
    <w:rsid w:val="005A27C0"/>
    <w:rsid w:val="005A2E1E"/>
    <w:rsid w:val="005A2E91"/>
    <w:rsid w:val="005A3555"/>
    <w:rsid w:val="005A35C6"/>
    <w:rsid w:val="005A36F1"/>
    <w:rsid w:val="005A428E"/>
    <w:rsid w:val="005A47BE"/>
    <w:rsid w:val="005A4A79"/>
    <w:rsid w:val="005A51B8"/>
    <w:rsid w:val="005A53D0"/>
    <w:rsid w:val="005A5C33"/>
    <w:rsid w:val="005A5CA8"/>
    <w:rsid w:val="005A6043"/>
    <w:rsid w:val="005A60BA"/>
    <w:rsid w:val="005A64B4"/>
    <w:rsid w:val="005A64F3"/>
    <w:rsid w:val="005A66EE"/>
    <w:rsid w:val="005A6B54"/>
    <w:rsid w:val="005A6F1A"/>
    <w:rsid w:val="005A716C"/>
    <w:rsid w:val="005A7744"/>
    <w:rsid w:val="005A7A43"/>
    <w:rsid w:val="005A7E13"/>
    <w:rsid w:val="005A7E80"/>
    <w:rsid w:val="005B009A"/>
    <w:rsid w:val="005B086E"/>
    <w:rsid w:val="005B0BD2"/>
    <w:rsid w:val="005B146E"/>
    <w:rsid w:val="005B161E"/>
    <w:rsid w:val="005B1D14"/>
    <w:rsid w:val="005B20BE"/>
    <w:rsid w:val="005B2605"/>
    <w:rsid w:val="005B29D6"/>
    <w:rsid w:val="005B2DF3"/>
    <w:rsid w:val="005B2F43"/>
    <w:rsid w:val="005B30B9"/>
    <w:rsid w:val="005B4F79"/>
    <w:rsid w:val="005B52B1"/>
    <w:rsid w:val="005B54C7"/>
    <w:rsid w:val="005B590A"/>
    <w:rsid w:val="005B5C6C"/>
    <w:rsid w:val="005B5D21"/>
    <w:rsid w:val="005B5F49"/>
    <w:rsid w:val="005B61EC"/>
    <w:rsid w:val="005B651A"/>
    <w:rsid w:val="005B653E"/>
    <w:rsid w:val="005B6606"/>
    <w:rsid w:val="005B6961"/>
    <w:rsid w:val="005B6B9C"/>
    <w:rsid w:val="005B7186"/>
    <w:rsid w:val="005B76ED"/>
    <w:rsid w:val="005B79D4"/>
    <w:rsid w:val="005C0336"/>
    <w:rsid w:val="005C07EE"/>
    <w:rsid w:val="005C0C9C"/>
    <w:rsid w:val="005C1041"/>
    <w:rsid w:val="005C2711"/>
    <w:rsid w:val="005C33D8"/>
    <w:rsid w:val="005C4B90"/>
    <w:rsid w:val="005C5CF5"/>
    <w:rsid w:val="005C5D11"/>
    <w:rsid w:val="005C5D65"/>
    <w:rsid w:val="005C6029"/>
    <w:rsid w:val="005C6063"/>
    <w:rsid w:val="005C6164"/>
    <w:rsid w:val="005C6372"/>
    <w:rsid w:val="005C64F5"/>
    <w:rsid w:val="005D06C5"/>
    <w:rsid w:val="005D072D"/>
    <w:rsid w:val="005D08A0"/>
    <w:rsid w:val="005D0B1D"/>
    <w:rsid w:val="005D0B1F"/>
    <w:rsid w:val="005D0F7F"/>
    <w:rsid w:val="005D18CF"/>
    <w:rsid w:val="005D1BD0"/>
    <w:rsid w:val="005D1E07"/>
    <w:rsid w:val="005D221E"/>
    <w:rsid w:val="005D269E"/>
    <w:rsid w:val="005D2F4F"/>
    <w:rsid w:val="005D3344"/>
    <w:rsid w:val="005D3378"/>
    <w:rsid w:val="005D37D0"/>
    <w:rsid w:val="005D452E"/>
    <w:rsid w:val="005D4B61"/>
    <w:rsid w:val="005D4C39"/>
    <w:rsid w:val="005D55C3"/>
    <w:rsid w:val="005D5895"/>
    <w:rsid w:val="005D6184"/>
    <w:rsid w:val="005D6944"/>
    <w:rsid w:val="005D6958"/>
    <w:rsid w:val="005D70E5"/>
    <w:rsid w:val="005D7527"/>
    <w:rsid w:val="005D7862"/>
    <w:rsid w:val="005D7909"/>
    <w:rsid w:val="005D7E75"/>
    <w:rsid w:val="005E026F"/>
    <w:rsid w:val="005E034C"/>
    <w:rsid w:val="005E057D"/>
    <w:rsid w:val="005E0732"/>
    <w:rsid w:val="005E0970"/>
    <w:rsid w:val="005E09C0"/>
    <w:rsid w:val="005E0CB0"/>
    <w:rsid w:val="005E15D8"/>
    <w:rsid w:val="005E163B"/>
    <w:rsid w:val="005E1ABB"/>
    <w:rsid w:val="005E1E52"/>
    <w:rsid w:val="005E1FCA"/>
    <w:rsid w:val="005E22FC"/>
    <w:rsid w:val="005E2329"/>
    <w:rsid w:val="005E2A59"/>
    <w:rsid w:val="005E2A5D"/>
    <w:rsid w:val="005E2D91"/>
    <w:rsid w:val="005E3043"/>
    <w:rsid w:val="005E3378"/>
    <w:rsid w:val="005E4231"/>
    <w:rsid w:val="005E478A"/>
    <w:rsid w:val="005E528A"/>
    <w:rsid w:val="005E54B0"/>
    <w:rsid w:val="005E5781"/>
    <w:rsid w:val="005E5874"/>
    <w:rsid w:val="005E5F9C"/>
    <w:rsid w:val="005E633C"/>
    <w:rsid w:val="005E66AC"/>
    <w:rsid w:val="005E68D9"/>
    <w:rsid w:val="005E6934"/>
    <w:rsid w:val="005E706B"/>
    <w:rsid w:val="005E73AC"/>
    <w:rsid w:val="005E7AD4"/>
    <w:rsid w:val="005E7C74"/>
    <w:rsid w:val="005E7C96"/>
    <w:rsid w:val="005E7E25"/>
    <w:rsid w:val="005F0214"/>
    <w:rsid w:val="005F02A4"/>
    <w:rsid w:val="005F074F"/>
    <w:rsid w:val="005F07A6"/>
    <w:rsid w:val="005F1AB0"/>
    <w:rsid w:val="005F1B91"/>
    <w:rsid w:val="005F2437"/>
    <w:rsid w:val="005F294E"/>
    <w:rsid w:val="005F2EAD"/>
    <w:rsid w:val="005F31C6"/>
    <w:rsid w:val="005F35EB"/>
    <w:rsid w:val="005F37A4"/>
    <w:rsid w:val="005F3A8C"/>
    <w:rsid w:val="005F3EAC"/>
    <w:rsid w:val="005F4253"/>
    <w:rsid w:val="005F4377"/>
    <w:rsid w:val="005F4A82"/>
    <w:rsid w:val="005F4F30"/>
    <w:rsid w:val="005F5437"/>
    <w:rsid w:val="005F5F03"/>
    <w:rsid w:val="005F6166"/>
    <w:rsid w:val="005F6268"/>
    <w:rsid w:val="005F6CD7"/>
    <w:rsid w:val="005F6F40"/>
    <w:rsid w:val="0060042F"/>
    <w:rsid w:val="006008B8"/>
    <w:rsid w:val="00600966"/>
    <w:rsid w:val="00600FDF"/>
    <w:rsid w:val="00601085"/>
    <w:rsid w:val="006012CD"/>
    <w:rsid w:val="00601418"/>
    <w:rsid w:val="00601CB6"/>
    <w:rsid w:val="00602021"/>
    <w:rsid w:val="006020BE"/>
    <w:rsid w:val="00602411"/>
    <w:rsid w:val="00602CBC"/>
    <w:rsid w:val="00603454"/>
    <w:rsid w:val="006036B7"/>
    <w:rsid w:val="006037D3"/>
    <w:rsid w:val="00603A90"/>
    <w:rsid w:val="00603CE9"/>
    <w:rsid w:val="0060450D"/>
    <w:rsid w:val="00604958"/>
    <w:rsid w:val="00604DAB"/>
    <w:rsid w:val="006052D3"/>
    <w:rsid w:val="006054C9"/>
    <w:rsid w:val="0060585A"/>
    <w:rsid w:val="00605D61"/>
    <w:rsid w:val="006062D9"/>
    <w:rsid w:val="006071E9"/>
    <w:rsid w:val="00607395"/>
    <w:rsid w:val="006076CC"/>
    <w:rsid w:val="006079E3"/>
    <w:rsid w:val="00607D81"/>
    <w:rsid w:val="00607FF9"/>
    <w:rsid w:val="00610537"/>
    <w:rsid w:val="00610B16"/>
    <w:rsid w:val="006113DB"/>
    <w:rsid w:val="00611580"/>
    <w:rsid w:val="006115D8"/>
    <w:rsid w:val="006117BB"/>
    <w:rsid w:val="00611DCE"/>
    <w:rsid w:val="00611F3B"/>
    <w:rsid w:val="00611F94"/>
    <w:rsid w:val="006124A4"/>
    <w:rsid w:val="00612B18"/>
    <w:rsid w:val="00612DE3"/>
    <w:rsid w:val="00613269"/>
    <w:rsid w:val="00613854"/>
    <w:rsid w:val="00613F21"/>
    <w:rsid w:val="00614228"/>
    <w:rsid w:val="006145EE"/>
    <w:rsid w:val="0061460E"/>
    <w:rsid w:val="00614B7B"/>
    <w:rsid w:val="006158DD"/>
    <w:rsid w:val="00615F45"/>
    <w:rsid w:val="00616395"/>
    <w:rsid w:val="006163EB"/>
    <w:rsid w:val="00616486"/>
    <w:rsid w:val="006166C1"/>
    <w:rsid w:val="00616BA9"/>
    <w:rsid w:val="00617064"/>
    <w:rsid w:val="0061757A"/>
    <w:rsid w:val="0061784E"/>
    <w:rsid w:val="0062051C"/>
    <w:rsid w:val="00620654"/>
    <w:rsid w:val="00620A9A"/>
    <w:rsid w:val="00621AA6"/>
    <w:rsid w:val="00621E8D"/>
    <w:rsid w:val="00622765"/>
    <w:rsid w:val="00622942"/>
    <w:rsid w:val="00622FDC"/>
    <w:rsid w:val="00623D4C"/>
    <w:rsid w:val="006243DF"/>
    <w:rsid w:val="006244D3"/>
    <w:rsid w:val="0062480D"/>
    <w:rsid w:val="006248B3"/>
    <w:rsid w:val="00625144"/>
    <w:rsid w:val="00625255"/>
    <w:rsid w:val="0062572B"/>
    <w:rsid w:val="00625C6F"/>
    <w:rsid w:val="00625DBA"/>
    <w:rsid w:val="006261F2"/>
    <w:rsid w:val="00626675"/>
    <w:rsid w:val="00626AAE"/>
    <w:rsid w:val="00626B5F"/>
    <w:rsid w:val="00626E4E"/>
    <w:rsid w:val="00627022"/>
    <w:rsid w:val="006270DD"/>
    <w:rsid w:val="00627240"/>
    <w:rsid w:val="00627A5C"/>
    <w:rsid w:val="00627BAB"/>
    <w:rsid w:val="00627CA1"/>
    <w:rsid w:val="0063002A"/>
    <w:rsid w:val="00630353"/>
    <w:rsid w:val="0063178D"/>
    <w:rsid w:val="00631814"/>
    <w:rsid w:val="006318D1"/>
    <w:rsid w:val="0063211B"/>
    <w:rsid w:val="00632A33"/>
    <w:rsid w:val="006334E2"/>
    <w:rsid w:val="006338CE"/>
    <w:rsid w:val="00633F38"/>
    <w:rsid w:val="006340DB"/>
    <w:rsid w:val="0063417C"/>
    <w:rsid w:val="006341A3"/>
    <w:rsid w:val="00634DF0"/>
    <w:rsid w:val="00635262"/>
    <w:rsid w:val="006355A2"/>
    <w:rsid w:val="006355DB"/>
    <w:rsid w:val="0063564A"/>
    <w:rsid w:val="00635A07"/>
    <w:rsid w:val="00635F21"/>
    <w:rsid w:val="0063644A"/>
    <w:rsid w:val="00636BAB"/>
    <w:rsid w:val="00636C03"/>
    <w:rsid w:val="00636E45"/>
    <w:rsid w:val="00636F6D"/>
    <w:rsid w:val="00637006"/>
    <w:rsid w:val="006375AB"/>
    <w:rsid w:val="0063765F"/>
    <w:rsid w:val="006402A5"/>
    <w:rsid w:val="00640358"/>
    <w:rsid w:val="00640CF7"/>
    <w:rsid w:val="00640D2D"/>
    <w:rsid w:val="00640E3C"/>
    <w:rsid w:val="006417A9"/>
    <w:rsid w:val="006421C6"/>
    <w:rsid w:val="00642FD6"/>
    <w:rsid w:val="00643424"/>
    <w:rsid w:val="0064365F"/>
    <w:rsid w:val="006443EC"/>
    <w:rsid w:val="00644DF0"/>
    <w:rsid w:val="00644E43"/>
    <w:rsid w:val="00644E68"/>
    <w:rsid w:val="0064505E"/>
    <w:rsid w:val="00645433"/>
    <w:rsid w:val="006455A0"/>
    <w:rsid w:val="006467A5"/>
    <w:rsid w:val="00646BA7"/>
    <w:rsid w:val="00646DD7"/>
    <w:rsid w:val="00646F1C"/>
    <w:rsid w:val="0064758D"/>
    <w:rsid w:val="00647892"/>
    <w:rsid w:val="00647BAC"/>
    <w:rsid w:val="006506D8"/>
    <w:rsid w:val="006508BB"/>
    <w:rsid w:val="00650E78"/>
    <w:rsid w:val="00651C71"/>
    <w:rsid w:val="00651F12"/>
    <w:rsid w:val="0065279E"/>
    <w:rsid w:val="006529DE"/>
    <w:rsid w:val="006529E7"/>
    <w:rsid w:val="00652F4B"/>
    <w:rsid w:val="0065354F"/>
    <w:rsid w:val="00653C4B"/>
    <w:rsid w:val="00653D37"/>
    <w:rsid w:val="00654F93"/>
    <w:rsid w:val="006552D7"/>
    <w:rsid w:val="00655439"/>
    <w:rsid w:val="00655704"/>
    <w:rsid w:val="00655EB0"/>
    <w:rsid w:val="00655FA1"/>
    <w:rsid w:val="00656141"/>
    <w:rsid w:val="00656429"/>
    <w:rsid w:val="006570C9"/>
    <w:rsid w:val="0065714F"/>
    <w:rsid w:val="00657A00"/>
    <w:rsid w:val="00657F08"/>
    <w:rsid w:val="00660296"/>
    <w:rsid w:val="0066040C"/>
    <w:rsid w:val="00661099"/>
    <w:rsid w:val="00661246"/>
    <w:rsid w:val="006616A3"/>
    <w:rsid w:val="00661BC5"/>
    <w:rsid w:val="00661C64"/>
    <w:rsid w:val="00661D7C"/>
    <w:rsid w:val="00661DC6"/>
    <w:rsid w:val="0066205F"/>
    <w:rsid w:val="0066247B"/>
    <w:rsid w:val="006627B5"/>
    <w:rsid w:val="006628B6"/>
    <w:rsid w:val="00663058"/>
    <w:rsid w:val="00663180"/>
    <w:rsid w:val="00663191"/>
    <w:rsid w:val="006638D8"/>
    <w:rsid w:val="00663B76"/>
    <w:rsid w:val="00663F21"/>
    <w:rsid w:val="00664053"/>
    <w:rsid w:val="0066440E"/>
    <w:rsid w:val="00664922"/>
    <w:rsid w:val="00665382"/>
    <w:rsid w:val="00665DF2"/>
    <w:rsid w:val="00666D96"/>
    <w:rsid w:val="00666EDE"/>
    <w:rsid w:val="00667115"/>
    <w:rsid w:val="00667237"/>
    <w:rsid w:val="006675F7"/>
    <w:rsid w:val="0066773B"/>
    <w:rsid w:val="006679E5"/>
    <w:rsid w:val="00671706"/>
    <w:rsid w:val="006722D7"/>
    <w:rsid w:val="00672644"/>
    <w:rsid w:val="0067370A"/>
    <w:rsid w:val="006737EA"/>
    <w:rsid w:val="00674162"/>
    <w:rsid w:val="006744A2"/>
    <w:rsid w:val="006744E9"/>
    <w:rsid w:val="006747B4"/>
    <w:rsid w:val="0067549F"/>
    <w:rsid w:val="00675B9E"/>
    <w:rsid w:val="00675CD5"/>
    <w:rsid w:val="00675EC2"/>
    <w:rsid w:val="00675F56"/>
    <w:rsid w:val="0067602A"/>
    <w:rsid w:val="00676CE9"/>
    <w:rsid w:val="0067702E"/>
    <w:rsid w:val="00677059"/>
    <w:rsid w:val="0067754E"/>
    <w:rsid w:val="0067784A"/>
    <w:rsid w:val="00677FFB"/>
    <w:rsid w:val="00680960"/>
    <w:rsid w:val="0068170B"/>
    <w:rsid w:val="00681776"/>
    <w:rsid w:val="0068179B"/>
    <w:rsid w:val="00681AE7"/>
    <w:rsid w:val="00681D36"/>
    <w:rsid w:val="00681FB2"/>
    <w:rsid w:val="0068217F"/>
    <w:rsid w:val="006824B9"/>
    <w:rsid w:val="00682C77"/>
    <w:rsid w:val="006830E9"/>
    <w:rsid w:val="006832B4"/>
    <w:rsid w:val="00683C8A"/>
    <w:rsid w:val="006840BD"/>
    <w:rsid w:val="00684380"/>
    <w:rsid w:val="00684B89"/>
    <w:rsid w:val="006852D8"/>
    <w:rsid w:val="00686528"/>
    <w:rsid w:val="006866FF"/>
    <w:rsid w:val="00686CD8"/>
    <w:rsid w:val="00687907"/>
    <w:rsid w:val="00687AEB"/>
    <w:rsid w:val="00687B21"/>
    <w:rsid w:val="00690501"/>
    <w:rsid w:val="006906A2"/>
    <w:rsid w:val="00690ABC"/>
    <w:rsid w:val="00690D4E"/>
    <w:rsid w:val="006910EE"/>
    <w:rsid w:val="0069129C"/>
    <w:rsid w:val="006912AD"/>
    <w:rsid w:val="006913CF"/>
    <w:rsid w:val="00691C2B"/>
    <w:rsid w:val="00691D98"/>
    <w:rsid w:val="0069229D"/>
    <w:rsid w:val="006923D5"/>
    <w:rsid w:val="006924F5"/>
    <w:rsid w:val="006926E5"/>
    <w:rsid w:val="0069274B"/>
    <w:rsid w:val="006932A9"/>
    <w:rsid w:val="00693E81"/>
    <w:rsid w:val="00694770"/>
    <w:rsid w:val="00694912"/>
    <w:rsid w:val="00694A50"/>
    <w:rsid w:val="00695071"/>
    <w:rsid w:val="00695552"/>
    <w:rsid w:val="00696553"/>
    <w:rsid w:val="00696D11"/>
    <w:rsid w:val="00696E3B"/>
    <w:rsid w:val="00696E4E"/>
    <w:rsid w:val="00697730"/>
    <w:rsid w:val="006A03B8"/>
    <w:rsid w:val="006A0422"/>
    <w:rsid w:val="006A15A2"/>
    <w:rsid w:val="006A1916"/>
    <w:rsid w:val="006A1CA1"/>
    <w:rsid w:val="006A20B7"/>
    <w:rsid w:val="006A2395"/>
    <w:rsid w:val="006A2616"/>
    <w:rsid w:val="006A270E"/>
    <w:rsid w:val="006A2C51"/>
    <w:rsid w:val="006A35AB"/>
    <w:rsid w:val="006A3BF5"/>
    <w:rsid w:val="006A3F9D"/>
    <w:rsid w:val="006A4431"/>
    <w:rsid w:val="006A4468"/>
    <w:rsid w:val="006A495C"/>
    <w:rsid w:val="006A4FCA"/>
    <w:rsid w:val="006A5E8C"/>
    <w:rsid w:val="006A5F20"/>
    <w:rsid w:val="006A62C7"/>
    <w:rsid w:val="006A65ED"/>
    <w:rsid w:val="006A6A90"/>
    <w:rsid w:val="006A6D8F"/>
    <w:rsid w:val="006B01ED"/>
    <w:rsid w:val="006B050B"/>
    <w:rsid w:val="006B0F7A"/>
    <w:rsid w:val="006B117B"/>
    <w:rsid w:val="006B1252"/>
    <w:rsid w:val="006B15A8"/>
    <w:rsid w:val="006B1646"/>
    <w:rsid w:val="006B1909"/>
    <w:rsid w:val="006B1C0F"/>
    <w:rsid w:val="006B1F62"/>
    <w:rsid w:val="006B255C"/>
    <w:rsid w:val="006B27BF"/>
    <w:rsid w:val="006B2891"/>
    <w:rsid w:val="006B2BBD"/>
    <w:rsid w:val="006B2E81"/>
    <w:rsid w:val="006B2E9B"/>
    <w:rsid w:val="006B3204"/>
    <w:rsid w:val="006B335F"/>
    <w:rsid w:val="006B4465"/>
    <w:rsid w:val="006B5182"/>
    <w:rsid w:val="006B53DB"/>
    <w:rsid w:val="006B546E"/>
    <w:rsid w:val="006B5576"/>
    <w:rsid w:val="006B5683"/>
    <w:rsid w:val="006B5730"/>
    <w:rsid w:val="006B6914"/>
    <w:rsid w:val="006B7375"/>
    <w:rsid w:val="006B7565"/>
    <w:rsid w:val="006B7763"/>
    <w:rsid w:val="006B7871"/>
    <w:rsid w:val="006B7939"/>
    <w:rsid w:val="006B7BEA"/>
    <w:rsid w:val="006B7D46"/>
    <w:rsid w:val="006B7F14"/>
    <w:rsid w:val="006C00AD"/>
    <w:rsid w:val="006C082B"/>
    <w:rsid w:val="006C0922"/>
    <w:rsid w:val="006C0BF3"/>
    <w:rsid w:val="006C1832"/>
    <w:rsid w:val="006C1981"/>
    <w:rsid w:val="006C22B0"/>
    <w:rsid w:val="006C286E"/>
    <w:rsid w:val="006C3084"/>
    <w:rsid w:val="006C30F4"/>
    <w:rsid w:val="006C3249"/>
    <w:rsid w:val="006C3341"/>
    <w:rsid w:val="006C35A3"/>
    <w:rsid w:val="006C3669"/>
    <w:rsid w:val="006C41F7"/>
    <w:rsid w:val="006C4BFA"/>
    <w:rsid w:val="006C4DBB"/>
    <w:rsid w:val="006C523F"/>
    <w:rsid w:val="006C5308"/>
    <w:rsid w:val="006C56CB"/>
    <w:rsid w:val="006C5D5E"/>
    <w:rsid w:val="006C6C5D"/>
    <w:rsid w:val="006C6FE1"/>
    <w:rsid w:val="006C7802"/>
    <w:rsid w:val="006C7BC1"/>
    <w:rsid w:val="006C7EFC"/>
    <w:rsid w:val="006C7FF6"/>
    <w:rsid w:val="006D0177"/>
    <w:rsid w:val="006D0377"/>
    <w:rsid w:val="006D06C8"/>
    <w:rsid w:val="006D0CE1"/>
    <w:rsid w:val="006D155D"/>
    <w:rsid w:val="006D176E"/>
    <w:rsid w:val="006D29FF"/>
    <w:rsid w:val="006D2A20"/>
    <w:rsid w:val="006D2B9A"/>
    <w:rsid w:val="006D3285"/>
    <w:rsid w:val="006D383E"/>
    <w:rsid w:val="006D3E5D"/>
    <w:rsid w:val="006D3E98"/>
    <w:rsid w:val="006D4A44"/>
    <w:rsid w:val="006D5023"/>
    <w:rsid w:val="006D5994"/>
    <w:rsid w:val="006D5C85"/>
    <w:rsid w:val="006D5D13"/>
    <w:rsid w:val="006D6243"/>
    <w:rsid w:val="006D6C4E"/>
    <w:rsid w:val="006D6E23"/>
    <w:rsid w:val="006D6EDB"/>
    <w:rsid w:val="006D7472"/>
    <w:rsid w:val="006D747D"/>
    <w:rsid w:val="006D7862"/>
    <w:rsid w:val="006E043B"/>
    <w:rsid w:val="006E05F1"/>
    <w:rsid w:val="006E0C93"/>
    <w:rsid w:val="006E10B4"/>
    <w:rsid w:val="006E1EB8"/>
    <w:rsid w:val="006E24E9"/>
    <w:rsid w:val="006E261B"/>
    <w:rsid w:val="006E314A"/>
    <w:rsid w:val="006E3A31"/>
    <w:rsid w:val="006E3B08"/>
    <w:rsid w:val="006E3C4F"/>
    <w:rsid w:val="006E3F81"/>
    <w:rsid w:val="006E42FF"/>
    <w:rsid w:val="006E4BFA"/>
    <w:rsid w:val="006E5C8C"/>
    <w:rsid w:val="006E5F8C"/>
    <w:rsid w:val="006E6BA0"/>
    <w:rsid w:val="006E6E5A"/>
    <w:rsid w:val="006E76E4"/>
    <w:rsid w:val="006E7C7A"/>
    <w:rsid w:val="006F00C5"/>
    <w:rsid w:val="006F03E3"/>
    <w:rsid w:val="006F0EB7"/>
    <w:rsid w:val="006F0FC9"/>
    <w:rsid w:val="006F113F"/>
    <w:rsid w:val="006F1946"/>
    <w:rsid w:val="006F20E8"/>
    <w:rsid w:val="006F2A7C"/>
    <w:rsid w:val="006F346F"/>
    <w:rsid w:val="006F3637"/>
    <w:rsid w:val="006F3A6B"/>
    <w:rsid w:val="006F3B8B"/>
    <w:rsid w:val="006F402A"/>
    <w:rsid w:val="006F4B32"/>
    <w:rsid w:val="006F4B95"/>
    <w:rsid w:val="006F4C8C"/>
    <w:rsid w:val="006F553B"/>
    <w:rsid w:val="006F6AA2"/>
    <w:rsid w:val="006F751D"/>
    <w:rsid w:val="006F7747"/>
    <w:rsid w:val="006F7B98"/>
    <w:rsid w:val="006F7C55"/>
    <w:rsid w:val="00700283"/>
    <w:rsid w:val="00700B4E"/>
    <w:rsid w:val="00700C90"/>
    <w:rsid w:val="00701078"/>
    <w:rsid w:val="007013D4"/>
    <w:rsid w:val="0070206B"/>
    <w:rsid w:val="007024AB"/>
    <w:rsid w:val="00702671"/>
    <w:rsid w:val="00703301"/>
    <w:rsid w:val="0070340A"/>
    <w:rsid w:val="00703570"/>
    <w:rsid w:val="007035D9"/>
    <w:rsid w:val="00703DA7"/>
    <w:rsid w:val="00703E34"/>
    <w:rsid w:val="007045CC"/>
    <w:rsid w:val="00704995"/>
    <w:rsid w:val="007050AF"/>
    <w:rsid w:val="00705489"/>
    <w:rsid w:val="00705540"/>
    <w:rsid w:val="00705759"/>
    <w:rsid w:val="007057C0"/>
    <w:rsid w:val="00705C42"/>
    <w:rsid w:val="00705DAF"/>
    <w:rsid w:val="007060B9"/>
    <w:rsid w:val="00706268"/>
    <w:rsid w:val="0070649B"/>
    <w:rsid w:val="00706712"/>
    <w:rsid w:val="0070672E"/>
    <w:rsid w:val="0070705A"/>
    <w:rsid w:val="00707083"/>
    <w:rsid w:val="00707414"/>
    <w:rsid w:val="00707C86"/>
    <w:rsid w:val="007101D7"/>
    <w:rsid w:val="0071077C"/>
    <w:rsid w:val="00710AC5"/>
    <w:rsid w:val="00710B25"/>
    <w:rsid w:val="007113A4"/>
    <w:rsid w:val="007114D8"/>
    <w:rsid w:val="00711C9D"/>
    <w:rsid w:val="0071202A"/>
    <w:rsid w:val="00712642"/>
    <w:rsid w:val="00712978"/>
    <w:rsid w:val="007136C2"/>
    <w:rsid w:val="00713ACE"/>
    <w:rsid w:val="00713E57"/>
    <w:rsid w:val="0071401E"/>
    <w:rsid w:val="0071455F"/>
    <w:rsid w:val="007148DC"/>
    <w:rsid w:val="00714DB9"/>
    <w:rsid w:val="00714E5A"/>
    <w:rsid w:val="0071530A"/>
    <w:rsid w:val="0071581B"/>
    <w:rsid w:val="007162A0"/>
    <w:rsid w:val="007162B2"/>
    <w:rsid w:val="007163FD"/>
    <w:rsid w:val="00716782"/>
    <w:rsid w:val="00716CE5"/>
    <w:rsid w:val="007171C4"/>
    <w:rsid w:val="007177E8"/>
    <w:rsid w:val="00717A32"/>
    <w:rsid w:val="00717F7C"/>
    <w:rsid w:val="007200CA"/>
    <w:rsid w:val="007201CB"/>
    <w:rsid w:val="00720C39"/>
    <w:rsid w:val="007210C7"/>
    <w:rsid w:val="007211F3"/>
    <w:rsid w:val="007217C3"/>
    <w:rsid w:val="00721846"/>
    <w:rsid w:val="00721982"/>
    <w:rsid w:val="00721ECA"/>
    <w:rsid w:val="007229F6"/>
    <w:rsid w:val="00722D95"/>
    <w:rsid w:val="00723346"/>
    <w:rsid w:val="007238B9"/>
    <w:rsid w:val="00724274"/>
    <w:rsid w:val="0072439B"/>
    <w:rsid w:val="0072478A"/>
    <w:rsid w:val="00724B94"/>
    <w:rsid w:val="00725003"/>
    <w:rsid w:val="0072513F"/>
    <w:rsid w:val="00725A43"/>
    <w:rsid w:val="0072601C"/>
    <w:rsid w:val="00726193"/>
    <w:rsid w:val="0072634D"/>
    <w:rsid w:val="00726C76"/>
    <w:rsid w:val="00726FB4"/>
    <w:rsid w:val="007272DC"/>
    <w:rsid w:val="0072735F"/>
    <w:rsid w:val="00727568"/>
    <w:rsid w:val="007277BA"/>
    <w:rsid w:val="00727B1C"/>
    <w:rsid w:val="00727BC4"/>
    <w:rsid w:val="00727C8C"/>
    <w:rsid w:val="00730054"/>
    <w:rsid w:val="0073026E"/>
    <w:rsid w:val="007308C0"/>
    <w:rsid w:val="00730B18"/>
    <w:rsid w:val="00731308"/>
    <w:rsid w:val="007314DC"/>
    <w:rsid w:val="007314EA"/>
    <w:rsid w:val="00731856"/>
    <w:rsid w:val="0073235D"/>
    <w:rsid w:val="00732418"/>
    <w:rsid w:val="00732746"/>
    <w:rsid w:val="00732E08"/>
    <w:rsid w:val="0073306B"/>
    <w:rsid w:val="0073358C"/>
    <w:rsid w:val="0073441B"/>
    <w:rsid w:val="0073448D"/>
    <w:rsid w:val="007351B7"/>
    <w:rsid w:val="0073532D"/>
    <w:rsid w:val="00735690"/>
    <w:rsid w:val="00735F76"/>
    <w:rsid w:val="00736038"/>
    <w:rsid w:val="00736444"/>
    <w:rsid w:val="007365C3"/>
    <w:rsid w:val="00736A77"/>
    <w:rsid w:val="00736F35"/>
    <w:rsid w:val="00736F99"/>
    <w:rsid w:val="007373AD"/>
    <w:rsid w:val="0074037E"/>
    <w:rsid w:val="00740487"/>
    <w:rsid w:val="007405AF"/>
    <w:rsid w:val="00740FDF"/>
    <w:rsid w:val="00741288"/>
    <w:rsid w:val="00741312"/>
    <w:rsid w:val="00741C0B"/>
    <w:rsid w:val="00741C17"/>
    <w:rsid w:val="00741FD4"/>
    <w:rsid w:val="0074203E"/>
    <w:rsid w:val="00742698"/>
    <w:rsid w:val="00742CD6"/>
    <w:rsid w:val="00742F98"/>
    <w:rsid w:val="007432E3"/>
    <w:rsid w:val="00743E18"/>
    <w:rsid w:val="00744044"/>
    <w:rsid w:val="0074433A"/>
    <w:rsid w:val="00744375"/>
    <w:rsid w:val="00745C0E"/>
    <w:rsid w:val="00745EBB"/>
    <w:rsid w:val="00746449"/>
    <w:rsid w:val="00746ACF"/>
    <w:rsid w:val="00746B36"/>
    <w:rsid w:val="00746E17"/>
    <w:rsid w:val="00747552"/>
    <w:rsid w:val="00747610"/>
    <w:rsid w:val="00747820"/>
    <w:rsid w:val="00747AB3"/>
    <w:rsid w:val="00750373"/>
    <w:rsid w:val="007506FC"/>
    <w:rsid w:val="00750B7E"/>
    <w:rsid w:val="00750DBA"/>
    <w:rsid w:val="00751052"/>
    <w:rsid w:val="0075175B"/>
    <w:rsid w:val="00751C6C"/>
    <w:rsid w:val="007520AA"/>
    <w:rsid w:val="0075236E"/>
    <w:rsid w:val="007526E6"/>
    <w:rsid w:val="00752D51"/>
    <w:rsid w:val="0075307E"/>
    <w:rsid w:val="00753593"/>
    <w:rsid w:val="0075378F"/>
    <w:rsid w:val="0075398B"/>
    <w:rsid w:val="00753E5F"/>
    <w:rsid w:val="00753F32"/>
    <w:rsid w:val="00754060"/>
    <w:rsid w:val="00754165"/>
    <w:rsid w:val="00754A88"/>
    <w:rsid w:val="00754AA3"/>
    <w:rsid w:val="0075506D"/>
    <w:rsid w:val="00755EF5"/>
    <w:rsid w:val="00755FF1"/>
    <w:rsid w:val="007562D1"/>
    <w:rsid w:val="00756314"/>
    <w:rsid w:val="00756712"/>
    <w:rsid w:val="00756FEA"/>
    <w:rsid w:val="00757C3B"/>
    <w:rsid w:val="007601A4"/>
    <w:rsid w:val="007609E7"/>
    <w:rsid w:val="00760DEE"/>
    <w:rsid w:val="007610BE"/>
    <w:rsid w:val="00761483"/>
    <w:rsid w:val="007618F3"/>
    <w:rsid w:val="0076277A"/>
    <w:rsid w:val="0076308E"/>
    <w:rsid w:val="00763792"/>
    <w:rsid w:val="007642EA"/>
    <w:rsid w:val="0076448C"/>
    <w:rsid w:val="0076450E"/>
    <w:rsid w:val="007647FC"/>
    <w:rsid w:val="007649B3"/>
    <w:rsid w:val="007649FD"/>
    <w:rsid w:val="00765045"/>
    <w:rsid w:val="0076659A"/>
    <w:rsid w:val="00766BB3"/>
    <w:rsid w:val="00767632"/>
    <w:rsid w:val="007678D3"/>
    <w:rsid w:val="00767D69"/>
    <w:rsid w:val="00767F8F"/>
    <w:rsid w:val="00770555"/>
    <w:rsid w:val="00771253"/>
    <w:rsid w:val="00771581"/>
    <w:rsid w:val="00771841"/>
    <w:rsid w:val="00772006"/>
    <w:rsid w:val="00772369"/>
    <w:rsid w:val="007726B8"/>
    <w:rsid w:val="007726D7"/>
    <w:rsid w:val="00773256"/>
    <w:rsid w:val="007732C4"/>
    <w:rsid w:val="007738A5"/>
    <w:rsid w:val="007740D2"/>
    <w:rsid w:val="00774104"/>
    <w:rsid w:val="007747D6"/>
    <w:rsid w:val="00774C52"/>
    <w:rsid w:val="00775050"/>
    <w:rsid w:val="00775687"/>
    <w:rsid w:val="00776244"/>
    <w:rsid w:val="0077658C"/>
    <w:rsid w:val="0077674F"/>
    <w:rsid w:val="0077743B"/>
    <w:rsid w:val="00777BE5"/>
    <w:rsid w:val="007801A4"/>
    <w:rsid w:val="00780295"/>
    <w:rsid w:val="00780666"/>
    <w:rsid w:val="00780858"/>
    <w:rsid w:val="00780FDC"/>
    <w:rsid w:val="00781219"/>
    <w:rsid w:val="00782329"/>
    <w:rsid w:val="007823A3"/>
    <w:rsid w:val="00782586"/>
    <w:rsid w:val="00782BEA"/>
    <w:rsid w:val="00782C02"/>
    <w:rsid w:val="00783038"/>
    <w:rsid w:val="007830BA"/>
    <w:rsid w:val="00783348"/>
    <w:rsid w:val="007833A7"/>
    <w:rsid w:val="007834A3"/>
    <w:rsid w:val="00783738"/>
    <w:rsid w:val="00783D8E"/>
    <w:rsid w:val="00783F36"/>
    <w:rsid w:val="00784764"/>
    <w:rsid w:val="007852C5"/>
    <w:rsid w:val="0078546F"/>
    <w:rsid w:val="00785620"/>
    <w:rsid w:val="007857EA"/>
    <w:rsid w:val="00785857"/>
    <w:rsid w:val="00785E6F"/>
    <w:rsid w:val="00787073"/>
    <w:rsid w:val="00787487"/>
    <w:rsid w:val="0078768F"/>
    <w:rsid w:val="00787C85"/>
    <w:rsid w:val="00787EBE"/>
    <w:rsid w:val="00787ED9"/>
    <w:rsid w:val="007903F9"/>
    <w:rsid w:val="00790402"/>
    <w:rsid w:val="00790668"/>
    <w:rsid w:val="00790E6E"/>
    <w:rsid w:val="0079153B"/>
    <w:rsid w:val="007928A8"/>
    <w:rsid w:val="00793727"/>
    <w:rsid w:val="00793B5E"/>
    <w:rsid w:val="00793C3B"/>
    <w:rsid w:val="00793C4B"/>
    <w:rsid w:val="00793D73"/>
    <w:rsid w:val="0079407D"/>
    <w:rsid w:val="0079453D"/>
    <w:rsid w:val="007946DB"/>
    <w:rsid w:val="00794D19"/>
    <w:rsid w:val="00794EE9"/>
    <w:rsid w:val="00794F4C"/>
    <w:rsid w:val="007958CB"/>
    <w:rsid w:val="00795A1F"/>
    <w:rsid w:val="00795AE8"/>
    <w:rsid w:val="00795C3D"/>
    <w:rsid w:val="00795F81"/>
    <w:rsid w:val="0079619B"/>
    <w:rsid w:val="007963D8"/>
    <w:rsid w:val="007968A0"/>
    <w:rsid w:val="00796CF4"/>
    <w:rsid w:val="00796FE5"/>
    <w:rsid w:val="00797A95"/>
    <w:rsid w:val="00797BF0"/>
    <w:rsid w:val="007A0B4F"/>
    <w:rsid w:val="007A0C62"/>
    <w:rsid w:val="007A0E1C"/>
    <w:rsid w:val="007A1357"/>
    <w:rsid w:val="007A201B"/>
    <w:rsid w:val="007A21DA"/>
    <w:rsid w:val="007A24C1"/>
    <w:rsid w:val="007A2E4C"/>
    <w:rsid w:val="007A2F38"/>
    <w:rsid w:val="007A310D"/>
    <w:rsid w:val="007A38AC"/>
    <w:rsid w:val="007A3D60"/>
    <w:rsid w:val="007A4006"/>
    <w:rsid w:val="007A4059"/>
    <w:rsid w:val="007A4801"/>
    <w:rsid w:val="007A4F12"/>
    <w:rsid w:val="007A5852"/>
    <w:rsid w:val="007A5C67"/>
    <w:rsid w:val="007A6195"/>
    <w:rsid w:val="007A6B44"/>
    <w:rsid w:val="007A77A9"/>
    <w:rsid w:val="007B0C9A"/>
    <w:rsid w:val="007B178A"/>
    <w:rsid w:val="007B19CE"/>
    <w:rsid w:val="007B1B97"/>
    <w:rsid w:val="007B1C8E"/>
    <w:rsid w:val="007B2234"/>
    <w:rsid w:val="007B25F0"/>
    <w:rsid w:val="007B28E2"/>
    <w:rsid w:val="007B2E93"/>
    <w:rsid w:val="007B3135"/>
    <w:rsid w:val="007B3C5D"/>
    <w:rsid w:val="007B40ED"/>
    <w:rsid w:val="007B4453"/>
    <w:rsid w:val="007B473F"/>
    <w:rsid w:val="007B50FB"/>
    <w:rsid w:val="007B5365"/>
    <w:rsid w:val="007B5F29"/>
    <w:rsid w:val="007B5F4E"/>
    <w:rsid w:val="007B6AA1"/>
    <w:rsid w:val="007B720C"/>
    <w:rsid w:val="007B7D1D"/>
    <w:rsid w:val="007C016D"/>
    <w:rsid w:val="007C03B9"/>
    <w:rsid w:val="007C0FBA"/>
    <w:rsid w:val="007C1442"/>
    <w:rsid w:val="007C19F1"/>
    <w:rsid w:val="007C1F1D"/>
    <w:rsid w:val="007C271F"/>
    <w:rsid w:val="007C3083"/>
    <w:rsid w:val="007C31E6"/>
    <w:rsid w:val="007C3631"/>
    <w:rsid w:val="007C4184"/>
    <w:rsid w:val="007C43AD"/>
    <w:rsid w:val="007C4BF7"/>
    <w:rsid w:val="007C5B73"/>
    <w:rsid w:val="007C5DD3"/>
    <w:rsid w:val="007C65C7"/>
    <w:rsid w:val="007C6801"/>
    <w:rsid w:val="007C6B30"/>
    <w:rsid w:val="007C7146"/>
    <w:rsid w:val="007C7734"/>
    <w:rsid w:val="007C7AB9"/>
    <w:rsid w:val="007C7B6C"/>
    <w:rsid w:val="007C7D25"/>
    <w:rsid w:val="007D013B"/>
    <w:rsid w:val="007D045B"/>
    <w:rsid w:val="007D057B"/>
    <w:rsid w:val="007D0620"/>
    <w:rsid w:val="007D1857"/>
    <w:rsid w:val="007D1F22"/>
    <w:rsid w:val="007D23AB"/>
    <w:rsid w:val="007D24A0"/>
    <w:rsid w:val="007D2DD6"/>
    <w:rsid w:val="007D2F19"/>
    <w:rsid w:val="007D35AA"/>
    <w:rsid w:val="007D3BDA"/>
    <w:rsid w:val="007D41FC"/>
    <w:rsid w:val="007D4452"/>
    <w:rsid w:val="007D45E5"/>
    <w:rsid w:val="007D490C"/>
    <w:rsid w:val="007D51B5"/>
    <w:rsid w:val="007D5865"/>
    <w:rsid w:val="007D69D0"/>
    <w:rsid w:val="007D71DE"/>
    <w:rsid w:val="007D7CB5"/>
    <w:rsid w:val="007E014F"/>
    <w:rsid w:val="007E0200"/>
    <w:rsid w:val="007E0D13"/>
    <w:rsid w:val="007E0E95"/>
    <w:rsid w:val="007E1417"/>
    <w:rsid w:val="007E1F5B"/>
    <w:rsid w:val="007E220F"/>
    <w:rsid w:val="007E262A"/>
    <w:rsid w:val="007E2DE3"/>
    <w:rsid w:val="007E2E65"/>
    <w:rsid w:val="007E2ED5"/>
    <w:rsid w:val="007E3543"/>
    <w:rsid w:val="007E35B3"/>
    <w:rsid w:val="007E3A24"/>
    <w:rsid w:val="007E3BAA"/>
    <w:rsid w:val="007E3DCC"/>
    <w:rsid w:val="007E43C4"/>
    <w:rsid w:val="007E5035"/>
    <w:rsid w:val="007E50C4"/>
    <w:rsid w:val="007E5C27"/>
    <w:rsid w:val="007E6079"/>
    <w:rsid w:val="007E6581"/>
    <w:rsid w:val="007E65CD"/>
    <w:rsid w:val="007E65E3"/>
    <w:rsid w:val="007E6D3D"/>
    <w:rsid w:val="007E6EF4"/>
    <w:rsid w:val="007E7461"/>
    <w:rsid w:val="007E7905"/>
    <w:rsid w:val="007E7EFE"/>
    <w:rsid w:val="007F0AF5"/>
    <w:rsid w:val="007F1002"/>
    <w:rsid w:val="007F1E92"/>
    <w:rsid w:val="007F2713"/>
    <w:rsid w:val="007F29DF"/>
    <w:rsid w:val="007F3076"/>
    <w:rsid w:val="007F314A"/>
    <w:rsid w:val="007F33F3"/>
    <w:rsid w:val="007F3D5D"/>
    <w:rsid w:val="007F409D"/>
    <w:rsid w:val="007F5221"/>
    <w:rsid w:val="007F573B"/>
    <w:rsid w:val="007F58B9"/>
    <w:rsid w:val="007F5A4A"/>
    <w:rsid w:val="007F63B7"/>
    <w:rsid w:val="007F63FE"/>
    <w:rsid w:val="007F7042"/>
    <w:rsid w:val="007F70E2"/>
    <w:rsid w:val="007F7219"/>
    <w:rsid w:val="007F7A1D"/>
    <w:rsid w:val="008005BE"/>
    <w:rsid w:val="00800A31"/>
    <w:rsid w:val="00800FA2"/>
    <w:rsid w:val="008013C9"/>
    <w:rsid w:val="00801708"/>
    <w:rsid w:val="00801758"/>
    <w:rsid w:val="008017E9"/>
    <w:rsid w:val="00801A67"/>
    <w:rsid w:val="00801BF6"/>
    <w:rsid w:val="0080228C"/>
    <w:rsid w:val="0080275D"/>
    <w:rsid w:val="008027D6"/>
    <w:rsid w:val="008030AA"/>
    <w:rsid w:val="00803155"/>
    <w:rsid w:val="0080373E"/>
    <w:rsid w:val="00803799"/>
    <w:rsid w:val="00803D5B"/>
    <w:rsid w:val="00804AF2"/>
    <w:rsid w:val="00805D5A"/>
    <w:rsid w:val="008067D1"/>
    <w:rsid w:val="0080681B"/>
    <w:rsid w:val="008071BA"/>
    <w:rsid w:val="00807356"/>
    <w:rsid w:val="008074F5"/>
    <w:rsid w:val="008075DA"/>
    <w:rsid w:val="008076F9"/>
    <w:rsid w:val="00807B69"/>
    <w:rsid w:val="00810B52"/>
    <w:rsid w:val="00810C3E"/>
    <w:rsid w:val="00810D2B"/>
    <w:rsid w:val="00810DEB"/>
    <w:rsid w:val="00811DEC"/>
    <w:rsid w:val="00812163"/>
    <w:rsid w:val="00812252"/>
    <w:rsid w:val="00812453"/>
    <w:rsid w:val="00812753"/>
    <w:rsid w:val="00812EC6"/>
    <w:rsid w:val="00813276"/>
    <w:rsid w:val="00813855"/>
    <w:rsid w:val="00813ABC"/>
    <w:rsid w:val="00813C29"/>
    <w:rsid w:val="008142C8"/>
    <w:rsid w:val="00814769"/>
    <w:rsid w:val="008147B8"/>
    <w:rsid w:val="00814A42"/>
    <w:rsid w:val="00814A9A"/>
    <w:rsid w:val="00814F71"/>
    <w:rsid w:val="008153A4"/>
    <w:rsid w:val="00815944"/>
    <w:rsid w:val="00816B40"/>
    <w:rsid w:val="00816D79"/>
    <w:rsid w:val="008170E8"/>
    <w:rsid w:val="00817266"/>
    <w:rsid w:val="00820232"/>
    <w:rsid w:val="00820A0C"/>
    <w:rsid w:val="00821FFA"/>
    <w:rsid w:val="0082266D"/>
    <w:rsid w:val="0082384A"/>
    <w:rsid w:val="008239FD"/>
    <w:rsid w:val="00823DA3"/>
    <w:rsid w:val="00823F80"/>
    <w:rsid w:val="00824057"/>
    <w:rsid w:val="00824C9E"/>
    <w:rsid w:val="0082516E"/>
    <w:rsid w:val="0082591C"/>
    <w:rsid w:val="00825C38"/>
    <w:rsid w:val="00826123"/>
    <w:rsid w:val="00826243"/>
    <w:rsid w:val="008267C6"/>
    <w:rsid w:val="00826878"/>
    <w:rsid w:val="00826F69"/>
    <w:rsid w:val="00827A51"/>
    <w:rsid w:val="00827AF3"/>
    <w:rsid w:val="00830654"/>
    <w:rsid w:val="0083121B"/>
    <w:rsid w:val="0083225A"/>
    <w:rsid w:val="0083295B"/>
    <w:rsid w:val="00833341"/>
    <w:rsid w:val="008333F5"/>
    <w:rsid w:val="0083341B"/>
    <w:rsid w:val="008336C8"/>
    <w:rsid w:val="00833794"/>
    <w:rsid w:val="00833F51"/>
    <w:rsid w:val="0083456C"/>
    <w:rsid w:val="00834592"/>
    <w:rsid w:val="00834818"/>
    <w:rsid w:val="00834E97"/>
    <w:rsid w:val="00835101"/>
    <w:rsid w:val="008351DA"/>
    <w:rsid w:val="00835A61"/>
    <w:rsid w:val="00835ABD"/>
    <w:rsid w:val="00835DE7"/>
    <w:rsid w:val="00835E4B"/>
    <w:rsid w:val="00835E8F"/>
    <w:rsid w:val="0083645B"/>
    <w:rsid w:val="00837E4C"/>
    <w:rsid w:val="008401AD"/>
    <w:rsid w:val="0084058E"/>
    <w:rsid w:val="008417B0"/>
    <w:rsid w:val="0084182B"/>
    <w:rsid w:val="008419AF"/>
    <w:rsid w:val="00841DCE"/>
    <w:rsid w:val="00841ECA"/>
    <w:rsid w:val="00842056"/>
    <w:rsid w:val="00842143"/>
    <w:rsid w:val="00842B68"/>
    <w:rsid w:val="00842E45"/>
    <w:rsid w:val="00842FD2"/>
    <w:rsid w:val="0084346A"/>
    <w:rsid w:val="0084477C"/>
    <w:rsid w:val="00845308"/>
    <w:rsid w:val="00845706"/>
    <w:rsid w:val="00845828"/>
    <w:rsid w:val="00845869"/>
    <w:rsid w:val="00845AB3"/>
    <w:rsid w:val="00846622"/>
    <w:rsid w:val="0084788C"/>
    <w:rsid w:val="00847C9B"/>
    <w:rsid w:val="00850B25"/>
    <w:rsid w:val="00850C10"/>
    <w:rsid w:val="00851088"/>
    <w:rsid w:val="00851ECE"/>
    <w:rsid w:val="008526DF"/>
    <w:rsid w:val="00852712"/>
    <w:rsid w:val="00852BCD"/>
    <w:rsid w:val="00852C85"/>
    <w:rsid w:val="00854190"/>
    <w:rsid w:val="0085420F"/>
    <w:rsid w:val="008543E1"/>
    <w:rsid w:val="00854499"/>
    <w:rsid w:val="00854F50"/>
    <w:rsid w:val="00855326"/>
    <w:rsid w:val="0085545A"/>
    <w:rsid w:val="008556C4"/>
    <w:rsid w:val="00855C8F"/>
    <w:rsid w:val="00855C93"/>
    <w:rsid w:val="00857998"/>
    <w:rsid w:val="00857C83"/>
    <w:rsid w:val="00861169"/>
    <w:rsid w:val="00861535"/>
    <w:rsid w:val="008618E7"/>
    <w:rsid w:val="00861B73"/>
    <w:rsid w:val="00861D6D"/>
    <w:rsid w:val="00861FA8"/>
    <w:rsid w:val="0086324C"/>
    <w:rsid w:val="00863F12"/>
    <w:rsid w:val="0086463E"/>
    <w:rsid w:val="00864A11"/>
    <w:rsid w:val="00864A61"/>
    <w:rsid w:val="00865907"/>
    <w:rsid w:val="008659BD"/>
    <w:rsid w:val="00865D59"/>
    <w:rsid w:val="0086634F"/>
    <w:rsid w:val="0086655E"/>
    <w:rsid w:val="00866A2B"/>
    <w:rsid w:val="008673A6"/>
    <w:rsid w:val="008673C1"/>
    <w:rsid w:val="0086747F"/>
    <w:rsid w:val="0086752B"/>
    <w:rsid w:val="00870676"/>
    <w:rsid w:val="00871963"/>
    <w:rsid w:val="0087209D"/>
    <w:rsid w:val="00872CCC"/>
    <w:rsid w:val="00873FB2"/>
    <w:rsid w:val="008746B5"/>
    <w:rsid w:val="008747B4"/>
    <w:rsid w:val="008747C5"/>
    <w:rsid w:val="00874A38"/>
    <w:rsid w:val="008753BE"/>
    <w:rsid w:val="00875A26"/>
    <w:rsid w:val="00875E38"/>
    <w:rsid w:val="00876125"/>
    <w:rsid w:val="008765C3"/>
    <w:rsid w:val="0087688C"/>
    <w:rsid w:val="00876C3C"/>
    <w:rsid w:val="00876D73"/>
    <w:rsid w:val="00877155"/>
    <w:rsid w:val="00877902"/>
    <w:rsid w:val="00877B24"/>
    <w:rsid w:val="00877F99"/>
    <w:rsid w:val="0088008A"/>
    <w:rsid w:val="008804FE"/>
    <w:rsid w:val="00880645"/>
    <w:rsid w:val="008808CF"/>
    <w:rsid w:val="00880ADD"/>
    <w:rsid w:val="00880BA6"/>
    <w:rsid w:val="00881015"/>
    <w:rsid w:val="00881322"/>
    <w:rsid w:val="00881467"/>
    <w:rsid w:val="00881905"/>
    <w:rsid w:val="00881A1E"/>
    <w:rsid w:val="00882935"/>
    <w:rsid w:val="0088293D"/>
    <w:rsid w:val="008830B4"/>
    <w:rsid w:val="0088376A"/>
    <w:rsid w:val="008841B8"/>
    <w:rsid w:val="00884599"/>
    <w:rsid w:val="00885367"/>
    <w:rsid w:val="0088541D"/>
    <w:rsid w:val="00885B11"/>
    <w:rsid w:val="00885B64"/>
    <w:rsid w:val="00886482"/>
    <w:rsid w:val="00886CB4"/>
    <w:rsid w:val="00886D97"/>
    <w:rsid w:val="00886F1C"/>
    <w:rsid w:val="008872CE"/>
    <w:rsid w:val="008873D1"/>
    <w:rsid w:val="00887710"/>
    <w:rsid w:val="008878B7"/>
    <w:rsid w:val="00887A90"/>
    <w:rsid w:val="00890DD2"/>
    <w:rsid w:val="0089208D"/>
    <w:rsid w:val="0089223D"/>
    <w:rsid w:val="0089239C"/>
    <w:rsid w:val="00892D81"/>
    <w:rsid w:val="0089302B"/>
    <w:rsid w:val="00893D02"/>
    <w:rsid w:val="00895572"/>
    <w:rsid w:val="00895690"/>
    <w:rsid w:val="0089601F"/>
    <w:rsid w:val="008960AB"/>
    <w:rsid w:val="0089797D"/>
    <w:rsid w:val="008A07B2"/>
    <w:rsid w:val="008A1C19"/>
    <w:rsid w:val="008A1D3B"/>
    <w:rsid w:val="008A1E85"/>
    <w:rsid w:val="008A1FA4"/>
    <w:rsid w:val="008A22F7"/>
    <w:rsid w:val="008A24C2"/>
    <w:rsid w:val="008A2A8F"/>
    <w:rsid w:val="008A2D55"/>
    <w:rsid w:val="008A3C9C"/>
    <w:rsid w:val="008A3E87"/>
    <w:rsid w:val="008A3F91"/>
    <w:rsid w:val="008A4053"/>
    <w:rsid w:val="008A4A2F"/>
    <w:rsid w:val="008A4A6B"/>
    <w:rsid w:val="008A4CEB"/>
    <w:rsid w:val="008A5065"/>
    <w:rsid w:val="008A5B2F"/>
    <w:rsid w:val="008A5D24"/>
    <w:rsid w:val="008A62CC"/>
    <w:rsid w:val="008A6319"/>
    <w:rsid w:val="008A68E3"/>
    <w:rsid w:val="008A6F50"/>
    <w:rsid w:val="008A71A0"/>
    <w:rsid w:val="008A7641"/>
    <w:rsid w:val="008A76D9"/>
    <w:rsid w:val="008A7E97"/>
    <w:rsid w:val="008B0062"/>
    <w:rsid w:val="008B045A"/>
    <w:rsid w:val="008B0BDC"/>
    <w:rsid w:val="008B0D20"/>
    <w:rsid w:val="008B1372"/>
    <w:rsid w:val="008B17B8"/>
    <w:rsid w:val="008B215D"/>
    <w:rsid w:val="008B22C1"/>
    <w:rsid w:val="008B2637"/>
    <w:rsid w:val="008B284D"/>
    <w:rsid w:val="008B2DB9"/>
    <w:rsid w:val="008B3260"/>
    <w:rsid w:val="008B381E"/>
    <w:rsid w:val="008B4E0C"/>
    <w:rsid w:val="008B5066"/>
    <w:rsid w:val="008B50E6"/>
    <w:rsid w:val="008B57C4"/>
    <w:rsid w:val="008B592E"/>
    <w:rsid w:val="008B59EF"/>
    <w:rsid w:val="008B6226"/>
    <w:rsid w:val="008B6592"/>
    <w:rsid w:val="008B6805"/>
    <w:rsid w:val="008B6835"/>
    <w:rsid w:val="008B6BC2"/>
    <w:rsid w:val="008B6C4E"/>
    <w:rsid w:val="008B7035"/>
    <w:rsid w:val="008B715F"/>
    <w:rsid w:val="008B7EE0"/>
    <w:rsid w:val="008C020E"/>
    <w:rsid w:val="008C13C4"/>
    <w:rsid w:val="008C1627"/>
    <w:rsid w:val="008C1758"/>
    <w:rsid w:val="008C1AC0"/>
    <w:rsid w:val="008C1DC7"/>
    <w:rsid w:val="008C205C"/>
    <w:rsid w:val="008C2943"/>
    <w:rsid w:val="008C2AF9"/>
    <w:rsid w:val="008C3F34"/>
    <w:rsid w:val="008C405C"/>
    <w:rsid w:val="008C46AE"/>
    <w:rsid w:val="008C5AB4"/>
    <w:rsid w:val="008C6D70"/>
    <w:rsid w:val="008C7387"/>
    <w:rsid w:val="008C7415"/>
    <w:rsid w:val="008C7627"/>
    <w:rsid w:val="008C7966"/>
    <w:rsid w:val="008C7A2D"/>
    <w:rsid w:val="008D0824"/>
    <w:rsid w:val="008D09A5"/>
    <w:rsid w:val="008D0FFF"/>
    <w:rsid w:val="008D1952"/>
    <w:rsid w:val="008D2361"/>
    <w:rsid w:val="008D25A0"/>
    <w:rsid w:val="008D2E55"/>
    <w:rsid w:val="008D3976"/>
    <w:rsid w:val="008D4639"/>
    <w:rsid w:val="008D48C4"/>
    <w:rsid w:val="008D4B12"/>
    <w:rsid w:val="008D4CB0"/>
    <w:rsid w:val="008D4D26"/>
    <w:rsid w:val="008D53EE"/>
    <w:rsid w:val="008D5950"/>
    <w:rsid w:val="008D5D26"/>
    <w:rsid w:val="008D5E77"/>
    <w:rsid w:val="008D6FB5"/>
    <w:rsid w:val="008D7357"/>
    <w:rsid w:val="008D76C3"/>
    <w:rsid w:val="008D77B4"/>
    <w:rsid w:val="008D786D"/>
    <w:rsid w:val="008D7899"/>
    <w:rsid w:val="008E07D8"/>
    <w:rsid w:val="008E09BB"/>
    <w:rsid w:val="008E0A3B"/>
    <w:rsid w:val="008E14F0"/>
    <w:rsid w:val="008E1C42"/>
    <w:rsid w:val="008E1D76"/>
    <w:rsid w:val="008E278E"/>
    <w:rsid w:val="008E2A3A"/>
    <w:rsid w:val="008E2CD6"/>
    <w:rsid w:val="008E3654"/>
    <w:rsid w:val="008E3A59"/>
    <w:rsid w:val="008E3D55"/>
    <w:rsid w:val="008E3E6D"/>
    <w:rsid w:val="008E42B1"/>
    <w:rsid w:val="008E433C"/>
    <w:rsid w:val="008E435B"/>
    <w:rsid w:val="008E4631"/>
    <w:rsid w:val="008E4B39"/>
    <w:rsid w:val="008E4B9F"/>
    <w:rsid w:val="008E4CAC"/>
    <w:rsid w:val="008E5270"/>
    <w:rsid w:val="008E5970"/>
    <w:rsid w:val="008E5A0C"/>
    <w:rsid w:val="008E5C24"/>
    <w:rsid w:val="008E5D26"/>
    <w:rsid w:val="008E602D"/>
    <w:rsid w:val="008E6CDF"/>
    <w:rsid w:val="008E6DB0"/>
    <w:rsid w:val="008E768B"/>
    <w:rsid w:val="008E7C82"/>
    <w:rsid w:val="008E7D07"/>
    <w:rsid w:val="008E7DDF"/>
    <w:rsid w:val="008E7E0B"/>
    <w:rsid w:val="008F0E80"/>
    <w:rsid w:val="008F113C"/>
    <w:rsid w:val="008F160A"/>
    <w:rsid w:val="008F1954"/>
    <w:rsid w:val="008F1BFC"/>
    <w:rsid w:val="008F23E1"/>
    <w:rsid w:val="008F28C2"/>
    <w:rsid w:val="008F2E03"/>
    <w:rsid w:val="008F3136"/>
    <w:rsid w:val="008F3188"/>
    <w:rsid w:val="008F31A0"/>
    <w:rsid w:val="008F388D"/>
    <w:rsid w:val="008F3E80"/>
    <w:rsid w:val="008F4426"/>
    <w:rsid w:val="008F44B1"/>
    <w:rsid w:val="008F4576"/>
    <w:rsid w:val="008F479C"/>
    <w:rsid w:val="008F49B3"/>
    <w:rsid w:val="008F4B6E"/>
    <w:rsid w:val="008F4D17"/>
    <w:rsid w:val="008F4ECF"/>
    <w:rsid w:val="008F59A4"/>
    <w:rsid w:val="008F5A7D"/>
    <w:rsid w:val="008F5CA3"/>
    <w:rsid w:val="008F5D6B"/>
    <w:rsid w:val="008F5D9C"/>
    <w:rsid w:val="008F72F3"/>
    <w:rsid w:val="008F7598"/>
    <w:rsid w:val="008F76AF"/>
    <w:rsid w:val="008F771A"/>
    <w:rsid w:val="008F7935"/>
    <w:rsid w:val="009004F7"/>
    <w:rsid w:val="009005CB"/>
    <w:rsid w:val="009006C4"/>
    <w:rsid w:val="00900A56"/>
    <w:rsid w:val="009011FE"/>
    <w:rsid w:val="009015D0"/>
    <w:rsid w:val="00901655"/>
    <w:rsid w:val="0090188E"/>
    <w:rsid w:val="00901ADF"/>
    <w:rsid w:val="00901C75"/>
    <w:rsid w:val="00901E99"/>
    <w:rsid w:val="00902006"/>
    <w:rsid w:val="00902111"/>
    <w:rsid w:val="009025AA"/>
    <w:rsid w:val="009028B1"/>
    <w:rsid w:val="00903359"/>
    <w:rsid w:val="009033D4"/>
    <w:rsid w:val="00903D1E"/>
    <w:rsid w:val="00903FF7"/>
    <w:rsid w:val="00904149"/>
    <w:rsid w:val="00904B60"/>
    <w:rsid w:val="00904B7F"/>
    <w:rsid w:val="00904BBB"/>
    <w:rsid w:val="00904EBB"/>
    <w:rsid w:val="009053B6"/>
    <w:rsid w:val="00905A52"/>
    <w:rsid w:val="009061C3"/>
    <w:rsid w:val="00906A0B"/>
    <w:rsid w:val="00906B0F"/>
    <w:rsid w:val="00907BAA"/>
    <w:rsid w:val="00907EED"/>
    <w:rsid w:val="00910053"/>
    <w:rsid w:val="0091022A"/>
    <w:rsid w:val="009105A3"/>
    <w:rsid w:val="009108F4"/>
    <w:rsid w:val="0091170F"/>
    <w:rsid w:val="00912381"/>
    <w:rsid w:val="00912C52"/>
    <w:rsid w:val="009130BA"/>
    <w:rsid w:val="00913939"/>
    <w:rsid w:val="00913A9E"/>
    <w:rsid w:val="00913E62"/>
    <w:rsid w:val="009141F7"/>
    <w:rsid w:val="0091429B"/>
    <w:rsid w:val="00914587"/>
    <w:rsid w:val="009145A4"/>
    <w:rsid w:val="0091493D"/>
    <w:rsid w:val="00914CFC"/>
    <w:rsid w:val="00915A04"/>
    <w:rsid w:val="00915FAD"/>
    <w:rsid w:val="00916477"/>
    <w:rsid w:val="009169DA"/>
    <w:rsid w:val="00916A04"/>
    <w:rsid w:val="00916F60"/>
    <w:rsid w:val="0091751C"/>
    <w:rsid w:val="00917D2E"/>
    <w:rsid w:val="00917DC9"/>
    <w:rsid w:val="00917F55"/>
    <w:rsid w:val="0092016C"/>
    <w:rsid w:val="009206D9"/>
    <w:rsid w:val="00920F03"/>
    <w:rsid w:val="00921231"/>
    <w:rsid w:val="00921A7E"/>
    <w:rsid w:val="00921D04"/>
    <w:rsid w:val="009220C8"/>
    <w:rsid w:val="00922160"/>
    <w:rsid w:val="009223BB"/>
    <w:rsid w:val="00922D0B"/>
    <w:rsid w:val="009232D0"/>
    <w:rsid w:val="00923D76"/>
    <w:rsid w:val="0092476B"/>
    <w:rsid w:val="00924AC1"/>
    <w:rsid w:val="00924CDC"/>
    <w:rsid w:val="009250E7"/>
    <w:rsid w:val="00925BC3"/>
    <w:rsid w:val="009261B6"/>
    <w:rsid w:val="00926220"/>
    <w:rsid w:val="00927416"/>
    <w:rsid w:val="00927692"/>
    <w:rsid w:val="0092774E"/>
    <w:rsid w:val="009304EC"/>
    <w:rsid w:val="009310AA"/>
    <w:rsid w:val="009311DC"/>
    <w:rsid w:val="00931208"/>
    <w:rsid w:val="00931614"/>
    <w:rsid w:val="0093168B"/>
    <w:rsid w:val="00931A77"/>
    <w:rsid w:val="00931F85"/>
    <w:rsid w:val="009323CB"/>
    <w:rsid w:val="00932920"/>
    <w:rsid w:val="00932A7B"/>
    <w:rsid w:val="00932B2F"/>
    <w:rsid w:val="00932D93"/>
    <w:rsid w:val="00932F4F"/>
    <w:rsid w:val="00932F7D"/>
    <w:rsid w:val="0093307D"/>
    <w:rsid w:val="009338BC"/>
    <w:rsid w:val="00933914"/>
    <w:rsid w:val="00934341"/>
    <w:rsid w:val="00934AE6"/>
    <w:rsid w:val="0093503E"/>
    <w:rsid w:val="00935441"/>
    <w:rsid w:val="00935FB8"/>
    <w:rsid w:val="009360E6"/>
    <w:rsid w:val="00936538"/>
    <w:rsid w:val="00936681"/>
    <w:rsid w:val="009368F2"/>
    <w:rsid w:val="0093716F"/>
    <w:rsid w:val="009373AE"/>
    <w:rsid w:val="00937CB8"/>
    <w:rsid w:val="00940BA4"/>
    <w:rsid w:val="00940BE9"/>
    <w:rsid w:val="00940D79"/>
    <w:rsid w:val="00941A92"/>
    <w:rsid w:val="00941BD0"/>
    <w:rsid w:val="00941CFC"/>
    <w:rsid w:val="00942253"/>
    <w:rsid w:val="00942D2F"/>
    <w:rsid w:val="00943A94"/>
    <w:rsid w:val="00943C4D"/>
    <w:rsid w:val="00944430"/>
    <w:rsid w:val="009448B0"/>
    <w:rsid w:val="00944B1D"/>
    <w:rsid w:val="00944C78"/>
    <w:rsid w:val="00945333"/>
    <w:rsid w:val="0094563E"/>
    <w:rsid w:val="00945B6A"/>
    <w:rsid w:val="00945E6D"/>
    <w:rsid w:val="00946F00"/>
    <w:rsid w:val="009474B5"/>
    <w:rsid w:val="009479F1"/>
    <w:rsid w:val="00947BD3"/>
    <w:rsid w:val="00947F5D"/>
    <w:rsid w:val="009504F4"/>
    <w:rsid w:val="00950BE2"/>
    <w:rsid w:val="00950CEF"/>
    <w:rsid w:val="00951162"/>
    <w:rsid w:val="00951A36"/>
    <w:rsid w:val="00951CE9"/>
    <w:rsid w:val="00951FB5"/>
    <w:rsid w:val="00952539"/>
    <w:rsid w:val="00952D5A"/>
    <w:rsid w:val="00953409"/>
    <w:rsid w:val="009535CA"/>
    <w:rsid w:val="009537DF"/>
    <w:rsid w:val="00953A2D"/>
    <w:rsid w:val="00953AD3"/>
    <w:rsid w:val="00953BD6"/>
    <w:rsid w:val="00953FCA"/>
    <w:rsid w:val="0095408D"/>
    <w:rsid w:val="00954237"/>
    <w:rsid w:val="00954BAD"/>
    <w:rsid w:val="00954DD5"/>
    <w:rsid w:val="00954EB0"/>
    <w:rsid w:val="0095541C"/>
    <w:rsid w:val="009559BC"/>
    <w:rsid w:val="009562EA"/>
    <w:rsid w:val="00956A4A"/>
    <w:rsid w:val="00956C7B"/>
    <w:rsid w:val="00956CC1"/>
    <w:rsid w:val="00956D3B"/>
    <w:rsid w:val="009574E1"/>
    <w:rsid w:val="00957F39"/>
    <w:rsid w:val="00960192"/>
    <w:rsid w:val="0096037B"/>
    <w:rsid w:val="009605AA"/>
    <w:rsid w:val="009605B5"/>
    <w:rsid w:val="00960861"/>
    <w:rsid w:val="0096117C"/>
    <w:rsid w:val="0096139D"/>
    <w:rsid w:val="00961547"/>
    <w:rsid w:val="00961782"/>
    <w:rsid w:val="009618E4"/>
    <w:rsid w:val="00961A4A"/>
    <w:rsid w:val="009620C4"/>
    <w:rsid w:val="009624B1"/>
    <w:rsid w:val="009627FC"/>
    <w:rsid w:val="00962A4A"/>
    <w:rsid w:val="009640D1"/>
    <w:rsid w:val="00964461"/>
    <w:rsid w:val="00964B09"/>
    <w:rsid w:val="00965C0B"/>
    <w:rsid w:val="00965E68"/>
    <w:rsid w:val="00965F3B"/>
    <w:rsid w:val="009660F5"/>
    <w:rsid w:val="0096647E"/>
    <w:rsid w:val="00966937"/>
    <w:rsid w:val="00966D92"/>
    <w:rsid w:val="00966FD4"/>
    <w:rsid w:val="0096704A"/>
    <w:rsid w:val="0096728D"/>
    <w:rsid w:val="0096741A"/>
    <w:rsid w:val="009701BE"/>
    <w:rsid w:val="00970437"/>
    <w:rsid w:val="00971632"/>
    <w:rsid w:val="00971B7A"/>
    <w:rsid w:val="0097258F"/>
    <w:rsid w:val="00972AF1"/>
    <w:rsid w:val="00972D3B"/>
    <w:rsid w:val="00973230"/>
    <w:rsid w:val="00973491"/>
    <w:rsid w:val="00973928"/>
    <w:rsid w:val="00973E2E"/>
    <w:rsid w:val="00973E5F"/>
    <w:rsid w:val="0097401D"/>
    <w:rsid w:val="00974920"/>
    <w:rsid w:val="00975240"/>
    <w:rsid w:val="00975408"/>
    <w:rsid w:val="00976AA9"/>
    <w:rsid w:val="00976B3C"/>
    <w:rsid w:val="00976F82"/>
    <w:rsid w:val="00977465"/>
    <w:rsid w:val="00977748"/>
    <w:rsid w:val="00977CA5"/>
    <w:rsid w:val="00980054"/>
    <w:rsid w:val="009800C3"/>
    <w:rsid w:val="00980510"/>
    <w:rsid w:val="00980786"/>
    <w:rsid w:val="00981394"/>
    <w:rsid w:val="00981951"/>
    <w:rsid w:val="009828FD"/>
    <w:rsid w:val="00982C30"/>
    <w:rsid w:val="00983825"/>
    <w:rsid w:val="009838B7"/>
    <w:rsid w:val="00984691"/>
    <w:rsid w:val="0098483C"/>
    <w:rsid w:val="00984CA8"/>
    <w:rsid w:val="009851DE"/>
    <w:rsid w:val="00985645"/>
    <w:rsid w:val="00985706"/>
    <w:rsid w:val="00985A37"/>
    <w:rsid w:val="00985FE5"/>
    <w:rsid w:val="00986089"/>
    <w:rsid w:val="009868E6"/>
    <w:rsid w:val="00986AF5"/>
    <w:rsid w:val="00986EB6"/>
    <w:rsid w:val="00986FDD"/>
    <w:rsid w:val="00987000"/>
    <w:rsid w:val="0098742B"/>
    <w:rsid w:val="00987A07"/>
    <w:rsid w:val="00987D0A"/>
    <w:rsid w:val="00990616"/>
    <w:rsid w:val="00990B30"/>
    <w:rsid w:val="00991686"/>
    <w:rsid w:val="009916A0"/>
    <w:rsid w:val="00991772"/>
    <w:rsid w:val="00991B14"/>
    <w:rsid w:val="00992535"/>
    <w:rsid w:val="0099291D"/>
    <w:rsid w:val="00992F7C"/>
    <w:rsid w:val="0099301A"/>
    <w:rsid w:val="00993565"/>
    <w:rsid w:val="00993576"/>
    <w:rsid w:val="009938C2"/>
    <w:rsid w:val="00993906"/>
    <w:rsid w:val="00993E38"/>
    <w:rsid w:val="00994C38"/>
    <w:rsid w:val="00994F31"/>
    <w:rsid w:val="009950AE"/>
    <w:rsid w:val="009956D7"/>
    <w:rsid w:val="009963AB"/>
    <w:rsid w:val="009965D0"/>
    <w:rsid w:val="00996746"/>
    <w:rsid w:val="009968F8"/>
    <w:rsid w:val="00996C5D"/>
    <w:rsid w:val="00996DA0"/>
    <w:rsid w:val="009973AE"/>
    <w:rsid w:val="00997B29"/>
    <w:rsid w:val="00997F0B"/>
    <w:rsid w:val="009A07E6"/>
    <w:rsid w:val="009A10A2"/>
    <w:rsid w:val="009A15AD"/>
    <w:rsid w:val="009A1A5C"/>
    <w:rsid w:val="009A1A95"/>
    <w:rsid w:val="009A1D33"/>
    <w:rsid w:val="009A2F28"/>
    <w:rsid w:val="009A31F3"/>
    <w:rsid w:val="009A3C5B"/>
    <w:rsid w:val="009A4137"/>
    <w:rsid w:val="009A5142"/>
    <w:rsid w:val="009A5270"/>
    <w:rsid w:val="009A5A40"/>
    <w:rsid w:val="009A5F8A"/>
    <w:rsid w:val="009A68B4"/>
    <w:rsid w:val="009A6A55"/>
    <w:rsid w:val="009A6B05"/>
    <w:rsid w:val="009A71D6"/>
    <w:rsid w:val="009A7461"/>
    <w:rsid w:val="009A7576"/>
    <w:rsid w:val="009A7E26"/>
    <w:rsid w:val="009B02C5"/>
    <w:rsid w:val="009B0CD0"/>
    <w:rsid w:val="009B1022"/>
    <w:rsid w:val="009B291E"/>
    <w:rsid w:val="009B3345"/>
    <w:rsid w:val="009B3F36"/>
    <w:rsid w:val="009B4001"/>
    <w:rsid w:val="009B425B"/>
    <w:rsid w:val="009B42EA"/>
    <w:rsid w:val="009B4942"/>
    <w:rsid w:val="009B4C06"/>
    <w:rsid w:val="009B4D02"/>
    <w:rsid w:val="009B5090"/>
    <w:rsid w:val="009B52DC"/>
    <w:rsid w:val="009B554C"/>
    <w:rsid w:val="009B67FA"/>
    <w:rsid w:val="009B6C63"/>
    <w:rsid w:val="009B77DB"/>
    <w:rsid w:val="009B7989"/>
    <w:rsid w:val="009B7A5F"/>
    <w:rsid w:val="009C0039"/>
    <w:rsid w:val="009C0C78"/>
    <w:rsid w:val="009C0C86"/>
    <w:rsid w:val="009C0F19"/>
    <w:rsid w:val="009C1A93"/>
    <w:rsid w:val="009C1DB8"/>
    <w:rsid w:val="009C281D"/>
    <w:rsid w:val="009C29B3"/>
    <w:rsid w:val="009C2CAB"/>
    <w:rsid w:val="009C3062"/>
    <w:rsid w:val="009C3600"/>
    <w:rsid w:val="009C3A95"/>
    <w:rsid w:val="009C3EB6"/>
    <w:rsid w:val="009C47E1"/>
    <w:rsid w:val="009C4A06"/>
    <w:rsid w:val="009C4D74"/>
    <w:rsid w:val="009C517A"/>
    <w:rsid w:val="009C5332"/>
    <w:rsid w:val="009C556A"/>
    <w:rsid w:val="009C57E9"/>
    <w:rsid w:val="009C63A7"/>
    <w:rsid w:val="009C64E2"/>
    <w:rsid w:val="009C65B0"/>
    <w:rsid w:val="009C6D7B"/>
    <w:rsid w:val="009C6E3D"/>
    <w:rsid w:val="009C75B9"/>
    <w:rsid w:val="009C7F06"/>
    <w:rsid w:val="009D00A5"/>
    <w:rsid w:val="009D0437"/>
    <w:rsid w:val="009D0DF2"/>
    <w:rsid w:val="009D1E9D"/>
    <w:rsid w:val="009D24B2"/>
    <w:rsid w:val="009D284F"/>
    <w:rsid w:val="009D2A22"/>
    <w:rsid w:val="009D2CD1"/>
    <w:rsid w:val="009D2EF1"/>
    <w:rsid w:val="009D2FA2"/>
    <w:rsid w:val="009D37D6"/>
    <w:rsid w:val="009D3BA9"/>
    <w:rsid w:val="009D3F3D"/>
    <w:rsid w:val="009D4318"/>
    <w:rsid w:val="009D4A82"/>
    <w:rsid w:val="009D4CAF"/>
    <w:rsid w:val="009D510C"/>
    <w:rsid w:val="009D585E"/>
    <w:rsid w:val="009D5AEB"/>
    <w:rsid w:val="009D5D76"/>
    <w:rsid w:val="009D64BD"/>
    <w:rsid w:val="009D6516"/>
    <w:rsid w:val="009D7522"/>
    <w:rsid w:val="009D75E4"/>
    <w:rsid w:val="009D7C14"/>
    <w:rsid w:val="009E0384"/>
    <w:rsid w:val="009E0E84"/>
    <w:rsid w:val="009E14F8"/>
    <w:rsid w:val="009E1EF1"/>
    <w:rsid w:val="009E21FF"/>
    <w:rsid w:val="009E3500"/>
    <w:rsid w:val="009E36A9"/>
    <w:rsid w:val="009E36B5"/>
    <w:rsid w:val="009E3833"/>
    <w:rsid w:val="009E38AE"/>
    <w:rsid w:val="009E3A2A"/>
    <w:rsid w:val="009E40F6"/>
    <w:rsid w:val="009E415F"/>
    <w:rsid w:val="009E4256"/>
    <w:rsid w:val="009E45C7"/>
    <w:rsid w:val="009E587C"/>
    <w:rsid w:val="009E63AE"/>
    <w:rsid w:val="009E6488"/>
    <w:rsid w:val="009E6B57"/>
    <w:rsid w:val="009E7172"/>
    <w:rsid w:val="009E77D3"/>
    <w:rsid w:val="009E7F97"/>
    <w:rsid w:val="009F00CE"/>
    <w:rsid w:val="009F01E7"/>
    <w:rsid w:val="009F0A7B"/>
    <w:rsid w:val="009F0F7F"/>
    <w:rsid w:val="009F0FB5"/>
    <w:rsid w:val="009F102A"/>
    <w:rsid w:val="009F1325"/>
    <w:rsid w:val="009F174E"/>
    <w:rsid w:val="009F1A0F"/>
    <w:rsid w:val="009F1D5E"/>
    <w:rsid w:val="009F2340"/>
    <w:rsid w:val="009F2F16"/>
    <w:rsid w:val="009F3057"/>
    <w:rsid w:val="009F387A"/>
    <w:rsid w:val="009F3E66"/>
    <w:rsid w:val="009F44A3"/>
    <w:rsid w:val="009F479D"/>
    <w:rsid w:val="009F4B78"/>
    <w:rsid w:val="009F4F25"/>
    <w:rsid w:val="009F5378"/>
    <w:rsid w:val="009F5664"/>
    <w:rsid w:val="009F5983"/>
    <w:rsid w:val="009F6102"/>
    <w:rsid w:val="009F7266"/>
    <w:rsid w:val="009F726A"/>
    <w:rsid w:val="009F728C"/>
    <w:rsid w:val="009F74C7"/>
    <w:rsid w:val="009F7506"/>
    <w:rsid w:val="009F776F"/>
    <w:rsid w:val="009F7996"/>
    <w:rsid w:val="00A00611"/>
    <w:rsid w:val="00A00791"/>
    <w:rsid w:val="00A00F71"/>
    <w:rsid w:val="00A01113"/>
    <w:rsid w:val="00A01CFB"/>
    <w:rsid w:val="00A01F02"/>
    <w:rsid w:val="00A02118"/>
    <w:rsid w:val="00A03963"/>
    <w:rsid w:val="00A03A66"/>
    <w:rsid w:val="00A03EF1"/>
    <w:rsid w:val="00A04276"/>
    <w:rsid w:val="00A04886"/>
    <w:rsid w:val="00A04D53"/>
    <w:rsid w:val="00A04DEF"/>
    <w:rsid w:val="00A05642"/>
    <w:rsid w:val="00A057CE"/>
    <w:rsid w:val="00A05DB8"/>
    <w:rsid w:val="00A05E48"/>
    <w:rsid w:val="00A0631E"/>
    <w:rsid w:val="00A0706A"/>
    <w:rsid w:val="00A07345"/>
    <w:rsid w:val="00A0740B"/>
    <w:rsid w:val="00A07BA3"/>
    <w:rsid w:val="00A07FB4"/>
    <w:rsid w:val="00A1079F"/>
    <w:rsid w:val="00A10A3B"/>
    <w:rsid w:val="00A10ACA"/>
    <w:rsid w:val="00A11355"/>
    <w:rsid w:val="00A119D6"/>
    <w:rsid w:val="00A11AA0"/>
    <w:rsid w:val="00A11B84"/>
    <w:rsid w:val="00A12E86"/>
    <w:rsid w:val="00A13A33"/>
    <w:rsid w:val="00A13A4E"/>
    <w:rsid w:val="00A13F1C"/>
    <w:rsid w:val="00A1410D"/>
    <w:rsid w:val="00A14187"/>
    <w:rsid w:val="00A14DE6"/>
    <w:rsid w:val="00A14E3F"/>
    <w:rsid w:val="00A15541"/>
    <w:rsid w:val="00A15984"/>
    <w:rsid w:val="00A16352"/>
    <w:rsid w:val="00A163BF"/>
    <w:rsid w:val="00A16656"/>
    <w:rsid w:val="00A16911"/>
    <w:rsid w:val="00A16C3E"/>
    <w:rsid w:val="00A17621"/>
    <w:rsid w:val="00A1769F"/>
    <w:rsid w:val="00A17E75"/>
    <w:rsid w:val="00A200DE"/>
    <w:rsid w:val="00A20436"/>
    <w:rsid w:val="00A209E3"/>
    <w:rsid w:val="00A20D60"/>
    <w:rsid w:val="00A218F5"/>
    <w:rsid w:val="00A21961"/>
    <w:rsid w:val="00A220FA"/>
    <w:rsid w:val="00A226EF"/>
    <w:rsid w:val="00A23492"/>
    <w:rsid w:val="00A234EA"/>
    <w:rsid w:val="00A23809"/>
    <w:rsid w:val="00A23F7E"/>
    <w:rsid w:val="00A2405B"/>
    <w:rsid w:val="00A243E8"/>
    <w:rsid w:val="00A24E37"/>
    <w:rsid w:val="00A2543C"/>
    <w:rsid w:val="00A257EB"/>
    <w:rsid w:val="00A25A93"/>
    <w:rsid w:val="00A25DBE"/>
    <w:rsid w:val="00A2616B"/>
    <w:rsid w:val="00A26943"/>
    <w:rsid w:val="00A26F58"/>
    <w:rsid w:val="00A2720F"/>
    <w:rsid w:val="00A27573"/>
    <w:rsid w:val="00A2770B"/>
    <w:rsid w:val="00A27C61"/>
    <w:rsid w:val="00A27EA6"/>
    <w:rsid w:val="00A30020"/>
    <w:rsid w:val="00A30A71"/>
    <w:rsid w:val="00A30AB3"/>
    <w:rsid w:val="00A30BE1"/>
    <w:rsid w:val="00A30C8D"/>
    <w:rsid w:val="00A30D29"/>
    <w:rsid w:val="00A31C02"/>
    <w:rsid w:val="00A3289A"/>
    <w:rsid w:val="00A32BF9"/>
    <w:rsid w:val="00A32F0D"/>
    <w:rsid w:val="00A335B7"/>
    <w:rsid w:val="00A335DB"/>
    <w:rsid w:val="00A338B4"/>
    <w:rsid w:val="00A34406"/>
    <w:rsid w:val="00A3442B"/>
    <w:rsid w:val="00A34819"/>
    <w:rsid w:val="00A34BA8"/>
    <w:rsid w:val="00A350BA"/>
    <w:rsid w:val="00A35236"/>
    <w:rsid w:val="00A3567C"/>
    <w:rsid w:val="00A35AF6"/>
    <w:rsid w:val="00A3632F"/>
    <w:rsid w:val="00A36B4C"/>
    <w:rsid w:val="00A3709B"/>
    <w:rsid w:val="00A3797A"/>
    <w:rsid w:val="00A37EE7"/>
    <w:rsid w:val="00A4004B"/>
    <w:rsid w:val="00A40155"/>
    <w:rsid w:val="00A40415"/>
    <w:rsid w:val="00A407A4"/>
    <w:rsid w:val="00A40E5A"/>
    <w:rsid w:val="00A4148A"/>
    <w:rsid w:val="00A41E57"/>
    <w:rsid w:val="00A4218B"/>
    <w:rsid w:val="00A425D3"/>
    <w:rsid w:val="00A42936"/>
    <w:rsid w:val="00A42BCC"/>
    <w:rsid w:val="00A42DED"/>
    <w:rsid w:val="00A42FE6"/>
    <w:rsid w:val="00A43A18"/>
    <w:rsid w:val="00A43AD5"/>
    <w:rsid w:val="00A44641"/>
    <w:rsid w:val="00A4512E"/>
    <w:rsid w:val="00A4561C"/>
    <w:rsid w:val="00A4572C"/>
    <w:rsid w:val="00A45771"/>
    <w:rsid w:val="00A45D01"/>
    <w:rsid w:val="00A4601F"/>
    <w:rsid w:val="00A46187"/>
    <w:rsid w:val="00A462B5"/>
    <w:rsid w:val="00A467BE"/>
    <w:rsid w:val="00A470B8"/>
    <w:rsid w:val="00A4780F"/>
    <w:rsid w:val="00A47833"/>
    <w:rsid w:val="00A47856"/>
    <w:rsid w:val="00A47A81"/>
    <w:rsid w:val="00A47B88"/>
    <w:rsid w:val="00A5009B"/>
    <w:rsid w:val="00A50C41"/>
    <w:rsid w:val="00A50C53"/>
    <w:rsid w:val="00A50EA7"/>
    <w:rsid w:val="00A50F43"/>
    <w:rsid w:val="00A514E6"/>
    <w:rsid w:val="00A5172F"/>
    <w:rsid w:val="00A518A8"/>
    <w:rsid w:val="00A51AAD"/>
    <w:rsid w:val="00A51D22"/>
    <w:rsid w:val="00A51F93"/>
    <w:rsid w:val="00A52015"/>
    <w:rsid w:val="00A525EF"/>
    <w:rsid w:val="00A531A8"/>
    <w:rsid w:val="00A53993"/>
    <w:rsid w:val="00A53D89"/>
    <w:rsid w:val="00A54661"/>
    <w:rsid w:val="00A55FBD"/>
    <w:rsid w:val="00A56CFA"/>
    <w:rsid w:val="00A573EE"/>
    <w:rsid w:val="00A579C9"/>
    <w:rsid w:val="00A57AD4"/>
    <w:rsid w:val="00A57D1E"/>
    <w:rsid w:val="00A600B4"/>
    <w:rsid w:val="00A601E8"/>
    <w:rsid w:val="00A6052A"/>
    <w:rsid w:val="00A605B9"/>
    <w:rsid w:val="00A60736"/>
    <w:rsid w:val="00A60AB8"/>
    <w:rsid w:val="00A60D54"/>
    <w:rsid w:val="00A61581"/>
    <w:rsid w:val="00A6189E"/>
    <w:rsid w:val="00A62EEA"/>
    <w:rsid w:val="00A62FEB"/>
    <w:rsid w:val="00A63210"/>
    <w:rsid w:val="00A633E5"/>
    <w:rsid w:val="00A63739"/>
    <w:rsid w:val="00A64624"/>
    <w:rsid w:val="00A648DF"/>
    <w:rsid w:val="00A64910"/>
    <w:rsid w:val="00A64ADC"/>
    <w:rsid w:val="00A64FEB"/>
    <w:rsid w:val="00A651E8"/>
    <w:rsid w:val="00A66AC2"/>
    <w:rsid w:val="00A67B8F"/>
    <w:rsid w:val="00A70341"/>
    <w:rsid w:val="00A7077D"/>
    <w:rsid w:val="00A70A23"/>
    <w:rsid w:val="00A70DEB"/>
    <w:rsid w:val="00A71545"/>
    <w:rsid w:val="00A718A5"/>
    <w:rsid w:val="00A7199D"/>
    <w:rsid w:val="00A71BE7"/>
    <w:rsid w:val="00A71D8D"/>
    <w:rsid w:val="00A71DFB"/>
    <w:rsid w:val="00A71E34"/>
    <w:rsid w:val="00A723DF"/>
    <w:rsid w:val="00A727CE"/>
    <w:rsid w:val="00A72909"/>
    <w:rsid w:val="00A72CEB"/>
    <w:rsid w:val="00A72F1E"/>
    <w:rsid w:val="00A737D7"/>
    <w:rsid w:val="00A738A8"/>
    <w:rsid w:val="00A738C2"/>
    <w:rsid w:val="00A73B81"/>
    <w:rsid w:val="00A74432"/>
    <w:rsid w:val="00A74594"/>
    <w:rsid w:val="00A74C3E"/>
    <w:rsid w:val="00A7516A"/>
    <w:rsid w:val="00A756BA"/>
    <w:rsid w:val="00A75CA6"/>
    <w:rsid w:val="00A77775"/>
    <w:rsid w:val="00A777AC"/>
    <w:rsid w:val="00A77DF1"/>
    <w:rsid w:val="00A77FB3"/>
    <w:rsid w:val="00A8164C"/>
    <w:rsid w:val="00A82577"/>
    <w:rsid w:val="00A82B53"/>
    <w:rsid w:val="00A82C5F"/>
    <w:rsid w:val="00A836F2"/>
    <w:rsid w:val="00A83D32"/>
    <w:rsid w:val="00A849E8"/>
    <w:rsid w:val="00A84A13"/>
    <w:rsid w:val="00A84A27"/>
    <w:rsid w:val="00A84CEA"/>
    <w:rsid w:val="00A85061"/>
    <w:rsid w:val="00A856A1"/>
    <w:rsid w:val="00A86046"/>
    <w:rsid w:val="00A8617E"/>
    <w:rsid w:val="00A861FD"/>
    <w:rsid w:val="00A86AE5"/>
    <w:rsid w:val="00A87EBD"/>
    <w:rsid w:val="00A901FF"/>
    <w:rsid w:val="00A91533"/>
    <w:rsid w:val="00A9296C"/>
    <w:rsid w:val="00A933C8"/>
    <w:rsid w:val="00A93462"/>
    <w:rsid w:val="00A937C3"/>
    <w:rsid w:val="00A94650"/>
    <w:rsid w:val="00A94735"/>
    <w:rsid w:val="00A94A6D"/>
    <w:rsid w:val="00A94FB0"/>
    <w:rsid w:val="00A950AE"/>
    <w:rsid w:val="00A95B99"/>
    <w:rsid w:val="00A962D1"/>
    <w:rsid w:val="00A96493"/>
    <w:rsid w:val="00A964AF"/>
    <w:rsid w:val="00A967A5"/>
    <w:rsid w:val="00A96A3F"/>
    <w:rsid w:val="00A971C2"/>
    <w:rsid w:val="00A972ED"/>
    <w:rsid w:val="00A973D9"/>
    <w:rsid w:val="00A97813"/>
    <w:rsid w:val="00A97D8E"/>
    <w:rsid w:val="00A97ECF"/>
    <w:rsid w:val="00AA033D"/>
    <w:rsid w:val="00AA0515"/>
    <w:rsid w:val="00AA0532"/>
    <w:rsid w:val="00AA08C5"/>
    <w:rsid w:val="00AA099A"/>
    <w:rsid w:val="00AA0A62"/>
    <w:rsid w:val="00AA0E93"/>
    <w:rsid w:val="00AA0F12"/>
    <w:rsid w:val="00AA1AC3"/>
    <w:rsid w:val="00AA1ED8"/>
    <w:rsid w:val="00AA1F00"/>
    <w:rsid w:val="00AA22B3"/>
    <w:rsid w:val="00AA2720"/>
    <w:rsid w:val="00AA328F"/>
    <w:rsid w:val="00AA33B4"/>
    <w:rsid w:val="00AA3649"/>
    <w:rsid w:val="00AA41EA"/>
    <w:rsid w:val="00AA43AE"/>
    <w:rsid w:val="00AA4727"/>
    <w:rsid w:val="00AA48B6"/>
    <w:rsid w:val="00AA4C3A"/>
    <w:rsid w:val="00AA4D97"/>
    <w:rsid w:val="00AA5323"/>
    <w:rsid w:val="00AA5487"/>
    <w:rsid w:val="00AA66CC"/>
    <w:rsid w:val="00AA6864"/>
    <w:rsid w:val="00AA688C"/>
    <w:rsid w:val="00AA7C7F"/>
    <w:rsid w:val="00AB0A9F"/>
    <w:rsid w:val="00AB0C50"/>
    <w:rsid w:val="00AB0DDA"/>
    <w:rsid w:val="00AB0EA9"/>
    <w:rsid w:val="00AB1727"/>
    <w:rsid w:val="00AB1950"/>
    <w:rsid w:val="00AB1EF5"/>
    <w:rsid w:val="00AB25BC"/>
    <w:rsid w:val="00AB2687"/>
    <w:rsid w:val="00AB2882"/>
    <w:rsid w:val="00AB2F86"/>
    <w:rsid w:val="00AB2F9A"/>
    <w:rsid w:val="00AB3B0C"/>
    <w:rsid w:val="00AB4002"/>
    <w:rsid w:val="00AB421F"/>
    <w:rsid w:val="00AB473C"/>
    <w:rsid w:val="00AB5B89"/>
    <w:rsid w:val="00AB5F53"/>
    <w:rsid w:val="00AB656C"/>
    <w:rsid w:val="00AB7404"/>
    <w:rsid w:val="00AB76EE"/>
    <w:rsid w:val="00AB7921"/>
    <w:rsid w:val="00AB7FA6"/>
    <w:rsid w:val="00AC0541"/>
    <w:rsid w:val="00AC1390"/>
    <w:rsid w:val="00AC1860"/>
    <w:rsid w:val="00AC1DFA"/>
    <w:rsid w:val="00AC2B19"/>
    <w:rsid w:val="00AC2ECE"/>
    <w:rsid w:val="00AC3A21"/>
    <w:rsid w:val="00AC3DD9"/>
    <w:rsid w:val="00AC47EE"/>
    <w:rsid w:val="00AC5388"/>
    <w:rsid w:val="00AC576E"/>
    <w:rsid w:val="00AC57F5"/>
    <w:rsid w:val="00AC5864"/>
    <w:rsid w:val="00AC5D25"/>
    <w:rsid w:val="00AC64A9"/>
    <w:rsid w:val="00AC6B88"/>
    <w:rsid w:val="00AC6CBA"/>
    <w:rsid w:val="00AC6EDA"/>
    <w:rsid w:val="00AC728D"/>
    <w:rsid w:val="00AC72C0"/>
    <w:rsid w:val="00AC7372"/>
    <w:rsid w:val="00AC7AA9"/>
    <w:rsid w:val="00AD0C73"/>
    <w:rsid w:val="00AD11B3"/>
    <w:rsid w:val="00AD1416"/>
    <w:rsid w:val="00AD16B5"/>
    <w:rsid w:val="00AD174A"/>
    <w:rsid w:val="00AD1A5F"/>
    <w:rsid w:val="00AD1BCE"/>
    <w:rsid w:val="00AD2112"/>
    <w:rsid w:val="00AD285E"/>
    <w:rsid w:val="00AD31CD"/>
    <w:rsid w:val="00AD3C63"/>
    <w:rsid w:val="00AD3CDE"/>
    <w:rsid w:val="00AD3F31"/>
    <w:rsid w:val="00AD51E4"/>
    <w:rsid w:val="00AD54F7"/>
    <w:rsid w:val="00AD57F4"/>
    <w:rsid w:val="00AD58B2"/>
    <w:rsid w:val="00AD59DB"/>
    <w:rsid w:val="00AD5B94"/>
    <w:rsid w:val="00AD5BA1"/>
    <w:rsid w:val="00AD5BC0"/>
    <w:rsid w:val="00AD64AD"/>
    <w:rsid w:val="00AD678F"/>
    <w:rsid w:val="00AE0A0E"/>
    <w:rsid w:val="00AE0D47"/>
    <w:rsid w:val="00AE119A"/>
    <w:rsid w:val="00AE1A51"/>
    <w:rsid w:val="00AE1F79"/>
    <w:rsid w:val="00AE216F"/>
    <w:rsid w:val="00AE2B29"/>
    <w:rsid w:val="00AE2BD4"/>
    <w:rsid w:val="00AE2FFC"/>
    <w:rsid w:val="00AE36D3"/>
    <w:rsid w:val="00AE3BEB"/>
    <w:rsid w:val="00AE3E74"/>
    <w:rsid w:val="00AE4164"/>
    <w:rsid w:val="00AE4172"/>
    <w:rsid w:val="00AE4271"/>
    <w:rsid w:val="00AE465E"/>
    <w:rsid w:val="00AE485C"/>
    <w:rsid w:val="00AE4DDC"/>
    <w:rsid w:val="00AE4EB0"/>
    <w:rsid w:val="00AE6214"/>
    <w:rsid w:val="00AE632A"/>
    <w:rsid w:val="00AE717B"/>
    <w:rsid w:val="00AE71B3"/>
    <w:rsid w:val="00AE726C"/>
    <w:rsid w:val="00AE79B1"/>
    <w:rsid w:val="00AE7C3F"/>
    <w:rsid w:val="00AF07E9"/>
    <w:rsid w:val="00AF08A6"/>
    <w:rsid w:val="00AF0C51"/>
    <w:rsid w:val="00AF1440"/>
    <w:rsid w:val="00AF2341"/>
    <w:rsid w:val="00AF2406"/>
    <w:rsid w:val="00AF251B"/>
    <w:rsid w:val="00AF2EE6"/>
    <w:rsid w:val="00AF2FBE"/>
    <w:rsid w:val="00AF37EE"/>
    <w:rsid w:val="00AF4083"/>
    <w:rsid w:val="00AF4910"/>
    <w:rsid w:val="00AF4A03"/>
    <w:rsid w:val="00AF513A"/>
    <w:rsid w:val="00AF5237"/>
    <w:rsid w:val="00AF527A"/>
    <w:rsid w:val="00AF5ECC"/>
    <w:rsid w:val="00AF6417"/>
    <w:rsid w:val="00AF677E"/>
    <w:rsid w:val="00AF6A80"/>
    <w:rsid w:val="00AF6B49"/>
    <w:rsid w:val="00AF6DE9"/>
    <w:rsid w:val="00AF6F89"/>
    <w:rsid w:val="00AF7212"/>
    <w:rsid w:val="00AF7933"/>
    <w:rsid w:val="00B0060E"/>
    <w:rsid w:val="00B0061B"/>
    <w:rsid w:val="00B008CA"/>
    <w:rsid w:val="00B00E0E"/>
    <w:rsid w:val="00B00FE9"/>
    <w:rsid w:val="00B01688"/>
    <w:rsid w:val="00B018A0"/>
    <w:rsid w:val="00B0190C"/>
    <w:rsid w:val="00B01B3F"/>
    <w:rsid w:val="00B02B07"/>
    <w:rsid w:val="00B03734"/>
    <w:rsid w:val="00B03806"/>
    <w:rsid w:val="00B03C19"/>
    <w:rsid w:val="00B040AE"/>
    <w:rsid w:val="00B04C88"/>
    <w:rsid w:val="00B04F44"/>
    <w:rsid w:val="00B05375"/>
    <w:rsid w:val="00B05721"/>
    <w:rsid w:val="00B05AF9"/>
    <w:rsid w:val="00B05B2C"/>
    <w:rsid w:val="00B05BC9"/>
    <w:rsid w:val="00B06011"/>
    <w:rsid w:val="00B061EC"/>
    <w:rsid w:val="00B06949"/>
    <w:rsid w:val="00B073E9"/>
    <w:rsid w:val="00B07757"/>
    <w:rsid w:val="00B07CFF"/>
    <w:rsid w:val="00B07DA7"/>
    <w:rsid w:val="00B07F64"/>
    <w:rsid w:val="00B10288"/>
    <w:rsid w:val="00B103D2"/>
    <w:rsid w:val="00B1055A"/>
    <w:rsid w:val="00B108E4"/>
    <w:rsid w:val="00B10AD6"/>
    <w:rsid w:val="00B11C84"/>
    <w:rsid w:val="00B11FCB"/>
    <w:rsid w:val="00B128A7"/>
    <w:rsid w:val="00B130CD"/>
    <w:rsid w:val="00B130FE"/>
    <w:rsid w:val="00B13EC6"/>
    <w:rsid w:val="00B14179"/>
    <w:rsid w:val="00B141C2"/>
    <w:rsid w:val="00B14EF9"/>
    <w:rsid w:val="00B1504A"/>
    <w:rsid w:val="00B153E6"/>
    <w:rsid w:val="00B15431"/>
    <w:rsid w:val="00B15A7B"/>
    <w:rsid w:val="00B15B30"/>
    <w:rsid w:val="00B15DCD"/>
    <w:rsid w:val="00B161E3"/>
    <w:rsid w:val="00B16473"/>
    <w:rsid w:val="00B17684"/>
    <w:rsid w:val="00B17761"/>
    <w:rsid w:val="00B177C5"/>
    <w:rsid w:val="00B1781E"/>
    <w:rsid w:val="00B17DAE"/>
    <w:rsid w:val="00B200CA"/>
    <w:rsid w:val="00B2019B"/>
    <w:rsid w:val="00B20874"/>
    <w:rsid w:val="00B20F7E"/>
    <w:rsid w:val="00B21CE7"/>
    <w:rsid w:val="00B2212B"/>
    <w:rsid w:val="00B2289F"/>
    <w:rsid w:val="00B236AE"/>
    <w:rsid w:val="00B241B8"/>
    <w:rsid w:val="00B24960"/>
    <w:rsid w:val="00B25017"/>
    <w:rsid w:val="00B25696"/>
    <w:rsid w:val="00B25B60"/>
    <w:rsid w:val="00B25C0B"/>
    <w:rsid w:val="00B25C54"/>
    <w:rsid w:val="00B25CD1"/>
    <w:rsid w:val="00B2636D"/>
    <w:rsid w:val="00B271E9"/>
    <w:rsid w:val="00B27F68"/>
    <w:rsid w:val="00B30FAF"/>
    <w:rsid w:val="00B31552"/>
    <w:rsid w:val="00B31675"/>
    <w:rsid w:val="00B31E9A"/>
    <w:rsid w:val="00B3248B"/>
    <w:rsid w:val="00B324E6"/>
    <w:rsid w:val="00B32E76"/>
    <w:rsid w:val="00B330BE"/>
    <w:rsid w:val="00B33213"/>
    <w:rsid w:val="00B334E1"/>
    <w:rsid w:val="00B33B2F"/>
    <w:rsid w:val="00B33BD0"/>
    <w:rsid w:val="00B341F7"/>
    <w:rsid w:val="00B34322"/>
    <w:rsid w:val="00B3481E"/>
    <w:rsid w:val="00B34BEE"/>
    <w:rsid w:val="00B35E1D"/>
    <w:rsid w:val="00B361AC"/>
    <w:rsid w:val="00B36549"/>
    <w:rsid w:val="00B366FC"/>
    <w:rsid w:val="00B36AF1"/>
    <w:rsid w:val="00B4096A"/>
    <w:rsid w:val="00B415BB"/>
    <w:rsid w:val="00B42882"/>
    <w:rsid w:val="00B43174"/>
    <w:rsid w:val="00B432B1"/>
    <w:rsid w:val="00B435E4"/>
    <w:rsid w:val="00B43613"/>
    <w:rsid w:val="00B4375E"/>
    <w:rsid w:val="00B44026"/>
    <w:rsid w:val="00B44862"/>
    <w:rsid w:val="00B44B14"/>
    <w:rsid w:val="00B44F1E"/>
    <w:rsid w:val="00B45585"/>
    <w:rsid w:val="00B45689"/>
    <w:rsid w:val="00B4575A"/>
    <w:rsid w:val="00B45766"/>
    <w:rsid w:val="00B462C0"/>
    <w:rsid w:val="00B464CD"/>
    <w:rsid w:val="00B46933"/>
    <w:rsid w:val="00B469A1"/>
    <w:rsid w:val="00B46A84"/>
    <w:rsid w:val="00B478C6"/>
    <w:rsid w:val="00B47F1A"/>
    <w:rsid w:val="00B5038B"/>
    <w:rsid w:val="00B50755"/>
    <w:rsid w:val="00B50952"/>
    <w:rsid w:val="00B50A92"/>
    <w:rsid w:val="00B50E2F"/>
    <w:rsid w:val="00B51330"/>
    <w:rsid w:val="00B51571"/>
    <w:rsid w:val="00B51A2B"/>
    <w:rsid w:val="00B51FBF"/>
    <w:rsid w:val="00B51FF4"/>
    <w:rsid w:val="00B52B95"/>
    <w:rsid w:val="00B5347B"/>
    <w:rsid w:val="00B53712"/>
    <w:rsid w:val="00B53D8E"/>
    <w:rsid w:val="00B53F1B"/>
    <w:rsid w:val="00B54331"/>
    <w:rsid w:val="00B54599"/>
    <w:rsid w:val="00B54656"/>
    <w:rsid w:val="00B54CF8"/>
    <w:rsid w:val="00B55062"/>
    <w:rsid w:val="00B5522E"/>
    <w:rsid w:val="00B5568C"/>
    <w:rsid w:val="00B55C53"/>
    <w:rsid w:val="00B56A13"/>
    <w:rsid w:val="00B56B86"/>
    <w:rsid w:val="00B570A7"/>
    <w:rsid w:val="00B57356"/>
    <w:rsid w:val="00B57455"/>
    <w:rsid w:val="00B60337"/>
    <w:rsid w:val="00B60421"/>
    <w:rsid w:val="00B6076B"/>
    <w:rsid w:val="00B60EF3"/>
    <w:rsid w:val="00B60F43"/>
    <w:rsid w:val="00B617AE"/>
    <w:rsid w:val="00B619F3"/>
    <w:rsid w:val="00B61E8D"/>
    <w:rsid w:val="00B61F0D"/>
    <w:rsid w:val="00B62D6E"/>
    <w:rsid w:val="00B63381"/>
    <w:rsid w:val="00B6340A"/>
    <w:rsid w:val="00B63CC5"/>
    <w:rsid w:val="00B6400B"/>
    <w:rsid w:val="00B65183"/>
    <w:rsid w:val="00B6529C"/>
    <w:rsid w:val="00B657E0"/>
    <w:rsid w:val="00B6589C"/>
    <w:rsid w:val="00B65CE8"/>
    <w:rsid w:val="00B66701"/>
    <w:rsid w:val="00B66AE5"/>
    <w:rsid w:val="00B67571"/>
    <w:rsid w:val="00B67704"/>
    <w:rsid w:val="00B70AC9"/>
    <w:rsid w:val="00B7114B"/>
    <w:rsid w:val="00B71697"/>
    <w:rsid w:val="00B71C0A"/>
    <w:rsid w:val="00B71C20"/>
    <w:rsid w:val="00B71CA8"/>
    <w:rsid w:val="00B721B7"/>
    <w:rsid w:val="00B72443"/>
    <w:rsid w:val="00B73269"/>
    <w:rsid w:val="00B73651"/>
    <w:rsid w:val="00B73906"/>
    <w:rsid w:val="00B743AD"/>
    <w:rsid w:val="00B7490D"/>
    <w:rsid w:val="00B74957"/>
    <w:rsid w:val="00B75255"/>
    <w:rsid w:val="00B753A4"/>
    <w:rsid w:val="00B757CE"/>
    <w:rsid w:val="00B75A85"/>
    <w:rsid w:val="00B75DC1"/>
    <w:rsid w:val="00B75E89"/>
    <w:rsid w:val="00B75ECA"/>
    <w:rsid w:val="00B76EA9"/>
    <w:rsid w:val="00B7712A"/>
    <w:rsid w:val="00B774AA"/>
    <w:rsid w:val="00B77568"/>
    <w:rsid w:val="00B77A42"/>
    <w:rsid w:val="00B77C56"/>
    <w:rsid w:val="00B80B25"/>
    <w:rsid w:val="00B80E2E"/>
    <w:rsid w:val="00B81386"/>
    <w:rsid w:val="00B81821"/>
    <w:rsid w:val="00B823B3"/>
    <w:rsid w:val="00B82456"/>
    <w:rsid w:val="00B828A0"/>
    <w:rsid w:val="00B82B5B"/>
    <w:rsid w:val="00B83355"/>
    <w:rsid w:val="00B83703"/>
    <w:rsid w:val="00B84129"/>
    <w:rsid w:val="00B847EB"/>
    <w:rsid w:val="00B84988"/>
    <w:rsid w:val="00B84A42"/>
    <w:rsid w:val="00B85124"/>
    <w:rsid w:val="00B85BF3"/>
    <w:rsid w:val="00B862B7"/>
    <w:rsid w:val="00B8652E"/>
    <w:rsid w:val="00B86C4C"/>
    <w:rsid w:val="00B87BB0"/>
    <w:rsid w:val="00B87BFB"/>
    <w:rsid w:val="00B90A6C"/>
    <w:rsid w:val="00B90FDD"/>
    <w:rsid w:val="00B91117"/>
    <w:rsid w:val="00B915E2"/>
    <w:rsid w:val="00B91B65"/>
    <w:rsid w:val="00B91D82"/>
    <w:rsid w:val="00B91DD1"/>
    <w:rsid w:val="00B91E8A"/>
    <w:rsid w:val="00B92FF9"/>
    <w:rsid w:val="00B93804"/>
    <w:rsid w:val="00B93959"/>
    <w:rsid w:val="00B93C6E"/>
    <w:rsid w:val="00B94026"/>
    <w:rsid w:val="00B94181"/>
    <w:rsid w:val="00B94B7B"/>
    <w:rsid w:val="00B94C0B"/>
    <w:rsid w:val="00B94DE5"/>
    <w:rsid w:val="00B952AD"/>
    <w:rsid w:val="00B958EB"/>
    <w:rsid w:val="00B95A70"/>
    <w:rsid w:val="00B95B95"/>
    <w:rsid w:val="00B966CB"/>
    <w:rsid w:val="00B96710"/>
    <w:rsid w:val="00B97326"/>
    <w:rsid w:val="00B97570"/>
    <w:rsid w:val="00B975A7"/>
    <w:rsid w:val="00B975EE"/>
    <w:rsid w:val="00BA0437"/>
    <w:rsid w:val="00BA08EF"/>
    <w:rsid w:val="00BA0C04"/>
    <w:rsid w:val="00BA1456"/>
    <w:rsid w:val="00BA152C"/>
    <w:rsid w:val="00BA1A9B"/>
    <w:rsid w:val="00BA1AED"/>
    <w:rsid w:val="00BA1BEC"/>
    <w:rsid w:val="00BA1CF3"/>
    <w:rsid w:val="00BA2C2C"/>
    <w:rsid w:val="00BA2F91"/>
    <w:rsid w:val="00BA3045"/>
    <w:rsid w:val="00BA3271"/>
    <w:rsid w:val="00BA3879"/>
    <w:rsid w:val="00BA3C0C"/>
    <w:rsid w:val="00BA4208"/>
    <w:rsid w:val="00BA446B"/>
    <w:rsid w:val="00BA450F"/>
    <w:rsid w:val="00BA50FB"/>
    <w:rsid w:val="00BA5336"/>
    <w:rsid w:val="00BA5371"/>
    <w:rsid w:val="00BA5A06"/>
    <w:rsid w:val="00BA5D82"/>
    <w:rsid w:val="00BA6118"/>
    <w:rsid w:val="00BA63C9"/>
    <w:rsid w:val="00BA6898"/>
    <w:rsid w:val="00BA6F43"/>
    <w:rsid w:val="00BA7191"/>
    <w:rsid w:val="00BA71F5"/>
    <w:rsid w:val="00BA735A"/>
    <w:rsid w:val="00BA740D"/>
    <w:rsid w:val="00BA7BAC"/>
    <w:rsid w:val="00BA7F37"/>
    <w:rsid w:val="00BB042D"/>
    <w:rsid w:val="00BB04CD"/>
    <w:rsid w:val="00BB0A28"/>
    <w:rsid w:val="00BB1864"/>
    <w:rsid w:val="00BB1E11"/>
    <w:rsid w:val="00BB1FC7"/>
    <w:rsid w:val="00BB2757"/>
    <w:rsid w:val="00BB2AAE"/>
    <w:rsid w:val="00BB3495"/>
    <w:rsid w:val="00BB3B5C"/>
    <w:rsid w:val="00BB3D75"/>
    <w:rsid w:val="00BB4591"/>
    <w:rsid w:val="00BB4705"/>
    <w:rsid w:val="00BB4D85"/>
    <w:rsid w:val="00BB506D"/>
    <w:rsid w:val="00BB555D"/>
    <w:rsid w:val="00BB599C"/>
    <w:rsid w:val="00BB5AA8"/>
    <w:rsid w:val="00BB718F"/>
    <w:rsid w:val="00BB727E"/>
    <w:rsid w:val="00BB7EB3"/>
    <w:rsid w:val="00BC00FB"/>
    <w:rsid w:val="00BC0A1A"/>
    <w:rsid w:val="00BC12C2"/>
    <w:rsid w:val="00BC1CBB"/>
    <w:rsid w:val="00BC1E6B"/>
    <w:rsid w:val="00BC1F16"/>
    <w:rsid w:val="00BC240E"/>
    <w:rsid w:val="00BC2520"/>
    <w:rsid w:val="00BC25E1"/>
    <w:rsid w:val="00BC26F0"/>
    <w:rsid w:val="00BC2935"/>
    <w:rsid w:val="00BC2A61"/>
    <w:rsid w:val="00BC325F"/>
    <w:rsid w:val="00BC3B49"/>
    <w:rsid w:val="00BC44B0"/>
    <w:rsid w:val="00BC50BD"/>
    <w:rsid w:val="00BC5703"/>
    <w:rsid w:val="00BC5B0D"/>
    <w:rsid w:val="00BC645F"/>
    <w:rsid w:val="00BC7223"/>
    <w:rsid w:val="00BC7496"/>
    <w:rsid w:val="00BC74E1"/>
    <w:rsid w:val="00BC7860"/>
    <w:rsid w:val="00BC7D86"/>
    <w:rsid w:val="00BD048E"/>
    <w:rsid w:val="00BD0ACF"/>
    <w:rsid w:val="00BD0B76"/>
    <w:rsid w:val="00BD138D"/>
    <w:rsid w:val="00BD1450"/>
    <w:rsid w:val="00BD1617"/>
    <w:rsid w:val="00BD1796"/>
    <w:rsid w:val="00BD1A8B"/>
    <w:rsid w:val="00BD1FA0"/>
    <w:rsid w:val="00BD200B"/>
    <w:rsid w:val="00BD20F6"/>
    <w:rsid w:val="00BD2320"/>
    <w:rsid w:val="00BD2572"/>
    <w:rsid w:val="00BD2F7E"/>
    <w:rsid w:val="00BD3319"/>
    <w:rsid w:val="00BD3993"/>
    <w:rsid w:val="00BD3A46"/>
    <w:rsid w:val="00BD3BE9"/>
    <w:rsid w:val="00BD43A2"/>
    <w:rsid w:val="00BD43F4"/>
    <w:rsid w:val="00BD4670"/>
    <w:rsid w:val="00BD471E"/>
    <w:rsid w:val="00BD4E0E"/>
    <w:rsid w:val="00BD52EC"/>
    <w:rsid w:val="00BD57BF"/>
    <w:rsid w:val="00BD59BD"/>
    <w:rsid w:val="00BD5BEF"/>
    <w:rsid w:val="00BD5DF5"/>
    <w:rsid w:val="00BD6575"/>
    <w:rsid w:val="00BD6788"/>
    <w:rsid w:val="00BD6F24"/>
    <w:rsid w:val="00BD6F40"/>
    <w:rsid w:val="00BD73DA"/>
    <w:rsid w:val="00BD7645"/>
    <w:rsid w:val="00BD79B5"/>
    <w:rsid w:val="00BD7CBF"/>
    <w:rsid w:val="00BD7DEC"/>
    <w:rsid w:val="00BD7E35"/>
    <w:rsid w:val="00BD7EFD"/>
    <w:rsid w:val="00BE07D4"/>
    <w:rsid w:val="00BE17A4"/>
    <w:rsid w:val="00BE237E"/>
    <w:rsid w:val="00BE26AE"/>
    <w:rsid w:val="00BE3224"/>
    <w:rsid w:val="00BE33BB"/>
    <w:rsid w:val="00BE365D"/>
    <w:rsid w:val="00BE39F8"/>
    <w:rsid w:val="00BE3D70"/>
    <w:rsid w:val="00BE4202"/>
    <w:rsid w:val="00BE47A7"/>
    <w:rsid w:val="00BE4AF9"/>
    <w:rsid w:val="00BE4C24"/>
    <w:rsid w:val="00BE4C40"/>
    <w:rsid w:val="00BE528F"/>
    <w:rsid w:val="00BE5821"/>
    <w:rsid w:val="00BE58D5"/>
    <w:rsid w:val="00BE5C00"/>
    <w:rsid w:val="00BE5C90"/>
    <w:rsid w:val="00BE691D"/>
    <w:rsid w:val="00BE6949"/>
    <w:rsid w:val="00BE6E9E"/>
    <w:rsid w:val="00BE7145"/>
    <w:rsid w:val="00BE7A8D"/>
    <w:rsid w:val="00BF074B"/>
    <w:rsid w:val="00BF0A1C"/>
    <w:rsid w:val="00BF0EF8"/>
    <w:rsid w:val="00BF1026"/>
    <w:rsid w:val="00BF107A"/>
    <w:rsid w:val="00BF1132"/>
    <w:rsid w:val="00BF1C73"/>
    <w:rsid w:val="00BF2869"/>
    <w:rsid w:val="00BF2A75"/>
    <w:rsid w:val="00BF2D01"/>
    <w:rsid w:val="00BF2EAE"/>
    <w:rsid w:val="00BF303C"/>
    <w:rsid w:val="00BF3CB2"/>
    <w:rsid w:val="00BF3CCA"/>
    <w:rsid w:val="00BF4106"/>
    <w:rsid w:val="00BF43B7"/>
    <w:rsid w:val="00BF4460"/>
    <w:rsid w:val="00BF48AD"/>
    <w:rsid w:val="00BF4EE7"/>
    <w:rsid w:val="00BF50B7"/>
    <w:rsid w:val="00BF55D8"/>
    <w:rsid w:val="00BF6396"/>
    <w:rsid w:val="00BF6582"/>
    <w:rsid w:val="00BF69A0"/>
    <w:rsid w:val="00BF6A38"/>
    <w:rsid w:val="00BF721B"/>
    <w:rsid w:val="00BF72AC"/>
    <w:rsid w:val="00BF7462"/>
    <w:rsid w:val="00BF7D3E"/>
    <w:rsid w:val="00BF7D74"/>
    <w:rsid w:val="00C0047F"/>
    <w:rsid w:val="00C010C5"/>
    <w:rsid w:val="00C01678"/>
    <w:rsid w:val="00C019C5"/>
    <w:rsid w:val="00C01F40"/>
    <w:rsid w:val="00C01FD2"/>
    <w:rsid w:val="00C02044"/>
    <w:rsid w:val="00C0252A"/>
    <w:rsid w:val="00C0285A"/>
    <w:rsid w:val="00C02FB8"/>
    <w:rsid w:val="00C033D8"/>
    <w:rsid w:val="00C03430"/>
    <w:rsid w:val="00C03513"/>
    <w:rsid w:val="00C03AE9"/>
    <w:rsid w:val="00C03C96"/>
    <w:rsid w:val="00C05D07"/>
    <w:rsid w:val="00C05DE6"/>
    <w:rsid w:val="00C06522"/>
    <w:rsid w:val="00C065A0"/>
    <w:rsid w:val="00C0742A"/>
    <w:rsid w:val="00C07526"/>
    <w:rsid w:val="00C077EE"/>
    <w:rsid w:val="00C07BF1"/>
    <w:rsid w:val="00C10261"/>
    <w:rsid w:val="00C104B5"/>
    <w:rsid w:val="00C10546"/>
    <w:rsid w:val="00C10657"/>
    <w:rsid w:val="00C107B3"/>
    <w:rsid w:val="00C1080C"/>
    <w:rsid w:val="00C10857"/>
    <w:rsid w:val="00C109F1"/>
    <w:rsid w:val="00C10B23"/>
    <w:rsid w:val="00C1167B"/>
    <w:rsid w:val="00C11693"/>
    <w:rsid w:val="00C11D32"/>
    <w:rsid w:val="00C11D97"/>
    <w:rsid w:val="00C12E8F"/>
    <w:rsid w:val="00C12F62"/>
    <w:rsid w:val="00C1300E"/>
    <w:rsid w:val="00C13563"/>
    <w:rsid w:val="00C13CB7"/>
    <w:rsid w:val="00C14058"/>
    <w:rsid w:val="00C14C4E"/>
    <w:rsid w:val="00C14CAE"/>
    <w:rsid w:val="00C150FB"/>
    <w:rsid w:val="00C15C62"/>
    <w:rsid w:val="00C16567"/>
    <w:rsid w:val="00C16C3F"/>
    <w:rsid w:val="00C17B3E"/>
    <w:rsid w:val="00C17B56"/>
    <w:rsid w:val="00C17C4A"/>
    <w:rsid w:val="00C200A7"/>
    <w:rsid w:val="00C2036B"/>
    <w:rsid w:val="00C21212"/>
    <w:rsid w:val="00C2126F"/>
    <w:rsid w:val="00C21A0D"/>
    <w:rsid w:val="00C21BC5"/>
    <w:rsid w:val="00C21C61"/>
    <w:rsid w:val="00C22248"/>
    <w:rsid w:val="00C223D1"/>
    <w:rsid w:val="00C22678"/>
    <w:rsid w:val="00C2363E"/>
    <w:rsid w:val="00C23F72"/>
    <w:rsid w:val="00C247F5"/>
    <w:rsid w:val="00C249BC"/>
    <w:rsid w:val="00C256CB"/>
    <w:rsid w:val="00C26029"/>
    <w:rsid w:val="00C26AE4"/>
    <w:rsid w:val="00C26DC8"/>
    <w:rsid w:val="00C275DE"/>
    <w:rsid w:val="00C276F0"/>
    <w:rsid w:val="00C2796A"/>
    <w:rsid w:val="00C279D9"/>
    <w:rsid w:val="00C30862"/>
    <w:rsid w:val="00C30B67"/>
    <w:rsid w:val="00C30C46"/>
    <w:rsid w:val="00C30C90"/>
    <w:rsid w:val="00C30D6A"/>
    <w:rsid w:val="00C31415"/>
    <w:rsid w:val="00C315E5"/>
    <w:rsid w:val="00C322B0"/>
    <w:rsid w:val="00C32626"/>
    <w:rsid w:val="00C3281F"/>
    <w:rsid w:val="00C3284B"/>
    <w:rsid w:val="00C32A23"/>
    <w:rsid w:val="00C32B8D"/>
    <w:rsid w:val="00C32C1E"/>
    <w:rsid w:val="00C3359C"/>
    <w:rsid w:val="00C34125"/>
    <w:rsid w:val="00C3431E"/>
    <w:rsid w:val="00C344D7"/>
    <w:rsid w:val="00C34795"/>
    <w:rsid w:val="00C34C71"/>
    <w:rsid w:val="00C35434"/>
    <w:rsid w:val="00C3543B"/>
    <w:rsid w:val="00C3560E"/>
    <w:rsid w:val="00C35994"/>
    <w:rsid w:val="00C36669"/>
    <w:rsid w:val="00C36DC0"/>
    <w:rsid w:val="00C371CA"/>
    <w:rsid w:val="00C37691"/>
    <w:rsid w:val="00C37B80"/>
    <w:rsid w:val="00C40100"/>
    <w:rsid w:val="00C40A60"/>
    <w:rsid w:val="00C40A8D"/>
    <w:rsid w:val="00C40B0F"/>
    <w:rsid w:val="00C40F6A"/>
    <w:rsid w:val="00C4110C"/>
    <w:rsid w:val="00C41B74"/>
    <w:rsid w:val="00C41F78"/>
    <w:rsid w:val="00C41F7B"/>
    <w:rsid w:val="00C41FB6"/>
    <w:rsid w:val="00C42F3E"/>
    <w:rsid w:val="00C433D7"/>
    <w:rsid w:val="00C43603"/>
    <w:rsid w:val="00C43ADE"/>
    <w:rsid w:val="00C43B9C"/>
    <w:rsid w:val="00C43C37"/>
    <w:rsid w:val="00C441AC"/>
    <w:rsid w:val="00C442A5"/>
    <w:rsid w:val="00C44429"/>
    <w:rsid w:val="00C444BC"/>
    <w:rsid w:val="00C4451D"/>
    <w:rsid w:val="00C44731"/>
    <w:rsid w:val="00C44786"/>
    <w:rsid w:val="00C44860"/>
    <w:rsid w:val="00C459DE"/>
    <w:rsid w:val="00C45A56"/>
    <w:rsid w:val="00C46297"/>
    <w:rsid w:val="00C4697F"/>
    <w:rsid w:val="00C47A48"/>
    <w:rsid w:val="00C47D38"/>
    <w:rsid w:val="00C50ACD"/>
    <w:rsid w:val="00C514CC"/>
    <w:rsid w:val="00C516DC"/>
    <w:rsid w:val="00C51834"/>
    <w:rsid w:val="00C51C7D"/>
    <w:rsid w:val="00C52064"/>
    <w:rsid w:val="00C52237"/>
    <w:rsid w:val="00C52D98"/>
    <w:rsid w:val="00C53505"/>
    <w:rsid w:val="00C5359C"/>
    <w:rsid w:val="00C53AFA"/>
    <w:rsid w:val="00C541AE"/>
    <w:rsid w:val="00C54F22"/>
    <w:rsid w:val="00C5525D"/>
    <w:rsid w:val="00C5545D"/>
    <w:rsid w:val="00C56134"/>
    <w:rsid w:val="00C56FFC"/>
    <w:rsid w:val="00C579DF"/>
    <w:rsid w:val="00C57C05"/>
    <w:rsid w:val="00C57C13"/>
    <w:rsid w:val="00C600ED"/>
    <w:rsid w:val="00C6151E"/>
    <w:rsid w:val="00C6154E"/>
    <w:rsid w:val="00C61A85"/>
    <w:rsid w:val="00C6204A"/>
    <w:rsid w:val="00C6239B"/>
    <w:rsid w:val="00C62563"/>
    <w:rsid w:val="00C625C2"/>
    <w:rsid w:val="00C6298B"/>
    <w:rsid w:val="00C62B98"/>
    <w:rsid w:val="00C63179"/>
    <w:rsid w:val="00C635B4"/>
    <w:rsid w:val="00C636B4"/>
    <w:rsid w:val="00C641B0"/>
    <w:rsid w:val="00C643EA"/>
    <w:rsid w:val="00C64458"/>
    <w:rsid w:val="00C644B4"/>
    <w:rsid w:val="00C6458A"/>
    <w:rsid w:val="00C65633"/>
    <w:rsid w:val="00C6588C"/>
    <w:rsid w:val="00C65BC7"/>
    <w:rsid w:val="00C65D53"/>
    <w:rsid w:val="00C65DAD"/>
    <w:rsid w:val="00C65E50"/>
    <w:rsid w:val="00C66477"/>
    <w:rsid w:val="00C66E01"/>
    <w:rsid w:val="00C67068"/>
    <w:rsid w:val="00C67084"/>
    <w:rsid w:val="00C673A6"/>
    <w:rsid w:val="00C67A0D"/>
    <w:rsid w:val="00C67E49"/>
    <w:rsid w:val="00C67EDD"/>
    <w:rsid w:val="00C67F61"/>
    <w:rsid w:val="00C70E4C"/>
    <w:rsid w:val="00C70FA0"/>
    <w:rsid w:val="00C72361"/>
    <w:rsid w:val="00C7275C"/>
    <w:rsid w:val="00C727BC"/>
    <w:rsid w:val="00C72D90"/>
    <w:rsid w:val="00C739F4"/>
    <w:rsid w:val="00C73DE6"/>
    <w:rsid w:val="00C73EB8"/>
    <w:rsid w:val="00C73F65"/>
    <w:rsid w:val="00C749B3"/>
    <w:rsid w:val="00C74D34"/>
    <w:rsid w:val="00C74D8B"/>
    <w:rsid w:val="00C74EE2"/>
    <w:rsid w:val="00C75387"/>
    <w:rsid w:val="00C754B3"/>
    <w:rsid w:val="00C75725"/>
    <w:rsid w:val="00C76E06"/>
    <w:rsid w:val="00C7714B"/>
    <w:rsid w:val="00C77756"/>
    <w:rsid w:val="00C77A49"/>
    <w:rsid w:val="00C77AF7"/>
    <w:rsid w:val="00C77C4B"/>
    <w:rsid w:val="00C8022E"/>
    <w:rsid w:val="00C803D9"/>
    <w:rsid w:val="00C81384"/>
    <w:rsid w:val="00C81498"/>
    <w:rsid w:val="00C8172D"/>
    <w:rsid w:val="00C8179F"/>
    <w:rsid w:val="00C82208"/>
    <w:rsid w:val="00C82A65"/>
    <w:rsid w:val="00C82E78"/>
    <w:rsid w:val="00C8342C"/>
    <w:rsid w:val="00C8383C"/>
    <w:rsid w:val="00C83DB2"/>
    <w:rsid w:val="00C8430C"/>
    <w:rsid w:val="00C84520"/>
    <w:rsid w:val="00C847FE"/>
    <w:rsid w:val="00C84C68"/>
    <w:rsid w:val="00C85CFD"/>
    <w:rsid w:val="00C85DFE"/>
    <w:rsid w:val="00C8612C"/>
    <w:rsid w:val="00C8661F"/>
    <w:rsid w:val="00C86E01"/>
    <w:rsid w:val="00C8763D"/>
    <w:rsid w:val="00C87ABA"/>
    <w:rsid w:val="00C87AC0"/>
    <w:rsid w:val="00C87BE8"/>
    <w:rsid w:val="00C901DD"/>
    <w:rsid w:val="00C90E3E"/>
    <w:rsid w:val="00C90E79"/>
    <w:rsid w:val="00C9112A"/>
    <w:rsid w:val="00C91166"/>
    <w:rsid w:val="00C911FB"/>
    <w:rsid w:val="00C9165E"/>
    <w:rsid w:val="00C916F5"/>
    <w:rsid w:val="00C919D5"/>
    <w:rsid w:val="00C91FE2"/>
    <w:rsid w:val="00C92096"/>
    <w:rsid w:val="00C92099"/>
    <w:rsid w:val="00C9211F"/>
    <w:rsid w:val="00C923D1"/>
    <w:rsid w:val="00C930BA"/>
    <w:rsid w:val="00C9326D"/>
    <w:rsid w:val="00C93E6E"/>
    <w:rsid w:val="00C94944"/>
    <w:rsid w:val="00C94C60"/>
    <w:rsid w:val="00C95854"/>
    <w:rsid w:val="00C95BE0"/>
    <w:rsid w:val="00C962E9"/>
    <w:rsid w:val="00C9686C"/>
    <w:rsid w:val="00C96C1E"/>
    <w:rsid w:val="00C971E9"/>
    <w:rsid w:val="00CA0E7E"/>
    <w:rsid w:val="00CA138E"/>
    <w:rsid w:val="00CA13BA"/>
    <w:rsid w:val="00CA1BA2"/>
    <w:rsid w:val="00CA1FD1"/>
    <w:rsid w:val="00CA2A41"/>
    <w:rsid w:val="00CA331A"/>
    <w:rsid w:val="00CA3472"/>
    <w:rsid w:val="00CA35F3"/>
    <w:rsid w:val="00CA3811"/>
    <w:rsid w:val="00CA3B38"/>
    <w:rsid w:val="00CA48D5"/>
    <w:rsid w:val="00CA51E7"/>
    <w:rsid w:val="00CA56CE"/>
    <w:rsid w:val="00CA5C27"/>
    <w:rsid w:val="00CA5CE6"/>
    <w:rsid w:val="00CA6234"/>
    <w:rsid w:val="00CA6430"/>
    <w:rsid w:val="00CA6E01"/>
    <w:rsid w:val="00CB0529"/>
    <w:rsid w:val="00CB0941"/>
    <w:rsid w:val="00CB09FD"/>
    <w:rsid w:val="00CB0C6D"/>
    <w:rsid w:val="00CB14F0"/>
    <w:rsid w:val="00CB179F"/>
    <w:rsid w:val="00CB1ECE"/>
    <w:rsid w:val="00CB1F06"/>
    <w:rsid w:val="00CB24D6"/>
    <w:rsid w:val="00CB2C3D"/>
    <w:rsid w:val="00CB31DD"/>
    <w:rsid w:val="00CB3521"/>
    <w:rsid w:val="00CB3929"/>
    <w:rsid w:val="00CB3C14"/>
    <w:rsid w:val="00CB3CAA"/>
    <w:rsid w:val="00CB4276"/>
    <w:rsid w:val="00CB4581"/>
    <w:rsid w:val="00CB4B42"/>
    <w:rsid w:val="00CB4C86"/>
    <w:rsid w:val="00CB54A3"/>
    <w:rsid w:val="00CB56EE"/>
    <w:rsid w:val="00CB5EC9"/>
    <w:rsid w:val="00CB6686"/>
    <w:rsid w:val="00CB676C"/>
    <w:rsid w:val="00CB69CD"/>
    <w:rsid w:val="00CB6F46"/>
    <w:rsid w:val="00CB7406"/>
    <w:rsid w:val="00CB7663"/>
    <w:rsid w:val="00CB785F"/>
    <w:rsid w:val="00CC023C"/>
    <w:rsid w:val="00CC0A8D"/>
    <w:rsid w:val="00CC0F10"/>
    <w:rsid w:val="00CC1658"/>
    <w:rsid w:val="00CC1BD8"/>
    <w:rsid w:val="00CC269C"/>
    <w:rsid w:val="00CC2E4A"/>
    <w:rsid w:val="00CC310A"/>
    <w:rsid w:val="00CC501C"/>
    <w:rsid w:val="00CC5A23"/>
    <w:rsid w:val="00CC6067"/>
    <w:rsid w:val="00CC61DD"/>
    <w:rsid w:val="00CC63B3"/>
    <w:rsid w:val="00CC6670"/>
    <w:rsid w:val="00CC673A"/>
    <w:rsid w:val="00CC6962"/>
    <w:rsid w:val="00CC6F70"/>
    <w:rsid w:val="00CC70DE"/>
    <w:rsid w:val="00CC73EC"/>
    <w:rsid w:val="00CC7B4B"/>
    <w:rsid w:val="00CC7E31"/>
    <w:rsid w:val="00CD008C"/>
    <w:rsid w:val="00CD0317"/>
    <w:rsid w:val="00CD0353"/>
    <w:rsid w:val="00CD08D4"/>
    <w:rsid w:val="00CD08F8"/>
    <w:rsid w:val="00CD0956"/>
    <w:rsid w:val="00CD0F9F"/>
    <w:rsid w:val="00CD10F3"/>
    <w:rsid w:val="00CD10FD"/>
    <w:rsid w:val="00CD1E55"/>
    <w:rsid w:val="00CD25E7"/>
    <w:rsid w:val="00CD2608"/>
    <w:rsid w:val="00CD3BF9"/>
    <w:rsid w:val="00CD40BF"/>
    <w:rsid w:val="00CD4422"/>
    <w:rsid w:val="00CD4768"/>
    <w:rsid w:val="00CD4863"/>
    <w:rsid w:val="00CD4942"/>
    <w:rsid w:val="00CD4BD1"/>
    <w:rsid w:val="00CD4D79"/>
    <w:rsid w:val="00CD503C"/>
    <w:rsid w:val="00CD5399"/>
    <w:rsid w:val="00CD5480"/>
    <w:rsid w:val="00CD56C1"/>
    <w:rsid w:val="00CD57BC"/>
    <w:rsid w:val="00CD5A0F"/>
    <w:rsid w:val="00CD5C03"/>
    <w:rsid w:val="00CD5DA5"/>
    <w:rsid w:val="00CD5E10"/>
    <w:rsid w:val="00CD60CC"/>
    <w:rsid w:val="00CD660B"/>
    <w:rsid w:val="00CD6A5B"/>
    <w:rsid w:val="00CD6BD4"/>
    <w:rsid w:val="00CD6CF7"/>
    <w:rsid w:val="00CD6E8C"/>
    <w:rsid w:val="00CD74BE"/>
    <w:rsid w:val="00CD78E8"/>
    <w:rsid w:val="00CD7D79"/>
    <w:rsid w:val="00CD7DDF"/>
    <w:rsid w:val="00CE01FD"/>
    <w:rsid w:val="00CE0BBC"/>
    <w:rsid w:val="00CE0F4A"/>
    <w:rsid w:val="00CE21A0"/>
    <w:rsid w:val="00CE330B"/>
    <w:rsid w:val="00CE408D"/>
    <w:rsid w:val="00CE40E5"/>
    <w:rsid w:val="00CE4745"/>
    <w:rsid w:val="00CE49BB"/>
    <w:rsid w:val="00CE5238"/>
    <w:rsid w:val="00CE57CE"/>
    <w:rsid w:val="00CE5D2C"/>
    <w:rsid w:val="00CE6BC4"/>
    <w:rsid w:val="00CE6C39"/>
    <w:rsid w:val="00CE6D74"/>
    <w:rsid w:val="00CE78C9"/>
    <w:rsid w:val="00CE7B52"/>
    <w:rsid w:val="00CE7FDC"/>
    <w:rsid w:val="00CF0183"/>
    <w:rsid w:val="00CF023F"/>
    <w:rsid w:val="00CF0643"/>
    <w:rsid w:val="00CF0721"/>
    <w:rsid w:val="00CF1017"/>
    <w:rsid w:val="00CF114F"/>
    <w:rsid w:val="00CF1A60"/>
    <w:rsid w:val="00CF1B05"/>
    <w:rsid w:val="00CF232A"/>
    <w:rsid w:val="00CF2828"/>
    <w:rsid w:val="00CF2D8E"/>
    <w:rsid w:val="00CF2DC0"/>
    <w:rsid w:val="00CF2F3E"/>
    <w:rsid w:val="00CF3070"/>
    <w:rsid w:val="00CF32EE"/>
    <w:rsid w:val="00CF3C2A"/>
    <w:rsid w:val="00CF47AE"/>
    <w:rsid w:val="00CF4FF4"/>
    <w:rsid w:val="00CF545C"/>
    <w:rsid w:val="00CF5C5A"/>
    <w:rsid w:val="00CF6384"/>
    <w:rsid w:val="00CF659C"/>
    <w:rsid w:val="00CF79C7"/>
    <w:rsid w:val="00D00994"/>
    <w:rsid w:val="00D00B58"/>
    <w:rsid w:val="00D00C6C"/>
    <w:rsid w:val="00D00E00"/>
    <w:rsid w:val="00D0113B"/>
    <w:rsid w:val="00D01522"/>
    <w:rsid w:val="00D0176B"/>
    <w:rsid w:val="00D01D79"/>
    <w:rsid w:val="00D0206B"/>
    <w:rsid w:val="00D0291D"/>
    <w:rsid w:val="00D02D7B"/>
    <w:rsid w:val="00D0310D"/>
    <w:rsid w:val="00D03958"/>
    <w:rsid w:val="00D03BE9"/>
    <w:rsid w:val="00D03CF3"/>
    <w:rsid w:val="00D03F41"/>
    <w:rsid w:val="00D043D3"/>
    <w:rsid w:val="00D044D6"/>
    <w:rsid w:val="00D049DA"/>
    <w:rsid w:val="00D04D5C"/>
    <w:rsid w:val="00D050BF"/>
    <w:rsid w:val="00D052F8"/>
    <w:rsid w:val="00D053AA"/>
    <w:rsid w:val="00D053EE"/>
    <w:rsid w:val="00D057B8"/>
    <w:rsid w:val="00D05D50"/>
    <w:rsid w:val="00D0690A"/>
    <w:rsid w:val="00D06C20"/>
    <w:rsid w:val="00D06E1E"/>
    <w:rsid w:val="00D06EC1"/>
    <w:rsid w:val="00D07160"/>
    <w:rsid w:val="00D0778A"/>
    <w:rsid w:val="00D079F0"/>
    <w:rsid w:val="00D07F37"/>
    <w:rsid w:val="00D100CB"/>
    <w:rsid w:val="00D1041A"/>
    <w:rsid w:val="00D10D37"/>
    <w:rsid w:val="00D116EE"/>
    <w:rsid w:val="00D12973"/>
    <w:rsid w:val="00D12A3D"/>
    <w:rsid w:val="00D13796"/>
    <w:rsid w:val="00D13D2A"/>
    <w:rsid w:val="00D140BF"/>
    <w:rsid w:val="00D14815"/>
    <w:rsid w:val="00D14BF2"/>
    <w:rsid w:val="00D14E6C"/>
    <w:rsid w:val="00D14F24"/>
    <w:rsid w:val="00D15033"/>
    <w:rsid w:val="00D1510C"/>
    <w:rsid w:val="00D15653"/>
    <w:rsid w:val="00D15879"/>
    <w:rsid w:val="00D15A63"/>
    <w:rsid w:val="00D15B1A"/>
    <w:rsid w:val="00D16195"/>
    <w:rsid w:val="00D16580"/>
    <w:rsid w:val="00D165DB"/>
    <w:rsid w:val="00D16B08"/>
    <w:rsid w:val="00D16F73"/>
    <w:rsid w:val="00D1725D"/>
    <w:rsid w:val="00D1773C"/>
    <w:rsid w:val="00D17A41"/>
    <w:rsid w:val="00D20A32"/>
    <w:rsid w:val="00D20A39"/>
    <w:rsid w:val="00D20B2A"/>
    <w:rsid w:val="00D21615"/>
    <w:rsid w:val="00D21953"/>
    <w:rsid w:val="00D22145"/>
    <w:rsid w:val="00D222B7"/>
    <w:rsid w:val="00D22BEE"/>
    <w:rsid w:val="00D22D85"/>
    <w:rsid w:val="00D22F2D"/>
    <w:rsid w:val="00D242EB"/>
    <w:rsid w:val="00D244A9"/>
    <w:rsid w:val="00D2595C"/>
    <w:rsid w:val="00D259AA"/>
    <w:rsid w:val="00D2678A"/>
    <w:rsid w:val="00D26CBD"/>
    <w:rsid w:val="00D27231"/>
    <w:rsid w:val="00D272A4"/>
    <w:rsid w:val="00D276AE"/>
    <w:rsid w:val="00D27C49"/>
    <w:rsid w:val="00D30009"/>
    <w:rsid w:val="00D300AC"/>
    <w:rsid w:val="00D30BF2"/>
    <w:rsid w:val="00D314FF"/>
    <w:rsid w:val="00D3164A"/>
    <w:rsid w:val="00D31A84"/>
    <w:rsid w:val="00D31D78"/>
    <w:rsid w:val="00D32173"/>
    <w:rsid w:val="00D32857"/>
    <w:rsid w:val="00D32E2C"/>
    <w:rsid w:val="00D32E55"/>
    <w:rsid w:val="00D33083"/>
    <w:rsid w:val="00D335A4"/>
    <w:rsid w:val="00D338C9"/>
    <w:rsid w:val="00D342F0"/>
    <w:rsid w:val="00D34851"/>
    <w:rsid w:val="00D34883"/>
    <w:rsid w:val="00D34F5B"/>
    <w:rsid w:val="00D351D1"/>
    <w:rsid w:val="00D360D2"/>
    <w:rsid w:val="00D3647B"/>
    <w:rsid w:val="00D36E3D"/>
    <w:rsid w:val="00D37982"/>
    <w:rsid w:val="00D40067"/>
    <w:rsid w:val="00D40840"/>
    <w:rsid w:val="00D40B3B"/>
    <w:rsid w:val="00D40B73"/>
    <w:rsid w:val="00D41413"/>
    <w:rsid w:val="00D41711"/>
    <w:rsid w:val="00D41807"/>
    <w:rsid w:val="00D419EE"/>
    <w:rsid w:val="00D41AF0"/>
    <w:rsid w:val="00D423B8"/>
    <w:rsid w:val="00D423CD"/>
    <w:rsid w:val="00D43582"/>
    <w:rsid w:val="00D4463D"/>
    <w:rsid w:val="00D446EF"/>
    <w:rsid w:val="00D44C92"/>
    <w:rsid w:val="00D45108"/>
    <w:rsid w:val="00D45376"/>
    <w:rsid w:val="00D453D2"/>
    <w:rsid w:val="00D45D40"/>
    <w:rsid w:val="00D4628D"/>
    <w:rsid w:val="00D466E5"/>
    <w:rsid w:val="00D46CAF"/>
    <w:rsid w:val="00D46E49"/>
    <w:rsid w:val="00D472B2"/>
    <w:rsid w:val="00D5087B"/>
    <w:rsid w:val="00D50BC8"/>
    <w:rsid w:val="00D50D52"/>
    <w:rsid w:val="00D51050"/>
    <w:rsid w:val="00D515D9"/>
    <w:rsid w:val="00D51875"/>
    <w:rsid w:val="00D51EC3"/>
    <w:rsid w:val="00D52555"/>
    <w:rsid w:val="00D52A01"/>
    <w:rsid w:val="00D52BEB"/>
    <w:rsid w:val="00D53271"/>
    <w:rsid w:val="00D534E4"/>
    <w:rsid w:val="00D53C94"/>
    <w:rsid w:val="00D53EB4"/>
    <w:rsid w:val="00D54217"/>
    <w:rsid w:val="00D54390"/>
    <w:rsid w:val="00D547F5"/>
    <w:rsid w:val="00D548FA"/>
    <w:rsid w:val="00D54FEF"/>
    <w:rsid w:val="00D55213"/>
    <w:rsid w:val="00D5554A"/>
    <w:rsid w:val="00D555C4"/>
    <w:rsid w:val="00D5561D"/>
    <w:rsid w:val="00D557E8"/>
    <w:rsid w:val="00D55899"/>
    <w:rsid w:val="00D558B5"/>
    <w:rsid w:val="00D55ACB"/>
    <w:rsid w:val="00D55B2B"/>
    <w:rsid w:val="00D55C55"/>
    <w:rsid w:val="00D55DFD"/>
    <w:rsid w:val="00D56250"/>
    <w:rsid w:val="00D562DC"/>
    <w:rsid w:val="00D56531"/>
    <w:rsid w:val="00D5661A"/>
    <w:rsid w:val="00D56A8B"/>
    <w:rsid w:val="00D56BC0"/>
    <w:rsid w:val="00D56F0E"/>
    <w:rsid w:val="00D573CD"/>
    <w:rsid w:val="00D57431"/>
    <w:rsid w:val="00D57F07"/>
    <w:rsid w:val="00D606B9"/>
    <w:rsid w:val="00D6078C"/>
    <w:rsid w:val="00D60DA0"/>
    <w:rsid w:val="00D62720"/>
    <w:rsid w:val="00D62815"/>
    <w:rsid w:val="00D62886"/>
    <w:rsid w:val="00D63C82"/>
    <w:rsid w:val="00D63D37"/>
    <w:rsid w:val="00D6400E"/>
    <w:rsid w:val="00D64B1D"/>
    <w:rsid w:val="00D666C3"/>
    <w:rsid w:val="00D67EEF"/>
    <w:rsid w:val="00D70052"/>
    <w:rsid w:val="00D7029D"/>
    <w:rsid w:val="00D70322"/>
    <w:rsid w:val="00D70858"/>
    <w:rsid w:val="00D71051"/>
    <w:rsid w:val="00D71B29"/>
    <w:rsid w:val="00D71C6B"/>
    <w:rsid w:val="00D720AB"/>
    <w:rsid w:val="00D722E5"/>
    <w:rsid w:val="00D7263F"/>
    <w:rsid w:val="00D72644"/>
    <w:rsid w:val="00D7284A"/>
    <w:rsid w:val="00D72FAA"/>
    <w:rsid w:val="00D73224"/>
    <w:rsid w:val="00D732C4"/>
    <w:rsid w:val="00D74820"/>
    <w:rsid w:val="00D751FE"/>
    <w:rsid w:val="00D75351"/>
    <w:rsid w:val="00D7537D"/>
    <w:rsid w:val="00D7624A"/>
    <w:rsid w:val="00D766D6"/>
    <w:rsid w:val="00D76C2B"/>
    <w:rsid w:val="00D76D64"/>
    <w:rsid w:val="00D76FC6"/>
    <w:rsid w:val="00D77742"/>
    <w:rsid w:val="00D77AE9"/>
    <w:rsid w:val="00D77BF5"/>
    <w:rsid w:val="00D77C49"/>
    <w:rsid w:val="00D80E54"/>
    <w:rsid w:val="00D81E5E"/>
    <w:rsid w:val="00D820A9"/>
    <w:rsid w:val="00D822D2"/>
    <w:rsid w:val="00D82E47"/>
    <w:rsid w:val="00D83006"/>
    <w:rsid w:val="00D831AC"/>
    <w:rsid w:val="00D8363D"/>
    <w:rsid w:val="00D8435E"/>
    <w:rsid w:val="00D8451C"/>
    <w:rsid w:val="00D84538"/>
    <w:rsid w:val="00D84739"/>
    <w:rsid w:val="00D847F2"/>
    <w:rsid w:val="00D85631"/>
    <w:rsid w:val="00D8586F"/>
    <w:rsid w:val="00D8598C"/>
    <w:rsid w:val="00D85F1B"/>
    <w:rsid w:val="00D8669A"/>
    <w:rsid w:val="00D86FF4"/>
    <w:rsid w:val="00D870D6"/>
    <w:rsid w:val="00D8710A"/>
    <w:rsid w:val="00D87652"/>
    <w:rsid w:val="00D876F0"/>
    <w:rsid w:val="00D87ABE"/>
    <w:rsid w:val="00D87BA9"/>
    <w:rsid w:val="00D87E4D"/>
    <w:rsid w:val="00D9065A"/>
    <w:rsid w:val="00D90D1C"/>
    <w:rsid w:val="00D9179D"/>
    <w:rsid w:val="00D91C3C"/>
    <w:rsid w:val="00D925FD"/>
    <w:rsid w:val="00D92E2D"/>
    <w:rsid w:val="00D93164"/>
    <w:rsid w:val="00D93330"/>
    <w:rsid w:val="00D934C4"/>
    <w:rsid w:val="00D93B0E"/>
    <w:rsid w:val="00D93B5B"/>
    <w:rsid w:val="00D93D52"/>
    <w:rsid w:val="00D941B1"/>
    <w:rsid w:val="00D94C0A"/>
    <w:rsid w:val="00D9534F"/>
    <w:rsid w:val="00D95B8B"/>
    <w:rsid w:val="00D95C8F"/>
    <w:rsid w:val="00D96319"/>
    <w:rsid w:val="00D96345"/>
    <w:rsid w:val="00D96727"/>
    <w:rsid w:val="00D96956"/>
    <w:rsid w:val="00D97185"/>
    <w:rsid w:val="00D976FF"/>
    <w:rsid w:val="00D97B70"/>
    <w:rsid w:val="00DA02CB"/>
    <w:rsid w:val="00DA11F4"/>
    <w:rsid w:val="00DA14EA"/>
    <w:rsid w:val="00DA1BC5"/>
    <w:rsid w:val="00DA2243"/>
    <w:rsid w:val="00DA2711"/>
    <w:rsid w:val="00DA3877"/>
    <w:rsid w:val="00DA472A"/>
    <w:rsid w:val="00DA4C32"/>
    <w:rsid w:val="00DA5242"/>
    <w:rsid w:val="00DA559A"/>
    <w:rsid w:val="00DA5AC7"/>
    <w:rsid w:val="00DA5B07"/>
    <w:rsid w:val="00DA5E2B"/>
    <w:rsid w:val="00DA5F4A"/>
    <w:rsid w:val="00DA60CB"/>
    <w:rsid w:val="00DA61AB"/>
    <w:rsid w:val="00DA693B"/>
    <w:rsid w:val="00DA6CD7"/>
    <w:rsid w:val="00DA76EC"/>
    <w:rsid w:val="00DA7EC9"/>
    <w:rsid w:val="00DB0257"/>
    <w:rsid w:val="00DB0903"/>
    <w:rsid w:val="00DB0EC2"/>
    <w:rsid w:val="00DB1061"/>
    <w:rsid w:val="00DB148C"/>
    <w:rsid w:val="00DB25AC"/>
    <w:rsid w:val="00DB25FF"/>
    <w:rsid w:val="00DB28FC"/>
    <w:rsid w:val="00DB3155"/>
    <w:rsid w:val="00DB31DC"/>
    <w:rsid w:val="00DB352E"/>
    <w:rsid w:val="00DB3BA8"/>
    <w:rsid w:val="00DB4158"/>
    <w:rsid w:val="00DB42C1"/>
    <w:rsid w:val="00DB43CD"/>
    <w:rsid w:val="00DB47DA"/>
    <w:rsid w:val="00DB4CE8"/>
    <w:rsid w:val="00DB5239"/>
    <w:rsid w:val="00DB56FB"/>
    <w:rsid w:val="00DB5814"/>
    <w:rsid w:val="00DB585C"/>
    <w:rsid w:val="00DB606C"/>
    <w:rsid w:val="00DB6394"/>
    <w:rsid w:val="00DB689A"/>
    <w:rsid w:val="00DB6F56"/>
    <w:rsid w:val="00DB77A5"/>
    <w:rsid w:val="00DC0352"/>
    <w:rsid w:val="00DC03FE"/>
    <w:rsid w:val="00DC0487"/>
    <w:rsid w:val="00DC0639"/>
    <w:rsid w:val="00DC06E4"/>
    <w:rsid w:val="00DC0701"/>
    <w:rsid w:val="00DC08DE"/>
    <w:rsid w:val="00DC0B5E"/>
    <w:rsid w:val="00DC0B88"/>
    <w:rsid w:val="00DC0BDE"/>
    <w:rsid w:val="00DC0DF3"/>
    <w:rsid w:val="00DC1143"/>
    <w:rsid w:val="00DC138F"/>
    <w:rsid w:val="00DC1901"/>
    <w:rsid w:val="00DC1FDF"/>
    <w:rsid w:val="00DC2392"/>
    <w:rsid w:val="00DC2930"/>
    <w:rsid w:val="00DC2F47"/>
    <w:rsid w:val="00DC31EC"/>
    <w:rsid w:val="00DC45C4"/>
    <w:rsid w:val="00DC49B1"/>
    <w:rsid w:val="00DC58BD"/>
    <w:rsid w:val="00DC5B5C"/>
    <w:rsid w:val="00DC5CDE"/>
    <w:rsid w:val="00DC6717"/>
    <w:rsid w:val="00DC688A"/>
    <w:rsid w:val="00DC6A30"/>
    <w:rsid w:val="00DC7108"/>
    <w:rsid w:val="00DC7384"/>
    <w:rsid w:val="00DC7F00"/>
    <w:rsid w:val="00DD0BF4"/>
    <w:rsid w:val="00DD10B3"/>
    <w:rsid w:val="00DD1684"/>
    <w:rsid w:val="00DD180F"/>
    <w:rsid w:val="00DD1888"/>
    <w:rsid w:val="00DD19D7"/>
    <w:rsid w:val="00DD1A74"/>
    <w:rsid w:val="00DD2676"/>
    <w:rsid w:val="00DD2A83"/>
    <w:rsid w:val="00DD2B17"/>
    <w:rsid w:val="00DD2E81"/>
    <w:rsid w:val="00DD3404"/>
    <w:rsid w:val="00DD3420"/>
    <w:rsid w:val="00DD383C"/>
    <w:rsid w:val="00DD3B8D"/>
    <w:rsid w:val="00DD3D0B"/>
    <w:rsid w:val="00DD4273"/>
    <w:rsid w:val="00DD4C12"/>
    <w:rsid w:val="00DD4C52"/>
    <w:rsid w:val="00DD4D8C"/>
    <w:rsid w:val="00DD4DD8"/>
    <w:rsid w:val="00DD5009"/>
    <w:rsid w:val="00DD5638"/>
    <w:rsid w:val="00DD5F20"/>
    <w:rsid w:val="00DD707B"/>
    <w:rsid w:val="00DD71A8"/>
    <w:rsid w:val="00DD73E7"/>
    <w:rsid w:val="00DD7618"/>
    <w:rsid w:val="00DD7731"/>
    <w:rsid w:val="00DE004D"/>
    <w:rsid w:val="00DE0B11"/>
    <w:rsid w:val="00DE0D15"/>
    <w:rsid w:val="00DE1091"/>
    <w:rsid w:val="00DE1AF8"/>
    <w:rsid w:val="00DE2095"/>
    <w:rsid w:val="00DE2F2A"/>
    <w:rsid w:val="00DE3034"/>
    <w:rsid w:val="00DE386A"/>
    <w:rsid w:val="00DE3888"/>
    <w:rsid w:val="00DE41FA"/>
    <w:rsid w:val="00DE481B"/>
    <w:rsid w:val="00DE4AA2"/>
    <w:rsid w:val="00DE550B"/>
    <w:rsid w:val="00DE5985"/>
    <w:rsid w:val="00DE5B77"/>
    <w:rsid w:val="00DE66CB"/>
    <w:rsid w:val="00DE67C7"/>
    <w:rsid w:val="00DE6AEE"/>
    <w:rsid w:val="00DE70F4"/>
    <w:rsid w:val="00DE7871"/>
    <w:rsid w:val="00DE7AD6"/>
    <w:rsid w:val="00DF001A"/>
    <w:rsid w:val="00DF0356"/>
    <w:rsid w:val="00DF0B59"/>
    <w:rsid w:val="00DF0F8B"/>
    <w:rsid w:val="00DF29BB"/>
    <w:rsid w:val="00DF2C96"/>
    <w:rsid w:val="00DF2CFC"/>
    <w:rsid w:val="00DF2E95"/>
    <w:rsid w:val="00DF2FEC"/>
    <w:rsid w:val="00DF3348"/>
    <w:rsid w:val="00DF3B49"/>
    <w:rsid w:val="00DF4320"/>
    <w:rsid w:val="00DF439F"/>
    <w:rsid w:val="00DF4C9E"/>
    <w:rsid w:val="00DF4FDE"/>
    <w:rsid w:val="00DF51C7"/>
    <w:rsid w:val="00DF55FA"/>
    <w:rsid w:val="00DF570A"/>
    <w:rsid w:val="00DF5764"/>
    <w:rsid w:val="00DF5897"/>
    <w:rsid w:val="00DF5BF7"/>
    <w:rsid w:val="00DF6D19"/>
    <w:rsid w:val="00DF72E2"/>
    <w:rsid w:val="00DF764E"/>
    <w:rsid w:val="00DF777E"/>
    <w:rsid w:val="00DF79A8"/>
    <w:rsid w:val="00DF7C07"/>
    <w:rsid w:val="00E000F3"/>
    <w:rsid w:val="00E00E75"/>
    <w:rsid w:val="00E01919"/>
    <w:rsid w:val="00E02062"/>
    <w:rsid w:val="00E02092"/>
    <w:rsid w:val="00E026EF"/>
    <w:rsid w:val="00E0270E"/>
    <w:rsid w:val="00E02A02"/>
    <w:rsid w:val="00E02A26"/>
    <w:rsid w:val="00E030E8"/>
    <w:rsid w:val="00E0390B"/>
    <w:rsid w:val="00E03CAD"/>
    <w:rsid w:val="00E0473F"/>
    <w:rsid w:val="00E0490C"/>
    <w:rsid w:val="00E04C1F"/>
    <w:rsid w:val="00E050A3"/>
    <w:rsid w:val="00E05211"/>
    <w:rsid w:val="00E05772"/>
    <w:rsid w:val="00E05E6C"/>
    <w:rsid w:val="00E060A6"/>
    <w:rsid w:val="00E06806"/>
    <w:rsid w:val="00E068A8"/>
    <w:rsid w:val="00E06DAF"/>
    <w:rsid w:val="00E06F85"/>
    <w:rsid w:val="00E07049"/>
    <w:rsid w:val="00E07108"/>
    <w:rsid w:val="00E072EE"/>
    <w:rsid w:val="00E0741B"/>
    <w:rsid w:val="00E07E1B"/>
    <w:rsid w:val="00E07FFD"/>
    <w:rsid w:val="00E1003D"/>
    <w:rsid w:val="00E109D4"/>
    <w:rsid w:val="00E10BA2"/>
    <w:rsid w:val="00E11179"/>
    <w:rsid w:val="00E1136A"/>
    <w:rsid w:val="00E118BB"/>
    <w:rsid w:val="00E12124"/>
    <w:rsid w:val="00E1213C"/>
    <w:rsid w:val="00E125FD"/>
    <w:rsid w:val="00E126C3"/>
    <w:rsid w:val="00E12C97"/>
    <w:rsid w:val="00E12F09"/>
    <w:rsid w:val="00E13401"/>
    <w:rsid w:val="00E140F1"/>
    <w:rsid w:val="00E14635"/>
    <w:rsid w:val="00E14813"/>
    <w:rsid w:val="00E148ED"/>
    <w:rsid w:val="00E1499B"/>
    <w:rsid w:val="00E14BCB"/>
    <w:rsid w:val="00E15484"/>
    <w:rsid w:val="00E16AB8"/>
    <w:rsid w:val="00E16B5D"/>
    <w:rsid w:val="00E170EC"/>
    <w:rsid w:val="00E1717F"/>
    <w:rsid w:val="00E171D4"/>
    <w:rsid w:val="00E176F0"/>
    <w:rsid w:val="00E17C87"/>
    <w:rsid w:val="00E2065D"/>
    <w:rsid w:val="00E20EA0"/>
    <w:rsid w:val="00E21FF0"/>
    <w:rsid w:val="00E22F72"/>
    <w:rsid w:val="00E23C8A"/>
    <w:rsid w:val="00E23F81"/>
    <w:rsid w:val="00E24686"/>
    <w:rsid w:val="00E24992"/>
    <w:rsid w:val="00E24F18"/>
    <w:rsid w:val="00E25C04"/>
    <w:rsid w:val="00E26099"/>
    <w:rsid w:val="00E26D39"/>
    <w:rsid w:val="00E271B7"/>
    <w:rsid w:val="00E27618"/>
    <w:rsid w:val="00E27820"/>
    <w:rsid w:val="00E27CEB"/>
    <w:rsid w:val="00E309E2"/>
    <w:rsid w:val="00E30AB1"/>
    <w:rsid w:val="00E30F82"/>
    <w:rsid w:val="00E31E6C"/>
    <w:rsid w:val="00E32840"/>
    <w:rsid w:val="00E335D0"/>
    <w:rsid w:val="00E33BBC"/>
    <w:rsid w:val="00E33DA7"/>
    <w:rsid w:val="00E33F3A"/>
    <w:rsid w:val="00E341FF"/>
    <w:rsid w:val="00E342EF"/>
    <w:rsid w:val="00E3443A"/>
    <w:rsid w:val="00E34695"/>
    <w:rsid w:val="00E34C64"/>
    <w:rsid w:val="00E34E20"/>
    <w:rsid w:val="00E352F4"/>
    <w:rsid w:val="00E361E8"/>
    <w:rsid w:val="00E36279"/>
    <w:rsid w:val="00E362C2"/>
    <w:rsid w:val="00E362DF"/>
    <w:rsid w:val="00E37662"/>
    <w:rsid w:val="00E37718"/>
    <w:rsid w:val="00E37D5F"/>
    <w:rsid w:val="00E400C0"/>
    <w:rsid w:val="00E4016B"/>
    <w:rsid w:val="00E40216"/>
    <w:rsid w:val="00E404A7"/>
    <w:rsid w:val="00E40776"/>
    <w:rsid w:val="00E40791"/>
    <w:rsid w:val="00E40AC7"/>
    <w:rsid w:val="00E4101F"/>
    <w:rsid w:val="00E42267"/>
    <w:rsid w:val="00E423E4"/>
    <w:rsid w:val="00E43365"/>
    <w:rsid w:val="00E434A6"/>
    <w:rsid w:val="00E43510"/>
    <w:rsid w:val="00E43C1C"/>
    <w:rsid w:val="00E444CD"/>
    <w:rsid w:val="00E4684C"/>
    <w:rsid w:val="00E4752A"/>
    <w:rsid w:val="00E476D1"/>
    <w:rsid w:val="00E50044"/>
    <w:rsid w:val="00E50886"/>
    <w:rsid w:val="00E51213"/>
    <w:rsid w:val="00E51699"/>
    <w:rsid w:val="00E5188D"/>
    <w:rsid w:val="00E5193B"/>
    <w:rsid w:val="00E51C1F"/>
    <w:rsid w:val="00E51D54"/>
    <w:rsid w:val="00E535DC"/>
    <w:rsid w:val="00E536AC"/>
    <w:rsid w:val="00E536BD"/>
    <w:rsid w:val="00E5379F"/>
    <w:rsid w:val="00E5387F"/>
    <w:rsid w:val="00E5401A"/>
    <w:rsid w:val="00E54047"/>
    <w:rsid w:val="00E540A3"/>
    <w:rsid w:val="00E542A8"/>
    <w:rsid w:val="00E542E1"/>
    <w:rsid w:val="00E54DA9"/>
    <w:rsid w:val="00E556AD"/>
    <w:rsid w:val="00E55DF2"/>
    <w:rsid w:val="00E55F04"/>
    <w:rsid w:val="00E56479"/>
    <w:rsid w:val="00E56A6A"/>
    <w:rsid w:val="00E573C3"/>
    <w:rsid w:val="00E573CA"/>
    <w:rsid w:val="00E57570"/>
    <w:rsid w:val="00E576B8"/>
    <w:rsid w:val="00E6043D"/>
    <w:rsid w:val="00E60730"/>
    <w:rsid w:val="00E6198E"/>
    <w:rsid w:val="00E619F4"/>
    <w:rsid w:val="00E6247C"/>
    <w:rsid w:val="00E6263D"/>
    <w:rsid w:val="00E629DE"/>
    <w:rsid w:val="00E62F55"/>
    <w:rsid w:val="00E63785"/>
    <w:rsid w:val="00E63D42"/>
    <w:rsid w:val="00E63EB9"/>
    <w:rsid w:val="00E64166"/>
    <w:rsid w:val="00E6471A"/>
    <w:rsid w:val="00E64956"/>
    <w:rsid w:val="00E6495C"/>
    <w:rsid w:val="00E64BBD"/>
    <w:rsid w:val="00E6528C"/>
    <w:rsid w:val="00E65BDD"/>
    <w:rsid w:val="00E65E05"/>
    <w:rsid w:val="00E67152"/>
    <w:rsid w:val="00E6718F"/>
    <w:rsid w:val="00E675CA"/>
    <w:rsid w:val="00E677DC"/>
    <w:rsid w:val="00E70339"/>
    <w:rsid w:val="00E705BD"/>
    <w:rsid w:val="00E7060D"/>
    <w:rsid w:val="00E70AFD"/>
    <w:rsid w:val="00E70C7A"/>
    <w:rsid w:val="00E70E0A"/>
    <w:rsid w:val="00E71004"/>
    <w:rsid w:val="00E7103B"/>
    <w:rsid w:val="00E722F6"/>
    <w:rsid w:val="00E72F60"/>
    <w:rsid w:val="00E730CF"/>
    <w:rsid w:val="00E7317E"/>
    <w:rsid w:val="00E731D7"/>
    <w:rsid w:val="00E734FB"/>
    <w:rsid w:val="00E73CDF"/>
    <w:rsid w:val="00E74946"/>
    <w:rsid w:val="00E7512D"/>
    <w:rsid w:val="00E75447"/>
    <w:rsid w:val="00E75541"/>
    <w:rsid w:val="00E76692"/>
    <w:rsid w:val="00E76759"/>
    <w:rsid w:val="00E773A7"/>
    <w:rsid w:val="00E7746A"/>
    <w:rsid w:val="00E777FE"/>
    <w:rsid w:val="00E77A7D"/>
    <w:rsid w:val="00E80142"/>
    <w:rsid w:val="00E8079D"/>
    <w:rsid w:val="00E80C78"/>
    <w:rsid w:val="00E81327"/>
    <w:rsid w:val="00E819E1"/>
    <w:rsid w:val="00E8208E"/>
    <w:rsid w:val="00E82181"/>
    <w:rsid w:val="00E82595"/>
    <w:rsid w:val="00E826B7"/>
    <w:rsid w:val="00E82AB5"/>
    <w:rsid w:val="00E82B3D"/>
    <w:rsid w:val="00E82D5F"/>
    <w:rsid w:val="00E8314C"/>
    <w:rsid w:val="00E831A6"/>
    <w:rsid w:val="00E8382C"/>
    <w:rsid w:val="00E83DB6"/>
    <w:rsid w:val="00E83E83"/>
    <w:rsid w:val="00E83F8C"/>
    <w:rsid w:val="00E84032"/>
    <w:rsid w:val="00E8469D"/>
    <w:rsid w:val="00E84749"/>
    <w:rsid w:val="00E84A00"/>
    <w:rsid w:val="00E8514A"/>
    <w:rsid w:val="00E8528E"/>
    <w:rsid w:val="00E852D4"/>
    <w:rsid w:val="00E85BFD"/>
    <w:rsid w:val="00E85DB8"/>
    <w:rsid w:val="00E860A4"/>
    <w:rsid w:val="00E862D8"/>
    <w:rsid w:val="00E86A2B"/>
    <w:rsid w:val="00E87B37"/>
    <w:rsid w:val="00E87DCF"/>
    <w:rsid w:val="00E902D9"/>
    <w:rsid w:val="00E9044B"/>
    <w:rsid w:val="00E90B96"/>
    <w:rsid w:val="00E90DED"/>
    <w:rsid w:val="00E91411"/>
    <w:rsid w:val="00E916D8"/>
    <w:rsid w:val="00E91F78"/>
    <w:rsid w:val="00E927BA"/>
    <w:rsid w:val="00E92F0A"/>
    <w:rsid w:val="00E92F91"/>
    <w:rsid w:val="00E93188"/>
    <w:rsid w:val="00E93224"/>
    <w:rsid w:val="00E936EA"/>
    <w:rsid w:val="00E9396E"/>
    <w:rsid w:val="00E9462A"/>
    <w:rsid w:val="00E952FC"/>
    <w:rsid w:val="00E95752"/>
    <w:rsid w:val="00E95816"/>
    <w:rsid w:val="00E959BB"/>
    <w:rsid w:val="00E966DE"/>
    <w:rsid w:val="00E97019"/>
    <w:rsid w:val="00E97232"/>
    <w:rsid w:val="00E97309"/>
    <w:rsid w:val="00E97E2E"/>
    <w:rsid w:val="00EA034A"/>
    <w:rsid w:val="00EA08BC"/>
    <w:rsid w:val="00EA0BE3"/>
    <w:rsid w:val="00EA16E3"/>
    <w:rsid w:val="00EA1D62"/>
    <w:rsid w:val="00EA2279"/>
    <w:rsid w:val="00EA23A6"/>
    <w:rsid w:val="00EA3058"/>
    <w:rsid w:val="00EA346B"/>
    <w:rsid w:val="00EA3DD8"/>
    <w:rsid w:val="00EA4C4F"/>
    <w:rsid w:val="00EA5200"/>
    <w:rsid w:val="00EA5A0E"/>
    <w:rsid w:val="00EA612E"/>
    <w:rsid w:val="00EA6328"/>
    <w:rsid w:val="00EA6CE2"/>
    <w:rsid w:val="00EA7527"/>
    <w:rsid w:val="00EA7613"/>
    <w:rsid w:val="00EA7EC8"/>
    <w:rsid w:val="00EB024E"/>
    <w:rsid w:val="00EB0F41"/>
    <w:rsid w:val="00EB1110"/>
    <w:rsid w:val="00EB13A1"/>
    <w:rsid w:val="00EB1D19"/>
    <w:rsid w:val="00EB209C"/>
    <w:rsid w:val="00EB213C"/>
    <w:rsid w:val="00EB21B3"/>
    <w:rsid w:val="00EB290D"/>
    <w:rsid w:val="00EB3055"/>
    <w:rsid w:val="00EB3476"/>
    <w:rsid w:val="00EB353F"/>
    <w:rsid w:val="00EB3EE7"/>
    <w:rsid w:val="00EB4904"/>
    <w:rsid w:val="00EB52AC"/>
    <w:rsid w:val="00EB55EC"/>
    <w:rsid w:val="00EB5A81"/>
    <w:rsid w:val="00EB5AFA"/>
    <w:rsid w:val="00EB6C74"/>
    <w:rsid w:val="00EB70D3"/>
    <w:rsid w:val="00EB79B0"/>
    <w:rsid w:val="00EC0200"/>
    <w:rsid w:val="00EC02BC"/>
    <w:rsid w:val="00EC07D4"/>
    <w:rsid w:val="00EC0926"/>
    <w:rsid w:val="00EC1A31"/>
    <w:rsid w:val="00EC2BD7"/>
    <w:rsid w:val="00EC2EE6"/>
    <w:rsid w:val="00EC311D"/>
    <w:rsid w:val="00EC325B"/>
    <w:rsid w:val="00EC34B4"/>
    <w:rsid w:val="00EC4248"/>
    <w:rsid w:val="00EC4666"/>
    <w:rsid w:val="00EC4C9B"/>
    <w:rsid w:val="00EC4E16"/>
    <w:rsid w:val="00EC4F23"/>
    <w:rsid w:val="00EC4FF7"/>
    <w:rsid w:val="00EC51D0"/>
    <w:rsid w:val="00EC5843"/>
    <w:rsid w:val="00EC5CC6"/>
    <w:rsid w:val="00EC6A9D"/>
    <w:rsid w:val="00EC6EDD"/>
    <w:rsid w:val="00EC7984"/>
    <w:rsid w:val="00EC7E7B"/>
    <w:rsid w:val="00EC7EC0"/>
    <w:rsid w:val="00ED0666"/>
    <w:rsid w:val="00ED072E"/>
    <w:rsid w:val="00ED0E16"/>
    <w:rsid w:val="00ED13D0"/>
    <w:rsid w:val="00ED1437"/>
    <w:rsid w:val="00ED143F"/>
    <w:rsid w:val="00ED1700"/>
    <w:rsid w:val="00ED1A00"/>
    <w:rsid w:val="00ED2B6D"/>
    <w:rsid w:val="00ED2DD2"/>
    <w:rsid w:val="00ED2F64"/>
    <w:rsid w:val="00ED3546"/>
    <w:rsid w:val="00ED3799"/>
    <w:rsid w:val="00ED3831"/>
    <w:rsid w:val="00ED3838"/>
    <w:rsid w:val="00ED3AD2"/>
    <w:rsid w:val="00ED3AD3"/>
    <w:rsid w:val="00ED41F6"/>
    <w:rsid w:val="00ED43F5"/>
    <w:rsid w:val="00ED555A"/>
    <w:rsid w:val="00ED591A"/>
    <w:rsid w:val="00ED5D67"/>
    <w:rsid w:val="00ED5F63"/>
    <w:rsid w:val="00ED607F"/>
    <w:rsid w:val="00ED65D3"/>
    <w:rsid w:val="00ED6A51"/>
    <w:rsid w:val="00ED6AE4"/>
    <w:rsid w:val="00ED6B7F"/>
    <w:rsid w:val="00ED6CAE"/>
    <w:rsid w:val="00ED6DB2"/>
    <w:rsid w:val="00ED72F6"/>
    <w:rsid w:val="00EE009B"/>
    <w:rsid w:val="00EE03C9"/>
    <w:rsid w:val="00EE1036"/>
    <w:rsid w:val="00EE1808"/>
    <w:rsid w:val="00EE1CC4"/>
    <w:rsid w:val="00EE1F77"/>
    <w:rsid w:val="00EE270F"/>
    <w:rsid w:val="00EE279A"/>
    <w:rsid w:val="00EE2974"/>
    <w:rsid w:val="00EE391D"/>
    <w:rsid w:val="00EE3B4B"/>
    <w:rsid w:val="00EE47CF"/>
    <w:rsid w:val="00EE525C"/>
    <w:rsid w:val="00EE530C"/>
    <w:rsid w:val="00EE5B78"/>
    <w:rsid w:val="00EE5FA2"/>
    <w:rsid w:val="00EE6400"/>
    <w:rsid w:val="00EE6789"/>
    <w:rsid w:val="00EE6AB0"/>
    <w:rsid w:val="00EE6AB5"/>
    <w:rsid w:val="00EE78F3"/>
    <w:rsid w:val="00EE7F94"/>
    <w:rsid w:val="00EF0A4B"/>
    <w:rsid w:val="00EF0BCD"/>
    <w:rsid w:val="00EF1036"/>
    <w:rsid w:val="00EF1BCF"/>
    <w:rsid w:val="00EF1CE2"/>
    <w:rsid w:val="00EF2530"/>
    <w:rsid w:val="00EF2EB9"/>
    <w:rsid w:val="00EF3455"/>
    <w:rsid w:val="00EF3770"/>
    <w:rsid w:val="00EF3E59"/>
    <w:rsid w:val="00EF43AD"/>
    <w:rsid w:val="00EF5A32"/>
    <w:rsid w:val="00EF612C"/>
    <w:rsid w:val="00EF6D82"/>
    <w:rsid w:val="00EF6D84"/>
    <w:rsid w:val="00EF7022"/>
    <w:rsid w:val="00EF740D"/>
    <w:rsid w:val="00EF7E92"/>
    <w:rsid w:val="00F006D7"/>
    <w:rsid w:val="00F00E25"/>
    <w:rsid w:val="00F00F2A"/>
    <w:rsid w:val="00F0109F"/>
    <w:rsid w:val="00F020B9"/>
    <w:rsid w:val="00F02358"/>
    <w:rsid w:val="00F024B2"/>
    <w:rsid w:val="00F02B58"/>
    <w:rsid w:val="00F02D2E"/>
    <w:rsid w:val="00F02DB1"/>
    <w:rsid w:val="00F02F1A"/>
    <w:rsid w:val="00F033CF"/>
    <w:rsid w:val="00F0346F"/>
    <w:rsid w:val="00F03AFC"/>
    <w:rsid w:val="00F0409E"/>
    <w:rsid w:val="00F04BEC"/>
    <w:rsid w:val="00F04C27"/>
    <w:rsid w:val="00F04F79"/>
    <w:rsid w:val="00F053D5"/>
    <w:rsid w:val="00F054F2"/>
    <w:rsid w:val="00F05602"/>
    <w:rsid w:val="00F05A13"/>
    <w:rsid w:val="00F0651C"/>
    <w:rsid w:val="00F06A27"/>
    <w:rsid w:val="00F07D65"/>
    <w:rsid w:val="00F1051D"/>
    <w:rsid w:val="00F10F73"/>
    <w:rsid w:val="00F1122F"/>
    <w:rsid w:val="00F1152E"/>
    <w:rsid w:val="00F11921"/>
    <w:rsid w:val="00F1270B"/>
    <w:rsid w:val="00F12BA8"/>
    <w:rsid w:val="00F12BCA"/>
    <w:rsid w:val="00F12C20"/>
    <w:rsid w:val="00F12CEE"/>
    <w:rsid w:val="00F12F2D"/>
    <w:rsid w:val="00F137D1"/>
    <w:rsid w:val="00F13825"/>
    <w:rsid w:val="00F13A7F"/>
    <w:rsid w:val="00F144E4"/>
    <w:rsid w:val="00F14695"/>
    <w:rsid w:val="00F1474A"/>
    <w:rsid w:val="00F1486D"/>
    <w:rsid w:val="00F148EC"/>
    <w:rsid w:val="00F14AD7"/>
    <w:rsid w:val="00F15455"/>
    <w:rsid w:val="00F154D5"/>
    <w:rsid w:val="00F156AC"/>
    <w:rsid w:val="00F15A94"/>
    <w:rsid w:val="00F15E4B"/>
    <w:rsid w:val="00F166B5"/>
    <w:rsid w:val="00F16A60"/>
    <w:rsid w:val="00F16B56"/>
    <w:rsid w:val="00F1704D"/>
    <w:rsid w:val="00F17768"/>
    <w:rsid w:val="00F17AC1"/>
    <w:rsid w:val="00F17D76"/>
    <w:rsid w:val="00F20311"/>
    <w:rsid w:val="00F21ED7"/>
    <w:rsid w:val="00F21F6D"/>
    <w:rsid w:val="00F222FD"/>
    <w:rsid w:val="00F22459"/>
    <w:rsid w:val="00F22886"/>
    <w:rsid w:val="00F2288B"/>
    <w:rsid w:val="00F22B5A"/>
    <w:rsid w:val="00F22EDE"/>
    <w:rsid w:val="00F23223"/>
    <w:rsid w:val="00F2347B"/>
    <w:rsid w:val="00F234A1"/>
    <w:rsid w:val="00F23E45"/>
    <w:rsid w:val="00F24851"/>
    <w:rsid w:val="00F24DEF"/>
    <w:rsid w:val="00F254D1"/>
    <w:rsid w:val="00F2596D"/>
    <w:rsid w:val="00F266A4"/>
    <w:rsid w:val="00F26765"/>
    <w:rsid w:val="00F26BF7"/>
    <w:rsid w:val="00F27D98"/>
    <w:rsid w:val="00F27DDD"/>
    <w:rsid w:val="00F30670"/>
    <w:rsid w:val="00F306E9"/>
    <w:rsid w:val="00F30908"/>
    <w:rsid w:val="00F30C43"/>
    <w:rsid w:val="00F3103C"/>
    <w:rsid w:val="00F31621"/>
    <w:rsid w:val="00F31EAE"/>
    <w:rsid w:val="00F3332F"/>
    <w:rsid w:val="00F333BD"/>
    <w:rsid w:val="00F3378A"/>
    <w:rsid w:val="00F3389E"/>
    <w:rsid w:val="00F33ABF"/>
    <w:rsid w:val="00F33F57"/>
    <w:rsid w:val="00F352F5"/>
    <w:rsid w:val="00F35B09"/>
    <w:rsid w:val="00F36009"/>
    <w:rsid w:val="00F3712F"/>
    <w:rsid w:val="00F379A2"/>
    <w:rsid w:val="00F379DA"/>
    <w:rsid w:val="00F37B76"/>
    <w:rsid w:val="00F4075D"/>
    <w:rsid w:val="00F40909"/>
    <w:rsid w:val="00F40C24"/>
    <w:rsid w:val="00F41428"/>
    <w:rsid w:val="00F42743"/>
    <w:rsid w:val="00F436B0"/>
    <w:rsid w:val="00F43ACF"/>
    <w:rsid w:val="00F43CFB"/>
    <w:rsid w:val="00F43E7A"/>
    <w:rsid w:val="00F43EE1"/>
    <w:rsid w:val="00F44011"/>
    <w:rsid w:val="00F441CF"/>
    <w:rsid w:val="00F44DC9"/>
    <w:rsid w:val="00F450B5"/>
    <w:rsid w:val="00F455E2"/>
    <w:rsid w:val="00F46028"/>
    <w:rsid w:val="00F46304"/>
    <w:rsid w:val="00F46931"/>
    <w:rsid w:val="00F46A64"/>
    <w:rsid w:val="00F46D24"/>
    <w:rsid w:val="00F475D6"/>
    <w:rsid w:val="00F47A07"/>
    <w:rsid w:val="00F47EDF"/>
    <w:rsid w:val="00F50306"/>
    <w:rsid w:val="00F50612"/>
    <w:rsid w:val="00F50712"/>
    <w:rsid w:val="00F50CB5"/>
    <w:rsid w:val="00F51345"/>
    <w:rsid w:val="00F51955"/>
    <w:rsid w:val="00F52270"/>
    <w:rsid w:val="00F52661"/>
    <w:rsid w:val="00F529A6"/>
    <w:rsid w:val="00F529D0"/>
    <w:rsid w:val="00F52BC4"/>
    <w:rsid w:val="00F52EAD"/>
    <w:rsid w:val="00F5433E"/>
    <w:rsid w:val="00F543FF"/>
    <w:rsid w:val="00F545FF"/>
    <w:rsid w:val="00F5498B"/>
    <w:rsid w:val="00F549AD"/>
    <w:rsid w:val="00F54BD1"/>
    <w:rsid w:val="00F559C8"/>
    <w:rsid w:val="00F55B9E"/>
    <w:rsid w:val="00F56A34"/>
    <w:rsid w:val="00F56EEC"/>
    <w:rsid w:val="00F5711E"/>
    <w:rsid w:val="00F57C15"/>
    <w:rsid w:val="00F60524"/>
    <w:rsid w:val="00F606D2"/>
    <w:rsid w:val="00F60C1C"/>
    <w:rsid w:val="00F6108C"/>
    <w:rsid w:val="00F6170F"/>
    <w:rsid w:val="00F61B64"/>
    <w:rsid w:val="00F61F72"/>
    <w:rsid w:val="00F6262C"/>
    <w:rsid w:val="00F6275E"/>
    <w:rsid w:val="00F62D13"/>
    <w:rsid w:val="00F6318E"/>
    <w:rsid w:val="00F631D8"/>
    <w:rsid w:val="00F639EB"/>
    <w:rsid w:val="00F63AEE"/>
    <w:rsid w:val="00F63DD3"/>
    <w:rsid w:val="00F6405E"/>
    <w:rsid w:val="00F64551"/>
    <w:rsid w:val="00F650E4"/>
    <w:rsid w:val="00F65536"/>
    <w:rsid w:val="00F6559B"/>
    <w:rsid w:val="00F658AC"/>
    <w:rsid w:val="00F65AD9"/>
    <w:rsid w:val="00F65C6E"/>
    <w:rsid w:val="00F6628A"/>
    <w:rsid w:val="00F663FE"/>
    <w:rsid w:val="00F66452"/>
    <w:rsid w:val="00F669DD"/>
    <w:rsid w:val="00F66E57"/>
    <w:rsid w:val="00F6701A"/>
    <w:rsid w:val="00F670F6"/>
    <w:rsid w:val="00F674F8"/>
    <w:rsid w:val="00F675A0"/>
    <w:rsid w:val="00F675E3"/>
    <w:rsid w:val="00F676BC"/>
    <w:rsid w:val="00F67DA7"/>
    <w:rsid w:val="00F70007"/>
    <w:rsid w:val="00F7067B"/>
    <w:rsid w:val="00F70763"/>
    <w:rsid w:val="00F707A6"/>
    <w:rsid w:val="00F70ED2"/>
    <w:rsid w:val="00F71460"/>
    <w:rsid w:val="00F717DC"/>
    <w:rsid w:val="00F71DBC"/>
    <w:rsid w:val="00F72007"/>
    <w:rsid w:val="00F7244E"/>
    <w:rsid w:val="00F730CD"/>
    <w:rsid w:val="00F7319E"/>
    <w:rsid w:val="00F73F47"/>
    <w:rsid w:val="00F74ACA"/>
    <w:rsid w:val="00F74EF0"/>
    <w:rsid w:val="00F7553E"/>
    <w:rsid w:val="00F75698"/>
    <w:rsid w:val="00F761BD"/>
    <w:rsid w:val="00F763B5"/>
    <w:rsid w:val="00F765CC"/>
    <w:rsid w:val="00F76A54"/>
    <w:rsid w:val="00F76AE3"/>
    <w:rsid w:val="00F76DFB"/>
    <w:rsid w:val="00F773DD"/>
    <w:rsid w:val="00F77455"/>
    <w:rsid w:val="00F774FB"/>
    <w:rsid w:val="00F776BD"/>
    <w:rsid w:val="00F77A7B"/>
    <w:rsid w:val="00F77B43"/>
    <w:rsid w:val="00F77F7D"/>
    <w:rsid w:val="00F80254"/>
    <w:rsid w:val="00F80F88"/>
    <w:rsid w:val="00F815B3"/>
    <w:rsid w:val="00F81AAC"/>
    <w:rsid w:val="00F81E6B"/>
    <w:rsid w:val="00F822B3"/>
    <w:rsid w:val="00F82D9D"/>
    <w:rsid w:val="00F82E17"/>
    <w:rsid w:val="00F8330C"/>
    <w:rsid w:val="00F83390"/>
    <w:rsid w:val="00F8356D"/>
    <w:rsid w:val="00F837BA"/>
    <w:rsid w:val="00F83B32"/>
    <w:rsid w:val="00F84385"/>
    <w:rsid w:val="00F84B1A"/>
    <w:rsid w:val="00F84C08"/>
    <w:rsid w:val="00F84FB6"/>
    <w:rsid w:val="00F85592"/>
    <w:rsid w:val="00F86EDA"/>
    <w:rsid w:val="00F87A6B"/>
    <w:rsid w:val="00F87B54"/>
    <w:rsid w:val="00F87DFD"/>
    <w:rsid w:val="00F90278"/>
    <w:rsid w:val="00F907B9"/>
    <w:rsid w:val="00F9127B"/>
    <w:rsid w:val="00F92735"/>
    <w:rsid w:val="00F9276C"/>
    <w:rsid w:val="00F92BAA"/>
    <w:rsid w:val="00F94555"/>
    <w:rsid w:val="00F94A29"/>
    <w:rsid w:val="00F94A7B"/>
    <w:rsid w:val="00F9502C"/>
    <w:rsid w:val="00F95086"/>
    <w:rsid w:val="00F951D6"/>
    <w:rsid w:val="00F951F1"/>
    <w:rsid w:val="00F9546B"/>
    <w:rsid w:val="00F9565C"/>
    <w:rsid w:val="00F95660"/>
    <w:rsid w:val="00F95779"/>
    <w:rsid w:val="00F959D8"/>
    <w:rsid w:val="00F95F5D"/>
    <w:rsid w:val="00F96A10"/>
    <w:rsid w:val="00FA0AC8"/>
    <w:rsid w:val="00FA0B8A"/>
    <w:rsid w:val="00FA0D30"/>
    <w:rsid w:val="00FA15E6"/>
    <w:rsid w:val="00FA1957"/>
    <w:rsid w:val="00FA1A10"/>
    <w:rsid w:val="00FA206D"/>
    <w:rsid w:val="00FA2184"/>
    <w:rsid w:val="00FA24C6"/>
    <w:rsid w:val="00FA2E23"/>
    <w:rsid w:val="00FA2E6C"/>
    <w:rsid w:val="00FA36A5"/>
    <w:rsid w:val="00FA3E8F"/>
    <w:rsid w:val="00FA3FD8"/>
    <w:rsid w:val="00FA4640"/>
    <w:rsid w:val="00FA4AD5"/>
    <w:rsid w:val="00FA4E2E"/>
    <w:rsid w:val="00FA4F97"/>
    <w:rsid w:val="00FA501C"/>
    <w:rsid w:val="00FA58A9"/>
    <w:rsid w:val="00FA6B4F"/>
    <w:rsid w:val="00FA7319"/>
    <w:rsid w:val="00FA7B77"/>
    <w:rsid w:val="00FA7CC0"/>
    <w:rsid w:val="00FB078B"/>
    <w:rsid w:val="00FB0923"/>
    <w:rsid w:val="00FB1744"/>
    <w:rsid w:val="00FB186F"/>
    <w:rsid w:val="00FB1B38"/>
    <w:rsid w:val="00FB1D18"/>
    <w:rsid w:val="00FB240E"/>
    <w:rsid w:val="00FB24C4"/>
    <w:rsid w:val="00FB2563"/>
    <w:rsid w:val="00FB27D3"/>
    <w:rsid w:val="00FB2A7B"/>
    <w:rsid w:val="00FB2C24"/>
    <w:rsid w:val="00FB2D04"/>
    <w:rsid w:val="00FB3061"/>
    <w:rsid w:val="00FB3083"/>
    <w:rsid w:val="00FB3414"/>
    <w:rsid w:val="00FB34B5"/>
    <w:rsid w:val="00FB3539"/>
    <w:rsid w:val="00FB3B17"/>
    <w:rsid w:val="00FB3B85"/>
    <w:rsid w:val="00FB4745"/>
    <w:rsid w:val="00FB476A"/>
    <w:rsid w:val="00FB4A39"/>
    <w:rsid w:val="00FB4AA0"/>
    <w:rsid w:val="00FB51B1"/>
    <w:rsid w:val="00FB57FB"/>
    <w:rsid w:val="00FB5AD3"/>
    <w:rsid w:val="00FB7413"/>
    <w:rsid w:val="00FB74E0"/>
    <w:rsid w:val="00FB78AA"/>
    <w:rsid w:val="00FB7A5C"/>
    <w:rsid w:val="00FC06E0"/>
    <w:rsid w:val="00FC1088"/>
    <w:rsid w:val="00FC12E5"/>
    <w:rsid w:val="00FC1466"/>
    <w:rsid w:val="00FC20D6"/>
    <w:rsid w:val="00FC21B6"/>
    <w:rsid w:val="00FC258A"/>
    <w:rsid w:val="00FC3507"/>
    <w:rsid w:val="00FC37C9"/>
    <w:rsid w:val="00FC3CDB"/>
    <w:rsid w:val="00FC3DE0"/>
    <w:rsid w:val="00FC43B0"/>
    <w:rsid w:val="00FC45AA"/>
    <w:rsid w:val="00FC4725"/>
    <w:rsid w:val="00FC4BE5"/>
    <w:rsid w:val="00FC4F6B"/>
    <w:rsid w:val="00FC5B5B"/>
    <w:rsid w:val="00FC6727"/>
    <w:rsid w:val="00FC68CC"/>
    <w:rsid w:val="00FC6B54"/>
    <w:rsid w:val="00FC6D04"/>
    <w:rsid w:val="00FC7589"/>
    <w:rsid w:val="00FC7933"/>
    <w:rsid w:val="00FD0076"/>
    <w:rsid w:val="00FD02F3"/>
    <w:rsid w:val="00FD11DC"/>
    <w:rsid w:val="00FD1E0F"/>
    <w:rsid w:val="00FD210E"/>
    <w:rsid w:val="00FD21DF"/>
    <w:rsid w:val="00FD2E58"/>
    <w:rsid w:val="00FD33A3"/>
    <w:rsid w:val="00FD4546"/>
    <w:rsid w:val="00FD4549"/>
    <w:rsid w:val="00FD49F2"/>
    <w:rsid w:val="00FD4EF0"/>
    <w:rsid w:val="00FD4FA5"/>
    <w:rsid w:val="00FD5443"/>
    <w:rsid w:val="00FD547E"/>
    <w:rsid w:val="00FD5594"/>
    <w:rsid w:val="00FD5989"/>
    <w:rsid w:val="00FD5B1D"/>
    <w:rsid w:val="00FD61EA"/>
    <w:rsid w:val="00FD62F0"/>
    <w:rsid w:val="00FD6A01"/>
    <w:rsid w:val="00FD6D85"/>
    <w:rsid w:val="00FD6E41"/>
    <w:rsid w:val="00FD6E8F"/>
    <w:rsid w:val="00FD76AF"/>
    <w:rsid w:val="00FD79CF"/>
    <w:rsid w:val="00FD7D44"/>
    <w:rsid w:val="00FE00DF"/>
    <w:rsid w:val="00FE01C9"/>
    <w:rsid w:val="00FE08CE"/>
    <w:rsid w:val="00FE1010"/>
    <w:rsid w:val="00FE1616"/>
    <w:rsid w:val="00FE1708"/>
    <w:rsid w:val="00FE1808"/>
    <w:rsid w:val="00FE1A22"/>
    <w:rsid w:val="00FE28A7"/>
    <w:rsid w:val="00FE29F0"/>
    <w:rsid w:val="00FE2EB1"/>
    <w:rsid w:val="00FE3006"/>
    <w:rsid w:val="00FE30E7"/>
    <w:rsid w:val="00FE328D"/>
    <w:rsid w:val="00FE3710"/>
    <w:rsid w:val="00FE3919"/>
    <w:rsid w:val="00FE3A3E"/>
    <w:rsid w:val="00FE3C07"/>
    <w:rsid w:val="00FE3F50"/>
    <w:rsid w:val="00FE405B"/>
    <w:rsid w:val="00FE419F"/>
    <w:rsid w:val="00FE41D5"/>
    <w:rsid w:val="00FE47D9"/>
    <w:rsid w:val="00FE4F40"/>
    <w:rsid w:val="00FE575C"/>
    <w:rsid w:val="00FE5A40"/>
    <w:rsid w:val="00FE5EB4"/>
    <w:rsid w:val="00FE5EDA"/>
    <w:rsid w:val="00FE6021"/>
    <w:rsid w:val="00FE655F"/>
    <w:rsid w:val="00FE65DF"/>
    <w:rsid w:val="00FE6600"/>
    <w:rsid w:val="00FE679A"/>
    <w:rsid w:val="00FE6AE8"/>
    <w:rsid w:val="00FE7349"/>
    <w:rsid w:val="00FE75E3"/>
    <w:rsid w:val="00FE7BBF"/>
    <w:rsid w:val="00FE7D3F"/>
    <w:rsid w:val="00FF079D"/>
    <w:rsid w:val="00FF0FD2"/>
    <w:rsid w:val="00FF103D"/>
    <w:rsid w:val="00FF1592"/>
    <w:rsid w:val="00FF1AA2"/>
    <w:rsid w:val="00FF1AC3"/>
    <w:rsid w:val="00FF1D0B"/>
    <w:rsid w:val="00FF22A2"/>
    <w:rsid w:val="00FF284F"/>
    <w:rsid w:val="00FF2D59"/>
    <w:rsid w:val="00FF2FE3"/>
    <w:rsid w:val="00FF33D3"/>
    <w:rsid w:val="00FF3BA6"/>
    <w:rsid w:val="00FF4052"/>
    <w:rsid w:val="00FF43A6"/>
    <w:rsid w:val="00FF4404"/>
    <w:rsid w:val="00FF45EB"/>
    <w:rsid w:val="00FF4EA7"/>
    <w:rsid w:val="00FF5056"/>
    <w:rsid w:val="00FF50E2"/>
    <w:rsid w:val="00FF52D2"/>
    <w:rsid w:val="00FF52F1"/>
    <w:rsid w:val="00FF56A3"/>
    <w:rsid w:val="00FF574A"/>
    <w:rsid w:val="00FF5A77"/>
    <w:rsid w:val="00FF616A"/>
    <w:rsid w:val="00FF7693"/>
    <w:rsid w:val="00FF76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B6CA2"/>
  <w14:defaultImageDpi w14:val="330"/>
  <w15:chartTrackingRefBased/>
  <w15:docId w15:val="{AC4C2B85-46A0-EB4D-9843-A75D7901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E2"/>
    <w:pPr>
      <w:autoSpaceDE w:val="0"/>
      <w:autoSpaceDN w:val="0"/>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F3C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21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61A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6334E2"/>
    <w:pPr>
      <w:spacing w:before="20"/>
      <w:ind w:firstLine="202"/>
      <w:jc w:val="both"/>
    </w:pPr>
    <w:rPr>
      <w:b/>
      <w:bCs/>
      <w:sz w:val="18"/>
      <w:szCs w:val="18"/>
    </w:rPr>
  </w:style>
  <w:style w:type="paragraph" w:customStyle="1" w:styleId="IndexTerms">
    <w:name w:val="IndexTerms"/>
    <w:basedOn w:val="Normal"/>
    <w:next w:val="Normal"/>
    <w:rsid w:val="006334E2"/>
    <w:pPr>
      <w:ind w:firstLine="202"/>
      <w:jc w:val="both"/>
    </w:pPr>
    <w:rPr>
      <w:b/>
      <w:bCs/>
      <w:sz w:val="18"/>
      <w:szCs w:val="18"/>
    </w:rPr>
  </w:style>
  <w:style w:type="paragraph" w:styleId="FootnoteText">
    <w:name w:val="footnote text"/>
    <w:basedOn w:val="Normal"/>
    <w:link w:val="FootnoteTextChar"/>
    <w:uiPriority w:val="99"/>
    <w:unhideWhenUsed/>
    <w:rsid w:val="006334E2"/>
  </w:style>
  <w:style w:type="character" w:customStyle="1" w:styleId="FootnoteTextChar">
    <w:name w:val="Footnote Text Char"/>
    <w:basedOn w:val="DefaultParagraphFont"/>
    <w:link w:val="FootnoteText"/>
    <w:uiPriority w:val="99"/>
    <w:rsid w:val="006334E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6334E2"/>
    <w:rPr>
      <w:vertAlign w:val="superscript"/>
    </w:rPr>
  </w:style>
  <w:style w:type="character" w:styleId="Hyperlink">
    <w:name w:val="Hyperlink"/>
    <w:uiPriority w:val="99"/>
    <w:rsid w:val="006334E2"/>
    <w:rPr>
      <w:color w:val="0000FF"/>
      <w:u w:val="single"/>
    </w:rPr>
  </w:style>
  <w:style w:type="paragraph" w:styleId="ListParagraph">
    <w:name w:val="List Paragraph"/>
    <w:basedOn w:val="Normal"/>
    <w:uiPriority w:val="34"/>
    <w:qFormat/>
    <w:rsid w:val="000A7C75"/>
    <w:pPr>
      <w:ind w:left="720"/>
      <w:contextualSpacing/>
    </w:pPr>
  </w:style>
  <w:style w:type="paragraph" w:styleId="NormalWeb">
    <w:name w:val="Normal (Web)"/>
    <w:basedOn w:val="Normal"/>
    <w:uiPriority w:val="99"/>
    <w:unhideWhenUsed/>
    <w:rsid w:val="004330FA"/>
    <w:pPr>
      <w:autoSpaceDE/>
      <w:autoSpaceDN/>
      <w:spacing w:before="100" w:beforeAutospacing="1" w:after="100" w:afterAutospacing="1"/>
    </w:pPr>
    <w:rPr>
      <w:sz w:val="24"/>
      <w:szCs w:val="24"/>
      <w:lang w:val="en-GB"/>
    </w:rPr>
  </w:style>
  <w:style w:type="character" w:customStyle="1" w:styleId="UnresolvedMention1">
    <w:name w:val="Unresolved Mention1"/>
    <w:basedOn w:val="DefaultParagraphFont"/>
    <w:uiPriority w:val="99"/>
    <w:rsid w:val="001F4F8E"/>
    <w:rPr>
      <w:color w:val="605E5C"/>
      <w:shd w:val="clear" w:color="auto" w:fill="E1DFDD"/>
    </w:rPr>
  </w:style>
  <w:style w:type="character" w:styleId="FollowedHyperlink">
    <w:name w:val="FollowedHyperlink"/>
    <w:basedOn w:val="DefaultParagraphFont"/>
    <w:uiPriority w:val="99"/>
    <w:semiHidden/>
    <w:unhideWhenUsed/>
    <w:rsid w:val="00D77C49"/>
    <w:rPr>
      <w:color w:val="954F72" w:themeColor="followedHyperlink"/>
      <w:u w:val="single"/>
    </w:rPr>
  </w:style>
  <w:style w:type="character" w:customStyle="1" w:styleId="apple-converted-space">
    <w:name w:val="apple-converted-space"/>
    <w:basedOn w:val="DefaultParagraphFont"/>
    <w:rsid w:val="000F1C34"/>
  </w:style>
  <w:style w:type="character" w:styleId="Emphasis">
    <w:name w:val="Emphasis"/>
    <w:basedOn w:val="DefaultParagraphFont"/>
    <w:uiPriority w:val="20"/>
    <w:qFormat/>
    <w:rsid w:val="000F1C34"/>
    <w:rPr>
      <w:i/>
      <w:iCs/>
    </w:rPr>
  </w:style>
  <w:style w:type="character" w:styleId="CommentReference">
    <w:name w:val="annotation reference"/>
    <w:basedOn w:val="DefaultParagraphFont"/>
    <w:uiPriority w:val="99"/>
    <w:semiHidden/>
    <w:unhideWhenUsed/>
    <w:rsid w:val="00056B96"/>
    <w:rPr>
      <w:sz w:val="16"/>
      <w:szCs w:val="16"/>
    </w:rPr>
  </w:style>
  <w:style w:type="paragraph" w:styleId="CommentText">
    <w:name w:val="annotation text"/>
    <w:basedOn w:val="Normal"/>
    <w:link w:val="CommentTextChar"/>
    <w:uiPriority w:val="99"/>
    <w:semiHidden/>
    <w:unhideWhenUsed/>
    <w:rsid w:val="00056B96"/>
    <w:pPr>
      <w:autoSpaceDE/>
      <w:autoSpaceDN/>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semiHidden/>
    <w:rsid w:val="00056B96"/>
    <w:rPr>
      <w:sz w:val="20"/>
      <w:szCs w:val="20"/>
    </w:rPr>
  </w:style>
  <w:style w:type="paragraph" w:styleId="BalloonText">
    <w:name w:val="Balloon Text"/>
    <w:basedOn w:val="Normal"/>
    <w:link w:val="BalloonTextChar"/>
    <w:uiPriority w:val="99"/>
    <w:semiHidden/>
    <w:unhideWhenUsed/>
    <w:rsid w:val="00056B96"/>
    <w:rPr>
      <w:sz w:val="18"/>
      <w:szCs w:val="18"/>
    </w:rPr>
  </w:style>
  <w:style w:type="character" w:customStyle="1" w:styleId="BalloonTextChar">
    <w:name w:val="Balloon Text Char"/>
    <w:basedOn w:val="DefaultParagraphFont"/>
    <w:link w:val="BalloonText"/>
    <w:uiPriority w:val="99"/>
    <w:semiHidden/>
    <w:rsid w:val="00056B96"/>
    <w:rPr>
      <w:rFonts w:ascii="Times New Roman" w:eastAsia="Times New Roman" w:hAnsi="Times New Roman" w:cs="Times New Roman"/>
      <w:sz w:val="18"/>
      <w:szCs w:val="18"/>
      <w:lang w:val="en-US"/>
    </w:rPr>
  </w:style>
  <w:style w:type="paragraph" w:customStyle="1" w:styleId="contenttext">
    <w:name w:val="contenttext"/>
    <w:basedOn w:val="Normal"/>
    <w:rsid w:val="00501CE2"/>
    <w:pPr>
      <w:autoSpaceDE/>
      <w:autoSpaceDN/>
      <w:spacing w:before="100" w:beforeAutospacing="1" w:after="100" w:afterAutospacing="1"/>
    </w:pPr>
    <w:rPr>
      <w:sz w:val="24"/>
      <w:szCs w:val="24"/>
      <w:lang w:val="en-GB"/>
    </w:rPr>
  </w:style>
  <w:style w:type="character" w:customStyle="1" w:styleId="UnresolvedMention2">
    <w:name w:val="Unresolved Mention2"/>
    <w:basedOn w:val="DefaultParagraphFont"/>
    <w:uiPriority w:val="99"/>
    <w:semiHidden/>
    <w:unhideWhenUsed/>
    <w:rsid w:val="008E602D"/>
    <w:rPr>
      <w:color w:val="605E5C"/>
      <w:shd w:val="clear" w:color="auto" w:fill="E1DFDD"/>
    </w:rPr>
  </w:style>
  <w:style w:type="character" w:customStyle="1" w:styleId="searchword1">
    <w:name w:val="searchword1"/>
    <w:basedOn w:val="DefaultParagraphFont"/>
    <w:rsid w:val="004D3AD3"/>
    <w:rPr>
      <w:shd w:val="clear" w:color="auto" w:fill="FFFBC3"/>
    </w:rPr>
  </w:style>
  <w:style w:type="paragraph" w:customStyle="1" w:styleId="L3Header">
    <w:name w:val="&gt; L3 Header"/>
    <w:basedOn w:val="Heading2"/>
    <w:qFormat/>
    <w:rsid w:val="00562143"/>
    <w:pPr>
      <w:pBdr>
        <w:bottom w:val="dotted" w:sz="4" w:space="1" w:color="auto"/>
      </w:pBdr>
      <w:autoSpaceDE/>
      <w:autoSpaceDN/>
      <w:spacing w:before="0" w:after="360" w:line="312" w:lineRule="auto"/>
    </w:pPr>
    <w:rPr>
      <w:rFonts w:ascii="Arial" w:eastAsia="Times New Roman" w:hAnsi="Arial" w:cs="Arial"/>
      <w:b/>
      <w:bCs/>
      <w:color w:val="000000"/>
      <w:sz w:val="28"/>
      <w:szCs w:val="28"/>
      <w:lang w:val="x-none" w:eastAsia="x-none"/>
    </w:rPr>
  </w:style>
  <w:style w:type="paragraph" w:customStyle="1" w:styleId="Bulletsbase">
    <w:name w:val="&gt; Bullets (base)"/>
    <w:basedOn w:val="Normal"/>
    <w:qFormat/>
    <w:rsid w:val="00562143"/>
    <w:pPr>
      <w:numPr>
        <w:numId w:val="1"/>
      </w:numPr>
      <w:autoSpaceDE/>
      <w:autoSpaceDN/>
      <w:spacing w:after="40" w:line="312" w:lineRule="auto"/>
      <w:ind w:left="340" w:hanging="340"/>
    </w:pPr>
    <w:rPr>
      <w:rFonts w:ascii="Arial" w:eastAsia="Calibri" w:hAnsi="Arial" w:cs="Arial"/>
      <w:color w:val="000000"/>
      <w:sz w:val="24"/>
      <w:szCs w:val="24"/>
      <w:lang w:val="en-GB" w:eastAsia="en-GB"/>
    </w:rPr>
  </w:style>
  <w:style w:type="paragraph" w:customStyle="1" w:styleId="L4Header">
    <w:name w:val="&gt; L4 Header"/>
    <w:basedOn w:val="Normal"/>
    <w:qFormat/>
    <w:rsid w:val="00562143"/>
    <w:pPr>
      <w:numPr>
        <w:numId w:val="21"/>
      </w:numPr>
      <w:autoSpaceDE/>
      <w:autoSpaceDN/>
      <w:spacing w:after="100" w:line="312" w:lineRule="auto"/>
      <w:ind w:left="0" w:firstLine="0"/>
    </w:pPr>
    <w:rPr>
      <w:rFonts w:ascii="Arial" w:eastAsia="Arial Unicode MS" w:hAnsi="Arial" w:cs="Arial"/>
      <w:b/>
      <w:color w:val="000000"/>
      <w:sz w:val="24"/>
      <w:szCs w:val="24"/>
      <w:u w:color="000000"/>
      <w:lang w:val="en-GB"/>
    </w:rPr>
  </w:style>
  <w:style w:type="paragraph" w:customStyle="1" w:styleId="Bulletssectionlast">
    <w:name w:val="&gt; Bullets (section last)"/>
    <w:basedOn w:val="Bulletsbase"/>
    <w:qFormat/>
    <w:rsid w:val="00562143"/>
    <w:pPr>
      <w:spacing w:after="600"/>
    </w:pPr>
  </w:style>
  <w:style w:type="character" w:customStyle="1" w:styleId="Heading2Char">
    <w:name w:val="Heading 2 Char"/>
    <w:basedOn w:val="DefaultParagraphFont"/>
    <w:link w:val="Heading2"/>
    <w:uiPriority w:val="9"/>
    <w:semiHidden/>
    <w:rsid w:val="00562143"/>
    <w:rPr>
      <w:rFonts w:asciiTheme="majorHAnsi" w:eastAsiaTheme="majorEastAsia" w:hAnsiTheme="majorHAnsi" w:cstheme="majorBidi"/>
      <w:color w:val="2F5496" w:themeColor="accent1" w:themeShade="BF"/>
      <w:sz w:val="26"/>
      <w:szCs w:val="26"/>
      <w:lang w:val="en-US"/>
    </w:rPr>
  </w:style>
  <w:style w:type="paragraph" w:customStyle="1" w:styleId="Parapre-bullets">
    <w:name w:val="&gt; Para (pre-bullets)"/>
    <w:basedOn w:val="Normal"/>
    <w:qFormat/>
    <w:rsid w:val="00562143"/>
    <w:pPr>
      <w:autoSpaceDE/>
      <w:autoSpaceDN/>
      <w:spacing w:after="60" w:line="312" w:lineRule="auto"/>
    </w:pPr>
    <w:rPr>
      <w:rFonts w:ascii="Arial" w:eastAsia="Calibri" w:hAnsi="Arial" w:cs="Arial"/>
      <w:color w:val="000000"/>
      <w:sz w:val="24"/>
      <w:szCs w:val="24"/>
      <w:lang w:val="en-GB" w:eastAsia="en-GB"/>
    </w:rPr>
  </w:style>
  <w:style w:type="paragraph" w:customStyle="1" w:styleId="MediumGrid21">
    <w:name w:val="Medium Grid 21"/>
    <w:uiPriority w:val="1"/>
    <w:qFormat/>
    <w:rsid w:val="000F17BA"/>
    <w:rPr>
      <w:rFonts w:ascii="Cambria" w:eastAsia="MS Mincho" w:hAnsi="Cambria" w:cs="Arial"/>
    </w:rPr>
  </w:style>
  <w:style w:type="paragraph" w:customStyle="1" w:styleId="Parabase">
    <w:name w:val="&gt; Para (base)"/>
    <w:basedOn w:val="Normal"/>
    <w:qFormat/>
    <w:rsid w:val="000F17BA"/>
    <w:pPr>
      <w:autoSpaceDE/>
      <w:autoSpaceDN/>
      <w:spacing w:after="120" w:line="312" w:lineRule="auto"/>
    </w:pPr>
    <w:rPr>
      <w:rFonts w:ascii="Arial" w:eastAsia="Calibri" w:hAnsi="Arial"/>
      <w:sz w:val="24"/>
      <w:szCs w:val="24"/>
      <w:lang w:val="en-GB"/>
    </w:rPr>
  </w:style>
  <w:style w:type="paragraph" w:customStyle="1" w:styleId="Parasection">
    <w:name w:val="&gt; Para (section)"/>
    <w:basedOn w:val="Parabase"/>
    <w:qFormat/>
    <w:rsid w:val="000F17BA"/>
    <w:pPr>
      <w:spacing w:after="640"/>
    </w:pPr>
  </w:style>
  <w:style w:type="paragraph" w:customStyle="1" w:styleId="Parass">
    <w:name w:val="&gt; Para (ss)"/>
    <w:basedOn w:val="Parasection"/>
    <w:qFormat/>
    <w:rsid w:val="000F17BA"/>
    <w:pPr>
      <w:spacing w:after="360"/>
    </w:pPr>
  </w:style>
  <w:style w:type="paragraph" w:styleId="CommentSubject">
    <w:name w:val="annotation subject"/>
    <w:basedOn w:val="CommentText"/>
    <w:next w:val="CommentText"/>
    <w:link w:val="CommentSubjectChar"/>
    <w:uiPriority w:val="99"/>
    <w:semiHidden/>
    <w:unhideWhenUsed/>
    <w:rsid w:val="007B3135"/>
    <w:pPr>
      <w:autoSpaceDE w:val="0"/>
      <w:autoSpaceDN w:val="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7B3135"/>
    <w:rPr>
      <w:rFonts w:ascii="Times New Roman" w:eastAsia="Times New Roman" w:hAnsi="Times New Roman" w:cs="Times New Roman"/>
      <w:b/>
      <w:bCs/>
      <w:sz w:val="20"/>
      <w:szCs w:val="20"/>
      <w:lang w:val="en-US"/>
    </w:rPr>
  </w:style>
  <w:style w:type="paragraph" w:styleId="Revision">
    <w:name w:val="Revision"/>
    <w:hidden/>
    <w:uiPriority w:val="99"/>
    <w:semiHidden/>
    <w:rsid w:val="007B3135"/>
    <w:rPr>
      <w:rFonts w:ascii="Times New Roman" w:eastAsia="Times New Roman" w:hAnsi="Times New Roman" w:cs="Times New Roman"/>
      <w:sz w:val="20"/>
      <w:szCs w:val="20"/>
      <w:lang w:val="en-US"/>
    </w:rPr>
  </w:style>
  <w:style w:type="paragraph" w:styleId="NoSpacing">
    <w:name w:val="No Spacing"/>
    <w:uiPriority w:val="1"/>
    <w:qFormat/>
    <w:rsid w:val="008F59A4"/>
    <w:rPr>
      <w:rFonts w:ascii="Calibri" w:eastAsia="Times New Roman" w:hAnsi="Calibri" w:cs="Times New Roman"/>
      <w:sz w:val="22"/>
      <w:szCs w:val="22"/>
    </w:rPr>
  </w:style>
  <w:style w:type="character" w:customStyle="1" w:styleId="Heading3Char">
    <w:name w:val="Heading 3 Char"/>
    <w:basedOn w:val="DefaultParagraphFont"/>
    <w:link w:val="Heading3"/>
    <w:uiPriority w:val="9"/>
    <w:rsid w:val="00B361AC"/>
    <w:rPr>
      <w:rFonts w:asciiTheme="majorHAnsi" w:eastAsiaTheme="majorEastAsia" w:hAnsiTheme="majorHAnsi" w:cstheme="majorBidi"/>
      <w:color w:val="1F3763" w:themeColor="accent1" w:themeShade="7F"/>
      <w:lang w:val="en-US"/>
    </w:rPr>
  </w:style>
  <w:style w:type="paragraph" w:customStyle="1" w:styleId="xmsonormal">
    <w:name w:val="x_msonormal"/>
    <w:basedOn w:val="Normal"/>
    <w:rsid w:val="006D7862"/>
    <w:pPr>
      <w:autoSpaceDE/>
      <w:autoSpaceDN/>
      <w:spacing w:before="100" w:beforeAutospacing="1" w:after="100" w:afterAutospacing="1"/>
    </w:pPr>
    <w:rPr>
      <w:sz w:val="24"/>
      <w:szCs w:val="24"/>
      <w:lang w:val="en-GB"/>
    </w:rPr>
  </w:style>
  <w:style w:type="character" w:customStyle="1" w:styleId="Heading1Char">
    <w:name w:val="Heading 1 Char"/>
    <w:basedOn w:val="DefaultParagraphFont"/>
    <w:link w:val="Heading1"/>
    <w:uiPriority w:val="9"/>
    <w:rsid w:val="002F3C5A"/>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7E262A"/>
    <w:pPr>
      <w:tabs>
        <w:tab w:val="center" w:pos="4513"/>
        <w:tab w:val="right" w:pos="9026"/>
      </w:tabs>
    </w:pPr>
  </w:style>
  <w:style w:type="character" w:customStyle="1" w:styleId="HeaderChar">
    <w:name w:val="Header Char"/>
    <w:basedOn w:val="DefaultParagraphFont"/>
    <w:link w:val="Header"/>
    <w:uiPriority w:val="99"/>
    <w:rsid w:val="007E262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E262A"/>
    <w:pPr>
      <w:tabs>
        <w:tab w:val="center" w:pos="4513"/>
        <w:tab w:val="right" w:pos="9026"/>
      </w:tabs>
    </w:pPr>
  </w:style>
  <w:style w:type="character" w:customStyle="1" w:styleId="FooterChar">
    <w:name w:val="Footer Char"/>
    <w:basedOn w:val="DefaultParagraphFont"/>
    <w:link w:val="Footer"/>
    <w:uiPriority w:val="99"/>
    <w:rsid w:val="007E262A"/>
    <w:rPr>
      <w:rFonts w:ascii="Times New Roman" w:eastAsia="Times New Roman" w:hAnsi="Times New Roman" w:cs="Times New Roman"/>
      <w:sz w:val="20"/>
      <w:szCs w:val="20"/>
      <w:lang w:val="en-US"/>
    </w:rPr>
  </w:style>
  <w:style w:type="paragraph" w:customStyle="1" w:styleId="Default">
    <w:name w:val="Default"/>
    <w:rsid w:val="00DD5009"/>
    <w:pPr>
      <w:autoSpaceDE w:val="0"/>
      <w:autoSpaceDN w:val="0"/>
      <w:adjustRightInd w:val="0"/>
    </w:pPr>
    <w:rPr>
      <w:rFonts w:ascii="MetaOT-Light" w:hAnsi="MetaOT-Light" w:cs="MetaOT-Light"/>
      <w:color w:val="000000"/>
    </w:rPr>
  </w:style>
  <w:style w:type="character" w:customStyle="1" w:styleId="A8">
    <w:name w:val="A8"/>
    <w:uiPriority w:val="99"/>
    <w:rsid w:val="00DD5009"/>
    <w:rPr>
      <w:rFonts w:cs="MetaOT-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638">
      <w:bodyDiv w:val="1"/>
      <w:marLeft w:val="0"/>
      <w:marRight w:val="0"/>
      <w:marTop w:val="0"/>
      <w:marBottom w:val="0"/>
      <w:divBdr>
        <w:top w:val="none" w:sz="0" w:space="0" w:color="auto"/>
        <w:left w:val="none" w:sz="0" w:space="0" w:color="auto"/>
        <w:bottom w:val="none" w:sz="0" w:space="0" w:color="auto"/>
        <w:right w:val="none" w:sz="0" w:space="0" w:color="auto"/>
      </w:divBdr>
    </w:div>
    <w:div w:id="11302494">
      <w:bodyDiv w:val="1"/>
      <w:marLeft w:val="0"/>
      <w:marRight w:val="0"/>
      <w:marTop w:val="0"/>
      <w:marBottom w:val="0"/>
      <w:divBdr>
        <w:top w:val="none" w:sz="0" w:space="0" w:color="auto"/>
        <w:left w:val="none" w:sz="0" w:space="0" w:color="auto"/>
        <w:bottom w:val="none" w:sz="0" w:space="0" w:color="auto"/>
        <w:right w:val="none" w:sz="0" w:space="0" w:color="auto"/>
      </w:divBdr>
      <w:divsChild>
        <w:div w:id="1222133201">
          <w:marLeft w:val="0"/>
          <w:marRight w:val="0"/>
          <w:marTop w:val="0"/>
          <w:marBottom w:val="0"/>
          <w:divBdr>
            <w:top w:val="none" w:sz="0" w:space="0" w:color="auto"/>
            <w:left w:val="none" w:sz="0" w:space="0" w:color="auto"/>
            <w:bottom w:val="none" w:sz="0" w:space="0" w:color="auto"/>
            <w:right w:val="none" w:sz="0" w:space="0" w:color="auto"/>
          </w:divBdr>
          <w:divsChild>
            <w:div w:id="781923837">
              <w:marLeft w:val="0"/>
              <w:marRight w:val="0"/>
              <w:marTop w:val="0"/>
              <w:marBottom w:val="0"/>
              <w:divBdr>
                <w:top w:val="none" w:sz="0" w:space="0" w:color="auto"/>
                <w:left w:val="none" w:sz="0" w:space="0" w:color="auto"/>
                <w:bottom w:val="none" w:sz="0" w:space="0" w:color="auto"/>
                <w:right w:val="none" w:sz="0" w:space="0" w:color="auto"/>
              </w:divBdr>
              <w:divsChild>
                <w:div w:id="485904634">
                  <w:marLeft w:val="0"/>
                  <w:marRight w:val="0"/>
                  <w:marTop w:val="0"/>
                  <w:marBottom w:val="0"/>
                  <w:divBdr>
                    <w:top w:val="none" w:sz="0" w:space="0" w:color="auto"/>
                    <w:left w:val="none" w:sz="0" w:space="0" w:color="auto"/>
                    <w:bottom w:val="none" w:sz="0" w:space="0" w:color="auto"/>
                    <w:right w:val="none" w:sz="0" w:space="0" w:color="auto"/>
                  </w:divBdr>
                  <w:divsChild>
                    <w:div w:id="17866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7152">
      <w:bodyDiv w:val="1"/>
      <w:marLeft w:val="0"/>
      <w:marRight w:val="0"/>
      <w:marTop w:val="0"/>
      <w:marBottom w:val="0"/>
      <w:divBdr>
        <w:top w:val="none" w:sz="0" w:space="0" w:color="auto"/>
        <w:left w:val="none" w:sz="0" w:space="0" w:color="auto"/>
        <w:bottom w:val="none" w:sz="0" w:space="0" w:color="auto"/>
        <w:right w:val="none" w:sz="0" w:space="0" w:color="auto"/>
      </w:divBdr>
    </w:div>
    <w:div w:id="100341687">
      <w:bodyDiv w:val="1"/>
      <w:marLeft w:val="0"/>
      <w:marRight w:val="0"/>
      <w:marTop w:val="0"/>
      <w:marBottom w:val="0"/>
      <w:divBdr>
        <w:top w:val="none" w:sz="0" w:space="0" w:color="auto"/>
        <w:left w:val="none" w:sz="0" w:space="0" w:color="auto"/>
        <w:bottom w:val="none" w:sz="0" w:space="0" w:color="auto"/>
        <w:right w:val="none" w:sz="0" w:space="0" w:color="auto"/>
      </w:divBdr>
      <w:divsChild>
        <w:div w:id="1744522506">
          <w:marLeft w:val="0"/>
          <w:marRight w:val="0"/>
          <w:marTop w:val="0"/>
          <w:marBottom w:val="0"/>
          <w:divBdr>
            <w:top w:val="none" w:sz="0" w:space="0" w:color="auto"/>
            <w:left w:val="none" w:sz="0" w:space="0" w:color="auto"/>
            <w:bottom w:val="none" w:sz="0" w:space="0" w:color="auto"/>
            <w:right w:val="none" w:sz="0" w:space="0" w:color="auto"/>
          </w:divBdr>
          <w:divsChild>
            <w:div w:id="1177118837">
              <w:marLeft w:val="0"/>
              <w:marRight w:val="0"/>
              <w:marTop w:val="0"/>
              <w:marBottom w:val="0"/>
              <w:divBdr>
                <w:top w:val="none" w:sz="0" w:space="0" w:color="auto"/>
                <w:left w:val="none" w:sz="0" w:space="0" w:color="auto"/>
                <w:bottom w:val="none" w:sz="0" w:space="0" w:color="auto"/>
                <w:right w:val="none" w:sz="0" w:space="0" w:color="auto"/>
              </w:divBdr>
              <w:divsChild>
                <w:div w:id="984623956">
                  <w:marLeft w:val="0"/>
                  <w:marRight w:val="0"/>
                  <w:marTop w:val="0"/>
                  <w:marBottom w:val="0"/>
                  <w:divBdr>
                    <w:top w:val="none" w:sz="0" w:space="0" w:color="auto"/>
                    <w:left w:val="none" w:sz="0" w:space="0" w:color="auto"/>
                    <w:bottom w:val="none" w:sz="0" w:space="0" w:color="auto"/>
                    <w:right w:val="none" w:sz="0" w:space="0" w:color="auto"/>
                  </w:divBdr>
                  <w:divsChild>
                    <w:div w:id="307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2631">
      <w:bodyDiv w:val="1"/>
      <w:marLeft w:val="0"/>
      <w:marRight w:val="0"/>
      <w:marTop w:val="0"/>
      <w:marBottom w:val="0"/>
      <w:divBdr>
        <w:top w:val="none" w:sz="0" w:space="0" w:color="auto"/>
        <w:left w:val="none" w:sz="0" w:space="0" w:color="auto"/>
        <w:bottom w:val="none" w:sz="0" w:space="0" w:color="auto"/>
        <w:right w:val="none" w:sz="0" w:space="0" w:color="auto"/>
      </w:divBdr>
      <w:divsChild>
        <w:div w:id="1701084149">
          <w:marLeft w:val="0"/>
          <w:marRight w:val="0"/>
          <w:marTop w:val="0"/>
          <w:marBottom w:val="0"/>
          <w:divBdr>
            <w:top w:val="none" w:sz="0" w:space="0" w:color="auto"/>
            <w:left w:val="none" w:sz="0" w:space="0" w:color="auto"/>
            <w:bottom w:val="none" w:sz="0" w:space="0" w:color="auto"/>
            <w:right w:val="none" w:sz="0" w:space="0" w:color="auto"/>
          </w:divBdr>
          <w:divsChild>
            <w:div w:id="2026052012">
              <w:marLeft w:val="0"/>
              <w:marRight w:val="0"/>
              <w:marTop w:val="0"/>
              <w:marBottom w:val="0"/>
              <w:divBdr>
                <w:top w:val="none" w:sz="0" w:space="0" w:color="auto"/>
                <w:left w:val="none" w:sz="0" w:space="0" w:color="auto"/>
                <w:bottom w:val="none" w:sz="0" w:space="0" w:color="auto"/>
                <w:right w:val="none" w:sz="0" w:space="0" w:color="auto"/>
              </w:divBdr>
              <w:divsChild>
                <w:div w:id="2084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2589">
      <w:bodyDiv w:val="1"/>
      <w:marLeft w:val="0"/>
      <w:marRight w:val="0"/>
      <w:marTop w:val="0"/>
      <w:marBottom w:val="0"/>
      <w:divBdr>
        <w:top w:val="none" w:sz="0" w:space="0" w:color="auto"/>
        <w:left w:val="none" w:sz="0" w:space="0" w:color="auto"/>
        <w:bottom w:val="none" w:sz="0" w:space="0" w:color="auto"/>
        <w:right w:val="none" w:sz="0" w:space="0" w:color="auto"/>
      </w:divBdr>
      <w:divsChild>
        <w:div w:id="120072048">
          <w:marLeft w:val="0"/>
          <w:marRight w:val="0"/>
          <w:marTop w:val="0"/>
          <w:marBottom w:val="0"/>
          <w:divBdr>
            <w:top w:val="none" w:sz="0" w:space="0" w:color="auto"/>
            <w:left w:val="none" w:sz="0" w:space="0" w:color="auto"/>
            <w:bottom w:val="none" w:sz="0" w:space="0" w:color="auto"/>
            <w:right w:val="none" w:sz="0" w:space="0" w:color="auto"/>
          </w:divBdr>
          <w:divsChild>
            <w:div w:id="1374961755">
              <w:marLeft w:val="0"/>
              <w:marRight w:val="0"/>
              <w:marTop w:val="0"/>
              <w:marBottom w:val="0"/>
              <w:divBdr>
                <w:top w:val="none" w:sz="0" w:space="0" w:color="auto"/>
                <w:left w:val="none" w:sz="0" w:space="0" w:color="auto"/>
                <w:bottom w:val="none" w:sz="0" w:space="0" w:color="auto"/>
                <w:right w:val="none" w:sz="0" w:space="0" w:color="auto"/>
              </w:divBdr>
              <w:divsChild>
                <w:div w:id="1995522148">
                  <w:marLeft w:val="0"/>
                  <w:marRight w:val="0"/>
                  <w:marTop w:val="0"/>
                  <w:marBottom w:val="0"/>
                  <w:divBdr>
                    <w:top w:val="none" w:sz="0" w:space="0" w:color="auto"/>
                    <w:left w:val="none" w:sz="0" w:space="0" w:color="auto"/>
                    <w:bottom w:val="none" w:sz="0" w:space="0" w:color="auto"/>
                    <w:right w:val="none" w:sz="0" w:space="0" w:color="auto"/>
                  </w:divBdr>
                  <w:divsChild>
                    <w:div w:id="16884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7974">
      <w:bodyDiv w:val="1"/>
      <w:marLeft w:val="0"/>
      <w:marRight w:val="0"/>
      <w:marTop w:val="0"/>
      <w:marBottom w:val="0"/>
      <w:divBdr>
        <w:top w:val="none" w:sz="0" w:space="0" w:color="auto"/>
        <w:left w:val="none" w:sz="0" w:space="0" w:color="auto"/>
        <w:bottom w:val="none" w:sz="0" w:space="0" w:color="auto"/>
        <w:right w:val="none" w:sz="0" w:space="0" w:color="auto"/>
      </w:divBdr>
      <w:divsChild>
        <w:div w:id="179594962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21035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6335">
      <w:bodyDiv w:val="1"/>
      <w:marLeft w:val="0"/>
      <w:marRight w:val="0"/>
      <w:marTop w:val="0"/>
      <w:marBottom w:val="0"/>
      <w:divBdr>
        <w:top w:val="none" w:sz="0" w:space="0" w:color="auto"/>
        <w:left w:val="none" w:sz="0" w:space="0" w:color="auto"/>
        <w:bottom w:val="none" w:sz="0" w:space="0" w:color="auto"/>
        <w:right w:val="none" w:sz="0" w:space="0" w:color="auto"/>
      </w:divBdr>
      <w:divsChild>
        <w:div w:id="701201704">
          <w:marLeft w:val="0"/>
          <w:marRight w:val="0"/>
          <w:marTop w:val="0"/>
          <w:marBottom w:val="0"/>
          <w:divBdr>
            <w:top w:val="none" w:sz="0" w:space="0" w:color="auto"/>
            <w:left w:val="none" w:sz="0" w:space="0" w:color="auto"/>
            <w:bottom w:val="none" w:sz="0" w:space="0" w:color="auto"/>
            <w:right w:val="none" w:sz="0" w:space="0" w:color="auto"/>
          </w:divBdr>
          <w:divsChild>
            <w:div w:id="471096925">
              <w:marLeft w:val="0"/>
              <w:marRight w:val="0"/>
              <w:marTop w:val="0"/>
              <w:marBottom w:val="0"/>
              <w:divBdr>
                <w:top w:val="none" w:sz="0" w:space="0" w:color="auto"/>
                <w:left w:val="none" w:sz="0" w:space="0" w:color="auto"/>
                <w:bottom w:val="none" w:sz="0" w:space="0" w:color="auto"/>
                <w:right w:val="none" w:sz="0" w:space="0" w:color="auto"/>
              </w:divBdr>
              <w:divsChild>
                <w:div w:id="16620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6490">
      <w:bodyDiv w:val="1"/>
      <w:marLeft w:val="0"/>
      <w:marRight w:val="0"/>
      <w:marTop w:val="0"/>
      <w:marBottom w:val="0"/>
      <w:divBdr>
        <w:top w:val="none" w:sz="0" w:space="0" w:color="auto"/>
        <w:left w:val="none" w:sz="0" w:space="0" w:color="auto"/>
        <w:bottom w:val="none" w:sz="0" w:space="0" w:color="auto"/>
        <w:right w:val="none" w:sz="0" w:space="0" w:color="auto"/>
      </w:divBdr>
    </w:div>
    <w:div w:id="199053277">
      <w:bodyDiv w:val="1"/>
      <w:marLeft w:val="0"/>
      <w:marRight w:val="0"/>
      <w:marTop w:val="0"/>
      <w:marBottom w:val="0"/>
      <w:divBdr>
        <w:top w:val="none" w:sz="0" w:space="0" w:color="auto"/>
        <w:left w:val="none" w:sz="0" w:space="0" w:color="auto"/>
        <w:bottom w:val="none" w:sz="0" w:space="0" w:color="auto"/>
        <w:right w:val="none" w:sz="0" w:space="0" w:color="auto"/>
      </w:divBdr>
      <w:divsChild>
        <w:div w:id="107892888">
          <w:marLeft w:val="0"/>
          <w:marRight w:val="0"/>
          <w:marTop w:val="0"/>
          <w:marBottom w:val="0"/>
          <w:divBdr>
            <w:top w:val="none" w:sz="0" w:space="0" w:color="auto"/>
            <w:left w:val="none" w:sz="0" w:space="0" w:color="auto"/>
            <w:bottom w:val="none" w:sz="0" w:space="0" w:color="auto"/>
            <w:right w:val="none" w:sz="0" w:space="0" w:color="auto"/>
          </w:divBdr>
          <w:divsChild>
            <w:div w:id="1943033303">
              <w:marLeft w:val="0"/>
              <w:marRight w:val="0"/>
              <w:marTop w:val="0"/>
              <w:marBottom w:val="0"/>
              <w:divBdr>
                <w:top w:val="none" w:sz="0" w:space="0" w:color="auto"/>
                <w:left w:val="none" w:sz="0" w:space="0" w:color="auto"/>
                <w:bottom w:val="none" w:sz="0" w:space="0" w:color="auto"/>
                <w:right w:val="none" w:sz="0" w:space="0" w:color="auto"/>
              </w:divBdr>
              <w:divsChild>
                <w:div w:id="1694645572">
                  <w:marLeft w:val="0"/>
                  <w:marRight w:val="0"/>
                  <w:marTop w:val="0"/>
                  <w:marBottom w:val="0"/>
                  <w:divBdr>
                    <w:top w:val="none" w:sz="0" w:space="0" w:color="auto"/>
                    <w:left w:val="none" w:sz="0" w:space="0" w:color="auto"/>
                    <w:bottom w:val="none" w:sz="0" w:space="0" w:color="auto"/>
                    <w:right w:val="none" w:sz="0" w:space="0" w:color="auto"/>
                  </w:divBdr>
                </w:div>
              </w:divsChild>
            </w:div>
            <w:div w:id="974530788">
              <w:marLeft w:val="0"/>
              <w:marRight w:val="0"/>
              <w:marTop w:val="0"/>
              <w:marBottom w:val="0"/>
              <w:divBdr>
                <w:top w:val="none" w:sz="0" w:space="0" w:color="auto"/>
                <w:left w:val="none" w:sz="0" w:space="0" w:color="auto"/>
                <w:bottom w:val="none" w:sz="0" w:space="0" w:color="auto"/>
                <w:right w:val="none" w:sz="0" w:space="0" w:color="auto"/>
              </w:divBdr>
              <w:divsChild>
                <w:div w:id="684019175">
                  <w:marLeft w:val="0"/>
                  <w:marRight w:val="0"/>
                  <w:marTop w:val="0"/>
                  <w:marBottom w:val="0"/>
                  <w:divBdr>
                    <w:top w:val="none" w:sz="0" w:space="0" w:color="auto"/>
                    <w:left w:val="none" w:sz="0" w:space="0" w:color="auto"/>
                    <w:bottom w:val="none" w:sz="0" w:space="0" w:color="auto"/>
                    <w:right w:val="none" w:sz="0" w:space="0" w:color="auto"/>
                  </w:divBdr>
                </w:div>
              </w:divsChild>
            </w:div>
            <w:div w:id="1965231520">
              <w:marLeft w:val="0"/>
              <w:marRight w:val="0"/>
              <w:marTop w:val="0"/>
              <w:marBottom w:val="0"/>
              <w:divBdr>
                <w:top w:val="none" w:sz="0" w:space="0" w:color="auto"/>
                <w:left w:val="none" w:sz="0" w:space="0" w:color="auto"/>
                <w:bottom w:val="none" w:sz="0" w:space="0" w:color="auto"/>
                <w:right w:val="none" w:sz="0" w:space="0" w:color="auto"/>
              </w:divBdr>
              <w:divsChild>
                <w:div w:id="1043943726">
                  <w:marLeft w:val="0"/>
                  <w:marRight w:val="0"/>
                  <w:marTop w:val="0"/>
                  <w:marBottom w:val="0"/>
                  <w:divBdr>
                    <w:top w:val="none" w:sz="0" w:space="0" w:color="auto"/>
                    <w:left w:val="none" w:sz="0" w:space="0" w:color="auto"/>
                    <w:bottom w:val="none" w:sz="0" w:space="0" w:color="auto"/>
                    <w:right w:val="none" w:sz="0" w:space="0" w:color="auto"/>
                  </w:divBdr>
                </w:div>
              </w:divsChild>
            </w:div>
            <w:div w:id="239826659">
              <w:marLeft w:val="0"/>
              <w:marRight w:val="0"/>
              <w:marTop w:val="0"/>
              <w:marBottom w:val="0"/>
              <w:divBdr>
                <w:top w:val="none" w:sz="0" w:space="0" w:color="auto"/>
                <w:left w:val="none" w:sz="0" w:space="0" w:color="auto"/>
                <w:bottom w:val="none" w:sz="0" w:space="0" w:color="auto"/>
                <w:right w:val="none" w:sz="0" w:space="0" w:color="auto"/>
              </w:divBdr>
              <w:divsChild>
                <w:div w:id="1337728800">
                  <w:marLeft w:val="0"/>
                  <w:marRight w:val="0"/>
                  <w:marTop w:val="0"/>
                  <w:marBottom w:val="0"/>
                  <w:divBdr>
                    <w:top w:val="none" w:sz="0" w:space="0" w:color="auto"/>
                    <w:left w:val="none" w:sz="0" w:space="0" w:color="auto"/>
                    <w:bottom w:val="none" w:sz="0" w:space="0" w:color="auto"/>
                    <w:right w:val="none" w:sz="0" w:space="0" w:color="auto"/>
                  </w:divBdr>
                </w:div>
              </w:divsChild>
            </w:div>
            <w:div w:id="898202809">
              <w:marLeft w:val="0"/>
              <w:marRight w:val="0"/>
              <w:marTop w:val="0"/>
              <w:marBottom w:val="0"/>
              <w:divBdr>
                <w:top w:val="none" w:sz="0" w:space="0" w:color="auto"/>
                <w:left w:val="none" w:sz="0" w:space="0" w:color="auto"/>
                <w:bottom w:val="none" w:sz="0" w:space="0" w:color="auto"/>
                <w:right w:val="none" w:sz="0" w:space="0" w:color="auto"/>
              </w:divBdr>
              <w:divsChild>
                <w:div w:id="89350869">
                  <w:marLeft w:val="0"/>
                  <w:marRight w:val="0"/>
                  <w:marTop w:val="0"/>
                  <w:marBottom w:val="0"/>
                  <w:divBdr>
                    <w:top w:val="none" w:sz="0" w:space="0" w:color="auto"/>
                    <w:left w:val="none" w:sz="0" w:space="0" w:color="auto"/>
                    <w:bottom w:val="none" w:sz="0" w:space="0" w:color="auto"/>
                    <w:right w:val="none" w:sz="0" w:space="0" w:color="auto"/>
                  </w:divBdr>
                </w:div>
              </w:divsChild>
            </w:div>
            <w:div w:id="2131629730">
              <w:marLeft w:val="0"/>
              <w:marRight w:val="0"/>
              <w:marTop w:val="0"/>
              <w:marBottom w:val="0"/>
              <w:divBdr>
                <w:top w:val="none" w:sz="0" w:space="0" w:color="auto"/>
                <w:left w:val="none" w:sz="0" w:space="0" w:color="auto"/>
                <w:bottom w:val="none" w:sz="0" w:space="0" w:color="auto"/>
                <w:right w:val="none" w:sz="0" w:space="0" w:color="auto"/>
              </w:divBdr>
              <w:divsChild>
                <w:div w:id="1978335292">
                  <w:marLeft w:val="0"/>
                  <w:marRight w:val="0"/>
                  <w:marTop w:val="0"/>
                  <w:marBottom w:val="0"/>
                  <w:divBdr>
                    <w:top w:val="none" w:sz="0" w:space="0" w:color="auto"/>
                    <w:left w:val="none" w:sz="0" w:space="0" w:color="auto"/>
                    <w:bottom w:val="none" w:sz="0" w:space="0" w:color="auto"/>
                    <w:right w:val="none" w:sz="0" w:space="0" w:color="auto"/>
                  </w:divBdr>
                </w:div>
              </w:divsChild>
            </w:div>
            <w:div w:id="1758552591">
              <w:marLeft w:val="0"/>
              <w:marRight w:val="0"/>
              <w:marTop w:val="0"/>
              <w:marBottom w:val="0"/>
              <w:divBdr>
                <w:top w:val="none" w:sz="0" w:space="0" w:color="auto"/>
                <w:left w:val="none" w:sz="0" w:space="0" w:color="auto"/>
                <w:bottom w:val="none" w:sz="0" w:space="0" w:color="auto"/>
                <w:right w:val="none" w:sz="0" w:space="0" w:color="auto"/>
              </w:divBdr>
              <w:divsChild>
                <w:div w:id="1289240480">
                  <w:marLeft w:val="0"/>
                  <w:marRight w:val="0"/>
                  <w:marTop w:val="0"/>
                  <w:marBottom w:val="0"/>
                  <w:divBdr>
                    <w:top w:val="none" w:sz="0" w:space="0" w:color="auto"/>
                    <w:left w:val="none" w:sz="0" w:space="0" w:color="auto"/>
                    <w:bottom w:val="none" w:sz="0" w:space="0" w:color="auto"/>
                    <w:right w:val="none" w:sz="0" w:space="0" w:color="auto"/>
                  </w:divBdr>
                </w:div>
              </w:divsChild>
            </w:div>
            <w:div w:id="777524245">
              <w:marLeft w:val="0"/>
              <w:marRight w:val="0"/>
              <w:marTop w:val="0"/>
              <w:marBottom w:val="0"/>
              <w:divBdr>
                <w:top w:val="none" w:sz="0" w:space="0" w:color="auto"/>
                <w:left w:val="none" w:sz="0" w:space="0" w:color="auto"/>
                <w:bottom w:val="none" w:sz="0" w:space="0" w:color="auto"/>
                <w:right w:val="none" w:sz="0" w:space="0" w:color="auto"/>
              </w:divBdr>
              <w:divsChild>
                <w:div w:id="2563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8388">
          <w:marLeft w:val="0"/>
          <w:marRight w:val="0"/>
          <w:marTop w:val="0"/>
          <w:marBottom w:val="0"/>
          <w:divBdr>
            <w:top w:val="none" w:sz="0" w:space="0" w:color="auto"/>
            <w:left w:val="none" w:sz="0" w:space="0" w:color="auto"/>
            <w:bottom w:val="none" w:sz="0" w:space="0" w:color="auto"/>
            <w:right w:val="none" w:sz="0" w:space="0" w:color="auto"/>
          </w:divBdr>
          <w:divsChild>
            <w:div w:id="709918151">
              <w:marLeft w:val="0"/>
              <w:marRight w:val="0"/>
              <w:marTop w:val="0"/>
              <w:marBottom w:val="0"/>
              <w:divBdr>
                <w:top w:val="none" w:sz="0" w:space="0" w:color="auto"/>
                <w:left w:val="none" w:sz="0" w:space="0" w:color="auto"/>
                <w:bottom w:val="none" w:sz="0" w:space="0" w:color="auto"/>
                <w:right w:val="none" w:sz="0" w:space="0" w:color="auto"/>
              </w:divBdr>
              <w:divsChild>
                <w:div w:id="153107043">
                  <w:marLeft w:val="0"/>
                  <w:marRight w:val="0"/>
                  <w:marTop w:val="0"/>
                  <w:marBottom w:val="0"/>
                  <w:divBdr>
                    <w:top w:val="none" w:sz="0" w:space="0" w:color="auto"/>
                    <w:left w:val="none" w:sz="0" w:space="0" w:color="auto"/>
                    <w:bottom w:val="none" w:sz="0" w:space="0" w:color="auto"/>
                    <w:right w:val="none" w:sz="0" w:space="0" w:color="auto"/>
                  </w:divBdr>
                </w:div>
                <w:div w:id="19743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67524">
      <w:bodyDiv w:val="1"/>
      <w:marLeft w:val="0"/>
      <w:marRight w:val="0"/>
      <w:marTop w:val="0"/>
      <w:marBottom w:val="0"/>
      <w:divBdr>
        <w:top w:val="none" w:sz="0" w:space="0" w:color="auto"/>
        <w:left w:val="none" w:sz="0" w:space="0" w:color="auto"/>
        <w:bottom w:val="none" w:sz="0" w:space="0" w:color="auto"/>
        <w:right w:val="none" w:sz="0" w:space="0" w:color="auto"/>
      </w:divBdr>
    </w:div>
    <w:div w:id="259140168">
      <w:bodyDiv w:val="1"/>
      <w:marLeft w:val="0"/>
      <w:marRight w:val="0"/>
      <w:marTop w:val="0"/>
      <w:marBottom w:val="0"/>
      <w:divBdr>
        <w:top w:val="none" w:sz="0" w:space="0" w:color="auto"/>
        <w:left w:val="none" w:sz="0" w:space="0" w:color="auto"/>
        <w:bottom w:val="none" w:sz="0" w:space="0" w:color="auto"/>
        <w:right w:val="none" w:sz="0" w:space="0" w:color="auto"/>
      </w:divBdr>
      <w:divsChild>
        <w:div w:id="1532764169">
          <w:marLeft w:val="0"/>
          <w:marRight w:val="0"/>
          <w:marTop w:val="0"/>
          <w:marBottom w:val="0"/>
          <w:divBdr>
            <w:top w:val="none" w:sz="0" w:space="0" w:color="auto"/>
            <w:left w:val="none" w:sz="0" w:space="0" w:color="auto"/>
            <w:bottom w:val="none" w:sz="0" w:space="0" w:color="auto"/>
            <w:right w:val="none" w:sz="0" w:space="0" w:color="auto"/>
          </w:divBdr>
          <w:divsChild>
            <w:div w:id="1318222242">
              <w:marLeft w:val="0"/>
              <w:marRight w:val="0"/>
              <w:marTop w:val="0"/>
              <w:marBottom w:val="0"/>
              <w:divBdr>
                <w:top w:val="none" w:sz="0" w:space="0" w:color="auto"/>
                <w:left w:val="none" w:sz="0" w:space="0" w:color="auto"/>
                <w:bottom w:val="none" w:sz="0" w:space="0" w:color="auto"/>
                <w:right w:val="none" w:sz="0" w:space="0" w:color="auto"/>
              </w:divBdr>
              <w:divsChild>
                <w:div w:id="9902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9824">
      <w:bodyDiv w:val="1"/>
      <w:marLeft w:val="0"/>
      <w:marRight w:val="0"/>
      <w:marTop w:val="0"/>
      <w:marBottom w:val="0"/>
      <w:divBdr>
        <w:top w:val="none" w:sz="0" w:space="0" w:color="auto"/>
        <w:left w:val="none" w:sz="0" w:space="0" w:color="auto"/>
        <w:bottom w:val="none" w:sz="0" w:space="0" w:color="auto"/>
        <w:right w:val="none" w:sz="0" w:space="0" w:color="auto"/>
      </w:divBdr>
      <w:divsChild>
        <w:div w:id="1448506172">
          <w:marLeft w:val="0"/>
          <w:marRight w:val="0"/>
          <w:marTop w:val="0"/>
          <w:marBottom w:val="0"/>
          <w:divBdr>
            <w:top w:val="none" w:sz="0" w:space="0" w:color="auto"/>
            <w:left w:val="none" w:sz="0" w:space="0" w:color="auto"/>
            <w:bottom w:val="none" w:sz="0" w:space="0" w:color="auto"/>
            <w:right w:val="none" w:sz="0" w:space="0" w:color="auto"/>
          </w:divBdr>
          <w:divsChild>
            <w:div w:id="1250508033">
              <w:marLeft w:val="0"/>
              <w:marRight w:val="0"/>
              <w:marTop w:val="0"/>
              <w:marBottom w:val="0"/>
              <w:divBdr>
                <w:top w:val="none" w:sz="0" w:space="0" w:color="auto"/>
                <w:left w:val="none" w:sz="0" w:space="0" w:color="auto"/>
                <w:bottom w:val="none" w:sz="0" w:space="0" w:color="auto"/>
                <w:right w:val="none" w:sz="0" w:space="0" w:color="auto"/>
              </w:divBdr>
              <w:divsChild>
                <w:div w:id="45960249">
                  <w:marLeft w:val="0"/>
                  <w:marRight w:val="0"/>
                  <w:marTop w:val="0"/>
                  <w:marBottom w:val="0"/>
                  <w:divBdr>
                    <w:top w:val="none" w:sz="0" w:space="0" w:color="auto"/>
                    <w:left w:val="none" w:sz="0" w:space="0" w:color="auto"/>
                    <w:bottom w:val="none" w:sz="0" w:space="0" w:color="auto"/>
                    <w:right w:val="none" w:sz="0" w:space="0" w:color="auto"/>
                  </w:divBdr>
                </w:div>
              </w:divsChild>
            </w:div>
            <w:div w:id="1443182748">
              <w:marLeft w:val="0"/>
              <w:marRight w:val="0"/>
              <w:marTop w:val="0"/>
              <w:marBottom w:val="0"/>
              <w:divBdr>
                <w:top w:val="none" w:sz="0" w:space="0" w:color="auto"/>
                <w:left w:val="none" w:sz="0" w:space="0" w:color="auto"/>
                <w:bottom w:val="none" w:sz="0" w:space="0" w:color="auto"/>
                <w:right w:val="none" w:sz="0" w:space="0" w:color="auto"/>
              </w:divBdr>
              <w:divsChild>
                <w:div w:id="18583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49795">
          <w:marLeft w:val="0"/>
          <w:marRight w:val="0"/>
          <w:marTop w:val="0"/>
          <w:marBottom w:val="0"/>
          <w:divBdr>
            <w:top w:val="none" w:sz="0" w:space="0" w:color="auto"/>
            <w:left w:val="none" w:sz="0" w:space="0" w:color="auto"/>
            <w:bottom w:val="none" w:sz="0" w:space="0" w:color="auto"/>
            <w:right w:val="none" w:sz="0" w:space="0" w:color="auto"/>
          </w:divBdr>
          <w:divsChild>
            <w:div w:id="1878546236">
              <w:marLeft w:val="0"/>
              <w:marRight w:val="0"/>
              <w:marTop w:val="0"/>
              <w:marBottom w:val="0"/>
              <w:divBdr>
                <w:top w:val="none" w:sz="0" w:space="0" w:color="auto"/>
                <w:left w:val="none" w:sz="0" w:space="0" w:color="auto"/>
                <w:bottom w:val="none" w:sz="0" w:space="0" w:color="auto"/>
                <w:right w:val="none" w:sz="0" w:space="0" w:color="auto"/>
              </w:divBdr>
              <w:divsChild>
                <w:div w:id="1575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9988">
      <w:bodyDiv w:val="1"/>
      <w:marLeft w:val="0"/>
      <w:marRight w:val="0"/>
      <w:marTop w:val="0"/>
      <w:marBottom w:val="0"/>
      <w:divBdr>
        <w:top w:val="none" w:sz="0" w:space="0" w:color="auto"/>
        <w:left w:val="none" w:sz="0" w:space="0" w:color="auto"/>
        <w:bottom w:val="none" w:sz="0" w:space="0" w:color="auto"/>
        <w:right w:val="none" w:sz="0" w:space="0" w:color="auto"/>
      </w:divBdr>
      <w:divsChild>
        <w:div w:id="1272780428">
          <w:marLeft w:val="0"/>
          <w:marRight w:val="0"/>
          <w:marTop w:val="0"/>
          <w:marBottom w:val="0"/>
          <w:divBdr>
            <w:top w:val="none" w:sz="0" w:space="0" w:color="auto"/>
            <w:left w:val="none" w:sz="0" w:space="0" w:color="auto"/>
            <w:bottom w:val="none" w:sz="0" w:space="0" w:color="auto"/>
            <w:right w:val="none" w:sz="0" w:space="0" w:color="auto"/>
          </w:divBdr>
          <w:divsChild>
            <w:div w:id="432630493">
              <w:marLeft w:val="0"/>
              <w:marRight w:val="0"/>
              <w:marTop w:val="0"/>
              <w:marBottom w:val="0"/>
              <w:divBdr>
                <w:top w:val="none" w:sz="0" w:space="0" w:color="auto"/>
                <w:left w:val="none" w:sz="0" w:space="0" w:color="auto"/>
                <w:bottom w:val="none" w:sz="0" w:space="0" w:color="auto"/>
                <w:right w:val="none" w:sz="0" w:space="0" w:color="auto"/>
              </w:divBdr>
              <w:divsChild>
                <w:div w:id="370420112">
                  <w:marLeft w:val="0"/>
                  <w:marRight w:val="0"/>
                  <w:marTop w:val="0"/>
                  <w:marBottom w:val="0"/>
                  <w:divBdr>
                    <w:top w:val="none" w:sz="0" w:space="0" w:color="auto"/>
                    <w:left w:val="none" w:sz="0" w:space="0" w:color="auto"/>
                    <w:bottom w:val="none" w:sz="0" w:space="0" w:color="auto"/>
                    <w:right w:val="none" w:sz="0" w:space="0" w:color="auto"/>
                  </w:divBdr>
                  <w:divsChild>
                    <w:div w:id="13013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6619">
      <w:bodyDiv w:val="1"/>
      <w:marLeft w:val="0"/>
      <w:marRight w:val="0"/>
      <w:marTop w:val="0"/>
      <w:marBottom w:val="0"/>
      <w:divBdr>
        <w:top w:val="none" w:sz="0" w:space="0" w:color="auto"/>
        <w:left w:val="none" w:sz="0" w:space="0" w:color="auto"/>
        <w:bottom w:val="none" w:sz="0" w:space="0" w:color="auto"/>
        <w:right w:val="none" w:sz="0" w:space="0" w:color="auto"/>
      </w:divBdr>
      <w:divsChild>
        <w:div w:id="2055078462">
          <w:marLeft w:val="0"/>
          <w:marRight w:val="0"/>
          <w:marTop w:val="0"/>
          <w:marBottom w:val="0"/>
          <w:divBdr>
            <w:top w:val="none" w:sz="0" w:space="0" w:color="auto"/>
            <w:left w:val="none" w:sz="0" w:space="0" w:color="auto"/>
            <w:bottom w:val="none" w:sz="0" w:space="0" w:color="auto"/>
            <w:right w:val="none" w:sz="0" w:space="0" w:color="auto"/>
          </w:divBdr>
          <w:divsChild>
            <w:div w:id="1390766954">
              <w:marLeft w:val="0"/>
              <w:marRight w:val="0"/>
              <w:marTop w:val="0"/>
              <w:marBottom w:val="0"/>
              <w:divBdr>
                <w:top w:val="none" w:sz="0" w:space="0" w:color="auto"/>
                <w:left w:val="none" w:sz="0" w:space="0" w:color="auto"/>
                <w:bottom w:val="none" w:sz="0" w:space="0" w:color="auto"/>
                <w:right w:val="none" w:sz="0" w:space="0" w:color="auto"/>
              </w:divBdr>
              <w:divsChild>
                <w:div w:id="1710297288">
                  <w:marLeft w:val="0"/>
                  <w:marRight w:val="0"/>
                  <w:marTop w:val="0"/>
                  <w:marBottom w:val="0"/>
                  <w:divBdr>
                    <w:top w:val="none" w:sz="0" w:space="0" w:color="auto"/>
                    <w:left w:val="none" w:sz="0" w:space="0" w:color="auto"/>
                    <w:bottom w:val="none" w:sz="0" w:space="0" w:color="auto"/>
                    <w:right w:val="none" w:sz="0" w:space="0" w:color="auto"/>
                  </w:divBdr>
                </w:div>
              </w:divsChild>
            </w:div>
            <w:div w:id="87117392">
              <w:marLeft w:val="0"/>
              <w:marRight w:val="0"/>
              <w:marTop w:val="0"/>
              <w:marBottom w:val="0"/>
              <w:divBdr>
                <w:top w:val="none" w:sz="0" w:space="0" w:color="auto"/>
                <w:left w:val="none" w:sz="0" w:space="0" w:color="auto"/>
                <w:bottom w:val="none" w:sz="0" w:space="0" w:color="auto"/>
                <w:right w:val="none" w:sz="0" w:space="0" w:color="auto"/>
              </w:divBdr>
              <w:divsChild>
                <w:div w:id="1732655235">
                  <w:marLeft w:val="0"/>
                  <w:marRight w:val="0"/>
                  <w:marTop w:val="0"/>
                  <w:marBottom w:val="0"/>
                  <w:divBdr>
                    <w:top w:val="none" w:sz="0" w:space="0" w:color="auto"/>
                    <w:left w:val="none" w:sz="0" w:space="0" w:color="auto"/>
                    <w:bottom w:val="none" w:sz="0" w:space="0" w:color="auto"/>
                    <w:right w:val="none" w:sz="0" w:space="0" w:color="auto"/>
                  </w:divBdr>
                </w:div>
                <w:div w:id="3124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6797">
          <w:marLeft w:val="0"/>
          <w:marRight w:val="0"/>
          <w:marTop w:val="0"/>
          <w:marBottom w:val="0"/>
          <w:divBdr>
            <w:top w:val="none" w:sz="0" w:space="0" w:color="auto"/>
            <w:left w:val="none" w:sz="0" w:space="0" w:color="auto"/>
            <w:bottom w:val="none" w:sz="0" w:space="0" w:color="auto"/>
            <w:right w:val="none" w:sz="0" w:space="0" w:color="auto"/>
          </w:divBdr>
          <w:divsChild>
            <w:div w:id="1583755078">
              <w:marLeft w:val="0"/>
              <w:marRight w:val="0"/>
              <w:marTop w:val="0"/>
              <w:marBottom w:val="0"/>
              <w:divBdr>
                <w:top w:val="none" w:sz="0" w:space="0" w:color="auto"/>
                <w:left w:val="none" w:sz="0" w:space="0" w:color="auto"/>
                <w:bottom w:val="none" w:sz="0" w:space="0" w:color="auto"/>
                <w:right w:val="none" w:sz="0" w:space="0" w:color="auto"/>
              </w:divBdr>
              <w:divsChild>
                <w:div w:id="365838913">
                  <w:marLeft w:val="0"/>
                  <w:marRight w:val="0"/>
                  <w:marTop w:val="0"/>
                  <w:marBottom w:val="0"/>
                  <w:divBdr>
                    <w:top w:val="none" w:sz="0" w:space="0" w:color="auto"/>
                    <w:left w:val="none" w:sz="0" w:space="0" w:color="auto"/>
                    <w:bottom w:val="none" w:sz="0" w:space="0" w:color="auto"/>
                    <w:right w:val="none" w:sz="0" w:space="0" w:color="auto"/>
                  </w:divBdr>
                </w:div>
              </w:divsChild>
            </w:div>
            <w:div w:id="930621918">
              <w:marLeft w:val="0"/>
              <w:marRight w:val="0"/>
              <w:marTop w:val="0"/>
              <w:marBottom w:val="0"/>
              <w:divBdr>
                <w:top w:val="none" w:sz="0" w:space="0" w:color="auto"/>
                <w:left w:val="none" w:sz="0" w:space="0" w:color="auto"/>
                <w:bottom w:val="none" w:sz="0" w:space="0" w:color="auto"/>
                <w:right w:val="none" w:sz="0" w:space="0" w:color="auto"/>
              </w:divBdr>
              <w:divsChild>
                <w:div w:id="8425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0973">
      <w:bodyDiv w:val="1"/>
      <w:marLeft w:val="0"/>
      <w:marRight w:val="0"/>
      <w:marTop w:val="0"/>
      <w:marBottom w:val="0"/>
      <w:divBdr>
        <w:top w:val="none" w:sz="0" w:space="0" w:color="auto"/>
        <w:left w:val="none" w:sz="0" w:space="0" w:color="auto"/>
        <w:bottom w:val="none" w:sz="0" w:space="0" w:color="auto"/>
        <w:right w:val="none" w:sz="0" w:space="0" w:color="auto"/>
      </w:divBdr>
    </w:div>
    <w:div w:id="464279693">
      <w:bodyDiv w:val="1"/>
      <w:marLeft w:val="0"/>
      <w:marRight w:val="0"/>
      <w:marTop w:val="0"/>
      <w:marBottom w:val="0"/>
      <w:divBdr>
        <w:top w:val="none" w:sz="0" w:space="0" w:color="auto"/>
        <w:left w:val="none" w:sz="0" w:space="0" w:color="auto"/>
        <w:bottom w:val="none" w:sz="0" w:space="0" w:color="auto"/>
        <w:right w:val="none" w:sz="0" w:space="0" w:color="auto"/>
      </w:divBdr>
      <w:divsChild>
        <w:div w:id="709375694">
          <w:marLeft w:val="0"/>
          <w:marRight w:val="0"/>
          <w:marTop w:val="0"/>
          <w:marBottom w:val="0"/>
          <w:divBdr>
            <w:top w:val="none" w:sz="0" w:space="0" w:color="auto"/>
            <w:left w:val="none" w:sz="0" w:space="0" w:color="auto"/>
            <w:bottom w:val="none" w:sz="0" w:space="0" w:color="auto"/>
            <w:right w:val="none" w:sz="0" w:space="0" w:color="auto"/>
          </w:divBdr>
          <w:divsChild>
            <w:div w:id="1673752802">
              <w:marLeft w:val="0"/>
              <w:marRight w:val="0"/>
              <w:marTop w:val="0"/>
              <w:marBottom w:val="0"/>
              <w:divBdr>
                <w:top w:val="none" w:sz="0" w:space="0" w:color="auto"/>
                <w:left w:val="none" w:sz="0" w:space="0" w:color="auto"/>
                <w:bottom w:val="none" w:sz="0" w:space="0" w:color="auto"/>
                <w:right w:val="none" w:sz="0" w:space="0" w:color="auto"/>
              </w:divBdr>
              <w:divsChild>
                <w:div w:id="21350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8710">
      <w:bodyDiv w:val="1"/>
      <w:marLeft w:val="0"/>
      <w:marRight w:val="0"/>
      <w:marTop w:val="0"/>
      <w:marBottom w:val="0"/>
      <w:divBdr>
        <w:top w:val="none" w:sz="0" w:space="0" w:color="auto"/>
        <w:left w:val="none" w:sz="0" w:space="0" w:color="auto"/>
        <w:bottom w:val="none" w:sz="0" w:space="0" w:color="auto"/>
        <w:right w:val="none" w:sz="0" w:space="0" w:color="auto"/>
      </w:divBdr>
      <w:divsChild>
        <w:div w:id="29385852">
          <w:marLeft w:val="0"/>
          <w:marRight w:val="0"/>
          <w:marTop w:val="0"/>
          <w:marBottom w:val="0"/>
          <w:divBdr>
            <w:top w:val="none" w:sz="0" w:space="0" w:color="auto"/>
            <w:left w:val="none" w:sz="0" w:space="0" w:color="auto"/>
            <w:bottom w:val="none" w:sz="0" w:space="0" w:color="auto"/>
            <w:right w:val="none" w:sz="0" w:space="0" w:color="auto"/>
          </w:divBdr>
          <w:divsChild>
            <w:div w:id="838231350">
              <w:marLeft w:val="0"/>
              <w:marRight w:val="0"/>
              <w:marTop w:val="0"/>
              <w:marBottom w:val="0"/>
              <w:divBdr>
                <w:top w:val="none" w:sz="0" w:space="0" w:color="auto"/>
                <w:left w:val="none" w:sz="0" w:space="0" w:color="auto"/>
                <w:bottom w:val="none" w:sz="0" w:space="0" w:color="auto"/>
                <w:right w:val="none" w:sz="0" w:space="0" w:color="auto"/>
              </w:divBdr>
              <w:divsChild>
                <w:div w:id="18132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2699">
      <w:bodyDiv w:val="1"/>
      <w:marLeft w:val="0"/>
      <w:marRight w:val="0"/>
      <w:marTop w:val="0"/>
      <w:marBottom w:val="0"/>
      <w:divBdr>
        <w:top w:val="none" w:sz="0" w:space="0" w:color="auto"/>
        <w:left w:val="none" w:sz="0" w:space="0" w:color="auto"/>
        <w:bottom w:val="none" w:sz="0" w:space="0" w:color="auto"/>
        <w:right w:val="none" w:sz="0" w:space="0" w:color="auto"/>
      </w:divBdr>
    </w:div>
    <w:div w:id="571815136">
      <w:bodyDiv w:val="1"/>
      <w:marLeft w:val="0"/>
      <w:marRight w:val="0"/>
      <w:marTop w:val="0"/>
      <w:marBottom w:val="0"/>
      <w:divBdr>
        <w:top w:val="none" w:sz="0" w:space="0" w:color="auto"/>
        <w:left w:val="none" w:sz="0" w:space="0" w:color="auto"/>
        <w:bottom w:val="none" w:sz="0" w:space="0" w:color="auto"/>
        <w:right w:val="none" w:sz="0" w:space="0" w:color="auto"/>
      </w:divBdr>
      <w:divsChild>
        <w:div w:id="987898249">
          <w:marLeft w:val="0"/>
          <w:marRight w:val="0"/>
          <w:marTop w:val="0"/>
          <w:marBottom w:val="0"/>
          <w:divBdr>
            <w:top w:val="none" w:sz="0" w:space="0" w:color="auto"/>
            <w:left w:val="none" w:sz="0" w:space="0" w:color="auto"/>
            <w:bottom w:val="none" w:sz="0" w:space="0" w:color="auto"/>
            <w:right w:val="none" w:sz="0" w:space="0" w:color="auto"/>
          </w:divBdr>
          <w:divsChild>
            <w:div w:id="1691294426">
              <w:marLeft w:val="0"/>
              <w:marRight w:val="0"/>
              <w:marTop w:val="0"/>
              <w:marBottom w:val="0"/>
              <w:divBdr>
                <w:top w:val="none" w:sz="0" w:space="0" w:color="auto"/>
                <w:left w:val="none" w:sz="0" w:space="0" w:color="auto"/>
                <w:bottom w:val="none" w:sz="0" w:space="0" w:color="auto"/>
                <w:right w:val="none" w:sz="0" w:space="0" w:color="auto"/>
              </w:divBdr>
              <w:divsChild>
                <w:div w:id="17600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8249">
      <w:bodyDiv w:val="1"/>
      <w:marLeft w:val="0"/>
      <w:marRight w:val="0"/>
      <w:marTop w:val="0"/>
      <w:marBottom w:val="0"/>
      <w:divBdr>
        <w:top w:val="none" w:sz="0" w:space="0" w:color="auto"/>
        <w:left w:val="none" w:sz="0" w:space="0" w:color="auto"/>
        <w:bottom w:val="none" w:sz="0" w:space="0" w:color="auto"/>
        <w:right w:val="none" w:sz="0" w:space="0" w:color="auto"/>
      </w:divBdr>
      <w:divsChild>
        <w:div w:id="729353391">
          <w:marLeft w:val="0"/>
          <w:marRight w:val="0"/>
          <w:marTop w:val="0"/>
          <w:marBottom w:val="0"/>
          <w:divBdr>
            <w:top w:val="none" w:sz="0" w:space="0" w:color="auto"/>
            <w:left w:val="none" w:sz="0" w:space="0" w:color="auto"/>
            <w:bottom w:val="none" w:sz="0" w:space="0" w:color="auto"/>
            <w:right w:val="none" w:sz="0" w:space="0" w:color="auto"/>
          </w:divBdr>
          <w:divsChild>
            <w:div w:id="47458291">
              <w:marLeft w:val="0"/>
              <w:marRight w:val="0"/>
              <w:marTop w:val="0"/>
              <w:marBottom w:val="0"/>
              <w:divBdr>
                <w:top w:val="none" w:sz="0" w:space="0" w:color="auto"/>
                <w:left w:val="none" w:sz="0" w:space="0" w:color="auto"/>
                <w:bottom w:val="none" w:sz="0" w:space="0" w:color="auto"/>
                <w:right w:val="none" w:sz="0" w:space="0" w:color="auto"/>
              </w:divBdr>
              <w:divsChild>
                <w:div w:id="19557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9455">
          <w:marLeft w:val="0"/>
          <w:marRight w:val="0"/>
          <w:marTop w:val="0"/>
          <w:marBottom w:val="0"/>
          <w:divBdr>
            <w:top w:val="none" w:sz="0" w:space="0" w:color="auto"/>
            <w:left w:val="none" w:sz="0" w:space="0" w:color="auto"/>
            <w:bottom w:val="none" w:sz="0" w:space="0" w:color="auto"/>
            <w:right w:val="none" w:sz="0" w:space="0" w:color="auto"/>
          </w:divBdr>
          <w:divsChild>
            <w:div w:id="1148326782">
              <w:marLeft w:val="0"/>
              <w:marRight w:val="0"/>
              <w:marTop w:val="0"/>
              <w:marBottom w:val="0"/>
              <w:divBdr>
                <w:top w:val="none" w:sz="0" w:space="0" w:color="auto"/>
                <w:left w:val="none" w:sz="0" w:space="0" w:color="auto"/>
                <w:bottom w:val="none" w:sz="0" w:space="0" w:color="auto"/>
                <w:right w:val="none" w:sz="0" w:space="0" w:color="auto"/>
              </w:divBdr>
              <w:divsChild>
                <w:div w:id="357128270">
                  <w:marLeft w:val="0"/>
                  <w:marRight w:val="0"/>
                  <w:marTop w:val="0"/>
                  <w:marBottom w:val="0"/>
                  <w:divBdr>
                    <w:top w:val="none" w:sz="0" w:space="0" w:color="auto"/>
                    <w:left w:val="none" w:sz="0" w:space="0" w:color="auto"/>
                    <w:bottom w:val="none" w:sz="0" w:space="0" w:color="auto"/>
                    <w:right w:val="none" w:sz="0" w:space="0" w:color="auto"/>
                  </w:divBdr>
                  <w:divsChild>
                    <w:div w:id="763233688">
                      <w:marLeft w:val="0"/>
                      <w:marRight w:val="0"/>
                      <w:marTop w:val="0"/>
                      <w:marBottom w:val="0"/>
                      <w:divBdr>
                        <w:top w:val="none" w:sz="0" w:space="0" w:color="auto"/>
                        <w:left w:val="none" w:sz="0" w:space="0" w:color="auto"/>
                        <w:bottom w:val="none" w:sz="0" w:space="0" w:color="auto"/>
                        <w:right w:val="none" w:sz="0" w:space="0" w:color="auto"/>
                      </w:divBdr>
                    </w:div>
                  </w:divsChild>
                </w:div>
                <w:div w:id="929311855">
                  <w:marLeft w:val="0"/>
                  <w:marRight w:val="0"/>
                  <w:marTop w:val="0"/>
                  <w:marBottom w:val="0"/>
                  <w:divBdr>
                    <w:top w:val="none" w:sz="0" w:space="0" w:color="auto"/>
                    <w:left w:val="none" w:sz="0" w:space="0" w:color="auto"/>
                    <w:bottom w:val="none" w:sz="0" w:space="0" w:color="auto"/>
                    <w:right w:val="none" w:sz="0" w:space="0" w:color="auto"/>
                  </w:divBdr>
                  <w:divsChild>
                    <w:div w:id="10567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195">
              <w:marLeft w:val="0"/>
              <w:marRight w:val="0"/>
              <w:marTop w:val="0"/>
              <w:marBottom w:val="0"/>
              <w:divBdr>
                <w:top w:val="none" w:sz="0" w:space="0" w:color="auto"/>
                <w:left w:val="none" w:sz="0" w:space="0" w:color="auto"/>
                <w:bottom w:val="none" w:sz="0" w:space="0" w:color="auto"/>
                <w:right w:val="none" w:sz="0" w:space="0" w:color="auto"/>
              </w:divBdr>
              <w:divsChild>
                <w:div w:id="154417369">
                  <w:marLeft w:val="0"/>
                  <w:marRight w:val="0"/>
                  <w:marTop w:val="0"/>
                  <w:marBottom w:val="0"/>
                  <w:divBdr>
                    <w:top w:val="none" w:sz="0" w:space="0" w:color="auto"/>
                    <w:left w:val="none" w:sz="0" w:space="0" w:color="auto"/>
                    <w:bottom w:val="none" w:sz="0" w:space="0" w:color="auto"/>
                    <w:right w:val="none" w:sz="0" w:space="0" w:color="auto"/>
                  </w:divBdr>
                  <w:divsChild>
                    <w:div w:id="17721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0446">
          <w:marLeft w:val="0"/>
          <w:marRight w:val="0"/>
          <w:marTop w:val="0"/>
          <w:marBottom w:val="0"/>
          <w:divBdr>
            <w:top w:val="none" w:sz="0" w:space="0" w:color="auto"/>
            <w:left w:val="none" w:sz="0" w:space="0" w:color="auto"/>
            <w:bottom w:val="none" w:sz="0" w:space="0" w:color="auto"/>
            <w:right w:val="none" w:sz="0" w:space="0" w:color="auto"/>
          </w:divBdr>
          <w:divsChild>
            <w:div w:id="625433752">
              <w:marLeft w:val="0"/>
              <w:marRight w:val="0"/>
              <w:marTop w:val="0"/>
              <w:marBottom w:val="0"/>
              <w:divBdr>
                <w:top w:val="none" w:sz="0" w:space="0" w:color="auto"/>
                <w:left w:val="none" w:sz="0" w:space="0" w:color="auto"/>
                <w:bottom w:val="none" w:sz="0" w:space="0" w:color="auto"/>
                <w:right w:val="none" w:sz="0" w:space="0" w:color="auto"/>
              </w:divBdr>
              <w:divsChild>
                <w:div w:id="2136677559">
                  <w:marLeft w:val="0"/>
                  <w:marRight w:val="0"/>
                  <w:marTop w:val="0"/>
                  <w:marBottom w:val="0"/>
                  <w:divBdr>
                    <w:top w:val="none" w:sz="0" w:space="0" w:color="auto"/>
                    <w:left w:val="none" w:sz="0" w:space="0" w:color="auto"/>
                    <w:bottom w:val="none" w:sz="0" w:space="0" w:color="auto"/>
                    <w:right w:val="none" w:sz="0" w:space="0" w:color="auto"/>
                  </w:divBdr>
                  <w:divsChild>
                    <w:div w:id="8753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25231">
      <w:bodyDiv w:val="1"/>
      <w:marLeft w:val="0"/>
      <w:marRight w:val="0"/>
      <w:marTop w:val="0"/>
      <w:marBottom w:val="0"/>
      <w:divBdr>
        <w:top w:val="none" w:sz="0" w:space="0" w:color="auto"/>
        <w:left w:val="none" w:sz="0" w:space="0" w:color="auto"/>
        <w:bottom w:val="none" w:sz="0" w:space="0" w:color="auto"/>
        <w:right w:val="none" w:sz="0" w:space="0" w:color="auto"/>
      </w:divBdr>
    </w:div>
    <w:div w:id="676074381">
      <w:bodyDiv w:val="1"/>
      <w:marLeft w:val="0"/>
      <w:marRight w:val="0"/>
      <w:marTop w:val="0"/>
      <w:marBottom w:val="0"/>
      <w:divBdr>
        <w:top w:val="none" w:sz="0" w:space="0" w:color="auto"/>
        <w:left w:val="none" w:sz="0" w:space="0" w:color="auto"/>
        <w:bottom w:val="none" w:sz="0" w:space="0" w:color="auto"/>
        <w:right w:val="none" w:sz="0" w:space="0" w:color="auto"/>
      </w:divBdr>
      <w:divsChild>
        <w:div w:id="1375154567">
          <w:marLeft w:val="0"/>
          <w:marRight w:val="0"/>
          <w:marTop w:val="0"/>
          <w:marBottom w:val="0"/>
          <w:divBdr>
            <w:top w:val="none" w:sz="0" w:space="0" w:color="auto"/>
            <w:left w:val="none" w:sz="0" w:space="0" w:color="auto"/>
            <w:bottom w:val="none" w:sz="0" w:space="0" w:color="auto"/>
            <w:right w:val="none" w:sz="0" w:space="0" w:color="auto"/>
          </w:divBdr>
          <w:divsChild>
            <w:div w:id="1568569988">
              <w:marLeft w:val="0"/>
              <w:marRight w:val="0"/>
              <w:marTop w:val="0"/>
              <w:marBottom w:val="0"/>
              <w:divBdr>
                <w:top w:val="none" w:sz="0" w:space="0" w:color="auto"/>
                <w:left w:val="none" w:sz="0" w:space="0" w:color="auto"/>
                <w:bottom w:val="none" w:sz="0" w:space="0" w:color="auto"/>
                <w:right w:val="none" w:sz="0" w:space="0" w:color="auto"/>
              </w:divBdr>
              <w:divsChild>
                <w:div w:id="18670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81914">
      <w:bodyDiv w:val="1"/>
      <w:marLeft w:val="0"/>
      <w:marRight w:val="0"/>
      <w:marTop w:val="0"/>
      <w:marBottom w:val="0"/>
      <w:divBdr>
        <w:top w:val="none" w:sz="0" w:space="0" w:color="auto"/>
        <w:left w:val="none" w:sz="0" w:space="0" w:color="auto"/>
        <w:bottom w:val="none" w:sz="0" w:space="0" w:color="auto"/>
        <w:right w:val="none" w:sz="0" w:space="0" w:color="auto"/>
      </w:divBdr>
      <w:divsChild>
        <w:div w:id="204415883">
          <w:marLeft w:val="0"/>
          <w:marRight w:val="0"/>
          <w:marTop w:val="0"/>
          <w:marBottom w:val="0"/>
          <w:divBdr>
            <w:top w:val="none" w:sz="0" w:space="0" w:color="auto"/>
            <w:left w:val="none" w:sz="0" w:space="0" w:color="auto"/>
            <w:bottom w:val="none" w:sz="0" w:space="0" w:color="auto"/>
            <w:right w:val="none" w:sz="0" w:space="0" w:color="auto"/>
          </w:divBdr>
          <w:divsChild>
            <w:div w:id="733508263">
              <w:marLeft w:val="0"/>
              <w:marRight w:val="0"/>
              <w:marTop w:val="0"/>
              <w:marBottom w:val="0"/>
              <w:divBdr>
                <w:top w:val="none" w:sz="0" w:space="0" w:color="auto"/>
                <w:left w:val="none" w:sz="0" w:space="0" w:color="auto"/>
                <w:bottom w:val="none" w:sz="0" w:space="0" w:color="auto"/>
                <w:right w:val="none" w:sz="0" w:space="0" w:color="auto"/>
              </w:divBdr>
              <w:divsChild>
                <w:div w:id="469636746">
                  <w:marLeft w:val="0"/>
                  <w:marRight w:val="0"/>
                  <w:marTop w:val="0"/>
                  <w:marBottom w:val="0"/>
                  <w:divBdr>
                    <w:top w:val="none" w:sz="0" w:space="0" w:color="auto"/>
                    <w:left w:val="none" w:sz="0" w:space="0" w:color="auto"/>
                    <w:bottom w:val="none" w:sz="0" w:space="0" w:color="auto"/>
                    <w:right w:val="none" w:sz="0" w:space="0" w:color="auto"/>
                  </w:divBdr>
                  <w:divsChild>
                    <w:div w:id="632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53541">
      <w:bodyDiv w:val="1"/>
      <w:marLeft w:val="0"/>
      <w:marRight w:val="0"/>
      <w:marTop w:val="0"/>
      <w:marBottom w:val="0"/>
      <w:divBdr>
        <w:top w:val="none" w:sz="0" w:space="0" w:color="auto"/>
        <w:left w:val="none" w:sz="0" w:space="0" w:color="auto"/>
        <w:bottom w:val="none" w:sz="0" w:space="0" w:color="auto"/>
        <w:right w:val="none" w:sz="0" w:space="0" w:color="auto"/>
      </w:divBdr>
    </w:div>
    <w:div w:id="739866481">
      <w:bodyDiv w:val="1"/>
      <w:marLeft w:val="0"/>
      <w:marRight w:val="0"/>
      <w:marTop w:val="0"/>
      <w:marBottom w:val="0"/>
      <w:divBdr>
        <w:top w:val="none" w:sz="0" w:space="0" w:color="auto"/>
        <w:left w:val="none" w:sz="0" w:space="0" w:color="auto"/>
        <w:bottom w:val="none" w:sz="0" w:space="0" w:color="auto"/>
        <w:right w:val="none" w:sz="0" w:space="0" w:color="auto"/>
      </w:divBdr>
      <w:divsChild>
        <w:div w:id="810173689">
          <w:marLeft w:val="0"/>
          <w:marRight w:val="0"/>
          <w:marTop w:val="0"/>
          <w:marBottom w:val="0"/>
          <w:divBdr>
            <w:top w:val="none" w:sz="0" w:space="0" w:color="auto"/>
            <w:left w:val="none" w:sz="0" w:space="0" w:color="auto"/>
            <w:bottom w:val="none" w:sz="0" w:space="0" w:color="auto"/>
            <w:right w:val="none" w:sz="0" w:space="0" w:color="auto"/>
          </w:divBdr>
          <w:divsChild>
            <w:div w:id="1979219364">
              <w:marLeft w:val="0"/>
              <w:marRight w:val="0"/>
              <w:marTop w:val="0"/>
              <w:marBottom w:val="0"/>
              <w:divBdr>
                <w:top w:val="none" w:sz="0" w:space="0" w:color="auto"/>
                <w:left w:val="none" w:sz="0" w:space="0" w:color="auto"/>
                <w:bottom w:val="none" w:sz="0" w:space="0" w:color="auto"/>
                <w:right w:val="none" w:sz="0" w:space="0" w:color="auto"/>
              </w:divBdr>
              <w:divsChild>
                <w:div w:id="19031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1430">
      <w:bodyDiv w:val="1"/>
      <w:marLeft w:val="0"/>
      <w:marRight w:val="0"/>
      <w:marTop w:val="0"/>
      <w:marBottom w:val="0"/>
      <w:divBdr>
        <w:top w:val="none" w:sz="0" w:space="0" w:color="auto"/>
        <w:left w:val="none" w:sz="0" w:space="0" w:color="auto"/>
        <w:bottom w:val="none" w:sz="0" w:space="0" w:color="auto"/>
        <w:right w:val="none" w:sz="0" w:space="0" w:color="auto"/>
      </w:divBdr>
      <w:divsChild>
        <w:div w:id="180825206">
          <w:marLeft w:val="0"/>
          <w:marRight w:val="0"/>
          <w:marTop w:val="0"/>
          <w:marBottom w:val="0"/>
          <w:divBdr>
            <w:top w:val="none" w:sz="0" w:space="0" w:color="auto"/>
            <w:left w:val="none" w:sz="0" w:space="0" w:color="auto"/>
            <w:bottom w:val="none" w:sz="0" w:space="0" w:color="auto"/>
            <w:right w:val="none" w:sz="0" w:space="0" w:color="auto"/>
          </w:divBdr>
          <w:divsChild>
            <w:div w:id="603195166">
              <w:marLeft w:val="0"/>
              <w:marRight w:val="0"/>
              <w:marTop w:val="0"/>
              <w:marBottom w:val="0"/>
              <w:divBdr>
                <w:top w:val="none" w:sz="0" w:space="0" w:color="auto"/>
                <w:left w:val="none" w:sz="0" w:space="0" w:color="auto"/>
                <w:bottom w:val="none" w:sz="0" w:space="0" w:color="auto"/>
                <w:right w:val="none" w:sz="0" w:space="0" w:color="auto"/>
              </w:divBdr>
              <w:divsChild>
                <w:div w:id="1922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4047">
      <w:bodyDiv w:val="1"/>
      <w:marLeft w:val="0"/>
      <w:marRight w:val="0"/>
      <w:marTop w:val="0"/>
      <w:marBottom w:val="0"/>
      <w:divBdr>
        <w:top w:val="none" w:sz="0" w:space="0" w:color="auto"/>
        <w:left w:val="none" w:sz="0" w:space="0" w:color="auto"/>
        <w:bottom w:val="none" w:sz="0" w:space="0" w:color="auto"/>
        <w:right w:val="none" w:sz="0" w:space="0" w:color="auto"/>
      </w:divBdr>
      <w:divsChild>
        <w:div w:id="851841827">
          <w:marLeft w:val="0"/>
          <w:marRight w:val="0"/>
          <w:marTop w:val="0"/>
          <w:marBottom w:val="0"/>
          <w:divBdr>
            <w:top w:val="none" w:sz="0" w:space="0" w:color="auto"/>
            <w:left w:val="none" w:sz="0" w:space="0" w:color="auto"/>
            <w:bottom w:val="none" w:sz="0" w:space="0" w:color="auto"/>
            <w:right w:val="none" w:sz="0" w:space="0" w:color="auto"/>
          </w:divBdr>
          <w:divsChild>
            <w:div w:id="739251726">
              <w:marLeft w:val="0"/>
              <w:marRight w:val="0"/>
              <w:marTop w:val="0"/>
              <w:marBottom w:val="0"/>
              <w:divBdr>
                <w:top w:val="none" w:sz="0" w:space="0" w:color="auto"/>
                <w:left w:val="none" w:sz="0" w:space="0" w:color="auto"/>
                <w:bottom w:val="none" w:sz="0" w:space="0" w:color="auto"/>
                <w:right w:val="none" w:sz="0" w:space="0" w:color="auto"/>
              </w:divBdr>
              <w:divsChild>
                <w:div w:id="1151556559">
                  <w:marLeft w:val="0"/>
                  <w:marRight w:val="0"/>
                  <w:marTop w:val="0"/>
                  <w:marBottom w:val="0"/>
                  <w:divBdr>
                    <w:top w:val="none" w:sz="0" w:space="0" w:color="auto"/>
                    <w:left w:val="none" w:sz="0" w:space="0" w:color="auto"/>
                    <w:bottom w:val="none" w:sz="0" w:space="0" w:color="auto"/>
                    <w:right w:val="none" w:sz="0" w:space="0" w:color="auto"/>
                  </w:divBdr>
                  <w:divsChild>
                    <w:div w:id="5269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5747">
      <w:bodyDiv w:val="1"/>
      <w:marLeft w:val="0"/>
      <w:marRight w:val="0"/>
      <w:marTop w:val="0"/>
      <w:marBottom w:val="0"/>
      <w:divBdr>
        <w:top w:val="none" w:sz="0" w:space="0" w:color="auto"/>
        <w:left w:val="none" w:sz="0" w:space="0" w:color="auto"/>
        <w:bottom w:val="none" w:sz="0" w:space="0" w:color="auto"/>
        <w:right w:val="none" w:sz="0" w:space="0" w:color="auto"/>
      </w:divBdr>
      <w:divsChild>
        <w:div w:id="1886940129">
          <w:marLeft w:val="0"/>
          <w:marRight w:val="0"/>
          <w:marTop w:val="0"/>
          <w:marBottom w:val="0"/>
          <w:divBdr>
            <w:top w:val="none" w:sz="0" w:space="0" w:color="auto"/>
            <w:left w:val="none" w:sz="0" w:space="0" w:color="auto"/>
            <w:bottom w:val="none" w:sz="0" w:space="0" w:color="auto"/>
            <w:right w:val="none" w:sz="0" w:space="0" w:color="auto"/>
          </w:divBdr>
          <w:divsChild>
            <w:div w:id="1182670383">
              <w:marLeft w:val="0"/>
              <w:marRight w:val="0"/>
              <w:marTop w:val="0"/>
              <w:marBottom w:val="0"/>
              <w:divBdr>
                <w:top w:val="none" w:sz="0" w:space="0" w:color="auto"/>
                <w:left w:val="none" w:sz="0" w:space="0" w:color="auto"/>
                <w:bottom w:val="none" w:sz="0" w:space="0" w:color="auto"/>
                <w:right w:val="none" w:sz="0" w:space="0" w:color="auto"/>
              </w:divBdr>
              <w:divsChild>
                <w:div w:id="10089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28068">
      <w:bodyDiv w:val="1"/>
      <w:marLeft w:val="0"/>
      <w:marRight w:val="0"/>
      <w:marTop w:val="0"/>
      <w:marBottom w:val="0"/>
      <w:divBdr>
        <w:top w:val="none" w:sz="0" w:space="0" w:color="auto"/>
        <w:left w:val="none" w:sz="0" w:space="0" w:color="auto"/>
        <w:bottom w:val="none" w:sz="0" w:space="0" w:color="auto"/>
        <w:right w:val="none" w:sz="0" w:space="0" w:color="auto"/>
      </w:divBdr>
      <w:divsChild>
        <w:div w:id="1469517449">
          <w:marLeft w:val="0"/>
          <w:marRight w:val="0"/>
          <w:marTop w:val="0"/>
          <w:marBottom w:val="0"/>
          <w:divBdr>
            <w:top w:val="none" w:sz="0" w:space="0" w:color="auto"/>
            <w:left w:val="none" w:sz="0" w:space="0" w:color="auto"/>
            <w:bottom w:val="none" w:sz="0" w:space="0" w:color="auto"/>
            <w:right w:val="none" w:sz="0" w:space="0" w:color="auto"/>
          </w:divBdr>
          <w:divsChild>
            <w:div w:id="2122143068">
              <w:marLeft w:val="0"/>
              <w:marRight w:val="0"/>
              <w:marTop w:val="0"/>
              <w:marBottom w:val="0"/>
              <w:divBdr>
                <w:top w:val="none" w:sz="0" w:space="0" w:color="auto"/>
                <w:left w:val="none" w:sz="0" w:space="0" w:color="auto"/>
                <w:bottom w:val="none" w:sz="0" w:space="0" w:color="auto"/>
                <w:right w:val="none" w:sz="0" w:space="0" w:color="auto"/>
              </w:divBdr>
              <w:divsChild>
                <w:div w:id="16453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8518">
      <w:bodyDiv w:val="1"/>
      <w:marLeft w:val="0"/>
      <w:marRight w:val="0"/>
      <w:marTop w:val="0"/>
      <w:marBottom w:val="0"/>
      <w:divBdr>
        <w:top w:val="none" w:sz="0" w:space="0" w:color="auto"/>
        <w:left w:val="none" w:sz="0" w:space="0" w:color="auto"/>
        <w:bottom w:val="none" w:sz="0" w:space="0" w:color="auto"/>
        <w:right w:val="none" w:sz="0" w:space="0" w:color="auto"/>
      </w:divBdr>
      <w:divsChild>
        <w:div w:id="1554659470">
          <w:marLeft w:val="0"/>
          <w:marRight w:val="0"/>
          <w:marTop w:val="0"/>
          <w:marBottom w:val="0"/>
          <w:divBdr>
            <w:top w:val="none" w:sz="0" w:space="0" w:color="auto"/>
            <w:left w:val="none" w:sz="0" w:space="0" w:color="auto"/>
            <w:bottom w:val="none" w:sz="0" w:space="0" w:color="auto"/>
            <w:right w:val="none" w:sz="0" w:space="0" w:color="auto"/>
          </w:divBdr>
          <w:divsChild>
            <w:div w:id="535044421">
              <w:marLeft w:val="0"/>
              <w:marRight w:val="0"/>
              <w:marTop w:val="0"/>
              <w:marBottom w:val="0"/>
              <w:divBdr>
                <w:top w:val="none" w:sz="0" w:space="0" w:color="auto"/>
                <w:left w:val="none" w:sz="0" w:space="0" w:color="auto"/>
                <w:bottom w:val="none" w:sz="0" w:space="0" w:color="auto"/>
                <w:right w:val="none" w:sz="0" w:space="0" w:color="auto"/>
              </w:divBdr>
              <w:divsChild>
                <w:div w:id="14346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48127">
      <w:bodyDiv w:val="1"/>
      <w:marLeft w:val="0"/>
      <w:marRight w:val="0"/>
      <w:marTop w:val="0"/>
      <w:marBottom w:val="0"/>
      <w:divBdr>
        <w:top w:val="none" w:sz="0" w:space="0" w:color="auto"/>
        <w:left w:val="none" w:sz="0" w:space="0" w:color="auto"/>
        <w:bottom w:val="none" w:sz="0" w:space="0" w:color="auto"/>
        <w:right w:val="none" w:sz="0" w:space="0" w:color="auto"/>
      </w:divBdr>
      <w:divsChild>
        <w:div w:id="1411660806">
          <w:marLeft w:val="0"/>
          <w:marRight w:val="0"/>
          <w:marTop w:val="0"/>
          <w:marBottom w:val="0"/>
          <w:divBdr>
            <w:top w:val="none" w:sz="0" w:space="0" w:color="auto"/>
            <w:left w:val="none" w:sz="0" w:space="0" w:color="auto"/>
            <w:bottom w:val="none" w:sz="0" w:space="0" w:color="auto"/>
            <w:right w:val="none" w:sz="0" w:space="0" w:color="auto"/>
          </w:divBdr>
          <w:divsChild>
            <w:div w:id="679626622">
              <w:marLeft w:val="0"/>
              <w:marRight w:val="0"/>
              <w:marTop w:val="0"/>
              <w:marBottom w:val="0"/>
              <w:divBdr>
                <w:top w:val="none" w:sz="0" w:space="0" w:color="auto"/>
                <w:left w:val="none" w:sz="0" w:space="0" w:color="auto"/>
                <w:bottom w:val="none" w:sz="0" w:space="0" w:color="auto"/>
                <w:right w:val="none" w:sz="0" w:space="0" w:color="auto"/>
              </w:divBdr>
              <w:divsChild>
                <w:div w:id="194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5722">
      <w:bodyDiv w:val="1"/>
      <w:marLeft w:val="0"/>
      <w:marRight w:val="0"/>
      <w:marTop w:val="0"/>
      <w:marBottom w:val="0"/>
      <w:divBdr>
        <w:top w:val="none" w:sz="0" w:space="0" w:color="auto"/>
        <w:left w:val="none" w:sz="0" w:space="0" w:color="auto"/>
        <w:bottom w:val="none" w:sz="0" w:space="0" w:color="auto"/>
        <w:right w:val="none" w:sz="0" w:space="0" w:color="auto"/>
      </w:divBdr>
    </w:div>
    <w:div w:id="1077049463">
      <w:bodyDiv w:val="1"/>
      <w:marLeft w:val="0"/>
      <w:marRight w:val="0"/>
      <w:marTop w:val="0"/>
      <w:marBottom w:val="0"/>
      <w:divBdr>
        <w:top w:val="none" w:sz="0" w:space="0" w:color="auto"/>
        <w:left w:val="none" w:sz="0" w:space="0" w:color="auto"/>
        <w:bottom w:val="none" w:sz="0" w:space="0" w:color="auto"/>
        <w:right w:val="none" w:sz="0" w:space="0" w:color="auto"/>
      </w:divBdr>
      <w:divsChild>
        <w:div w:id="941571488">
          <w:marLeft w:val="0"/>
          <w:marRight w:val="0"/>
          <w:marTop w:val="0"/>
          <w:marBottom w:val="0"/>
          <w:divBdr>
            <w:top w:val="none" w:sz="0" w:space="0" w:color="auto"/>
            <w:left w:val="none" w:sz="0" w:space="0" w:color="auto"/>
            <w:bottom w:val="none" w:sz="0" w:space="0" w:color="auto"/>
            <w:right w:val="none" w:sz="0" w:space="0" w:color="auto"/>
          </w:divBdr>
          <w:divsChild>
            <w:div w:id="163591483">
              <w:marLeft w:val="0"/>
              <w:marRight w:val="0"/>
              <w:marTop w:val="0"/>
              <w:marBottom w:val="0"/>
              <w:divBdr>
                <w:top w:val="none" w:sz="0" w:space="0" w:color="auto"/>
                <w:left w:val="none" w:sz="0" w:space="0" w:color="auto"/>
                <w:bottom w:val="none" w:sz="0" w:space="0" w:color="auto"/>
                <w:right w:val="none" w:sz="0" w:space="0" w:color="auto"/>
              </w:divBdr>
              <w:divsChild>
                <w:div w:id="5017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2719">
      <w:bodyDiv w:val="1"/>
      <w:marLeft w:val="0"/>
      <w:marRight w:val="0"/>
      <w:marTop w:val="0"/>
      <w:marBottom w:val="0"/>
      <w:divBdr>
        <w:top w:val="none" w:sz="0" w:space="0" w:color="auto"/>
        <w:left w:val="none" w:sz="0" w:space="0" w:color="auto"/>
        <w:bottom w:val="none" w:sz="0" w:space="0" w:color="auto"/>
        <w:right w:val="none" w:sz="0" w:space="0" w:color="auto"/>
      </w:divBdr>
      <w:divsChild>
        <w:div w:id="671421166">
          <w:marLeft w:val="0"/>
          <w:marRight w:val="0"/>
          <w:marTop w:val="0"/>
          <w:marBottom w:val="0"/>
          <w:divBdr>
            <w:top w:val="none" w:sz="0" w:space="0" w:color="auto"/>
            <w:left w:val="none" w:sz="0" w:space="0" w:color="auto"/>
            <w:bottom w:val="none" w:sz="0" w:space="0" w:color="auto"/>
            <w:right w:val="none" w:sz="0" w:space="0" w:color="auto"/>
          </w:divBdr>
          <w:divsChild>
            <w:div w:id="1274089871">
              <w:marLeft w:val="0"/>
              <w:marRight w:val="0"/>
              <w:marTop w:val="0"/>
              <w:marBottom w:val="0"/>
              <w:divBdr>
                <w:top w:val="none" w:sz="0" w:space="0" w:color="auto"/>
                <w:left w:val="none" w:sz="0" w:space="0" w:color="auto"/>
                <w:bottom w:val="none" w:sz="0" w:space="0" w:color="auto"/>
                <w:right w:val="none" w:sz="0" w:space="0" w:color="auto"/>
              </w:divBdr>
              <w:divsChild>
                <w:div w:id="377165053">
                  <w:marLeft w:val="0"/>
                  <w:marRight w:val="0"/>
                  <w:marTop w:val="0"/>
                  <w:marBottom w:val="0"/>
                  <w:divBdr>
                    <w:top w:val="none" w:sz="0" w:space="0" w:color="auto"/>
                    <w:left w:val="none" w:sz="0" w:space="0" w:color="auto"/>
                    <w:bottom w:val="none" w:sz="0" w:space="0" w:color="auto"/>
                    <w:right w:val="none" w:sz="0" w:space="0" w:color="auto"/>
                  </w:divBdr>
                  <w:divsChild>
                    <w:div w:id="1573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281">
      <w:bodyDiv w:val="1"/>
      <w:marLeft w:val="0"/>
      <w:marRight w:val="0"/>
      <w:marTop w:val="0"/>
      <w:marBottom w:val="0"/>
      <w:divBdr>
        <w:top w:val="none" w:sz="0" w:space="0" w:color="auto"/>
        <w:left w:val="none" w:sz="0" w:space="0" w:color="auto"/>
        <w:bottom w:val="none" w:sz="0" w:space="0" w:color="auto"/>
        <w:right w:val="none" w:sz="0" w:space="0" w:color="auto"/>
      </w:divBdr>
    </w:div>
    <w:div w:id="1166751906">
      <w:bodyDiv w:val="1"/>
      <w:marLeft w:val="0"/>
      <w:marRight w:val="0"/>
      <w:marTop w:val="0"/>
      <w:marBottom w:val="0"/>
      <w:divBdr>
        <w:top w:val="none" w:sz="0" w:space="0" w:color="auto"/>
        <w:left w:val="none" w:sz="0" w:space="0" w:color="auto"/>
        <w:bottom w:val="none" w:sz="0" w:space="0" w:color="auto"/>
        <w:right w:val="none" w:sz="0" w:space="0" w:color="auto"/>
      </w:divBdr>
      <w:divsChild>
        <w:div w:id="578952156">
          <w:marLeft w:val="0"/>
          <w:marRight w:val="0"/>
          <w:marTop w:val="0"/>
          <w:marBottom w:val="0"/>
          <w:divBdr>
            <w:top w:val="none" w:sz="0" w:space="0" w:color="auto"/>
            <w:left w:val="none" w:sz="0" w:space="0" w:color="auto"/>
            <w:bottom w:val="none" w:sz="0" w:space="0" w:color="auto"/>
            <w:right w:val="none" w:sz="0" w:space="0" w:color="auto"/>
          </w:divBdr>
          <w:divsChild>
            <w:div w:id="1216433238">
              <w:marLeft w:val="0"/>
              <w:marRight w:val="0"/>
              <w:marTop w:val="0"/>
              <w:marBottom w:val="0"/>
              <w:divBdr>
                <w:top w:val="none" w:sz="0" w:space="0" w:color="auto"/>
                <w:left w:val="none" w:sz="0" w:space="0" w:color="auto"/>
                <w:bottom w:val="none" w:sz="0" w:space="0" w:color="auto"/>
                <w:right w:val="none" w:sz="0" w:space="0" w:color="auto"/>
              </w:divBdr>
              <w:divsChild>
                <w:div w:id="2120252753">
                  <w:marLeft w:val="0"/>
                  <w:marRight w:val="0"/>
                  <w:marTop w:val="0"/>
                  <w:marBottom w:val="0"/>
                  <w:divBdr>
                    <w:top w:val="none" w:sz="0" w:space="0" w:color="auto"/>
                    <w:left w:val="none" w:sz="0" w:space="0" w:color="auto"/>
                    <w:bottom w:val="none" w:sz="0" w:space="0" w:color="auto"/>
                    <w:right w:val="none" w:sz="0" w:space="0" w:color="auto"/>
                  </w:divBdr>
                  <w:divsChild>
                    <w:div w:id="246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9431">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6">
          <w:marLeft w:val="0"/>
          <w:marRight w:val="0"/>
          <w:marTop w:val="0"/>
          <w:marBottom w:val="0"/>
          <w:divBdr>
            <w:top w:val="none" w:sz="0" w:space="0" w:color="auto"/>
            <w:left w:val="none" w:sz="0" w:space="0" w:color="auto"/>
            <w:bottom w:val="none" w:sz="0" w:space="0" w:color="auto"/>
            <w:right w:val="none" w:sz="0" w:space="0" w:color="auto"/>
          </w:divBdr>
          <w:divsChild>
            <w:div w:id="327952583">
              <w:marLeft w:val="0"/>
              <w:marRight w:val="0"/>
              <w:marTop w:val="0"/>
              <w:marBottom w:val="0"/>
              <w:divBdr>
                <w:top w:val="none" w:sz="0" w:space="0" w:color="auto"/>
                <w:left w:val="none" w:sz="0" w:space="0" w:color="auto"/>
                <w:bottom w:val="none" w:sz="0" w:space="0" w:color="auto"/>
                <w:right w:val="none" w:sz="0" w:space="0" w:color="auto"/>
              </w:divBdr>
              <w:divsChild>
                <w:div w:id="434054003">
                  <w:marLeft w:val="0"/>
                  <w:marRight w:val="0"/>
                  <w:marTop w:val="0"/>
                  <w:marBottom w:val="0"/>
                  <w:divBdr>
                    <w:top w:val="none" w:sz="0" w:space="0" w:color="auto"/>
                    <w:left w:val="none" w:sz="0" w:space="0" w:color="auto"/>
                    <w:bottom w:val="none" w:sz="0" w:space="0" w:color="auto"/>
                    <w:right w:val="none" w:sz="0" w:space="0" w:color="auto"/>
                  </w:divBdr>
                  <w:divsChild>
                    <w:div w:id="9269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99954">
      <w:bodyDiv w:val="1"/>
      <w:marLeft w:val="0"/>
      <w:marRight w:val="0"/>
      <w:marTop w:val="0"/>
      <w:marBottom w:val="0"/>
      <w:divBdr>
        <w:top w:val="none" w:sz="0" w:space="0" w:color="auto"/>
        <w:left w:val="none" w:sz="0" w:space="0" w:color="auto"/>
        <w:bottom w:val="none" w:sz="0" w:space="0" w:color="auto"/>
        <w:right w:val="none" w:sz="0" w:space="0" w:color="auto"/>
      </w:divBdr>
      <w:divsChild>
        <w:div w:id="2091273460">
          <w:marLeft w:val="0"/>
          <w:marRight w:val="0"/>
          <w:marTop w:val="0"/>
          <w:marBottom w:val="0"/>
          <w:divBdr>
            <w:top w:val="none" w:sz="0" w:space="0" w:color="auto"/>
            <w:left w:val="none" w:sz="0" w:space="0" w:color="auto"/>
            <w:bottom w:val="none" w:sz="0" w:space="0" w:color="auto"/>
            <w:right w:val="none" w:sz="0" w:space="0" w:color="auto"/>
          </w:divBdr>
          <w:divsChild>
            <w:div w:id="1600140578">
              <w:marLeft w:val="0"/>
              <w:marRight w:val="0"/>
              <w:marTop w:val="0"/>
              <w:marBottom w:val="0"/>
              <w:divBdr>
                <w:top w:val="none" w:sz="0" w:space="0" w:color="auto"/>
                <w:left w:val="none" w:sz="0" w:space="0" w:color="auto"/>
                <w:bottom w:val="none" w:sz="0" w:space="0" w:color="auto"/>
                <w:right w:val="none" w:sz="0" w:space="0" w:color="auto"/>
              </w:divBdr>
              <w:divsChild>
                <w:div w:id="754742046">
                  <w:marLeft w:val="0"/>
                  <w:marRight w:val="0"/>
                  <w:marTop w:val="0"/>
                  <w:marBottom w:val="0"/>
                  <w:divBdr>
                    <w:top w:val="none" w:sz="0" w:space="0" w:color="auto"/>
                    <w:left w:val="none" w:sz="0" w:space="0" w:color="auto"/>
                    <w:bottom w:val="none" w:sz="0" w:space="0" w:color="auto"/>
                    <w:right w:val="none" w:sz="0" w:space="0" w:color="auto"/>
                  </w:divBdr>
                  <w:divsChild>
                    <w:div w:id="9978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9618">
      <w:bodyDiv w:val="1"/>
      <w:marLeft w:val="0"/>
      <w:marRight w:val="0"/>
      <w:marTop w:val="0"/>
      <w:marBottom w:val="0"/>
      <w:divBdr>
        <w:top w:val="none" w:sz="0" w:space="0" w:color="auto"/>
        <w:left w:val="none" w:sz="0" w:space="0" w:color="auto"/>
        <w:bottom w:val="none" w:sz="0" w:space="0" w:color="auto"/>
        <w:right w:val="none" w:sz="0" w:space="0" w:color="auto"/>
      </w:divBdr>
      <w:divsChild>
        <w:div w:id="1367174801">
          <w:marLeft w:val="0"/>
          <w:marRight w:val="0"/>
          <w:marTop w:val="0"/>
          <w:marBottom w:val="0"/>
          <w:divBdr>
            <w:top w:val="none" w:sz="0" w:space="0" w:color="auto"/>
            <w:left w:val="none" w:sz="0" w:space="0" w:color="auto"/>
            <w:bottom w:val="none" w:sz="0" w:space="0" w:color="auto"/>
            <w:right w:val="none" w:sz="0" w:space="0" w:color="auto"/>
          </w:divBdr>
          <w:divsChild>
            <w:div w:id="1884829832">
              <w:marLeft w:val="0"/>
              <w:marRight w:val="0"/>
              <w:marTop w:val="0"/>
              <w:marBottom w:val="0"/>
              <w:divBdr>
                <w:top w:val="none" w:sz="0" w:space="0" w:color="auto"/>
                <w:left w:val="none" w:sz="0" w:space="0" w:color="auto"/>
                <w:bottom w:val="none" w:sz="0" w:space="0" w:color="auto"/>
                <w:right w:val="none" w:sz="0" w:space="0" w:color="auto"/>
              </w:divBdr>
              <w:divsChild>
                <w:div w:id="1175539597">
                  <w:marLeft w:val="0"/>
                  <w:marRight w:val="0"/>
                  <w:marTop w:val="0"/>
                  <w:marBottom w:val="0"/>
                  <w:divBdr>
                    <w:top w:val="none" w:sz="0" w:space="0" w:color="auto"/>
                    <w:left w:val="none" w:sz="0" w:space="0" w:color="auto"/>
                    <w:bottom w:val="none" w:sz="0" w:space="0" w:color="auto"/>
                    <w:right w:val="none" w:sz="0" w:space="0" w:color="auto"/>
                  </w:divBdr>
                  <w:divsChild>
                    <w:div w:id="6984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1565">
      <w:bodyDiv w:val="1"/>
      <w:marLeft w:val="0"/>
      <w:marRight w:val="0"/>
      <w:marTop w:val="0"/>
      <w:marBottom w:val="0"/>
      <w:divBdr>
        <w:top w:val="none" w:sz="0" w:space="0" w:color="auto"/>
        <w:left w:val="none" w:sz="0" w:space="0" w:color="auto"/>
        <w:bottom w:val="none" w:sz="0" w:space="0" w:color="auto"/>
        <w:right w:val="none" w:sz="0" w:space="0" w:color="auto"/>
      </w:divBdr>
      <w:divsChild>
        <w:div w:id="846289912">
          <w:marLeft w:val="0"/>
          <w:marRight w:val="0"/>
          <w:marTop w:val="0"/>
          <w:marBottom w:val="0"/>
          <w:divBdr>
            <w:top w:val="none" w:sz="0" w:space="0" w:color="auto"/>
            <w:left w:val="none" w:sz="0" w:space="0" w:color="auto"/>
            <w:bottom w:val="none" w:sz="0" w:space="0" w:color="auto"/>
            <w:right w:val="none" w:sz="0" w:space="0" w:color="auto"/>
          </w:divBdr>
          <w:divsChild>
            <w:div w:id="873880717">
              <w:marLeft w:val="0"/>
              <w:marRight w:val="0"/>
              <w:marTop w:val="0"/>
              <w:marBottom w:val="0"/>
              <w:divBdr>
                <w:top w:val="none" w:sz="0" w:space="0" w:color="auto"/>
                <w:left w:val="none" w:sz="0" w:space="0" w:color="auto"/>
                <w:bottom w:val="none" w:sz="0" w:space="0" w:color="auto"/>
                <w:right w:val="none" w:sz="0" w:space="0" w:color="auto"/>
              </w:divBdr>
              <w:divsChild>
                <w:div w:id="15381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3645">
      <w:bodyDiv w:val="1"/>
      <w:marLeft w:val="0"/>
      <w:marRight w:val="0"/>
      <w:marTop w:val="0"/>
      <w:marBottom w:val="0"/>
      <w:divBdr>
        <w:top w:val="none" w:sz="0" w:space="0" w:color="auto"/>
        <w:left w:val="none" w:sz="0" w:space="0" w:color="auto"/>
        <w:bottom w:val="none" w:sz="0" w:space="0" w:color="auto"/>
        <w:right w:val="none" w:sz="0" w:space="0" w:color="auto"/>
      </w:divBdr>
      <w:divsChild>
        <w:div w:id="1906138330">
          <w:marLeft w:val="0"/>
          <w:marRight w:val="0"/>
          <w:marTop w:val="0"/>
          <w:marBottom w:val="0"/>
          <w:divBdr>
            <w:top w:val="none" w:sz="0" w:space="0" w:color="auto"/>
            <w:left w:val="none" w:sz="0" w:space="0" w:color="auto"/>
            <w:bottom w:val="none" w:sz="0" w:space="0" w:color="auto"/>
            <w:right w:val="none" w:sz="0" w:space="0" w:color="auto"/>
          </w:divBdr>
        </w:div>
      </w:divsChild>
    </w:div>
    <w:div w:id="1276404279">
      <w:bodyDiv w:val="1"/>
      <w:marLeft w:val="0"/>
      <w:marRight w:val="0"/>
      <w:marTop w:val="0"/>
      <w:marBottom w:val="0"/>
      <w:divBdr>
        <w:top w:val="none" w:sz="0" w:space="0" w:color="auto"/>
        <w:left w:val="none" w:sz="0" w:space="0" w:color="auto"/>
        <w:bottom w:val="none" w:sz="0" w:space="0" w:color="auto"/>
        <w:right w:val="none" w:sz="0" w:space="0" w:color="auto"/>
      </w:divBdr>
      <w:divsChild>
        <w:div w:id="122045323">
          <w:marLeft w:val="0"/>
          <w:marRight w:val="0"/>
          <w:marTop w:val="0"/>
          <w:marBottom w:val="0"/>
          <w:divBdr>
            <w:top w:val="none" w:sz="0" w:space="0" w:color="auto"/>
            <w:left w:val="none" w:sz="0" w:space="0" w:color="auto"/>
            <w:bottom w:val="none" w:sz="0" w:space="0" w:color="auto"/>
            <w:right w:val="none" w:sz="0" w:space="0" w:color="auto"/>
          </w:divBdr>
          <w:divsChild>
            <w:div w:id="922884378">
              <w:marLeft w:val="0"/>
              <w:marRight w:val="0"/>
              <w:marTop w:val="0"/>
              <w:marBottom w:val="0"/>
              <w:divBdr>
                <w:top w:val="none" w:sz="0" w:space="0" w:color="auto"/>
                <w:left w:val="none" w:sz="0" w:space="0" w:color="auto"/>
                <w:bottom w:val="none" w:sz="0" w:space="0" w:color="auto"/>
                <w:right w:val="none" w:sz="0" w:space="0" w:color="auto"/>
              </w:divBdr>
              <w:divsChild>
                <w:div w:id="1077168141">
                  <w:marLeft w:val="0"/>
                  <w:marRight w:val="0"/>
                  <w:marTop w:val="0"/>
                  <w:marBottom w:val="0"/>
                  <w:divBdr>
                    <w:top w:val="none" w:sz="0" w:space="0" w:color="auto"/>
                    <w:left w:val="none" w:sz="0" w:space="0" w:color="auto"/>
                    <w:bottom w:val="none" w:sz="0" w:space="0" w:color="auto"/>
                    <w:right w:val="none" w:sz="0" w:space="0" w:color="auto"/>
                  </w:divBdr>
                  <w:divsChild>
                    <w:div w:id="1475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36225">
      <w:bodyDiv w:val="1"/>
      <w:marLeft w:val="0"/>
      <w:marRight w:val="0"/>
      <w:marTop w:val="0"/>
      <w:marBottom w:val="0"/>
      <w:divBdr>
        <w:top w:val="none" w:sz="0" w:space="0" w:color="auto"/>
        <w:left w:val="none" w:sz="0" w:space="0" w:color="auto"/>
        <w:bottom w:val="none" w:sz="0" w:space="0" w:color="auto"/>
        <w:right w:val="none" w:sz="0" w:space="0" w:color="auto"/>
      </w:divBdr>
      <w:divsChild>
        <w:div w:id="2132089389">
          <w:marLeft w:val="0"/>
          <w:marRight w:val="0"/>
          <w:marTop w:val="0"/>
          <w:marBottom w:val="0"/>
          <w:divBdr>
            <w:top w:val="none" w:sz="0" w:space="0" w:color="auto"/>
            <w:left w:val="none" w:sz="0" w:space="0" w:color="auto"/>
            <w:bottom w:val="none" w:sz="0" w:space="0" w:color="auto"/>
            <w:right w:val="none" w:sz="0" w:space="0" w:color="auto"/>
          </w:divBdr>
          <w:divsChild>
            <w:div w:id="432167495">
              <w:marLeft w:val="0"/>
              <w:marRight w:val="0"/>
              <w:marTop w:val="0"/>
              <w:marBottom w:val="0"/>
              <w:divBdr>
                <w:top w:val="none" w:sz="0" w:space="0" w:color="auto"/>
                <w:left w:val="none" w:sz="0" w:space="0" w:color="auto"/>
                <w:bottom w:val="none" w:sz="0" w:space="0" w:color="auto"/>
                <w:right w:val="none" w:sz="0" w:space="0" w:color="auto"/>
              </w:divBdr>
              <w:divsChild>
                <w:div w:id="318195124">
                  <w:marLeft w:val="0"/>
                  <w:marRight w:val="0"/>
                  <w:marTop w:val="0"/>
                  <w:marBottom w:val="0"/>
                  <w:divBdr>
                    <w:top w:val="none" w:sz="0" w:space="0" w:color="auto"/>
                    <w:left w:val="none" w:sz="0" w:space="0" w:color="auto"/>
                    <w:bottom w:val="none" w:sz="0" w:space="0" w:color="auto"/>
                    <w:right w:val="none" w:sz="0" w:space="0" w:color="auto"/>
                  </w:divBdr>
                  <w:divsChild>
                    <w:div w:id="14130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979">
      <w:bodyDiv w:val="1"/>
      <w:marLeft w:val="0"/>
      <w:marRight w:val="0"/>
      <w:marTop w:val="0"/>
      <w:marBottom w:val="0"/>
      <w:divBdr>
        <w:top w:val="none" w:sz="0" w:space="0" w:color="auto"/>
        <w:left w:val="none" w:sz="0" w:space="0" w:color="auto"/>
        <w:bottom w:val="none" w:sz="0" w:space="0" w:color="auto"/>
        <w:right w:val="none" w:sz="0" w:space="0" w:color="auto"/>
      </w:divBdr>
    </w:div>
    <w:div w:id="1294484426">
      <w:bodyDiv w:val="1"/>
      <w:marLeft w:val="0"/>
      <w:marRight w:val="0"/>
      <w:marTop w:val="0"/>
      <w:marBottom w:val="0"/>
      <w:divBdr>
        <w:top w:val="none" w:sz="0" w:space="0" w:color="auto"/>
        <w:left w:val="none" w:sz="0" w:space="0" w:color="auto"/>
        <w:bottom w:val="none" w:sz="0" w:space="0" w:color="auto"/>
        <w:right w:val="none" w:sz="0" w:space="0" w:color="auto"/>
      </w:divBdr>
      <w:divsChild>
        <w:div w:id="1291016263">
          <w:marLeft w:val="0"/>
          <w:marRight w:val="0"/>
          <w:marTop w:val="0"/>
          <w:marBottom w:val="0"/>
          <w:divBdr>
            <w:top w:val="none" w:sz="0" w:space="0" w:color="auto"/>
            <w:left w:val="none" w:sz="0" w:space="0" w:color="auto"/>
            <w:bottom w:val="none" w:sz="0" w:space="0" w:color="auto"/>
            <w:right w:val="none" w:sz="0" w:space="0" w:color="auto"/>
          </w:divBdr>
          <w:divsChild>
            <w:div w:id="849298402">
              <w:marLeft w:val="0"/>
              <w:marRight w:val="0"/>
              <w:marTop w:val="0"/>
              <w:marBottom w:val="0"/>
              <w:divBdr>
                <w:top w:val="none" w:sz="0" w:space="0" w:color="auto"/>
                <w:left w:val="none" w:sz="0" w:space="0" w:color="auto"/>
                <w:bottom w:val="none" w:sz="0" w:space="0" w:color="auto"/>
                <w:right w:val="none" w:sz="0" w:space="0" w:color="auto"/>
              </w:divBdr>
              <w:divsChild>
                <w:div w:id="18239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2721">
      <w:bodyDiv w:val="1"/>
      <w:marLeft w:val="0"/>
      <w:marRight w:val="0"/>
      <w:marTop w:val="0"/>
      <w:marBottom w:val="0"/>
      <w:divBdr>
        <w:top w:val="none" w:sz="0" w:space="0" w:color="auto"/>
        <w:left w:val="none" w:sz="0" w:space="0" w:color="auto"/>
        <w:bottom w:val="none" w:sz="0" w:space="0" w:color="auto"/>
        <w:right w:val="none" w:sz="0" w:space="0" w:color="auto"/>
      </w:divBdr>
    </w:div>
    <w:div w:id="1302538806">
      <w:bodyDiv w:val="1"/>
      <w:marLeft w:val="0"/>
      <w:marRight w:val="0"/>
      <w:marTop w:val="0"/>
      <w:marBottom w:val="0"/>
      <w:divBdr>
        <w:top w:val="none" w:sz="0" w:space="0" w:color="auto"/>
        <w:left w:val="none" w:sz="0" w:space="0" w:color="auto"/>
        <w:bottom w:val="none" w:sz="0" w:space="0" w:color="auto"/>
        <w:right w:val="none" w:sz="0" w:space="0" w:color="auto"/>
      </w:divBdr>
      <w:divsChild>
        <w:div w:id="2022780623">
          <w:marLeft w:val="0"/>
          <w:marRight w:val="0"/>
          <w:marTop w:val="0"/>
          <w:marBottom w:val="0"/>
          <w:divBdr>
            <w:top w:val="none" w:sz="0" w:space="0" w:color="auto"/>
            <w:left w:val="none" w:sz="0" w:space="0" w:color="auto"/>
            <w:bottom w:val="none" w:sz="0" w:space="0" w:color="auto"/>
            <w:right w:val="none" w:sz="0" w:space="0" w:color="auto"/>
          </w:divBdr>
          <w:divsChild>
            <w:div w:id="1759864505">
              <w:marLeft w:val="0"/>
              <w:marRight w:val="0"/>
              <w:marTop w:val="0"/>
              <w:marBottom w:val="0"/>
              <w:divBdr>
                <w:top w:val="none" w:sz="0" w:space="0" w:color="auto"/>
                <w:left w:val="none" w:sz="0" w:space="0" w:color="auto"/>
                <w:bottom w:val="none" w:sz="0" w:space="0" w:color="auto"/>
                <w:right w:val="none" w:sz="0" w:space="0" w:color="auto"/>
              </w:divBdr>
              <w:divsChild>
                <w:div w:id="20034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37838">
      <w:bodyDiv w:val="1"/>
      <w:marLeft w:val="0"/>
      <w:marRight w:val="0"/>
      <w:marTop w:val="0"/>
      <w:marBottom w:val="0"/>
      <w:divBdr>
        <w:top w:val="none" w:sz="0" w:space="0" w:color="auto"/>
        <w:left w:val="none" w:sz="0" w:space="0" w:color="auto"/>
        <w:bottom w:val="none" w:sz="0" w:space="0" w:color="auto"/>
        <w:right w:val="none" w:sz="0" w:space="0" w:color="auto"/>
      </w:divBdr>
      <w:divsChild>
        <w:div w:id="1196311098">
          <w:marLeft w:val="0"/>
          <w:marRight w:val="0"/>
          <w:marTop w:val="0"/>
          <w:marBottom w:val="0"/>
          <w:divBdr>
            <w:top w:val="none" w:sz="0" w:space="0" w:color="auto"/>
            <w:left w:val="none" w:sz="0" w:space="0" w:color="auto"/>
            <w:bottom w:val="none" w:sz="0" w:space="0" w:color="auto"/>
            <w:right w:val="none" w:sz="0" w:space="0" w:color="auto"/>
          </w:divBdr>
          <w:divsChild>
            <w:div w:id="767966097">
              <w:marLeft w:val="0"/>
              <w:marRight w:val="0"/>
              <w:marTop w:val="0"/>
              <w:marBottom w:val="0"/>
              <w:divBdr>
                <w:top w:val="none" w:sz="0" w:space="0" w:color="auto"/>
                <w:left w:val="none" w:sz="0" w:space="0" w:color="auto"/>
                <w:bottom w:val="none" w:sz="0" w:space="0" w:color="auto"/>
                <w:right w:val="none" w:sz="0" w:space="0" w:color="auto"/>
              </w:divBdr>
              <w:divsChild>
                <w:div w:id="5330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50589">
      <w:bodyDiv w:val="1"/>
      <w:marLeft w:val="0"/>
      <w:marRight w:val="0"/>
      <w:marTop w:val="0"/>
      <w:marBottom w:val="0"/>
      <w:divBdr>
        <w:top w:val="none" w:sz="0" w:space="0" w:color="auto"/>
        <w:left w:val="none" w:sz="0" w:space="0" w:color="auto"/>
        <w:bottom w:val="none" w:sz="0" w:space="0" w:color="auto"/>
        <w:right w:val="none" w:sz="0" w:space="0" w:color="auto"/>
      </w:divBdr>
    </w:div>
    <w:div w:id="1359937649">
      <w:bodyDiv w:val="1"/>
      <w:marLeft w:val="0"/>
      <w:marRight w:val="0"/>
      <w:marTop w:val="0"/>
      <w:marBottom w:val="0"/>
      <w:divBdr>
        <w:top w:val="none" w:sz="0" w:space="0" w:color="auto"/>
        <w:left w:val="none" w:sz="0" w:space="0" w:color="auto"/>
        <w:bottom w:val="none" w:sz="0" w:space="0" w:color="auto"/>
        <w:right w:val="none" w:sz="0" w:space="0" w:color="auto"/>
      </w:divBdr>
      <w:divsChild>
        <w:div w:id="1749690850">
          <w:marLeft w:val="0"/>
          <w:marRight w:val="0"/>
          <w:marTop w:val="0"/>
          <w:marBottom w:val="0"/>
          <w:divBdr>
            <w:top w:val="none" w:sz="0" w:space="0" w:color="auto"/>
            <w:left w:val="none" w:sz="0" w:space="0" w:color="auto"/>
            <w:bottom w:val="none" w:sz="0" w:space="0" w:color="auto"/>
            <w:right w:val="none" w:sz="0" w:space="0" w:color="auto"/>
          </w:divBdr>
          <w:divsChild>
            <w:div w:id="415437978">
              <w:marLeft w:val="0"/>
              <w:marRight w:val="0"/>
              <w:marTop w:val="0"/>
              <w:marBottom w:val="0"/>
              <w:divBdr>
                <w:top w:val="none" w:sz="0" w:space="0" w:color="auto"/>
                <w:left w:val="none" w:sz="0" w:space="0" w:color="auto"/>
                <w:bottom w:val="none" w:sz="0" w:space="0" w:color="auto"/>
                <w:right w:val="none" w:sz="0" w:space="0" w:color="auto"/>
              </w:divBdr>
              <w:divsChild>
                <w:div w:id="8914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7288">
      <w:bodyDiv w:val="1"/>
      <w:marLeft w:val="0"/>
      <w:marRight w:val="0"/>
      <w:marTop w:val="0"/>
      <w:marBottom w:val="0"/>
      <w:divBdr>
        <w:top w:val="none" w:sz="0" w:space="0" w:color="auto"/>
        <w:left w:val="none" w:sz="0" w:space="0" w:color="auto"/>
        <w:bottom w:val="none" w:sz="0" w:space="0" w:color="auto"/>
        <w:right w:val="none" w:sz="0" w:space="0" w:color="auto"/>
      </w:divBdr>
    </w:div>
    <w:div w:id="1388142378">
      <w:bodyDiv w:val="1"/>
      <w:marLeft w:val="0"/>
      <w:marRight w:val="0"/>
      <w:marTop w:val="0"/>
      <w:marBottom w:val="0"/>
      <w:divBdr>
        <w:top w:val="none" w:sz="0" w:space="0" w:color="auto"/>
        <w:left w:val="none" w:sz="0" w:space="0" w:color="auto"/>
        <w:bottom w:val="none" w:sz="0" w:space="0" w:color="auto"/>
        <w:right w:val="none" w:sz="0" w:space="0" w:color="auto"/>
      </w:divBdr>
      <w:divsChild>
        <w:div w:id="734283499">
          <w:marLeft w:val="0"/>
          <w:marRight w:val="0"/>
          <w:marTop w:val="0"/>
          <w:marBottom w:val="0"/>
          <w:divBdr>
            <w:top w:val="none" w:sz="0" w:space="0" w:color="auto"/>
            <w:left w:val="none" w:sz="0" w:space="0" w:color="auto"/>
            <w:bottom w:val="none" w:sz="0" w:space="0" w:color="auto"/>
            <w:right w:val="none" w:sz="0" w:space="0" w:color="auto"/>
          </w:divBdr>
          <w:divsChild>
            <w:div w:id="533612690">
              <w:marLeft w:val="0"/>
              <w:marRight w:val="0"/>
              <w:marTop w:val="0"/>
              <w:marBottom w:val="0"/>
              <w:divBdr>
                <w:top w:val="none" w:sz="0" w:space="0" w:color="auto"/>
                <w:left w:val="none" w:sz="0" w:space="0" w:color="auto"/>
                <w:bottom w:val="none" w:sz="0" w:space="0" w:color="auto"/>
                <w:right w:val="none" w:sz="0" w:space="0" w:color="auto"/>
              </w:divBdr>
              <w:divsChild>
                <w:div w:id="13372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6671">
      <w:bodyDiv w:val="1"/>
      <w:marLeft w:val="0"/>
      <w:marRight w:val="0"/>
      <w:marTop w:val="0"/>
      <w:marBottom w:val="0"/>
      <w:divBdr>
        <w:top w:val="none" w:sz="0" w:space="0" w:color="auto"/>
        <w:left w:val="none" w:sz="0" w:space="0" w:color="auto"/>
        <w:bottom w:val="none" w:sz="0" w:space="0" w:color="auto"/>
        <w:right w:val="none" w:sz="0" w:space="0" w:color="auto"/>
      </w:divBdr>
    </w:div>
    <w:div w:id="1421295705">
      <w:bodyDiv w:val="1"/>
      <w:marLeft w:val="0"/>
      <w:marRight w:val="0"/>
      <w:marTop w:val="0"/>
      <w:marBottom w:val="0"/>
      <w:divBdr>
        <w:top w:val="none" w:sz="0" w:space="0" w:color="auto"/>
        <w:left w:val="none" w:sz="0" w:space="0" w:color="auto"/>
        <w:bottom w:val="none" w:sz="0" w:space="0" w:color="auto"/>
        <w:right w:val="none" w:sz="0" w:space="0" w:color="auto"/>
      </w:divBdr>
      <w:divsChild>
        <w:div w:id="1479567636">
          <w:marLeft w:val="0"/>
          <w:marRight w:val="0"/>
          <w:marTop w:val="0"/>
          <w:marBottom w:val="0"/>
          <w:divBdr>
            <w:top w:val="none" w:sz="0" w:space="0" w:color="auto"/>
            <w:left w:val="none" w:sz="0" w:space="0" w:color="auto"/>
            <w:bottom w:val="none" w:sz="0" w:space="0" w:color="auto"/>
            <w:right w:val="none" w:sz="0" w:space="0" w:color="auto"/>
          </w:divBdr>
          <w:divsChild>
            <w:div w:id="2129473648">
              <w:marLeft w:val="0"/>
              <w:marRight w:val="0"/>
              <w:marTop w:val="0"/>
              <w:marBottom w:val="0"/>
              <w:divBdr>
                <w:top w:val="none" w:sz="0" w:space="0" w:color="auto"/>
                <w:left w:val="none" w:sz="0" w:space="0" w:color="auto"/>
                <w:bottom w:val="none" w:sz="0" w:space="0" w:color="auto"/>
                <w:right w:val="none" w:sz="0" w:space="0" w:color="auto"/>
              </w:divBdr>
              <w:divsChild>
                <w:div w:id="6588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7014">
      <w:bodyDiv w:val="1"/>
      <w:marLeft w:val="0"/>
      <w:marRight w:val="0"/>
      <w:marTop w:val="0"/>
      <w:marBottom w:val="0"/>
      <w:divBdr>
        <w:top w:val="none" w:sz="0" w:space="0" w:color="auto"/>
        <w:left w:val="none" w:sz="0" w:space="0" w:color="auto"/>
        <w:bottom w:val="none" w:sz="0" w:space="0" w:color="auto"/>
        <w:right w:val="none" w:sz="0" w:space="0" w:color="auto"/>
      </w:divBdr>
      <w:divsChild>
        <w:div w:id="1285652191">
          <w:marLeft w:val="0"/>
          <w:marRight w:val="0"/>
          <w:marTop w:val="0"/>
          <w:marBottom w:val="0"/>
          <w:divBdr>
            <w:top w:val="none" w:sz="0" w:space="0" w:color="auto"/>
            <w:left w:val="none" w:sz="0" w:space="0" w:color="auto"/>
            <w:bottom w:val="none" w:sz="0" w:space="0" w:color="auto"/>
            <w:right w:val="none" w:sz="0" w:space="0" w:color="auto"/>
          </w:divBdr>
          <w:divsChild>
            <w:div w:id="1936280376">
              <w:marLeft w:val="0"/>
              <w:marRight w:val="0"/>
              <w:marTop w:val="0"/>
              <w:marBottom w:val="0"/>
              <w:divBdr>
                <w:top w:val="none" w:sz="0" w:space="0" w:color="auto"/>
                <w:left w:val="none" w:sz="0" w:space="0" w:color="auto"/>
                <w:bottom w:val="none" w:sz="0" w:space="0" w:color="auto"/>
                <w:right w:val="none" w:sz="0" w:space="0" w:color="auto"/>
              </w:divBdr>
              <w:divsChild>
                <w:div w:id="1871916502">
                  <w:marLeft w:val="0"/>
                  <w:marRight w:val="0"/>
                  <w:marTop w:val="0"/>
                  <w:marBottom w:val="0"/>
                  <w:divBdr>
                    <w:top w:val="none" w:sz="0" w:space="0" w:color="auto"/>
                    <w:left w:val="none" w:sz="0" w:space="0" w:color="auto"/>
                    <w:bottom w:val="none" w:sz="0" w:space="0" w:color="auto"/>
                    <w:right w:val="none" w:sz="0" w:space="0" w:color="auto"/>
                  </w:divBdr>
                  <w:divsChild>
                    <w:div w:id="17628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89501">
      <w:bodyDiv w:val="1"/>
      <w:marLeft w:val="0"/>
      <w:marRight w:val="0"/>
      <w:marTop w:val="0"/>
      <w:marBottom w:val="0"/>
      <w:divBdr>
        <w:top w:val="none" w:sz="0" w:space="0" w:color="auto"/>
        <w:left w:val="none" w:sz="0" w:space="0" w:color="auto"/>
        <w:bottom w:val="none" w:sz="0" w:space="0" w:color="auto"/>
        <w:right w:val="none" w:sz="0" w:space="0" w:color="auto"/>
      </w:divBdr>
      <w:divsChild>
        <w:div w:id="1342464663">
          <w:marLeft w:val="0"/>
          <w:marRight w:val="0"/>
          <w:marTop w:val="0"/>
          <w:marBottom w:val="0"/>
          <w:divBdr>
            <w:top w:val="none" w:sz="0" w:space="0" w:color="auto"/>
            <w:left w:val="none" w:sz="0" w:space="0" w:color="auto"/>
            <w:bottom w:val="none" w:sz="0" w:space="0" w:color="auto"/>
            <w:right w:val="none" w:sz="0" w:space="0" w:color="auto"/>
          </w:divBdr>
          <w:divsChild>
            <w:div w:id="1504121646">
              <w:marLeft w:val="0"/>
              <w:marRight w:val="0"/>
              <w:marTop w:val="0"/>
              <w:marBottom w:val="0"/>
              <w:divBdr>
                <w:top w:val="none" w:sz="0" w:space="0" w:color="auto"/>
                <w:left w:val="none" w:sz="0" w:space="0" w:color="auto"/>
                <w:bottom w:val="none" w:sz="0" w:space="0" w:color="auto"/>
                <w:right w:val="none" w:sz="0" w:space="0" w:color="auto"/>
              </w:divBdr>
              <w:divsChild>
                <w:div w:id="318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1707">
      <w:bodyDiv w:val="1"/>
      <w:marLeft w:val="0"/>
      <w:marRight w:val="0"/>
      <w:marTop w:val="0"/>
      <w:marBottom w:val="0"/>
      <w:divBdr>
        <w:top w:val="none" w:sz="0" w:space="0" w:color="auto"/>
        <w:left w:val="none" w:sz="0" w:space="0" w:color="auto"/>
        <w:bottom w:val="none" w:sz="0" w:space="0" w:color="auto"/>
        <w:right w:val="none" w:sz="0" w:space="0" w:color="auto"/>
      </w:divBdr>
      <w:divsChild>
        <w:div w:id="1581602497">
          <w:marLeft w:val="0"/>
          <w:marRight w:val="0"/>
          <w:marTop w:val="0"/>
          <w:marBottom w:val="0"/>
          <w:divBdr>
            <w:top w:val="none" w:sz="0" w:space="0" w:color="auto"/>
            <w:left w:val="none" w:sz="0" w:space="0" w:color="auto"/>
            <w:bottom w:val="none" w:sz="0" w:space="0" w:color="auto"/>
            <w:right w:val="none" w:sz="0" w:space="0" w:color="auto"/>
          </w:divBdr>
          <w:divsChild>
            <w:div w:id="1366952119">
              <w:marLeft w:val="0"/>
              <w:marRight w:val="0"/>
              <w:marTop w:val="0"/>
              <w:marBottom w:val="0"/>
              <w:divBdr>
                <w:top w:val="none" w:sz="0" w:space="0" w:color="auto"/>
                <w:left w:val="none" w:sz="0" w:space="0" w:color="auto"/>
                <w:bottom w:val="none" w:sz="0" w:space="0" w:color="auto"/>
                <w:right w:val="none" w:sz="0" w:space="0" w:color="auto"/>
              </w:divBdr>
              <w:divsChild>
                <w:div w:id="4593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5006">
      <w:bodyDiv w:val="1"/>
      <w:marLeft w:val="0"/>
      <w:marRight w:val="0"/>
      <w:marTop w:val="0"/>
      <w:marBottom w:val="0"/>
      <w:divBdr>
        <w:top w:val="none" w:sz="0" w:space="0" w:color="auto"/>
        <w:left w:val="none" w:sz="0" w:space="0" w:color="auto"/>
        <w:bottom w:val="none" w:sz="0" w:space="0" w:color="auto"/>
        <w:right w:val="none" w:sz="0" w:space="0" w:color="auto"/>
      </w:divBdr>
    </w:div>
    <w:div w:id="1548296181">
      <w:bodyDiv w:val="1"/>
      <w:marLeft w:val="0"/>
      <w:marRight w:val="0"/>
      <w:marTop w:val="0"/>
      <w:marBottom w:val="0"/>
      <w:divBdr>
        <w:top w:val="none" w:sz="0" w:space="0" w:color="auto"/>
        <w:left w:val="none" w:sz="0" w:space="0" w:color="auto"/>
        <w:bottom w:val="none" w:sz="0" w:space="0" w:color="auto"/>
        <w:right w:val="none" w:sz="0" w:space="0" w:color="auto"/>
      </w:divBdr>
      <w:divsChild>
        <w:div w:id="607466081">
          <w:marLeft w:val="0"/>
          <w:marRight w:val="0"/>
          <w:marTop w:val="0"/>
          <w:marBottom w:val="0"/>
          <w:divBdr>
            <w:top w:val="none" w:sz="0" w:space="0" w:color="auto"/>
            <w:left w:val="none" w:sz="0" w:space="0" w:color="auto"/>
            <w:bottom w:val="none" w:sz="0" w:space="0" w:color="auto"/>
            <w:right w:val="none" w:sz="0" w:space="0" w:color="auto"/>
          </w:divBdr>
          <w:divsChild>
            <w:div w:id="1601790383">
              <w:marLeft w:val="0"/>
              <w:marRight w:val="0"/>
              <w:marTop w:val="0"/>
              <w:marBottom w:val="0"/>
              <w:divBdr>
                <w:top w:val="none" w:sz="0" w:space="0" w:color="auto"/>
                <w:left w:val="none" w:sz="0" w:space="0" w:color="auto"/>
                <w:bottom w:val="none" w:sz="0" w:space="0" w:color="auto"/>
                <w:right w:val="none" w:sz="0" w:space="0" w:color="auto"/>
              </w:divBdr>
              <w:divsChild>
                <w:div w:id="3795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0456">
      <w:bodyDiv w:val="1"/>
      <w:marLeft w:val="0"/>
      <w:marRight w:val="0"/>
      <w:marTop w:val="0"/>
      <w:marBottom w:val="0"/>
      <w:divBdr>
        <w:top w:val="none" w:sz="0" w:space="0" w:color="auto"/>
        <w:left w:val="none" w:sz="0" w:space="0" w:color="auto"/>
        <w:bottom w:val="none" w:sz="0" w:space="0" w:color="auto"/>
        <w:right w:val="none" w:sz="0" w:space="0" w:color="auto"/>
      </w:divBdr>
      <w:divsChild>
        <w:div w:id="362050093">
          <w:marLeft w:val="0"/>
          <w:marRight w:val="0"/>
          <w:marTop w:val="0"/>
          <w:marBottom w:val="0"/>
          <w:divBdr>
            <w:top w:val="none" w:sz="0" w:space="0" w:color="auto"/>
            <w:left w:val="none" w:sz="0" w:space="0" w:color="auto"/>
            <w:bottom w:val="none" w:sz="0" w:space="0" w:color="auto"/>
            <w:right w:val="none" w:sz="0" w:space="0" w:color="auto"/>
          </w:divBdr>
          <w:divsChild>
            <w:div w:id="926574326">
              <w:marLeft w:val="0"/>
              <w:marRight w:val="0"/>
              <w:marTop w:val="0"/>
              <w:marBottom w:val="0"/>
              <w:divBdr>
                <w:top w:val="none" w:sz="0" w:space="0" w:color="auto"/>
                <w:left w:val="none" w:sz="0" w:space="0" w:color="auto"/>
                <w:bottom w:val="none" w:sz="0" w:space="0" w:color="auto"/>
                <w:right w:val="none" w:sz="0" w:space="0" w:color="auto"/>
              </w:divBdr>
              <w:divsChild>
                <w:div w:id="844056903">
                  <w:marLeft w:val="0"/>
                  <w:marRight w:val="0"/>
                  <w:marTop w:val="0"/>
                  <w:marBottom w:val="0"/>
                  <w:divBdr>
                    <w:top w:val="none" w:sz="0" w:space="0" w:color="auto"/>
                    <w:left w:val="none" w:sz="0" w:space="0" w:color="auto"/>
                    <w:bottom w:val="none" w:sz="0" w:space="0" w:color="auto"/>
                    <w:right w:val="none" w:sz="0" w:space="0" w:color="auto"/>
                  </w:divBdr>
                  <w:divsChild>
                    <w:div w:id="97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4227">
      <w:bodyDiv w:val="1"/>
      <w:marLeft w:val="0"/>
      <w:marRight w:val="0"/>
      <w:marTop w:val="0"/>
      <w:marBottom w:val="0"/>
      <w:divBdr>
        <w:top w:val="none" w:sz="0" w:space="0" w:color="auto"/>
        <w:left w:val="none" w:sz="0" w:space="0" w:color="auto"/>
        <w:bottom w:val="none" w:sz="0" w:space="0" w:color="auto"/>
        <w:right w:val="none" w:sz="0" w:space="0" w:color="auto"/>
      </w:divBdr>
      <w:divsChild>
        <w:div w:id="552035474">
          <w:marLeft w:val="0"/>
          <w:marRight w:val="0"/>
          <w:marTop w:val="0"/>
          <w:marBottom w:val="0"/>
          <w:divBdr>
            <w:top w:val="none" w:sz="0" w:space="0" w:color="auto"/>
            <w:left w:val="none" w:sz="0" w:space="0" w:color="auto"/>
            <w:bottom w:val="none" w:sz="0" w:space="0" w:color="auto"/>
            <w:right w:val="none" w:sz="0" w:space="0" w:color="auto"/>
          </w:divBdr>
          <w:divsChild>
            <w:div w:id="2106730670">
              <w:marLeft w:val="0"/>
              <w:marRight w:val="0"/>
              <w:marTop w:val="0"/>
              <w:marBottom w:val="0"/>
              <w:divBdr>
                <w:top w:val="none" w:sz="0" w:space="0" w:color="auto"/>
                <w:left w:val="none" w:sz="0" w:space="0" w:color="auto"/>
                <w:bottom w:val="none" w:sz="0" w:space="0" w:color="auto"/>
                <w:right w:val="none" w:sz="0" w:space="0" w:color="auto"/>
              </w:divBdr>
              <w:divsChild>
                <w:div w:id="21379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0177">
      <w:bodyDiv w:val="1"/>
      <w:marLeft w:val="0"/>
      <w:marRight w:val="0"/>
      <w:marTop w:val="0"/>
      <w:marBottom w:val="0"/>
      <w:divBdr>
        <w:top w:val="none" w:sz="0" w:space="0" w:color="auto"/>
        <w:left w:val="none" w:sz="0" w:space="0" w:color="auto"/>
        <w:bottom w:val="none" w:sz="0" w:space="0" w:color="auto"/>
        <w:right w:val="none" w:sz="0" w:space="0" w:color="auto"/>
      </w:divBdr>
      <w:divsChild>
        <w:div w:id="644433530">
          <w:marLeft w:val="0"/>
          <w:marRight w:val="0"/>
          <w:marTop w:val="0"/>
          <w:marBottom w:val="0"/>
          <w:divBdr>
            <w:top w:val="none" w:sz="0" w:space="0" w:color="auto"/>
            <w:left w:val="none" w:sz="0" w:space="0" w:color="auto"/>
            <w:bottom w:val="none" w:sz="0" w:space="0" w:color="auto"/>
            <w:right w:val="none" w:sz="0" w:space="0" w:color="auto"/>
          </w:divBdr>
          <w:divsChild>
            <w:div w:id="406614565">
              <w:marLeft w:val="0"/>
              <w:marRight w:val="0"/>
              <w:marTop w:val="0"/>
              <w:marBottom w:val="0"/>
              <w:divBdr>
                <w:top w:val="none" w:sz="0" w:space="0" w:color="auto"/>
                <w:left w:val="none" w:sz="0" w:space="0" w:color="auto"/>
                <w:bottom w:val="none" w:sz="0" w:space="0" w:color="auto"/>
                <w:right w:val="none" w:sz="0" w:space="0" w:color="auto"/>
              </w:divBdr>
              <w:divsChild>
                <w:div w:id="8248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78633040">
      <w:bodyDiv w:val="1"/>
      <w:marLeft w:val="0"/>
      <w:marRight w:val="0"/>
      <w:marTop w:val="0"/>
      <w:marBottom w:val="0"/>
      <w:divBdr>
        <w:top w:val="none" w:sz="0" w:space="0" w:color="auto"/>
        <w:left w:val="none" w:sz="0" w:space="0" w:color="auto"/>
        <w:bottom w:val="none" w:sz="0" w:space="0" w:color="auto"/>
        <w:right w:val="none" w:sz="0" w:space="0" w:color="auto"/>
      </w:divBdr>
    </w:div>
    <w:div w:id="1627277803">
      <w:bodyDiv w:val="1"/>
      <w:marLeft w:val="0"/>
      <w:marRight w:val="0"/>
      <w:marTop w:val="0"/>
      <w:marBottom w:val="0"/>
      <w:divBdr>
        <w:top w:val="none" w:sz="0" w:space="0" w:color="auto"/>
        <w:left w:val="none" w:sz="0" w:space="0" w:color="auto"/>
        <w:bottom w:val="none" w:sz="0" w:space="0" w:color="auto"/>
        <w:right w:val="none" w:sz="0" w:space="0" w:color="auto"/>
      </w:divBdr>
    </w:div>
    <w:div w:id="1644698370">
      <w:bodyDiv w:val="1"/>
      <w:marLeft w:val="0"/>
      <w:marRight w:val="0"/>
      <w:marTop w:val="0"/>
      <w:marBottom w:val="0"/>
      <w:divBdr>
        <w:top w:val="none" w:sz="0" w:space="0" w:color="auto"/>
        <w:left w:val="none" w:sz="0" w:space="0" w:color="auto"/>
        <w:bottom w:val="none" w:sz="0" w:space="0" w:color="auto"/>
        <w:right w:val="none" w:sz="0" w:space="0" w:color="auto"/>
      </w:divBdr>
    </w:div>
    <w:div w:id="1660770660">
      <w:bodyDiv w:val="1"/>
      <w:marLeft w:val="0"/>
      <w:marRight w:val="0"/>
      <w:marTop w:val="0"/>
      <w:marBottom w:val="0"/>
      <w:divBdr>
        <w:top w:val="none" w:sz="0" w:space="0" w:color="auto"/>
        <w:left w:val="none" w:sz="0" w:space="0" w:color="auto"/>
        <w:bottom w:val="none" w:sz="0" w:space="0" w:color="auto"/>
        <w:right w:val="none" w:sz="0" w:space="0" w:color="auto"/>
      </w:divBdr>
      <w:divsChild>
        <w:div w:id="1423918922">
          <w:marLeft w:val="0"/>
          <w:marRight w:val="0"/>
          <w:marTop w:val="0"/>
          <w:marBottom w:val="0"/>
          <w:divBdr>
            <w:top w:val="none" w:sz="0" w:space="0" w:color="auto"/>
            <w:left w:val="none" w:sz="0" w:space="0" w:color="auto"/>
            <w:bottom w:val="none" w:sz="0" w:space="0" w:color="auto"/>
            <w:right w:val="none" w:sz="0" w:space="0" w:color="auto"/>
          </w:divBdr>
        </w:div>
        <w:div w:id="1826163286">
          <w:marLeft w:val="0"/>
          <w:marRight w:val="0"/>
          <w:marTop w:val="0"/>
          <w:marBottom w:val="0"/>
          <w:divBdr>
            <w:top w:val="none" w:sz="0" w:space="0" w:color="auto"/>
            <w:left w:val="none" w:sz="0" w:space="0" w:color="auto"/>
            <w:bottom w:val="none" w:sz="0" w:space="0" w:color="auto"/>
            <w:right w:val="none" w:sz="0" w:space="0" w:color="auto"/>
          </w:divBdr>
        </w:div>
        <w:div w:id="169569610">
          <w:marLeft w:val="0"/>
          <w:marRight w:val="0"/>
          <w:marTop w:val="0"/>
          <w:marBottom w:val="0"/>
          <w:divBdr>
            <w:top w:val="none" w:sz="0" w:space="0" w:color="auto"/>
            <w:left w:val="none" w:sz="0" w:space="0" w:color="auto"/>
            <w:bottom w:val="none" w:sz="0" w:space="0" w:color="auto"/>
            <w:right w:val="none" w:sz="0" w:space="0" w:color="auto"/>
          </w:divBdr>
        </w:div>
      </w:divsChild>
    </w:div>
    <w:div w:id="1760563111">
      <w:bodyDiv w:val="1"/>
      <w:marLeft w:val="0"/>
      <w:marRight w:val="0"/>
      <w:marTop w:val="0"/>
      <w:marBottom w:val="0"/>
      <w:divBdr>
        <w:top w:val="none" w:sz="0" w:space="0" w:color="auto"/>
        <w:left w:val="none" w:sz="0" w:space="0" w:color="auto"/>
        <w:bottom w:val="none" w:sz="0" w:space="0" w:color="auto"/>
        <w:right w:val="none" w:sz="0" w:space="0" w:color="auto"/>
      </w:divBdr>
      <w:divsChild>
        <w:div w:id="588734266">
          <w:marLeft w:val="0"/>
          <w:marRight w:val="0"/>
          <w:marTop w:val="0"/>
          <w:marBottom w:val="0"/>
          <w:divBdr>
            <w:top w:val="none" w:sz="0" w:space="0" w:color="auto"/>
            <w:left w:val="none" w:sz="0" w:space="0" w:color="auto"/>
            <w:bottom w:val="none" w:sz="0" w:space="0" w:color="auto"/>
            <w:right w:val="none" w:sz="0" w:space="0" w:color="auto"/>
          </w:divBdr>
          <w:divsChild>
            <w:div w:id="651060966">
              <w:marLeft w:val="0"/>
              <w:marRight w:val="0"/>
              <w:marTop w:val="0"/>
              <w:marBottom w:val="0"/>
              <w:divBdr>
                <w:top w:val="none" w:sz="0" w:space="0" w:color="auto"/>
                <w:left w:val="none" w:sz="0" w:space="0" w:color="auto"/>
                <w:bottom w:val="none" w:sz="0" w:space="0" w:color="auto"/>
                <w:right w:val="none" w:sz="0" w:space="0" w:color="auto"/>
              </w:divBdr>
              <w:divsChild>
                <w:div w:id="2043165154">
                  <w:marLeft w:val="0"/>
                  <w:marRight w:val="0"/>
                  <w:marTop w:val="0"/>
                  <w:marBottom w:val="0"/>
                  <w:divBdr>
                    <w:top w:val="none" w:sz="0" w:space="0" w:color="auto"/>
                    <w:left w:val="none" w:sz="0" w:space="0" w:color="auto"/>
                    <w:bottom w:val="none" w:sz="0" w:space="0" w:color="auto"/>
                    <w:right w:val="none" w:sz="0" w:space="0" w:color="auto"/>
                  </w:divBdr>
                  <w:divsChild>
                    <w:div w:id="3462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3252">
      <w:bodyDiv w:val="1"/>
      <w:marLeft w:val="0"/>
      <w:marRight w:val="0"/>
      <w:marTop w:val="0"/>
      <w:marBottom w:val="0"/>
      <w:divBdr>
        <w:top w:val="none" w:sz="0" w:space="0" w:color="auto"/>
        <w:left w:val="none" w:sz="0" w:space="0" w:color="auto"/>
        <w:bottom w:val="none" w:sz="0" w:space="0" w:color="auto"/>
        <w:right w:val="none" w:sz="0" w:space="0" w:color="auto"/>
      </w:divBdr>
      <w:divsChild>
        <w:div w:id="289435722">
          <w:marLeft w:val="0"/>
          <w:marRight w:val="0"/>
          <w:marTop w:val="0"/>
          <w:marBottom w:val="0"/>
          <w:divBdr>
            <w:top w:val="none" w:sz="0" w:space="0" w:color="auto"/>
            <w:left w:val="none" w:sz="0" w:space="0" w:color="auto"/>
            <w:bottom w:val="none" w:sz="0" w:space="0" w:color="auto"/>
            <w:right w:val="none" w:sz="0" w:space="0" w:color="auto"/>
          </w:divBdr>
          <w:divsChild>
            <w:div w:id="675348547">
              <w:marLeft w:val="0"/>
              <w:marRight w:val="0"/>
              <w:marTop w:val="0"/>
              <w:marBottom w:val="0"/>
              <w:divBdr>
                <w:top w:val="none" w:sz="0" w:space="0" w:color="auto"/>
                <w:left w:val="none" w:sz="0" w:space="0" w:color="auto"/>
                <w:bottom w:val="none" w:sz="0" w:space="0" w:color="auto"/>
                <w:right w:val="none" w:sz="0" w:space="0" w:color="auto"/>
              </w:divBdr>
              <w:divsChild>
                <w:div w:id="1283462500">
                  <w:marLeft w:val="0"/>
                  <w:marRight w:val="0"/>
                  <w:marTop w:val="0"/>
                  <w:marBottom w:val="0"/>
                  <w:divBdr>
                    <w:top w:val="none" w:sz="0" w:space="0" w:color="auto"/>
                    <w:left w:val="none" w:sz="0" w:space="0" w:color="auto"/>
                    <w:bottom w:val="none" w:sz="0" w:space="0" w:color="auto"/>
                    <w:right w:val="none" w:sz="0" w:space="0" w:color="auto"/>
                  </w:divBdr>
                  <w:divsChild>
                    <w:div w:id="4586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836394">
      <w:bodyDiv w:val="1"/>
      <w:marLeft w:val="0"/>
      <w:marRight w:val="0"/>
      <w:marTop w:val="0"/>
      <w:marBottom w:val="0"/>
      <w:divBdr>
        <w:top w:val="none" w:sz="0" w:space="0" w:color="auto"/>
        <w:left w:val="none" w:sz="0" w:space="0" w:color="auto"/>
        <w:bottom w:val="none" w:sz="0" w:space="0" w:color="auto"/>
        <w:right w:val="none" w:sz="0" w:space="0" w:color="auto"/>
      </w:divBdr>
      <w:divsChild>
        <w:div w:id="1933317514">
          <w:marLeft w:val="0"/>
          <w:marRight w:val="0"/>
          <w:marTop w:val="0"/>
          <w:marBottom w:val="0"/>
          <w:divBdr>
            <w:top w:val="none" w:sz="0" w:space="0" w:color="auto"/>
            <w:left w:val="none" w:sz="0" w:space="0" w:color="auto"/>
            <w:bottom w:val="none" w:sz="0" w:space="0" w:color="auto"/>
            <w:right w:val="none" w:sz="0" w:space="0" w:color="auto"/>
          </w:divBdr>
          <w:divsChild>
            <w:div w:id="2087341691">
              <w:marLeft w:val="0"/>
              <w:marRight w:val="0"/>
              <w:marTop w:val="0"/>
              <w:marBottom w:val="0"/>
              <w:divBdr>
                <w:top w:val="none" w:sz="0" w:space="0" w:color="auto"/>
                <w:left w:val="none" w:sz="0" w:space="0" w:color="auto"/>
                <w:bottom w:val="none" w:sz="0" w:space="0" w:color="auto"/>
                <w:right w:val="none" w:sz="0" w:space="0" w:color="auto"/>
              </w:divBdr>
              <w:divsChild>
                <w:div w:id="664017251">
                  <w:marLeft w:val="0"/>
                  <w:marRight w:val="0"/>
                  <w:marTop w:val="0"/>
                  <w:marBottom w:val="0"/>
                  <w:divBdr>
                    <w:top w:val="none" w:sz="0" w:space="0" w:color="auto"/>
                    <w:left w:val="none" w:sz="0" w:space="0" w:color="auto"/>
                    <w:bottom w:val="none" w:sz="0" w:space="0" w:color="auto"/>
                    <w:right w:val="none" w:sz="0" w:space="0" w:color="auto"/>
                  </w:divBdr>
                  <w:divsChild>
                    <w:div w:id="10698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3755">
      <w:bodyDiv w:val="1"/>
      <w:marLeft w:val="0"/>
      <w:marRight w:val="0"/>
      <w:marTop w:val="0"/>
      <w:marBottom w:val="0"/>
      <w:divBdr>
        <w:top w:val="none" w:sz="0" w:space="0" w:color="auto"/>
        <w:left w:val="none" w:sz="0" w:space="0" w:color="auto"/>
        <w:bottom w:val="none" w:sz="0" w:space="0" w:color="auto"/>
        <w:right w:val="none" w:sz="0" w:space="0" w:color="auto"/>
      </w:divBdr>
    </w:div>
    <w:div w:id="1810972251">
      <w:bodyDiv w:val="1"/>
      <w:marLeft w:val="0"/>
      <w:marRight w:val="0"/>
      <w:marTop w:val="0"/>
      <w:marBottom w:val="0"/>
      <w:divBdr>
        <w:top w:val="none" w:sz="0" w:space="0" w:color="auto"/>
        <w:left w:val="none" w:sz="0" w:space="0" w:color="auto"/>
        <w:bottom w:val="none" w:sz="0" w:space="0" w:color="auto"/>
        <w:right w:val="none" w:sz="0" w:space="0" w:color="auto"/>
      </w:divBdr>
      <w:divsChild>
        <w:div w:id="2131624062">
          <w:marLeft w:val="0"/>
          <w:marRight w:val="0"/>
          <w:marTop w:val="0"/>
          <w:marBottom w:val="0"/>
          <w:divBdr>
            <w:top w:val="none" w:sz="0" w:space="0" w:color="auto"/>
            <w:left w:val="none" w:sz="0" w:space="0" w:color="auto"/>
            <w:bottom w:val="none" w:sz="0" w:space="0" w:color="auto"/>
            <w:right w:val="none" w:sz="0" w:space="0" w:color="auto"/>
          </w:divBdr>
          <w:divsChild>
            <w:div w:id="716507897">
              <w:marLeft w:val="0"/>
              <w:marRight w:val="0"/>
              <w:marTop w:val="0"/>
              <w:marBottom w:val="0"/>
              <w:divBdr>
                <w:top w:val="none" w:sz="0" w:space="0" w:color="auto"/>
                <w:left w:val="none" w:sz="0" w:space="0" w:color="auto"/>
                <w:bottom w:val="none" w:sz="0" w:space="0" w:color="auto"/>
                <w:right w:val="none" w:sz="0" w:space="0" w:color="auto"/>
              </w:divBdr>
              <w:divsChild>
                <w:div w:id="1248541327">
                  <w:marLeft w:val="0"/>
                  <w:marRight w:val="0"/>
                  <w:marTop w:val="0"/>
                  <w:marBottom w:val="0"/>
                  <w:divBdr>
                    <w:top w:val="none" w:sz="0" w:space="0" w:color="auto"/>
                    <w:left w:val="none" w:sz="0" w:space="0" w:color="auto"/>
                    <w:bottom w:val="none" w:sz="0" w:space="0" w:color="auto"/>
                    <w:right w:val="none" w:sz="0" w:space="0" w:color="auto"/>
                  </w:divBdr>
                  <w:divsChild>
                    <w:div w:id="6913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3162">
      <w:bodyDiv w:val="1"/>
      <w:marLeft w:val="0"/>
      <w:marRight w:val="0"/>
      <w:marTop w:val="0"/>
      <w:marBottom w:val="0"/>
      <w:divBdr>
        <w:top w:val="none" w:sz="0" w:space="0" w:color="auto"/>
        <w:left w:val="none" w:sz="0" w:space="0" w:color="auto"/>
        <w:bottom w:val="none" w:sz="0" w:space="0" w:color="auto"/>
        <w:right w:val="none" w:sz="0" w:space="0" w:color="auto"/>
      </w:divBdr>
      <w:divsChild>
        <w:div w:id="439227413">
          <w:marLeft w:val="0"/>
          <w:marRight w:val="0"/>
          <w:marTop w:val="0"/>
          <w:marBottom w:val="0"/>
          <w:divBdr>
            <w:top w:val="none" w:sz="0" w:space="0" w:color="auto"/>
            <w:left w:val="none" w:sz="0" w:space="0" w:color="auto"/>
            <w:bottom w:val="none" w:sz="0" w:space="0" w:color="auto"/>
            <w:right w:val="none" w:sz="0" w:space="0" w:color="auto"/>
          </w:divBdr>
          <w:divsChild>
            <w:div w:id="1762675144">
              <w:marLeft w:val="0"/>
              <w:marRight w:val="0"/>
              <w:marTop w:val="0"/>
              <w:marBottom w:val="0"/>
              <w:divBdr>
                <w:top w:val="none" w:sz="0" w:space="0" w:color="auto"/>
                <w:left w:val="none" w:sz="0" w:space="0" w:color="auto"/>
                <w:bottom w:val="none" w:sz="0" w:space="0" w:color="auto"/>
                <w:right w:val="none" w:sz="0" w:space="0" w:color="auto"/>
              </w:divBdr>
              <w:divsChild>
                <w:div w:id="1487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750">
      <w:bodyDiv w:val="1"/>
      <w:marLeft w:val="0"/>
      <w:marRight w:val="0"/>
      <w:marTop w:val="0"/>
      <w:marBottom w:val="0"/>
      <w:divBdr>
        <w:top w:val="none" w:sz="0" w:space="0" w:color="auto"/>
        <w:left w:val="none" w:sz="0" w:space="0" w:color="auto"/>
        <w:bottom w:val="none" w:sz="0" w:space="0" w:color="auto"/>
        <w:right w:val="none" w:sz="0" w:space="0" w:color="auto"/>
      </w:divBdr>
      <w:divsChild>
        <w:div w:id="955793065">
          <w:marLeft w:val="0"/>
          <w:marRight w:val="0"/>
          <w:marTop w:val="0"/>
          <w:marBottom w:val="0"/>
          <w:divBdr>
            <w:top w:val="none" w:sz="0" w:space="0" w:color="auto"/>
            <w:left w:val="none" w:sz="0" w:space="0" w:color="auto"/>
            <w:bottom w:val="none" w:sz="0" w:space="0" w:color="auto"/>
            <w:right w:val="none" w:sz="0" w:space="0" w:color="auto"/>
          </w:divBdr>
          <w:divsChild>
            <w:div w:id="866256487">
              <w:marLeft w:val="0"/>
              <w:marRight w:val="0"/>
              <w:marTop w:val="0"/>
              <w:marBottom w:val="0"/>
              <w:divBdr>
                <w:top w:val="none" w:sz="0" w:space="0" w:color="auto"/>
                <w:left w:val="none" w:sz="0" w:space="0" w:color="auto"/>
                <w:bottom w:val="none" w:sz="0" w:space="0" w:color="auto"/>
                <w:right w:val="none" w:sz="0" w:space="0" w:color="auto"/>
              </w:divBdr>
              <w:divsChild>
                <w:div w:id="1031877984">
                  <w:marLeft w:val="0"/>
                  <w:marRight w:val="0"/>
                  <w:marTop w:val="0"/>
                  <w:marBottom w:val="0"/>
                  <w:divBdr>
                    <w:top w:val="none" w:sz="0" w:space="0" w:color="auto"/>
                    <w:left w:val="none" w:sz="0" w:space="0" w:color="auto"/>
                    <w:bottom w:val="none" w:sz="0" w:space="0" w:color="auto"/>
                    <w:right w:val="none" w:sz="0" w:space="0" w:color="auto"/>
                  </w:divBdr>
                  <w:divsChild>
                    <w:div w:id="13639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3278">
      <w:bodyDiv w:val="1"/>
      <w:marLeft w:val="0"/>
      <w:marRight w:val="0"/>
      <w:marTop w:val="0"/>
      <w:marBottom w:val="0"/>
      <w:divBdr>
        <w:top w:val="none" w:sz="0" w:space="0" w:color="auto"/>
        <w:left w:val="none" w:sz="0" w:space="0" w:color="auto"/>
        <w:bottom w:val="none" w:sz="0" w:space="0" w:color="auto"/>
        <w:right w:val="none" w:sz="0" w:space="0" w:color="auto"/>
      </w:divBdr>
    </w:div>
    <w:div w:id="1888565999">
      <w:bodyDiv w:val="1"/>
      <w:marLeft w:val="0"/>
      <w:marRight w:val="0"/>
      <w:marTop w:val="0"/>
      <w:marBottom w:val="0"/>
      <w:divBdr>
        <w:top w:val="none" w:sz="0" w:space="0" w:color="auto"/>
        <w:left w:val="none" w:sz="0" w:space="0" w:color="auto"/>
        <w:bottom w:val="none" w:sz="0" w:space="0" w:color="auto"/>
        <w:right w:val="none" w:sz="0" w:space="0" w:color="auto"/>
      </w:divBdr>
    </w:div>
    <w:div w:id="1926264446">
      <w:bodyDiv w:val="1"/>
      <w:marLeft w:val="0"/>
      <w:marRight w:val="0"/>
      <w:marTop w:val="0"/>
      <w:marBottom w:val="0"/>
      <w:divBdr>
        <w:top w:val="none" w:sz="0" w:space="0" w:color="auto"/>
        <w:left w:val="none" w:sz="0" w:space="0" w:color="auto"/>
        <w:bottom w:val="none" w:sz="0" w:space="0" w:color="auto"/>
        <w:right w:val="none" w:sz="0" w:space="0" w:color="auto"/>
      </w:divBdr>
      <w:divsChild>
        <w:div w:id="1854420248">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0"/>
              <w:divBdr>
                <w:top w:val="none" w:sz="0" w:space="0" w:color="auto"/>
                <w:left w:val="none" w:sz="0" w:space="0" w:color="auto"/>
                <w:bottom w:val="none" w:sz="0" w:space="0" w:color="auto"/>
                <w:right w:val="none" w:sz="0" w:space="0" w:color="auto"/>
              </w:divBdr>
              <w:divsChild>
                <w:div w:id="2116441377">
                  <w:marLeft w:val="0"/>
                  <w:marRight w:val="0"/>
                  <w:marTop w:val="0"/>
                  <w:marBottom w:val="0"/>
                  <w:divBdr>
                    <w:top w:val="none" w:sz="0" w:space="0" w:color="auto"/>
                    <w:left w:val="none" w:sz="0" w:space="0" w:color="auto"/>
                    <w:bottom w:val="none" w:sz="0" w:space="0" w:color="auto"/>
                    <w:right w:val="none" w:sz="0" w:space="0" w:color="auto"/>
                  </w:divBdr>
                  <w:divsChild>
                    <w:div w:id="348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6490">
      <w:bodyDiv w:val="1"/>
      <w:marLeft w:val="0"/>
      <w:marRight w:val="0"/>
      <w:marTop w:val="0"/>
      <w:marBottom w:val="0"/>
      <w:divBdr>
        <w:top w:val="none" w:sz="0" w:space="0" w:color="auto"/>
        <w:left w:val="none" w:sz="0" w:space="0" w:color="auto"/>
        <w:bottom w:val="none" w:sz="0" w:space="0" w:color="auto"/>
        <w:right w:val="none" w:sz="0" w:space="0" w:color="auto"/>
      </w:divBdr>
    </w:div>
    <w:div w:id="1953127702">
      <w:bodyDiv w:val="1"/>
      <w:marLeft w:val="0"/>
      <w:marRight w:val="0"/>
      <w:marTop w:val="0"/>
      <w:marBottom w:val="0"/>
      <w:divBdr>
        <w:top w:val="none" w:sz="0" w:space="0" w:color="auto"/>
        <w:left w:val="none" w:sz="0" w:space="0" w:color="auto"/>
        <w:bottom w:val="none" w:sz="0" w:space="0" w:color="auto"/>
        <w:right w:val="none" w:sz="0" w:space="0" w:color="auto"/>
      </w:divBdr>
      <w:divsChild>
        <w:div w:id="1913927437">
          <w:marLeft w:val="0"/>
          <w:marRight w:val="0"/>
          <w:marTop w:val="0"/>
          <w:marBottom w:val="0"/>
          <w:divBdr>
            <w:top w:val="none" w:sz="0" w:space="0" w:color="auto"/>
            <w:left w:val="none" w:sz="0" w:space="0" w:color="auto"/>
            <w:bottom w:val="none" w:sz="0" w:space="0" w:color="auto"/>
            <w:right w:val="none" w:sz="0" w:space="0" w:color="auto"/>
          </w:divBdr>
          <w:divsChild>
            <w:div w:id="615792651">
              <w:marLeft w:val="0"/>
              <w:marRight w:val="0"/>
              <w:marTop w:val="0"/>
              <w:marBottom w:val="0"/>
              <w:divBdr>
                <w:top w:val="none" w:sz="0" w:space="0" w:color="auto"/>
                <w:left w:val="none" w:sz="0" w:space="0" w:color="auto"/>
                <w:bottom w:val="none" w:sz="0" w:space="0" w:color="auto"/>
                <w:right w:val="none" w:sz="0" w:space="0" w:color="auto"/>
              </w:divBdr>
              <w:divsChild>
                <w:div w:id="730691743">
                  <w:marLeft w:val="0"/>
                  <w:marRight w:val="0"/>
                  <w:marTop w:val="0"/>
                  <w:marBottom w:val="0"/>
                  <w:divBdr>
                    <w:top w:val="none" w:sz="0" w:space="0" w:color="auto"/>
                    <w:left w:val="none" w:sz="0" w:space="0" w:color="auto"/>
                    <w:bottom w:val="none" w:sz="0" w:space="0" w:color="auto"/>
                    <w:right w:val="none" w:sz="0" w:space="0" w:color="auto"/>
                  </w:divBdr>
                  <w:divsChild>
                    <w:div w:id="2774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5956">
      <w:bodyDiv w:val="1"/>
      <w:marLeft w:val="0"/>
      <w:marRight w:val="0"/>
      <w:marTop w:val="0"/>
      <w:marBottom w:val="0"/>
      <w:divBdr>
        <w:top w:val="none" w:sz="0" w:space="0" w:color="auto"/>
        <w:left w:val="none" w:sz="0" w:space="0" w:color="auto"/>
        <w:bottom w:val="none" w:sz="0" w:space="0" w:color="auto"/>
        <w:right w:val="none" w:sz="0" w:space="0" w:color="auto"/>
      </w:divBdr>
      <w:divsChild>
        <w:div w:id="1183859449">
          <w:marLeft w:val="0"/>
          <w:marRight w:val="0"/>
          <w:marTop w:val="0"/>
          <w:marBottom w:val="0"/>
          <w:divBdr>
            <w:top w:val="none" w:sz="0" w:space="0" w:color="auto"/>
            <w:left w:val="none" w:sz="0" w:space="0" w:color="auto"/>
            <w:bottom w:val="none" w:sz="0" w:space="0" w:color="auto"/>
            <w:right w:val="none" w:sz="0" w:space="0" w:color="auto"/>
          </w:divBdr>
          <w:divsChild>
            <w:div w:id="1191531464">
              <w:marLeft w:val="0"/>
              <w:marRight w:val="0"/>
              <w:marTop w:val="0"/>
              <w:marBottom w:val="0"/>
              <w:divBdr>
                <w:top w:val="none" w:sz="0" w:space="0" w:color="auto"/>
                <w:left w:val="none" w:sz="0" w:space="0" w:color="auto"/>
                <w:bottom w:val="none" w:sz="0" w:space="0" w:color="auto"/>
                <w:right w:val="none" w:sz="0" w:space="0" w:color="auto"/>
              </w:divBdr>
              <w:divsChild>
                <w:div w:id="1178041952">
                  <w:marLeft w:val="0"/>
                  <w:marRight w:val="0"/>
                  <w:marTop w:val="0"/>
                  <w:marBottom w:val="0"/>
                  <w:divBdr>
                    <w:top w:val="none" w:sz="0" w:space="0" w:color="auto"/>
                    <w:left w:val="none" w:sz="0" w:space="0" w:color="auto"/>
                    <w:bottom w:val="none" w:sz="0" w:space="0" w:color="auto"/>
                    <w:right w:val="none" w:sz="0" w:space="0" w:color="auto"/>
                  </w:divBdr>
                  <w:divsChild>
                    <w:div w:id="11175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4610">
      <w:bodyDiv w:val="1"/>
      <w:marLeft w:val="0"/>
      <w:marRight w:val="0"/>
      <w:marTop w:val="0"/>
      <w:marBottom w:val="0"/>
      <w:divBdr>
        <w:top w:val="none" w:sz="0" w:space="0" w:color="auto"/>
        <w:left w:val="none" w:sz="0" w:space="0" w:color="auto"/>
        <w:bottom w:val="none" w:sz="0" w:space="0" w:color="auto"/>
        <w:right w:val="none" w:sz="0" w:space="0" w:color="auto"/>
      </w:divBdr>
      <w:divsChild>
        <w:div w:id="1987394954">
          <w:marLeft w:val="0"/>
          <w:marRight w:val="0"/>
          <w:marTop w:val="0"/>
          <w:marBottom w:val="0"/>
          <w:divBdr>
            <w:top w:val="none" w:sz="0" w:space="0" w:color="auto"/>
            <w:left w:val="none" w:sz="0" w:space="0" w:color="auto"/>
            <w:bottom w:val="none" w:sz="0" w:space="0" w:color="auto"/>
            <w:right w:val="none" w:sz="0" w:space="0" w:color="auto"/>
          </w:divBdr>
          <w:divsChild>
            <w:div w:id="27880048">
              <w:marLeft w:val="0"/>
              <w:marRight w:val="0"/>
              <w:marTop w:val="0"/>
              <w:marBottom w:val="0"/>
              <w:divBdr>
                <w:top w:val="none" w:sz="0" w:space="0" w:color="auto"/>
                <w:left w:val="none" w:sz="0" w:space="0" w:color="auto"/>
                <w:bottom w:val="none" w:sz="0" w:space="0" w:color="auto"/>
                <w:right w:val="none" w:sz="0" w:space="0" w:color="auto"/>
              </w:divBdr>
              <w:divsChild>
                <w:div w:id="1215195253">
                  <w:marLeft w:val="0"/>
                  <w:marRight w:val="0"/>
                  <w:marTop w:val="0"/>
                  <w:marBottom w:val="0"/>
                  <w:divBdr>
                    <w:top w:val="none" w:sz="0" w:space="0" w:color="auto"/>
                    <w:left w:val="none" w:sz="0" w:space="0" w:color="auto"/>
                    <w:bottom w:val="none" w:sz="0" w:space="0" w:color="auto"/>
                    <w:right w:val="none" w:sz="0" w:space="0" w:color="auto"/>
                  </w:divBdr>
                  <w:divsChild>
                    <w:div w:id="2352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1910">
      <w:bodyDiv w:val="1"/>
      <w:marLeft w:val="0"/>
      <w:marRight w:val="0"/>
      <w:marTop w:val="0"/>
      <w:marBottom w:val="0"/>
      <w:divBdr>
        <w:top w:val="none" w:sz="0" w:space="0" w:color="auto"/>
        <w:left w:val="none" w:sz="0" w:space="0" w:color="auto"/>
        <w:bottom w:val="none" w:sz="0" w:space="0" w:color="auto"/>
        <w:right w:val="none" w:sz="0" w:space="0" w:color="auto"/>
      </w:divBdr>
      <w:divsChild>
        <w:div w:id="1887059408">
          <w:marLeft w:val="0"/>
          <w:marRight w:val="0"/>
          <w:marTop w:val="0"/>
          <w:marBottom w:val="0"/>
          <w:divBdr>
            <w:top w:val="none" w:sz="0" w:space="0" w:color="auto"/>
            <w:left w:val="none" w:sz="0" w:space="0" w:color="auto"/>
            <w:bottom w:val="none" w:sz="0" w:space="0" w:color="auto"/>
            <w:right w:val="none" w:sz="0" w:space="0" w:color="auto"/>
          </w:divBdr>
          <w:divsChild>
            <w:div w:id="389420603">
              <w:marLeft w:val="0"/>
              <w:marRight w:val="0"/>
              <w:marTop w:val="0"/>
              <w:marBottom w:val="0"/>
              <w:divBdr>
                <w:top w:val="none" w:sz="0" w:space="0" w:color="auto"/>
                <w:left w:val="none" w:sz="0" w:space="0" w:color="auto"/>
                <w:bottom w:val="none" w:sz="0" w:space="0" w:color="auto"/>
                <w:right w:val="none" w:sz="0" w:space="0" w:color="auto"/>
              </w:divBdr>
              <w:divsChild>
                <w:div w:id="1740790471">
                  <w:marLeft w:val="0"/>
                  <w:marRight w:val="0"/>
                  <w:marTop w:val="0"/>
                  <w:marBottom w:val="0"/>
                  <w:divBdr>
                    <w:top w:val="none" w:sz="0" w:space="0" w:color="auto"/>
                    <w:left w:val="none" w:sz="0" w:space="0" w:color="auto"/>
                    <w:bottom w:val="none" w:sz="0" w:space="0" w:color="auto"/>
                    <w:right w:val="none" w:sz="0" w:space="0" w:color="auto"/>
                  </w:divBdr>
                  <w:divsChild>
                    <w:div w:id="3091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72702">
      <w:bodyDiv w:val="1"/>
      <w:marLeft w:val="0"/>
      <w:marRight w:val="0"/>
      <w:marTop w:val="0"/>
      <w:marBottom w:val="0"/>
      <w:divBdr>
        <w:top w:val="none" w:sz="0" w:space="0" w:color="auto"/>
        <w:left w:val="none" w:sz="0" w:space="0" w:color="auto"/>
        <w:bottom w:val="none" w:sz="0" w:space="0" w:color="auto"/>
        <w:right w:val="none" w:sz="0" w:space="0" w:color="auto"/>
      </w:divBdr>
    </w:div>
    <w:div w:id="2001881107">
      <w:bodyDiv w:val="1"/>
      <w:marLeft w:val="0"/>
      <w:marRight w:val="0"/>
      <w:marTop w:val="0"/>
      <w:marBottom w:val="0"/>
      <w:divBdr>
        <w:top w:val="none" w:sz="0" w:space="0" w:color="auto"/>
        <w:left w:val="none" w:sz="0" w:space="0" w:color="auto"/>
        <w:bottom w:val="none" w:sz="0" w:space="0" w:color="auto"/>
        <w:right w:val="none" w:sz="0" w:space="0" w:color="auto"/>
      </w:divBdr>
      <w:divsChild>
        <w:div w:id="847789517">
          <w:marLeft w:val="0"/>
          <w:marRight w:val="0"/>
          <w:marTop w:val="0"/>
          <w:marBottom w:val="0"/>
          <w:divBdr>
            <w:top w:val="none" w:sz="0" w:space="0" w:color="auto"/>
            <w:left w:val="none" w:sz="0" w:space="0" w:color="auto"/>
            <w:bottom w:val="none" w:sz="0" w:space="0" w:color="auto"/>
            <w:right w:val="none" w:sz="0" w:space="0" w:color="auto"/>
          </w:divBdr>
          <w:divsChild>
            <w:div w:id="1020158324">
              <w:marLeft w:val="0"/>
              <w:marRight w:val="0"/>
              <w:marTop w:val="0"/>
              <w:marBottom w:val="0"/>
              <w:divBdr>
                <w:top w:val="none" w:sz="0" w:space="0" w:color="auto"/>
                <w:left w:val="none" w:sz="0" w:space="0" w:color="auto"/>
                <w:bottom w:val="none" w:sz="0" w:space="0" w:color="auto"/>
                <w:right w:val="none" w:sz="0" w:space="0" w:color="auto"/>
              </w:divBdr>
              <w:divsChild>
                <w:div w:id="1018508517">
                  <w:marLeft w:val="0"/>
                  <w:marRight w:val="0"/>
                  <w:marTop w:val="0"/>
                  <w:marBottom w:val="0"/>
                  <w:divBdr>
                    <w:top w:val="none" w:sz="0" w:space="0" w:color="auto"/>
                    <w:left w:val="none" w:sz="0" w:space="0" w:color="auto"/>
                    <w:bottom w:val="none" w:sz="0" w:space="0" w:color="auto"/>
                    <w:right w:val="none" w:sz="0" w:space="0" w:color="auto"/>
                  </w:divBdr>
                  <w:divsChild>
                    <w:div w:id="2636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02119">
      <w:bodyDiv w:val="1"/>
      <w:marLeft w:val="0"/>
      <w:marRight w:val="0"/>
      <w:marTop w:val="0"/>
      <w:marBottom w:val="0"/>
      <w:divBdr>
        <w:top w:val="none" w:sz="0" w:space="0" w:color="auto"/>
        <w:left w:val="none" w:sz="0" w:space="0" w:color="auto"/>
        <w:bottom w:val="none" w:sz="0" w:space="0" w:color="auto"/>
        <w:right w:val="none" w:sz="0" w:space="0" w:color="auto"/>
      </w:divBdr>
    </w:div>
    <w:div w:id="2051878722">
      <w:bodyDiv w:val="1"/>
      <w:marLeft w:val="0"/>
      <w:marRight w:val="0"/>
      <w:marTop w:val="0"/>
      <w:marBottom w:val="0"/>
      <w:divBdr>
        <w:top w:val="none" w:sz="0" w:space="0" w:color="auto"/>
        <w:left w:val="none" w:sz="0" w:space="0" w:color="auto"/>
        <w:bottom w:val="none" w:sz="0" w:space="0" w:color="auto"/>
        <w:right w:val="none" w:sz="0" w:space="0" w:color="auto"/>
      </w:divBdr>
      <w:divsChild>
        <w:div w:id="1222518443">
          <w:marLeft w:val="0"/>
          <w:marRight w:val="0"/>
          <w:marTop w:val="0"/>
          <w:marBottom w:val="0"/>
          <w:divBdr>
            <w:top w:val="none" w:sz="0" w:space="0" w:color="auto"/>
            <w:left w:val="none" w:sz="0" w:space="0" w:color="auto"/>
            <w:bottom w:val="none" w:sz="0" w:space="0" w:color="auto"/>
            <w:right w:val="none" w:sz="0" w:space="0" w:color="auto"/>
          </w:divBdr>
          <w:divsChild>
            <w:div w:id="1251348673">
              <w:marLeft w:val="0"/>
              <w:marRight w:val="0"/>
              <w:marTop w:val="0"/>
              <w:marBottom w:val="0"/>
              <w:divBdr>
                <w:top w:val="none" w:sz="0" w:space="0" w:color="auto"/>
                <w:left w:val="none" w:sz="0" w:space="0" w:color="auto"/>
                <w:bottom w:val="none" w:sz="0" w:space="0" w:color="auto"/>
                <w:right w:val="none" w:sz="0" w:space="0" w:color="auto"/>
              </w:divBdr>
              <w:divsChild>
                <w:div w:id="294260712">
                  <w:marLeft w:val="0"/>
                  <w:marRight w:val="0"/>
                  <w:marTop w:val="0"/>
                  <w:marBottom w:val="0"/>
                  <w:divBdr>
                    <w:top w:val="none" w:sz="0" w:space="0" w:color="auto"/>
                    <w:left w:val="none" w:sz="0" w:space="0" w:color="auto"/>
                    <w:bottom w:val="none" w:sz="0" w:space="0" w:color="auto"/>
                    <w:right w:val="none" w:sz="0" w:space="0" w:color="auto"/>
                  </w:divBdr>
                  <w:divsChild>
                    <w:div w:id="2116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93491">
      <w:bodyDiv w:val="1"/>
      <w:marLeft w:val="0"/>
      <w:marRight w:val="0"/>
      <w:marTop w:val="0"/>
      <w:marBottom w:val="0"/>
      <w:divBdr>
        <w:top w:val="none" w:sz="0" w:space="0" w:color="auto"/>
        <w:left w:val="none" w:sz="0" w:space="0" w:color="auto"/>
        <w:bottom w:val="none" w:sz="0" w:space="0" w:color="auto"/>
        <w:right w:val="none" w:sz="0" w:space="0" w:color="auto"/>
      </w:divBdr>
    </w:div>
    <w:div w:id="2125423401">
      <w:bodyDiv w:val="1"/>
      <w:marLeft w:val="0"/>
      <w:marRight w:val="0"/>
      <w:marTop w:val="0"/>
      <w:marBottom w:val="0"/>
      <w:divBdr>
        <w:top w:val="none" w:sz="0" w:space="0" w:color="auto"/>
        <w:left w:val="none" w:sz="0" w:space="0" w:color="auto"/>
        <w:bottom w:val="none" w:sz="0" w:space="0" w:color="auto"/>
        <w:right w:val="none" w:sz="0" w:space="0" w:color="auto"/>
      </w:divBdr>
      <w:divsChild>
        <w:div w:id="193273398">
          <w:marLeft w:val="0"/>
          <w:marRight w:val="0"/>
          <w:marTop w:val="0"/>
          <w:marBottom w:val="0"/>
          <w:divBdr>
            <w:top w:val="none" w:sz="0" w:space="0" w:color="auto"/>
            <w:left w:val="none" w:sz="0" w:space="0" w:color="auto"/>
            <w:bottom w:val="none" w:sz="0" w:space="0" w:color="auto"/>
            <w:right w:val="none" w:sz="0" w:space="0" w:color="auto"/>
          </w:divBdr>
          <w:divsChild>
            <w:div w:id="732897846">
              <w:marLeft w:val="0"/>
              <w:marRight w:val="0"/>
              <w:marTop w:val="0"/>
              <w:marBottom w:val="0"/>
              <w:divBdr>
                <w:top w:val="none" w:sz="0" w:space="0" w:color="auto"/>
                <w:left w:val="none" w:sz="0" w:space="0" w:color="auto"/>
                <w:bottom w:val="none" w:sz="0" w:space="0" w:color="auto"/>
                <w:right w:val="none" w:sz="0" w:space="0" w:color="auto"/>
              </w:divBdr>
              <w:divsChild>
                <w:div w:id="777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82528/Controlling_or_coercive_behaviour_-_statutory_guidance.pdf" TargetMode="External"/><Relationship Id="rId13" Type="http://schemas.openxmlformats.org/officeDocument/2006/relationships/hyperlink" Target="https://assets.publishing.service.gov.uk/government/uploads/system/uploads/attachment_data/file/726401/hosb1118-police-workforce.pdf" TargetMode="External"/><Relationship Id="rId18" Type="http://schemas.openxmlformats.org/officeDocument/2006/relationships/hyperlink" Target="https://www.app.college.police.uk/app-content/major-investigation-and-public-protection/domestic-abuse/" TargetMode="External"/><Relationship Id="rId3" Type="http://schemas.openxmlformats.org/officeDocument/2006/relationships/hyperlink" Target="https://www.ons.gov.uk/peoplepopulationandcommunity/crimeandjustice/bulletins/domesticabuseinenglandandwales/yearendingmarch2018" TargetMode="External"/><Relationship Id="rId21" Type="http://schemas.openxmlformats.org/officeDocument/2006/relationships/hyperlink" Target="https://www.equalityhumanrights.com/sites/default/files/cedaw_concluding_observations_251114_1.pdf" TargetMode="External"/><Relationship Id="rId7" Type="http://schemas.openxmlformats.org/officeDocument/2006/relationships/hyperlink" Target="https://www.equalityhumanrights.com/sites/default/files/consultation-response-transforming-response-to-domestic-abuse-may-2018.pdf" TargetMode="External"/><Relationship Id="rId12" Type="http://schemas.openxmlformats.org/officeDocument/2006/relationships/hyperlink" Target="https://www.who.int/news-room/fact-sheets/detail/violence-against-women" TargetMode="External"/><Relationship Id="rId17" Type="http://schemas.openxmlformats.org/officeDocument/2006/relationships/hyperlink" Target="http://www.un.org/womenwatch/daw/cedaw/recommendations/recomm.htm" TargetMode="External"/><Relationship Id="rId25" Type="http://schemas.openxmlformats.org/officeDocument/2006/relationships/hyperlink" Target="http://www.bristol.ac.uk/media-library/sites/sps/migrated/documents/finalreport1.pdf" TargetMode="External"/><Relationship Id="rId2" Type="http://schemas.openxmlformats.org/officeDocument/2006/relationships/hyperlink" Target="mailto:ana.speed@northumbria.ac.uk)" TargetMode="External"/><Relationship Id="rId16" Type="http://schemas.openxmlformats.org/officeDocument/2006/relationships/hyperlink" Target="http://www.un.org/womenwatch/daw/cedaw/cedaw.htm" TargetMode="External"/><Relationship Id="rId20" Type="http://schemas.openxmlformats.org/officeDocument/2006/relationships/hyperlink" Target="https://www.hrw.org/news/2017/01/23/russia-bill-decriminalize-domestic-violence" TargetMode="External"/><Relationship Id="rId1" Type="http://schemas.openxmlformats.org/officeDocument/2006/relationships/hyperlink" Target="mailto:kayliegh2.richardson@northumbria.ac.uk)" TargetMode="External"/><Relationship Id="rId6" Type="http://schemas.openxmlformats.org/officeDocument/2006/relationships/hyperlink" Target="https://eige.europa.eu/rdc/eige-publications/strategic-framework-violence-against-women-2015-2018" TargetMode="External"/><Relationship Id="rId11" Type="http://schemas.openxmlformats.org/officeDocument/2006/relationships/hyperlink" Target="https://www.loc.gov/law/help/domestic-violence/russia-decriminalization-domestic-violence.pdf" TargetMode="External"/><Relationship Id="rId24" Type="http://schemas.openxmlformats.org/officeDocument/2006/relationships/hyperlink" Target="http://www.bailii.org/eu/cases/ECHR/2009/870.html" TargetMode="External"/><Relationship Id="rId5" Type="http://schemas.openxmlformats.org/officeDocument/2006/relationships/hyperlink" Target="https://1q7dqy2unor827bqjls0c4rn-wpengine.netdna-ssl.com/wp-content/uploads/2018/03/Survival-and-Beyond.pdf" TargetMode="External"/><Relationship Id="rId15" Type="http://schemas.openxmlformats.org/officeDocument/2006/relationships/hyperlink" Target="https://www.hrw.org/news/2017/01/23/russia-bill-decriminalize-domestic-violence" TargetMode="External"/><Relationship Id="rId23" Type="http://schemas.openxmlformats.org/officeDocument/2006/relationships/hyperlink" Target="https://search.coe.int/cm/Pages/result_details.aspx?ObjectID=09000016805e2612" TargetMode="External"/><Relationship Id="rId10" Type="http://schemas.openxmlformats.org/officeDocument/2006/relationships/hyperlink" Target="http://docstore.ohchr.org/SelfServices/FilesHandler.ashx?enc=6QkG1d%2fPPRiCAqhKb7yhsnINnqKYBbHCTOaqVs8CBP2%2fEJgS2uWhk7nuL22CY5Q6EygEUW%2bboviXGrJ6B4KEJr4JalKJZyYib0P1wYeg13mjbxpuvgBQIHs8SaZvXdjX" TargetMode="External"/><Relationship Id="rId19" Type="http://schemas.openxmlformats.org/officeDocument/2006/relationships/hyperlink" Target="https://www.hrw.org/report/2018/10/25/i-could-kill-you-and-no-one-would-stop-me/weak-state-response-domestic-violence" TargetMode="External"/><Relationship Id="rId4" Type="http://schemas.openxmlformats.org/officeDocument/2006/relationships/hyperlink" Target="https://consult.justice.gov.uk/homeoffice-moj/domestic-abuse-consultation/supporting_documents/Transforming%20the%20response%20to%20domestic%20abuse.pdf" TargetMode="External"/><Relationship Id="rId9" Type="http://schemas.openxmlformats.org/officeDocument/2006/relationships/hyperlink" Target="http://www.lawcom.gov.uk/app/uploads/2015/06/cp217_offences_against_the_person.pdf" TargetMode="External"/><Relationship Id="rId14" Type="http://schemas.openxmlformats.org/officeDocument/2006/relationships/hyperlink" Target="http://www.supcourt.ru/Show_pdf.php?Id=10240" TargetMode="External"/><Relationship Id="rId22" Type="http://schemas.openxmlformats.org/officeDocument/2006/relationships/hyperlink" Target="https://www.coe.int/fr/web/conventions/full-list/-/conventions/rms/09000016800848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C56A-EA12-4082-ACB4-612618C1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16250</Words>
  <Characters>92629</Characters>
  <Application>Microsoft Office Word</Application>
  <DocSecurity>4</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Speed</dc:creator>
  <cp:keywords/>
  <dc:description/>
  <cp:lastModifiedBy>Ana Speed</cp:lastModifiedBy>
  <cp:revision>2</cp:revision>
  <cp:lastPrinted>2018-12-10T09:16:00Z</cp:lastPrinted>
  <dcterms:created xsi:type="dcterms:W3CDTF">2019-03-18T09:29:00Z</dcterms:created>
  <dcterms:modified xsi:type="dcterms:W3CDTF">2019-03-18T09:29:00Z</dcterms:modified>
</cp:coreProperties>
</file>