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638" w:rsidRDefault="00482AB7" w:rsidP="00F53638">
      <w:pPr>
        <w:jc w:val="center"/>
        <w:rPr>
          <w:rFonts w:asciiTheme="minorHAnsi" w:hAnsiTheme="minorHAnsi"/>
          <w:b/>
          <w:bCs/>
          <w:sz w:val="28"/>
          <w:szCs w:val="28"/>
        </w:rPr>
      </w:pPr>
      <w:r w:rsidRPr="00F53638">
        <w:rPr>
          <w:rFonts w:asciiTheme="minorHAnsi" w:hAnsiTheme="minorHAnsi"/>
          <w:b/>
          <w:bCs/>
          <w:sz w:val="28"/>
          <w:szCs w:val="28"/>
        </w:rPr>
        <w:t xml:space="preserve">Re-shaping Built Environment Higher Education: </w:t>
      </w:r>
    </w:p>
    <w:p w:rsidR="00FA1A66" w:rsidRDefault="00482AB7" w:rsidP="00F53638">
      <w:pPr>
        <w:jc w:val="center"/>
        <w:rPr>
          <w:rFonts w:asciiTheme="minorHAnsi" w:hAnsiTheme="minorHAnsi"/>
          <w:b/>
          <w:bCs/>
          <w:sz w:val="28"/>
          <w:szCs w:val="28"/>
        </w:rPr>
      </w:pPr>
      <w:r w:rsidRPr="00F53638">
        <w:rPr>
          <w:rFonts w:asciiTheme="minorHAnsi" w:hAnsiTheme="minorHAnsi"/>
          <w:b/>
          <w:bCs/>
          <w:sz w:val="28"/>
          <w:szCs w:val="28"/>
        </w:rPr>
        <w:t>The Impact of Degree Apprenticeships in England</w:t>
      </w:r>
    </w:p>
    <w:p w:rsidR="00F53638" w:rsidRPr="00F53638" w:rsidRDefault="00F53638" w:rsidP="00F53638">
      <w:pPr>
        <w:jc w:val="center"/>
        <w:rPr>
          <w:rFonts w:asciiTheme="minorHAnsi" w:hAnsiTheme="minorHAnsi"/>
          <w:b/>
          <w:bCs/>
          <w:sz w:val="28"/>
          <w:szCs w:val="28"/>
        </w:rPr>
      </w:pPr>
    </w:p>
    <w:p w:rsidR="003A1A84" w:rsidRPr="00F53638" w:rsidRDefault="003A1A84" w:rsidP="00F53638">
      <w:pPr>
        <w:pStyle w:val="Default"/>
        <w:jc w:val="center"/>
        <w:rPr>
          <w:rFonts w:asciiTheme="minorHAnsi" w:hAnsiTheme="minorHAnsi" w:cs="Times New Roman"/>
          <w:b/>
          <w:sz w:val="28"/>
          <w:szCs w:val="28"/>
        </w:rPr>
      </w:pPr>
      <w:r w:rsidRPr="00F53638">
        <w:rPr>
          <w:rFonts w:asciiTheme="minorHAnsi" w:hAnsiTheme="minorHAnsi" w:cs="Times New Roman"/>
          <w:b/>
          <w:sz w:val="28"/>
          <w:szCs w:val="28"/>
        </w:rPr>
        <w:t xml:space="preserve">Susan Dawson, </w:t>
      </w:r>
      <w:proofErr w:type="gramStart"/>
      <w:r w:rsidRPr="00F53638">
        <w:rPr>
          <w:rFonts w:asciiTheme="minorHAnsi" w:hAnsiTheme="minorHAnsi" w:cs="Times New Roman"/>
          <w:b/>
          <w:sz w:val="28"/>
          <w:szCs w:val="28"/>
        </w:rPr>
        <w:t>BSc(</w:t>
      </w:r>
      <w:proofErr w:type="gramEnd"/>
      <w:r w:rsidRPr="00F53638">
        <w:rPr>
          <w:rFonts w:asciiTheme="minorHAnsi" w:hAnsiTheme="minorHAnsi" w:cs="Times New Roman"/>
          <w:b/>
          <w:sz w:val="28"/>
          <w:szCs w:val="28"/>
        </w:rPr>
        <w:t>Hons) and Allan Osborne, PhD</w:t>
      </w:r>
    </w:p>
    <w:p w:rsidR="003A1A84" w:rsidRPr="003D6CE4" w:rsidRDefault="003A1A84" w:rsidP="00F53638">
      <w:pPr>
        <w:pStyle w:val="Default"/>
        <w:rPr>
          <w:rFonts w:ascii="Times New Roman" w:hAnsi="Times New Roman" w:cs="Times New Roman"/>
          <w:b/>
        </w:rPr>
      </w:pPr>
    </w:p>
    <w:p w:rsidR="003A1A84" w:rsidRPr="003D6CE4" w:rsidRDefault="003A1A84" w:rsidP="00F53638">
      <w:pPr>
        <w:pStyle w:val="Default"/>
        <w:rPr>
          <w:rFonts w:ascii="Times New Roman" w:hAnsi="Times New Roman" w:cs="Times New Roman"/>
          <w:b/>
        </w:rPr>
      </w:pPr>
      <w:r w:rsidRPr="003D6CE4">
        <w:rPr>
          <w:rFonts w:ascii="Times New Roman" w:hAnsi="Times New Roman" w:cs="Times New Roman"/>
          <w:b/>
        </w:rPr>
        <w:t>Abstract</w:t>
      </w:r>
    </w:p>
    <w:p w:rsidR="003A1A84" w:rsidRPr="003D6CE4" w:rsidRDefault="003A1A84" w:rsidP="00F53638">
      <w:pPr>
        <w:pStyle w:val="Default"/>
        <w:rPr>
          <w:rFonts w:ascii="Times New Roman" w:hAnsi="Times New Roman" w:cs="Times New Roman"/>
        </w:rPr>
      </w:pPr>
    </w:p>
    <w:p w:rsidR="003A1A84" w:rsidRPr="003D6CE4" w:rsidRDefault="003A1A84" w:rsidP="00F53638">
      <w:pPr>
        <w:pStyle w:val="Default"/>
        <w:rPr>
          <w:rFonts w:ascii="Times New Roman" w:hAnsi="Times New Roman" w:cs="Times New Roman"/>
        </w:rPr>
      </w:pPr>
      <w:r w:rsidRPr="003D6CE4">
        <w:rPr>
          <w:rFonts w:ascii="Times New Roman" w:hAnsi="Times New Roman" w:cs="Times New Roman"/>
        </w:rPr>
        <w:t xml:space="preserve">The Richard Review of the United Kingdoms (UK) Apprenticeships in 2012 proposed degree apprenticeships (DA) as a new model for the unification of academic and vocational learning.  Apprenticeships have long been acknowledged as a practical vehicle to develop the vocational skills and educational achievements of the UK employee resource.  The UK Government set a target of 3 million apprenticeship starts between 2015 and 2020.  In order for higher education institutions (HEI) to participate in the new apprenticeship marketplace, they need to consider distinct factors that do not surface in traditional Bachelors programmes. Cognisant of these challenges this paper evaluates the development of the new degree apprenticeship programmes for built environment education through the research lens of HEI.   This paper evaluates extant literature and primary data collected from qualitative interviews carried out across the UK HEI sector during 2017.  Research findings are presented following analysis using </w:t>
      </w:r>
      <w:proofErr w:type="spellStart"/>
      <w:r w:rsidRPr="003D6CE4">
        <w:rPr>
          <w:rFonts w:ascii="Times New Roman" w:hAnsi="Times New Roman" w:cs="Times New Roman"/>
        </w:rPr>
        <w:t>NVivo</w:t>
      </w:r>
      <w:proofErr w:type="spellEnd"/>
      <w:r w:rsidRPr="003D6CE4">
        <w:rPr>
          <w:rFonts w:ascii="Times New Roman" w:hAnsi="Times New Roman" w:cs="Times New Roman"/>
        </w:rPr>
        <w:t xml:space="preserve">. Narratives on the barriers, benefits, and opportunities, of degree apprenticeships, including academic quality assurance, governance, and pedagogic dimensions are presented.  The findings include industry designed curriculum producing a different graduate output, redefining the purpose of HE, restructuring governance and resource, additional contractual obligations for stakeholders and the embedding of work-based learning strategies.  </w:t>
      </w:r>
    </w:p>
    <w:p w:rsidR="003A1A84" w:rsidRPr="003D6CE4" w:rsidRDefault="003A1A84" w:rsidP="00F53638">
      <w:pPr>
        <w:pStyle w:val="Default"/>
        <w:rPr>
          <w:rFonts w:ascii="Times New Roman" w:hAnsi="Times New Roman" w:cs="Times New Roman"/>
        </w:rPr>
      </w:pPr>
    </w:p>
    <w:p w:rsidR="003A1A84" w:rsidRPr="003D6CE4" w:rsidRDefault="003A1A84" w:rsidP="00F53638">
      <w:pPr>
        <w:pStyle w:val="Default"/>
        <w:rPr>
          <w:rFonts w:ascii="Times New Roman" w:hAnsi="Times New Roman" w:cs="Times New Roman"/>
          <w:b/>
          <w:i/>
        </w:rPr>
      </w:pPr>
      <w:r w:rsidRPr="003D6CE4">
        <w:rPr>
          <w:rFonts w:ascii="Times New Roman" w:hAnsi="Times New Roman" w:cs="Times New Roman"/>
          <w:b/>
          <w:bCs/>
        </w:rPr>
        <w:t>Key Words:</w:t>
      </w:r>
      <w:r w:rsidRPr="003D6CE4">
        <w:rPr>
          <w:rFonts w:ascii="Times New Roman" w:hAnsi="Times New Roman" w:cs="Times New Roman"/>
          <w:bCs/>
        </w:rPr>
        <w:t xml:space="preserve"> d</w:t>
      </w:r>
      <w:r w:rsidRPr="003D6CE4">
        <w:rPr>
          <w:rFonts w:ascii="Times New Roman" w:hAnsi="Times New Roman" w:cs="Times New Roman"/>
        </w:rPr>
        <w:t>egree apprenticeships, barriers, benefits, built environment</w:t>
      </w:r>
    </w:p>
    <w:p w:rsidR="003A1A84" w:rsidRPr="003D6CE4" w:rsidRDefault="003A1A84" w:rsidP="00F53638">
      <w:pPr>
        <w:pStyle w:val="Default"/>
        <w:rPr>
          <w:rFonts w:ascii="Times New Roman" w:hAnsi="Times New Roman" w:cs="Times New Roman"/>
          <w:b/>
          <w:i/>
        </w:rPr>
      </w:pPr>
    </w:p>
    <w:p w:rsidR="00482AB7" w:rsidRPr="003D6CE4" w:rsidRDefault="00482AB7" w:rsidP="00F53638">
      <w:pPr>
        <w:pStyle w:val="Default"/>
        <w:rPr>
          <w:rFonts w:ascii="Times New Roman" w:hAnsi="Times New Roman" w:cs="Times New Roman"/>
          <w:b/>
          <w:bCs/>
        </w:rPr>
      </w:pPr>
      <w:r w:rsidRPr="003D6CE4">
        <w:rPr>
          <w:rFonts w:ascii="Times New Roman" w:hAnsi="Times New Roman" w:cs="Times New Roman"/>
          <w:b/>
          <w:bCs/>
        </w:rPr>
        <w:t>Introduction</w:t>
      </w:r>
    </w:p>
    <w:p w:rsidR="00DF0A8C" w:rsidRPr="003D6CE4" w:rsidRDefault="002D3FC1" w:rsidP="00F53638">
      <w:pPr>
        <w:pStyle w:val="Default"/>
        <w:rPr>
          <w:rFonts w:ascii="Times New Roman" w:hAnsi="Times New Roman" w:cs="Times New Roman"/>
        </w:rPr>
      </w:pPr>
      <w:r w:rsidRPr="003D6CE4">
        <w:rPr>
          <w:rFonts w:ascii="Times New Roman" w:hAnsi="Times New Roman" w:cs="Times New Roman"/>
        </w:rPr>
        <w:t>Across Europe and in the UK specifically there are concerns that the shortage of vocational skills are compromising the productivity and performance of the economy</w:t>
      </w:r>
      <w:r w:rsidR="00683E8B" w:rsidRPr="003D6CE4">
        <w:rPr>
          <w:rFonts w:ascii="Times New Roman" w:hAnsi="Times New Roman" w:cs="Times New Roman"/>
        </w:rPr>
        <w:t xml:space="preserve"> </w:t>
      </w:r>
      <w:r w:rsidRPr="003D6CE4">
        <w:rPr>
          <w:rFonts w:ascii="Times New Roman" w:hAnsi="Times New Roman" w:cs="Times New Roman"/>
        </w:rPr>
        <w:t>(European Commission, 2012)</w:t>
      </w:r>
      <w:r w:rsidR="00683E8B" w:rsidRPr="003D6CE4">
        <w:rPr>
          <w:rFonts w:ascii="Times New Roman" w:hAnsi="Times New Roman" w:cs="Times New Roman"/>
        </w:rPr>
        <w:t>.</w:t>
      </w:r>
      <w:r w:rsidRPr="003D6CE4">
        <w:rPr>
          <w:rFonts w:ascii="Times New Roman" w:hAnsi="Times New Roman" w:cs="Times New Roman"/>
        </w:rPr>
        <w:t xml:space="preserve"> </w:t>
      </w:r>
      <w:r w:rsidR="00482AB7" w:rsidRPr="003D6CE4">
        <w:rPr>
          <w:rFonts w:ascii="Times New Roman" w:hAnsi="Times New Roman" w:cs="Times New Roman"/>
        </w:rPr>
        <w:t>The Universities and Colleges Admissions Service (UCAS), which is a United Kingdom-based admissions service for British universities, has reporte</w:t>
      </w:r>
      <w:r w:rsidR="00D57F0E" w:rsidRPr="003D6CE4">
        <w:rPr>
          <w:rFonts w:ascii="Times New Roman" w:hAnsi="Times New Roman" w:cs="Times New Roman"/>
        </w:rPr>
        <w:t>d a decline in applications to B</w:t>
      </w:r>
      <w:r w:rsidR="00482AB7" w:rsidRPr="003D6CE4">
        <w:rPr>
          <w:rFonts w:ascii="Times New Roman" w:hAnsi="Times New Roman" w:cs="Times New Roman"/>
        </w:rPr>
        <w:t>achelors programmes in architecture, building and planning, falling by 14% between 2006 and 2016 (Universities and Colleges Admissions Service, 2017).  The subject areas of architecture, building and planning are the primary professional disciplines within built environment education</w:t>
      </w:r>
      <w:r w:rsidR="00C66FFD" w:rsidRPr="003D6CE4">
        <w:rPr>
          <w:rFonts w:ascii="Times New Roman" w:hAnsi="Times New Roman" w:cs="Times New Roman"/>
        </w:rPr>
        <w:t xml:space="preserve"> </w:t>
      </w:r>
      <w:r w:rsidR="00C66FFD" w:rsidRPr="003D6CE4">
        <w:rPr>
          <w:rStyle w:val="selectable"/>
          <w:rFonts w:ascii="Times New Roman" w:hAnsi="Times New Roman" w:cs="Times New Roman"/>
          <w:lang w:val="en"/>
        </w:rPr>
        <w:t>(</w:t>
      </w:r>
      <w:r w:rsidR="00C66FFD" w:rsidRPr="003D6CE4">
        <w:rPr>
          <w:rStyle w:val="selectable"/>
          <w:rFonts w:ascii="Times New Roman" w:hAnsi="Times New Roman" w:cs="Times New Roman"/>
          <w:iCs/>
          <w:lang w:val="en"/>
        </w:rPr>
        <w:t>JACS 3.0: Principal subject codes | HESA</w:t>
      </w:r>
      <w:r w:rsidR="00C66FFD" w:rsidRPr="003D6CE4">
        <w:rPr>
          <w:rStyle w:val="selectable"/>
          <w:rFonts w:ascii="Times New Roman" w:hAnsi="Times New Roman" w:cs="Times New Roman"/>
          <w:lang w:val="en"/>
        </w:rPr>
        <w:t>, 2018)</w:t>
      </w:r>
      <w:r w:rsidR="00482AB7" w:rsidRPr="003D6CE4">
        <w:rPr>
          <w:rFonts w:ascii="Times New Roman" w:hAnsi="Times New Roman" w:cs="Times New Roman"/>
        </w:rPr>
        <w:t xml:space="preserve">. </w:t>
      </w:r>
      <w:r w:rsidRPr="003D6CE4">
        <w:rPr>
          <w:rFonts w:ascii="Times New Roman" w:hAnsi="Times New Roman" w:cs="Times New Roman"/>
        </w:rPr>
        <w:t>However</w:t>
      </w:r>
      <w:r w:rsidR="00EB1D11" w:rsidRPr="003D6CE4">
        <w:rPr>
          <w:rFonts w:ascii="Times New Roman" w:hAnsi="Times New Roman" w:cs="Times New Roman"/>
        </w:rPr>
        <w:t>, o</w:t>
      </w:r>
      <w:r w:rsidR="00482AB7" w:rsidRPr="003D6CE4">
        <w:rPr>
          <w:rFonts w:ascii="Times New Roman" w:hAnsi="Times New Roman" w:cs="Times New Roman"/>
        </w:rPr>
        <w:t xml:space="preserve">verall, the national applications to </w:t>
      </w:r>
      <w:r w:rsidR="003679DB" w:rsidRPr="003D6CE4">
        <w:rPr>
          <w:rFonts w:ascii="Times New Roman" w:hAnsi="Times New Roman" w:cs="Times New Roman"/>
        </w:rPr>
        <w:t>Bachelor’s</w:t>
      </w:r>
      <w:r w:rsidR="00482AB7" w:rsidRPr="003D6CE4">
        <w:rPr>
          <w:rFonts w:ascii="Times New Roman" w:hAnsi="Times New Roman" w:cs="Times New Roman"/>
        </w:rPr>
        <w:t xml:space="preserve"> programmes in British </w:t>
      </w:r>
      <w:r w:rsidR="004D271D" w:rsidRPr="003D6CE4">
        <w:rPr>
          <w:rFonts w:ascii="Times New Roman" w:hAnsi="Times New Roman" w:cs="Times New Roman"/>
        </w:rPr>
        <w:t>u</w:t>
      </w:r>
      <w:r w:rsidR="00482AB7" w:rsidRPr="003D6CE4">
        <w:rPr>
          <w:rFonts w:ascii="Times New Roman" w:hAnsi="Times New Roman" w:cs="Times New Roman"/>
        </w:rPr>
        <w:t>niversities have increased by 19% over the same time frame</w:t>
      </w:r>
      <w:r w:rsidR="00683E8B" w:rsidRPr="003D6CE4">
        <w:rPr>
          <w:rFonts w:ascii="Times New Roman" w:hAnsi="Times New Roman" w:cs="Times New Roman"/>
        </w:rPr>
        <w:t>.</w:t>
      </w:r>
    </w:p>
    <w:p w:rsidR="00683E8B" w:rsidRPr="003D6CE4" w:rsidRDefault="00683E8B" w:rsidP="00F53638">
      <w:pPr>
        <w:pStyle w:val="Default"/>
        <w:rPr>
          <w:rFonts w:ascii="Times New Roman" w:hAnsi="Times New Roman" w:cs="Times New Roman"/>
        </w:rPr>
      </w:pPr>
    </w:p>
    <w:p w:rsidR="00482AB7" w:rsidRPr="003D6CE4" w:rsidRDefault="00AB3BDE" w:rsidP="00F53638">
      <w:pPr>
        <w:pStyle w:val="Default"/>
        <w:rPr>
          <w:rFonts w:ascii="Times New Roman" w:hAnsi="Times New Roman" w:cs="Times New Roman"/>
        </w:rPr>
      </w:pPr>
      <w:r w:rsidRPr="003D6CE4">
        <w:rPr>
          <w:rFonts w:ascii="Times New Roman" w:hAnsi="Times New Roman" w:cs="Times New Roman"/>
        </w:rPr>
        <w:t>T</w:t>
      </w:r>
      <w:r w:rsidR="00482AB7" w:rsidRPr="003D6CE4">
        <w:rPr>
          <w:rFonts w:ascii="Times New Roman" w:hAnsi="Times New Roman" w:cs="Times New Roman"/>
        </w:rPr>
        <w:t xml:space="preserve">he UK Government has identified </w:t>
      </w:r>
      <w:r w:rsidR="00DF0A8C" w:rsidRPr="003D6CE4">
        <w:rPr>
          <w:rFonts w:ascii="Times New Roman" w:hAnsi="Times New Roman" w:cs="Times New Roman"/>
        </w:rPr>
        <w:t>c</w:t>
      </w:r>
      <w:r w:rsidR="00482AB7" w:rsidRPr="003D6CE4">
        <w:rPr>
          <w:rFonts w:ascii="Times New Roman" w:hAnsi="Times New Roman" w:cs="Times New Roman"/>
        </w:rPr>
        <w:t xml:space="preserve">onstruction as </w:t>
      </w:r>
      <w:r w:rsidR="00482AB7" w:rsidRPr="003D6CE4">
        <w:rPr>
          <w:rFonts w:ascii="Times New Roman" w:hAnsi="Times New Roman" w:cs="Times New Roman"/>
          <w:iCs/>
        </w:rPr>
        <w:t xml:space="preserve">an industry with strategic value to the UK economy capable of propelling Britain into </w:t>
      </w:r>
      <w:r w:rsidR="00C521C5" w:rsidRPr="003D6CE4">
        <w:rPr>
          <w:rFonts w:ascii="Times New Roman" w:hAnsi="Times New Roman" w:cs="Times New Roman"/>
          <w:iCs/>
        </w:rPr>
        <w:t xml:space="preserve">the </w:t>
      </w:r>
      <w:r w:rsidR="00482AB7" w:rsidRPr="003D6CE4">
        <w:rPr>
          <w:rFonts w:ascii="Times New Roman" w:hAnsi="Times New Roman" w:cs="Times New Roman"/>
          <w:iCs/>
        </w:rPr>
        <w:t>global leadership of</w:t>
      </w:r>
      <w:r w:rsidR="00F87818">
        <w:rPr>
          <w:rFonts w:ascii="Times New Roman" w:hAnsi="Times New Roman" w:cs="Times New Roman"/>
          <w:iCs/>
        </w:rPr>
        <w:t xml:space="preserve"> the industries of the future</w:t>
      </w:r>
      <w:r w:rsidR="00DF0A8C" w:rsidRPr="003D6CE4">
        <w:rPr>
          <w:rFonts w:ascii="Times New Roman" w:hAnsi="Times New Roman" w:cs="Times New Roman"/>
          <w:iCs/>
        </w:rPr>
        <w:t xml:space="preserve"> </w:t>
      </w:r>
      <w:r w:rsidR="00482AB7" w:rsidRPr="003D6CE4">
        <w:rPr>
          <w:rFonts w:ascii="Times New Roman" w:hAnsi="Times New Roman" w:cs="Times New Roman"/>
        </w:rPr>
        <w:t>(Department for Business and Industrial Strategy, 2017).  The Government’s aspirations and ambitions for the built environment are to improve productivity and performance and reduce overall project costs by 30% and project delivery time by 50% before 2025 (Department for Business and Industrial Strategy, 2017). It is therefore anticipated</w:t>
      </w:r>
      <w:r w:rsidR="00A52659" w:rsidRPr="003D6CE4">
        <w:rPr>
          <w:rFonts w:ascii="Times New Roman" w:hAnsi="Times New Roman" w:cs="Times New Roman"/>
        </w:rPr>
        <w:t xml:space="preserve"> that</w:t>
      </w:r>
      <w:r w:rsidR="00482AB7" w:rsidRPr="003D6CE4">
        <w:rPr>
          <w:rFonts w:ascii="Times New Roman" w:hAnsi="Times New Roman" w:cs="Times New Roman"/>
        </w:rPr>
        <w:t xml:space="preserve"> there will be a</w:t>
      </w:r>
      <w:r w:rsidR="00B40031" w:rsidRPr="003D6CE4">
        <w:rPr>
          <w:rFonts w:ascii="Times New Roman" w:hAnsi="Times New Roman" w:cs="Times New Roman"/>
        </w:rPr>
        <w:t>n increasing</w:t>
      </w:r>
      <w:r w:rsidR="00482AB7" w:rsidRPr="003D6CE4">
        <w:rPr>
          <w:rFonts w:ascii="Times New Roman" w:hAnsi="Times New Roman" w:cs="Times New Roman"/>
        </w:rPr>
        <w:t xml:space="preserve"> demand for a staff resource that is capable of driving the built environment to deliver on these ambitious targets.  </w:t>
      </w:r>
      <w:r w:rsidR="00DF0A8C" w:rsidRPr="003D6CE4">
        <w:rPr>
          <w:rFonts w:ascii="Times New Roman" w:hAnsi="Times New Roman" w:cs="Times New Roman"/>
        </w:rPr>
        <w:t>This provides</w:t>
      </w:r>
      <w:r w:rsidR="00482AB7" w:rsidRPr="003D6CE4">
        <w:rPr>
          <w:rFonts w:ascii="Times New Roman" w:hAnsi="Times New Roman" w:cs="Times New Roman"/>
        </w:rPr>
        <w:t xml:space="preserve"> industry and HEIs t</w:t>
      </w:r>
      <w:r w:rsidR="00DF0A8C" w:rsidRPr="003D6CE4">
        <w:rPr>
          <w:rFonts w:ascii="Times New Roman" w:hAnsi="Times New Roman" w:cs="Times New Roman"/>
        </w:rPr>
        <w:t xml:space="preserve">he </w:t>
      </w:r>
      <w:r w:rsidR="00D24BC3" w:rsidRPr="003D6CE4">
        <w:rPr>
          <w:rFonts w:ascii="Times New Roman" w:hAnsi="Times New Roman" w:cs="Times New Roman"/>
        </w:rPr>
        <w:t>challenge of</w:t>
      </w:r>
      <w:r w:rsidR="00DF0A8C" w:rsidRPr="003D6CE4">
        <w:rPr>
          <w:rFonts w:ascii="Times New Roman" w:hAnsi="Times New Roman" w:cs="Times New Roman"/>
        </w:rPr>
        <w:t xml:space="preserve"> work</w:t>
      </w:r>
      <w:r w:rsidR="00D24BC3" w:rsidRPr="003D6CE4">
        <w:rPr>
          <w:rFonts w:ascii="Times New Roman" w:hAnsi="Times New Roman" w:cs="Times New Roman"/>
        </w:rPr>
        <w:t>ing</w:t>
      </w:r>
      <w:r w:rsidR="00DF0A8C" w:rsidRPr="003D6CE4">
        <w:rPr>
          <w:rFonts w:ascii="Times New Roman" w:hAnsi="Times New Roman" w:cs="Times New Roman"/>
        </w:rPr>
        <w:t xml:space="preserve"> </w:t>
      </w:r>
      <w:r w:rsidR="00482AB7" w:rsidRPr="003D6CE4">
        <w:rPr>
          <w:rFonts w:ascii="Times New Roman" w:hAnsi="Times New Roman" w:cs="Times New Roman"/>
        </w:rPr>
        <w:t xml:space="preserve">together to produce the next generation of </w:t>
      </w:r>
      <w:r w:rsidR="00DF0A8C" w:rsidRPr="003D6CE4">
        <w:rPr>
          <w:rFonts w:ascii="Times New Roman" w:hAnsi="Times New Roman" w:cs="Times New Roman"/>
        </w:rPr>
        <w:t>talent</w:t>
      </w:r>
      <w:r w:rsidR="00482AB7" w:rsidRPr="003D6CE4">
        <w:rPr>
          <w:rFonts w:ascii="Times New Roman" w:hAnsi="Times New Roman" w:cs="Times New Roman"/>
        </w:rPr>
        <w:t xml:space="preserve"> with</w:t>
      </w:r>
      <w:r w:rsidR="00DF0A8C" w:rsidRPr="003D6CE4">
        <w:rPr>
          <w:rFonts w:ascii="Times New Roman" w:hAnsi="Times New Roman" w:cs="Times New Roman"/>
        </w:rPr>
        <w:t xml:space="preserve"> the </w:t>
      </w:r>
      <w:r w:rsidR="00482AB7" w:rsidRPr="003D6CE4">
        <w:rPr>
          <w:rFonts w:ascii="Times New Roman" w:hAnsi="Times New Roman" w:cs="Times New Roman"/>
        </w:rPr>
        <w:t xml:space="preserve">attributes and knowledge to provide the appropriate </w:t>
      </w:r>
      <w:r w:rsidR="00D57F0E" w:rsidRPr="003D6CE4">
        <w:rPr>
          <w:rFonts w:ascii="Times New Roman" w:hAnsi="Times New Roman" w:cs="Times New Roman"/>
        </w:rPr>
        <w:t>level of impact</w:t>
      </w:r>
      <w:r w:rsidR="00DF0A8C" w:rsidRPr="003D6CE4">
        <w:rPr>
          <w:rFonts w:ascii="Times New Roman" w:hAnsi="Times New Roman" w:cs="Times New Roman"/>
        </w:rPr>
        <w:t xml:space="preserve"> the industry </w:t>
      </w:r>
      <w:r w:rsidR="00D57F0E" w:rsidRPr="003D6CE4">
        <w:rPr>
          <w:rFonts w:ascii="Times New Roman" w:hAnsi="Times New Roman" w:cs="Times New Roman"/>
        </w:rPr>
        <w:t xml:space="preserve">requires </w:t>
      </w:r>
      <w:r w:rsidR="00DF0A8C" w:rsidRPr="003D6CE4">
        <w:rPr>
          <w:rFonts w:ascii="Times New Roman" w:hAnsi="Times New Roman" w:cs="Times New Roman"/>
        </w:rPr>
        <w:t>to respond to the Government targets.</w:t>
      </w:r>
    </w:p>
    <w:p w:rsidR="00482AB7" w:rsidRPr="003D6CE4" w:rsidRDefault="00482AB7" w:rsidP="00F53638">
      <w:pPr>
        <w:pStyle w:val="Default"/>
        <w:rPr>
          <w:rFonts w:ascii="Times New Roman" w:hAnsi="Times New Roman" w:cs="Times New Roman"/>
        </w:rPr>
      </w:pPr>
    </w:p>
    <w:p w:rsidR="00B368A5" w:rsidRPr="003D6CE4" w:rsidRDefault="00351D4A" w:rsidP="00F53638">
      <w:pPr>
        <w:rPr>
          <w:b/>
          <w:sz w:val="24"/>
          <w:szCs w:val="24"/>
        </w:rPr>
      </w:pPr>
      <w:r w:rsidRPr="003D6CE4">
        <w:rPr>
          <w:b/>
          <w:sz w:val="24"/>
          <w:szCs w:val="24"/>
        </w:rPr>
        <w:lastRenderedPageBreak/>
        <w:t>Literature Review</w:t>
      </w:r>
    </w:p>
    <w:p w:rsidR="00B368A5" w:rsidRPr="003D6CE4" w:rsidRDefault="00B368A5" w:rsidP="00F53638">
      <w:pPr>
        <w:rPr>
          <w:sz w:val="24"/>
          <w:szCs w:val="24"/>
        </w:rPr>
      </w:pPr>
    </w:p>
    <w:p w:rsidR="00201CA0" w:rsidRPr="003D6CE4" w:rsidRDefault="00482AB7" w:rsidP="00F53638">
      <w:pPr>
        <w:rPr>
          <w:sz w:val="24"/>
          <w:szCs w:val="24"/>
          <w:u w:val="single"/>
        </w:rPr>
      </w:pPr>
      <w:r w:rsidRPr="003D6CE4">
        <w:rPr>
          <w:sz w:val="24"/>
          <w:szCs w:val="24"/>
        </w:rPr>
        <w:t>A review of industry reports and Government publications highlight</w:t>
      </w:r>
      <w:r w:rsidR="008A2D86" w:rsidRPr="003D6CE4">
        <w:rPr>
          <w:sz w:val="24"/>
          <w:szCs w:val="24"/>
        </w:rPr>
        <w:t>s</w:t>
      </w:r>
      <w:r w:rsidR="00DF0A8C" w:rsidRPr="003D6CE4">
        <w:rPr>
          <w:sz w:val="24"/>
          <w:szCs w:val="24"/>
        </w:rPr>
        <w:t xml:space="preserve"> the on</w:t>
      </w:r>
      <w:r w:rsidRPr="003D6CE4">
        <w:rPr>
          <w:sz w:val="24"/>
          <w:szCs w:val="24"/>
        </w:rPr>
        <w:t xml:space="preserve">going skills gap in the built environment (Construction Industry Training Board, 2017; Department of Business, Energy and Industrial Strategy, 2017). These skills gaps </w:t>
      </w:r>
      <w:r w:rsidR="00DF0A8C" w:rsidRPr="003D6CE4">
        <w:rPr>
          <w:sz w:val="24"/>
          <w:szCs w:val="24"/>
        </w:rPr>
        <w:t>are</w:t>
      </w:r>
      <w:r w:rsidRPr="003D6CE4">
        <w:rPr>
          <w:sz w:val="24"/>
          <w:szCs w:val="24"/>
        </w:rPr>
        <w:t xml:space="preserve"> exacerbated by</w:t>
      </w:r>
      <w:r w:rsidR="00D57F0E" w:rsidRPr="003D6CE4">
        <w:rPr>
          <w:sz w:val="24"/>
          <w:szCs w:val="24"/>
        </w:rPr>
        <w:t xml:space="preserve"> </w:t>
      </w:r>
      <w:proofErr w:type="gramStart"/>
      <w:r w:rsidR="00A52659" w:rsidRPr="003D6CE4">
        <w:rPr>
          <w:sz w:val="24"/>
          <w:szCs w:val="24"/>
        </w:rPr>
        <w:t xml:space="preserve">a </w:t>
      </w:r>
      <w:r w:rsidR="00D24BC3" w:rsidRPr="003D6CE4">
        <w:rPr>
          <w:sz w:val="24"/>
          <w:szCs w:val="24"/>
        </w:rPr>
        <w:t>disconnect</w:t>
      </w:r>
      <w:proofErr w:type="gramEnd"/>
      <w:r w:rsidR="00D24BC3" w:rsidRPr="003D6CE4">
        <w:rPr>
          <w:sz w:val="24"/>
          <w:szCs w:val="24"/>
        </w:rPr>
        <w:t xml:space="preserve"> between</w:t>
      </w:r>
      <w:r w:rsidRPr="003D6CE4">
        <w:rPr>
          <w:sz w:val="24"/>
          <w:szCs w:val="24"/>
        </w:rPr>
        <w:t xml:space="preserve"> the knowledge and abilities of graduat</w:t>
      </w:r>
      <w:r w:rsidR="00DF0A8C" w:rsidRPr="003D6CE4">
        <w:rPr>
          <w:sz w:val="24"/>
          <w:szCs w:val="24"/>
        </w:rPr>
        <w:t>es leaving HE</w:t>
      </w:r>
      <w:r w:rsidRPr="003D6CE4">
        <w:rPr>
          <w:sz w:val="24"/>
          <w:szCs w:val="24"/>
        </w:rPr>
        <w:t xml:space="preserve"> and the expectations and </w:t>
      </w:r>
      <w:r w:rsidR="008A2D86" w:rsidRPr="003D6CE4">
        <w:rPr>
          <w:sz w:val="24"/>
          <w:szCs w:val="24"/>
        </w:rPr>
        <w:t xml:space="preserve">the </w:t>
      </w:r>
      <w:r w:rsidRPr="003D6CE4">
        <w:rPr>
          <w:sz w:val="24"/>
          <w:szCs w:val="24"/>
        </w:rPr>
        <w:t>demands of employers (</w:t>
      </w:r>
      <w:r w:rsidR="0064334D" w:rsidRPr="003D6CE4">
        <w:rPr>
          <w:sz w:val="24"/>
          <w:szCs w:val="24"/>
        </w:rPr>
        <w:t>Farmer, 2016</w:t>
      </w:r>
      <w:r w:rsidRPr="003D6CE4">
        <w:rPr>
          <w:sz w:val="24"/>
          <w:szCs w:val="24"/>
        </w:rPr>
        <w:t xml:space="preserve">). The National Centre for Universities and Business in 2014 called for </w:t>
      </w:r>
      <w:r w:rsidRPr="003D6CE4">
        <w:rPr>
          <w:i/>
          <w:iCs/>
          <w:sz w:val="24"/>
          <w:szCs w:val="24"/>
        </w:rPr>
        <w:t xml:space="preserve">really big thinking </w:t>
      </w:r>
      <w:r w:rsidRPr="003D6CE4">
        <w:rPr>
          <w:sz w:val="24"/>
          <w:szCs w:val="24"/>
        </w:rPr>
        <w:t xml:space="preserve">on how academia and industry should collaborate to develop a workforce fit-for-purpose </w:t>
      </w:r>
      <w:r w:rsidR="00D24BC3" w:rsidRPr="003D6CE4">
        <w:rPr>
          <w:sz w:val="24"/>
          <w:szCs w:val="24"/>
        </w:rPr>
        <w:t xml:space="preserve">and </w:t>
      </w:r>
      <w:r w:rsidRPr="003D6CE4">
        <w:rPr>
          <w:sz w:val="24"/>
          <w:szCs w:val="24"/>
        </w:rPr>
        <w:t xml:space="preserve">to address the gaps in skills and knowledge that are required (Time Higher Education, 2018). </w:t>
      </w:r>
      <w:r w:rsidR="00964927" w:rsidRPr="003D6CE4">
        <w:rPr>
          <w:sz w:val="24"/>
          <w:szCs w:val="24"/>
        </w:rPr>
        <w:t xml:space="preserve">  </w:t>
      </w:r>
      <w:r w:rsidR="00DF0A8C" w:rsidRPr="003D6CE4">
        <w:rPr>
          <w:sz w:val="24"/>
          <w:szCs w:val="24"/>
        </w:rPr>
        <w:t>In 2012, the Richard Rev</w:t>
      </w:r>
      <w:r w:rsidR="00683E8B" w:rsidRPr="003D6CE4">
        <w:rPr>
          <w:sz w:val="24"/>
          <w:szCs w:val="24"/>
        </w:rPr>
        <w:t>iew of Apprenticeships proposed</w:t>
      </w:r>
      <w:r w:rsidR="005B15EE" w:rsidRPr="003D6CE4">
        <w:rPr>
          <w:sz w:val="24"/>
          <w:szCs w:val="24"/>
        </w:rPr>
        <w:t xml:space="preserve"> </w:t>
      </w:r>
      <w:r w:rsidR="00DF0A8C" w:rsidRPr="003D6CE4">
        <w:rPr>
          <w:sz w:val="24"/>
          <w:szCs w:val="24"/>
        </w:rPr>
        <w:t xml:space="preserve">degree apprenticeships </w:t>
      </w:r>
      <w:r w:rsidR="00AC15B6" w:rsidRPr="003D6CE4">
        <w:rPr>
          <w:sz w:val="24"/>
          <w:szCs w:val="24"/>
        </w:rPr>
        <w:t xml:space="preserve">(DA) </w:t>
      </w:r>
      <w:r w:rsidR="00DF0A8C" w:rsidRPr="003D6CE4">
        <w:rPr>
          <w:sz w:val="24"/>
          <w:szCs w:val="24"/>
        </w:rPr>
        <w:t>as a new model for the unification of academic and vocational learning – the</w:t>
      </w:r>
      <w:r w:rsidR="00AC15B6" w:rsidRPr="003D6CE4">
        <w:rPr>
          <w:sz w:val="24"/>
          <w:szCs w:val="24"/>
        </w:rPr>
        <w:t xml:space="preserve"> kind of </w:t>
      </w:r>
      <w:r w:rsidR="009D0078" w:rsidRPr="003D6CE4">
        <w:rPr>
          <w:sz w:val="24"/>
          <w:szCs w:val="24"/>
        </w:rPr>
        <w:t xml:space="preserve">model </w:t>
      </w:r>
      <w:r w:rsidR="00AC15B6" w:rsidRPr="003D6CE4">
        <w:rPr>
          <w:sz w:val="24"/>
          <w:szCs w:val="24"/>
        </w:rPr>
        <w:t xml:space="preserve">that </w:t>
      </w:r>
      <w:r w:rsidR="009D0078" w:rsidRPr="003D6CE4">
        <w:rPr>
          <w:sz w:val="24"/>
          <w:szCs w:val="24"/>
        </w:rPr>
        <w:t xml:space="preserve">is a key element </w:t>
      </w:r>
      <w:r w:rsidR="00201CA0" w:rsidRPr="003D6CE4">
        <w:rPr>
          <w:sz w:val="24"/>
          <w:szCs w:val="24"/>
        </w:rPr>
        <w:t>in</w:t>
      </w:r>
      <w:r w:rsidR="00BB2820" w:rsidRPr="003D6CE4">
        <w:rPr>
          <w:sz w:val="24"/>
          <w:szCs w:val="24"/>
        </w:rPr>
        <w:t xml:space="preserve"> the revision of the </w:t>
      </w:r>
      <w:r w:rsidR="00DF0A8C" w:rsidRPr="003D6CE4">
        <w:rPr>
          <w:sz w:val="24"/>
          <w:szCs w:val="24"/>
        </w:rPr>
        <w:t>traditional apprenticeship system</w:t>
      </w:r>
      <w:r w:rsidR="00AB443B" w:rsidRPr="003D6CE4">
        <w:rPr>
          <w:sz w:val="24"/>
          <w:szCs w:val="24"/>
        </w:rPr>
        <w:t xml:space="preserve"> to </w:t>
      </w:r>
      <w:r w:rsidR="00BB2820" w:rsidRPr="003D6CE4">
        <w:rPr>
          <w:sz w:val="24"/>
          <w:szCs w:val="24"/>
        </w:rPr>
        <w:t>extend and</w:t>
      </w:r>
      <w:r w:rsidR="00683E8B" w:rsidRPr="003D6CE4">
        <w:rPr>
          <w:sz w:val="24"/>
          <w:szCs w:val="24"/>
        </w:rPr>
        <w:t xml:space="preserve"> include </w:t>
      </w:r>
      <w:r w:rsidR="005B15EE" w:rsidRPr="003D6CE4">
        <w:rPr>
          <w:sz w:val="24"/>
          <w:szCs w:val="24"/>
        </w:rPr>
        <w:t xml:space="preserve">intellectual apprenticeships to </w:t>
      </w:r>
      <w:r w:rsidR="00AB443B" w:rsidRPr="003D6CE4">
        <w:rPr>
          <w:sz w:val="24"/>
          <w:szCs w:val="24"/>
        </w:rPr>
        <w:t>produce</w:t>
      </w:r>
      <w:r w:rsidR="009D0078" w:rsidRPr="003D6CE4">
        <w:rPr>
          <w:sz w:val="24"/>
          <w:szCs w:val="24"/>
        </w:rPr>
        <w:t xml:space="preserve"> </w:t>
      </w:r>
      <w:r w:rsidR="00AB443B" w:rsidRPr="003D6CE4">
        <w:rPr>
          <w:sz w:val="24"/>
          <w:szCs w:val="24"/>
        </w:rPr>
        <w:t>professionally qualified</w:t>
      </w:r>
      <w:r w:rsidR="009D0078" w:rsidRPr="003D6CE4">
        <w:rPr>
          <w:sz w:val="24"/>
          <w:szCs w:val="24"/>
        </w:rPr>
        <w:t>, work</w:t>
      </w:r>
      <w:r w:rsidR="00C521C5" w:rsidRPr="003D6CE4">
        <w:rPr>
          <w:sz w:val="24"/>
          <w:szCs w:val="24"/>
        </w:rPr>
        <w:t>-</w:t>
      </w:r>
      <w:r w:rsidR="009D0078" w:rsidRPr="003D6CE4">
        <w:rPr>
          <w:sz w:val="24"/>
          <w:szCs w:val="24"/>
        </w:rPr>
        <w:t>ready employees</w:t>
      </w:r>
      <w:r w:rsidR="00560EF6" w:rsidRPr="003D6CE4">
        <w:rPr>
          <w:sz w:val="24"/>
          <w:szCs w:val="24"/>
        </w:rPr>
        <w:t xml:space="preserve"> </w:t>
      </w:r>
      <w:r w:rsidR="00E80895" w:rsidRPr="003D6CE4">
        <w:rPr>
          <w:sz w:val="24"/>
          <w:szCs w:val="24"/>
        </w:rPr>
        <w:t>(Pratt &amp;</w:t>
      </w:r>
      <w:r w:rsidR="000F450C" w:rsidRPr="003D6CE4">
        <w:rPr>
          <w:sz w:val="24"/>
          <w:szCs w:val="24"/>
        </w:rPr>
        <w:t xml:space="preserve"> Johnson, 1998).</w:t>
      </w:r>
    </w:p>
    <w:p w:rsidR="00201CA0" w:rsidRPr="003D6CE4" w:rsidRDefault="00201CA0" w:rsidP="00F53638">
      <w:pPr>
        <w:rPr>
          <w:sz w:val="24"/>
          <w:szCs w:val="24"/>
        </w:rPr>
      </w:pPr>
    </w:p>
    <w:p w:rsidR="009D0078" w:rsidRPr="003D6CE4" w:rsidRDefault="00201CA0" w:rsidP="00F53638">
      <w:pPr>
        <w:rPr>
          <w:color w:val="000000"/>
          <w:sz w:val="24"/>
          <w:szCs w:val="24"/>
          <w:lang w:val="en"/>
        </w:rPr>
      </w:pPr>
      <w:r w:rsidRPr="003D6CE4">
        <w:rPr>
          <w:sz w:val="24"/>
          <w:szCs w:val="24"/>
        </w:rPr>
        <w:t>The t</w:t>
      </w:r>
      <w:r w:rsidR="00B61244" w:rsidRPr="003D6CE4">
        <w:rPr>
          <w:sz w:val="24"/>
          <w:szCs w:val="24"/>
        </w:rPr>
        <w:t>r</w:t>
      </w:r>
      <w:r w:rsidR="00B503B0" w:rsidRPr="003D6CE4">
        <w:rPr>
          <w:sz w:val="24"/>
          <w:szCs w:val="24"/>
        </w:rPr>
        <w:t xml:space="preserve">aditional apprenticeship frameworks </w:t>
      </w:r>
      <w:r w:rsidR="00AB443B" w:rsidRPr="003D6CE4">
        <w:rPr>
          <w:sz w:val="24"/>
          <w:szCs w:val="24"/>
        </w:rPr>
        <w:t>linked</w:t>
      </w:r>
      <w:r w:rsidR="00B503B0" w:rsidRPr="003D6CE4">
        <w:rPr>
          <w:sz w:val="24"/>
          <w:szCs w:val="24"/>
        </w:rPr>
        <w:t xml:space="preserve"> industry with technical colleges and professional </w:t>
      </w:r>
      <w:r w:rsidR="00560EF6" w:rsidRPr="003D6CE4">
        <w:rPr>
          <w:sz w:val="24"/>
          <w:szCs w:val="24"/>
        </w:rPr>
        <w:t xml:space="preserve">higher education </w:t>
      </w:r>
      <w:r w:rsidR="00AB443B" w:rsidRPr="003D6CE4">
        <w:rPr>
          <w:sz w:val="24"/>
          <w:szCs w:val="24"/>
        </w:rPr>
        <w:t>institutions</w:t>
      </w:r>
      <w:r w:rsidR="00B503B0" w:rsidRPr="003D6CE4">
        <w:rPr>
          <w:sz w:val="24"/>
          <w:szCs w:val="24"/>
        </w:rPr>
        <w:t xml:space="preserve">. </w:t>
      </w:r>
      <w:r w:rsidR="00AB443B" w:rsidRPr="003D6CE4">
        <w:rPr>
          <w:sz w:val="24"/>
          <w:szCs w:val="24"/>
        </w:rPr>
        <w:t xml:space="preserve"> They</w:t>
      </w:r>
      <w:r w:rsidR="00B503B0" w:rsidRPr="003D6CE4">
        <w:rPr>
          <w:sz w:val="24"/>
          <w:szCs w:val="24"/>
        </w:rPr>
        <w:t xml:space="preserve"> offered an alternative to staying in full</w:t>
      </w:r>
      <w:r w:rsidR="00C521C5" w:rsidRPr="003D6CE4">
        <w:rPr>
          <w:sz w:val="24"/>
          <w:szCs w:val="24"/>
        </w:rPr>
        <w:t>-</w:t>
      </w:r>
      <w:r w:rsidR="00B503B0" w:rsidRPr="003D6CE4">
        <w:rPr>
          <w:sz w:val="24"/>
          <w:szCs w:val="24"/>
        </w:rPr>
        <w:t xml:space="preserve">time education and were targeted </w:t>
      </w:r>
      <w:r w:rsidR="00AB443B" w:rsidRPr="003D6CE4">
        <w:rPr>
          <w:sz w:val="24"/>
          <w:szCs w:val="24"/>
        </w:rPr>
        <w:t xml:space="preserve">mostly at </w:t>
      </w:r>
      <w:r w:rsidR="009D0078" w:rsidRPr="003D6CE4">
        <w:rPr>
          <w:sz w:val="24"/>
          <w:szCs w:val="24"/>
        </w:rPr>
        <w:t xml:space="preserve">producing </w:t>
      </w:r>
      <w:r w:rsidR="00AB443B" w:rsidRPr="003D6CE4">
        <w:rPr>
          <w:sz w:val="24"/>
          <w:szCs w:val="24"/>
        </w:rPr>
        <w:t>master craftsman or technician</w:t>
      </w:r>
      <w:r w:rsidR="009D0078" w:rsidRPr="003D6CE4">
        <w:rPr>
          <w:sz w:val="24"/>
          <w:szCs w:val="24"/>
        </w:rPr>
        <w:t>s</w:t>
      </w:r>
      <w:r w:rsidR="00AB443B" w:rsidRPr="003D6CE4">
        <w:rPr>
          <w:sz w:val="24"/>
          <w:szCs w:val="24"/>
        </w:rPr>
        <w:t>.  The system was successful in delivering the employees industry required by exposing the apprentice to on-the-job training and classroom</w:t>
      </w:r>
      <w:r w:rsidR="00C521C5" w:rsidRPr="003D6CE4">
        <w:rPr>
          <w:sz w:val="24"/>
          <w:szCs w:val="24"/>
        </w:rPr>
        <w:t>-</w:t>
      </w:r>
      <w:r w:rsidR="00AB443B" w:rsidRPr="003D6CE4">
        <w:rPr>
          <w:sz w:val="24"/>
          <w:szCs w:val="24"/>
        </w:rPr>
        <w:t>based education.</w:t>
      </w:r>
      <w:r w:rsidR="009D0078" w:rsidRPr="003D6CE4">
        <w:rPr>
          <w:sz w:val="24"/>
          <w:szCs w:val="24"/>
        </w:rPr>
        <w:t xml:space="preserve"> </w:t>
      </w:r>
    </w:p>
    <w:p w:rsidR="009D0078" w:rsidRPr="003D6CE4" w:rsidRDefault="009D0078" w:rsidP="00F53638">
      <w:pPr>
        <w:rPr>
          <w:color w:val="000000"/>
          <w:sz w:val="24"/>
          <w:szCs w:val="24"/>
          <w:lang w:val="en"/>
        </w:rPr>
      </w:pPr>
    </w:p>
    <w:p w:rsidR="000D644B" w:rsidRPr="003D6CE4" w:rsidRDefault="00201CA0" w:rsidP="00F53638">
      <w:pPr>
        <w:rPr>
          <w:sz w:val="24"/>
          <w:szCs w:val="24"/>
        </w:rPr>
      </w:pPr>
      <w:r w:rsidRPr="003D6CE4">
        <w:rPr>
          <w:color w:val="000000"/>
          <w:sz w:val="24"/>
          <w:szCs w:val="24"/>
          <w:lang w:val="en"/>
        </w:rPr>
        <w:t>DAs</w:t>
      </w:r>
      <w:r w:rsidR="00AB443B" w:rsidRPr="003D6CE4">
        <w:rPr>
          <w:color w:val="000000"/>
          <w:sz w:val="24"/>
          <w:szCs w:val="24"/>
          <w:lang w:val="en"/>
        </w:rPr>
        <w:t xml:space="preserve"> take the traditional apprenticeship approach </w:t>
      </w:r>
      <w:r w:rsidR="009D0078" w:rsidRPr="003D6CE4">
        <w:rPr>
          <w:color w:val="000000"/>
          <w:sz w:val="24"/>
          <w:szCs w:val="24"/>
          <w:lang w:val="en"/>
        </w:rPr>
        <w:t>and</w:t>
      </w:r>
      <w:r w:rsidR="00AB443B" w:rsidRPr="003D6CE4">
        <w:rPr>
          <w:color w:val="000000"/>
          <w:sz w:val="24"/>
          <w:szCs w:val="24"/>
          <w:lang w:val="en"/>
        </w:rPr>
        <w:t xml:space="preserve"> </w:t>
      </w:r>
      <w:r w:rsidR="00AB443B" w:rsidRPr="003D6CE4">
        <w:rPr>
          <w:sz w:val="24"/>
          <w:szCs w:val="24"/>
        </w:rPr>
        <w:t>combine practical training with study</w:t>
      </w:r>
      <w:r w:rsidR="00AB443B" w:rsidRPr="003D6CE4">
        <w:rPr>
          <w:color w:val="000000"/>
          <w:sz w:val="24"/>
          <w:szCs w:val="24"/>
          <w:lang w:val="en"/>
        </w:rPr>
        <w:t xml:space="preserve"> beyond technician level.  They extend the </w:t>
      </w:r>
      <w:r w:rsidR="009D0078" w:rsidRPr="003D6CE4">
        <w:rPr>
          <w:color w:val="000000"/>
          <w:sz w:val="24"/>
          <w:szCs w:val="24"/>
          <w:lang w:val="en"/>
        </w:rPr>
        <w:t>principles</w:t>
      </w:r>
      <w:r w:rsidR="00AB443B" w:rsidRPr="003D6CE4">
        <w:rPr>
          <w:color w:val="000000"/>
          <w:sz w:val="24"/>
          <w:szCs w:val="24"/>
          <w:lang w:val="en"/>
        </w:rPr>
        <w:t xml:space="preserve"> into undergraduate and postgraduate education with the aim of producing professionals with </w:t>
      </w:r>
      <w:r w:rsidR="009D0078" w:rsidRPr="003D6CE4">
        <w:rPr>
          <w:color w:val="000000"/>
          <w:sz w:val="24"/>
          <w:szCs w:val="24"/>
          <w:lang w:val="en"/>
        </w:rPr>
        <w:t xml:space="preserve">exemplary educational backgrounds, meaningful work experience and in some cases professional charter in </w:t>
      </w:r>
      <w:r w:rsidR="004520E2" w:rsidRPr="003D6CE4">
        <w:rPr>
          <w:color w:val="000000"/>
          <w:sz w:val="24"/>
          <w:szCs w:val="24"/>
          <w:lang w:val="en"/>
        </w:rPr>
        <w:t xml:space="preserve">disciplines </w:t>
      </w:r>
      <w:r w:rsidR="009D0078" w:rsidRPr="003D6CE4">
        <w:rPr>
          <w:color w:val="000000"/>
          <w:sz w:val="24"/>
          <w:szCs w:val="24"/>
          <w:lang w:val="en"/>
        </w:rPr>
        <w:t>such as engineering, architecture, surveying etc</w:t>
      </w:r>
      <w:r w:rsidR="00B615CA" w:rsidRPr="003D6CE4">
        <w:rPr>
          <w:color w:val="000000"/>
          <w:sz w:val="24"/>
          <w:szCs w:val="24"/>
          <w:lang w:val="en"/>
        </w:rPr>
        <w:t xml:space="preserve">. </w:t>
      </w:r>
      <w:r w:rsidRPr="003D6CE4">
        <w:rPr>
          <w:color w:val="000000"/>
          <w:sz w:val="24"/>
          <w:szCs w:val="24"/>
          <w:lang w:val="en"/>
        </w:rPr>
        <w:t xml:space="preserve"> DAs</w:t>
      </w:r>
      <w:r w:rsidRPr="003D6CE4">
        <w:rPr>
          <w:spacing w:val="5"/>
          <w:sz w:val="24"/>
          <w:szCs w:val="24"/>
          <w:lang w:val="en"/>
        </w:rPr>
        <w:t xml:space="preserve"> </w:t>
      </w:r>
      <w:r w:rsidR="009D0078" w:rsidRPr="003D6CE4">
        <w:rPr>
          <w:spacing w:val="5"/>
          <w:sz w:val="24"/>
          <w:szCs w:val="24"/>
          <w:lang w:val="en"/>
        </w:rPr>
        <w:t>bring together the learning space of the workplace and the classroom provid</w:t>
      </w:r>
      <w:r w:rsidR="00A52659" w:rsidRPr="003D6CE4">
        <w:rPr>
          <w:spacing w:val="5"/>
          <w:sz w:val="24"/>
          <w:szCs w:val="24"/>
          <w:lang w:val="en"/>
        </w:rPr>
        <w:t>ing</w:t>
      </w:r>
      <w:r w:rsidR="009D0078" w:rsidRPr="003D6CE4">
        <w:rPr>
          <w:spacing w:val="5"/>
          <w:sz w:val="24"/>
          <w:szCs w:val="24"/>
          <w:lang w:val="en"/>
        </w:rPr>
        <w:t xml:space="preserve"> the potential for industry, </w:t>
      </w:r>
      <w:r w:rsidR="000D644B" w:rsidRPr="003D6CE4">
        <w:rPr>
          <w:spacing w:val="5"/>
          <w:sz w:val="24"/>
          <w:szCs w:val="24"/>
          <w:lang w:val="en"/>
        </w:rPr>
        <w:t>professional</w:t>
      </w:r>
      <w:r w:rsidR="009D0078" w:rsidRPr="003D6CE4">
        <w:rPr>
          <w:spacing w:val="5"/>
          <w:sz w:val="24"/>
          <w:szCs w:val="24"/>
          <w:lang w:val="en"/>
        </w:rPr>
        <w:t xml:space="preserve"> </w:t>
      </w:r>
      <w:r w:rsidR="000D644B" w:rsidRPr="003D6CE4">
        <w:rPr>
          <w:spacing w:val="5"/>
          <w:sz w:val="24"/>
          <w:szCs w:val="24"/>
          <w:lang w:val="en"/>
        </w:rPr>
        <w:t>institutions</w:t>
      </w:r>
      <w:r w:rsidR="009D0078" w:rsidRPr="003D6CE4">
        <w:rPr>
          <w:spacing w:val="5"/>
          <w:sz w:val="24"/>
          <w:szCs w:val="24"/>
          <w:lang w:val="en"/>
        </w:rPr>
        <w:t xml:space="preserve"> and academia to actively work together.  </w:t>
      </w:r>
      <w:r w:rsidR="000D644B" w:rsidRPr="003D6CE4">
        <w:rPr>
          <w:sz w:val="24"/>
          <w:szCs w:val="24"/>
        </w:rPr>
        <w:t>They are a vehicle for maintaining and growing a pool of highly skilled</w:t>
      </w:r>
      <w:r w:rsidRPr="003D6CE4">
        <w:rPr>
          <w:sz w:val="24"/>
          <w:szCs w:val="24"/>
        </w:rPr>
        <w:t>, professional</w:t>
      </w:r>
      <w:r w:rsidR="000D644B" w:rsidRPr="003D6CE4">
        <w:rPr>
          <w:sz w:val="24"/>
          <w:szCs w:val="24"/>
        </w:rPr>
        <w:t xml:space="preserve"> labour, </w:t>
      </w:r>
      <w:r w:rsidRPr="003D6CE4">
        <w:rPr>
          <w:sz w:val="24"/>
          <w:szCs w:val="24"/>
        </w:rPr>
        <w:t xml:space="preserve">whilst </w:t>
      </w:r>
      <w:r w:rsidR="000D644B" w:rsidRPr="003D6CE4">
        <w:rPr>
          <w:sz w:val="24"/>
          <w:szCs w:val="24"/>
        </w:rPr>
        <w:t>improving the ability to attract an</w:t>
      </w:r>
      <w:r w:rsidRPr="003D6CE4">
        <w:rPr>
          <w:sz w:val="24"/>
          <w:szCs w:val="24"/>
        </w:rPr>
        <w:t xml:space="preserve">d retain the best talent </w:t>
      </w:r>
      <w:r w:rsidR="000D644B" w:rsidRPr="003D6CE4">
        <w:rPr>
          <w:sz w:val="24"/>
          <w:szCs w:val="24"/>
        </w:rPr>
        <w:t>achieving an increasing level of workforce loyalty and contribution (</w:t>
      </w:r>
      <w:proofErr w:type="spellStart"/>
      <w:r w:rsidR="00E80895" w:rsidRPr="003D6CE4">
        <w:rPr>
          <w:rStyle w:val="selectable"/>
          <w:color w:val="000000"/>
          <w:sz w:val="24"/>
          <w:szCs w:val="24"/>
          <w:lang w:val="en"/>
        </w:rPr>
        <w:t>Antcliff</w:t>
      </w:r>
      <w:proofErr w:type="spellEnd"/>
      <w:r w:rsidR="00E80895" w:rsidRPr="003D6CE4">
        <w:rPr>
          <w:rStyle w:val="selectable"/>
          <w:color w:val="000000"/>
          <w:sz w:val="24"/>
          <w:szCs w:val="24"/>
          <w:lang w:val="en"/>
        </w:rPr>
        <w:t>, Baines &amp;</w:t>
      </w:r>
      <w:r w:rsidR="000D644B" w:rsidRPr="003D6CE4">
        <w:rPr>
          <w:rStyle w:val="selectable"/>
          <w:color w:val="000000"/>
          <w:sz w:val="24"/>
          <w:szCs w:val="24"/>
          <w:lang w:val="en"/>
        </w:rPr>
        <w:t xml:space="preserve"> </w:t>
      </w:r>
      <w:proofErr w:type="spellStart"/>
      <w:r w:rsidR="000D644B" w:rsidRPr="003D6CE4">
        <w:rPr>
          <w:rStyle w:val="selectable"/>
          <w:color w:val="000000"/>
          <w:sz w:val="24"/>
          <w:szCs w:val="24"/>
          <w:lang w:val="en"/>
        </w:rPr>
        <w:t>Gorb</w:t>
      </w:r>
      <w:proofErr w:type="spellEnd"/>
      <w:r w:rsidR="000D644B" w:rsidRPr="003D6CE4">
        <w:rPr>
          <w:rStyle w:val="selectable"/>
          <w:color w:val="000000"/>
          <w:sz w:val="24"/>
          <w:szCs w:val="24"/>
          <w:lang w:val="en"/>
        </w:rPr>
        <w:t>, 2016)</w:t>
      </w:r>
      <w:r w:rsidR="000D644B" w:rsidRPr="003D6CE4">
        <w:rPr>
          <w:color w:val="000000"/>
          <w:sz w:val="24"/>
          <w:szCs w:val="24"/>
          <w:lang w:val="en"/>
        </w:rPr>
        <w:t>.</w:t>
      </w:r>
      <w:r w:rsidR="000D644B" w:rsidRPr="003D6CE4">
        <w:rPr>
          <w:color w:val="000000"/>
          <w:sz w:val="24"/>
          <w:szCs w:val="24"/>
          <w:u w:val="single"/>
          <w:lang w:val="en"/>
        </w:rPr>
        <w:t xml:space="preserve">  </w:t>
      </w:r>
    </w:p>
    <w:p w:rsidR="001462AF" w:rsidRPr="003D6CE4" w:rsidRDefault="001462AF" w:rsidP="00F53638">
      <w:pPr>
        <w:rPr>
          <w:sz w:val="24"/>
          <w:szCs w:val="24"/>
        </w:rPr>
      </w:pPr>
    </w:p>
    <w:p w:rsidR="00482AB7" w:rsidRPr="003D6CE4" w:rsidRDefault="00AC15B6" w:rsidP="00F53638">
      <w:pPr>
        <w:pStyle w:val="Default"/>
        <w:rPr>
          <w:rFonts w:ascii="Times New Roman" w:hAnsi="Times New Roman" w:cs="Times New Roman"/>
        </w:rPr>
      </w:pPr>
      <w:r w:rsidRPr="003D6CE4">
        <w:rPr>
          <w:rFonts w:ascii="Times New Roman" w:hAnsi="Times New Roman" w:cs="Times New Roman"/>
        </w:rPr>
        <w:t>In 2015 t</w:t>
      </w:r>
      <w:r w:rsidR="00482AB7" w:rsidRPr="003D6CE4">
        <w:rPr>
          <w:rFonts w:ascii="Times New Roman" w:hAnsi="Times New Roman" w:cs="Times New Roman"/>
        </w:rPr>
        <w:t xml:space="preserve">he </w:t>
      </w:r>
      <w:r w:rsidR="00FA1A66" w:rsidRPr="003D6CE4">
        <w:rPr>
          <w:rFonts w:ascii="Times New Roman" w:hAnsi="Times New Roman" w:cs="Times New Roman"/>
        </w:rPr>
        <w:t xml:space="preserve">UK </w:t>
      </w:r>
      <w:r w:rsidR="00482AB7" w:rsidRPr="003D6CE4">
        <w:rPr>
          <w:rFonts w:ascii="Times New Roman" w:hAnsi="Times New Roman" w:cs="Times New Roman"/>
        </w:rPr>
        <w:t xml:space="preserve">Conservative Party </w:t>
      </w:r>
      <w:r w:rsidR="000D644B" w:rsidRPr="003D6CE4">
        <w:rPr>
          <w:rFonts w:ascii="Times New Roman" w:hAnsi="Times New Roman" w:cs="Times New Roman"/>
        </w:rPr>
        <w:t xml:space="preserve">took heed of the review and as part of its </w:t>
      </w:r>
      <w:r w:rsidR="00482AB7" w:rsidRPr="003D6CE4">
        <w:rPr>
          <w:rFonts w:ascii="Times New Roman" w:hAnsi="Times New Roman" w:cs="Times New Roman"/>
        </w:rPr>
        <w:t xml:space="preserve">manifesto </w:t>
      </w:r>
      <w:r w:rsidR="00964927" w:rsidRPr="003D6CE4">
        <w:rPr>
          <w:rFonts w:ascii="Times New Roman" w:hAnsi="Times New Roman" w:cs="Times New Roman"/>
        </w:rPr>
        <w:t xml:space="preserve">pledged to create 3 million new </w:t>
      </w:r>
      <w:r w:rsidR="00482AB7" w:rsidRPr="003D6CE4">
        <w:rPr>
          <w:rFonts w:ascii="Times New Roman" w:hAnsi="Times New Roman" w:cs="Times New Roman"/>
        </w:rPr>
        <w:t xml:space="preserve">apprenticeships in England by 2020 (Conservative Party, 2015). The pledge was based on the development of employer-led DA standards with independent assessment supported by a new </w:t>
      </w:r>
      <w:r w:rsidR="00482AB7" w:rsidRPr="003D6CE4">
        <w:rPr>
          <w:rFonts w:ascii="Times New Roman" w:hAnsi="Times New Roman" w:cs="Times New Roman"/>
          <w:i/>
          <w:iCs/>
        </w:rPr>
        <w:t xml:space="preserve">apprenticeship levy </w:t>
      </w:r>
      <w:r w:rsidR="00482AB7" w:rsidRPr="003D6CE4">
        <w:rPr>
          <w:rFonts w:ascii="Times New Roman" w:hAnsi="Times New Roman" w:cs="Times New Roman"/>
        </w:rPr>
        <w:t xml:space="preserve">system. This study aims to investigate the introduction of </w:t>
      </w:r>
      <w:r w:rsidR="004653D0" w:rsidRPr="003D6CE4">
        <w:rPr>
          <w:rFonts w:ascii="Times New Roman" w:hAnsi="Times New Roman" w:cs="Times New Roman"/>
        </w:rPr>
        <w:t>DAs in the built environment in</w:t>
      </w:r>
      <w:r w:rsidR="00482AB7" w:rsidRPr="003D6CE4">
        <w:rPr>
          <w:rFonts w:ascii="Times New Roman" w:hAnsi="Times New Roman" w:cs="Times New Roman"/>
        </w:rPr>
        <w:t xml:space="preserve"> HEI</w:t>
      </w:r>
      <w:r w:rsidR="00330894" w:rsidRPr="003D6CE4">
        <w:rPr>
          <w:rFonts w:ascii="Times New Roman" w:hAnsi="Times New Roman" w:cs="Times New Roman"/>
        </w:rPr>
        <w:t>s</w:t>
      </w:r>
      <w:r w:rsidR="00482AB7" w:rsidRPr="003D6CE4">
        <w:rPr>
          <w:rFonts w:ascii="Times New Roman" w:hAnsi="Times New Roman" w:cs="Times New Roman"/>
        </w:rPr>
        <w:t xml:space="preserve"> in England. More specifically, it will present a series of reco</w:t>
      </w:r>
      <w:r w:rsidR="004653D0" w:rsidRPr="003D6CE4">
        <w:rPr>
          <w:rFonts w:ascii="Times New Roman" w:hAnsi="Times New Roman" w:cs="Times New Roman"/>
        </w:rPr>
        <w:t>mmendations for HEIs, highlight</w:t>
      </w:r>
      <w:r w:rsidR="00145925" w:rsidRPr="003D6CE4">
        <w:rPr>
          <w:rFonts w:ascii="Times New Roman" w:hAnsi="Times New Roman" w:cs="Times New Roman"/>
        </w:rPr>
        <w:t>ing</w:t>
      </w:r>
      <w:r w:rsidR="004653D0" w:rsidRPr="003D6CE4">
        <w:rPr>
          <w:rFonts w:ascii="Times New Roman" w:hAnsi="Times New Roman" w:cs="Times New Roman"/>
        </w:rPr>
        <w:t xml:space="preserve"> </w:t>
      </w:r>
      <w:r w:rsidR="00482AB7" w:rsidRPr="003D6CE4">
        <w:rPr>
          <w:rFonts w:ascii="Times New Roman" w:hAnsi="Times New Roman" w:cs="Times New Roman"/>
        </w:rPr>
        <w:t>the barriers preventing</w:t>
      </w:r>
      <w:r w:rsidR="00145925" w:rsidRPr="003D6CE4">
        <w:rPr>
          <w:rFonts w:ascii="Times New Roman" w:hAnsi="Times New Roman" w:cs="Times New Roman"/>
        </w:rPr>
        <w:t xml:space="preserve"> participation</w:t>
      </w:r>
      <w:r w:rsidR="00482AB7" w:rsidRPr="003D6CE4">
        <w:rPr>
          <w:rFonts w:ascii="Times New Roman" w:hAnsi="Times New Roman" w:cs="Times New Roman"/>
        </w:rPr>
        <w:t xml:space="preserve">; </w:t>
      </w:r>
      <w:r w:rsidR="00145925" w:rsidRPr="003D6CE4">
        <w:rPr>
          <w:rFonts w:ascii="Times New Roman" w:hAnsi="Times New Roman" w:cs="Times New Roman"/>
        </w:rPr>
        <w:t xml:space="preserve">present the </w:t>
      </w:r>
      <w:r w:rsidR="00482AB7" w:rsidRPr="003D6CE4">
        <w:rPr>
          <w:rFonts w:ascii="Times New Roman" w:hAnsi="Times New Roman" w:cs="Times New Roman"/>
        </w:rPr>
        <w:t xml:space="preserve">opportunities and benefits that can be gained; and </w:t>
      </w:r>
      <w:r w:rsidR="00145925" w:rsidRPr="003D6CE4">
        <w:rPr>
          <w:rFonts w:ascii="Times New Roman" w:hAnsi="Times New Roman" w:cs="Times New Roman"/>
        </w:rPr>
        <w:t xml:space="preserve">discuss </w:t>
      </w:r>
      <w:r w:rsidR="00482AB7" w:rsidRPr="003D6CE4">
        <w:rPr>
          <w:rFonts w:ascii="Times New Roman" w:hAnsi="Times New Roman" w:cs="Times New Roman"/>
        </w:rPr>
        <w:t>the academic quality, governance, and pedagogic practice for engagement with DAs.</w:t>
      </w:r>
    </w:p>
    <w:p w:rsidR="00114987" w:rsidRPr="003D6CE4" w:rsidRDefault="00114987" w:rsidP="00F53638">
      <w:pPr>
        <w:pStyle w:val="Default"/>
        <w:rPr>
          <w:rFonts w:ascii="Times New Roman" w:hAnsi="Times New Roman" w:cs="Times New Roman"/>
          <w:b/>
          <w:bCs/>
        </w:rPr>
      </w:pPr>
    </w:p>
    <w:p w:rsidR="00482AB7" w:rsidRPr="003D6CE4" w:rsidRDefault="00482AB7" w:rsidP="00F53638">
      <w:pPr>
        <w:pStyle w:val="Default"/>
        <w:rPr>
          <w:rFonts w:ascii="Times New Roman" w:hAnsi="Times New Roman" w:cs="Times New Roman"/>
          <w:b/>
          <w:bCs/>
          <w:i/>
        </w:rPr>
      </w:pPr>
      <w:r w:rsidRPr="003D6CE4">
        <w:rPr>
          <w:rFonts w:ascii="Times New Roman" w:hAnsi="Times New Roman" w:cs="Times New Roman"/>
          <w:b/>
          <w:bCs/>
          <w:i/>
        </w:rPr>
        <w:t xml:space="preserve">Review of </w:t>
      </w:r>
      <w:r w:rsidR="0026516F" w:rsidRPr="003D6CE4">
        <w:rPr>
          <w:rFonts w:ascii="Times New Roman" w:hAnsi="Times New Roman" w:cs="Times New Roman"/>
          <w:b/>
          <w:bCs/>
          <w:i/>
        </w:rPr>
        <w:t>A</w:t>
      </w:r>
      <w:r w:rsidRPr="003D6CE4">
        <w:rPr>
          <w:rFonts w:ascii="Times New Roman" w:hAnsi="Times New Roman" w:cs="Times New Roman"/>
          <w:b/>
          <w:bCs/>
          <w:i/>
        </w:rPr>
        <w:t>pprenticeships</w:t>
      </w:r>
    </w:p>
    <w:p w:rsidR="00C43AD5" w:rsidRPr="003D6CE4" w:rsidRDefault="00C43AD5" w:rsidP="00F53638">
      <w:pPr>
        <w:pStyle w:val="Default"/>
        <w:rPr>
          <w:rFonts w:ascii="Times New Roman" w:hAnsi="Times New Roman" w:cs="Times New Roman"/>
          <w:b/>
          <w:bCs/>
        </w:rPr>
      </w:pPr>
    </w:p>
    <w:p w:rsidR="00482AB7" w:rsidRPr="003D6CE4" w:rsidRDefault="00482AB7" w:rsidP="00F53638">
      <w:pPr>
        <w:pStyle w:val="Default"/>
        <w:rPr>
          <w:rFonts w:ascii="Times New Roman" w:hAnsi="Times New Roman" w:cs="Times New Roman"/>
        </w:rPr>
      </w:pPr>
      <w:r w:rsidRPr="003D6CE4">
        <w:rPr>
          <w:rFonts w:ascii="Times New Roman" w:hAnsi="Times New Roman" w:cs="Times New Roman"/>
        </w:rPr>
        <w:t>The Richard Review of Apprenticeships in England was commissioned in June 2012 by the Secretaries of State for Education and Business, Innovation, and Skills. The task they set was to review apprenticeships and identify a set of principles and priorities for the optimization of future apprenticeships and to ensure new apprenticeships would deliver high-qual</w:t>
      </w:r>
      <w:r w:rsidR="00D57F0E" w:rsidRPr="003D6CE4">
        <w:rPr>
          <w:rFonts w:ascii="Times New Roman" w:hAnsi="Times New Roman" w:cs="Times New Roman"/>
        </w:rPr>
        <w:t xml:space="preserve">ity training and professionally </w:t>
      </w:r>
      <w:r w:rsidRPr="003D6CE4">
        <w:rPr>
          <w:rFonts w:ascii="Times New Roman" w:hAnsi="Times New Roman" w:cs="Times New Roman"/>
        </w:rPr>
        <w:t xml:space="preserve">recognized qualifications (Richard, 2012, p. 20). </w:t>
      </w:r>
    </w:p>
    <w:p w:rsidR="00046FF9" w:rsidRPr="003D6CE4" w:rsidRDefault="00046FF9" w:rsidP="00F53638">
      <w:pPr>
        <w:pStyle w:val="Default"/>
        <w:rPr>
          <w:rFonts w:ascii="Times New Roman" w:hAnsi="Times New Roman" w:cs="Times New Roman"/>
        </w:rPr>
      </w:pPr>
    </w:p>
    <w:p w:rsidR="00482AB7" w:rsidRPr="003D6CE4" w:rsidRDefault="00482AB7" w:rsidP="00F53638">
      <w:pPr>
        <w:pStyle w:val="Default"/>
        <w:rPr>
          <w:rFonts w:ascii="Times New Roman" w:hAnsi="Times New Roman" w:cs="Times New Roman"/>
        </w:rPr>
      </w:pPr>
      <w:r w:rsidRPr="003D6CE4">
        <w:rPr>
          <w:rFonts w:ascii="Times New Roman" w:hAnsi="Times New Roman" w:cs="Times New Roman"/>
        </w:rPr>
        <w:t xml:space="preserve">The recommendations outlined in Richard’s (2012, pp.15-9) report include: </w:t>
      </w:r>
    </w:p>
    <w:p w:rsidR="00375590" w:rsidRPr="003D6CE4" w:rsidRDefault="00375590" w:rsidP="00F53638">
      <w:pPr>
        <w:pStyle w:val="Default"/>
        <w:rPr>
          <w:rFonts w:ascii="Times New Roman" w:hAnsi="Times New Roman" w:cs="Times New Roman"/>
        </w:rPr>
      </w:pPr>
    </w:p>
    <w:p w:rsidR="00482AB7" w:rsidRPr="003D6CE4" w:rsidRDefault="00482AB7" w:rsidP="00F53638">
      <w:pPr>
        <w:pStyle w:val="Default"/>
        <w:numPr>
          <w:ilvl w:val="0"/>
          <w:numId w:val="1"/>
        </w:numPr>
        <w:spacing w:after="44"/>
        <w:rPr>
          <w:rFonts w:ascii="Times New Roman" w:hAnsi="Times New Roman" w:cs="Times New Roman"/>
        </w:rPr>
      </w:pPr>
      <w:r w:rsidRPr="003D6CE4">
        <w:rPr>
          <w:rFonts w:ascii="Times New Roman" w:hAnsi="Times New Roman" w:cs="Times New Roman"/>
        </w:rPr>
        <w:lastRenderedPageBreak/>
        <w:t>redefining apprent</w:t>
      </w:r>
      <w:r w:rsidR="003679DB" w:rsidRPr="003D6CE4">
        <w:rPr>
          <w:rFonts w:ascii="Times New Roman" w:hAnsi="Times New Roman" w:cs="Times New Roman"/>
        </w:rPr>
        <w:t>iceships: Richard suggested that</w:t>
      </w:r>
      <w:r w:rsidRPr="003D6CE4">
        <w:rPr>
          <w:rFonts w:ascii="Times New Roman" w:hAnsi="Times New Roman" w:cs="Times New Roman"/>
        </w:rPr>
        <w:t xml:space="preserve"> </w:t>
      </w:r>
      <w:r w:rsidR="004653D0" w:rsidRPr="003D6CE4">
        <w:rPr>
          <w:rFonts w:ascii="Times New Roman" w:hAnsi="Times New Roman" w:cs="Times New Roman"/>
        </w:rPr>
        <w:t xml:space="preserve">apprenticeships </w:t>
      </w:r>
      <w:r w:rsidRPr="003D6CE4">
        <w:rPr>
          <w:rFonts w:ascii="Times New Roman" w:hAnsi="Times New Roman" w:cs="Times New Roman"/>
        </w:rPr>
        <w:t>should be targeted at</w:t>
      </w:r>
      <w:r w:rsidR="003679DB" w:rsidRPr="003D6CE4">
        <w:rPr>
          <w:rFonts w:ascii="Times New Roman" w:hAnsi="Times New Roman" w:cs="Times New Roman"/>
        </w:rPr>
        <w:t xml:space="preserve"> those who are new to a job which</w:t>
      </w:r>
      <w:r w:rsidRPr="003D6CE4">
        <w:rPr>
          <w:rFonts w:ascii="Times New Roman" w:hAnsi="Times New Roman" w:cs="Times New Roman"/>
        </w:rPr>
        <w:t xml:space="preserve"> requires sustained and substantial training</w:t>
      </w:r>
      <w:r w:rsidR="004513F8" w:rsidRPr="003D6CE4">
        <w:rPr>
          <w:rFonts w:ascii="Times New Roman" w:hAnsi="Times New Roman" w:cs="Times New Roman"/>
        </w:rPr>
        <w:t>,</w:t>
      </w:r>
      <w:r w:rsidRPr="003D6CE4">
        <w:rPr>
          <w:rFonts w:ascii="Times New Roman" w:hAnsi="Times New Roman" w:cs="Times New Roman"/>
        </w:rPr>
        <w:t xml:space="preserve"> </w:t>
      </w:r>
    </w:p>
    <w:p w:rsidR="00482AB7" w:rsidRPr="003D6CE4" w:rsidRDefault="004653D0" w:rsidP="00F53638">
      <w:pPr>
        <w:pStyle w:val="Default"/>
        <w:numPr>
          <w:ilvl w:val="0"/>
          <w:numId w:val="1"/>
        </w:numPr>
        <w:spacing w:after="44"/>
        <w:rPr>
          <w:rFonts w:ascii="Times New Roman" w:hAnsi="Times New Roman" w:cs="Times New Roman"/>
        </w:rPr>
      </w:pPr>
      <w:r w:rsidRPr="003D6CE4">
        <w:rPr>
          <w:rFonts w:ascii="Times New Roman" w:hAnsi="Times New Roman" w:cs="Times New Roman"/>
        </w:rPr>
        <w:t>focussing</w:t>
      </w:r>
      <w:r w:rsidR="00482AB7" w:rsidRPr="003D6CE4">
        <w:rPr>
          <w:rFonts w:ascii="Times New Roman" w:hAnsi="Times New Roman" w:cs="Times New Roman"/>
        </w:rPr>
        <w:t xml:space="preserve"> on the outcome of the apprenticeship: determining what the apprentice should be capable of doing when they have completed their training as well as embedding independent assessment into the process</w:t>
      </w:r>
      <w:r w:rsidR="004513F8" w:rsidRPr="003D6CE4">
        <w:rPr>
          <w:rFonts w:ascii="Times New Roman" w:hAnsi="Times New Roman" w:cs="Times New Roman"/>
        </w:rPr>
        <w:t>,</w:t>
      </w:r>
      <w:r w:rsidR="00482AB7" w:rsidRPr="003D6CE4">
        <w:rPr>
          <w:rFonts w:ascii="Times New Roman" w:hAnsi="Times New Roman" w:cs="Times New Roman"/>
        </w:rPr>
        <w:t xml:space="preserve"> </w:t>
      </w:r>
    </w:p>
    <w:p w:rsidR="00482AB7" w:rsidRPr="003D6CE4" w:rsidRDefault="00482AB7" w:rsidP="00F53638">
      <w:pPr>
        <w:pStyle w:val="Default"/>
        <w:numPr>
          <w:ilvl w:val="0"/>
          <w:numId w:val="1"/>
        </w:numPr>
        <w:rPr>
          <w:rFonts w:ascii="Times New Roman" w:hAnsi="Times New Roman" w:cs="Times New Roman"/>
        </w:rPr>
      </w:pPr>
      <w:r w:rsidRPr="003D6CE4">
        <w:rPr>
          <w:rFonts w:ascii="Times New Roman" w:hAnsi="Times New Roman" w:cs="Times New Roman"/>
        </w:rPr>
        <w:t xml:space="preserve">recognizing that industry standards </w:t>
      </w:r>
      <w:r w:rsidR="004653D0" w:rsidRPr="003D6CE4">
        <w:rPr>
          <w:rFonts w:ascii="Times New Roman" w:hAnsi="Times New Roman" w:cs="Times New Roman"/>
        </w:rPr>
        <w:t xml:space="preserve">and requirements </w:t>
      </w:r>
      <w:r w:rsidRPr="003D6CE4">
        <w:rPr>
          <w:rFonts w:ascii="Times New Roman" w:hAnsi="Times New Roman" w:cs="Times New Roman"/>
        </w:rPr>
        <w:t>should form th</w:t>
      </w:r>
      <w:r w:rsidR="004513F8" w:rsidRPr="003D6CE4">
        <w:rPr>
          <w:rFonts w:ascii="Times New Roman" w:hAnsi="Times New Roman" w:cs="Times New Roman"/>
        </w:rPr>
        <w:t>e basis of every apprenticeship,</w:t>
      </w:r>
    </w:p>
    <w:p w:rsidR="007E6983" w:rsidRPr="003D6CE4" w:rsidRDefault="007E6983" w:rsidP="00F53638">
      <w:pPr>
        <w:pStyle w:val="Default"/>
        <w:numPr>
          <w:ilvl w:val="0"/>
          <w:numId w:val="1"/>
        </w:numPr>
        <w:spacing w:after="44"/>
        <w:rPr>
          <w:rFonts w:ascii="Times New Roman" w:hAnsi="Times New Roman" w:cs="Times New Roman"/>
          <w:color w:val="auto"/>
        </w:rPr>
      </w:pPr>
      <w:r w:rsidRPr="003D6CE4">
        <w:rPr>
          <w:rFonts w:ascii="Times New Roman" w:hAnsi="Times New Roman" w:cs="Times New Roman"/>
          <w:color w:val="auto"/>
        </w:rPr>
        <w:t>ensuring apprentices have reached a good attainment level in English and maths before they have completed their apprenticeship</w:t>
      </w:r>
      <w:r w:rsidR="004513F8" w:rsidRPr="003D6CE4">
        <w:rPr>
          <w:rFonts w:ascii="Times New Roman" w:hAnsi="Times New Roman" w:cs="Times New Roman"/>
          <w:color w:val="auto"/>
        </w:rPr>
        <w:t>,</w:t>
      </w:r>
      <w:r w:rsidRPr="003D6CE4">
        <w:rPr>
          <w:rFonts w:ascii="Times New Roman" w:hAnsi="Times New Roman" w:cs="Times New Roman"/>
          <w:color w:val="auto"/>
        </w:rPr>
        <w:t xml:space="preserve"> </w:t>
      </w:r>
    </w:p>
    <w:p w:rsidR="007E6983" w:rsidRPr="003D6CE4" w:rsidRDefault="003679DB" w:rsidP="00F53638">
      <w:pPr>
        <w:pStyle w:val="Default"/>
        <w:numPr>
          <w:ilvl w:val="0"/>
          <w:numId w:val="1"/>
        </w:numPr>
        <w:spacing w:after="44"/>
        <w:rPr>
          <w:rFonts w:ascii="Times New Roman" w:hAnsi="Times New Roman" w:cs="Times New Roman"/>
          <w:color w:val="auto"/>
        </w:rPr>
      </w:pPr>
      <w:r w:rsidRPr="003D6CE4">
        <w:rPr>
          <w:rFonts w:ascii="Times New Roman" w:hAnsi="Times New Roman" w:cs="Times New Roman"/>
          <w:color w:val="auto"/>
        </w:rPr>
        <w:t xml:space="preserve">Government funding creating </w:t>
      </w:r>
      <w:r w:rsidR="007E6983" w:rsidRPr="003D6CE4">
        <w:rPr>
          <w:rFonts w:ascii="Times New Roman" w:hAnsi="Times New Roman" w:cs="Times New Roman"/>
          <w:color w:val="auto"/>
        </w:rPr>
        <w:t>incentives for apprenticeship training: the purchasing power for investing in apprenticeship training must lie with the employer</w:t>
      </w:r>
      <w:r w:rsidR="004513F8" w:rsidRPr="003D6CE4">
        <w:rPr>
          <w:rFonts w:ascii="Times New Roman" w:hAnsi="Times New Roman" w:cs="Times New Roman"/>
          <w:color w:val="auto"/>
        </w:rPr>
        <w:t>,</w:t>
      </w:r>
      <w:r w:rsidR="007E6983" w:rsidRPr="003D6CE4">
        <w:rPr>
          <w:rFonts w:ascii="Times New Roman" w:hAnsi="Times New Roman" w:cs="Times New Roman"/>
          <w:color w:val="auto"/>
        </w:rPr>
        <w:t xml:space="preserve"> </w:t>
      </w:r>
    </w:p>
    <w:p w:rsidR="00FA4EB1" w:rsidRPr="003D6CE4" w:rsidRDefault="00FA4EB1" w:rsidP="00F53638">
      <w:pPr>
        <w:pStyle w:val="Default"/>
        <w:ind w:left="780"/>
        <w:rPr>
          <w:rFonts w:ascii="Times New Roman" w:hAnsi="Times New Roman" w:cs="Times New Roman"/>
        </w:rPr>
      </w:pPr>
    </w:p>
    <w:p w:rsidR="007E6983" w:rsidRPr="003D6CE4" w:rsidRDefault="00FA4EB1" w:rsidP="00F53638">
      <w:pPr>
        <w:pStyle w:val="Default"/>
        <w:rPr>
          <w:rFonts w:ascii="Times New Roman" w:hAnsi="Times New Roman" w:cs="Times New Roman"/>
        </w:rPr>
      </w:pPr>
      <w:r w:rsidRPr="003D6CE4">
        <w:rPr>
          <w:rFonts w:ascii="Times New Roman" w:hAnsi="Times New Roman" w:cs="Times New Roman"/>
        </w:rPr>
        <w:t>The review a</w:t>
      </w:r>
      <w:r w:rsidR="003679DB" w:rsidRPr="003D6CE4">
        <w:rPr>
          <w:rFonts w:ascii="Times New Roman" w:hAnsi="Times New Roman" w:cs="Times New Roman"/>
        </w:rPr>
        <w:t xml:space="preserve">nswered the questions of what an </w:t>
      </w:r>
      <w:r w:rsidRPr="003D6CE4">
        <w:rPr>
          <w:rFonts w:ascii="Times New Roman" w:hAnsi="Times New Roman" w:cs="Times New Roman"/>
        </w:rPr>
        <w:t>apprenticeship system would look like in a future economy and how</w:t>
      </w:r>
      <w:r w:rsidR="00560EF6" w:rsidRPr="003D6CE4">
        <w:rPr>
          <w:rFonts w:ascii="Times New Roman" w:hAnsi="Times New Roman" w:cs="Times New Roman"/>
        </w:rPr>
        <w:t xml:space="preserve"> it</w:t>
      </w:r>
      <w:r w:rsidRPr="003D6CE4">
        <w:rPr>
          <w:rFonts w:ascii="Times New Roman" w:hAnsi="Times New Roman" w:cs="Times New Roman"/>
        </w:rPr>
        <w:t xml:space="preserve"> would work. Richard re</w:t>
      </w:r>
      <w:r w:rsidR="003679DB" w:rsidRPr="003D6CE4">
        <w:rPr>
          <w:rFonts w:ascii="Times New Roman" w:hAnsi="Times New Roman" w:cs="Times New Roman"/>
        </w:rPr>
        <w:t>cognized that apprenticeships</w:t>
      </w:r>
      <w:r w:rsidRPr="003D6CE4">
        <w:rPr>
          <w:rFonts w:ascii="Times New Roman" w:hAnsi="Times New Roman" w:cs="Times New Roman"/>
        </w:rPr>
        <w:t xml:space="preserve"> matter to society and the economy: they provide a meaningful opportunity to benefit not only the apprentice but also society by means of directing people into fulfilling work, in addition to helping employers develop a more loyal and productive workforce.</w:t>
      </w:r>
      <w:r w:rsidR="00986F0D" w:rsidRPr="003D6CE4">
        <w:rPr>
          <w:rFonts w:ascii="Times New Roman" w:hAnsi="Times New Roman" w:cs="Times New Roman"/>
        </w:rPr>
        <w:t xml:space="preserve">  </w:t>
      </w:r>
      <w:r w:rsidR="007E6983" w:rsidRPr="003D6CE4">
        <w:rPr>
          <w:rFonts w:ascii="Times New Roman" w:hAnsi="Times New Roman" w:cs="Times New Roman"/>
        </w:rPr>
        <w:t>In 2015, the Government l</w:t>
      </w:r>
      <w:r w:rsidR="0026516F" w:rsidRPr="003D6CE4">
        <w:rPr>
          <w:rFonts w:ascii="Times New Roman" w:hAnsi="Times New Roman" w:cs="Times New Roman"/>
        </w:rPr>
        <w:t xml:space="preserve">aunched nine new industry </w:t>
      </w:r>
      <w:r w:rsidR="007E6983" w:rsidRPr="003D6CE4">
        <w:rPr>
          <w:rFonts w:ascii="Times New Roman" w:hAnsi="Times New Roman" w:cs="Times New Roman"/>
        </w:rPr>
        <w:t>desi</w:t>
      </w:r>
      <w:r w:rsidR="0026516F" w:rsidRPr="003D6CE4">
        <w:rPr>
          <w:rFonts w:ascii="Times New Roman" w:hAnsi="Times New Roman" w:cs="Times New Roman"/>
        </w:rPr>
        <w:t>gned D</w:t>
      </w:r>
      <w:r w:rsidR="00A23928" w:rsidRPr="003D6CE4">
        <w:rPr>
          <w:rFonts w:ascii="Times New Roman" w:hAnsi="Times New Roman" w:cs="Times New Roman"/>
        </w:rPr>
        <w:t>A</w:t>
      </w:r>
      <w:r w:rsidR="0026516F" w:rsidRPr="003D6CE4">
        <w:rPr>
          <w:rFonts w:ascii="Times New Roman" w:hAnsi="Times New Roman" w:cs="Times New Roman"/>
        </w:rPr>
        <w:t>s</w:t>
      </w:r>
      <w:r w:rsidR="00A52659" w:rsidRPr="003D6CE4">
        <w:rPr>
          <w:rFonts w:ascii="Times New Roman" w:hAnsi="Times New Roman" w:cs="Times New Roman"/>
        </w:rPr>
        <w:t>,</w:t>
      </w:r>
      <w:r w:rsidR="007E6983" w:rsidRPr="003D6CE4">
        <w:rPr>
          <w:rFonts w:ascii="Times New Roman" w:hAnsi="Times New Roman" w:cs="Times New Roman"/>
        </w:rPr>
        <w:t xml:space="preserve"> th</w:t>
      </w:r>
      <w:r w:rsidR="00A52659" w:rsidRPr="003D6CE4">
        <w:rPr>
          <w:rFonts w:ascii="Times New Roman" w:hAnsi="Times New Roman" w:cs="Times New Roman"/>
        </w:rPr>
        <w:t>ese</w:t>
      </w:r>
      <w:r w:rsidR="007E6983" w:rsidRPr="003D6CE4">
        <w:rPr>
          <w:rFonts w:ascii="Times New Roman" w:hAnsi="Times New Roman" w:cs="Times New Roman"/>
        </w:rPr>
        <w:t xml:space="preserve"> wo</w:t>
      </w:r>
      <w:r w:rsidR="002B71A5">
        <w:rPr>
          <w:rFonts w:ascii="Times New Roman" w:hAnsi="Times New Roman" w:cs="Times New Roman"/>
        </w:rPr>
        <w:t xml:space="preserve">uld become the innovative model. </w:t>
      </w:r>
      <w:r w:rsidR="003679DB" w:rsidRPr="003D6CE4">
        <w:rPr>
          <w:rFonts w:ascii="Times New Roman" w:hAnsi="Times New Roman" w:cs="Times New Roman"/>
        </w:rPr>
        <w:t>“DAs</w:t>
      </w:r>
      <w:r w:rsidR="00D62E79" w:rsidRPr="003D6CE4">
        <w:rPr>
          <w:rFonts w:ascii="Times New Roman" w:hAnsi="Times New Roman" w:cs="Times New Roman"/>
        </w:rPr>
        <w:t xml:space="preserve"> </w:t>
      </w:r>
      <w:r w:rsidR="007E6983" w:rsidRPr="003D6CE4">
        <w:rPr>
          <w:rFonts w:ascii="Times New Roman" w:hAnsi="Times New Roman" w:cs="Times New Roman"/>
        </w:rPr>
        <w:t>bring together the best of higher and vocational education: allowing students to combine academic study with practical workplace experience</w:t>
      </w:r>
      <w:r w:rsidR="00D62E79" w:rsidRPr="003D6CE4">
        <w:rPr>
          <w:rFonts w:ascii="Times New Roman" w:hAnsi="Times New Roman" w:cs="Times New Roman"/>
        </w:rPr>
        <w:t>”</w:t>
      </w:r>
      <w:r w:rsidR="007E6983" w:rsidRPr="003D6CE4">
        <w:rPr>
          <w:rFonts w:ascii="Times New Roman" w:hAnsi="Times New Roman" w:cs="Times New Roman"/>
        </w:rPr>
        <w:t xml:space="preserve"> (Department for Business, Innovation and Skills, 2015). Th</w:t>
      </w:r>
      <w:r w:rsidR="00A52659" w:rsidRPr="003D6CE4">
        <w:rPr>
          <w:rFonts w:ascii="Times New Roman" w:hAnsi="Times New Roman" w:cs="Times New Roman"/>
        </w:rPr>
        <w:t>is</w:t>
      </w:r>
      <w:r w:rsidR="007E6983" w:rsidRPr="003D6CE4">
        <w:rPr>
          <w:rFonts w:ascii="Times New Roman" w:hAnsi="Times New Roman" w:cs="Times New Roman"/>
        </w:rPr>
        <w:t xml:space="preserve"> was in response to the recommendations made by Richard.</w:t>
      </w:r>
    </w:p>
    <w:p w:rsidR="00482AB7" w:rsidRPr="003D6CE4" w:rsidRDefault="00482AB7" w:rsidP="00F53638">
      <w:pPr>
        <w:pStyle w:val="Default"/>
        <w:rPr>
          <w:rFonts w:ascii="Times New Roman" w:hAnsi="Times New Roman" w:cs="Times New Roman"/>
        </w:rPr>
      </w:pPr>
    </w:p>
    <w:p w:rsidR="00482AB7" w:rsidRPr="003D6CE4" w:rsidRDefault="00482AB7" w:rsidP="00F53638">
      <w:pPr>
        <w:autoSpaceDE w:val="0"/>
        <w:autoSpaceDN w:val="0"/>
        <w:adjustRightInd w:val="0"/>
        <w:rPr>
          <w:rFonts w:eastAsiaTheme="minorHAnsi"/>
          <w:b/>
          <w:bCs/>
          <w:i/>
          <w:color w:val="000000"/>
          <w:sz w:val="24"/>
          <w:szCs w:val="24"/>
        </w:rPr>
      </w:pPr>
      <w:r w:rsidRPr="003D6CE4">
        <w:rPr>
          <w:rFonts w:eastAsiaTheme="minorHAnsi"/>
          <w:b/>
          <w:bCs/>
          <w:i/>
          <w:color w:val="000000"/>
          <w:sz w:val="24"/>
          <w:szCs w:val="24"/>
        </w:rPr>
        <w:t>What is a degree apprenticeship?</w:t>
      </w:r>
    </w:p>
    <w:p w:rsidR="006407AB" w:rsidRPr="003D6CE4" w:rsidRDefault="006407AB" w:rsidP="00F53638">
      <w:pPr>
        <w:autoSpaceDE w:val="0"/>
        <w:autoSpaceDN w:val="0"/>
        <w:adjustRightInd w:val="0"/>
        <w:rPr>
          <w:rFonts w:eastAsiaTheme="minorHAnsi"/>
          <w:color w:val="000000"/>
          <w:sz w:val="24"/>
          <w:szCs w:val="24"/>
        </w:rPr>
      </w:pPr>
    </w:p>
    <w:p w:rsidR="00FA4EB1" w:rsidRPr="003D6CE4" w:rsidRDefault="003679DB" w:rsidP="00F53638">
      <w:pPr>
        <w:rPr>
          <w:rFonts w:eastAsiaTheme="minorHAnsi"/>
          <w:color w:val="000000"/>
          <w:sz w:val="24"/>
          <w:szCs w:val="24"/>
        </w:rPr>
      </w:pPr>
      <w:r w:rsidRPr="003D6CE4">
        <w:rPr>
          <w:rFonts w:eastAsiaTheme="minorHAnsi"/>
          <w:color w:val="000000"/>
          <w:sz w:val="24"/>
          <w:szCs w:val="24"/>
        </w:rPr>
        <w:t>DAs</w:t>
      </w:r>
      <w:r w:rsidR="00637870" w:rsidRPr="003D6CE4">
        <w:rPr>
          <w:rFonts w:eastAsiaTheme="minorHAnsi"/>
          <w:color w:val="000000"/>
          <w:sz w:val="24"/>
          <w:szCs w:val="24"/>
        </w:rPr>
        <w:t xml:space="preserve"> are a</w:t>
      </w:r>
      <w:r w:rsidR="00B34D07" w:rsidRPr="003D6CE4">
        <w:rPr>
          <w:rFonts w:eastAsiaTheme="minorHAnsi"/>
          <w:color w:val="000000"/>
          <w:sz w:val="24"/>
          <w:szCs w:val="24"/>
        </w:rPr>
        <w:t>n</w:t>
      </w:r>
      <w:r w:rsidR="00637870" w:rsidRPr="003D6CE4">
        <w:rPr>
          <w:rFonts w:eastAsiaTheme="minorHAnsi"/>
          <w:color w:val="000000"/>
          <w:sz w:val="24"/>
          <w:szCs w:val="24"/>
        </w:rPr>
        <w:t xml:space="preserve"> educational route, developed in 2014, </w:t>
      </w:r>
      <w:r w:rsidR="00482AB7" w:rsidRPr="003D6CE4">
        <w:rPr>
          <w:rFonts w:eastAsiaTheme="minorHAnsi"/>
          <w:color w:val="000000"/>
          <w:sz w:val="24"/>
          <w:szCs w:val="24"/>
        </w:rPr>
        <w:t>that generally provide</w:t>
      </w:r>
      <w:r w:rsidRPr="003D6CE4">
        <w:rPr>
          <w:rFonts w:eastAsiaTheme="minorHAnsi"/>
          <w:color w:val="000000"/>
          <w:sz w:val="24"/>
          <w:szCs w:val="24"/>
        </w:rPr>
        <w:t>s</w:t>
      </w:r>
      <w:r w:rsidR="00482AB7" w:rsidRPr="003D6CE4">
        <w:rPr>
          <w:rFonts w:eastAsiaTheme="minorHAnsi"/>
          <w:color w:val="000000"/>
          <w:sz w:val="24"/>
          <w:szCs w:val="24"/>
        </w:rPr>
        <w:t xml:space="preserve"> </w:t>
      </w:r>
      <w:r w:rsidR="00FA4EB1" w:rsidRPr="003D6CE4">
        <w:rPr>
          <w:rFonts w:eastAsiaTheme="minorHAnsi"/>
          <w:color w:val="000000"/>
          <w:sz w:val="24"/>
          <w:szCs w:val="24"/>
        </w:rPr>
        <w:t>a pathway for apprentices to gain a Bachelor</w:t>
      </w:r>
      <w:r w:rsidR="00330894" w:rsidRPr="003D6CE4">
        <w:rPr>
          <w:rFonts w:eastAsiaTheme="minorHAnsi"/>
          <w:color w:val="000000"/>
          <w:sz w:val="24"/>
          <w:szCs w:val="24"/>
        </w:rPr>
        <w:t>’</w:t>
      </w:r>
      <w:r w:rsidR="00FA4EB1" w:rsidRPr="003D6CE4">
        <w:rPr>
          <w:rFonts w:eastAsiaTheme="minorHAnsi"/>
          <w:color w:val="000000"/>
          <w:sz w:val="24"/>
          <w:szCs w:val="24"/>
        </w:rPr>
        <w:t>s or Master</w:t>
      </w:r>
      <w:r w:rsidR="00330894" w:rsidRPr="003D6CE4">
        <w:rPr>
          <w:rFonts w:eastAsiaTheme="minorHAnsi"/>
          <w:color w:val="000000"/>
          <w:sz w:val="24"/>
          <w:szCs w:val="24"/>
        </w:rPr>
        <w:t>’</w:t>
      </w:r>
      <w:r w:rsidR="00FA4EB1" w:rsidRPr="003D6CE4">
        <w:rPr>
          <w:rFonts w:eastAsiaTheme="minorHAnsi"/>
          <w:color w:val="000000"/>
          <w:sz w:val="24"/>
          <w:szCs w:val="24"/>
        </w:rPr>
        <w:t>s degree</w:t>
      </w:r>
      <w:r w:rsidR="00046FF9" w:rsidRPr="003D6CE4">
        <w:rPr>
          <w:rFonts w:eastAsiaTheme="minorHAnsi"/>
          <w:color w:val="000000"/>
          <w:sz w:val="24"/>
          <w:szCs w:val="24"/>
        </w:rPr>
        <w:t>. They combine</w:t>
      </w:r>
      <w:r w:rsidR="00482AB7" w:rsidRPr="003D6CE4">
        <w:rPr>
          <w:rFonts w:eastAsiaTheme="minorHAnsi"/>
          <w:color w:val="000000"/>
          <w:sz w:val="24"/>
          <w:szCs w:val="24"/>
        </w:rPr>
        <w:t xml:space="preserve"> higher education (HE), with on-the-job, vocational training </w:t>
      </w:r>
      <w:r w:rsidR="00FA4EB1" w:rsidRPr="003D6CE4">
        <w:rPr>
          <w:rFonts w:eastAsiaTheme="minorHAnsi"/>
          <w:color w:val="000000"/>
          <w:sz w:val="24"/>
          <w:szCs w:val="24"/>
        </w:rPr>
        <w:t>through an active and contractual arrangement between an HEI and an employer</w:t>
      </w:r>
      <w:r w:rsidR="007923B0" w:rsidRPr="003D6CE4">
        <w:rPr>
          <w:rFonts w:eastAsiaTheme="minorHAnsi"/>
          <w:color w:val="000000"/>
          <w:sz w:val="24"/>
          <w:szCs w:val="24"/>
        </w:rPr>
        <w:t xml:space="preserve"> and through this perhaps offer the way for HE to add value to </w:t>
      </w:r>
      <w:r w:rsidR="00C521C5" w:rsidRPr="003D6CE4">
        <w:rPr>
          <w:rFonts w:eastAsiaTheme="minorHAnsi"/>
          <w:color w:val="000000"/>
          <w:sz w:val="24"/>
          <w:szCs w:val="24"/>
        </w:rPr>
        <w:t>apprentices’</w:t>
      </w:r>
      <w:r w:rsidR="007923B0" w:rsidRPr="003D6CE4">
        <w:rPr>
          <w:rFonts w:eastAsiaTheme="minorHAnsi"/>
          <w:color w:val="000000"/>
          <w:sz w:val="24"/>
          <w:szCs w:val="24"/>
        </w:rPr>
        <w:t xml:space="preserve"> lives (</w:t>
      </w:r>
      <w:r w:rsidR="00C17C6F" w:rsidRPr="003D6CE4">
        <w:rPr>
          <w:rFonts w:eastAsiaTheme="minorHAnsi"/>
          <w:sz w:val="24"/>
          <w:szCs w:val="24"/>
        </w:rPr>
        <w:t>Carter &amp;</w:t>
      </w:r>
      <w:r w:rsidR="00F65C3F" w:rsidRPr="003D6CE4">
        <w:rPr>
          <w:rFonts w:eastAsiaTheme="minorHAnsi"/>
          <w:sz w:val="24"/>
          <w:szCs w:val="24"/>
        </w:rPr>
        <w:t xml:space="preserve"> Tubbs, 2017).  </w:t>
      </w:r>
      <w:r w:rsidR="00FA4EB1" w:rsidRPr="003D6CE4">
        <w:rPr>
          <w:rFonts w:eastAsiaTheme="minorHAnsi"/>
          <w:color w:val="000000"/>
          <w:sz w:val="24"/>
          <w:szCs w:val="24"/>
        </w:rPr>
        <w:t xml:space="preserve">The set of criteria which defines a DA has been approved by the Institute for Apprenticeships (2018), which, in summary, explains the apprentice must: </w:t>
      </w:r>
    </w:p>
    <w:p w:rsidR="00FA4EB1" w:rsidRPr="003D6CE4" w:rsidRDefault="004513F8" w:rsidP="00F53638">
      <w:pPr>
        <w:pStyle w:val="ListParagraph"/>
        <w:numPr>
          <w:ilvl w:val="0"/>
          <w:numId w:val="2"/>
        </w:numPr>
        <w:autoSpaceDE w:val="0"/>
        <w:autoSpaceDN w:val="0"/>
        <w:adjustRightInd w:val="0"/>
        <w:spacing w:after="45"/>
        <w:rPr>
          <w:rFonts w:eastAsiaTheme="minorHAnsi"/>
          <w:color w:val="000000"/>
          <w:sz w:val="24"/>
          <w:szCs w:val="24"/>
        </w:rPr>
      </w:pPr>
      <w:r w:rsidRPr="003D6CE4">
        <w:rPr>
          <w:rFonts w:eastAsiaTheme="minorHAnsi"/>
          <w:color w:val="000000"/>
          <w:sz w:val="24"/>
          <w:szCs w:val="24"/>
        </w:rPr>
        <w:t>have a contract of employment,</w:t>
      </w:r>
    </w:p>
    <w:p w:rsidR="00FA4EB1" w:rsidRPr="003D6CE4" w:rsidRDefault="00FA4EB1" w:rsidP="00F53638">
      <w:pPr>
        <w:pStyle w:val="ListParagraph"/>
        <w:numPr>
          <w:ilvl w:val="0"/>
          <w:numId w:val="2"/>
        </w:numPr>
        <w:autoSpaceDE w:val="0"/>
        <w:autoSpaceDN w:val="0"/>
        <w:adjustRightInd w:val="0"/>
        <w:spacing w:after="45"/>
        <w:rPr>
          <w:rFonts w:eastAsiaTheme="minorHAnsi"/>
          <w:color w:val="000000"/>
          <w:sz w:val="24"/>
          <w:szCs w:val="24"/>
        </w:rPr>
      </w:pPr>
      <w:r w:rsidRPr="003D6CE4">
        <w:rPr>
          <w:rFonts w:eastAsiaTheme="minorHAnsi"/>
          <w:color w:val="000000"/>
          <w:sz w:val="24"/>
          <w:szCs w:val="24"/>
        </w:rPr>
        <w:t>be paid at lea</w:t>
      </w:r>
      <w:r w:rsidR="004513F8" w:rsidRPr="003D6CE4">
        <w:rPr>
          <w:rFonts w:eastAsiaTheme="minorHAnsi"/>
          <w:color w:val="000000"/>
          <w:sz w:val="24"/>
          <w:szCs w:val="24"/>
        </w:rPr>
        <w:t>st the appropriate minimum wage,</w:t>
      </w:r>
    </w:p>
    <w:p w:rsidR="00FA4EB1" w:rsidRPr="003D6CE4" w:rsidRDefault="00FA4EB1" w:rsidP="00F53638">
      <w:pPr>
        <w:pStyle w:val="ListParagraph"/>
        <w:numPr>
          <w:ilvl w:val="0"/>
          <w:numId w:val="2"/>
        </w:numPr>
        <w:autoSpaceDE w:val="0"/>
        <w:autoSpaceDN w:val="0"/>
        <w:adjustRightInd w:val="0"/>
        <w:spacing w:after="45"/>
        <w:rPr>
          <w:rFonts w:eastAsiaTheme="minorHAnsi"/>
          <w:color w:val="000000"/>
          <w:sz w:val="24"/>
          <w:szCs w:val="24"/>
        </w:rPr>
      </w:pPr>
      <w:r w:rsidRPr="003D6CE4">
        <w:rPr>
          <w:rFonts w:eastAsiaTheme="minorHAnsi"/>
          <w:color w:val="000000"/>
          <w:sz w:val="24"/>
          <w:szCs w:val="24"/>
        </w:rPr>
        <w:t>have an apprenticeshi</w:t>
      </w:r>
      <w:r w:rsidR="004513F8" w:rsidRPr="003D6CE4">
        <w:rPr>
          <w:rFonts w:eastAsiaTheme="minorHAnsi"/>
          <w:color w:val="000000"/>
          <w:sz w:val="24"/>
          <w:szCs w:val="24"/>
        </w:rPr>
        <w:t>p agreement with their employer,</w:t>
      </w:r>
    </w:p>
    <w:p w:rsidR="007B66EA" w:rsidRPr="003D6CE4" w:rsidRDefault="00FA4EB1" w:rsidP="00F53638">
      <w:pPr>
        <w:pStyle w:val="ListParagraph"/>
        <w:numPr>
          <w:ilvl w:val="0"/>
          <w:numId w:val="2"/>
        </w:numPr>
        <w:autoSpaceDE w:val="0"/>
        <w:autoSpaceDN w:val="0"/>
        <w:adjustRightInd w:val="0"/>
        <w:spacing w:after="45"/>
        <w:rPr>
          <w:rFonts w:eastAsiaTheme="minorHAnsi"/>
          <w:color w:val="000000"/>
          <w:sz w:val="24"/>
          <w:szCs w:val="24"/>
        </w:rPr>
      </w:pPr>
      <w:r w:rsidRPr="003D6CE4">
        <w:rPr>
          <w:rFonts w:eastAsiaTheme="minorHAnsi"/>
          <w:color w:val="000000"/>
          <w:sz w:val="24"/>
          <w:szCs w:val="24"/>
        </w:rPr>
        <w:t xml:space="preserve">be allowed 20% </w:t>
      </w:r>
      <w:r w:rsidR="004513F8" w:rsidRPr="003D6CE4">
        <w:rPr>
          <w:rFonts w:eastAsiaTheme="minorHAnsi"/>
          <w:color w:val="000000"/>
          <w:sz w:val="24"/>
          <w:szCs w:val="24"/>
        </w:rPr>
        <w:t>structured off-the-job training,</w:t>
      </w:r>
    </w:p>
    <w:p w:rsidR="00FA4EB1" w:rsidRPr="003D6CE4" w:rsidRDefault="00FA4EB1" w:rsidP="00F53638">
      <w:pPr>
        <w:pStyle w:val="ListParagraph"/>
        <w:numPr>
          <w:ilvl w:val="0"/>
          <w:numId w:val="2"/>
        </w:numPr>
        <w:autoSpaceDE w:val="0"/>
        <w:autoSpaceDN w:val="0"/>
        <w:adjustRightInd w:val="0"/>
        <w:spacing w:after="45"/>
        <w:rPr>
          <w:rFonts w:eastAsiaTheme="minorHAnsi"/>
          <w:color w:val="000000"/>
          <w:sz w:val="24"/>
          <w:szCs w:val="24"/>
        </w:rPr>
      </w:pPr>
      <w:r w:rsidRPr="003D6CE4">
        <w:rPr>
          <w:rFonts w:eastAsiaTheme="minorHAnsi"/>
          <w:color w:val="000000"/>
          <w:sz w:val="24"/>
          <w:szCs w:val="24"/>
        </w:rPr>
        <w:t>c</w:t>
      </w:r>
      <w:r w:rsidR="004513F8" w:rsidRPr="003D6CE4">
        <w:rPr>
          <w:rFonts w:eastAsiaTheme="minorHAnsi"/>
          <w:color w:val="000000"/>
          <w:sz w:val="24"/>
          <w:szCs w:val="24"/>
        </w:rPr>
        <w:t>omplete an end-point assessment</w:t>
      </w:r>
    </w:p>
    <w:p w:rsidR="00FA4EB1" w:rsidRPr="003D6CE4" w:rsidRDefault="00FA4EB1" w:rsidP="00F53638">
      <w:pPr>
        <w:autoSpaceDE w:val="0"/>
        <w:autoSpaceDN w:val="0"/>
        <w:adjustRightInd w:val="0"/>
        <w:rPr>
          <w:rFonts w:eastAsiaTheme="minorHAnsi"/>
          <w:color w:val="000000"/>
          <w:sz w:val="24"/>
          <w:szCs w:val="24"/>
        </w:rPr>
      </w:pPr>
    </w:p>
    <w:p w:rsidR="00707770" w:rsidRPr="003D6CE4" w:rsidRDefault="007B66EA" w:rsidP="00F53638">
      <w:pPr>
        <w:rPr>
          <w:sz w:val="24"/>
          <w:szCs w:val="24"/>
        </w:rPr>
      </w:pPr>
      <w:r w:rsidRPr="003D6CE4">
        <w:rPr>
          <w:sz w:val="24"/>
          <w:szCs w:val="24"/>
        </w:rPr>
        <w:t>T</w:t>
      </w:r>
      <w:r w:rsidR="001756EB" w:rsidRPr="003D6CE4">
        <w:rPr>
          <w:sz w:val="24"/>
          <w:szCs w:val="24"/>
        </w:rPr>
        <w:t xml:space="preserve">uition fees </w:t>
      </w:r>
      <w:r w:rsidR="001A4C04" w:rsidRPr="003D6CE4">
        <w:rPr>
          <w:sz w:val="24"/>
          <w:szCs w:val="24"/>
        </w:rPr>
        <w:t>are</w:t>
      </w:r>
      <w:r w:rsidR="001756EB" w:rsidRPr="003D6CE4">
        <w:rPr>
          <w:sz w:val="24"/>
          <w:szCs w:val="24"/>
        </w:rPr>
        <w:t xml:space="preserve"> financed from an </w:t>
      </w:r>
      <w:r w:rsidR="001756EB" w:rsidRPr="003D6CE4">
        <w:rPr>
          <w:i/>
          <w:iCs/>
          <w:sz w:val="24"/>
          <w:szCs w:val="24"/>
        </w:rPr>
        <w:t>apprenticeship levy fund</w:t>
      </w:r>
      <w:r w:rsidR="001756EB" w:rsidRPr="003D6CE4">
        <w:rPr>
          <w:sz w:val="24"/>
          <w:szCs w:val="24"/>
        </w:rPr>
        <w:t xml:space="preserve">. </w:t>
      </w:r>
      <w:r w:rsidR="001A4C04" w:rsidRPr="003D6CE4">
        <w:rPr>
          <w:sz w:val="24"/>
          <w:szCs w:val="24"/>
        </w:rPr>
        <w:t>N</w:t>
      </w:r>
      <w:r w:rsidR="00D62E79" w:rsidRPr="003D6CE4">
        <w:rPr>
          <w:sz w:val="24"/>
          <w:szCs w:val="24"/>
        </w:rPr>
        <w:t xml:space="preserve">on-levy paying employers are also able to withdraw funds </w:t>
      </w:r>
      <w:r w:rsidR="001A4C04" w:rsidRPr="003D6CE4">
        <w:rPr>
          <w:sz w:val="24"/>
          <w:szCs w:val="24"/>
        </w:rPr>
        <w:t xml:space="preserve">of up to 100% of tuition fees </w:t>
      </w:r>
      <w:r w:rsidR="00D62E79" w:rsidRPr="003D6CE4">
        <w:rPr>
          <w:sz w:val="24"/>
          <w:szCs w:val="24"/>
        </w:rPr>
        <w:t xml:space="preserve">from the central levy pot.  </w:t>
      </w:r>
      <w:r w:rsidR="001756EB" w:rsidRPr="003D6CE4">
        <w:rPr>
          <w:sz w:val="24"/>
          <w:szCs w:val="24"/>
        </w:rPr>
        <w:t>Apprentices would be unable to contribute or make a payment towards their tuition fees; thus, creating the opportunity for students to complete a Bachelor</w:t>
      </w:r>
      <w:r w:rsidR="00330894" w:rsidRPr="003D6CE4">
        <w:rPr>
          <w:sz w:val="24"/>
          <w:szCs w:val="24"/>
        </w:rPr>
        <w:t>’</w:t>
      </w:r>
      <w:r w:rsidR="001756EB" w:rsidRPr="003D6CE4">
        <w:rPr>
          <w:sz w:val="24"/>
          <w:szCs w:val="24"/>
        </w:rPr>
        <w:t xml:space="preserve">s </w:t>
      </w:r>
      <w:r w:rsidR="00046FF9" w:rsidRPr="003D6CE4">
        <w:rPr>
          <w:sz w:val="24"/>
          <w:szCs w:val="24"/>
        </w:rPr>
        <w:t>or Master</w:t>
      </w:r>
      <w:r w:rsidR="00330894" w:rsidRPr="003D6CE4">
        <w:rPr>
          <w:sz w:val="24"/>
          <w:szCs w:val="24"/>
        </w:rPr>
        <w:t>’</w:t>
      </w:r>
      <w:r w:rsidR="00046FF9" w:rsidRPr="003D6CE4">
        <w:rPr>
          <w:sz w:val="24"/>
          <w:szCs w:val="24"/>
        </w:rPr>
        <w:t xml:space="preserve">s </w:t>
      </w:r>
      <w:r w:rsidR="001756EB" w:rsidRPr="003D6CE4">
        <w:rPr>
          <w:sz w:val="24"/>
          <w:szCs w:val="24"/>
        </w:rPr>
        <w:t>degree</w:t>
      </w:r>
      <w:r w:rsidR="00046FF9" w:rsidRPr="003D6CE4">
        <w:rPr>
          <w:sz w:val="24"/>
          <w:szCs w:val="24"/>
        </w:rPr>
        <w:t xml:space="preserve"> (where an approved DA existed)</w:t>
      </w:r>
      <w:r w:rsidR="001756EB" w:rsidRPr="003D6CE4">
        <w:rPr>
          <w:sz w:val="24"/>
          <w:szCs w:val="24"/>
        </w:rPr>
        <w:t xml:space="preserve"> without incurring the burdensome debt typical of traditional programmes. </w:t>
      </w:r>
      <w:r w:rsidR="00707770" w:rsidRPr="003D6CE4">
        <w:rPr>
          <w:sz w:val="24"/>
          <w:szCs w:val="24"/>
        </w:rPr>
        <w:t>The apprenticeship levy was introduced in April 2017. It requires employers with a payroll of over £3-million to pay 0.5% of their payroll bill (offset by £15,000) via pay-as-you-earn (PAYE) taxation to fund apprenticeships for all companies based in England (Department for Education, 2018). The collected levy funds are then used to develop the skills and expertise of employees to enable employers to respond to an inc</w:t>
      </w:r>
      <w:r w:rsidR="00046FF9" w:rsidRPr="003D6CE4">
        <w:rPr>
          <w:sz w:val="24"/>
          <w:szCs w:val="24"/>
        </w:rPr>
        <w:t>reasingly competitive,</w:t>
      </w:r>
      <w:r w:rsidR="00707770" w:rsidRPr="003D6CE4">
        <w:rPr>
          <w:sz w:val="24"/>
          <w:szCs w:val="24"/>
        </w:rPr>
        <w:t xml:space="preserve"> yet ambitiously growing economic climate</w:t>
      </w:r>
      <w:r w:rsidR="00CE6223" w:rsidRPr="003D6CE4">
        <w:rPr>
          <w:sz w:val="24"/>
          <w:szCs w:val="24"/>
        </w:rPr>
        <w:t xml:space="preserve">. </w:t>
      </w:r>
      <w:r w:rsidR="001E6504" w:rsidRPr="003D6CE4">
        <w:rPr>
          <w:sz w:val="24"/>
          <w:szCs w:val="24"/>
        </w:rPr>
        <w:t xml:space="preserve"> E</w:t>
      </w:r>
      <w:r w:rsidR="00B47194" w:rsidRPr="003D6CE4">
        <w:rPr>
          <w:sz w:val="24"/>
          <w:szCs w:val="24"/>
        </w:rPr>
        <w:t xml:space="preserve">ducation providers are </w:t>
      </w:r>
      <w:r w:rsidR="001E6504" w:rsidRPr="003D6CE4">
        <w:rPr>
          <w:sz w:val="24"/>
          <w:szCs w:val="24"/>
        </w:rPr>
        <w:t xml:space="preserve">by default </w:t>
      </w:r>
      <w:r w:rsidR="00B47194" w:rsidRPr="003D6CE4">
        <w:rPr>
          <w:sz w:val="24"/>
          <w:szCs w:val="24"/>
        </w:rPr>
        <w:t xml:space="preserve">providing the support required to enable employers to access these funds.  This is time </w:t>
      </w:r>
      <w:r w:rsidR="00B47194" w:rsidRPr="003D6CE4">
        <w:rPr>
          <w:sz w:val="24"/>
          <w:szCs w:val="24"/>
        </w:rPr>
        <w:lastRenderedPageBreak/>
        <w:t>intensive and costly and requires the design</w:t>
      </w:r>
      <w:r w:rsidR="002C00C9" w:rsidRPr="003D6CE4">
        <w:rPr>
          <w:sz w:val="24"/>
          <w:szCs w:val="24"/>
        </w:rPr>
        <w:t xml:space="preserve"> and</w:t>
      </w:r>
      <w:r w:rsidR="00B47194" w:rsidRPr="003D6CE4">
        <w:rPr>
          <w:sz w:val="24"/>
          <w:szCs w:val="24"/>
        </w:rPr>
        <w:t xml:space="preserve"> </w:t>
      </w:r>
      <w:r w:rsidR="002C00C9" w:rsidRPr="003D6CE4">
        <w:rPr>
          <w:sz w:val="24"/>
          <w:szCs w:val="24"/>
        </w:rPr>
        <w:t xml:space="preserve">provision </w:t>
      </w:r>
      <w:r w:rsidR="00B47194" w:rsidRPr="003D6CE4">
        <w:rPr>
          <w:sz w:val="24"/>
          <w:szCs w:val="24"/>
        </w:rPr>
        <w:t xml:space="preserve">of </w:t>
      </w:r>
      <w:r w:rsidR="001E6504" w:rsidRPr="003D6CE4">
        <w:rPr>
          <w:sz w:val="24"/>
          <w:szCs w:val="24"/>
        </w:rPr>
        <w:t>additional employer engagement</w:t>
      </w:r>
      <w:r w:rsidR="00B47194" w:rsidRPr="003D6CE4">
        <w:rPr>
          <w:sz w:val="24"/>
          <w:szCs w:val="24"/>
        </w:rPr>
        <w:t xml:space="preserve"> extending </w:t>
      </w:r>
      <w:r w:rsidR="001E6504" w:rsidRPr="003D6CE4">
        <w:rPr>
          <w:sz w:val="24"/>
          <w:szCs w:val="24"/>
        </w:rPr>
        <w:t>challenges to existing administrative functions (</w:t>
      </w:r>
      <w:proofErr w:type="spellStart"/>
      <w:r w:rsidR="001150C6" w:rsidRPr="003D6CE4">
        <w:rPr>
          <w:rFonts w:eastAsiaTheme="minorHAnsi"/>
          <w:sz w:val="24"/>
          <w:szCs w:val="24"/>
        </w:rPr>
        <w:t>Mulkeen</w:t>
      </w:r>
      <w:proofErr w:type="spellEnd"/>
      <w:r w:rsidR="001150C6" w:rsidRPr="003D6CE4">
        <w:rPr>
          <w:rFonts w:eastAsiaTheme="minorHAnsi"/>
          <w:sz w:val="24"/>
          <w:szCs w:val="24"/>
        </w:rPr>
        <w:t xml:space="preserve"> et al., 2017)</w:t>
      </w:r>
      <w:r w:rsidR="001825A8" w:rsidRPr="003D6CE4">
        <w:rPr>
          <w:rFonts w:eastAsiaTheme="minorHAnsi"/>
          <w:sz w:val="24"/>
          <w:szCs w:val="24"/>
        </w:rPr>
        <w:t>.</w:t>
      </w:r>
    </w:p>
    <w:p w:rsidR="00482AB7" w:rsidRPr="003D6CE4" w:rsidRDefault="00482AB7" w:rsidP="00F53638">
      <w:pPr>
        <w:autoSpaceDE w:val="0"/>
        <w:autoSpaceDN w:val="0"/>
        <w:adjustRightInd w:val="0"/>
        <w:rPr>
          <w:rFonts w:eastAsiaTheme="minorHAnsi"/>
          <w:color w:val="000000"/>
          <w:sz w:val="24"/>
          <w:szCs w:val="24"/>
        </w:rPr>
      </w:pPr>
    </w:p>
    <w:p w:rsidR="00482AB7" w:rsidRPr="003D6CE4" w:rsidRDefault="00482AB7" w:rsidP="00F53638">
      <w:pPr>
        <w:autoSpaceDE w:val="0"/>
        <w:autoSpaceDN w:val="0"/>
        <w:adjustRightInd w:val="0"/>
        <w:rPr>
          <w:rFonts w:eastAsiaTheme="minorHAnsi"/>
          <w:color w:val="000000"/>
          <w:sz w:val="24"/>
          <w:szCs w:val="24"/>
        </w:rPr>
      </w:pPr>
      <w:r w:rsidRPr="003D6CE4">
        <w:rPr>
          <w:rFonts w:eastAsiaTheme="minorHAnsi"/>
          <w:color w:val="000000"/>
          <w:sz w:val="24"/>
          <w:szCs w:val="24"/>
        </w:rPr>
        <w:t>Employers are pla</w:t>
      </w:r>
      <w:r w:rsidR="007B66EA" w:rsidRPr="003D6CE4">
        <w:rPr>
          <w:rFonts w:eastAsiaTheme="minorHAnsi"/>
          <w:color w:val="000000"/>
          <w:sz w:val="24"/>
          <w:szCs w:val="24"/>
        </w:rPr>
        <w:t>ced at the heart of the process.  T</w:t>
      </w:r>
      <w:r w:rsidRPr="003D6CE4">
        <w:rPr>
          <w:rFonts w:eastAsiaTheme="minorHAnsi"/>
          <w:color w:val="000000"/>
          <w:sz w:val="24"/>
          <w:szCs w:val="24"/>
        </w:rPr>
        <w:t xml:space="preserve">heir centralized position ensures the apprenticeship is aligned to industry expectations and the apprentice acquires the skills and expertise demanded of the sector. Groups of like-minded employers, known as </w:t>
      </w:r>
      <w:r w:rsidRPr="003D6CE4">
        <w:rPr>
          <w:rFonts w:eastAsiaTheme="minorHAnsi"/>
          <w:i/>
          <w:iCs/>
          <w:color w:val="000000"/>
          <w:sz w:val="24"/>
          <w:szCs w:val="24"/>
        </w:rPr>
        <w:t>trailblazers</w:t>
      </w:r>
      <w:r w:rsidRPr="003D6CE4">
        <w:rPr>
          <w:rFonts w:eastAsiaTheme="minorHAnsi"/>
          <w:color w:val="000000"/>
          <w:sz w:val="24"/>
          <w:szCs w:val="24"/>
        </w:rPr>
        <w:t xml:space="preserve">, come together to formulate an </w:t>
      </w:r>
      <w:r w:rsidRPr="003D6CE4">
        <w:rPr>
          <w:rFonts w:eastAsiaTheme="minorHAnsi"/>
          <w:i/>
          <w:iCs/>
          <w:color w:val="000000"/>
          <w:sz w:val="24"/>
          <w:szCs w:val="24"/>
        </w:rPr>
        <w:t xml:space="preserve">apprenticeship standard </w:t>
      </w:r>
      <w:r w:rsidRPr="003D6CE4">
        <w:rPr>
          <w:rFonts w:eastAsiaTheme="minorHAnsi"/>
          <w:color w:val="000000"/>
          <w:sz w:val="24"/>
          <w:szCs w:val="24"/>
        </w:rPr>
        <w:t xml:space="preserve">for a specific occupational role that is focused and relevant to their business needs. </w:t>
      </w:r>
      <w:r w:rsidR="00B47194" w:rsidRPr="003D6CE4">
        <w:rPr>
          <w:rFonts w:eastAsiaTheme="minorHAnsi"/>
          <w:color w:val="000000"/>
          <w:sz w:val="24"/>
          <w:szCs w:val="24"/>
        </w:rPr>
        <w:t xml:space="preserve">The trailblazer consortiums </w:t>
      </w:r>
      <w:r w:rsidR="001E6504" w:rsidRPr="003D6CE4">
        <w:rPr>
          <w:rFonts w:eastAsiaTheme="minorHAnsi"/>
          <w:color w:val="000000"/>
          <w:sz w:val="24"/>
          <w:szCs w:val="24"/>
        </w:rPr>
        <w:t>are</w:t>
      </w:r>
      <w:r w:rsidR="00B47194" w:rsidRPr="003D6CE4">
        <w:rPr>
          <w:rFonts w:eastAsiaTheme="minorHAnsi"/>
          <w:color w:val="000000"/>
          <w:sz w:val="24"/>
          <w:szCs w:val="24"/>
        </w:rPr>
        <w:t xml:space="preserve"> balanced with both large and small employers however there is some unrest amongst smaller employers that the DA standards developed are more suitable for the larger employer and discourage the </w:t>
      </w:r>
      <w:r w:rsidR="001E6504" w:rsidRPr="003D6CE4">
        <w:rPr>
          <w:rFonts w:eastAsiaTheme="minorHAnsi"/>
          <w:color w:val="000000"/>
          <w:sz w:val="24"/>
          <w:szCs w:val="24"/>
        </w:rPr>
        <w:t xml:space="preserve">engagement of </w:t>
      </w:r>
      <w:r w:rsidR="00B47194" w:rsidRPr="003D6CE4">
        <w:rPr>
          <w:rFonts w:eastAsiaTheme="minorHAnsi"/>
          <w:color w:val="000000"/>
          <w:sz w:val="24"/>
          <w:szCs w:val="24"/>
        </w:rPr>
        <w:t>smaller employers.</w:t>
      </w:r>
      <w:r w:rsidR="001E6504" w:rsidRPr="003D6CE4">
        <w:rPr>
          <w:rFonts w:eastAsiaTheme="minorHAnsi"/>
          <w:color w:val="000000"/>
          <w:sz w:val="24"/>
          <w:szCs w:val="24"/>
        </w:rPr>
        <w:t xml:space="preserve">  “DAs ultimately require more collaboration, co</w:t>
      </w:r>
      <w:r w:rsidR="00616D28" w:rsidRPr="003D6CE4">
        <w:rPr>
          <w:rFonts w:eastAsiaTheme="minorHAnsi"/>
          <w:color w:val="000000"/>
          <w:sz w:val="24"/>
          <w:szCs w:val="24"/>
        </w:rPr>
        <w:t>-</w:t>
      </w:r>
      <w:r w:rsidR="001E6504" w:rsidRPr="003D6CE4">
        <w:rPr>
          <w:rFonts w:eastAsiaTheme="minorHAnsi"/>
          <w:color w:val="000000"/>
          <w:sz w:val="24"/>
          <w:szCs w:val="24"/>
        </w:rPr>
        <w:t>operation and co-creation between the employer and the provider” (</w:t>
      </w:r>
      <w:proofErr w:type="spellStart"/>
      <w:r w:rsidR="001150C6" w:rsidRPr="003D6CE4">
        <w:rPr>
          <w:rFonts w:eastAsiaTheme="minorHAnsi"/>
          <w:color w:val="000000"/>
          <w:sz w:val="24"/>
          <w:szCs w:val="24"/>
        </w:rPr>
        <w:t>Mulkeen</w:t>
      </w:r>
      <w:proofErr w:type="spellEnd"/>
      <w:r w:rsidR="001150C6" w:rsidRPr="003D6CE4">
        <w:rPr>
          <w:rFonts w:eastAsiaTheme="minorHAnsi"/>
          <w:color w:val="000000"/>
          <w:sz w:val="24"/>
          <w:szCs w:val="24"/>
        </w:rPr>
        <w:t xml:space="preserve"> et al., 2017)</w:t>
      </w:r>
      <w:r w:rsidR="00F87818">
        <w:rPr>
          <w:rFonts w:eastAsiaTheme="minorHAnsi"/>
          <w:color w:val="000000"/>
          <w:sz w:val="24"/>
          <w:szCs w:val="24"/>
        </w:rPr>
        <w:t>.</w:t>
      </w:r>
    </w:p>
    <w:p w:rsidR="00046FF9" w:rsidRPr="003D6CE4" w:rsidRDefault="00046FF9" w:rsidP="00F53638">
      <w:pPr>
        <w:autoSpaceDE w:val="0"/>
        <w:autoSpaceDN w:val="0"/>
        <w:adjustRightInd w:val="0"/>
        <w:rPr>
          <w:rFonts w:eastAsiaTheme="minorHAnsi"/>
          <w:color w:val="000000"/>
          <w:sz w:val="24"/>
          <w:szCs w:val="24"/>
        </w:rPr>
      </w:pPr>
    </w:p>
    <w:p w:rsidR="002C00C9" w:rsidRPr="003D6CE4" w:rsidRDefault="00482AB7" w:rsidP="00F53638">
      <w:pPr>
        <w:autoSpaceDE w:val="0"/>
        <w:autoSpaceDN w:val="0"/>
        <w:adjustRightInd w:val="0"/>
        <w:rPr>
          <w:rStyle w:val="selectable"/>
          <w:color w:val="000000"/>
          <w:sz w:val="24"/>
          <w:szCs w:val="24"/>
          <w:lang w:val="en"/>
        </w:rPr>
      </w:pPr>
      <w:r w:rsidRPr="003D6CE4">
        <w:rPr>
          <w:rFonts w:eastAsiaTheme="minorHAnsi"/>
          <w:color w:val="000000"/>
          <w:sz w:val="24"/>
          <w:szCs w:val="24"/>
        </w:rPr>
        <w:t xml:space="preserve">The remit of the trailblazer is to engage with appropriate trade organizations and </w:t>
      </w:r>
      <w:r w:rsidR="00731B60" w:rsidRPr="003D6CE4">
        <w:rPr>
          <w:rFonts w:eastAsiaTheme="minorHAnsi"/>
          <w:color w:val="000000"/>
          <w:sz w:val="24"/>
          <w:szCs w:val="24"/>
        </w:rPr>
        <w:t>professional, statutory and regulatory bodies (</w:t>
      </w:r>
      <w:r w:rsidRPr="003D6CE4">
        <w:rPr>
          <w:rFonts w:eastAsiaTheme="minorHAnsi"/>
          <w:color w:val="000000"/>
          <w:sz w:val="24"/>
          <w:szCs w:val="24"/>
        </w:rPr>
        <w:t>PSRBs</w:t>
      </w:r>
      <w:r w:rsidR="00731B60" w:rsidRPr="003D6CE4">
        <w:rPr>
          <w:rFonts w:eastAsiaTheme="minorHAnsi"/>
          <w:color w:val="000000"/>
          <w:sz w:val="24"/>
          <w:szCs w:val="24"/>
        </w:rPr>
        <w:t>)</w:t>
      </w:r>
      <w:r w:rsidRPr="003D6CE4">
        <w:rPr>
          <w:rFonts w:eastAsiaTheme="minorHAnsi"/>
          <w:color w:val="000000"/>
          <w:sz w:val="24"/>
          <w:szCs w:val="24"/>
        </w:rPr>
        <w:t xml:space="preserve"> to align the requisite skills and competencies demanded of the role</w:t>
      </w:r>
      <w:r w:rsidR="002B2A36" w:rsidRPr="003D6CE4">
        <w:rPr>
          <w:rFonts w:eastAsiaTheme="minorHAnsi"/>
          <w:color w:val="000000"/>
          <w:sz w:val="24"/>
          <w:szCs w:val="24"/>
        </w:rPr>
        <w:t>.</w:t>
      </w:r>
      <w:r w:rsidR="00E80895" w:rsidRPr="003D6CE4">
        <w:rPr>
          <w:rFonts w:eastAsiaTheme="minorHAnsi"/>
          <w:color w:val="000000"/>
          <w:sz w:val="24"/>
          <w:szCs w:val="24"/>
        </w:rPr>
        <w:t xml:space="preserve">  </w:t>
      </w:r>
      <w:r w:rsidRPr="003D6CE4">
        <w:rPr>
          <w:rFonts w:eastAsiaTheme="minorHAnsi"/>
          <w:color w:val="000000"/>
          <w:sz w:val="24"/>
          <w:szCs w:val="24"/>
        </w:rPr>
        <w:t xml:space="preserve">Trailblazers interact with potential training providers, usually </w:t>
      </w:r>
      <w:r w:rsidR="00616D28" w:rsidRPr="003D6CE4">
        <w:rPr>
          <w:rFonts w:eastAsiaTheme="minorHAnsi"/>
          <w:color w:val="000000"/>
          <w:sz w:val="24"/>
          <w:szCs w:val="24"/>
        </w:rPr>
        <w:t>HEIs</w:t>
      </w:r>
      <w:r w:rsidRPr="003D6CE4">
        <w:rPr>
          <w:rFonts w:eastAsiaTheme="minorHAnsi"/>
          <w:color w:val="000000"/>
          <w:sz w:val="24"/>
          <w:szCs w:val="24"/>
        </w:rPr>
        <w:t xml:space="preserve"> in the case of DAs, to design robust learning, teaching, and assessment strategies that are connected to the apprentice’s workplace. The resulting collaborative relationship betwee</w:t>
      </w:r>
      <w:r w:rsidR="007B66EA" w:rsidRPr="003D6CE4">
        <w:rPr>
          <w:rFonts w:eastAsiaTheme="minorHAnsi"/>
          <w:color w:val="000000"/>
          <w:sz w:val="24"/>
          <w:szCs w:val="24"/>
        </w:rPr>
        <w:t>n employers, PSRBs, and HEI</w:t>
      </w:r>
      <w:r w:rsidR="00616D28" w:rsidRPr="003D6CE4">
        <w:rPr>
          <w:rFonts w:eastAsiaTheme="minorHAnsi"/>
          <w:color w:val="000000"/>
          <w:sz w:val="24"/>
          <w:szCs w:val="24"/>
        </w:rPr>
        <w:t>s has</w:t>
      </w:r>
      <w:r w:rsidRPr="003D6CE4">
        <w:rPr>
          <w:rFonts w:eastAsiaTheme="minorHAnsi"/>
          <w:color w:val="000000"/>
          <w:sz w:val="24"/>
          <w:szCs w:val="24"/>
        </w:rPr>
        <w:t xml:space="preserve"> the potential to realize the </w:t>
      </w:r>
      <w:r w:rsidRPr="003D6CE4">
        <w:rPr>
          <w:rFonts w:eastAsiaTheme="minorHAnsi"/>
          <w:i/>
          <w:iCs/>
          <w:color w:val="000000"/>
          <w:sz w:val="24"/>
          <w:szCs w:val="24"/>
        </w:rPr>
        <w:t xml:space="preserve">added value </w:t>
      </w:r>
      <w:r w:rsidRPr="003D6CE4">
        <w:rPr>
          <w:rFonts w:eastAsiaTheme="minorHAnsi"/>
          <w:color w:val="000000"/>
          <w:sz w:val="24"/>
          <w:szCs w:val="24"/>
        </w:rPr>
        <w:t xml:space="preserve">of DAs: programmes that embrace the constructive alignment of focused academic curricular with workplace learning and engagement in the PSRB membership process (Institute for Apprenticeships, 2018). </w:t>
      </w:r>
      <w:r w:rsidR="002C00C9" w:rsidRPr="003D6CE4">
        <w:rPr>
          <w:rFonts w:eastAsiaTheme="minorHAnsi"/>
          <w:color w:val="000000"/>
          <w:sz w:val="24"/>
          <w:szCs w:val="24"/>
        </w:rPr>
        <w:t>Employers favour the DA standards closely aligned to a PSRB (Institute for Education, Bath Spa University, 2018).</w:t>
      </w:r>
    </w:p>
    <w:p w:rsidR="007B66EA" w:rsidRPr="003D6CE4" w:rsidRDefault="007B66EA" w:rsidP="00F53638">
      <w:pPr>
        <w:autoSpaceDE w:val="0"/>
        <w:autoSpaceDN w:val="0"/>
        <w:adjustRightInd w:val="0"/>
        <w:rPr>
          <w:rStyle w:val="selectable"/>
          <w:color w:val="000000"/>
          <w:sz w:val="24"/>
          <w:szCs w:val="24"/>
          <w:lang w:val="en"/>
        </w:rPr>
      </w:pPr>
    </w:p>
    <w:p w:rsidR="00616D28" w:rsidRPr="003D6CE4" w:rsidRDefault="007B66EA" w:rsidP="00F53638">
      <w:pPr>
        <w:autoSpaceDE w:val="0"/>
        <w:autoSpaceDN w:val="0"/>
        <w:adjustRightInd w:val="0"/>
        <w:rPr>
          <w:rFonts w:eastAsiaTheme="minorHAnsi"/>
          <w:b/>
          <w:color w:val="000000"/>
          <w:sz w:val="24"/>
          <w:szCs w:val="24"/>
        </w:rPr>
      </w:pPr>
      <w:r w:rsidRPr="003D6CE4">
        <w:rPr>
          <w:rFonts w:eastAsiaTheme="minorHAnsi"/>
          <w:color w:val="000000"/>
          <w:sz w:val="24"/>
          <w:szCs w:val="24"/>
          <w:lang w:val="en"/>
        </w:rPr>
        <w:t xml:space="preserve">It is useful to draw a distinction of </w:t>
      </w:r>
      <w:r w:rsidR="00E80895" w:rsidRPr="003D6CE4">
        <w:rPr>
          <w:rFonts w:eastAsiaTheme="minorHAnsi"/>
          <w:color w:val="000000"/>
          <w:sz w:val="24"/>
          <w:szCs w:val="24"/>
          <w:lang w:val="en"/>
        </w:rPr>
        <w:t xml:space="preserve">the </w:t>
      </w:r>
      <w:r w:rsidRPr="003D6CE4">
        <w:rPr>
          <w:rFonts w:eastAsiaTheme="minorHAnsi"/>
          <w:color w:val="000000"/>
          <w:sz w:val="24"/>
          <w:szCs w:val="24"/>
        </w:rPr>
        <w:t xml:space="preserve">main features of DAs relative to other forms of study for built environment programmes.  These are presented in </w:t>
      </w:r>
      <w:r w:rsidRPr="003D6CE4">
        <w:rPr>
          <w:rFonts w:eastAsiaTheme="minorHAnsi"/>
          <w:b/>
          <w:color w:val="000000"/>
          <w:sz w:val="24"/>
          <w:szCs w:val="24"/>
        </w:rPr>
        <w:t>Table 1.</w:t>
      </w:r>
    </w:p>
    <w:p w:rsidR="003D6CE4" w:rsidRPr="003D6CE4" w:rsidRDefault="003D6CE4" w:rsidP="00F53638">
      <w:pPr>
        <w:autoSpaceDE w:val="0"/>
        <w:autoSpaceDN w:val="0"/>
        <w:adjustRightInd w:val="0"/>
        <w:rPr>
          <w:rFonts w:eastAsiaTheme="minorHAnsi"/>
          <w:b/>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389"/>
        <w:gridCol w:w="2191"/>
        <w:gridCol w:w="2233"/>
      </w:tblGrid>
      <w:tr w:rsidR="00F53638" w:rsidTr="006B065D">
        <w:tc>
          <w:tcPr>
            <w:tcW w:w="9016" w:type="dxa"/>
            <w:gridSpan w:val="4"/>
            <w:tcBorders>
              <w:bottom w:val="single" w:sz="4" w:space="0" w:color="auto"/>
            </w:tcBorders>
          </w:tcPr>
          <w:p w:rsidR="00F53638" w:rsidRPr="00F53638" w:rsidRDefault="00F53638" w:rsidP="006B065D">
            <w:pPr>
              <w:autoSpaceDE w:val="0"/>
              <w:autoSpaceDN w:val="0"/>
              <w:adjustRightInd w:val="0"/>
              <w:rPr>
                <w:rFonts w:eastAsiaTheme="minorHAnsi"/>
                <w:b/>
                <w:color w:val="000000"/>
                <w:sz w:val="24"/>
                <w:szCs w:val="24"/>
              </w:rPr>
            </w:pPr>
            <w:r w:rsidRPr="00F53638">
              <w:rPr>
                <w:rFonts w:eastAsiaTheme="minorHAnsi"/>
                <w:b/>
                <w:color w:val="000000"/>
                <w:sz w:val="24"/>
                <w:szCs w:val="24"/>
              </w:rPr>
              <w:t>Table 1</w:t>
            </w:r>
          </w:p>
          <w:p w:rsidR="00F53638" w:rsidRPr="00786045" w:rsidRDefault="00F53638" w:rsidP="006B065D">
            <w:pPr>
              <w:autoSpaceDE w:val="0"/>
              <w:autoSpaceDN w:val="0"/>
              <w:adjustRightInd w:val="0"/>
              <w:rPr>
                <w:rFonts w:eastAsiaTheme="minorHAnsi"/>
                <w:b/>
                <w:i/>
                <w:color w:val="000000"/>
                <w:sz w:val="24"/>
                <w:szCs w:val="24"/>
              </w:rPr>
            </w:pPr>
            <w:r w:rsidRPr="00786045">
              <w:rPr>
                <w:rFonts w:eastAsiaTheme="minorHAnsi"/>
                <w:b/>
                <w:i/>
                <w:color w:val="000000"/>
                <w:sz w:val="24"/>
                <w:szCs w:val="24"/>
              </w:rPr>
              <w:t>Alternative modes of study</w:t>
            </w:r>
          </w:p>
        </w:tc>
      </w:tr>
      <w:tr w:rsidR="00F53638" w:rsidTr="006B065D">
        <w:tc>
          <w:tcPr>
            <w:tcW w:w="2203" w:type="dxa"/>
            <w:tcBorders>
              <w:top w:val="single" w:sz="4" w:space="0" w:color="auto"/>
            </w:tcBorders>
          </w:tcPr>
          <w:p w:rsidR="00F53638" w:rsidRDefault="00F53638" w:rsidP="006B065D">
            <w:pPr>
              <w:autoSpaceDE w:val="0"/>
              <w:autoSpaceDN w:val="0"/>
              <w:adjustRightInd w:val="0"/>
              <w:rPr>
                <w:rFonts w:eastAsiaTheme="minorHAnsi"/>
                <w:color w:val="000000"/>
                <w:sz w:val="24"/>
                <w:szCs w:val="24"/>
              </w:rPr>
            </w:pPr>
          </w:p>
        </w:tc>
        <w:tc>
          <w:tcPr>
            <w:tcW w:w="2389" w:type="dxa"/>
            <w:tcBorders>
              <w:top w:val="single" w:sz="4" w:space="0" w:color="auto"/>
              <w:bottom w:val="single" w:sz="4" w:space="0" w:color="auto"/>
            </w:tcBorders>
          </w:tcPr>
          <w:p w:rsidR="00F53638" w:rsidRPr="00C42BAB" w:rsidRDefault="00F53638" w:rsidP="006B065D">
            <w:pPr>
              <w:autoSpaceDE w:val="0"/>
              <w:autoSpaceDN w:val="0"/>
              <w:adjustRightInd w:val="0"/>
              <w:rPr>
                <w:rFonts w:eastAsiaTheme="minorHAnsi"/>
                <w:b/>
                <w:color w:val="000000"/>
              </w:rPr>
            </w:pPr>
            <w:r w:rsidRPr="00C42BAB">
              <w:rPr>
                <w:rFonts w:eastAsiaTheme="minorHAnsi"/>
                <w:b/>
                <w:color w:val="000000"/>
              </w:rPr>
              <w:t>Degree apprenticeship</w:t>
            </w:r>
          </w:p>
        </w:tc>
        <w:tc>
          <w:tcPr>
            <w:tcW w:w="2191" w:type="dxa"/>
            <w:tcBorders>
              <w:top w:val="single" w:sz="4" w:space="0" w:color="auto"/>
              <w:bottom w:val="single" w:sz="4" w:space="0" w:color="auto"/>
            </w:tcBorders>
          </w:tcPr>
          <w:p w:rsidR="00F53638" w:rsidRPr="00C42BAB" w:rsidRDefault="00F53638" w:rsidP="006B065D">
            <w:pPr>
              <w:autoSpaceDE w:val="0"/>
              <w:autoSpaceDN w:val="0"/>
              <w:adjustRightInd w:val="0"/>
              <w:rPr>
                <w:rFonts w:eastAsiaTheme="minorHAnsi"/>
                <w:b/>
                <w:color w:val="000000"/>
              </w:rPr>
            </w:pPr>
            <w:r w:rsidRPr="00C42BAB">
              <w:rPr>
                <w:rFonts w:eastAsiaTheme="minorHAnsi"/>
                <w:b/>
                <w:color w:val="000000"/>
              </w:rPr>
              <w:t>Full time degree</w:t>
            </w:r>
          </w:p>
        </w:tc>
        <w:tc>
          <w:tcPr>
            <w:tcW w:w="2233" w:type="dxa"/>
            <w:tcBorders>
              <w:top w:val="single" w:sz="4" w:space="0" w:color="auto"/>
              <w:bottom w:val="single" w:sz="4" w:space="0" w:color="auto"/>
            </w:tcBorders>
          </w:tcPr>
          <w:p w:rsidR="00F53638" w:rsidRPr="00C42BAB" w:rsidRDefault="00F53638" w:rsidP="006B065D">
            <w:pPr>
              <w:autoSpaceDE w:val="0"/>
              <w:autoSpaceDN w:val="0"/>
              <w:adjustRightInd w:val="0"/>
              <w:rPr>
                <w:rFonts w:eastAsiaTheme="minorHAnsi"/>
                <w:b/>
                <w:color w:val="000000"/>
              </w:rPr>
            </w:pPr>
            <w:r w:rsidRPr="00C42BAB">
              <w:rPr>
                <w:rFonts w:eastAsiaTheme="minorHAnsi"/>
                <w:b/>
                <w:color w:val="000000"/>
              </w:rPr>
              <w:t>Part Time degree</w:t>
            </w:r>
          </w:p>
        </w:tc>
      </w:tr>
      <w:tr w:rsidR="00F53638" w:rsidTr="006B065D">
        <w:tc>
          <w:tcPr>
            <w:tcW w:w="2203" w:type="dxa"/>
          </w:tcPr>
          <w:p w:rsidR="00F53638" w:rsidRPr="00C42BAB" w:rsidRDefault="00F53638" w:rsidP="006B065D">
            <w:pPr>
              <w:autoSpaceDE w:val="0"/>
              <w:autoSpaceDN w:val="0"/>
              <w:adjustRightInd w:val="0"/>
              <w:rPr>
                <w:rFonts w:eastAsiaTheme="minorHAnsi"/>
                <w:color w:val="000000"/>
              </w:rPr>
            </w:pPr>
            <w:r w:rsidRPr="00C42BAB">
              <w:rPr>
                <w:rFonts w:eastAsiaTheme="minorHAnsi"/>
                <w:color w:val="000000"/>
              </w:rPr>
              <w:t>Level of study</w:t>
            </w:r>
          </w:p>
        </w:tc>
        <w:tc>
          <w:tcPr>
            <w:tcW w:w="2389" w:type="dxa"/>
            <w:tcBorders>
              <w:top w:val="single" w:sz="4" w:space="0" w:color="auto"/>
            </w:tcBorders>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6 – 7</w:t>
            </w:r>
          </w:p>
        </w:tc>
        <w:tc>
          <w:tcPr>
            <w:tcW w:w="2191" w:type="dxa"/>
            <w:tcBorders>
              <w:top w:val="single" w:sz="4" w:space="0" w:color="auto"/>
            </w:tcBorders>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6 – 7</w:t>
            </w:r>
          </w:p>
        </w:tc>
        <w:tc>
          <w:tcPr>
            <w:tcW w:w="2233" w:type="dxa"/>
            <w:tcBorders>
              <w:top w:val="single" w:sz="4" w:space="0" w:color="auto"/>
            </w:tcBorders>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6 – 7</w:t>
            </w:r>
          </w:p>
        </w:tc>
      </w:tr>
      <w:tr w:rsidR="00F53638" w:rsidTr="006B065D">
        <w:tc>
          <w:tcPr>
            <w:tcW w:w="2203" w:type="dxa"/>
          </w:tcPr>
          <w:p w:rsidR="00F53638" w:rsidRPr="00C42BAB" w:rsidRDefault="00F53638" w:rsidP="006B065D">
            <w:pPr>
              <w:autoSpaceDE w:val="0"/>
              <w:autoSpaceDN w:val="0"/>
              <w:adjustRightInd w:val="0"/>
              <w:rPr>
                <w:rFonts w:eastAsiaTheme="minorHAnsi"/>
                <w:color w:val="000000"/>
              </w:rPr>
            </w:pPr>
            <w:r w:rsidRPr="00C42BAB">
              <w:rPr>
                <w:rFonts w:eastAsiaTheme="minorHAnsi"/>
                <w:color w:val="000000"/>
              </w:rPr>
              <w:t>Duration</w:t>
            </w:r>
          </w:p>
        </w:tc>
        <w:tc>
          <w:tcPr>
            <w:tcW w:w="2389" w:type="dxa"/>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2 – 5 years</w:t>
            </w:r>
          </w:p>
        </w:tc>
        <w:tc>
          <w:tcPr>
            <w:tcW w:w="2191" w:type="dxa"/>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4 years</w:t>
            </w:r>
          </w:p>
        </w:tc>
        <w:tc>
          <w:tcPr>
            <w:tcW w:w="2233" w:type="dxa"/>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5 years</w:t>
            </w:r>
          </w:p>
        </w:tc>
      </w:tr>
      <w:tr w:rsidR="00F53638" w:rsidTr="006B065D">
        <w:tc>
          <w:tcPr>
            <w:tcW w:w="2203" w:type="dxa"/>
          </w:tcPr>
          <w:p w:rsidR="00F53638" w:rsidRPr="00C42BAB" w:rsidRDefault="00F53638" w:rsidP="006B065D">
            <w:pPr>
              <w:autoSpaceDE w:val="0"/>
              <w:autoSpaceDN w:val="0"/>
              <w:adjustRightInd w:val="0"/>
              <w:rPr>
                <w:rFonts w:eastAsiaTheme="minorHAnsi"/>
                <w:color w:val="000000"/>
              </w:rPr>
            </w:pPr>
            <w:r w:rsidRPr="00C42BAB">
              <w:rPr>
                <w:rFonts w:eastAsiaTheme="minorHAnsi"/>
                <w:color w:val="000000"/>
              </w:rPr>
              <w:t>Funding</w:t>
            </w:r>
          </w:p>
        </w:tc>
        <w:tc>
          <w:tcPr>
            <w:tcW w:w="2389" w:type="dxa"/>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Government/employer</w:t>
            </w:r>
          </w:p>
        </w:tc>
        <w:tc>
          <w:tcPr>
            <w:tcW w:w="2191" w:type="dxa"/>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Student</w:t>
            </w:r>
          </w:p>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(circa £27,000)</w:t>
            </w:r>
          </w:p>
        </w:tc>
        <w:tc>
          <w:tcPr>
            <w:tcW w:w="2233" w:type="dxa"/>
          </w:tcPr>
          <w:p w:rsidR="00F53638" w:rsidRPr="00C42BAB" w:rsidRDefault="00F53638" w:rsidP="006B065D">
            <w:pPr>
              <w:autoSpaceDE w:val="0"/>
              <w:autoSpaceDN w:val="0"/>
              <w:adjustRightInd w:val="0"/>
              <w:rPr>
                <w:rFonts w:eastAsiaTheme="minorHAnsi"/>
                <w:color w:val="000000"/>
              </w:rPr>
            </w:pPr>
            <w:r w:rsidRPr="00C42BAB">
              <w:rPr>
                <w:rFonts w:eastAsiaTheme="minorHAnsi"/>
                <w:color w:val="000000"/>
              </w:rPr>
              <w:t>Student/employer</w:t>
            </w:r>
          </w:p>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(circa £27,000)</w:t>
            </w:r>
          </w:p>
        </w:tc>
      </w:tr>
      <w:tr w:rsidR="00F53638" w:rsidTr="006B065D">
        <w:tc>
          <w:tcPr>
            <w:tcW w:w="2203" w:type="dxa"/>
          </w:tcPr>
          <w:p w:rsidR="00F53638" w:rsidRPr="00C42BAB" w:rsidRDefault="00F53638" w:rsidP="006B065D">
            <w:pPr>
              <w:autoSpaceDE w:val="0"/>
              <w:autoSpaceDN w:val="0"/>
              <w:adjustRightInd w:val="0"/>
              <w:rPr>
                <w:rFonts w:eastAsiaTheme="minorHAnsi"/>
                <w:color w:val="000000"/>
              </w:rPr>
            </w:pPr>
            <w:r w:rsidRPr="00C42BAB">
              <w:rPr>
                <w:rFonts w:eastAsiaTheme="minorHAnsi"/>
                <w:color w:val="000000"/>
              </w:rPr>
              <w:t>Employment</w:t>
            </w:r>
          </w:p>
          <w:p w:rsidR="00F53638" w:rsidRPr="00C42BAB" w:rsidRDefault="00F53638" w:rsidP="006B065D">
            <w:pPr>
              <w:autoSpaceDE w:val="0"/>
              <w:autoSpaceDN w:val="0"/>
              <w:adjustRightInd w:val="0"/>
              <w:rPr>
                <w:rFonts w:eastAsiaTheme="minorHAnsi"/>
                <w:color w:val="000000"/>
              </w:rPr>
            </w:pPr>
            <w:r w:rsidRPr="00C42BAB">
              <w:rPr>
                <w:rFonts w:eastAsiaTheme="minorHAnsi"/>
                <w:color w:val="000000"/>
              </w:rPr>
              <w:t>status</w:t>
            </w:r>
          </w:p>
        </w:tc>
        <w:tc>
          <w:tcPr>
            <w:tcW w:w="2389" w:type="dxa"/>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Employed throughout</w:t>
            </w:r>
          </w:p>
        </w:tc>
        <w:tc>
          <w:tcPr>
            <w:tcW w:w="2191" w:type="dxa"/>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Employed during</w:t>
            </w:r>
          </w:p>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12 month placement</w:t>
            </w:r>
          </w:p>
        </w:tc>
        <w:tc>
          <w:tcPr>
            <w:tcW w:w="2233" w:type="dxa"/>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Varies</w:t>
            </w:r>
          </w:p>
        </w:tc>
      </w:tr>
      <w:tr w:rsidR="00F53638" w:rsidTr="006B065D">
        <w:tc>
          <w:tcPr>
            <w:tcW w:w="2203" w:type="dxa"/>
          </w:tcPr>
          <w:p w:rsidR="00F53638" w:rsidRPr="00C42BAB" w:rsidRDefault="00F53638" w:rsidP="006B065D">
            <w:pPr>
              <w:autoSpaceDE w:val="0"/>
              <w:autoSpaceDN w:val="0"/>
              <w:adjustRightInd w:val="0"/>
              <w:rPr>
                <w:rFonts w:eastAsiaTheme="minorHAnsi"/>
                <w:color w:val="000000"/>
              </w:rPr>
            </w:pPr>
            <w:r w:rsidRPr="00C42BAB">
              <w:rPr>
                <w:rFonts w:eastAsiaTheme="minorHAnsi"/>
                <w:color w:val="000000"/>
              </w:rPr>
              <w:t>Salary</w:t>
            </w:r>
          </w:p>
        </w:tc>
        <w:tc>
          <w:tcPr>
            <w:tcW w:w="2389" w:type="dxa"/>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At least min wage</w:t>
            </w:r>
          </w:p>
        </w:tc>
        <w:tc>
          <w:tcPr>
            <w:tcW w:w="2191" w:type="dxa"/>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Dependant on</w:t>
            </w:r>
          </w:p>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placement</w:t>
            </w:r>
          </w:p>
        </w:tc>
        <w:tc>
          <w:tcPr>
            <w:tcW w:w="2233" w:type="dxa"/>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Dependant on</w:t>
            </w:r>
          </w:p>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circumstance</w:t>
            </w:r>
          </w:p>
        </w:tc>
      </w:tr>
      <w:tr w:rsidR="00F53638" w:rsidTr="006B065D">
        <w:tc>
          <w:tcPr>
            <w:tcW w:w="2203" w:type="dxa"/>
          </w:tcPr>
          <w:p w:rsidR="00F53638" w:rsidRPr="00C42BAB" w:rsidRDefault="00F53638" w:rsidP="006B065D">
            <w:pPr>
              <w:autoSpaceDE w:val="0"/>
              <w:autoSpaceDN w:val="0"/>
              <w:adjustRightInd w:val="0"/>
              <w:rPr>
                <w:rFonts w:eastAsiaTheme="minorHAnsi"/>
                <w:color w:val="000000"/>
              </w:rPr>
            </w:pPr>
            <w:r w:rsidRPr="00C42BAB">
              <w:rPr>
                <w:rFonts w:eastAsiaTheme="minorHAnsi"/>
                <w:color w:val="000000"/>
              </w:rPr>
              <w:t>Curriculum</w:t>
            </w:r>
          </w:p>
        </w:tc>
        <w:tc>
          <w:tcPr>
            <w:tcW w:w="2389" w:type="dxa"/>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Employer lead</w:t>
            </w:r>
          </w:p>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(accredited with PSRB where appropriate)</w:t>
            </w:r>
          </w:p>
        </w:tc>
        <w:tc>
          <w:tcPr>
            <w:tcW w:w="2191" w:type="dxa"/>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HEI lead</w:t>
            </w:r>
          </w:p>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(accredited with PSRB where appropriate)</w:t>
            </w:r>
          </w:p>
        </w:tc>
        <w:tc>
          <w:tcPr>
            <w:tcW w:w="2233" w:type="dxa"/>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HEI lead</w:t>
            </w:r>
          </w:p>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(accredited with PSRB where appropriate)</w:t>
            </w:r>
          </w:p>
        </w:tc>
      </w:tr>
      <w:tr w:rsidR="00F53638" w:rsidTr="006B065D">
        <w:tc>
          <w:tcPr>
            <w:tcW w:w="2203" w:type="dxa"/>
          </w:tcPr>
          <w:p w:rsidR="00F53638" w:rsidRPr="00C42BAB" w:rsidRDefault="00F53638" w:rsidP="006B065D">
            <w:pPr>
              <w:autoSpaceDE w:val="0"/>
              <w:autoSpaceDN w:val="0"/>
              <w:adjustRightInd w:val="0"/>
              <w:rPr>
                <w:rFonts w:eastAsiaTheme="minorHAnsi"/>
                <w:color w:val="000000"/>
              </w:rPr>
            </w:pPr>
            <w:r w:rsidRPr="00C42BAB">
              <w:rPr>
                <w:rFonts w:eastAsiaTheme="minorHAnsi"/>
                <w:color w:val="000000"/>
              </w:rPr>
              <w:t>Contract</w:t>
            </w:r>
          </w:p>
        </w:tc>
        <w:tc>
          <w:tcPr>
            <w:tcW w:w="2389" w:type="dxa"/>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Employer - HEI</w:t>
            </w:r>
          </w:p>
        </w:tc>
        <w:tc>
          <w:tcPr>
            <w:tcW w:w="2191" w:type="dxa"/>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HEI - Student</w:t>
            </w:r>
          </w:p>
        </w:tc>
        <w:tc>
          <w:tcPr>
            <w:tcW w:w="2233" w:type="dxa"/>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HEI - Student</w:t>
            </w:r>
          </w:p>
        </w:tc>
      </w:tr>
      <w:tr w:rsidR="00F53638" w:rsidTr="006B065D">
        <w:tc>
          <w:tcPr>
            <w:tcW w:w="2203" w:type="dxa"/>
            <w:tcBorders>
              <w:bottom w:val="single" w:sz="4" w:space="0" w:color="auto"/>
            </w:tcBorders>
          </w:tcPr>
          <w:p w:rsidR="00F53638" w:rsidRPr="00C42BAB" w:rsidRDefault="00F53638" w:rsidP="006B065D">
            <w:pPr>
              <w:autoSpaceDE w:val="0"/>
              <w:autoSpaceDN w:val="0"/>
              <w:adjustRightInd w:val="0"/>
              <w:rPr>
                <w:rFonts w:eastAsiaTheme="minorHAnsi"/>
                <w:color w:val="000000"/>
              </w:rPr>
            </w:pPr>
            <w:r w:rsidRPr="00C42BAB">
              <w:rPr>
                <w:rFonts w:eastAsiaTheme="minorHAnsi"/>
                <w:color w:val="000000"/>
              </w:rPr>
              <w:t>Mode of study</w:t>
            </w:r>
          </w:p>
        </w:tc>
        <w:tc>
          <w:tcPr>
            <w:tcW w:w="2389" w:type="dxa"/>
            <w:tcBorders>
              <w:bottom w:val="single" w:sz="4" w:space="0" w:color="auto"/>
            </w:tcBorders>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Part time/blended</w:t>
            </w:r>
          </w:p>
        </w:tc>
        <w:tc>
          <w:tcPr>
            <w:tcW w:w="2191" w:type="dxa"/>
            <w:tcBorders>
              <w:bottom w:val="single" w:sz="4" w:space="0" w:color="auto"/>
            </w:tcBorders>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Full time</w:t>
            </w:r>
          </w:p>
        </w:tc>
        <w:tc>
          <w:tcPr>
            <w:tcW w:w="2233" w:type="dxa"/>
            <w:tcBorders>
              <w:bottom w:val="single" w:sz="4" w:space="0" w:color="auto"/>
            </w:tcBorders>
          </w:tcPr>
          <w:p w:rsidR="00F53638" w:rsidRPr="00C42BAB" w:rsidRDefault="00F53638" w:rsidP="006B065D">
            <w:pPr>
              <w:autoSpaceDE w:val="0"/>
              <w:autoSpaceDN w:val="0"/>
              <w:adjustRightInd w:val="0"/>
              <w:jc w:val="center"/>
              <w:rPr>
                <w:rFonts w:eastAsiaTheme="minorHAnsi"/>
                <w:color w:val="000000"/>
              </w:rPr>
            </w:pPr>
            <w:r w:rsidRPr="00C42BAB">
              <w:rPr>
                <w:rFonts w:eastAsiaTheme="minorHAnsi"/>
                <w:color w:val="000000"/>
              </w:rPr>
              <w:t>Part time</w:t>
            </w:r>
          </w:p>
        </w:tc>
      </w:tr>
    </w:tbl>
    <w:p w:rsidR="00897105" w:rsidRPr="003D6CE4" w:rsidRDefault="00897105" w:rsidP="00F53638">
      <w:pPr>
        <w:autoSpaceDE w:val="0"/>
        <w:autoSpaceDN w:val="0"/>
        <w:adjustRightInd w:val="0"/>
        <w:rPr>
          <w:rFonts w:eastAsiaTheme="minorHAnsi"/>
          <w:b/>
          <w:color w:val="000000"/>
          <w:sz w:val="24"/>
          <w:szCs w:val="24"/>
        </w:rPr>
      </w:pPr>
    </w:p>
    <w:p w:rsidR="00897105" w:rsidRPr="003D6CE4" w:rsidRDefault="00897105" w:rsidP="00F53638">
      <w:pPr>
        <w:autoSpaceDE w:val="0"/>
        <w:autoSpaceDN w:val="0"/>
        <w:adjustRightInd w:val="0"/>
        <w:rPr>
          <w:color w:val="000000"/>
          <w:sz w:val="24"/>
          <w:szCs w:val="24"/>
          <w:lang w:val="en"/>
        </w:rPr>
      </w:pPr>
      <w:r w:rsidRPr="003D6CE4">
        <w:rPr>
          <w:rFonts w:eastAsiaTheme="minorHAnsi"/>
          <w:color w:val="000000"/>
          <w:sz w:val="24"/>
          <w:szCs w:val="24"/>
        </w:rPr>
        <w:t>These DA programmes have brought benefits and opportunities and a wave of challenge to existing institutions and systems.  Not only the costs of setting up the programmes, empowering the employer’s voice, governance and organisational culture clashes.  There is also a typical perception of what an apprentice is and the status associated with the title of apprentice is not one usually associated with the professionally qualified employee.  The complexities of adapting the delivery of taught modules to online learning and managing an arms-length relationship between the employer and the HEI are new time int</w:t>
      </w:r>
      <w:r w:rsidR="00BB2820" w:rsidRPr="003D6CE4">
        <w:rPr>
          <w:rFonts w:eastAsiaTheme="minorHAnsi"/>
          <w:color w:val="000000"/>
          <w:sz w:val="24"/>
          <w:szCs w:val="24"/>
        </w:rPr>
        <w:t>ensive yet critical activities</w:t>
      </w:r>
      <w:r w:rsidRPr="003D6CE4">
        <w:rPr>
          <w:rFonts w:eastAsiaTheme="minorHAnsi"/>
          <w:color w:val="000000"/>
          <w:sz w:val="24"/>
          <w:szCs w:val="24"/>
        </w:rPr>
        <w:t xml:space="preserve"> </w:t>
      </w:r>
      <w:r w:rsidRPr="003D6CE4">
        <w:rPr>
          <w:rStyle w:val="selectable"/>
          <w:color w:val="000000"/>
          <w:sz w:val="24"/>
          <w:szCs w:val="24"/>
          <w:lang w:val="en"/>
        </w:rPr>
        <w:t>(</w:t>
      </w:r>
      <w:proofErr w:type="spellStart"/>
      <w:r w:rsidRPr="003D6CE4">
        <w:rPr>
          <w:rStyle w:val="selectable"/>
          <w:color w:val="000000"/>
          <w:sz w:val="24"/>
          <w:szCs w:val="24"/>
          <w:lang w:val="en"/>
        </w:rPr>
        <w:t>Mulkeen</w:t>
      </w:r>
      <w:proofErr w:type="spellEnd"/>
      <w:r w:rsidRPr="003D6CE4">
        <w:rPr>
          <w:rStyle w:val="selectable"/>
          <w:color w:val="000000"/>
          <w:sz w:val="24"/>
          <w:szCs w:val="24"/>
          <w:lang w:val="en"/>
        </w:rPr>
        <w:t xml:space="preserve"> et al., 2017)</w:t>
      </w:r>
      <w:r w:rsidR="00BB2820" w:rsidRPr="003D6CE4">
        <w:rPr>
          <w:rStyle w:val="selectable"/>
          <w:color w:val="000000"/>
          <w:sz w:val="24"/>
          <w:szCs w:val="24"/>
          <w:lang w:val="en"/>
        </w:rPr>
        <w:t xml:space="preserve">.  </w:t>
      </w:r>
      <w:r w:rsidRPr="003D6CE4">
        <w:rPr>
          <w:rFonts w:eastAsiaTheme="minorHAnsi"/>
          <w:color w:val="000000"/>
          <w:sz w:val="24"/>
          <w:szCs w:val="24"/>
        </w:rPr>
        <w:t xml:space="preserve">There is also concern over whether employers are ready to invest the necessary time and have the ability to evaluate skills and behaviours.  In particular, the smaller employers which may not have the support of established training </w:t>
      </w:r>
      <w:r w:rsidRPr="003D6CE4">
        <w:rPr>
          <w:rFonts w:eastAsiaTheme="minorHAnsi"/>
          <w:color w:val="000000"/>
          <w:sz w:val="24"/>
          <w:szCs w:val="24"/>
        </w:rPr>
        <w:lastRenderedPageBreak/>
        <w:t>schemes</w:t>
      </w:r>
      <w:r w:rsidR="004B3C11">
        <w:rPr>
          <w:rFonts w:eastAsiaTheme="minorHAnsi"/>
          <w:color w:val="000000"/>
          <w:sz w:val="24"/>
          <w:szCs w:val="24"/>
        </w:rPr>
        <w:t xml:space="preserve"> and human resource departments</w:t>
      </w:r>
      <w:r w:rsidRPr="003D6CE4">
        <w:rPr>
          <w:color w:val="000000"/>
          <w:sz w:val="24"/>
          <w:szCs w:val="24"/>
          <w:lang w:val="en"/>
        </w:rPr>
        <w:t xml:space="preserve"> </w:t>
      </w:r>
      <w:r w:rsidRPr="003D6CE4">
        <w:rPr>
          <w:rStyle w:val="selectable"/>
          <w:color w:val="000000"/>
          <w:sz w:val="24"/>
          <w:szCs w:val="24"/>
          <w:lang w:val="en"/>
        </w:rPr>
        <w:t>(Institute for Education, Bath Spa University, 2018)</w:t>
      </w:r>
      <w:r w:rsidR="004B3C11">
        <w:rPr>
          <w:rStyle w:val="selectable"/>
          <w:color w:val="000000"/>
          <w:sz w:val="24"/>
          <w:szCs w:val="24"/>
          <w:lang w:val="en"/>
        </w:rPr>
        <w:t>.</w:t>
      </w:r>
    </w:p>
    <w:p w:rsidR="004B73F6" w:rsidRPr="003D6CE4" w:rsidRDefault="004B73F6" w:rsidP="00F53638">
      <w:pPr>
        <w:autoSpaceDE w:val="0"/>
        <w:autoSpaceDN w:val="0"/>
        <w:adjustRightInd w:val="0"/>
        <w:rPr>
          <w:rFonts w:eastAsiaTheme="minorHAnsi"/>
          <w:color w:val="000000"/>
          <w:sz w:val="24"/>
          <w:szCs w:val="24"/>
        </w:rPr>
      </w:pPr>
    </w:p>
    <w:p w:rsidR="007B66EA" w:rsidRPr="003D6CE4" w:rsidRDefault="00EA5666" w:rsidP="00F53638">
      <w:pPr>
        <w:autoSpaceDE w:val="0"/>
        <w:autoSpaceDN w:val="0"/>
        <w:adjustRightInd w:val="0"/>
        <w:rPr>
          <w:rFonts w:eastAsiaTheme="minorHAnsi"/>
          <w:color w:val="000000"/>
          <w:sz w:val="24"/>
          <w:szCs w:val="24"/>
        </w:rPr>
      </w:pPr>
      <w:r w:rsidRPr="003D6CE4">
        <w:rPr>
          <w:rFonts w:eastAsiaTheme="minorHAnsi"/>
          <w:color w:val="000000"/>
          <w:sz w:val="24"/>
          <w:szCs w:val="24"/>
        </w:rPr>
        <w:t>To summarise, DA</w:t>
      </w:r>
      <w:r w:rsidR="00BB2820" w:rsidRPr="003D6CE4">
        <w:rPr>
          <w:rFonts w:eastAsiaTheme="minorHAnsi"/>
          <w:color w:val="000000"/>
          <w:sz w:val="24"/>
          <w:szCs w:val="24"/>
        </w:rPr>
        <w:t>s</w:t>
      </w:r>
      <w:r w:rsidRPr="003D6CE4">
        <w:rPr>
          <w:rFonts w:eastAsiaTheme="minorHAnsi"/>
          <w:color w:val="000000"/>
          <w:sz w:val="24"/>
          <w:szCs w:val="24"/>
        </w:rPr>
        <w:t>:</w:t>
      </w:r>
    </w:p>
    <w:p w:rsidR="00D250B4" w:rsidRPr="003D6CE4" w:rsidRDefault="00BB2820" w:rsidP="00F53638">
      <w:pPr>
        <w:pStyle w:val="ListParagraph"/>
        <w:numPr>
          <w:ilvl w:val="0"/>
          <w:numId w:val="2"/>
        </w:numPr>
        <w:autoSpaceDE w:val="0"/>
        <w:autoSpaceDN w:val="0"/>
        <w:adjustRightInd w:val="0"/>
        <w:spacing w:after="44"/>
        <w:rPr>
          <w:rFonts w:eastAsiaTheme="minorHAnsi"/>
          <w:color w:val="000000"/>
          <w:sz w:val="24"/>
          <w:szCs w:val="24"/>
        </w:rPr>
      </w:pPr>
      <w:r w:rsidRPr="003D6CE4">
        <w:rPr>
          <w:rFonts w:eastAsiaTheme="minorHAnsi"/>
          <w:color w:val="000000"/>
          <w:sz w:val="24"/>
          <w:szCs w:val="24"/>
        </w:rPr>
        <w:t xml:space="preserve">are </w:t>
      </w:r>
      <w:r w:rsidR="00D250B4" w:rsidRPr="003D6CE4">
        <w:rPr>
          <w:rFonts w:eastAsiaTheme="minorHAnsi"/>
          <w:color w:val="000000"/>
          <w:sz w:val="24"/>
          <w:szCs w:val="24"/>
        </w:rPr>
        <w:t>resource intensive for employers and HEIs</w:t>
      </w:r>
    </w:p>
    <w:p w:rsidR="008D546D" w:rsidRPr="003D6CE4" w:rsidRDefault="00D250B4" w:rsidP="00F53638">
      <w:pPr>
        <w:pStyle w:val="ListParagraph"/>
        <w:numPr>
          <w:ilvl w:val="0"/>
          <w:numId w:val="2"/>
        </w:numPr>
        <w:autoSpaceDE w:val="0"/>
        <w:autoSpaceDN w:val="0"/>
        <w:adjustRightInd w:val="0"/>
        <w:spacing w:after="44"/>
        <w:rPr>
          <w:rFonts w:eastAsiaTheme="minorHAnsi"/>
          <w:color w:val="000000"/>
          <w:sz w:val="24"/>
          <w:szCs w:val="24"/>
        </w:rPr>
      </w:pPr>
      <w:r w:rsidRPr="003D6CE4">
        <w:rPr>
          <w:rFonts w:eastAsiaTheme="minorHAnsi"/>
          <w:color w:val="000000"/>
          <w:sz w:val="24"/>
          <w:szCs w:val="24"/>
        </w:rPr>
        <w:t>deliver graduate</w:t>
      </w:r>
      <w:r w:rsidR="00E80895" w:rsidRPr="003D6CE4">
        <w:rPr>
          <w:rFonts w:eastAsiaTheme="minorHAnsi"/>
          <w:color w:val="000000"/>
          <w:sz w:val="24"/>
          <w:szCs w:val="24"/>
        </w:rPr>
        <w:t>s</w:t>
      </w:r>
      <w:r w:rsidRPr="003D6CE4">
        <w:rPr>
          <w:rFonts w:eastAsiaTheme="minorHAnsi"/>
          <w:color w:val="000000"/>
          <w:sz w:val="24"/>
          <w:szCs w:val="24"/>
        </w:rPr>
        <w:t xml:space="preserve"> </w:t>
      </w:r>
      <w:r w:rsidR="008D546D" w:rsidRPr="003D6CE4">
        <w:rPr>
          <w:rFonts w:eastAsiaTheme="minorHAnsi"/>
          <w:color w:val="000000"/>
          <w:sz w:val="24"/>
          <w:szCs w:val="24"/>
        </w:rPr>
        <w:t>with the requisite skill set and competencies demanded by the role</w:t>
      </w:r>
    </w:p>
    <w:p w:rsidR="00BB2820" w:rsidRPr="003D6CE4" w:rsidRDefault="008D546D" w:rsidP="00F53638">
      <w:pPr>
        <w:pStyle w:val="ListParagraph"/>
        <w:numPr>
          <w:ilvl w:val="0"/>
          <w:numId w:val="2"/>
        </w:numPr>
        <w:autoSpaceDE w:val="0"/>
        <w:autoSpaceDN w:val="0"/>
        <w:adjustRightInd w:val="0"/>
        <w:spacing w:after="44"/>
        <w:rPr>
          <w:rFonts w:eastAsiaTheme="minorHAnsi"/>
          <w:color w:val="000000"/>
          <w:sz w:val="24"/>
          <w:szCs w:val="24"/>
        </w:rPr>
      </w:pPr>
      <w:r w:rsidRPr="003D6CE4">
        <w:rPr>
          <w:rFonts w:eastAsiaTheme="minorHAnsi"/>
          <w:color w:val="000000"/>
          <w:sz w:val="24"/>
          <w:szCs w:val="24"/>
        </w:rPr>
        <w:t>align university study with occupat</w:t>
      </w:r>
      <w:r w:rsidR="004B3C11">
        <w:rPr>
          <w:rFonts w:eastAsiaTheme="minorHAnsi"/>
          <w:color w:val="000000"/>
          <w:sz w:val="24"/>
          <w:szCs w:val="24"/>
        </w:rPr>
        <w:t>ional-based workplace learning</w:t>
      </w:r>
    </w:p>
    <w:p w:rsidR="00E80895" w:rsidRPr="003D6CE4" w:rsidRDefault="008D546D" w:rsidP="00F53638">
      <w:pPr>
        <w:pStyle w:val="ListParagraph"/>
        <w:numPr>
          <w:ilvl w:val="0"/>
          <w:numId w:val="2"/>
        </w:numPr>
        <w:autoSpaceDE w:val="0"/>
        <w:autoSpaceDN w:val="0"/>
        <w:adjustRightInd w:val="0"/>
        <w:spacing w:after="44"/>
        <w:rPr>
          <w:rFonts w:eastAsiaTheme="minorHAnsi"/>
          <w:color w:val="000000"/>
          <w:sz w:val="24"/>
          <w:szCs w:val="24"/>
        </w:rPr>
      </w:pPr>
      <w:r w:rsidRPr="003D6CE4">
        <w:rPr>
          <w:rFonts w:eastAsiaTheme="minorHAnsi"/>
          <w:color w:val="000000"/>
          <w:sz w:val="24"/>
          <w:szCs w:val="24"/>
        </w:rPr>
        <w:t>provide tuition-fre</w:t>
      </w:r>
      <w:r w:rsidR="00E80895" w:rsidRPr="003D6CE4">
        <w:rPr>
          <w:rFonts w:eastAsiaTheme="minorHAnsi"/>
          <w:color w:val="000000"/>
          <w:sz w:val="24"/>
          <w:szCs w:val="24"/>
        </w:rPr>
        <w:t>e education for the apprentice</w:t>
      </w:r>
    </w:p>
    <w:p w:rsidR="008D546D" w:rsidRPr="003D6CE4" w:rsidRDefault="008D546D" w:rsidP="00F53638">
      <w:pPr>
        <w:pStyle w:val="ListParagraph"/>
        <w:numPr>
          <w:ilvl w:val="0"/>
          <w:numId w:val="2"/>
        </w:numPr>
        <w:autoSpaceDE w:val="0"/>
        <w:autoSpaceDN w:val="0"/>
        <w:adjustRightInd w:val="0"/>
        <w:spacing w:after="44"/>
        <w:rPr>
          <w:rFonts w:eastAsiaTheme="minorHAnsi"/>
          <w:color w:val="000000"/>
          <w:sz w:val="24"/>
          <w:szCs w:val="24"/>
        </w:rPr>
      </w:pPr>
      <w:r w:rsidRPr="003D6CE4">
        <w:rPr>
          <w:rFonts w:eastAsiaTheme="minorHAnsi"/>
          <w:color w:val="000000"/>
          <w:sz w:val="24"/>
          <w:szCs w:val="24"/>
        </w:rPr>
        <w:t>require increased levels of collaboration and integration between HEI and Employer</w:t>
      </w:r>
    </w:p>
    <w:p w:rsidR="00731B60" w:rsidRPr="003D6CE4" w:rsidRDefault="00731B60" w:rsidP="00F53638">
      <w:pPr>
        <w:pStyle w:val="ListParagraph"/>
        <w:autoSpaceDE w:val="0"/>
        <w:autoSpaceDN w:val="0"/>
        <w:adjustRightInd w:val="0"/>
        <w:spacing w:after="44"/>
        <w:rPr>
          <w:rFonts w:eastAsiaTheme="minorHAnsi"/>
          <w:color w:val="000000"/>
          <w:sz w:val="24"/>
          <w:szCs w:val="24"/>
        </w:rPr>
      </w:pPr>
    </w:p>
    <w:p w:rsidR="00FF366B" w:rsidRPr="003D6CE4" w:rsidRDefault="00897105" w:rsidP="00F53638">
      <w:pPr>
        <w:autoSpaceDE w:val="0"/>
        <w:autoSpaceDN w:val="0"/>
        <w:adjustRightInd w:val="0"/>
        <w:rPr>
          <w:rStyle w:val="selectable"/>
          <w:color w:val="000000"/>
          <w:sz w:val="24"/>
          <w:szCs w:val="24"/>
          <w:lang w:val="en"/>
        </w:rPr>
      </w:pPr>
      <w:r w:rsidRPr="003D6CE4">
        <w:rPr>
          <w:rStyle w:val="selectable"/>
          <w:color w:val="000000"/>
          <w:sz w:val="24"/>
          <w:szCs w:val="24"/>
          <w:lang w:val="en"/>
        </w:rPr>
        <w:t>Th</w:t>
      </w:r>
      <w:r w:rsidR="00731B60" w:rsidRPr="003D6CE4">
        <w:rPr>
          <w:rStyle w:val="selectable"/>
          <w:color w:val="000000"/>
          <w:sz w:val="24"/>
          <w:szCs w:val="24"/>
          <w:lang w:val="en"/>
        </w:rPr>
        <w:t>is study explores these</w:t>
      </w:r>
      <w:r w:rsidRPr="003D6CE4">
        <w:rPr>
          <w:rStyle w:val="selectable"/>
          <w:color w:val="000000"/>
          <w:sz w:val="24"/>
          <w:szCs w:val="24"/>
          <w:lang w:val="en"/>
        </w:rPr>
        <w:t xml:space="preserve"> distinctive characteristics</w:t>
      </w:r>
      <w:r w:rsidR="00E80895" w:rsidRPr="003D6CE4">
        <w:rPr>
          <w:rStyle w:val="selectable"/>
          <w:color w:val="000000"/>
          <w:sz w:val="24"/>
          <w:szCs w:val="24"/>
          <w:lang w:val="en"/>
        </w:rPr>
        <w:t xml:space="preserve"> </w:t>
      </w:r>
      <w:r w:rsidR="00731B60" w:rsidRPr="003D6CE4">
        <w:rPr>
          <w:rStyle w:val="selectable"/>
          <w:color w:val="000000"/>
          <w:sz w:val="24"/>
          <w:szCs w:val="24"/>
          <w:lang w:val="en"/>
        </w:rPr>
        <w:t>w</w:t>
      </w:r>
      <w:r w:rsidR="00E80895" w:rsidRPr="003D6CE4">
        <w:rPr>
          <w:rStyle w:val="selectable"/>
          <w:color w:val="000000"/>
          <w:sz w:val="24"/>
          <w:szCs w:val="24"/>
          <w:lang w:val="en"/>
        </w:rPr>
        <w:t>ith those who have delivered DAs.</w:t>
      </w:r>
    </w:p>
    <w:p w:rsidR="000F39D8" w:rsidRPr="003D6CE4" w:rsidRDefault="000F39D8" w:rsidP="00F53638">
      <w:pPr>
        <w:autoSpaceDE w:val="0"/>
        <w:autoSpaceDN w:val="0"/>
        <w:adjustRightInd w:val="0"/>
        <w:rPr>
          <w:rFonts w:eastAsiaTheme="minorHAnsi"/>
          <w:color w:val="000000"/>
          <w:sz w:val="24"/>
          <w:szCs w:val="24"/>
        </w:rPr>
      </w:pPr>
    </w:p>
    <w:p w:rsidR="006A19A6" w:rsidRPr="003D6CE4" w:rsidRDefault="006A19A6" w:rsidP="00F53638">
      <w:pPr>
        <w:rPr>
          <w:b/>
          <w:sz w:val="24"/>
          <w:szCs w:val="24"/>
        </w:rPr>
      </w:pPr>
      <w:r w:rsidRPr="003D6CE4">
        <w:rPr>
          <w:b/>
          <w:sz w:val="24"/>
          <w:szCs w:val="24"/>
        </w:rPr>
        <w:t>Methodology</w:t>
      </w:r>
    </w:p>
    <w:p w:rsidR="006A19A6" w:rsidRPr="003D6CE4" w:rsidRDefault="006A19A6" w:rsidP="00F53638">
      <w:pPr>
        <w:jc w:val="center"/>
        <w:rPr>
          <w:i/>
          <w:sz w:val="24"/>
          <w:szCs w:val="24"/>
        </w:rPr>
      </w:pPr>
    </w:p>
    <w:p w:rsidR="006A19A6" w:rsidRPr="003D6CE4" w:rsidRDefault="006A19A6" w:rsidP="00F53638">
      <w:pPr>
        <w:rPr>
          <w:sz w:val="24"/>
          <w:szCs w:val="24"/>
        </w:rPr>
      </w:pPr>
      <w:r w:rsidRPr="003D6CE4">
        <w:rPr>
          <w:sz w:val="24"/>
          <w:szCs w:val="24"/>
        </w:rPr>
        <w:t>An exploratory sequential mixed methods design was adopted which focussed on establishing perceptions and experiences of HEIs delivering D</w:t>
      </w:r>
      <w:r w:rsidR="00E80895" w:rsidRPr="003D6CE4">
        <w:rPr>
          <w:sz w:val="24"/>
          <w:szCs w:val="24"/>
        </w:rPr>
        <w:t>A</w:t>
      </w:r>
      <w:r w:rsidR="00146207" w:rsidRPr="003D6CE4">
        <w:rPr>
          <w:sz w:val="24"/>
          <w:szCs w:val="24"/>
        </w:rPr>
        <w:t>s</w:t>
      </w:r>
      <w:r w:rsidR="00BE66EB" w:rsidRPr="003D6CE4">
        <w:rPr>
          <w:sz w:val="24"/>
          <w:szCs w:val="24"/>
        </w:rPr>
        <w:t xml:space="preserve"> </w:t>
      </w:r>
      <w:r w:rsidRPr="003D6CE4">
        <w:rPr>
          <w:sz w:val="24"/>
          <w:szCs w:val="24"/>
        </w:rPr>
        <w:t>(</w:t>
      </w:r>
      <w:proofErr w:type="spellStart"/>
      <w:r w:rsidRPr="003D6CE4">
        <w:rPr>
          <w:sz w:val="24"/>
          <w:szCs w:val="24"/>
        </w:rPr>
        <w:t>Cresswell</w:t>
      </w:r>
      <w:proofErr w:type="spellEnd"/>
      <w:r w:rsidRPr="003D6CE4">
        <w:rPr>
          <w:sz w:val="24"/>
          <w:szCs w:val="24"/>
        </w:rPr>
        <w:t>, 2007).</w:t>
      </w:r>
    </w:p>
    <w:p w:rsidR="006A19A6" w:rsidRPr="003D6CE4" w:rsidRDefault="006A19A6" w:rsidP="00F53638">
      <w:pPr>
        <w:rPr>
          <w:sz w:val="24"/>
          <w:szCs w:val="24"/>
        </w:rPr>
      </w:pPr>
    </w:p>
    <w:p w:rsidR="006A19A6" w:rsidRPr="003D6CE4" w:rsidRDefault="006A19A6" w:rsidP="00F53638">
      <w:pPr>
        <w:rPr>
          <w:b/>
          <w:i/>
          <w:sz w:val="24"/>
          <w:szCs w:val="24"/>
        </w:rPr>
      </w:pPr>
      <w:r w:rsidRPr="003D6CE4">
        <w:rPr>
          <w:b/>
          <w:i/>
          <w:sz w:val="24"/>
          <w:szCs w:val="24"/>
        </w:rPr>
        <w:t>Participants and Sampling</w:t>
      </w:r>
    </w:p>
    <w:p w:rsidR="006A19A6" w:rsidRPr="003D6CE4" w:rsidRDefault="006A19A6" w:rsidP="00F53638">
      <w:pPr>
        <w:rPr>
          <w:i/>
          <w:sz w:val="24"/>
          <w:szCs w:val="24"/>
        </w:rPr>
      </w:pPr>
    </w:p>
    <w:p w:rsidR="006A19A6" w:rsidRPr="003D6CE4" w:rsidRDefault="006A19A6" w:rsidP="00F53638">
      <w:pPr>
        <w:autoSpaceDE w:val="0"/>
        <w:autoSpaceDN w:val="0"/>
        <w:adjustRightInd w:val="0"/>
        <w:rPr>
          <w:rFonts w:eastAsiaTheme="minorHAnsi"/>
          <w:color w:val="000000"/>
          <w:sz w:val="24"/>
          <w:szCs w:val="24"/>
        </w:rPr>
      </w:pPr>
      <w:r w:rsidRPr="003D6CE4">
        <w:rPr>
          <w:rFonts w:eastAsiaTheme="minorHAnsi"/>
          <w:color w:val="000000"/>
          <w:sz w:val="24"/>
          <w:szCs w:val="24"/>
        </w:rPr>
        <w:t>Adopting a purposive sampling method, HEIs were identified which had completed a year of DA delivery and as a result had the ability, experience and knowledge to provide the depth and range of data required.  Six were selec</w:t>
      </w:r>
      <w:r w:rsidR="007449F3">
        <w:rPr>
          <w:rFonts w:eastAsiaTheme="minorHAnsi"/>
          <w:color w:val="000000"/>
          <w:sz w:val="24"/>
          <w:szCs w:val="24"/>
        </w:rPr>
        <w:t xml:space="preserve">ted to take part in the study.  Due to the newness of DA provision at HE only a small sample was obtainable, this is acknowledged as a potential limitation to this study.  </w:t>
      </w:r>
      <w:r w:rsidRPr="003D6CE4">
        <w:rPr>
          <w:rFonts w:eastAsiaTheme="minorHAnsi"/>
          <w:color w:val="000000"/>
          <w:sz w:val="24"/>
          <w:szCs w:val="24"/>
        </w:rPr>
        <w:t>The chosen HEIs were geographically spread across England and offered Bachelor’s and Master’s degrees in built environment subjects. This project was limited to studying Register of Apprenticeship Training Providers (</w:t>
      </w:r>
      <w:proofErr w:type="spellStart"/>
      <w:r w:rsidRPr="003D6CE4">
        <w:rPr>
          <w:rFonts w:eastAsiaTheme="minorHAnsi"/>
          <w:color w:val="000000"/>
          <w:sz w:val="24"/>
          <w:szCs w:val="24"/>
        </w:rPr>
        <w:t>RoATP</w:t>
      </w:r>
      <w:proofErr w:type="spellEnd"/>
      <w:r w:rsidRPr="003D6CE4">
        <w:rPr>
          <w:rFonts w:eastAsiaTheme="minorHAnsi"/>
          <w:color w:val="000000"/>
          <w:sz w:val="24"/>
          <w:szCs w:val="24"/>
        </w:rPr>
        <w:t xml:space="preserve">). The </w:t>
      </w:r>
      <w:proofErr w:type="spellStart"/>
      <w:r w:rsidRPr="003D6CE4">
        <w:rPr>
          <w:rFonts w:eastAsiaTheme="minorHAnsi"/>
          <w:color w:val="000000"/>
          <w:sz w:val="24"/>
          <w:szCs w:val="24"/>
        </w:rPr>
        <w:t>RoATP</w:t>
      </w:r>
      <w:proofErr w:type="spellEnd"/>
      <w:r w:rsidRPr="003D6CE4">
        <w:rPr>
          <w:rFonts w:eastAsiaTheme="minorHAnsi"/>
          <w:color w:val="000000"/>
          <w:sz w:val="24"/>
          <w:szCs w:val="24"/>
        </w:rPr>
        <w:t xml:space="preserve"> is a list of education and training organizations approved by the Institute for Apprenticeships (IFA) to deliver training on behalf of employers using the apprenticeship service. </w:t>
      </w:r>
    </w:p>
    <w:p w:rsidR="00146207" w:rsidRPr="003D6CE4" w:rsidRDefault="00146207" w:rsidP="00F53638">
      <w:pPr>
        <w:autoSpaceDE w:val="0"/>
        <w:autoSpaceDN w:val="0"/>
        <w:adjustRightInd w:val="0"/>
        <w:rPr>
          <w:rFonts w:eastAsiaTheme="minorHAnsi"/>
          <w:color w:val="000000"/>
          <w:sz w:val="24"/>
          <w:szCs w:val="24"/>
        </w:rPr>
      </w:pPr>
    </w:p>
    <w:p w:rsidR="006A19A6" w:rsidRPr="003D6CE4" w:rsidRDefault="006A19A6" w:rsidP="00F53638">
      <w:pPr>
        <w:autoSpaceDE w:val="0"/>
        <w:autoSpaceDN w:val="0"/>
        <w:adjustRightInd w:val="0"/>
        <w:rPr>
          <w:rStyle w:val="selectable"/>
          <w:color w:val="000000"/>
          <w:sz w:val="24"/>
          <w:szCs w:val="24"/>
          <w:lang w:val="en"/>
        </w:rPr>
      </w:pPr>
      <w:r w:rsidRPr="003D6CE4">
        <w:rPr>
          <w:rFonts w:eastAsiaTheme="minorHAnsi"/>
          <w:color w:val="000000"/>
          <w:sz w:val="24"/>
          <w:szCs w:val="24"/>
        </w:rPr>
        <w:t>Nine employees were selected using a non-probabilistic sampling method. Although the respondents formed a convenience sample, they were representative of the target population regarding their socio-demographic characteristics. The sample included representations from academics, business development and administration departments with the most senior respondent operating at the level of dean and the most junior as administrative support.  These three departments are considered significant as they represent where disruption has occurred within HEI with the introduction of the DA programmes (Institute for Education, Bath Spa University, 2018).</w:t>
      </w:r>
      <w:r w:rsidRPr="003D6CE4">
        <w:rPr>
          <w:rStyle w:val="selectable"/>
          <w:color w:val="000000"/>
          <w:sz w:val="24"/>
          <w:szCs w:val="24"/>
          <w:lang w:val="en"/>
        </w:rPr>
        <w:t xml:space="preserve">  </w:t>
      </w:r>
      <w:r w:rsidRPr="003D6CE4">
        <w:rPr>
          <w:rStyle w:val="selectable"/>
          <w:b/>
          <w:color w:val="000000"/>
          <w:sz w:val="24"/>
          <w:szCs w:val="24"/>
          <w:lang w:val="en"/>
        </w:rPr>
        <w:t>Table 2</w:t>
      </w:r>
      <w:r w:rsidRPr="003D6CE4">
        <w:rPr>
          <w:rStyle w:val="selectable"/>
          <w:color w:val="000000"/>
          <w:sz w:val="24"/>
          <w:szCs w:val="24"/>
          <w:lang w:val="en"/>
        </w:rPr>
        <w:t xml:space="preserve"> below shows the remit and responsibilities of the respondents.</w:t>
      </w:r>
    </w:p>
    <w:p w:rsidR="00146207" w:rsidRPr="003D6CE4" w:rsidRDefault="00146207" w:rsidP="00F53638">
      <w:pPr>
        <w:autoSpaceDE w:val="0"/>
        <w:autoSpaceDN w:val="0"/>
        <w:adjustRightInd w:val="0"/>
        <w:rPr>
          <w:rStyle w:val="selectable"/>
          <w:color w:val="000000"/>
          <w:sz w:val="24"/>
          <w:szCs w:val="24"/>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3310"/>
        <w:gridCol w:w="3717"/>
      </w:tblGrid>
      <w:tr w:rsidR="00F53638" w:rsidRPr="00D75A96" w:rsidTr="006B065D">
        <w:tc>
          <w:tcPr>
            <w:tcW w:w="9016" w:type="dxa"/>
            <w:gridSpan w:val="3"/>
            <w:shd w:val="clear" w:color="auto" w:fill="auto"/>
          </w:tcPr>
          <w:p w:rsidR="00F53638" w:rsidRPr="00032499" w:rsidRDefault="00F53638" w:rsidP="006B065D">
            <w:pPr>
              <w:pBdr>
                <w:bottom w:val="single" w:sz="4" w:space="1" w:color="auto"/>
              </w:pBdr>
              <w:autoSpaceDE w:val="0"/>
              <w:autoSpaceDN w:val="0"/>
              <w:adjustRightInd w:val="0"/>
              <w:rPr>
                <w:sz w:val="24"/>
                <w:szCs w:val="24"/>
                <w:lang w:val="en"/>
              </w:rPr>
            </w:pPr>
            <w:r w:rsidRPr="00032499">
              <w:rPr>
                <w:sz w:val="24"/>
                <w:szCs w:val="24"/>
                <w:lang w:val="en"/>
              </w:rPr>
              <w:t>Table 2</w:t>
            </w:r>
          </w:p>
          <w:p w:rsidR="00F53638" w:rsidRPr="00D75A96" w:rsidRDefault="00F53638" w:rsidP="006B065D">
            <w:pPr>
              <w:pBdr>
                <w:bottom w:val="single" w:sz="4" w:space="1" w:color="auto"/>
              </w:pBdr>
              <w:autoSpaceDE w:val="0"/>
              <w:autoSpaceDN w:val="0"/>
              <w:adjustRightInd w:val="0"/>
              <w:rPr>
                <w:rFonts w:asciiTheme="minorHAnsi" w:hAnsiTheme="minorHAnsi"/>
                <w:b/>
                <w:i/>
                <w:sz w:val="24"/>
                <w:szCs w:val="24"/>
                <w:lang w:val="en"/>
              </w:rPr>
            </w:pPr>
            <w:r w:rsidRPr="00BE66EB">
              <w:rPr>
                <w:b/>
                <w:i/>
                <w:sz w:val="24"/>
                <w:szCs w:val="24"/>
                <w:lang w:val="en"/>
              </w:rPr>
              <w:t>The Respondents</w:t>
            </w:r>
          </w:p>
        </w:tc>
      </w:tr>
      <w:tr w:rsidR="00F53638" w:rsidRPr="00146207" w:rsidTr="006B065D">
        <w:tc>
          <w:tcPr>
            <w:tcW w:w="1989" w:type="dxa"/>
            <w:tcBorders>
              <w:bottom w:val="single" w:sz="4" w:space="0" w:color="auto"/>
            </w:tcBorders>
            <w:shd w:val="clear" w:color="auto" w:fill="auto"/>
          </w:tcPr>
          <w:p w:rsidR="00F53638" w:rsidRPr="00146207" w:rsidRDefault="00F53638" w:rsidP="006B065D">
            <w:pPr>
              <w:autoSpaceDE w:val="0"/>
              <w:autoSpaceDN w:val="0"/>
              <w:adjustRightInd w:val="0"/>
              <w:rPr>
                <w:b/>
                <w:lang w:val="en"/>
              </w:rPr>
            </w:pPr>
            <w:r w:rsidRPr="00146207">
              <w:rPr>
                <w:b/>
                <w:lang w:val="en"/>
              </w:rPr>
              <w:t>CODE</w:t>
            </w:r>
          </w:p>
        </w:tc>
        <w:tc>
          <w:tcPr>
            <w:tcW w:w="3310" w:type="dxa"/>
            <w:tcBorders>
              <w:bottom w:val="single" w:sz="4" w:space="0" w:color="auto"/>
            </w:tcBorders>
            <w:shd w:val="clear" w:color="auto" w:fill="auto"/>
          </w:tcPr>
          <w:p w:rsidR="00F53638" w:rsidRPr="00146207" w:rsidRDefault="00F53638" w:rsidP="006B065D">
            <w:pPr>
              <w:autoSpaceDE w:val="0"/>
              <w:autoSpaceDN w:val="0"/>
              <w:adjustRightInd w:val="0"/>
              <w:rPr>
                <w:b/>
                <w:lang w:val="en"/>
              </w:rPr>
            </w:pPr>
            <w:r w:rsidRPr="00146207">
              <w:rPr>
                <w:b/>
                <w:lang w:val="en"/>
              </w:rPr>
              <w:t>Discipline</w:t>
            </w:r>
          </w:p>
        </w:tc>
        <w:tc>
          <w:tcPr>
            <w:tcW w:w="3717" w:type="dxa"/>
            <w:tcBorders>
              <w:bottom w:val="single" w:sz="4" w:space="0" w:color="auto"/>
            </w:tcBorders>
            <w:shd w:val="clear" w:color="auto" w:fill="auto"/>
          </w:tcPr>
          <w:p w:rsidR="00F53638" w:rsidRPr="00146207" w:rsidRDefault="00F53638" w:rsidP="006B065D">
            <w:pPr>
              <w:autoSpaceDE w:val="0"/>
              <w:autoSpaceDN w:val="0"/>
              <w:adjustRightInd w:val="0"/>
              <w:rPr>
                <w:b/>
                <w:lang w:val="en"/>
              </w:rPr>
            </w:pPr>
            <w:r w:rsidRPr="00146207">
              <w:rPr>
                <w:b/>
                <w:lang w:val="en"/>
              </w:rPr>
              <w:t>Responsibility</w:t>
            </w:r>
          </w:p>
        </w:tc>
      </w:tr>
      <w:tr w:rsidR="00F53638" w:rsidRPr="00146207" w:rsidTr="006B065D">
        <w:tc>
          <w:tcPr>
            <w:tcW w:w="1989" w:type="dxa"/>
            <w:tcBorders>
              <w:top w:val="single" w:sz="4" w:space="0" w:color="auto"/>
            </w:tcBorders>
            <w:shd w:val="clear" w:color="auto" w:fill="auto"/>
          </w:tcPr>
          <w:p w:rsidR="00F53638" w:rsidRPr="00146207" w:rsidRDefault="00F53638" w:rsidP="006B065D">
            <w:pPr>
              <w:autoSpaceDE w:val="0"/>
              <w:autoSpaceDN w:val="0"/>
              <w:adjustRightInd w:val="0"/>
              <w:rPr>
                <w:lang w:val="en"/>
              </w:rPr>
            </w:pPr>
            <w:r w:rsidRPr="00146207">
              <w:rPr>
                <w:lang w:val="en"/>
              </w:rPr>
              <w:t>RESP01</w:t>
            </w:r>
          </w:p>
        </w:tc>
        <w:tc>
          <w:tcPr>
            <w:tcW w:w="3310" w:type="dxa"/>
            <w:tcBorders>
              <w:top w:val="single" w:sz="4" w:space="0" w:color="auto"/>
            </w:tcBorders>
            <w:shd w:val="clear" w:color="auto" w:fill="auto"/>
          </w:tcPr>
          <w:p w:rsidR="00F53638" w:rsidRPr="00146207" w:rsidRDefault="00F53638" w:rsidP="006B065D">
            <w:pPr>
              <w:autoSpaceDE w:val="0"/>
              <w:autoSpaceDN w:val="0"/>
              <w:adjustRightInd w:val="0"/>
              <w:rPr>
                <w:lang w:val="en"/>
              </w:rPr>
            </w:pPr>
            <w:r w:rsidRPr="00146207">
              <w:rPr>
                <w:lang w:val="en"/>
              </w:rPr>
              <w:t>Academic</w:t>
            </w:r>
          </w:p>
        </w:tc>
        <w:tc>
          <w:tcPr>
            <w:tcW w:w="3717" w:type="dxa"/>
            <w:tcBorders>
              <w:top w:val="single" w:sz="4" w:space="0" w:color="auto"/>
            </w:tcBorders>
            <w:shd w:val="clear" w:color="auto" w:fill="auto"/>
          </w:tcPr>
          <w:p w:rsidR="00F53638" w:rsidRPr="00146207" w:rsidRDefault="00F53638" w:rsidP="006B065D">
            <w:pPr>
              <w:autoSpaceDE w:val="0"/>
              <w:autoSpaceDN w:val="0"/>
              <w:adjustRightInd w:val="0"/>
              <w:rPr>
                <w:lang w:val="en"/>
              </w:rPr>
            </w:pPr>
            <w:r w:rsidRPr="00146207">
              <w:rPr>
                <w:lang w:val="en"/>
              </w:rPr>
              <w:t>Built Environment, Faculty Based</w:t>
            </w:r>
          </w:p>
        </w:tc>
      </w:tr>
      <w:tr w:rsidR="00F53638" w:rsidRPr="00146207" w:rsidTr="006B065D">
        <w:tc>
          <w:tcPr>
            <w:tcW w:w="1989" w:type="dxa"/>
            <w:shd w:val="clear" w:color="auto" w:fill="auto"/>
          </w:tcPr>
          <w:p w:rsidR="00F53638" w:rsidRPr="00146207" w:rsidRDefault="00F53638" w:rsidP="006B065D">
            <w:pPr>
              <w:autoSpaceDE w:val="0"/>
              <w:autoSpaceDN w:val="0"/>
              <w:adjustRightInd w:val="0"/>
              <w:rPr>
                <w:lang w:val="en"/>
              </w:rPr>
            </w:pPr>
            <w:r w:rsidRPr="00146207">
              <w:rPr>
                <w:lang w:val="en"/>
              </w:rPr>
              <w:t>RESP02</w:t>
            </w:r>
          </w:p>
        </w:tc>
        <w:tc>
          <w:tcPr>
            <w:tcW w:w="3310" w:type="dxa"/>
            <w:shd w:val="clear" w:color="auto" w:fill="auto"/>
          </w:tcPr>
          <w:p w:rsidR="00F53638" w:rsidRPr="00146207" w:rsidRDefault="00F53638" w:rsidP="006B065D">
            <w:pPr>
              <w:autoSpaceDE w:val="0"/>
              <w:autoSpaceDN w:val="0"/>
              <w:adjustRightInd w:val="0"/>
              <w:rPr>
                <w:lang w:val="en"/>
              </w:rPr>
            </w:pPr>
            <w:r w:rsidRPr="00146207">
              <w:rPr>
                <w:lang w:val="en"/>
              </w:rPr>
              <w:t>Academic</w:t>
            </w:r>
          </w:p>
        </w:tc>
        <w:tc>
          <w:tcPr>
            <w:tcW w:w="3717" w:type="dxa"/>
            <w:shd w:val="clear" w:color="auto" w:fill="auto"/>
          </w:tcPr>
          <w:p w:rsidR="00F53638" w:rsidRPr="00146207" w:rsidRDefault="00F53638" w:rsidP="006B065D">
            <w:pPr>
              <w:autoSpaceDE w:val="0"/>
              <w:autoSpaceDN w:val="0"/>
              <w:adjustRightInd w:val="0"/>
              <w:rPr>
                <w:lang w:val="en"/>
              </w:rPr>
            </w:pPr>
            <w:r w:rsidRPr="00146207">
              <w:rPr>
                <w:lang w:val="en"/>
              </w:rPr>
              <w:t>Built Environment, Faculty Based</w:t>
            </w:r>
          </w:p>
        </w:tc>
      </w:tr>
      <w:tr w:rsidR="00F53638" w:rsidRPr="00146207" w:rsidTr="006B065D">
        <w:tc>
          <w:tcPr>
            <w:tcW w:w="1989" w:type="dxa"/>
            <w:shd w:val="clear" w:color="auto" w:fill="auto"/>
          </w:tcPr>
          <w:p w:rsidR="00F53638" w:rsidRPr="00146207" w:rsidRDefault="00F53638" w:rsidP="006B065D">
            <w:pPr>
              <w:autoSpaceDE w:val="0"/>
              <w:autoSpaceDN w:val="0"/>
              <w:adjustRightInd w:val="0"/>
              <w:rPr>
                <w:lang w:val="en"/>
              </w:rPr>
            </w:pPr>
            <w:r w:rsidRPr="00146207">
              <w:rPr>
                <w:lang w:val="en"/>
              </w:rPr>
              <w:t>RESP03</w:t>
            </w:r>
          </w:p>
        </w:tc>
        <w:tc>
          <w:tcPr>
            <w:tcW w:w="3310" w:type="dxa"/>
            <w:shd w:val="clear" w:color="auto" w:fill="auto"/>
          </w:tcPr>
          <w:p w:rsidR="00F53638" w:rsidRPr="00146207" w:rsidRDefault="00F53638" w:rsidP="006B065D">
            <w:pPr>
              <w:autoSpaceDE w:val="0"/>
              <w:autoSpaceDN w:val="0"/>
              <w:adjustRightInd w:val="0"/>
              <w:rPr>
                <w:lang w:val="en"/>
              </w:rPr>
            </w:pPr>
            <w:r w:rsidRPr="00146207">
              <w:rPr>
                <w:lang w:val="en"/>
              </w:rPr>
              <w:t>Business Development</w:t>
            </w:r>
          </w:p>
        </w:tc>
        <w:tc>
          <w:tcPr>
            <w:tcW w:w="3717" w:type="dxa"/>
            <w:shd w:val="clear" w:color="auto" w:fill="auto"/>
          </w:tcPr>
          <w:p w:rsidR="00F53638" w:rsidRPr="00146207" w:rsidRDefault="00F53638" w:rsidP="006B065D">
            <w:pPr>
              <w:autoSpaceDE w:val="0"/>
              <w:autoSpaceDN w:val="0"/>
              <w:adjustRightInd w:val="0"/>
              <w:rPr>
                <w:lang w:val="en"/>
              </w:rPr>
            </w:pPr>
            <w:r w:rsidRPr="00146207">
              <w:rPr>
                <w:lang w:val="en"/>
              </w:rPr>
              <w:t>Built Environment, Faculty Based</w:t>
            </w:r>
          </w:p>
        </w:tc>
      </w:tr>
      <w:tr w:rsidR="00F53638" w:rsidRPr="00146207" w:rsidTr="006B065D">
        <w:tc>
          <w:tcPr>
            <w:tcW w:w="1989" w:type="dxa"/>
            <w:shd w:val="clear" w:color="auto" w:fill="auto"/>
          </w:tcPr>
          <w:p w:rsidR="00F53638" w:rsidRPr="00146207" w:rsidRDefault="00F53638" w:rsidP="006B065D">
            <w:pPr>
              <w:autoSpaceDE w:val="0"/>
              <w:autoSpaceDN w:val="0"/>
              <w:adjustRightInd w:val="0"/>
              <w:rPr>
                <w:lang w:val="en"/>
              </w:rPr>
            </w:pPr>
            <w:r w:rsidRPr="00146207">
              <w:rPr>
                <w:lang w:val="en"/>
              </w:rPr>
              <w:t>RESP04</w:t>
            </w:r>
          </w:p>
        </w:tc>
        <w:tc>
          <w:tcPr>
            <w:tcW w:w="3310" w:type="dxa"/>
            <w:shd w:val="clear" w:color="auto" w:fill="auto"/>
          </w:tcPr>
          <w:p w:rsidR="00F53638" w:rsidRPr="00146207" w:rsidRDefault="00F53638" w:rsidP="006B065D">
            <w:pPr>
              <w:autoSpaceDE w:val="0"/>
              <w:autoSpaceDN w:val="0"/>
              <w:adjustRightInd w:val="0"/>
              <w:rPr>
                <w:lang w:val="en"/>
              </w:rPr>
            </w:pPr>
            <w:r w:rsidRPr="00146207">
              <w:rPr>
                <w:lang w:val="en"/>
              </w:rPr>
              <w:t>Business Development</w:t>
            </w:r>
          </w:p>
        </w:tc>
        <w:tc>
          <w:tcPr>
            <w:tcW w:w="3717" w:type="dxa"/>
            <w:shd w:val="clear" w:color="auto" w:fill="auto"/>
          </w:tcPr>
          <w:p w:rsidR="00F53638" w:rsidRPr="00146207" w:rsidRDefault="00F53638" w:rsidP="006B065D">
            <w:pPr>
              <w:autoSpaceDE w:val="0"/>
              <w:autoSpaceDN w:val="0"/>
              <w:adjustRightInd w:val="0"/>
              <w:rPr>
                <w:lang w:val="en"/>
              </w:rPr>
            </w:pPr>
            <w:r w:rsidRPr="00146207">
              <w:rPr>
                <w:lang w:val="en"/>
              </w:rPr>
              <w:t>Built Environment, Central University</w:t>
            </w:r>
          </w:p>
        </w:tc>
      </w:tr>
      <w:tr w:rsidR="00F53638" w:rsidRPr="00146207" w:rsidTr="006B065D">
        <w:tc>
          <w:tcPr>
            <w:tcW w:w="1989" w:type="dxa"/>
            <w:shd w:val="clear" w:color="auto" w:fill="auto"/>
          </w:tcPr>
          <w:p w:rsidR="00F53638" w:rsidRPr="00146207" w:rsidRDefault="00F53638" w:rsidP="006B065D">
            <w:pPr>
              <w:autoSpaceDE w:val="0"/>
              <w:autoSpaceDN w:val="0"/>
              <w:adjustRightInd w:val="0"/>
              <w:rPr>
                <w:lang w:val="en"/>
              </w:rPr>
            </w:pPr>
            <w:r w:rsidRPr="00146207">
              <w:rPr>
                <w:lang w:val="en"/>
              </w:rPr>
              <w:t>RESP05</w:t>
            </w:r>
          </w:p>
        </w:tc>
        <w:tc>
          <w:tcPr>
            <w:tcW w:w="3310" w:type="dxa"/>
            <w:shd w:val="clear" w:color="auto" w:fill="auto"/>
          </w:tcPr>
          <w:p w:rsidR="00F53638" w:rsidRPr="00146207" w:rsidRDefault="00F53638" w:rsidP="006B065D">
            <w:pPr>
              <w:autoSpaceDE w:val="0"/>
              <w:autoSpaceDN w:val="0"/>
              <w:adjustRightInd w:val="0"/>
              <w:rPr>
                <w:lang w:val="en"/>
              </w:rPr>
            </w:pPr>
            <w:r w:rsidRPr="00146207">
              <w:rPr>
                <w:lang w:val="en"/>
              </w:rPr>
              <w:t>Administrative (TEL)</w:t>
            </w:r>
          </w:p>
        </w:tc>
        <w:tc>
          <w:tcPr>
            <w:tcW w:w="3717" w:type="dxa"/>
            <w:shd w:val="clear" w:color="auto" w:fill="auto"/>
          </w:tcPr>
          <w:p w:rsidR="00F53638" w:rsidRPr="00146207" w:rsidRDefault="00F53638" w:rsidP="006B065D">
            <w:pPr>
              <w:autoSpaceDE w:val="0"/>
              <w:autoSpaceDN w:val="0"/>
              <w:adjustRightInd w:val="0"/>
              <w:rPr>
                <w:lang w:val="en"/>
              </w:rPr>
            </w:pPr>
            <w:r w:rsidRPr="00146207">
              <w:rPr>
                <w:lang w:val="en"/>
              </w:rPr>
              <w:t>Built Environment</w:t>
            </w:r>
          </w:p>
        </w:tc>
      </w:tr>
      <w:tr w:rsidR="00F53638" w:rsidRPr="00146207" w:rsidTr="006B065D">
        <w:trPr>
          <w:trHeight w:val="259"/>
        </w:trPr>
        <w:tc>
          <w:tcPr>
            <w:tcW w:w="1989" w:type="dxa"/>
            <w:shd w:val="clear" w:color="auto" w:fill="auto"/>
          </w:tcPr>
          <w:p w:rsidR="00F53638" w:rsidRPr="00146207" w:rsidRDefault="00F53638" w:rsidP="006B065D">
            <w:pPr>
              <w:autoSpaceDE w:val="0"/>
              <w:autoSpaceDN w:val="0"/>
              <w:adjustRightInd w:val="0"/>
              <w:rPr>
                <w:lang w:val="en"/>
              </w:rPr>
            </w:pPr>
            <w:r w:rsidRPr="00146207">
              <w:rPr>
                <w:lang w:val="en"/>
              </w:rPr>
              <w:t>RESP06</w:t>
            </w:r>
          </w:p>
        </w:tc>
        <w:tc>
          <w:tcPr>
            <w:tcW w:w="3310" w:type="dxa"/>
            <w:shd w:val="clear" w:color="auto" w:fill="auto"/>
          </w:tcPr>
          <w:p w:rsidR="00F53638" w:rsidRPr="00146207" w:rsidRDefault="00F53638" w:rsidP="006B065D">
            <w:pPr>
              <w:autoSpaceDE w:val="0"/>
              <w:autoSpaceDN w:val="0"/>
              <w:adjustRightInd w:val="0"/>
              <w:rPr>
                <w:lang w:val="en"/>
              </w:rPr>
            </w:pPr>
            <w:r w:rsidRPr="00146207">
              <w:rPr>
                <w:lang w:val="en"/>
              </w:rPr>
              <w:t>Academic</w:t>
            </w:r>
          </w:p>
        </w:tc>
        <w:tc>
          <w:tcPr>
            <w:tcW w:w="3717" w:type="dxa"/>
            <w:shd w:val="clear" w:color="auto" w:fill="auto"/>
          </w:tcPr>
          <w:p w:rsidR="00F53638" w:rsidRPr="00146207" w:rsidRDefault="00F53638" w:rsidP="006B065D">
            <w:pPr>
              <w:autoSpaceDE w:val="0"/>
              <w:autoSpaceDN w:val="0"/>
              <w:adjustRightInd w:val="0"/>
              <w:rPr>
                <w:lang w:val="en"/>
              </w:rPr>
            </w:pPr>
            <w:r w:rsidRPr="00146207">
              <w:rPr>
                <w:lang w:val="en"/>
              </w:rPr>
              <w:t>Built Environment, Faculty Based</w:t>
            </w:r>
          </w:p>
        </w:tc>
      </w:tr>
      <w:tr w:rsidR="00F53638" w:rsidRPr="00146207" w:rsidTr="006B065D">
        <w:tc>
          <w:tcPr>
            <w:tcW w:w="1989" w:type="dxa"/>
            <w:shd w:val="clear" w:color="auto" w:fill="auto"/>
          </w:tcPr>
          <w:p w:rsidR="00F53638" w:rsidRPr="00146207" w:rsidRDefault="00F53638" w:rsidP="006B065D">
            <w:pPr>
              <w:autoSpaceDE w:val="0"/>
              <w:autoSpaceDN w:val="0"/>
              <w:adjustRightInd w:val="0"/>
              <w:rPr>
                <w:lang w:val="en"/>
              </w:rPr>
            </w:pPr>
            <w:r w:rsidRPr="00146207">
              <w:rPr>
                <w:lang w:val="en"/>
              </w:rPr>
              <w:t>RESP07</w:t>
            </w:r>
          </w:p>
        </w:tc>
        <w:tc>
          <w:tcPr>
            <w:tcW w:w="3310" w:type="dxa"/>
            <w:shd w:val="clear" w:color="auto" w:fill="auto"/>
          </w:tcPr>
          <w:p w:rsidR="00F53638" w:rsidRPr="00146207" w:rsidRDefault="00F53638" w:rsidP="006B065D">
            <w:pPr>
              <w:autoSpaceDE w:val="0"/>
              <w:autoSpaceDN w:val="0"/>
              <w:adjustRightInd w:val="0"/>
              <w:rPr>
                <w:lang w:val="en"/>
              </w:rPr>
            </w:pPr>
            <w:r w:rsidRPr="00146207">
              <w:rPr>
                <w:lang w:val="en"/>
              </w:rPr>
              <w:t>Administrative (Programme Support)</w:t>
            </w:r>
          </w:p>
        </w:tc>
        <w:tc>
          <w:tcPr>
            <w:tcW w:w="3717" w:type="dxa"/>
            <w:shd w:val="clear" w:color="auto" w:fill="auto"/>
          </w:tcPr>
          <w:p w:rsidR="00F53638" w:rsidRPr="00146207" w:rsidRDefault="00F53638" w:rsidP="006B065D">
            <w:pPr>
              <w:autoSpaceDE w:val="0"/>
              <w:autoSpaceDN w:val="0"/>
              <w:adjustRightInd w:val="0"/>
              <w:rPr>
                <w:lang w:val="en"/>
              </w:rPr>
            </w:pPr>
            <w:r w:rsidRPr="00146207">
              <w:rPr>
                <w:lang w:val="en"/>
              </w:rPr>
              <w:t>Built Environment, Faculty Based</w:t>
            </w:r>
          </w:p>
        </w:tc>
      </w:tr>
      <w:tr w:rsidR="00F53638" w:rsidRPr="00146207" w:rsidTr="006B065D">
        <w:tc>
          <w:tcPr>
            <w:tcW w:w="1989" w:type="dxa"/>
            <w:shd w:val="clear" w:color="auto" w:fill="auto"/>
          </w:tcPr>
          <w:p w:rsidR="00F53638" w:rsidRPr="00146207" w:rsidRDefault="00F53638" w:rsidP="006B065D">
            <w:pPr>
              <w:autoSpaceDE w:val="0"/>
              <w:autoSpaceDN w:val="0"/>
              <w:adjustRightInd w:val="0"/>
              <w:rPr>
                <w:lang w:val="en"/>
              </w:rPr>
            </w:pPr>
            <w:r w:rsidRPr="00146207">
              <w:rPr>
                <w:lang w:val="en"/>
              </w:rPr>
              <w:t>RESP08</w:t>
            </w:r>
          </w:p>
        </w:tc>
        <w:tc>
          <w:tcPr>
            <w:tcW w:w="3310" w:type="dxa"/>
            <w:shd w:val="clear" w:color="auto" w:fill="auto"/>
          </w:tcPr>
          <w:p w:rsidR="00F53638" w:rsidRPr="00146207" w:rsidRDefault="00F53638" w:rsidP="006B065D">
            <w:pPr>
              <w:autoSpaceDE w:val="0"/>
              <w:autoSpaceDN w:val="0"/>
              <w:adjustRightInd w:val="0"/>
              <w:rPr>
                <w:lang w:val="en"/>
              </w:rPr>
            </w:pPr>
            <w:r w:rsidRPr="00146207">
              <w:rPr>
                <w:lang w:val="en"/>
              </w:rPr>
              <w:t>Academic</w:t>
            </w:r>
          </w:p>
        </w:tc>
        <w:tc>
          <w:tcPr>
            <w:tcW w:w="3717" w:type="dxa"/>
            <w:shd w:val="clear" w:color="auto" w:fill="auto"/>
          </w:tcPr>
          <w:p w:rsidR="00F53638" w:rsidRPr="00146207" w:rsidRDefault="00F53638" w:rsidP="006B065D">
            <w:pPr>
              <w:autoSpaceDE w:val="0"/>
              <w:autoSpaceDN w:val="0"/>
              <w:adjustRightInd w:val="0"/>
              <w:rPr>
                <w:lang w:val="en"/>
              </w:rPr>
            </w:pPr>
            <w:r w:rsidRPr="00146207">
              <w:rPr>
                <w:lang w:val="en"/>
              </w:rPr>
              <w:t>Built Environment, Faculty Based</w:t>
            </w:r>
          </w:p>
        </w:tc>
      </w:tr>
      <w:tr w:rsidR="00F53638" w:rsidRPr="00146207" w:rsidTr="006B065D">
        <w:trPr>
          <w:trHeight w:val="97"/>
        </w:trPr>
        <w:tc>
          <w:tcPr>
            <w:tcW w:w="1989" w:type="dxa"/>
            <w:tcBorders>
              <w:bottom w:val="single" w:sz="4" w:space="0" w:color="auto"/>
            </w:tcBorders>
            <w:shd w:val="clear" w:color="auto" w:fill="auto"/>
          </w:tcPr>
          <w:p w:rsidR="00F53638" w:rsidRPr="00146207" w:rsidRDefault="00F53638" w:rsidP="006B065D">
            <w:pPr>
              <w:autoSpaceDE w:val="0"/>
              <w:autoSpaceDN w:val="0"/>
              <w:adjustRightInd w:val="0"/>
              <w:rPr>
                <w:lang w:val="en"/>
              </w:rPr>
            </w:pPr>
            <w:r w:rsidRPr="00146207">
              <w:rPr>
                <w:lang w:val="en"/>
              </w:rPr>
              <w:t>RESP09</w:t>
            </w:r>
          </w:p>
        </w:tc>
        <w:tc>
          <w:tcPr>
            <w:tcW w:w="3310" w:type="dxa"/>
            <w:tcBorders>
              <w:bottom w:val="single" w:sz="4" w:space="0" w:color="auto"/>
            </w:tcBorders>
            <w:shd w:val="clear" w:color="auto" w:fill="auto"/>
          </w:tcPr>
          <w:p w:rsidR="00F53638" w:rsidRPr="00146207" w:rsidRDefault="00F53638" w:rsidP="006B065D">
            <w:pPr>
              <w:autoSpaceDE w:val="0"/>
              <w:autoSpaceDN w:val="0"/>
              <w:adjustRightInd w:val="0"/>
              <w:rPr>
                <w:lang w:val="en"/>
              </w:rPr>
            </w:pPr>
            <w:r w:rsidRPr="00146207">
              <w:rPr>
                <w:lang w:val="en"/>
              </w:rPr>
              <w:t>Administrative (Programme Support)</w:t>
            </w:r>
          </w:p>
        </w:tc>
        <w:tc>
          <w:tcPr>
            <w:tcW w:w="3717" w:type="dxa"/>
            <w:tcBorders>
              <w:bottom w:val="single" w:sz="4" w:space="0" w:color="auto"/>
            </w:tcBorders>
            <w:shd w:val="clear" w:color="auto" w:fill="auto"/>
          </w:tcPr>
          <w:p w:rsidR="00F53638" w:rsidRPr="00146207" w:rsidRDefault="00F53638" w:rsidP="006B065D">
            <w:pPr>
              <w:autoSpaceDE w:val="0"/>
              <w:autoSpaceDN w:val="0"/>
              <w:adjustRightInd w:val="0"/>
              <w:rPr>
                <w:lang w:val="en"/>
              </w:rPr>
            </w:pPr>
            <w:r w:rsidRPr="00146207">
              <w:rPr>
                <w:lang w:val="en"/>
              </w:rPr>
              <w:t>Central University</w:t>
            </w:r>
          </w:p>
        </w:tc>
      </w:tr>
    </w:tbl>
    <w:p w:rsidR="00F53638" w:rsidRDefault="00F53638" w:rsidP="00F53638"/>
    <w:p w:rsidR="006A19A6" w:rsidRPr="003D6CE4" w:rsidRDefault="006A19A6" w:rsidP="00F53638">
      <w:pPr>
        <w:rPr>
          <w:sz w:val="24"/>
          <w:szCs w:val="24"/>
        </w:rPr>
      </w:pPr>
    </w:p>
    <w:p w:rsidR="006A19A6" w:rsidRPr="003D6CE4" w:rsidRDefault="006A19A6" w:rsidP="00F53638">
      <w:pPr>
        <w:jc w:val="center"/>
        <w:rPr>
          <w:b/>
          <w:sz w:val="24"/>
          <w:szCs w:val="24"/>
        </w:rPr>
      </w:pPr>
      <w:r w:rsidRPr="003D6CE4">
        <w:rPr>
          <w:b/>
          <w:sz w:val="24"/>
          <w:szCs w:val="24"/>
        </w:rPr>
        <w:lastRenderedPageBreak/>
        <w:t>Data Collection and Analysis</w:t>
      </w:r>
    </w:p>
    <w:p w:rsidR="00146207" w:rsidRPr="003D6CE4" w:rsidRDefault="00146207" w:rsidP="00F53638">
      <w:pPr>
        <w:jc w:val="center"/>
        <w:rPr>
          <w:i/>
          <w:sz w:val="24"/>
          <w:szCs w:val="24"/>
        </w:rPr>
      </w:pPr>
    </w:p>
    <w:p w:rsidR="006A19A6" w:rsidRPr="003D6CE4" w:rsidRDefault="006A19A6" w:rsidP="00F53638">
      <w:pPr>
        <w:autoSpaceDE w:val="0"/>
        <w:autoSpaceDN w:val="0"/>
        <w:adjustRightInd w:val="0"/>
        <w:rPr>
          <w:rFonts w:eastAsiaTheme="minorHAnsi"/>
          <w:color w:val="000000"/>
          <w:sz w:val="24"/>
          <w:szCs w:val="24"/>
        </w:rPr>
      </w:pPr>
      <w:r w:rsidRPr="003D6CE4">
        <w:rPr>
          <w:rFonts w:eastAsiaTheme="minorHAnsi"/>
          <w:color w:val="000000"/>
          <w:sz w:val="24"/>
          <w:szCs w:val="24"/>
        </w:rPr>
        <w:t>Each interviewee was asked pre-prepared open questions during an in depth semi-structured interview designed to elicit their experience, knowledge, and understanding of DAs in the built environment</w:t>
      </w:r>
      <w:r w:rsidR="00BE66EB" w:rsidRPr="003D6CE4">
        <w:rPr>
          <w:rFonts w:eastAsiaTheme="minorHAnsi"/>
          <w:color w:val="000000"/>
          <w:sz w:val="24"/>
          <w:szCs w:val="24"/>
        </w:rPr>
        <w:t>,</w:t>
      </w:r>
      <w:r w:rsidRPr="003D6CE4">
        <w:rPr>
          <w:rFonts w:eastAsiaTheme="minorHAnsi"/>
          <w:color w:val="000000"/>
          <w:sz w:val="24"/>
          <w:szCs w:val="24"/>
        </w:rPr>
        <w:t xml:space="preserve"> from the perspective of their employing HEI.  The themes identified in the literature review informed the content of the interview, allowing time for additional issues to be discussed. </w:t>
      </w:r>
    </w:p>
    <w:p w:rsidR="00146207" w:rsidRPr="003D6CE4" w:rsidRDefault="00146207" w:rsidP="00F53638">
      <w:pPr>
        <w:autoSpaceDE w:val="0"/>
        <w:autoSpaceDN w:val="0"/>
        <w:adjustRightInd w:val="0"/>
        <w:rPr>
          <w:rFonts w:eastAsiaTheme="minorHAnsi"/>
          <w:color w:val="000000"/>
          <w:sz w:val="24"/>
          <w:szCs w:val="24"/>
        </w:rPr>
      </w:pPr>
    </w:p>
    <w:p w:rsidR="006A19A6" w:rsidRPr="003D6CE4" w:rsidRDefault="006A19A6" w:rsidP="00F53638">
      <w:pPr>
        <w:pStyle w:val="Default"/>
        <w:rPr>
          <w:rFonts w:ascii="Times New Roman" w:hAnsi="Times New Roman" w:cs="Times New Roman"/>
          <w:color w:val="auto"/>
        </w:rPr>
      </w:pPr>
      <w:r w:rsidRPr="003D6CE4">
        <w:rPr>
          <w:rFonts w:ascii="Times New Roman" w:hAnsi="Times New Roman" w:cs="Times New Roman"/>
          <w:color w:val="auto"/>
        </w:rPr>
        <w:t xml:space="preserve">Each in-depth exploratory interview was audio-recorded and then transcribed by an audio-typist.  The names of the interviewees and HEIs were anonymized using an alpha-numeric reference to protect their identity: respondents were labelled RESP01 to RESP09. Results from the content analysis were categorized according to the qualitative interview themes. </w:t>
      </w:r>
    </w:p>
    <w:p w:rsidR="006A19A6" w:rsidRPr="003D6CE4" w:rsidRDefault="006A19A6" w:rsidP="00F53638">
      <w:pPr>
        <w:autoSpaceDE w:val="0"/>
        <w:autoSpaceDN w:val="0"/>
        <w:adjustRightInd w:val="0"/>
        <w:rPr>
          <w:rFonts w:eastAsiaTheme="minorHAnsi"/>
          <w:color w:val="000000"/>
          <w:sz w:val="24"/>
          <w:szCs w:val="24"/>
        </w:rPr>
      </w:pPr>
    </w:p>
    <w:p w:rsidR="006A19A6" w:rsidRPr="003D6CE4" w:rsidRDefault="006A19A6" w:rsidP="00F53638">
      <w:pPr>
        <w:autoSpaceDE w:val="0"/>
        <w:autoSpaceDN w:val="0"/>
        <w:adjustRightInd w:val="0"/>
        <w:rPr>
          <w:sz w:val="24"/>
          <w:szCs w:val="24"/>
        </w:rPr>
      </w:pPr>
      <w:r w:rsidRPr="003D6CE4">
        <w:rPr>
          <w:sz w:val="24"/>
          <w:szCs w:val="24"/>
        </w:rPr>
        <w:t>This study adopted Coffrey &amp; Atkinson’s (1996) approach to coding.  Blocks of text were initially coded to broad topic areas to identify and group similar themes. Clusters of text coded to the broad thematic nodes were then re-coded in greater detail using a hierarchical or tree-structured system designed to gather smaller, related concepts into a standard subordinate set or to merge themes into one which replicated the lumping method advocated by Bernard &amp; Ryan (2009).  This rigorous data analysis framework provided links between the empirical data and the researchers claims presented.</w:t>
      </w:r>
    </w:p>
    <w:p w:rsidR="006A19A6" w:rsidRPr="003D6CE4" w:rsidRDefault="006A19A6" w:rsidP="00F53638">
      <w:pPr>
        <w:autoSpaceDE w:val="0"/>
        <w:autoSpaceDN w:val="0"/>
        <w:adjustRightInd w:val="0"/>
        <w:rPr>
          <w:sz w:val="24"/>
          <w:szCs w:val="24"/>
        </w:rPr>
      </w:pPr>
    </w:p>
    <w:p w:rsidR="006A19A6" w:rsidRPr="003D6CE4" w:rsidRDefault="006A19A6" w:rsidP="00F53638">
      <w:pPr>
        <w:jc w:val="center"/>
        <w:rPr>
          <w:b/>
          <w:sz w:val="24"/>
          <w:szCs w:val="24"/>
        </w:rPr>
      </w:pPr>
      <w:r w:rsidRPr="003D6CE4">
        <w:rPr>
          <w:b/>
          <w:sz w:val="24"/>
          <w:szCs w:val="24"/>
        </w:rPr>
        <w:t>Results and Discussion</w:t>
      </w:r>
    </w:p>
    <w:p w:rsidR="006A19A6" w:rsidRPr="003D6CE4" w:rsidRDefault="006A19A6" w:rsidP="00F53638">
      <w:pPr>
        <w:jc w:val="center"/>
        <w:rPr>
          <w:i/>
          <w:sz w:val="24"/>
          <w:szCs w:val="24"/>
        </w:rPr>
      </w:pPr>
    </w:p>
    <w:p w:rsidR="006A19A6" w:rsidRPr="003D6CE4" w:rsidRDefault="006A19A6" w:rsidP="00F53638">
      <w:pPr>
        <w:autoSpaceDE w:val="0"/>
        <w:autoSpaceDN w:val="0"/>
        <w:adjustRightInd w:val="0"/>
        <w:rPr>
          <w:rFonts w:eastAsiaTheme="minorHAnsi"/>
          <w:color w:val="000000"/>
          <w:sz w:val="24"/>
          <w:szCs w:val="24"/>
        </w:rPr>
      </w:pPr>
      <w:r w:rsidRPr="003D6CE4">
        <w:rPr>
          <w:rFonts w:eastAsiaTheme="minorHAnsi"/>
          <w:color w:val="000000"/>
          <w:sz w:val="24"/>
          <w:szCs w:val="24"/>
        </w:rPr>
        <w:t>The results from the interviews were categorized according to the following t</w:t>
      </w:r>
      <w:r w:rsidR="00D31915" w:rsidRPr="003D6CE4">
        <w:rPr>
          <w:rFonts w:eastAsiaTheme="minorHAnsi"/>
          <w:color w:val="000000"/>
          <w:sz w:val="24"/>
          <w:szCs w:val="24"/>
        </w:rPr>
        <w:t>hree</w:t>
      </w:r>
      <w:r w:rsidRPr="003D6CE4">
        <w:rPr>
          <w:rFonts w:eastAsiaTheme="minorHAnsi"/>
          <w:color w:val="000000"/>
          <w:sz w:val="24"/>
          <w:szCs w:val="24"/>
        </w:rPr>
        <w:t xml:space="preserve"> themes and </w:t>
      </w:r>
      <w:r w:rsidR="00D31915" w:rsidRPr="003D6CE4">
        <w:rPr>
          <w:rFonts w:eastAsiaTheme="minorHAnsi"/>
          <w:color w:val="000000"/>
          <w:sz w:val="24"/>
          <w:szCs w:val="24"/>
        </w:rPr>
        <w:t>1</w:t>
      </w:r>
      <w:r w:rsidR="00E07164" w:rsidRPr="003D6CE4">
        <w:rPr>
          <w:rFonts w:eastAsiaTheme="minorHAnsi"/>
          <w:color w:val="000000"/>
          <w:sz w:val="24"/>
          <w:szCs w:val="24"/>
        </w:rPr>
        <w:t>1</w:t>
      </w:r>
      <w:r w:rsidRPr="003D6CE4">
        <w:rPr>
          <w:rFonts w:eastAsiaTheme="minorHAnsi"/>
          <w:color w:val="000000"/>
          <w:sz w:val="24"/>
          <w:szCs w:val="24"/>
        </w:rPr>
        <w:t xml:space="preserve"> sub-themes, see </w:t>
      </w:r>
      <w:r w:rsidR="00D31915" w:rsidRPr="003D6CE4">
        <w:rPr>
          <w:rFonts w:eastAsiaTheme="minorHAnsi"/>
          <w:b/>
          <w:color w:val="000000"/>
          <w:sz w:val="24"/>
          <w:szCs w:val="24"/>
        </w:rPr>
        <w:t>Table 3</w:t>
      </w:r>
      <w:r w:rsidRPr="003D6CE4">
        <w:rPr>
          <w:rFonts w:eastAsiaTheme="minorHAnsi"/>
          <w:color w:val="000000"/>
          <w:sz w:val="24"/>
          <w:szCs w:val="24"/>
        </w:rPr>
        <w:t xml:space="preserve">. </w:t>
      </w:r>
    </w:p>
    <w:p w:rsidR="003D6CE4" w:rsidRPr="003D6CE4" w:rsidRDefault="003D6CE4" w:rsidP="00F53638">
      <w:pPr>
        <w:autoSpaceDE w:val="0"/>
        <w:autoSpaceDN w:val="0"/>
        <w:adjustRightInd w:val="0"/>
        <w:rPr>
          <w:rFonts w:eastAsiaTheme="minorHAnsi"/>
          <w:color w:val="000000"/>
          <w:sz w:val="24"/>
          <w:szCs w:val="24"/>
        </w:rPr>
      </w:pPr>
    </w:p>
    <w:tbl>
      <w:tblPr>
        <w:tblStyle w:val="TableGrid"/>
        <w:tblW w:w="0" w:type="auto"/>
        <w:tblLook w:val="04A0" w:firstRow="1" w:lastRow="0" w:firstColumn="1" w:lastColumn="0" w:noHBand="0" w:noVBand="1"/>
      </w:tblPr>
      <w:tblGrid>
        <w:gridCol w:w="3539"/>
        <w:gridCol w:w="5477"/>
      </w:tblGrid>
      <w:tr w:rsidR="00F53638" w:rsidRPr="00916E5C" w:rsidTr="006B065D">
        <w:tc>
          <w:tcPr>
            <w:tcW w:w="9016" w:type="dxa"/>
            <w:gridSpan w:val="2"/>
            <w:tcBorders>
              <w:top w:val="nil"/>
              <w:left w:val="nil"/>
              <w:bottom w:val="nil"/>
              <w:right w:val="nil"/>
            </w:tcBorders>
            <w:shd w:val="clear" w:color="auto" w:fill="auto"/>
          </w:tcPr>
          <w:p w:rsidR="00F53638" w:rsidRPr="00781112" w:rsidRDefault="00F53638" w:rsidP="006B065D">
            <w:pPr>
              <w:pBdr>
                <w:bottom w:val="single" w:sz="4" w:space="1" w:color="auto"/>
              </w:pBdr>
              <w:autoSpaceDE w:val="0"/>
              <w:autoSpaceDN w:val="0"/>
              <w:adjustRightInd w:val="0"/>
              <w:rPr>
                <w:sz w:val="24"/>
                <w:szCs w:val="24"/>
                <w:lang w:val="en"/>
              </w:rPr>
            </w:pPr>
            <w:r>
              <w:rPr>
                <w:sz w:val="24"/>
                <w:szCs w:val="24"/>
                <w:lang w:val="en"/>
              </w:rPr>
              <w:t>Table 3</w:t>
            </w:r>
          </w:p>
          <w:p w:rsidR="00F53638" w:rsidRPr="00781112" w:rsidRDefault="00F53638" w:rsidP="006B065D">
            <w:pPr>
              <w:pBdr>
                <w:bottom w:val="single" w:sz="4" w:space="1" w:color="auto"/>
              </w:pBdr>
              <w:autoSpaceDE w:val="0"/>
              <w:autoSpaceDN w:val="0"/>
              <w:adjustRightInd w:val="0"/>
              <w:rPr>
                <w:b/>
                <w:i/>
                <w:sz w:val="24"/>
                <w:szCs w:val="24"/>
                <w:lang w:val="en"/>
              </w:rPr>
            </w:pPr>
            <w:r>
              <w:rPr>
                <w:b/>
                <w:i/>
                <w:sz w:val="24"/>
                <w:szCs w:val="24"/>
                <w:lang w:val="en"/>
              </w:rPr>
              <w:t>Thematic Content Based on Interviews</w:t>
            </w:r>
          </w:p>
        </w:tc>
      </w:tr>
      <w:tr w:rsidR="00F53638" w:rsidRPr="00916E5C" w:rsidTr="006B065D">
        <w:tc>
          <w:tcPr>
            <w:tcW w:w="3539" w:type="dxa"/>
            <w:tcBorders>
              <w:top w:val="nil"/>
              <w:left w:val="nil"/>
              <w:bottom w:val="single" w:sz="4" w:space="0" w:color="auto"/>
              <w:right w:val="nil"/>
            </w:tcBorders>
            <w:shd w:val="clear" w:color="auto" w:fill="auto"/>
          </w:tcPr>
          <w:p w:rsidR="00F53638" w:rsidRPr="00781112" w:rsidRDefault="00F53638" w:rsidP="006B065D">
            <w:pPr>
              <w:autoSpaceDE w:val="0"/>
              <w:autoSpaceDN w:val="0"/>
              <w:adjustRightInd w:val="0"/>
              <w:rPr>
                <w:b/>
                <w:sz w:val="24"/>
                <w:szCs w:val="24"/>
                <w:lang w:val="en"/>
              </w:rPr>
            </w:pPr>
            <w:r>
              <w:rPr>
                <w:b/>
                <w:sz w:val="24"/>
                <w:szCs w:val="24"/>
                <w:lang w:val="en"/>
              </w:rPr>
              <w:t>Theme</w:t>
            </w:r>
          </w:p>
        </w:tc>
        <w:tc>
          <w:tcPr>
            <w:tcW w:w="5477" w:type="dxa"/>
            <w:tcBorders>
              <w:top w:val="nil"/>
              <w:left w:val="nil"/>
              <w:bottom w:val="single" w:sz="4" w:space="0" w:color="auto"/>
              <w:right w:val="nil"/>
            </w:tcBorders>
            <w:shd w:val="clear" w:color="auto" w:fill="auto"/>
          </w:tcPr>
          <w:p w:rsidR="00F53638" w:rsidRPr="00781112" w:rsidRDefault="00F53638" w:rsidP="006B065D">
            <w:pPr>
              <w:autoSpaceDE w:val="0"/>
              <w:autoSpaceDN w:val="0"/>
              <w:adjustRightInd w:val="0"/>
              <w:rPr>
                <w:b/>
                <w:sz w:val="24"/>
                <w:szCs w:val="24"/>
                <w:lang w:val="en"/>
              </w:rPr>
            </w:pPr>
            <w:r>
              <w:rPr>
                <w:b/>
                <w:sz w:val="24"/>
                <w:szCs w:val="24"/>
                <w:lang w:val="en"/>
              </w:rPr>
              <w:t>Sub-theme</w:t>
            </w:r>
          </w:p>
        </w:tc>
      </w:tr>
      <w:tr w:rsidR="00F53638" w:rsidRPr="00916E5C" w:rsidTr="006B065D">
        <w:tc>
          <w:tcPr>
            <w:tcW w:w="3539" w:type="dxa"/>
            <w:tcBorders>
              <w:top w:val="single" w:sz="4" w:space="0" w:color="auto"/>
              <w:left w:val="nil"/>
              <w:bottom w:val="nil"/>
              <w:right w:val="nil"/>
            </w:tcBorders>
            <w:shd w:val="clear" w:color="auto" w:fill="auto"/>
          </w:tcPr>
          <w:p w:rsidR="00F53638" w:rsidRPr="00781112" w:rsidRDefault="00F53638" w:rsidP="006B065D">
            <w:pPr>
              <w:autoSpaceDE w:val="0"/>
              <w:autoSpaceDN w:val="0"/>
              <w:adjustRightInd w:val="0"/>
              <w:rPr>
                <w:lang w:val="en"/>
              </w:rPr>
            </w:pPr>
            <w:r>
              <w:rPr>
                <w:lang w:val="en"/>
              </w:rPr>
              <w:t>Benefits and opportunities</w:t>
            </w:r>
          </w:p>
        </w:tc>
        <w:tc>
          <w:tcPr>
            <w:tcW w:w="5477" w:type="dxa"/>
            <w:tcBorders>
              <w:top w:val="single" w:sz="4" w:space="0" w:color="auto"/>
              <w:left w:val="nil"/>
              <w:bottom w:val="nil"/>
              <w:right w:val="nil"/>
            </w:tcBorders>
            <w:shd w:val="clear" w:color="auto" w:fill="auto"/>
          </w:tcPr>
          <w:p w:rsidR="00F53638" w:rsidRPr="00781112" w:rsidRDefault="00F53638" w:rsidP="006B065D">
            <w:pPr>
              <w:autoSpaceDE w:val="0"/>
              <w:autoSpaceDN w:val="0"/>
              <w:adjustRightInd w:val="0"/>
              <w:rPr>
                <w:lang w:val="en"/>
              </w:rPr>
            </w:pPr>
            <w:r>
              <w:rPr>
                <w:lang w:val="en"/>
              </w:rPr>
              <w:t>Collaboration</w:t>
            </w:r>
          </w:p>
        </w:tc>
      </w:tr>
      <w:tr w:rsidR="00F53638" w:rsidRPr="00916E5C" w:rsidTr="006B065D">
        <w:tc>
          <w:tcPr>
            <w:tcW w:w="3539" w:type="dxa"/>
            <w:tcBorders>
              <w:top w:val="nil"/>
              <w:left w:val="nil"/>
              <w:bottom w:val="nil"/>
              <w:right w:val="nil"/>
            </w:tcBorders>
            <w:shd w:val="clear" w:color="auto" w:fill="auto"/>
          </w:tcPr>
          <w:p w:rsidR="00F53638" w:rsidRPr="00781112" w:rsidRDefault="00F53638" w:rsidP="006B065D">
            <w:pPr>
              <w:autoSpaceDE w:val="0"/>
              <w:autoSpaceDN w:val="0"/>
              <w:adjustRightInd w:val="0"/>
              <w:rPr>
                <w:lang w:val="en"/>
              </w:rPr>
            </w:pPr>
          </w:p>
        </w:tc>
        <w:tc>
          <w:tcPr>
            <w:tcW w:w="5477" w:type="dxa"/>
            <w:tcBorders>
              <w:top w:val="nil"/>
              <w:left w:val="nil"/>
              <w:bottom w:val="nil"/>
              <w:right w:val="nil"/>
            </w:tcBorders>
            <w:shd w:val="clear" w:color="auto" w:fill="auto"/>
          </w:tcPr>
          <w:p w:rsidR="00F53638" w:rsidRPr="00781112" w:rsidRDefault="00F53638" w:rsidP="006B065D">
            <w:pPr>
              <w:autoSpaceDE w:val="0"/>
              <w:autoSpaceDN w:val="0"/>
              <w:adjustRightInd w:val="0"/>
              <w:rPr>
                <w:lang w:val="en"/>
              </w:rPr>
            </w:pPr>
            <w:r>
              <w:rPr>
                <w:lang w:val="en"/>
              </w:rPr>
              <w:t>Employability</w:t>
            </w:r>
          </w:p>
        </w:tc>
      </w:tr>
      <w:tr w:rsidR="00F53638" w:rsidRPr="00916E5C" w:rsidTr="006B065D">
        <w:tc>
          <w:tcPr>
            <w:tcW w:w="3539" w:type="dxa"/>
            <w:tcBorders>
              <w:top w:val="nil"/>
              <w:left w:val="nil"/>
              <w:bottom w:val="nil"/>
              <w:right w:val="nil"/>
            </w:tcBorders>
            <w:shd w:val="clear" w:color="auto" w:fill="auto"/>
          </w:tcPr>
          <w:p w:rsidR="00F53638" w:rsidRPr="00781112" w:rsidRDefault="00F53638" w:rsidP="006B065D">
            <w:pPr>
              <w:autoSpaceDE w:val="0"/>
              <w:autoSpaceDN w:val="0"/>
              <w:adjustRightInd w:val="0"/>
              <w:rPr>
                <w:lang w:val="en"/>
              </w:rPr>
            </w:pPr>
          </w:p>
        </w:tc>
        <w:tc>
          <w:tcPr>
            <w:tcW w:w="5477" w:type="dxa"/>
            <w:tcBorders>
              <w:top w:val="nil"/>
              <w:left w:val="nil"/>
              <w:bottom w:val="nil"/>
              <w:right w:val="nil"/>
            </w:tcBorders>
            <w:shd w:val="clear" w:color="auto" w:fill="auto"/>
          </w:tcPr>
          <w:p w:rsidR="00F53638" w:rsidRPr="00781112" w:rsidRDefault="00F53638" w:rsidP="006B065D">
            <w:pPr>
              <w:autoSpaceDE w:val="0"/>
              <w:autoSpaceDN w:val="0"/>
              <w:adjustRightInd w:val="0"/>
              <w:rPr>
                <w:lang w:val="en"/>
              </w:rPr>
            </w:pPr>
            <w:r>
              <w:rPr>
                <w:lang w:val="en"/>
              </w:rPr>
              <w:t>Finance</w:t>
            </w:r>
          </w:p>
        </w:tc>
      </w:tr>
      <w:tr w:rsidR="00F53638" w:rsidRPr="00916E5C" w:rsidTr="006B065D">
        <w:tc>
          <w:tcPr>
            <w:tcW w:w="3539" w:type="dxa"/>
            <w:tcBorders>
              <w:top w:val="nil"/>
              <w:left w:val="nil"/>
              <w:bottom w:val="nil"/>
              <w:right w:val="nil"/>
            </w:tcBorders>
            <w:shd w:val="clear" w:color="auto" w:fill="auto"/>
          </w:tcPr>
          <w:p w:rsidR="00F53638" w:rsidRPr="00781112" w:rsidRDefault="00F53638" w:rsidP="006B065D">
            <w:pPr>
              <w:autoSpaceDE w:val="0"/>
              <w:autoSpaceDN w:val="0"/>
              <w:adjustRightInd w:val="0"/>
              <w:rPr>
                <w:lang w:val="en"/>
              </w:rPr>
            </w:pPr>
            <w:r>
              <w:rPr>
                <w:lang w:val="en"/>
              </w:rPr>
              <w:t>Barriers</w:t>
            </w:r>
          </w:p>
        </w:tc>
        <w:tc>
          <w:tcPr>
            <w:tcW w:w="5477" w:type="dxa"/>
            <w:tcBorders>
              <w:top w:val="nil"/>
              <w:left w:val="nil"/>
              <w:bottom w:val="nil"/>
              <w:right w:val="nil"/>
            </w:tcBorders>
            <w:shd w:val="clear" w:color="auto" w:fill="auto"/>
          </w:tcPr>
          <w:p w:rsidR="00F53638" w:rsidRPr="00781112" w:rsidRDefault="00F53638" w:rsidP="006B065D">
            <w:pPr>
              <w:autoSpaceDE w:val="0"/>
              <w:autoSpaceDN w:val="0"/>
              <w:adjustRightInd w:val="0"/>
              <w:rPr>
                <w:lang w:val="en"/>
              </w:rPr>
            </w:pPr>
            <w:r>
              <w:rPr>
                <w:lang w:val="en"/>
              </w:rPr>
              <w:t>Organizational systems and cultures</w:t>
            </w:r>
          </w:p>
        </w:tc>
      </w:tr>
      <w:tr w:rsidR="00F53638" w:rsidRPr="00916E5C" w:rsidTr="006B065D">
        <w:trPr>
          <w:trHeight w:val="259"/>
        </w:trPr>
        <w:tc>
          <w:tcPr>
            <w:tcW w:w="3539" w:type="dxa"/>
            <w:tcBorders>
              <w:top w:val="nil"/>
              <w:left w:val="nil"/>
              <w:bottom w:val="nil"/>
              <w:right w:val="nil"/>
            </w:tcBorders>
            <w:shd w:val="clear" w:color="auto" w:fill="auto"/>
          </w:tcPr>
          <w:p w:rsidR="00F53638" w:rsidRPr="00781112" w:rsidRDefault="00F53638" w:rsidP="006B065D">
            <w:pPr>
              <w:autoSpaceDE w:val="0"/>
              <w:autoSpaceDN w:val="0"/>
              <w:adjustRightInd w:val="0"/>
              <w:rPr>
                <w:lang w:val="en"/>
              </w:rPr>
            </w:pPr>
          </w:p>
        </w:tc>
        <w:tc>
          <w:tcPr>
            <w:tcW w:w="5477" w:type="dxa"/>
            <w:tcBorders>
              <w:top w:val="nil"/>
              <w:left w:val="nil"/>
              <w:bottom w:val="nil"/>
              <w:right w:val="nil"/>
            </w:tcBorders>
            <w:shd w:val="clear" w:color="auto" w:fill="auto"/>
          </w:tcPr>
          <w:p w:rsidR="00F53638" w:rsidRPr="00781112" w:rsidRDefault="00F53638" w:rsidP="006B065D">
            <w:pPr>
              <w:autoSpaceDE w:val="0"/>
              <w:autoSpaceDN w:val="0"/>
              <w:adjustRightInd w:val="0"/>
              <w:rPr>
                <w:lang w:val="en"/>
              </w:rPr>
            </w:pPr>
            <w:r>
              <w:rPr>
                <w:lang w:val="en"/>
              </w:rPr>
              <w:t>Gaps in understanding</w:t>
            </w:r>
          </w:p>
        </w:tc>
      </w:tr>
      <w:tr w:rsidR="00F53638" w:rsidRPr="00916E5C" w:rsidTr="006B065D">
        <w:tc>
          <w:tcPr>
            <w:tcW w:w="3539" w:type="dxa"/>
            <w:tcBorders>
              <w:top w:val="nil"/>
              <w:left w:val="nil"/>
              <w:bottom w:val="nil"/>
              <w:right w:val="nil"/>
            </w:tcBorders>
            <w:shd w:val="clear" w:color="auto" w:fill="auto"/>
          </w:tcPr>
          <w:p w:rsidR="00F53638" w:rsidRPr="00781112" w:rsidRDefault="00F53638" w:rsidP="006B065D">
            <w:pPr>
              <w:autoSpaceDE w:val="0"/>
              <w:autoSpaceDN w:val="0"/>
              <w:adjustRightInd w:val="0"/>
              <w:rPr>
                <w:lang w:val="en"/>
              </w:rPr>
            </w:pPr>
          </w:p>
        </w:tc>
        <w:tc>
          <w:tcPr>
            <w:tcW w:w="5477" w:type="dxa"/>
            <w:tcBorders>
              <w:top w:val="nil"/>
              <w:left w:val="nil"/>
              <w:bottom w:val="nil"/>
              <w:right w:val="nil"/>
            </w:tcBorders>
            <w:shd w:val="clear" w:color="auto" w:fill="auto"/>
          </w:tcPr>
          <w:p w:rsidR="00F53638" w:rsidRPr="00781112" w:rsidRDefault="00F53638" w:rsidP="006B065D">
            <w:pPr>
              <w:autoSpaceDE w:val="0"/>
              <w:autoSpaceDN w:val="0"/>
              <w:adjustRightInd w:val="0"/>
              <w:rPr>
                <w:lang w:val="en"/>
              </w:rPr>
            </w:pPr>
            <w:r>
              <w:rPr>
                <w:lang w:val="en"/>
              </w:rPr>
              <w:t>Procurement and tendering</w:t>
            </w:r>
          </w:p>
        </w:tc>
      </w:tr>
      <w:tr w:rsidR="00F53638" w:rsidRPr="00916E5C" w:rsidTr="006B065D">
        <w:tc>
          <w:tcPr>
            <w:tcW w:w="3539" w:type="dxa"/>
            <w:tcBorders>
              <w:top w:val="nil"/>
              <w:left w:val="nil"/>
              <w:bottom w:val="nil"/>
              <w:right w:val="nil"/>
            </w:tcBorders>
            <w:shd w:val="clear" w:color="auto" w:fill="auto"/>
          </w:tcPr>
          <w:p w:rsidR="00F53638" w:rsidRPr="00781112" w:rsidRDefault="00F53638" w:rsidP="006B065D">
            <w:pPr>
              <w:autoSpaceDE w:val="0"/>
              <w:autoSpaceDN w:val="0"/>
              <w:adjustRightInd w:val="0"/>
              <w:rPr>
                <w:lang w:val="en"/>
              </w:rPr>
            </w:pPr>
          </w:p>
        </w:tc>
        <w:tc>
          <w:tcPr>
            <w:tcW w:w="5477" w:type="dxa"/>
            <w:tcBorders>
              <w:top w:val="nil"/>
              <w:left w:val="nil"/>
              <w:bottom w:val="nil"/>
              <w:right w:val="nil"/>
            </w:tcBorders>
            <w:shd w:val="clear" w:color="auto" w:fill="auto"/>
          </w:tcPr>
          <w:p w:rsidR="00F53638" w:rsidRPr="00781112" w:rsidRDefault="00F53638" w:rsidP="006B065D">
            <w:pPr>
              <w:autoSpaceDE w:val="0"/>
              <w:autoSpaceDN w:val="0"/>
              <w:adjustRightInd w:val="0"/>
              <w:rPr>
                <w:lang w:val="en"/>
              </w:rPr>
            </w:pPr>
            <w:r w:rsidRPr="00781112">
              <w:rPr>
                <w:lang w:val="en"/>
              </w:rPr>
              <w:t>Administrative (Programme Support)</w:t>
            </w:r>
          </w:p>
        </w:tc>
      </w:tr>
      <w:tr w:rsidR="00F53638" w:rsidRPr="00916E5C" w:rsidTr="006B065D">
        <w:tc>
          <w:tcPr>
            <w:tcW w:w="3539" w:type="dxa"/>
            <w:tcBorders>
              <w:top w:val="nil"/>
              <w:left w:val="nil"/>
              <w:bottom w:val="nil"/>
              <w:right w:val="nil"/>
            </w:tcBorders>
            <w:shd w:val="clear" w:color="auto" w:fill="auto"/>
          </w:tcPr>
          <w:p w:rsidR="00F53638" w:rsidRPr="00781112" w:rsidRDefault="00F53638" w:rsidP="006B065D">
            <w:pPr>
              <w:autoSpaceDE w:val="0"/>
              <w:autoSpaceDN w:val="0"/>
              <w:adjustRightInd w:val="0"/>
              <w:rPr>
                <w:lang w:val="en"/>
              </w:rPr>
            </w:pPr>
          </w:p>
        </w:tc>
        <w:tc>
          <w:tcPr>
            <w:tcW w:w="5477" w:type="dxa"/>
            <w:tcBorders>
              <w:top w:val="nil"/>
              <w:left w:val="nil"/>
              <w:bottom w:val="nil"/>
              <w:right w:val="nil"/>
            </w:tcBorders>
            <w:shd w:val="clear" w:color="auto" w:fill="auto"/>
          </w:tcPr>
          <w:p w:rsidR="00F53638" w:rsidRPr="00781112" w:rsidRDefault="00F53638" w:rsidP="006B065D">
            <w:pPr>
              <w:autoSpaceDE w:val="0"/>
              <w:autoSpaceDN w:val="0"/>
              <w:adjustRightInd w:val="0"/>
              <w:rPr>
                <w:lang w:val="en"/>
              </w:rPr>
            </w:pPr>
            <w:r>
              <w:rPr>
                <w:lang w:val="en"/>
              </w:rPr>
              <w:t>Employers</w:t>
            </w:r>
          </w:p>
        </w:tc>
      </w:tr>
      <w:tr w:rsidR="00F53638" w:rsidRPr="00916E5C" w:rsidTr="006B065D">
        <w:trPr>
          <w:trHeight w:val="97"/>
        </w:trPr>
        <w:tc>
          <w:tcPr>
            <w:tcW w:w="3539" w:type="dxa"/>
            <w:tcBorders>
              <w:top w:val="nil"/>
              <w:left w:val="nil"/>
              <w:bottom w:val="nil"/>
              <w:right w:val="nil"/>
            </w:tcBorders>
            <w:shd w:val="clear" w:color="auto" w:fill="auto"/>
          </w:tcPr>
          <w:p w:rsidR="00F53638" w:rsidRPr="00781112" w:rsidRDefault="00F53638" w:rsidP="006B065D">
            <w:pPr>
              <w:autoSpaceDE w:val="0"/>
              <w:autoSpaceDN w:val="0"/>
              <w:adjustRightInd w:val="0"/>
              <w:rPr>
                <w:lang w:val="en"/>
              </w:rPr>
            </w:pPr>
          </w:p>
        </w:tc>
        <w:tc>
          <w:tcPr>
            <w:tcW w:w="5477" w:type="dxa"/>
            <w:tcBorders>
              <w:top w:val="nil"/>
              <w:left w:val="nil"/>
              <w:bottom w:val="nil"/>
              <w:right w:val="nil"/>
            </w:tcBorders>
            <w:shd w:val="clear" w:color="auto" w:fill="auto"/>
          </w:tcPr>
          <w:p w:rsidR="00F53638" w:rsidRPr="00781112" w:rsidRDefault="00F53638" w:rsidP="006B065D">
            <w:pPr>
              <w:autoSpaceDE w:val="0"/>
              <w:autoSpaceDN w:val="0"/>
              <w:adjustRightInd w:val="0"/>
              <w:rPr>
                <w:lang w:val="en"/>
              </w:rPr>
            </w:pPr>
            <w:r>
              <w:rPr>
                <w:lang w:val="en"/>
              </w:rPr>
              <w:t>End-point assessment</w:t>
            </w:r>
          </w:p>
        </w:tc>
      </w:tr>
      <w:tr w:rsidR="00F53638" w:rsidRPr="00916E5C" w:rsidTr="006B065D">
        <w:trPr>
          <w:trHeight w:val="97"/>
        </w:trPr>
        <w:tc>
          <w:tcPr>
            <w:tcW w:w="3539" w:type="dxa"/>
            <w:tcBorders>
              <w:top w:val="nil"/>
              <w:left w:val="nil"/>
              <w:bottom w:val="nil"/>
              <w:right w:val="nil"/>
            </w:tcBorders>
            <w:shd w:val="clear" w:color="auto" w:fill="auto"/>
          </w:tcPr>
          <w:p w:rsidR="00F53638" w:rsidRPr="00781112" w:rsidRDefault="00F53638" w:rsidP="006B065D">
            <w:pPr>
              <w:autoSpaceDE w:val="0"/>
              <w:autoSpaceDN w:val="0"/>
              <w:adjustRightInd w:val="0"/>
              <w:rPr>
                <w:lang w:val="en"/>
              </w:rPr>
            </w:pPr>
            <w:r>
              <w:rPr>
                <w:lang w:val="en"/>
              </w:rPr>
              <w:t>Academic quality</w:t>
            </w:r>
          </w:p>
        </w:tc>
        <w:tc>
          <w:tcPr>
            <w:tcW w:w="5477" w:type="dxa"/>
            <w:tcBorders>
              <w:top w:val="nil"/>
              <w:left w:val="nil"/>
              <w:bottom w:val="nil"/>
              <w:right w:val="nil"/>
            </w:tcBorders>
            <w:shd w:val="clear" w:color="auto" w:fill="auto"/>
          </w:tcPr>
          <w:p w:rsidR="00F53638" w:rsidRDefault="00F53638" w:rsidP="006B065D">
            <w:pPr>
              <w:autoSpaceDE w:val="0"/>
              <w:autoSpaceDN w:val="0"/>
              <w:adjustRightInd w:val="0"/>
              <w:rPr>
                <w:lang w:val="en"/>
              </w:rPr>
            </w:pPr>
            <w:r>
              <w:rPr>
                <w:lang w:val="en"/>
              </w:rPr>
              <w:t>Governance</w:t>
            </w:r>
          </w:p>
        </w:tc>
      </w:tr>
      <w:tr w:rsidR="00F53638" w:rsidRPr="00916E5C" w:rsidTr="006B065D">
        <w:trPr>
          <w:trHeight w:val="97"/>
        </w:trPr>
        <w:tc>
          <w:tcPr>
            <w:tcW w:w="3539" w:type="dxa"/>
            <w:tcBorders>
              <w:top w:val="nil"/>
              <w:left w:val="nil"/>
              <w:bottom w:val="single" w:sz="4" w:space="0" w:color="auto"/>
              <w:right w:val="nil"/>
            </w:tcBorders>
            <w:shd w:val="clear" w:color="auto" w:fill="auto"/>
          </w:tcPr>
          <w:p w:rsidR="00F53638" w:rsidRPr="00781112" w:rsidRDefault="00F53638" w:rsidP="006B065D">
            <w:pPr>
              <w:autoSpaceDE w:val="0"/>
              <w:autoSpaceDN w:val="0"/>
              <w:adjustRightInd w:val="0"/>
              <w:rPr>
                <w:lang w:val="en"/>
              </w:rPr>
            </w:pPr>
          </w:p>
        </w:tc>
        <w:tc>
          <w:tcPr>
            <w:tcW w:w="5477" w:type="dxa"/>
            <w:tcBorders>
              <w:top w:val="nil"/>
              <w:left w:val="nil"/>
              <w:bottom w:val="single" w:sz="4" w:space="0" w:color="auto"/>
              <w:right w:val="nil"/>
            </w:tcBorders>
            <w:shd w:val="clear" w:color="auto" w:fill="auto"/>
          </w:tcPr>
          <w:p w:rsidR="00F53638" w:rsidRDefault="00F53638" w:rsidP="006B065D">
            <w:pPr>
              <w:autoSpaceDE w:val="0"/>
              <w:autoSpaceDN w:val="0"/>
              <w:adjustRightInd w:val="0"/>
              <w:rPr>
                <w:lang w:val="en"/>
              </w:rPr>
            </w:pPr>
            <w:r>
              <w:rPr>
                <w:lang w:val="en"/>
              </w:rPr>
              <w:t>Quality Assurance</w:t>
            </w:r>
          </w:p>
        </w:tc>
      </w:tr>
    </w:tbl>
    <w:p w:rsidR="00F53638" w:rsidRDefault="00F53638" w:rsidP="00F53638">
      <w:pPr>
        <w:rPr>
          <w:rStyle w:val="selectable"/>
          <w:b/>
          <w:color w:val="000000"/>
          <w:sz w:val="24"/>
          <w:szCs w:val="24"/>
          <w:lang w:val="en"/>
        </w:rPr>
      </w:pPr>
    </w:p>
    <w:p w:rsidR="00986969" w:rsidRPr="003D6CE4" w:rsidRDefault="00986969" w:rsidP="00F53638">
      <w:pPr>
        <w:autoSpaceDE w:val="0"/>
        <w:autoSpaceDN w:val="0"/>
        <w:adjustRightInd w:val="0"/>
        <w:rPr>
          <w:rFonts w:eastAsiaTheme="minorHAnsi"/>
          <w:b/>
          <w:bCs/>
          <w:i/>
          <w:color w:val="000000"/>
          <w:sz w:val="24"/>
          <w:szCs w:val="24"/>
        </w:rPr>
      </w:pPr>
      <w:r w:rsidRPr="003D6CE4">
        <w:rPr>
          <w:rFonts w:eastAsiaTheme="minorHAnsi"/>
          <w:b/>
          <w:bCs/>
          <w:i/>
          <w:color w:val="000000"/>
          <w:sz w:val="24"/>
          <w:szCs w:val="24"/>
        </w:rPr>
        <w:t>Benefits, Barriers and Opportunities</w:t>
      </w:r>
    </w:p>
    <w:p w:rsidR="00986969" w:rsidRPr="003D6CE4" w:rsidRDefault="00986969" w:rsidP="00F53638">
      <w:pPr>
        <w:autoSpaceDE w:val="0"/>
        <w:autoSpaceDN w:val="0"/>
        <w:adjustRightInd w:val="0"/>
        <w:jc w:val="center"/>
        <w:rPr>
          <w:rFonts w:eastAsiaTheme="minorHAnsi"/>
          <w:bCs/>
          <w:i/>
          <w:color w:val="000000"/>
          <w:sz w:val="24"/>
          <w:szCs w:val="24"/>
        </w:rPr>
      </w:pPr>
    </w:p>
    <w:p w:rsidR="00986969" w:rsidRPr="003D6CE4" w:rsidRDefault="00986969" w:rsidP="00F53638">
      <w:pPr>
        <w:autoSpaceDE w:val="0"/>
        <w:autoSpaceDN w:val="0"/>
        <w:adjustRightInd w:val="0"/>
        <w:rPr>
          <w:rFonts w:eastAsiaTheme="minorHAnsi"/>
          <w:color w:val="000000"/>
          <w:sz w:val="24"/>
          <w:szCs w:val="24"/>
        </w:rPr>
      </w:pPr>
      <w:r w:rsidRPr="003D6CE4">
        <w:rPr>
          <w:rFonts w:eastAsiaTheme="minorHAnsi"/>
          <w:color w:val="000000"/>
          <w:sz w:val="24"/>
          <w:szCs w:val="24"/>
        </w:rPr>
        <w:t xml:space="preserve">The respondents appeared optimistic at the prospect of developing and delivering this model of a collaborative study for new and existing industry partners and saw it very much as an opportunity for growing and expanding programme provision. Universities UK report a drop-in part-time students studying first degrees of 12.6% during 2006 – 2016 (Universities UK, 2017).  However in all cases the respondents acknowledge that DA would provide an opportunity to grow collaboratively designed and delivered programmes with industry to narrow the widening gap between education and industry.  </w:t>
      </w:r>
    </w:p>
    <w:p w:rsidR="00986969" w:rsidRPr="003D6CE4" w:rsidRDefault="00986969" w:rsidP="00F53638">
      <w:pPr>
        <w:autoSpaceDE w:val="0"/>
        <w:autoSpaceDN w:val="0"/>
        <w:adjustRightInd w:val="0"/>
        <w:rPr>
          <w:rFonts w:eastAsiaTheme="minorHAnsi"/>
          <w:color w:val="000000"/>
          <w:sz w:val="24"/>
          <w:szCs w:val="24"/>
        </w:rPr>
      </w:pPr>
    </w:p>
    <w:p w:rsidR="00986969" w:rsidRPr="003D6CE4" w:rsidRDefault="00986969" w:rsidP="00F53638">
      <w:pPr>
        <w:autoSpaceDE w:val="0"/>
        <w:autoSpaceDN w:val="0"/>
        <w:adjustRightInd w:val="0"/>
        <w:rPr>
          <w:rFonts w:eastAsiaTheme="minorHAnsi"/>
          <w:i/>
          <w:color w:val="000000"/>
          <w:sz w:val="24"/>
          <w:szCs w:val="24"/>
        </w:rPr>
      </w:pPr>
      <w:r w:rsidRPr="003D6CE4">
        <w:rPr>
          <w:rFonts w:eastAsiaTheme="minorHAnsi"/>
          <w:i/>
          <w:color w:val="000000"/>
          <w:sz w:val="24"/>
          <w:szCs w:val="24"/>
        </w:rPr>
        <w:t>Collaboration</w:t>
      </w:r>
    </w:p>
    <w:p w:rsidR="00986969" w:rsidRPr="003D6CE4" w:rsidRDefault="00986969" w:rsidP="00F53638">
      <w:pPr>
        <w:autoSpaceDE w:val="0"/>
        <w:autoSpaceDN w:val="0"/>
        <w:adjustRightInd w:val="0"/>
        <w:jc w:val="center"/>
        <w:rPr>
          <w:rFonts w:eastAsiaTheme="minorHAnsi"/>
          <w:i/>
          <w:color w:val="000000"/>
          <w:sz w:val="24"/>
          <w:szCs w:val="24"/>
        </w:rPr>
      </w:pPr>
    </w:p>
    <w:p w:rsidR="00986969" w:rsidRPr="003D6CE4" w:rsidRDefault="00986969" w:rsidP="00F53638">
      <w:pPr>
        <w:autoSpaceDE w:val="0"/>
        <w:autoSpaceDN w:val="0"/>
        <w:adjustRightInd w:val="0"/>
        <w:rPr>
          <w:rFonts w:eastAsiaTheme="minorHAnsi"/>
          <w:color w:val="000000"/>
          <w:sz w:val="24"/>
          <w:szCs w:val="24"/>
        </w:rPr>
      </w:pPr>
      <w:r w:rsidRPr="003D6CE4">
        <w:rPr>
          <w:rFonts w:eastAsiaTheme="minorHAnsi"/>
          <w:color w:val="000000"/>
          <w:sz w:val="24"/>
          <w:szCs w:val="24"/>
        </w:rPr>
        <w:lastRenderedPageBreak/>
        <w:t xml:space="preserve">A significant number of respondents acknowledge that DAs are a convenient platform from which to collaborate with employers to undertake research and innovation projects, including Knowledge Transfer Partnerships (KTP); and to arrange </w:t>
      </w:r>
      <w:r w:rsidRPr="003D6CE4">
        <w:rPr>
          <w:rFonts w:eastAsiaTheme="minorHAnsi"/>
          <w:i/>
          <w:iCs/>
          <w:color w:val="000000"/>
          <w:sz w:val="24"/>
          <w:szCs w:val="24"/>
        </w:rPr>
        <w:t xml:space="preserve">guest </w:t>
      </w:r>
      <w:r w:rsidRPr="003D6CE4">
        <w:rPr>
          <w:rFonts w:eastAsiaTheme="minorHAnsi"/>
          <w:color w:val="000000"/>
          <w:sz w:val="24"/>
          <w:szCs w:val="24"/>
        </w:rPr>
        <w:t>lectures and site visits; RESP08, an academic, exclaimed, “</w:t>
      </w:r>
      <w:r w:rsidRPr="003D6CE4">
        <w:rPr>
          <w:rFonts w:eastAsiaTheme="minorHAnsi"/>
          <w:i/>
          <w:iCs/>
          <w:color w:val="000000"/>
          <w:sz w:val="24"/>
          <w:szCs w:val="24"/>
        </w:rPr>
        <w:t>Being able to work with employers on quite a close relationship, enables me to link in with site visits, problem-based learning, and external lecturers</w:t>
      </w:r>
      <w:r w:rsidR="004B3C11">
        <w:rPr>
          <w:rFonts w:eastAsiaTheme="minorHAnsi"/>
          <w:i/>
          <w:iCs/>
          <w:color w:val="000000"/>
          <w:sz w:val="24"/>
          <w:szCs w:val="24"/>
        </w:rPr>
        <w:t>.”</w:t>
      </w:r>
      <w:r w:rsidRPr="003D6CE4">
        <w:rPr>
          <w:rFonts w:eastAsiaTheme="minorHAnsi"/>
          <w:i/>
          <w:iCs/>
          <w:color w:val="000000"/>
          <w:sz w:val="24"/>
          <w:szCs w:val="24"/>
        </w:rPr>
        <w:t xml:space="preserve">  </w:t>
      </w:r>
      <w:r w:rsidRPr="003D6CE4">
        <w:rPr>
          <w:rFonts w:eastAsiaTheme="minorHAnsi"/>
          <w:color w:val="000000"/>
          <w:sz w:val="24"/>
          <w:szCs w:val="24"/>
        </w:rPr>
        <w:t>While RESP03, also an academic, said, “</w:t>
      </w:r>
      <w:r w:rsidRPr="003D6CE4">
        <w:rPr>
          <w:rFonts w:eastAsiaTheme="minorHAnsi"/>
          <w:i/>
          <w:iCs/>
          <w:color w:val="000000"/>
          <w:sz w:val="24"/>
          <w:szCs w:val="24"/>
        </w:rPr>
        <w:t xml:space="preserve">There are all sorts of spin-offs in terms of research and other things, and potentially placements for full-time students </w:t>
      </w:r>
      <w:r w:rsidRPr="003D6CE4">
        <w:rPr>
          <w:rFonts w:eastAsiaTheme="minorHAnsi"/>
          <w:color w:val="000000"/>
          <w:sz w:val="24"/>
          <w:szCs w:val="24"/>
        </w:rPr>
        <w:t xml:space="preserve">[…] </w:t>
      </w:r>
      <w:r w:rsidRPr="003D6CE4">
        <w:rPr>
          <w:rFonts w:eastAsiaTheme="minorHAnsi"/>
          <w:i/>
          <w:iCs/>
          <w:color w:val="000000"/>
          <w:sz w:val="24"/>
          <w:szCs w:val="24"/>
        </w:rPr>
        <w:t xml:space="preserve">beyond the taught element </w:t>
      </w:r>
      <w:r w:rsidRPr="003D6CE4">
        <w:rPr>
          <w:rFonts w:eastAsiaTheme="minorHAnsi"/>
          <w:color w:val="000000"/>
          <w:sz w:val="24"/>
          <w:szCs w:val="24"/>
        </w:rPr>
        <w:t xml:space="preserve">[…] </w:t>
      </w:r>
      <w:r w:rsidRPr="003D6CE4">
        <w:rPr>
          <w:rFonts w:eastAsiaTheme="minorHAnsi"/>
          <w:i/>
          <w:iCs/>
          <w:color w:val="000000"/>
          <w:sz w:val="24"/>
          <w:szCs w:val="24"/>
        </w:rPr>
        <w:t>it could even extend to employee staff placements.  So, we are increasing and making sure that their industry knowledge and experience is as relevant as it possibly can be, and bringing that back into the classroom.</w:t>
      </w:r>
      <w:r w:rsidRPr="003D6CE4">
        <w:rPr>
          <w:rFonts w:eastAsiaTheme="minorHAnsi"/>
          <w:color w:val="000000"/>
          <w:sz w:val="24"/>
          <w:szCs w:val="24"/>
        </w:rPr>
        <w:t xml:space="preserve">” </w:t>
      </w:r>
    </w:p>
    <w:p w:rsidR="00986969" w:rsidRPr="003D6CE4" w:rsidRDefault="00986969" w:rsidP="00F53638">
      <w:pPr>
        <w:autoSpaceDE w:val="0"/>
        <w:autoSpaceDN w:val="0"/>
        <w:adjustRightInd w:val="0"/>
        <w:rPr>
          <w:rFonts w:eastAsiaTheme="minorHAnsi"/>
          <w:color w:val="000000"/>
          <w:sz w:val="24"/>
          <w:szCs w:val="24"/>
        </w:rPr>
      </w:pPr>
      <w:r w:rsidRPr="003D6CE4">
        <w:rPr>
          <w:rFonts w:eastAsiaTheme="minorHAnsi"/>
          <w:color w:val="000000"/>
          <w:sz w:val="24"/>
          <w:szCs w:val="24"/>
        </w:rPr>
        <w:t>Using an example, RESP01, a senior academic, shared, “</w:t>
      </w:r>
      <w:r w:rsidRPr="003D6CE4">
        <w:rPr>
          <w:rFonts w:eastAsiaTheme="minorHAnsi"/>
          <w:i/>
          <w:iCs/>
          <w:color w:val="000000"/>
          <w:sz w:val="24"/>
          <w:szCs w:val="24"/>
        </w:rPr>
        <w:t>It provides a structured engagement with employers which we haven't had in the past. Most of our engagement tends to be through student year-out training and the ‘milk round’ sort of graduate employment.</w:t>
      </w:r>
      <w:r w:rsidRPr="003D6CE4">
        <w:rPr>
          <w:rFonts w:eastAsiaTheme="minorHAnsi"/>
          <w:color w:val="000000"/>
          <w:sz w:val="24"/>
          <w:szCs w:val="24"/>
        </w:rPr>
        <w:t xml:space="preserve">” </w:t>
      </w:r>
    </w:p>
    <w:p w:rsidR="00986969" w:rsidRPr="003D6CE4" w:rsidRDefault="00986969" w:rsidP="00F53638">
      <w:pPr>
        <w:pStyle w:val="Default"/>
        <w:rPr>
          <w:rFonts w:ascii="Times New Roman" w:hAnsi="Times New Roman" w:cs="Times New Roman"/>
        </w:rPr>
      </w:pPr>
      <w:r w:rsidRPr="003D6CE4">
        <w:rPr>
          <w:rFonts w:ascii="Times New Roman" w:hAnsi="Times New Roman" w:cs="Times New Roman"/>
        </w:rPr>
        <w:t>The alignment of the DA with the requirements of the PSRBs was praised by RESP04, “</w:t>
      </w:r>
      <w:r w:rsidRPr="003D6CE4">
        <w:rPr>
          <w:rFonts w:ascii="Times New Roman" w:hAnsi="Times New Roman" w:cs="Times New Roman"/>
          <w:i/>
          <w:iCs/>
        </w:rPr>
        <w:t>We’re able to provide a more seamless service from the initial recruitment of the apprentice through to them getting professional membership [</w:t>
      </w:r>
      <w:r w:rsidRPr="003D6CE4">
        <w:rPr>
          <w:rFonts w:ascii="Times New Roman" w:hAnsi="Times New Roman" w:cs="Times New Roman"/>
        </w:rPr>
        <w:t xml:space="preserve">…] </w:t>
      </w:r>
      <w:r w:rsidRPr="003D6CE4">
        <w:rPr>
          <w:rFonts w:ascii="Times New Roman" w:hAnsi="Times New Roman" w:cs="Times New Roman"/>
          <w:i/>
          <w:iCs/>
        </w:rPr>
        <w:t>from whatever their starting point.</w:t>
      </w:r>
      <w:r w:rsidRPr="003D6CE4">
        <w:rPr>
          <w:rFonts w:ascii="Times New Roman" w:hAnsi="Times New Roman" w:cs="Times New Roman"/>
        </w:rPr>
        <w:t>”  This holistic approach was referred to by a number of the respondents and these views highlight the significance of capacity building in HEI, PSRBs and employers to be able to maximise the opportunities available through collaboration.</w:t>
      </w:r>
    </w:p>
    <w:p w:rsidR="00986969" w:rsidRPr="003D6CE4" w:rsidRDefault="00986969" w:rsidP="00F53638">
      <w:pPr>
        <w:pStyle w:val="Default"/>
        <w:rPr>
          <w:rFonts w:ascii="Times New Roman" w:hAnsi="Times New Roman" w:cs="Times New Roman"/>
        </w:rPr>
      </w:pPr>
    </w:p>
    <w:p w:rsidR="00986969" w:rsidRPr="003D6CE4" w:rsidRDefault="00986969" w:rsidP="00F53638">
      <w:pPr>
        <w:pStyle w:val="Default"/>
        <w:rPr>
          <w:rFonts w:ascii="Times New Roman" w:hAnsi="Times New Roman" w:cs="Times New Roman"/>
          <w:i/>
        </w:rPr>
      </w:pPr>
      <w:r w:rsidRPr="003D6CE4">
        <w:rPr>
          <w:rFonts w:ascii="Times New Roman" w:hAnsi="Times New Roman" w:cs="Times New Roman"/>
          <w:i/>
        </w:rPr>
        <w:t>Employability</w:t>
      </w:r>
    </w:p>
    <w:p w:rsidR="00986969" w:rsidRPr="003D6CE4" w:rsidRDefault="00986969" w:rsidP="00F53638">
      <w:pPr>
        <w:pStyle w:val="Default"/>
        <w:ind w:left="720"/>
        <w:rPr>
          <w:rFonts w:ascii="Times New Roman" w:hAnsi="Times New Roman" w:cs="Times New Roman"/>
        </w:rPr>
      </w:pPr>
    </w:p>
    <w:p w:rsidR="00986969" w:rsidRPr="003D6CE4" w:rsidRDefault="00986969" w:rsidP="00F53638">
      <w:pPr>
        <w:autoSpaceDE w:val="0"/>
        <w:autoSpaceDN w:val="0"/>
        <w:adjustRightInd w:val="0"/>
        <w:rPr>
          <w:rFonts w:eastAsiaTheme="minorHAnsi"/>
          <w:color w:val="000000"/>
          <w:sz w:val="24"/>
          <w:szCs w:val="24"/>
        </w:rPr>
      </w:pPr>
      <w:r w:rsidRPr="003D6CE4">
        <w:rPr>
          <w:rFonts w:eastAsiaTheme="minorHAnsi"/>
          <w:color w:val="000000"/>
          <w:sz w:val="24"/>
          <w:szCs w:val="24"/>
        </w:rPr>
        <w:t>RESP05 saw the DA as an education vehicle from which apprentices are exposed to theory and practice, thereby equipping them with the skill set to succeed as a professional in the real world. “W</w:t>
      </w:r>
      <w:r w:rsidRPr="003D6CE4">
        <w:rPr>
          <w:rFonts w:eastAsiaTheme="minorHAnsi"/>
          <w:i/>
          <w:iCs/>
          <w:color w:val="000000"/>
          <w:sz w:val="24"/>
          <w:szCs w:val="24"/>
        </w:rPr>
        <w:t xml:space="preserve">e make sure that everything is always relevant and up-to-date </w:t>
      </w:r>
      <w:r w:rsidRPr="003D6CE4">
        <w:rPr>
          <w:rFonts w:eastAsiaTheme="minorHAnsi"/>
          <w:color w:val="000000"/>
          <w:sz w:val="24"/>
          <w:szCs w:val="24"/>
        </w:rPr>
        <w:t xml:space="preserve">[…] </w:t>
      </w:r>
      <w:r w:rsidRPr="003D6CE4">
        <w:rPr>
          <w:rFonts w:eastAsiaTheme="minorHAnsi"/>
          <w:i/>
          <w:iCs/>
          <w:color w:val="000000"/>
          <w:sz w:val="24"/>
          <w:szCs w:val="24"/>
        </w:rPr>
        <w:t xml:space="preserve">giving the students, equipping them as best it </w:t>
      </w:r>
      <w:r w:rsidRPr="003D6CE4">
        <w:rPr>
          <w:rFonts w:eastAsiaTheme="minorHAnsi"/>
          <w:color w:val="000000"/>
          <w:sz w:val="24"/>
          <w:szCs w:val="24"/>
        </w:rPr>
        <w:t xml:space="preserve">[sic] </w:t>
      </w:r>
      <w:r w:rsidRPr="003D6CE4">
        <w:rPr>
          <w:rFonts w:eastAsiaTheme="minorHAnsi"/>
          <w:i/>
          <w:iCs/>
          <w:color w:val="000000"/>
          <w:sz w:val="24"/>
          <w:szCs w:val="24"/>
        </w:rPr>
        <w:t xml:space="preserve">can </w:t>
      </w:r>
      <w:r w:rsidRPr="003D6CE4">
        <w:rPr>
          <w:rFonts w:eastAsiaTheme="minorHAnsi"/>
          <w:color w:val="000000"/>
          <w:sz w:val="24"/>
          <w:szCs w:val="24"/>
        </w:rPr>
        <w:t xml:space="preserve">[…] </w:t>
      </w:r>
      <w:r w:rsidRPr="003D6CE4">
        <w:rPr>
          <w:rFonts w:eastAsiaTheme="minorHAnsi"/>
          <w:i/>
          <w:iCs/>
          <w:color w:val="000000"/>
          <w:sz w:val="24"/>
          <w:szCs w:val="24"/>
        </w:rPr>
        <w:t>to then enter the real world, and not only pass their studies, but actually be ready for their employment, and to move, progress forwards with their apprenticeships.</w:t>
      </w:r>
      <w:r w:rsidRPr="003D6CE4">
        <w:rPr>
          <w:rFonts w:eastAsiaTheme="minorHAnsi"/>
          <w:color w:val="000000"/>
          <w:sz w:val="24"/>
          <w:szCs w:val="24"/>
        </w:rPr>
        <w:t>” In addition to the benefits for employers, the benefits afforded to apprentices were highlighted by RESP04. “</w:t>
      </w:r>
      <w:r w:rsidRPr="003D6CE4">
        <w:rPr>
          <w:rFonts w:eastAsiaTheme="minorHAnsi"/>
          <w:i/>
          <w:iCs/>
          <w:color w:val="000000"/>
          <w:sz w:val="24"/>
          <w:szCs w:val="24"/>
        </w:rPr>
        <w:t xml:space="preserve">It provides an opportunity to transform higher education, particularly in implicational subjects </w:t>
      </w:r>
      <w:r w:rsidR="004B3C11">
        <w:rPr>
          <w:rFonts w:eastAsiaTheme="minorHAnsi"/>
          <w:color w:val="000000"/>
          <w:sz w:val="24"/>
          <w:szCs w:val="24"/>
        </w:rPr>
        <w:t xml:space="preserve">[…].” </w:t>
      </w:r>
      <w:r w:rsidRPr="003D6CE4">
        <w:rPr>
          <w:rFonts w:eastAsiaTheme="minorHAnsi"/>
          <w:color w:val="000000"/>
          <w:sz w:val="24"/>
          <w:szCs w:val="24"/>
        </w:rPr>
        <w:t xml:space="preserve"> Temporarily putting to one side the financial benefits of DAs, respondents discussed the opportunities and employability advantages available to apprentices and closing the theory practice gap.</w:t>
      </w:r>
    </w:p>
    <w:p w:rsidR="00986969" w:rsidRPr="003D6CE4" w:rsidRDefault="00986969" w:rsidP="00F53638">
      <w:pPr>
        <w:pStyle w:val="Default"/>
        <w:rPr>
          <w:rFonts w:ascii="Times New Roman" w:hAnsi="Times New Roman" w:cs="Times New Roman"/>
        </w:rPr>
      </w:pPr>
      <w:r w:rsidRPr="003D6CE4">
        <w:rPr>
          <w:rFonts w:ascii="Times New Roman" w:hAnsi="Times New Roman" w:cs="Times New Roman"/>
        </w:rPr>
        <w:t>Employability characteristics such as the development of self-motivated students was also significant. As an illustration, RESP06 and RESP07, remarked, “</w:t>
      </w:r>
      <w:r w:rsidRPr="003D6CE4">
        <w:rPr>
          <w:rFonts w:ascii="Times New Roman" w:hAnsi="Times New Roman" w:cs="Times New Roman"/>
          <w:i/>
          <w:iCs/>
        </w:rPr>
        <w:t xml:space="preserve">the more vocationally relevant the work that you're doing, the more likely it is that students are going to want to succeed and engage in it. It's about the </w:t>
      </w:r>
      <w:r w:rsidRPr="003D6CE4">
        <w:rPr>
          <w:rFonts w:ascii="Times New Roman" w:hAnsi="Times New Roman" w:cs="Times New Roman"/>
        </w:rPr>
        <w:t xml:space="preserve">[apprentice’s] </w:t>
      </w:r>
      <w:r w:rsidRPr="003D6CE4">
        <w:rPr>
          <w:rFonts w:ascii="Times New Roman" w:hAnsi="Times New Roman" w:cs="Times New Roman"/>
          <w:i/>
          <w:iCs/>
        </w:rPr>
        <w:t>e</w:t>
      </w:r>
      <w:r w:rsidR="004B3C11">
        <w:rPr>
          <w:rFonts w:ascii="Times New Roman" w:hAnsi="Times New Roman" w:cs="Times New Roman"/>
          <w:i/>
          <w:iCs/>
        </w:rPr>
        <w:t>ngagement at the end of the day.</w:t>
      </w:r>
      <w:r w:rsidRPr="003D6CE4">
        <w:rPr>
          <w:rFonts w:ascii="Times New Roman" w:hAnsi="Times New Roman" w:cs="Times New Roman"/>
        </w:rPr>
        <w:t>” while RESP02, academic, pointed out, “</w:t>
      </w:r>
      <w:r w:rsidRPr="003D6CE4">
        <w:rPr>
          <w:rFonts w:ascii="Times New Roman" w:hAnsi="Times New Roman" w:cs="Times New Roman"/>
          <w:i/>
          <w:iCs/>
        </w:rPr>
        <w:t xml:space="preserve">I am hoping the students will be much better motivated to go on to get their professional status </w:t>
      </w:r>
      <w:r w:rsidRPr="003D6CE4">
        <w:rPr>
          <w:rFonts w:ascii="Times New Roman" w:hAnsi="Times New Roman" w:cs="Times New Roman"/>
        </w:rPr>
        <w:t xml:space="preserve">[…] </w:t>
      </w:r>
      <w:r w:rsidRPr="003D6CE4">
        <w:rPr>
          <w:rFonts w:ascii="Times New Roman" w:hAnsi="Times New Roman" w:cs="Times New Roman"/>
          <w:i/>
          <w:iCs/>
        </w:rPr>
        <w:t>The companies might gain by their employees looking further into the distance.</w:t>
      </w:r>
      <w:r w:rsidRPr="003D6CE4">
        <w:rPr>
          <w:rFonts w:ascii="Times New Roman" w:hAnsi="Times New Roman" w:cs="Times New Roman"/>
        </w:rPr>
        <w:t xml:space="preserve">” It is evident that several interviewees recognized DAs motivate apprentices to engage in the educational and professional practice-based ethos of the programme. The frequent workplace visits and active dialogue between the stakeholders facilitated this and maximised the opportunity of aligning the work-based learning and the classroom where previous forms of part-time programme delivery had struggled.  </w:t>
      </w:r>
    </w:p>
    <w:p w:rsidR="00986969" w:rsidRPr="003D6CE4" w:rsidRDefault="00986969" w:rsidP="00F53638">
      <w:pPr>
        <w:pStyle w:val="Default"/>
        <w:rPr>
          <w:rFonts w:ascii="Times New Roman" w:hAnsi="Times New Roman" w:cs="Times New Roman"/>
        </w:rPr>
      </w:pPr>
    </w:p>
    <w:p w:rsidR="00986969" w:rsidRPr="003D6CE4" w:rsidRDefault="00986969" w:rsidP="00F53638">
      <w:pPr>
        <w:pStyle w:val="Default"/>
        <w:rPr>
          <w:rFonts w:ascii="Times New Roman" w:hAnsi="Times New Roman" w:cs="Times New Roman"/>
          <w:color w:val="auto"/>
        </w:rPr>
      </w:pPr>
      <w:r w:rsidRPr="003D6CE4">
        <w:rPr>
          <w:rFonts w:ascii="Times New Roman" w:hAnsi="Times New Roman" w:cs="Times New Roman"/>
        </w:rPr>
        <w:t xml:space="preserve">This signifies new ways of working with an enhanced experiential journey but nonetheless expanding service provision and input for HEI and employers.  </w:t>
      </w:r>
    </w:p>
    <w:p w:rsidR="00986969" w:rsidRPr="003D6CE4" w:rsidRDefault="00986969" w:rsidP="00F53638">
      <w:pPr>
        <w:pStyle w:val="Default"/>
        <w:rPr>
          <w:rFonts w:ascii="Times New Roman" w:hAnsi="Times New Roman" w:cs="Times New Roman"/>
        </w:rPr>
      </w:pPr>
    </w:p>
    <w:p w:rsidR="00986969" w:rsidRPr="003D6CE4" w:rsidRDefault="00986969" w:rsidP="00F53638">
      <w:pPr>
        <w:pStyle w:val="Default"/>
        <w:rPr>
          <w:rFonts w:ascii="Times New Roman" w:hAnsi="Times New Roman" w:cs="Times New Roman"/>
          <w:i/>
        </w:rPr>
      </w:pPr>
      <w:r w:rsidRPr="003D6CE4">
        <w:rPr>
          <w:rFonts w:ascii="Times New Roman" w:hAnsi="Times New Roman" w:cs="Times New Roman"/>
          <w:i/>
        </w:rPr>
        <w:t>Finance</w:t>
      </w:r>
    </w:p>
    <w:p w:rsidR="00986969" w:rsidRPr="003D6CE4" w:rsidRDefault="00986969" w:rsidP="00F53638">
      <w:pPr>
        <w:pStyle w:val="Default"/>
        <w:ind w:left="720"/>
        <w:rPr>
          <w:rFonts w:ascii="Times New Roman" w:hAnsi="Times New Roman" w:cs="Times New Roman"/>
        </w:rPr>
      </w:pPr>
    </w:p>
    <w:p w:rsidR="00986969" w:rsidRPr="003D6CE4" w:rsidRDefault="00986969" w:rsidP="00F53638">
      <w:pPr>
        <w:pStyle w:val="Default"/>
        <w:rPr>
          <w:rFonts w:ascii="Times New Roman" w:hAnsi="Times New Roman" w:cs="Times New Roman"/>
        </w:rPr>
      </w:pPr>
      <w:r w:rsidRPr="003D6CE4">
        <w:rPr>
          <w:rFonts w:ascii="Times New Roman" w:hAnsi="Times New Roman" w:cs="Times New Roman"/>
        </w:rPr>
        <w:t xml:space="preserve">A small number of respondents talked about the benefits and opportunities for students associated with finance, professional membership, and informed career pathways to promote </w:t>
      </w:r>
      <w:r w:rsidRPr="003D6CE4">
        <w:rPr>
          <w:rFonts w:ascii="Times New Roman" w:hAnsi="Times New Roman" w:cs="Times New Roman"/>
        </w:rPr>
        <w:lastRenderedPageBreak/>
        <w:t>retention. Focusing, firstly, on cost savings for the students RESP01 said, “</w:t>
      </w:r>
      <w:proofErr w:type="gramStart"/>
      <w:r w:rsidRPr="003D6CE4">
        <w:rPr>
          <w:rFonts w:ascii="Times New Roman" w:hAnsi="Times New Roman" w:cs="Times New Roman"/>
          <w:i/>
          <w:iCs/>
        </w:rPr>
        <w:t>lots</w:t>
      </w:r>
      <w:proofErr w:type="gramEnd"/>
      <w:r w:rsidRPr="003D6CE4">
        <w:rPr>
          <w:rFonts w:ascii="Times New Roman" w:hAnsi="Times New Roman" w:cs="Times New Roman"/>
          <w:i/>
          <w:iCs/>
        </w:rPr>
        <w:t xml:space="preserve"> of applicants came along </w:t>
      </w:r>
      <w:r w:rsidRPr="003D6CE4">
        <w:rPr>
          <w:rFonts w:ascii="Times New Roman" w:hAnsi="Times New Roman" w:cs="Times New Roman"/>
        </w:rPr>
        <w:t xml:space="preserve">[to our open-day presentation] </w:t>
      </w:r>
      <w:r w:rsidRPr="003D6CE4">
        <w:rPr>
          <w:rFonts w:ascii="Times New Roman" w:hAnsi="Times New Roman" w:cs="Times New Roman"/>
          <w:i/>
          <w:iCs/>
        </w:rPr>
        <w:t>and their parents particularly said</w:t>
      </w:r>
      <w:r w:rsidR="004B3C11">
        <w:rPr>
          <w:rFonts w:ascii="Times New Roman" w:hAnsi="Times New Roman" w:cs="Times New Roman"/>
          <w:i/>
          <w:iCs/>
        </w:rPr>
        <w:t>, ‘Why should we pay £27,000+?”</w:t>
      </w:r>
      <w:r w:rsidRPr="003D6CE4">
        <w:rPr>
          <w:rFonts w:ascii="Times New Roman" w:hAnsi="Times New Roman" w:cs="Times New Roman"/>
          <w:i/>
          <w:iCs/>
        </w:rPr>
        <w:t xml:space="preserve">  </w:t>
      </w:r>
      <w:r w:rsidRPr="003D6CE4">
        <w:rPr>
          <w:rFonts w:ascii="Times New Roman" w:hAnsi="Times New Roman" w:cs="Times New Roman"/>
          <w:iCs/>
        </w:rPr>
        <w:t>When a direct comparison is made with the cost of a DA programme with no charge to the student and a full time sandwich programme, which costs £27,000, it is clear that financially the DA is a more favourable option.</w:t>
      </w:r>
      <w:r w:rsidRPr="003D6CE4">
        <w:rPr>
          <w:rFonts w:ascii="Times New Roman" w:hAnsi="Times New Roman" w:cs="Times New Roman"/>
        </w:rPr>
        <w:t xml:space="preserve"> Against this background, RESP06, an academic, simplified this advantage by saying, “</w:t>
      </w:r>
      <w:r w:rsidRPr="003D6CE4">
        <w:rPr>
          <w:rFonts w:ascii="Times New Roman" w:hAnsi="Times New Roman" w:cs="Times New Roman"/>
          <w:i/>
          <w:iCs/>
        </w:rPr>
        <w:t>students don't come out with half a hundred grand's worth of debt</w:t>
      </w:r>
      <w:r w:rsidRPr="003D6CE4">
        <w:rPr>
          <w:rFonts w:ascii="Times New Roman" w:hAnsi="Times New Roman" w:cs="Times New Roman"/>
        </w:rPr>
        <w:t>”; while RESP08, also an academic, focused on the additional benefits. “</w:t>
      </w:r>
      <w:r w:rsidRPr="003D6CE4">
        <w:rPr>
          <w:rFonts w:ascii="Times New Roman" w:hAnsi="Times New Roman" w:cs="Times New Roman"/>
          <w:i/>
          <w:iCs/>
        </w:rPr>
        <w:t>We already have the kind of student who’s more vocationally inclined and perhaps couldn’t afford university.</w:t>
      </w:r>
      <w:r w:rsidRPr="003D6CE4">
        <w:rPr>
          <w:rFonts w:ascii="Times New Roman" w:hAnsi="Times New Roman" w:cs="Times New Roman"/>
        </w:rPr>
        <w:t>” This opinion was expanded on by RESP03 with a faculty-based administrative, business development role, who connected the cost-saving benefits of DAs with the apprentice’s ability to receive a Bachelor’s degree, gain a professionally-recognised qualification, and have the necessary work-related experience demanded of a specific role. “</w:t>
      </w:r>
      <w:r w:rsidRPr="003D6CE4">
        <w:rPr>
          <w:rFonts w:ascii="Times New Roman" w:hAnsi="Times New Roman" w:cs="Times New Roman"/>
          <w:i/>
          <w:iCs/>
        </w:rPr>
        <w:t xml:space="preserve">For those people who don't want to come out with a huge amount of debt, it's a no-brainer really, isn't it!? You're trained for a job, you've got a professional qualification, you'll have your degree, </w:t>
      </w:r>
      <w:r w:rsidRPr="003D6CE4">
        <w:rPr>
          <w:rFonts w:ascii="Times New Roman" w:hAnsi="Times New Roman" w:cs="Times New Roman"/>
        </w:rPr>
        <w:t xml:space="preserve">[and] </w:t>
      </w:r>
      <w:r w:rsidRPr="003D6CE4">
        <w:rPr>
          <w:rFonts w:ascii="Times New Roman" w:hAnsi="Times New Roman" w:cs="Times New Roman"/>
          <w:i/>
          <w:iCs/>
        </w:rPr>
        <w:t>you're work-ready</w:t>
      </w:r>
      <w:r w:rsidRPr="003D6CE4">
        <w:rPr>
          <w:rFonts w:ascii="Times New Roman" w:hAnsi="Times New Roman" w:cs="Times New Roman"/>
        </w:rPr>
        <w:t xml:space="preserve">.” </w:t>
      </w:r>
    </w:p>
    <w:p w:rsidR="00986969" w:rsidRPr="003D6CE4" w:rsidRDefault="00986969" w:rsidP="00F53638">
      <w:pPr>
        <w:pStyle w:val="Default"/>
        <w:rPr>
          <w:rFonts w:ascii="Times New Roman" w:hAnsi="Times New Roman" w:cs="Times New Roman"/>
        </w:rPr>
      </w:pPr>
    </w:p>
    <w:p w:rsidR="00986969" w:rsidRPr="003D6CE4" w:rsidRDefault="00986969" w:rsidP="00F53638">
      <w:pPr>
        <w:pStyle w:val="Default"/>
        <w:rPr>
          <w:rFonts w:ascii="Times New Roman" w:hAnsi="Times New Roman" w:cs="Times New Roman"/>
        </w:rPr>
      </w:pPr>
      <w:r w:rsidRPr="003D6CE4">
        <w:rPr>
          <w:rFonts w:ascii="Times New Roman" w:hAnsi="Times New Roman" w:cs="Times New Roman"/>
        </w:rPr>
        <w:t>The DA removes the barrier of tuition fee loans for students previously deterred by the threat of burdensome debt, widening accessibility and inclusivity for students.</w:t>
      </w:r>
    </w:p>
    <w:p w:rsidR="00986969" w:rsidRPr="003D6CE4" w:rsidRDefault="00986969" w:rsidP="00F53638">
      <w:pPr>
        <w:pStyle w:val="Default"/>
        <w:rPr>
          <w:rFonts w:ascii="Times New Roman" w:hAnsi="Times New Roman" w:cs="Times New Roman"/>
        </w:rPr>
      </w:pPr>
    </w:p>
    <w:p w:rsidR="00986969" w:rsidRPr="003D6CE4" w:rsidRDefault="00986969" w:rsidP="00F53638">
      <w:pPr>
        <w:pStyle w:val="Default"/>
        <w:rPr>
          <w:rFonts w:ascii="Times New Roman" w:hAnsi="Times New Roman" w:cs="Times New Roman"/>
          <w:b/>
          <w:bCs/>
          <w:iCs/>
          <w:color w:val="auto"/>
        </w:rPr>
      </w:pPr>
      <w:r w:rsidRPr="003D6CE4">
        <w:rPr>
          <w:rFonts w:ascii="Times New Roman" w:hAnsi="Times New Roman" w:cs="Times New Roman"/>
          <w:b/>
          <w:bCs/>
          <w:iCs/>
          <w:color w:val="auto"/>
        </w:rPr>
        <w:t>Barriers</w:t>
      </w:r>
    </w:p>
    <w:p w:rsidR="00986969" w:rsidRPr="003D6CE4" w:rsidRDefault="00986969" w:rsidP="00F53638">
      <w:pPr>
        <w:pStyle w:val="Default"/>
        <w:rPr>
          <w:rFonts w:ascii="Times New Roman" w:hAnsi="Times New Roman" w:cs="Times New Roman"/>
          <w:b/>
          <w:bCs/>
          <w:iCs/>
          <w:color w:val="auto"/>
        </w:rPr>
      </w:pPr>
    </w:p>
    <w:p w:rsidR="00986969" w:rsidRPr="003D6CE4" w:rsidRDefault="00986969" w:rsidP="00F53638">
      <w:pPr>
        <w:pStyle w:val="Default"/>
        <w:rPr>
          <w:rFonts w:ascii="Times New Roman" w:hAnsi="Times New Roman" w:cs="Times New Roman"/>
          <w:color w:val="auto"/>
        </w:rPr>
      </w:pPr>
      <w:r w:rsidRPr="003D6CE4">
        <w:rPr>
          <w:rFonts w:ascii="Times New Roman" w:hAnsi="Times New Roman" w:cs="Times New Roman"/>
          <w:color w:val="auto"/>
        </w:rPr>
        <w:t xml:space="preserve">Bringing together culturally different sectors to co-design and co-deliver new educational programmes is not without barriers and </w:t>
      </w:r>
      <w:r w:rsidR="007B3B52">
        <w:rPr>
          <w:rFonts w:ascii="Times New Roman" w:hAnsi="Times New Roman" w:cs="Times New Roman"/>
          <w:color w:val="auto"/>
        </w:rPr>
        <w:t>challe</w:t>
      </w:r>
      <w:r w:rsidR="004B3C11">
        <w:rPr>
          <w:rFonts w:ascii="Times New Roman" w:hAnsi="Times New Roman" w:cs="Times New Roman"/>
          <w:color w:val="auto"/>
        </w:rPr>
        <w:t>n</w:t>
      </w:r>
      <w:r w:rsidR="007B3B52">
        <w:rPr>
          <w:rFonts w:ascii="Times New Roman" w:hAnsi="Times New Roman" w:cs="Times New Roman"/>
          <w:color w:val="auto"/>
        </w:rPr>
        <w:t>ges</w:t>
      </w:r>
      <w:r w:rsidRPr="003D6CE4">
        <w:rPr>
          <w:rFonts w:ascii="Times New Roman" w:hAnsi="Times New Roman" w:cs="Times New Roman"/>
          <w:color w:val="auto"/>
        </w:rPr>
        <w:t>.   The integration of different organisational structures and cultures and the implementation of new systems and procedures is made challenging due the gaps in understating and the ongoing formation of the apprenticeship system.</w:t>
      </w:r>
    </w:p>
    <w:p w:rsidR="00986969" w:rsidRPr="003D6CE4" w:rsidRDefault="00986969" w:rsidP="00F53638">
      <w:pPr>
        <w:pStyle w:val="Default"/>
        <w:rPr>
          <w:rFonts w:ascii="Times New Roman" w:hAnsi="Times New Roman" w:cs="Times New Roman"/>
          <w:color w:val="auto"/>
        </w:rPr>
      </w:pPr>
    </w:p>
    <w:p w:rsidR="00986969" w:rsidRPr="003D6CE4" w:rsidRDefault="00986969" w:rsidP="00F53638">
      <w:pPr>
        <w:pStyle w:val="Default"/>
        <w:rPr>
          <w:rFonts w:ascii="Times New Roman" w:hAnsi="Times New Roman" w:cs="Times New Roman"/>
          <w:b/>
          <w:i/>
          <w:color w:val="auto"/>
        </w:rPr>
      </w:pPr>
      <w:r w:rsidRPr="003D6CE4">
        <w:rPr>
          <w:rFonts w:ascii="Times New Roman" w:hAnsi="Times New Roman" w:cs="Times New Roman"/>
          <w:b/>
          <w:i/>
          <w:color w:val="auto"/>
        </w:rPr>
        <w:t>Organisational Systems and Cultures</w:t>
      </w:r>
    </w:p>
    <w:p w:rsidR="00986969" w:rsidRPr="003D6CE4" w:rsidRDefault="00986969" w:rsidP="00F53638">
      <w:pPr>
        <w:pStyle w:val="Default"/>
        <w:ind w:left="720"/>
        <w:rPr>
          <w:rFonts w:ascii="Times New Roman" w:hAnsi="Times New Roman" w:cs="Times New Roman"/>
          <w:color w:val="auto"/>
        </w:rPr>
      </w:pPr>
    </w:p>
    <w:p w:rsidR="00986969" w:rsidRPr="003D6CE4" w:rsidRDefault="00986969" w:rsidP="00F53638">
      <w:pPr>
        <w:pStyle w:val="Default"/>
        <w:rPr>
          <w:rFonts w:ascii="Times New Roman" w:hAnsi="Times New Roman" w:cs="Times New Roman"/>
        </w:rPr>
      </w:pPr>
      <w:r w:rsidRPr="003D6CE4">
        <w:rPr>
          <w:rFonts w:ascii="Times New Roman" w:hAnsi="Times New Roman" w:cs="Times New Roman"/>
          <w:color w:val="auto"/>
        </w:rPr>
        <w:t>RESP04, employed by a privately funded HEI, felt their strong historical position in the commercial marketplace gave them an advantage over government funded HEIs. “</w:t>
      </w:r>
      <w:r w:rsidRPr="003D6CE4">
        <w:rPr>
          <w:rFonts w:ascii="Times New Roman" w:hAnsi="Times New Roman" w:cs="Times New Roman"/>
          <w:i/>
          <w:iCs/>
          <w:color w:val="auto"/>
        </w:rPr>
        <w:t>I think we face fewer barriers than other institutions. Some</w:t>
      </w:r>
      <w:r w:rsidRPr="003D6CE4">
        <w:rPr>
          <w:rFonts w:ascii="Times New Roman" w:hAnsi="Times New Roman" w:cs="Times New Roman"/>
          <w:i/>
          <w:iCs/>
        </w:rPr>
        <w:t xml:space="preserve"> </w:t>
      </w:r>
      <w:r w:rsidRPr="003D6CE4">
        <w:rPr>
          <w:rFonts w:ascii="Times New Roman" w:hAnsi="Times New Roman" w:cs="Times New Roman"/>
          <w:i/>
        </w:rPr>
        <w:t xml:space="preserve">[…] </w:t>
      </w:r>
      <w:r w:rsidRPr="003D6CE4">
        <w:rPr>
          <w:rFonts w:ascii="Times New Roman" w:hAnsi="Times New Roman" w:cs="Times New Roman"/>
          <w:i/>
          <w:iCs/>
          <w:color w:val="auto"/>
        </w:rPr>
        <w:t xml:space="preserve">universities were asking themselves </w:t>
      </w:r>
      <w:r w:rsidRPr="003D6CE4">
        <w:rPr>
          <w:rFonts w:ascii="Times New Roman" w:hAnsi="Times New Roman" w:cs="Times New Roman"/>
          <w:i/>
          <w:iCs/>
        </w:rPr>
        <w:t>[</w:t>
      </w:r>
      <w:r w:rsidRPr="003D6CE4">
        <w:rPr>
          <w:rFonts w:ascii="Times New Roman" w:hAnsi="Times New Roman" w:cs="Times New Roman"/>
          <w:i/>
        </w:rPr>
        <w:t xml:space="preserve">…] </w:t>
      </w:r>
      <w:r w:rsidRPr="003D6CE4">
        <w:rPr>
          <w:rFonts w:ascii="Times New Roman" w:hAnsi="Times New Roman" w:cs="Times New Roman"/>
          <w:i/>
          <w:iCs/>
          <w:color w:val="auto"/>
        </w:rPr>
        <w:t>is this right for us; what do we need to put in place to deliver this? I felt like we didn’t need to answer</w:t>
      </w:r>
      <w:r w:rsidRPr="003D6CE4">
        <w:rPr>
          <w:rFonts w:ascii="Times New Roman" w:hAnsi="Times New Roman" w:cs="Times New Roman"/>
          <w:i/>
          <w:iCs/>
        </w:rPr>
        <w:t xml:space="preserve"> </w:t>
      </w:r>
      <w:r w:rsidRPr="003D6CE4">
        <w:rPr>
          <w:rFonts w:ascii="Times New Roman" w:hAnsi="Times New Roman" w:cs="Times New Roman"/>
          <w:i/>
        </w:rPr>
        <w:t xml:space="preserve">[…] </w:t>
      </w:r>
      <w:r w:rsidRPr="003D6CE4">
        <w:rPr>
          <w:rFonts w:ascii="Times New Roman" w:hAnsi="Times New Roman" w:cs="Times New Roman"/>
          <w:i/>
          <w:iCs/>
          <w:color w:val="auto"/>
        </w:rPr>
        <w:t>it’s so well aligned to our mission and our ways of working that we've already decided that this is for us.</w:t>
      </w:r>
      <w:r w:rsidR="004B3C11">
        <w:rPr>
          <w:rFonts w:ascii="Times New Roman" w:hAnsi="Times New Roman" w:cs="Times New Roman"/>
          <w:color w:val="auto"/>
        </w:rPr>
        <w:t xml:space="preserve">”  </w:t>
      </w:r>
      <w:r w:rsidRPr="003D6CE4">
        <w:rPr>
          <w:rFonts w:ascii="Times New Roman" w:hAnsi="Times New Roman" w:cs="Times New Roman"/>
          <w:color w:val="auto"/>
        </w:rPr>
        <w:t xml:space="preserve">They </w:t>
      </w:r>
      <w:r w:rsidRPr="003D6CE4">
        <w:rPr>
          <w:rFonts w:ascii="Times New Roman" w:hAnsi="Times New Roman" w:cs="Times New Roman"/>
        </w:rPr>
        <w:t>suggested HEIs should rise to the challenges posed by DAs and overcome the barriers they encounter. “</w:t>
      </w:r>
      <w:r w:rsidRPr="003D6CE4">
        <w:rPr>
          <w:rFonts w:ascii="Times New Roman" w:hAnsi="Times New Roman" w:cs="Times New Roman"/>
          <w:i/>
          <w:iCs/>
        </w:rPr>
        <w:t xml:space="preserve">I think that is one area where the HEIs have got to be brave </w:t>
      </w:r>
      <w:r w:rsidRPr="003D6CE4">
        <w:rPr>
          <w:rFonts w:ascii="Times New Roman" w:hAnsi="Times New Roman" w:cs="Times New Roman"/>
          <w:i/>
        </w:rPr>
        <w:t xml:space="preserve">[…] </w:t>
      </w:r>
      <w:r w:rsidRPr="003D6CE4">
        <w:rPr>
          <w:rFonts w:ascii="Times New Roman" w:hAnsi="Times New Roman" w:cs="Times New Roman"/>
          <w:i/>
          <w:iCs/>
        </w:rPr>
        <w:t xml:space="preserve">remove potential layers of snobbery that might exist in some HEIs of the Further Education </w:t>
      </w:r>
      <w:r w:rsidRPr="003D6CE4">
        <w:rPr>
          <w:rFonts w:ascii="Times New Roman" w:hAnsi="Times New Roman" w:cs="Times New Roman"/>
        </w:rPr>
        <w:t xml:space="preserve">[FE] </w:t>
      </w:r>
      <w:r w:rsidRPr="003D6CE4">
        <w:rPr>
          <w:rFonts w:ascii="Times New Roman" w:hAnsi="Times New Roman" w:cs="Times New Roman"/>
          <w:i/>
          <w:iCs/>
        </w:rPr>
        <w:t>system and recognise the really good practice that's there for apprenticeships. So instead of trying to reinvent the wheel around degree apprenticeships, look at the good practice that is in their local FE College.</w:t>
      </w:r>
      <w:r w:rsidRPr="003D6CE4">
        <w:rPr>
          <w:rFonts w:ascii="Times New Roman" w:hAnsi="Times New Roman" w:cs="Times New Roman"/>
        </w:rPr>
        <w:t>” This opinion was reflected by significant sample of respondents and highlighted the urgency for traditional HEIs to respond with a commercial outlook in order to integrate effectively with employers.  Something which is alien to traditional HEI’s.</w:t>
      </w:r>
    </w:p>
    <w:p w:rsidR="00986969" w:rsidRPr="007B3B52" w:rsidRDefault="00986969" w:rsidP="00F53638">
      <w:pPr>
        <w:pStyle w:val="Default"/>
        <w:rPr>
          <w:rFonts w:ascii="Times New Roman" w:hAnsi="Times New Roman" w:cs="Times New Roman"/>
          <w:b/>
          <w:color w:val="auto"/>
        </w:rPr>
      </w:pPr>
    </w:p>
    <w:p w:rsidR="00986969" w:rsidRPr="007B3B52" w:rsidRDefault="00986969" w:rsidP="00F53638">
      <w:pPr>
        <w:pStyle w:val="Default"/>
        <w:rPr>
          <w:rFonts w:ascii="Times New Roman" w:hAnsi="Times New Roman" w:cs="Times New Roman"/>
          <w:b/>
          <w:i/>
          <w:color w:val="auto"/>
        </w:rPr>
      </w:pPr>
      <w:r w:rsidRPr="007B3B52">
        <w:rPr>
          <w:rFonts w:ascii="Times New Roman" w:hAnsi="Times New Roman" w:cs="Times New Roman"/>
          <w:b/>
          <w:i/>
          <w:color w:val="auto"/>
        </w:rPr>
        <w:t>Gaps in Understanding</w:t>
      </w:r>
    </w:p>
    <w:p w:rsidR="00986969" w:rsidRPr="003D6CE4" w:rsidRDefault="00986969" w:rsidP="00F53638">
      <w:pPr>
        <w:pStyle w:val="Default"/>
        <w:ind w:left="720"/>
        <w:rPr>
          <w:rFonts w:ascii="Times New Roman" w:hAnsi="Times New Roman" w:cs="Times New Roman"/>
          <w:color w:val="auto"/>
        </w:rPr>
      </w:pPr>
    </w:p>
    <w:p w:rsidR="00986969" w:rsidRPr="003D6CE4" w:rsidRDefault="00986969" w:rsidP="00F53638">
      <w:pPr>
        <w:autoSpaceDE w:val="0"/>
        <w:autoSpaceDN w:val="0"/>
        <w:adjustRightInd w:val="0"/>
        <w:rPr>
          <w:sz w:val="24"/>
          <w:szCs w:val="24"/>
        </w:rPr>
      </w:pPr>
      <w:r w:rsidRPr="003D6CE4">
        <w:rPr>
          <w:sz w:val="24"/>
          <w:szCs w:val="24"/>
        </w:rPr>
        <w:t>Participants expressed similar points of view regarding the barriers encountered by HEIs, employers and students associated with their understanding of DAs. RESP02 explained, “</w:t>
      </w:r>
      <w:r w:rsidRPr="003D6CE4">
        <w:rPr>
          <w:i/>
          <w:iCs/>
          <w:sz w:val="24"/>
          <w:szCs w:val="24"/>
        </w:rPr>
        <w:t>I think there are still huge gaps in understanding.</w:t>
      </w:r>
      <w:r w:rsidRPr="003D6CE4">
        <w:rPr>
          <w:sz w:val="24"/>
          <w:szCs w:val="24"/>
        </w:rPr>
        <w:t>”</w:t>
      </w:r>
    </w:p>
    <w:p w:rsidR="00986969" w:rsidRPr="003D6CE4" w:rsidRDefault="00986969" w:rsidP="00F53638">
      <w:pPr>
        <w:autoSpaceDE w:val="0"/>
        <w:autoSpaceDN w:val="0"/>
        <w:adjustRightInd w:val="0"/>
        <w:rPr>
          <w:sz w:val="24"/>
          <w:szCs w:val="24"/>
        </w:rPr>
      </w:pPr>
    </w:p>
    <w:p w:rsidR="00986969" w:rsidRPr="003D6CE4" w:rsidRDefault="00986969" w:rsidP="00F53638">
      <w:pPr>
        <w:autoSpaceDE w:val="0"/>
        <w:autoSpaceDN w:val="0"/>
        <w:adjustRightInd w:val="0"/>
        <w:rPr>
          <w:iCs/>
          <w:sz w:val="24"/>
          <w:szCs w:val="24"/>
        </w:rPr>
      </w:pPr>
      <w:r w:rsidRPr="003D6CE4">
        <w:rPr>
          <w:sz w:val="24"/>
          <w:szCs w:val="24"/>
        </w:rPr>
        <w:t xml:space="preserve">This situation is counterproductive to the Government’s sponsorship of the Richard Review of Apprenticeships and the recommendations outlined in the report.  The apparent lack of </w:t>
      </w:r>
      <w:r w:rsidRPr="003D6CE4">
        <w:rPr>
          <w:sz w:val="24"/>
          <w:szCs w:val="24"/>
        </w:rPr>
        <w:lastRenderedPageBreak/>
        <w:t>understanding about DAs particularly by non-levy paying companies and the intervening steps taken by HEIs to help overcome the resultant problems was shared by RESP02. “</w:t>
      </w:r>
      <w:r w:rsidRPr="003D6CE4">
        <w:rPr>
          <w:i/>
          <w:iCs/>
          <w:sz w:val="24"/>
          <w:szCs w:val="24"/>
        </w:rPr>
        <w:t>They haven’t got a clue. We tell them very, very simple stuff.</w:t>
      </w:r>
      <w:r w:rsidRPr="003D6CE4">
        <w:rPr>
          <w:i/>
          <w:sz w:val="24"/>
          <w:szCs w:val="24"/>
        </w:rPr>
        <w:t>”</w:t>
      </w:r>
      <w:r w:rsidRPr="003D6CE4">
        <w:rPr>
          <w:sz w:val="24"/>
          <w:szCs w:val="24"/>
        </w:rPr>
        <w:t xml:space="preserve">   In half of the respondents the difficulty of attracting students onto the DAs was referred too.  RESP07, who explained, “</w:t>
      </w:r>
      <w:r w:rsidRPr="003D6CE4">
        <w:rPr>
          <w:i/>
          <w:iCs/>
          <w:sz w:val="24"/>
          <w:szCs w:val="24"/>
        </w:rPr>
        <w:t>until there's a way of literally lining up a whole line of people that might want to do an apprentice</w:t>
      </w:r>
      <w:r w:rsidRPr="003D6CE4">
        <w:rPr>
          <w:sz w:val="24"/>
          <w:szCs w:val="24"/>
        </w:rPr>
        <w:t xml:space="preserve"> [ship], </w:t>
      </w:r>
      <w:r w:rsidRPr="003D6CE4">
        <w:rPr>
          <w:i/>
          <w:iCs/>
          <w:sz w:val="24"/>
          <w:szCs w:val="24"/>
        </w:rPr>
        <w:t>it's going to be very challenging.</w:t>
      </w:r>
      <w:r w:rsidRPr="003D6CE4">
        <w:rPr>
          <w:sz w:val="24"/>
          <w:szCs w:val="24"/>
        </w:rPr>
        <w:t xml:space="preserve">” The DAs will not be appropriate for all HEI applicants, RESP03 recounted an experience during an open-day presentation acknowledging that there were still students who wanted the </w:t>
      </w:r>
      <w:r w:rsidRPr="003D6CE4">
        <w:rPr>
          <w:i/>
          <w:iCs/>
          <w:sz w:val="24"/>
          <w:szCs w:val="24"/>
        </w:rPr>
        <w:t xml:space="preserve">university experience </w:t>
      </w:r>
      <w:r w:rsidRPr="003D6CE4">
        <w:rPr>
          <w:sz w:val="24"/>
          <w:szCs w:val="24"/>
        </w:rPr>
        <w:t>of a full-time student. “</w:t>
      </w:r>
      <w:r w:rsidRPr="003D6CE4">
        <w:rPr>
          <w:i/>
          <w:iCs/>
          <w:sz w:val="24"/>
          <w:szCs w:val="24"/>
        </w:rPr>
        <w:t>Yes, we know we're going to come out with all this debt and we know this, but actually we want to have a full-time s</w:t>
      </w:r>
      <w:r w:rsidR="004B3C11">
        <w:rPr>
          <w:i/>
          <w:iCs/>
          <w:sz w:val="24"/>
          <w:szCs w:val="24"/>
        </w:rPr>
        <w:t>tudent experience at university.”</w:t>
      </w:r>
      <w:r w:rsidRPr="003D6CE4">
        <w:rPr>
          <w:i/>
          <w:iCs/>
          <w:sz w:val="24"/>
          <w:szCs w:val="24"/>
        </w:rPr>
        <w:t xml:space="preserve">  </w:t>
      </w:r>
      <w:r w:rsidRPr="003D6CE4">
        <w:rPr>
          <w:iCs/>
          <w:sz w:val="24"/>
          <w:szCs w:val="24"/>
        </w:rPr>
        <w:t>Until the level of awareness is raised across all of the stakeholder it will remain difficult to create apprenticeship vacancies and attract the student onto the DAs.</w:t>
      </w:r>
    </w:p>
    <w:p w:rsidR="00986969" w:rsidRPr="003D6CE4" w:rsidRDefault="00986969" w:rsidP="00F53638">
      <w:pPr>
        <w:autoSpaceDE w:val="0"/>
        <w:autoSpaceDN w:val="0"/>
        <w:adjustRightInd w:val="0"/>
        <w:rPr>
          <w:iCs/>
          <w:sz w:val="24"/>
          <w:szCs w:val="24"/>
        </w:rPr>
      </w:pPr>
    </w:p>
    <w:p w:rsidR="00986969" w:rsidRPr="007B3B52" w:rsidRDefault="00986969" w:rsidP="00F53638">
      <w:pPr>
        <w:pStyle w:val="Default"/>
        <w:rPr>
          <w:rFonts w:ascii="Times New Roman" w:hAnsi="Times New Roman" w:cs="Times New Roman"/>
          <w:b/>
          <w:i/>
        </w:rPr>
      </w:pPr>
      <w:r w:rsidRPr="007B3B52">
        <w:rPr>
          <w:rFonts w:ascii="Times New Roman" w:hAnsi="Times New Roman" w:cs="Times New Roman"/>
          <w:b/>
          <w:i/>
        </w:rPr>
        <w:t>Procurement and Tendering</w:t>
      </w:r>
    </w:p>
    <w:p w:rsidR="00986969" w:rsidRPr="003D6CE4" w:rsidRDefault="00986969" w:rsidP="00F53638">
      <w:pPr>
        <w:pStyle w:val="Default"/>
        <w:ind w:left="720"/>
        <w:rPr>
          <w:rFonts w:ascii="Times New Roman" w:hAnsi="Times New Roman" w:cs="Times New Roman"/>
        </w:rPr>
      </w:pPr>
    </w:p>
    <w:p w:rsidR="00986969" w:rsidRPr="003D6CE4" w:rsidRDefault="00986969" w:rsidP="00F53638">
      <w:pPr>
        <w:pStyle w:val="Default"/>
        <w:rPr>
          <w:rFonts w:ascii="Times New Roman" w:hAnsi="Times New Roman" w:cs="Times New Roman"/>
        </w:rPr>
      </w:pPr>
      <w:r w:rsidRPr="003D6CE4">
        <w:rPr>
          <w:rFonts w:ascii="Times New Roman" w:hAnsi="Times New Roman" w:cs="Times New Roman"/>
        </w:rPr>
        <w:t>Further challenges encountered are concerned with the legal and procurement frameworks. Several respondents spoke about the public sector’s statutory requirement to adopt a best-value approach to service delivery. Interestingly, RESP04 from business development, commented, “</w:t>
      </w:r>
      <w:r w:rsidRPr="003D6CE4">
        <w:rPr>
          <w:rFonts w:ascii="Times New Roman" w:hAnsi="Times New Roman" w:cs="Times New Roman"/>
          <w:i/>
          <w:iCs/>
        </w:rPr>
        <w:t>One of the barriers that we’re seeing is the procurement barrier</w:t>
      </w:r>
      <w:r w:rsidRPr="003D6CE4">
        <w:rPr>
          <w:rFonts w:ascii="Times New Roman" w:hAnsi="Times New Roman" w:cs="Times New Roman"/>
          <w:b/>
          <w:i/>
          <w:iCs/>
        </w:rPr>
        <w:t xml:space="preserve"> </w:t>
      </w:r>
      <w:r w:rsidRPr="003D6CE4">
        <w:rPr>
          <w:rFonts w:ascii="Times New Roman" w:hAnsi="Times New Roman" w:cs="Times New Roman"/>
          <w:i/>
          <w:iCs/>
        </w:rPr>
        <w:t>that’s arisen for the public-sector.</w:t>
      </w:r>
      <w:r w:rsidRPr="003D6CE4">
        <w:rPr>
          <w:rFonts w:ascii="Times New Roman" w:hAnsi="Times New Roman" w:cs="Times New Roman"/>
        </w:rPr>
        <w:t>” While RESP07 shared the same concern, “</w:t>
      </w:r>
      <w:r w:rsidRPr="003D6CE4">
        <w:rPr>
          <w:rFonts w:ascii="Times New Roman" w:hAnsi="Times New Roman" w:cs="Times New Roman"/>
          <w:i/>
          <w:iCs/>
        </w:rPr>
        <w:t xml:space="preserve">You're already on the Register of Apprenticeship Training Providers and then, suddenly, </w:t>
      </w:r>
      <w:r w:rsidRPr="003D6CE4">
        <w:rPr>
          <w:rFonts w:ascii="Times New Roman" w:hAnsi="Times New Roman" w:cs="Times New Roman"/>
        </w:rPr>
        <w:t xml:space="preserve">[Local Authority A] </w:t>
      </w:r>
      <w:r w:rsidRPr="003D6CE4">
        <w:rPr>
          <w:rFonts w:ascii="Times New Roman" w:hAnsi="Times New Roman" w:cs="Times New Roman"/>
          <w:i/>
          <w:iCs/>
        </w:rPr>
        <w:t xml:space="preserve">want you </w:t>
      </w:r>
      <w:r w:rsidR="004B3C11">
        <w:rPr>
          <w:rFonts w:ascii="Times New Roman" w:hAnsi="Times New Roman" w:cs="Times New Roman"/>
          <w:i/>
          <w:iCs/>
        </w:rPr>
        <w:t>to go into a tendering process.”</w:t>
      </w:r>
      <w:r w:rsidRPr="003D6CE4">
        <w:rPr>
          <w:rFonts w:ascii="Times New Roman" w:hAnsi="Times New Roman" w:cs="Times New Roman"/>
          <w:i/>
          <w:iCs/>
        </w:rPr>
        <w:t xml:space="preserve">  </w:t>
      </w:r>
      <w:r w:rsidRPr="003D6CE4">
        <w:rPr>
          <w:rFonts w:ascii="Times New Roman" w:hAnsi="Times New Roman" w:cs="Times New Roman"/>
          <w:iCs/>
        </w:rPr>
        <w:t xml:space="preserve">This potentially bureaucratic hurdle was considered a central university responsibility.  Allowing the academic teams to focus on DA delivery and development.  </w:t>
      </w:r>
    </w:p>
    <w:p w:rsidR="00986969" w:rsidRPr="003D6CE4" w:rsidRDefault="00986969" w:rsidP="00F53638">
      <w:pPr>
        <w:pStyle w:val="Default"/>
        <w:rPr>
          <w:rFonts w:ascii="Times New Roman" w:hAnsi="Times New Roman" w:cs="Times New Roman"/>
        </w:rPr>
      </w:pPr>
    </w:p>
    <w:p w:rsidR="00986969" w:rsidRPr="007B3B52" w:rsidRDefault="00986969" w:rsidP="00F53638">
      <w:pPr>
        <w:pStyle w:val="Default"/>
        <w:rPr>
          <w:rFonts w:ascii="Times New Roman" w:hAnsi="Times New Roman" w:cs="Times New Roman"/>
          <w:b/>
          <w:i/>
        </w:rPr>
      </w:pPr>
      <w:r w:rsidRPr="007B3B52">
        <w:rPr>
          <w:rFonts w:ascii="Times New Roman" w:hAnsi="Times New Roman" w:cs="Times New Roman"/>
          <w:b/>
          <w:i/>
        </w:rPr>
        <w:t>Employers</w:t>
      </w:r>
    </w:p>
    <w:p w:rsidR="00986969" w:rsidRPr="003D6CE4" w:rsidRDefault="00986969" w:rsidP="00F53638">
      <w:pPr>
        <w:pStyle w:val="Default"/>
        <w:ind w:left="720"/>
        <w:rPr>
          <w:rFonts w:ascii="Times New Roman" w:hAnsi="Times New Roman" w:cs="Times New Roman"/>
        </w:rPr>
      </w:pPr>
    </w:p>
    <w:p w:rsidR="00986969" w:rsidRPr="003D6CE4" w:rsidRDefault="00986969" w:rsidP="00F53638">
      <w:pPr>
        <w:pStyle w:val="Default"/>
        <w:rPr>
          <w:rFonts w:ascii="Times New Roman" w:hAnsi="Times New Roman" w:cs="Times New Roman"/>
        </w:rPr>
      </w:pPr>
      <w:r w:rsidRPr="003D6CE4">
        <w:rPr>
          <w:rFonts w:ascii="Times New Roman" w:hAnsi="Times New Roman" w:cs="Times New Roman"/>
        </w:rPr>
        <w:t>It was reported that from the respondents’ experience employers, levy and non-levy payers, are also experiencing barriers hindering their engagement. Several respondents reported that the employers are facing problems about the quality of the work-related experience and mentoring support they are required to provide apprentices. RESP08, an academic, considered the inter-relationship between the educational pathway and workplace environment of the apprentice critical and discussed how their HEI was developing and delivering formal mentor training to support employers with their additional responsibilities. RESP07, an administrative support team member, expressed, “</w:t>
      </w:r>
      <w:r w:rsidRPr="003D6CE4">
        <w:rPr>
          <w:rFonts w:ascii="Times New Roman" w:hAnsi="Times New Roman" w:cs="Times New Roman"/>
          <w:i/>
          <w:iCs/>
        </w:rPr>
        <w:t xml:space="preserve">Some employers take on apprentices into roles that aren't suitable for the apprenticeship programme and then they don't get </w:t>
      </w:r>
      <w:r w:rsidRPr="003D6CE4">
        <w:rPr>
          <w:rFonts w:ascii="Times New Roman" w:hAnsi="Times New Roman" w:cs="Times New Roman"/>
          <w:i/>
        </w:rPr>
        <w:t xml:space="preserve">[…] </w:t>
      </w:r>
      <w:r w:rsidRPr="003D6CE4">
        <w:rPr>
          <w:rFonts w:ascii="Times New Roman" w:hAnsi="Times New Roman" w:cs="Times New Roman"/>
          <w:i/>
          <w:iCs/>
        </w:rPr>
        <w:t>sufficient experience and exposure within their normal working roles to be able to support the broader programme.</w:t>
      </w:r>
      <w:r w:rsidRPr="003D6CE4">
        <w:rPr>
          <w:rFonts w:ascii="Times New Roman" w:hAnsi="Times New Roman" w:cs="Times New Roman"/>
        </w:rPr>
        <w:t>” Concern about the employer’s responsibility to provide appropriate mentoring support, including PSRB counselling, was highlighted by RESP03, who said, “</w:t>
      </w:r>
      <w:r w:rsidRPr="003D6CE4">
        <w:rPr>
          <w:rFonts w:ascii="Times New Roman" w:hAnsi="Times New Roman" w:cs="Times New Roman"/>
          <w:i/>
          <w:iCs/>
        </w:rPr>
        <w:t>they are very worried about the amount of time that they're going to have to invest with that individual in terms of the mentoring</w:t>
      </w:r>
      <w:r w:rsidRPr="003D6CE4">
        <w:rPr>
          <w:rFonts w:ascii="Times New Roman" w:hAnsi="Times New Roman" w:cs="Times New Roman"/>
        </w:rPr>
        <w:t>.</w:t>
      </w:r>
      <w:r w:rsidR="004B3C11">
        <w:rPr>
          <w:rFonts w:ascii="Times New Roman" w:hAnsi="Times New Roman" w:cs="Times New Roman"/>
        </w:rPr>
        <w:t xml:space="preserve">” </w:t>
      </w:r>
      <w:r w:rsidRPr="003D6CE4">
        <w:rPr>
          <w:rFonts w:ascii="Times New Roman" w:hAnsi="Times New Roman" w:cs="Times New Roman"/>
        </w:rPr>
        <w:t xml:space="preserve"> Their observation, which highlighted the potential for apprentices employed by SMEs with limited opportunity to achieve the learning outcomes of the educational pathway or develop the skill set and competencies demanded by the accrediting PSRB, has far-reaching implications for the collaborative relationship between stakeholders. “</w:t>
      </w:r>
      <w:r w:rsidRPr="003D6CE4">
        <w:rPr>
          <w:rFonts w:ascii="Times New Roman" w:hAnsi="Times New Roman" w:cs="Times New Roman"/>
          <w:i/>
          <w:iCs/>
        </w:rPr>
        <w:t>Some SMEs have got quite a narrow workload, and narrow focus on the kind of work that they get involved in. So, from their perspective, it’s being able to provide the apprentice with the breadth of experience that’s required of them to be able to fully demonstrate that they’ve achieved all the professional competencies.</w:t>
      </w:r>
      <w:r w:rsidRPr="003D6CE4">
        <w:rPr>
          <w:rFonts w:ascii="Times New Roman" w:hAnsi="Times New Roman" w:cs="Times New Roman"/>
        </w:rPr>
        <w:t>” A solution was expressed by RESP08, who explained the intermediary measure taken by their HEI to establish a rotation scheme to broaden and consolidate apprentices’ experience. “W</w:t>
      </w:r>
      <w:r w:rsidRPr="003D6CE4">
        <w:rPr>
          <w:rFonts w:ascii="Times New Roman" w:hAnsi="Times New Roman" w:cs="Times New Roman"/>
          <w:i/>
          <w:iCs/>
        </w:rPr>
        <w:t xml:space="preserve">e’re looking at strategies for how </w:t>
      </w:r>
      <w:r w:rsidRPr="003D6CE4">
        <w:rPr>
          <w:rFonts w:ascii="Times New Roman" w:hAnsi="Times New Roman" w:cs="Times New Roman"/>
        </w:rPr>
        <w:t xml:space="preserve">[…] </w:t>
      </w:r>
      <w:r w:rsidRPr="003D6CE4">
        <w:rPr>
          <w:rFonts w:ascii="Times New Roman" w:hAnsi="Times New Roman" w:cs="Times New Roman"/>
          <w:i/>
          <w:iCs/>
        </w:rPr>
        <w:t>we get apprentices to swap employer, so they can have a different experience.</w:t>
      </w:r>
      <w:r w:rsidRPr="003D6CE4">
        <w:rPr>
          <w:rFonts w:ascii="Times New Roman" w:hAnsi="Times New Roman" w:cs="Times New Roman"/>
        </w:rPr>
        <w:t xml:space="preserve">”  Strategies like these are essentially at the route of the </w:t>
      </w:r>
      <w:r w:rsidRPr="003D6CE4">
        <w:rPr>
          <w:rFonts w:ascii="Times New Roman" w:hAnsi="Times New Roman" w:cs="Times New Roman"/>
        </w:rPr>
        <w:lastRenderedPageBreak/>
        <w:t>recommendations of the Richard Review.  This delivers impact on the development of effective work based learning strategies which celebrate the learning in the HEI and on-the-job.</w:t>
      </w:r>
    </w:p>
    <w:p w:rsidR="00986969" w:rsidRPr="003D6CE4" w:rsidRDefault="00986969" w:rsidP="00F53638">
      <w:pPr>
        <w:pStyle w:val="Default"/>
        <w:rPr>
          <w:rFonts w:ascii="Times New Roman" w:hAnsi="Times New Roman" w:cs="Times New Roman"/>
        </w:rPr>
      </w:pPr>
      <w:r w:rsidRPr="003D6CE4">
        <w:rPr>
          <w:rFonts w:ascii="Times New Roman" w:hAnsi="Times New Roman" w:cs="Times New Roman"/>
        </w:rPr>
        <w:t xml:space="preserve"> </w:t>
      </w:r>
    </w:p>
    <w:p w:rsidR="00986969" w:rsidRPr="007B3B52" w:rsidRDefault="00986969" w:rsidP="00F53638">
      <w:pPr>
        <w:autoSpaceDE w:val="0"/>
        <w:autoSpaceDN w:val="0"/>
        <w:adjustRightInd w:val="0"/>
        <w:rPr>
          <w:b/>
          <w:i/>
          <w:sz w:val="24"/>
          <w:szCs w:val="24"/>
        </w:rPr>
      </w:pPr>
      <w:r w:rsidRPr="007B3B52">
        <w:rPr>
          <w:b/>
          <w:i/>
          <w:sz w:val="24"/>
          <w:szCs w:val="24"/>
        </w:rPr>
        <w:t>End-Point Assessment</w:t>
      </w:r>
    </w:p>
    <w:p w:rsidR="00986969" w:rsidRPr="003D6CE4" w:rsidRDefault="00986969" w:rsidP="00F53638">
      <w:pPr>
        <w:pStyle w:val="ListParagraph"/>
        <w:autoSpaceDE w:val="0"/>
        <w:autoSpaceDN w:val="0"/>
        <w:adjustRightInd w:val="0"/>
        <w:rPr>
          <w:sz w:val="24"/>
          <w:szCs w:val="24"/>
        </w:rPr>
      </w:pPr>
    </w:p>
    <w:p w:rsidR="00986969" w:rsidRPr="003D6CE4" w:rsidRDefault="00986969" w:rsidP="00F53638">
      <w:pPr>
        <w:rPr>
          <w:i/>
          <w:sz w:val="24"/>
          <w:szCs w:val="24"/>
        </w:rPr>
      </w:pPr>
      <w:r w:rsidRPr="003D6CE4">
        <w:rPr>
          <w:sz w:val="24"/>
          <w:szCs w:val="24"/>
        </w:rPr>
        <w:t xml:space="preserve">A characteristic of the DA is the presence of the end point assessment.  RESP08, academic and recently qualified Chartered Surveyor, raised a concern with the interconnected attribute of the educational and professional experience frameworks of DAs: although an apprentice may receive a </w:t>
      </w:r>
      <w:r w:rsidRPr="003D6CE4">
        <w:rPr>
          <w:rFonts w:eastAsiaTheme="minorHAnsi"/>
          <w:color w:val="000000"/>
          <w:sz w:val="24"/>
          <w:szCs w:val="24"/>
        </w:rPr>
        <w:t>Bachelor’s</w:t>
      </w:r>
      <w:r w:rsidRPr="003D6CE4">
        <w:rPr>
          <w:sz w:val="24"/>
          <w:szCs w:val="24"/>
        </w:rPr>
        <w:t xml:space="preserve"> degree from an HEI, they will not complete the apprenticeship until they have passed the end-point assessment. As a case in point, they talked about the end-point assessment being evaluated by PSRBs and not HEIs. “</w:t>
      </w:r>
      <w:r w:rsidRPr="003D6CE4">
        <w:rPr>
          <w:i/>
          <w:iCs/>
          <w:sz w:val="24"/>
          <w:szCs w:val="24"/>
        </w:rPr>
        <w:t>Their degree award is independent, so they’ll get their degree; they won’t complete their apprenticeship until they’ve successfully done the end-point assessment.</w:t>
      </w:r>
      <w:r w:rsidRPr="003D6CE4">
        <w:rPr>
          <w:sz w:val="24"/>
          <w:szCs w:val="24"/>
        </w:rPr>
        <w:t xml:space="preserve">”   A number of the respondents admitted that their focus was away from developing the end-point assessment at this stage as the programmes being delivered were still in their infancy, and this would be an area to be addressed at a later stage.  However RESP08, an academic, also made reference to support systems being developed.  </w:t>
      </w:r>
      <w:r w:rsidRPr="003D6CE4">
        <w:rPr>
          <w:i/>
          <w:sz w:val="24"/>
          <w:szCs w:val="24"/>
        </w:rPr>
        <w:t>“So, we’re looking at how we can develop a mentoring system that we can provide internally to those students who don’t have that, to try and, say, improve their chances of successfully completing their end-poi</w:t>
      </w:r>
      <w:r w:rsidR="004B3C11">
        <w:rPr>
          <w:i/>
          <w:sz w:val="24"/>
          <w:szCs w:val="24"/>
        </w:rPr>
        <w:t>nt assessment first time round.”</w:t>
      </w:r>
      <w:r w:rsidRPr="003D6CE4">
        <w:rPr>
          <w:i/>
          <w:sz w:val="24"/>
          <w:szCs w:val="24"/>
        </w:rPr>
        <w:t xml:space="preserve">   </w:t>
      </w:r>
      <w:r w:rsidRPr="003D6CE4">
        <w:rPr>
          <w:sz w:val="24"/>
          <w:szCs w:val="24"/>
        </w:rPr>
        <w:t>The availability of appropriate end point assessment organisation needs to be developed to allow the successful completion of the end point assessment.  In most cases this fall outside of the remit of the HEI but is a critical factor to the ability to be able to complete the DA.</w:t>
      </w:r>
    </w:p>
    <w:p w:rsidR="00956090" w:rsidRPr="003D6CE4" w:rsidRDefault="00956090" w:rsidP="00F53638">
      <w:pPr>
        <w:rPr>
          <w:sz w:val="24"/>
          <w:szCs w:val="24"/>
        </w:rPr>
      </w:pPr>
    </w:p>
    <w:p w:rsidR="007677EC" w:rsidRPr="003D6CE4" w:rsidRDefault="00802978" w:rsidP="00F53638">
      <w:pPr>
        <w:pStyle w:val="Default"/>
        <w:rPr>
          <w:rFonts w:ascii="Times New Roman" w:hAnsi="Times New Roman" w:cs="Times New Roman"/>
          <w:b/>
          <w:bCs/>
        </w:rPr>
      </w:pPr>
      <w:r w:rsidRPr="003D6CE4">
        <w:rPr>
          <w:rFonts w:ascii="Times New Roman" w:hAnsi="Times New Roman" w:cs="Times New Roman"/>
          <w:b/>
          <w:bCs/>
        </w:rPr>
        <w:t>Academic Quality</w:t>
      </w:r>
    </w:p>
    <w:p w:rsidR="00B45307" w:rsidRPr="003D6CE4" w:rsidRDefault="00B45307" w:rsidP="00F53638">
      <w:pPr>
        <w:pStyle w:val="Default"/>
        <w:rPr>
          <w:rFonts w:ascii="Times New Roman" w:hAnsi="Times New Roman" w:cs="Times New Roman"/>
        </w:rPr>
      </w:pPr>
    </w:p>
    <w:p w:rsidR="00181104" w:rsidRPr="003D6CE4" w:rsidRDefault="00181104" w:rsidP="00F53638">
      <w:pPr>
        <w:pStyle w:val="Default"/>
        <w:rPr>
          <w:rFonts w:ascii="Times New Roman" w:hAnsi="Times New Roman" w:cs="Times New Roman"/>
        </w:rPr>
      </w:pPr>
      <w:r w:rsidRPr="003D6CE4">
        <w:rPr>
          <w:rFonts w:ascii="Times New Roman" w:hAnsi="Times New Roman" w:cs="Times New Roman"/>
        </w:rPr>
        <w:t>Although respondents acknowledged the importance of using appropriate teaching, learning, and assessment approaches, it was the use of work-based learning (WBL) strategies that aroused most concern. RESP01, a senior academic, shared an account of how employer trailblazer consortiums were unaware of pedagogy. “</w:t>
      </w:r>
      <w:r w:rsidRPr="003D6CE4">
        <w:rPr>
          <w:rFonts w:ascii="Times New Roman" w:hAnsi="Times New Roman" w:cs="Times New Roman"/>
          <w:i/>
          <w:iCs/>
        </w:rPr>
        <w:t>Any discussion on pedagogy or assessment or structure of work-based learning components wasn’t discussed.</w:t>
      </w:r>
      <w:r w:rsidRPr="003D6CE4">
        <w:rPr>
          <w:rFonts w:ascii="Times New Roman" w:hAnsi="Times New Roman" w:cs="Times New Roman"/>
        </w:rPr>
        <w:t xml:space="preserve">” </w:t>
      </w:r>
      <w:r w:rsidR="004B3C11">
        <w:rPr>
          <w:rFonts w:ascii="Times New Roman" w:hAnsi="Times New Roman" w:cs="Times New Roman"/>
        </w:rPr>
        <w:t xml:space="preserve"> </w:t>
      </w:r>
      <w:r w:rsidRPr="003D6CE4">
        <w:rPr>
          <w:rFonts w:ascii="Times New Roman" w:hAnsi="Times New Roman" w:cs="Times New Roman"/>
        </w:rPr>
        <w:t>Perhaps controversially, RESP01 shared their experience of WBL and conviction about its effectiveness for DAs which is founded on a recurring theme shared by several interviewees: the need to resource DAs adequately to ensure a quality learning experience. “</w:t>
      </w:r>
      <w:r w:rsidRPr="003D6CE4">
        <w:rPr>
          <w:rFonts w:ascii="Times New Roman" w:hAnsi="Times New Roman" w:cs="Times New Roman"/>
          <w:i/>
          <w:iCs/>
        </w:rPr>
        <w:t xml:space="preserve">The whole area of work-based learning is a massively complex one </w:t>
      </w:r>
      <w:r w:rsidRPr="003D6CE4">
        <w:rPr>
          <w:rFonts w:ascii="Times New Roman" w:hAnsi="Times New Roman" w:cs="Times New Roman"/>
        </w:rPr>
        <w:t xml:space="preserve">[…] </w:t>
      </w:r>
      <w:r w:rsidRPr="003D6CE4">
        <w:rPr>
          <w:rFonts w:ascii="Times New Roman" w:hAnsi="Times New Roman" w:cs="Times New Roman"/>
          <w:i/>
          <w:iCs/>
        </w:rPr>
        <w:t xml:space="preserve">and I’m hesitating to get involved in it in the future because you've got </w:t>
      </w:r>
      <w:r w:rsidRPr="003D6CE4">
        <w:rPr>
          <w:rFonts w:ascii="Times New Roman" w:hAnsi="Times New Roman" w:cs="Times New Roman"/>
        </w:rPr>
        <w:t xml:space="preserve">[…] </w:t>
      </w:r>
      <w:r w:rsidRPr="003D6CE4">
        <w:rPr>
          <w:rFonts w:ascii="Times New Roman" w:hAnsi="Times New Roman" w:cs="Times New Roman"/>
          <w:i/>
          <w:iCs/>
        </w:rPr>
        <w:t xml:space="preserve">issues with different types of employer, sizes, experience, expectation of the individual and the university, and to try and homogenize all that in terms of quality is a real tricky job. If we were to do it properly, which is the only way I will want to do it, is we would have to put some pretty big resources to think how we structured it and how we make sure that the mentors are trained, that the students are getting an equivalent experience if they're working for a </w:t>
      </w:r>
      <w:r w:rsidRPr="003D6CE4">
        <w:rPr>
          <w:rFonts w:ascii="Times New Roman" w:hAnsi="Times New Roman" w:cs="Times New Roman"/>
        </w:rPr>
        <w:t xml:space="preserve">[…] </w:t>
      </w:r>
      <w:r w:rsidRPr="003D6CE4">
        <w:rPr>
          <w:rFonts w:ascii="Times New Roman" w:hAnsi="Times New Roman" w:cs="Times New Roman"/>
          <w:i/>
          <w:iCs/>
        </w:rPr>
        <w:t>sub-contractor</w:t>
      </w:r>
      <w:r w:rsidRPr="003D6CE4">
        <w:rPr>
          <w:rFonts w:ascii="Times New Roman" w:hAnsi="Times New Roman" w:cs="Times New Roman"/>
        </w:rPr>
        <w:t xml:space="preserve">.” </w:t>
      </w:r>
      <w:r w:rsidR="004B3C11">
        <w:rPr>
          <w:rFonts w:ascii="Times New Roman" w:hAnsi="Times New Roman" w:cs="Times New Roman"/>
        </w:rPr>
        <w:t xml:space="preserve"> </w:t>
      </w:r>
      <w:r w:rsidRPr="003D6CE4">
        <w:rPr>
          <w:rFonts w:ascii="Times New Roman" w:hAnsi="Times New Roman" w:cs="Times New Roman"/>
        </w:rPr>
        <w:t>This was a comment made by a senior member of an academic team who has been involved in the delivery of degree apprenticeships in the built environment for over three years.</w:t>
      </w:r>
    </w:p>
    <w:p w:rsidR="00181104" w:rsidRPr="003D6CE4" w:rsidRDefault="00181104" w:rsidP="00F53638">
      <w:pPr>
        <w:pStyle w:val="Default"/>
        <w:rPr>
          <w:rFonts w:ascii="Times New Roman" w:hAnsi="Times New Roman" w:cs="Times New Roman"/>
        </w:rPr>
      </w:pPr>
    </w:p>
    <w:p w:rsidR="00181104" w:rsidRPr="003D6CE4" w:rsidRDefault="00181104" w:rsidP="00F53638">
      <w:pPr>
        <w:autoSpaceDE w:val="0"/>
        <w:autoSpaceDN w:val="0"/>
        <w:adjustRightInd w:val="0"/>
        <w:rPr>
          <w:b/>
          <w:sz w:val="24"/>
          <w:szCs w:val="24"/>
        </w:rPr>
      </w:pPr>
      <w:r w:rsidRPr="003D6CE4">
        <w:rPr>
          <w:sz w:val="24"/>
          <w:szCs w:val="24"/>
        </w:rPr>
        <w:t>Concerns about WBL were not limited to academic quality assurance but included disinterest from employers who have a limited appreciation of its benefits for the learning journey, “</w:t>
      </w:r>
      <w:r w:rsidRPr="003D6CE4">
        <w:rPr>
          <w:i/>
          <w:iCs/>
          <w:sz w:val="24"/>
          <w:szCs w:val="24"/>
        </w:rPr>
        <w:t>we might go to a work-based learning programme if the market from employers was strong enough for them to say, ‘We feel we can offer something which is of value here’ but I don't think the employers are that interested.</w:t>
      </w:r>
      <w:r w:rsidRPr="003D6CE4">
        <w:rPr>
          <w:sz w:val="24"/>
          <w:szCs w:val="24"/>
        </w:rPr>
        <w:t>” Several comments were expressed about pedagogic benefits: these included opportunities for apprentices to disseminate their workplace learning in the classroom and with their mentor. By way of example, RESP03 explained, “</w:t>
      </w:r>
      <w:r w:rsidRPr="003D6CE4">
        <w:rPr>
          <w:i/>
          <w:iCs/>
          <w:sz w:val="24"/>
          <w:szCs w:val="24"/>
        </w:rPr>
        <w:t xml:space="preserve">in terms of pedagogy </w:t>
      </w:r>
      <w:r w:rsidRPr="003D6CE4">
        <w:rPr>
          <w:sz w:val="24"/>
          <w:szCs w:val="24"/>
        </w:rPr>
        <w:t xml:space="preserve">[…] </w:t>
      </w:r>
      <w:r w:rsidRPr="003D6CE4">
        <w:rPr>
          <w:i/>
          <w:iCs/>
          <w:sz w:val="24"/>
          <w:szCs w:val="24"/>
        </w:rPr>
        <w:t xml:space="preserve">you've got people who are coming away from that organization, they are </w:t>
      </w:r>
      <w:r w:rsidRPr="003D6CE4">
        <w:rPr>
          <w:i/>
          <w:iCs/>
          <w:sz w:val="24"/>
          <w:szCs w:val="24"/>
        </w:rPr>
        <w:lastRenderedPageBreak/>
        <w:t>learning independently from that organization theory, and they're bringing that back into the workplace.</w:t>
      </w:r>
      <w:r w:rsidRPr="003D6CE4">
        <w:rPr>
          <w:sz w:val="24"/>
          <w:szCs w:val="24"/>
        </w:rPr>
        <w:t>”</w:t>
      </w:r>
      <w:r w:rsidRPr="003D6CE4">
        <w:rPr>
          <w:b/>
          <w:sz w:val="24"/>
          <w:szCs w:val="24"/>
        </w:rPr>
        <w:t xml:space="preserve"> </w:t>
      </w:r>
    </w:p>
    <w:p w:rsidR="00181104" w:rsidRPr="003D6CE4" w:rsidRDefault="00181104" w:rsidP="00F53638">
      <w:pPr>
        <w:autoSpaceDE w:val="0"/>
        <w:autoSpaceDN w:val="0"/>
        <w:adjustRightInd w:val="0"/>
        <w:rPr>
          <w:b/>
          <w:sz w:val="24"/>
          <w:szCs w:val="24"/>
        </w:rPr>
      </w:pPr>
    </w:p>
    <w:p w:rsidR="00181104" w:rsidRPr="003D6CE4" w:rsidRDefault="00181104" w:rsidP="00F53638">
      <w:pPr>
        <w:pStyle w:val="Default"/>
        <w:rPr>
          <w:rFonts w:ascii="Times New Roman" w:hAnsi="Times New Roman" w:cs="Times New Roman"/>
        </w:rPr>
      </w:pPr>
      <w:r w:rsidRPr="003D6CE4">
        <w:rPr>
          <w:rFonts w:ascii="Times New Roman" w:hAnsi="Times New Roman" w:cs="Times New Roman"/>
        </w:rPr>
        <w:t xml:space="preserve">Participants were also asked about the challenges they had faced during the DA programme internal validation process at their HEI. </w:t>
      </w:r>
      <w:r w:rsidR="007B3B52">
        <w:rPr>
          <w:rFonts w:ascii="Times New Roman" w:hAnsi="Times New Roman" w:cs="Times New Roman"/>
        </w:rPr>
        <w:t>The</w:t>
      </w:r>
      <w:r w:rsidRPr="003D6CE4">
        <w:rPr>
          <w:rFonts w:ascii="Times New Roman" w:hAnsi="Times New Roman" w:cs="Times New Roman"/>
        </w:rPr>
        <w:t xml:space="preserve"> account</w:t>
      </w:r>
      <w:r w:rsidR="007B3B52">
        <w:rPr>
          <w:rFonts w:ascii="Times New Roman" w:hAnsi="Times New Roman" w:cs="Times New Roman"/>
        </w:rPr>
        <w:t>s underline</w:t>
      </w:r>
      <w:r w:rsidRPr="003D6CE4">
        <w:rPr>
          <w:rFonts w:ascii="Times New Roman" w:hAnsi="Times New Roman" w:cs="Times New Roman"/>
        </w:rPr>
        <w:t xml:space="preserve"> a potential disconnection between the taught and experiential learning journeys</w:t>
      </w:r>
      <w:r w:rsidR="007B3B52">
        <w:rPr>
          <w:rFonts w:ascii="Times New Roman" w:hAnsi="Times New Roman" w:cs="Times New Roman"/>
        </w:rPr>
        <w:t xml:space="preserve">.  </w:t>
      </w:r>
      <w:r w:rsidRPr="003D6CE4">
        <w:rPr>
          <w:rFonts w:ascii="Times New Roman" w:hAnsi="Times New Roman" w:cs="Times New Roman"/>
        </w:rPr>
        <w:t>RESP01 talked about the shift in HEIs’ focus from teaching to research activity, in response to the Research Excellence Framework (REF) and its effect on university positioning in league tables in the UK. There was a perception amongst the respondents that the number of academic staff with industry experience was in decline. RESP09, from the professional support team, contemplated how the relationship between HEI, the apprentice and the employer is continuing to evolve “</w:t>
      </w:r>
      <w:r w:rsidRPr="003D6CE4">
        <w:rPr>
          <w:rFonts w:ascii="Times New Roman" w:hAnsi="Times New Roman" w:cs="Times New Roman"/>
          <w:i/>
          <w:iCs/>
        </w:rPr>
        <w:t>it's getting academics to understand that this is a different relationship we have with employers: a three-way agreement means a three-way agreement. Issues around confidentiality are different to a normal degree, and the way we interact with employers is different.</w:t>
      </w:r>
      <w:r w:rsidRPr="003D6CE4">
        <w:rPr>
          <w:rFonts w:ascii="Times New Roman" w:hAnsi="Times New Roman" w:cs="Times New Roman"/>
        </w:rPr>
        <w:t xml:space="preserve">” </w:t>
      </w:r>
    </w:p>
    <w:p w:rsidR="002048C0" w:rsidRPr="003D6CE4" w:rsidRDefault="002048C0" w:rsidP="00F53638">
      <w:pPr>
        <w:pStyle w:val="Default"/>
        <w:rPr>
          <w:rFonts w:ascii="Times New Roman" w:hAnsi="Times New Roman" w:cs="Times New Roman"/>
        </w:rPr>
      </w:pPr>
    </w:p>
    <w:p w:rsidR="002048C0" w:rsidRPr="007B3B52" w:rsidRDefault="002048C0" w:rsidP="00F53638">
      <w:pPr>
        <w:pStyle w:val="Default"/>
        <w:rPr>
          <w:rFonts w:ascii="Times New Roman" w:hAnsi="Times New Roman" w:cs="Times New Roman"/>
          <w:b/>
          <w:i/>
        </w:rPr>
      </w:pPr>
      <w:r w:rsidRPr="007B3B52">
        <w:rPr>
          <w:rFonts w:ascii="Times New Roman" w:hAnsi="Times New Roman" w:cs="Times New Roman"/>
          <w:b/>
          <w:i/>
        </w:rPr>
        <w:t>Governance</w:t>
      </w:r>
    </w:p>
    <w:p w:rsidR="002048C0" w:rsidRPr="003D6CE4" w:rsidRDefault="002048C0" w:rsidP="00F53638">
      <w:pPr>
        <w:pStyle w:val="Default"/>
        <w:ind w:left="720"/>
        <w:rPr>
          <w:rFonts w:ascii="Times New Roman" w:hAnsi="Times New Roman" w:cs="Times New Roman"/>
        </w:rPr>
      </w:pPr>
    </w:p>
    <w:p w:rsidR="002048C0" w:rsidRPr="003D6CE4" w:rsidRDefault="002048C0" w:rsidP="00F53638">
      <w:pPr>
        <w:pStyle w:val="Default"/>
        <w:rPr>
          <w:rFonts w:ascii="Times New Roman" w:hAnsi="Times New Roman" w:cs="Times New Roman"/>
        </w:rPr>
      </w:pPr>
      <w:r w:rsidRPr="003D6CE4">
        <w:rPr>
          <w:rFonts w:ascii="Times New Roman" w:hAnsi="Times New Roman" w:cs="Times New Roman"/>
        </w:rPr>
        <w:t>As anticipated, the governance and administrative structures of HEIs to support DAs were raised as an issue by respondents. RESP07, who was a professional support team member, “</w:t>
      </w:r>
      <w:r w:rsidRPr="003D6CE4">
        <w:rPr>
          <w:rFonts w:ascii="Times New Roman" w:hAnsi="Times New Roman" w:cs="Times New Roman"/>
          <w:i/>
          <w:iCs/>
        </w:rPr>
        <w:t xml:space="preserve"> </w:t>
      </w:r>
      <w:r w:rsidRPr="003D6CE4">
        <w:rPr>
          <w:rFonts w:ascii="Times New Roman" w:hAnsi="Times New Roman" w:cs="Times New Roman"/>
        </w:rPr>
        <w:t xml:space="preserve">[governance] </w:t>
      </w:r>
      <w:r w:rsidRPr="003D6CE4">
        <w:rPr>
          <w:rFonts w:ascii="Times New Roman" w:hAnsi="Times New Roman" w:cs="Times New Roman"/>
          <w:i/>
          <w:iCs/>
        </w:rPr>
        <w:t>is a massive issue to get across and to get threaded through faculty structures, departmental structures and make sure that there's some sort of consistent approach to the apprenticeship programme.</w:t>
      </w:r>
      <w:r w:rsidRPr="003D6CE4">
        <w:rPr>
          <w:rFonts w:ascii="Times New Roman" w:hAnsi="Times New Roman" w:cs="Times New Roman"/>
        </w:rPr>
        <w:t>” Their comment suggests a standardized approach to the administration and governance of DAs is needed. For instance, they explained, “</w:t>
      </w:r>
      <w:r w:rsidRPr="003D6CE4">
        <w:rPr>
          <w:rFonts w:ascii="Times New Roman" w:hAnsi="Times New Roman" w:cs="Times New Roman"/>
          <w:i/>
          <w:iCs/>
        </w:rPr>
        <w:t>I do think from the point-of-view of a large, multi-faculty university, it would b</w:t>
      </w:r>
      <w:r w:rsidR="004B3C11">
        <w:rPr>
          <w:rFonts w:ascii="Times New Roman" w:hAnsi="Times New Roman" w:cs="Times New Roman"/>
          <w:i/>
          <w:iCs/>
        </w:rPr>
        <w:t>e worth having central control.”</w:t>
      </w:r>
      <w:r w:rsidRPr="003D6CE4">
        <w:rPr>
          <w:rFonts w:ascii="Times New Roman" w:hAnsi="Times New Roman" w:cs="Times New Roman"/>
        </w:rPr>
        <w:t xml:space="preserve">  This view was upheld by other respondents and highlighted the desire to move responsibility to central university and away from the subject areas.</w:t>
      </w:r>
    </w:p>
    <w:p w:rsidR="002048C0" w:rsidRPr="003D6CE4" w:rsidRDefault="002048C0" w:rsidP="00F53638">
      <w:pPr>
        <w:pStyle w:val="Default"/>
        <w:rPr>
          <w:rFonts w:ascii="Times New Roman" w:hAnsi="Times New Roman" w:cs="Times New Roman"/>
        </w:rPr>
      </w:pPr>
    </w:p>
    <w:p w:rsidR="002048C0" w:rsidRPr="003D6CE4" w:rsidRDefault="002048C0" w:rsidP="00F53638">
      <w:pPr>
        <w:pStyle w:val="Default"/>
        <w:rPr>
          <w:rFonts w:ascii="Times New Roman" w:hAnsi="Times New Roman" w:cs="Times New Roman"/>
        </w:rPr>
      </w:pPr>
      <w:r w:rsidRPr="003D6CE4">
        <w:rPr>
          <w:rFonts w:ascii="Times New Roman" w:hAnsi="Times New Roman" w:cs="Times New Roman"/>
        </w:rPr>
        <w:t>The comment made by RESP01, an academic, was supported by RESP09, administrative assistant, who said, “</w:t>
      </w:r>
      <w:r w:rsidRPr="003D6CE4">
        <w:rPr>
          <w:rFonts w:ascii="Times New Roman" w:hAnsi="Times New Roman" w:cs="Times New Roman"/>
          <w:i/>
          <w:iCs/>
        </w:rPr>
        <w:t xml:space="preserve">they </w:t>
      </w:r>
      <w:r w:rsidRPr="003D6CE4">
        <w:rPr>
          <w:rFonts w:ascii="Times New Roman" w:hAnsi="Times New Roman" w:cs="Times New Roman"/>
        </w:rPr>
        <w:t xml:space="preserve">[tutors] </w:t>
      </w:r>
      <w:r w:rsidRPr="003D6CE4">
        <w:rPr>
          <w:rFonts w:ascii="Times New Roman" w:hAnsi="Times New Roman" w:cs="Times New Roman"/>
          <w:i/>
          <w:iCs/>
        </w:rPr>
        <w:t>need support from the central team to do that, because there are lots of things, bureaucracy, etc. that goes around the apprenticeship</w:t>
      </w:r>
      <w:r w:rsidRPr="003D6CE4">
        <w:rPr>
          <w:rFonts w:ascii="Times New Roman" w:hAnsi="Times New Roman" w:cs="Times New Roman"/>
        </w:rPr>
        <w:t>.” RESP03, business development, also mentioned the need to monitor and report the effectiveness of governance structures supporting DAs to HEI executives; they explained how their HEI had evolved its governance structure over time to include a board attended by two pro-vice chancellors (PVC) with leadership responsibilities for DAs. This emphasises the demand for central university support “</w:t>
      </w:r>
      <w:r w:rsidRPr="003D6CE4">
        <w:rPr>
          <w:rFonts w:ascii="Times New Roman" w:hAnsi="Times New Roman" w:cs="Times New Roman"/>
          <w:i/>
          <w:iCs/>
        </w:rPr>
        <w:t>One of the things that has happened since I’ve been here is we’ve set up a degree apprenticeships board specifically looking at lessons learned and those sorts of issues. We have two PVCs who sit on the board, because one of the things they’ve realised is we must be a lot more flexible and agile, and decisions need to be made. So that board meets every four weeks.</w:t>
      </w:r>
      <w:r w:rsidRPr="003D6CE4">
        <w:rPr>
          <w:rFonts w:ascii="Times New Roman" w:hAnsi="Times New Roman" w:cs="Times New Roman"/>
        </w:rPr>
        <w:t xml:space="preserve">” </w:t>
      </w:r>
    </w:p>
    <w:p w:rsidR="00C96EB6" w:rsidRPr="003D6CE4" w:rsidRDefault="00C96EB6" w:rsidP="00F53638">
      <w:pPr>
        <w:pStyle w:val="Default"/>
        <w:rPr>
          <w:rFonts w:ascii="Times New Roman" w:hAnsi="Times New Roman" w:cs="Times New Roman"/>
        </w:rPr>
      </w:pPr>
    </w:p>
    <w:p w:rsidR="00C96EB6" w:rsidRPr="007B3B52" w:rsidRDefault="00C96EB6" w:rsidP="00F53638">
      <w:pPr>
        <w:autoSpaceDE w:val="0"/>
        <w:autoSpaceDN w:val="0"/>
        <w:adjustRightInd w:val="0"/>
        <w:rPr>
          <w:b/>
          <w:i/>
          <w:sz w:val="24"/>
          <w:szCs w:val="24"/>
        </w:rPr>
      </w:pPr>
      <w:r w:rsidRPr="007B3B52">
        <w:rPr>
          <w:b/>
          <w:i/>
          <w:sz w:val="24"/>
          <w:szCs w:val="24"/>
        </w:rPr>
        <w:t>Quality Assurance</w:t>
      </w:r>
    </w:p>
    <w:p w:rsidR="00C96EB6" w:rsidRPr="003D6CE4" w:rsidRDefault="00C96EB6" w:rsidP="00F53638">
      <w:pPr>
        <w:autoSpaceDE w:val="0"/>
        <w:autoSpaceDN w:val="0"/>
        <w:adjustRightInd w:val="0"/>
        <w:rPr>
          <w:b/>
          <w:sz w:val="24"/>
          <w:szCs w:val="24"/>
          <w:u w:val="single"/>
        </w:rPr>
      </w:pPr>
    </w:p>
    <w:p w:rsidR="00181104" w:rsidRPr="003D6CE4" w:rsidRDefault="00181104" w:rsidP="00F53638">
      <w:pPr>
        <w:autoSpaceDE w:val="0"/>
        <w:autoSpaceDN w:val="0"/>
        <w:adjustRightInd w:val="0"/>
        <w:rPr>
          <w:sz w:val="24"/>
          <w:szCs w:val="24"/>
        </w:rPr>
      </w:pPr>
      <w:r w:rsidRPr="003D6CE4">
        <w:rPr>
          <w:sz w:val="24"/>
          <w:szCs w:val="24"/>
        </w:rPr>
        <w:t>The results showed the HEIs had adopted one of two approaches to the statutory requirement, under the auspices of the Quality Assurance Agency (QAA) UK Quality Code: either a revision to existing or development of new approval and monitoring frameworks, the former being articulated by RESP04, business development, “</w:t>
      </w:r>
      <w:r w:rsidRPr="003D6CE4">
        <w:rPr>
          <w:i/>
          <w:iCs/>
          <w:sz w:val="24"/>
          <w:szCs w:val="24"/>
        </w:rPr>
        <w:t>The model we adopt for degree apprenticeships in terms of the core degree element is not that different from our standard delivery model…so we don’t find that we need to do full validations in most cases... It doesn’t really change the overall learning outcomes very much.</w:t>
      </w:r>
      <w:r w:rsidRPr="003D6CE4">
        <w:rPr>
          <w:sz w:val="24"/>
          <w:szCs w:val="24"/>
        </w:rPr>
        <w:t xml:space="preserve">” While RESP01, an academic, discussed the latter, saying how their HEI had adopted the former approach to validate it’s DAs as quickly as possible from its existing traditionally-taught part-time </w:t>
      </w:r>
      <w:r w:rsidRPr="003D6CE4">
        <w:rPr>
          <w:rFonts w:eastAsiaTheme="minorHAnsi"/>
          <w:color w:val="000000"/>
          <w:sz w:val="24"/>
          <w:szCs w:val="24"/>
        </w:rPr>
        <w:t>Bachelor’s</w:t>
      </w:r>
      <w:r w:rsidRPr="003D6CE4">
        <w:rPr>
          <w:sz w:val="24"/>
          <w:szCs w:val="24"/>
        </w:rPr>
        <w:t xml:space="preserve"> degrees, but because of this experience and aspirations to offer more DAs, had decided to develop a </w:t>
      </w:r>
      <w:r w:rsidRPr="003D6CE4">
        <w:rPr>
          <w:sz w:val="24"/>
          <w:szCs w:val="24"/>
        </w:rPr>
        <w:lastRenderedPageBreak/>
        <w:t>new academic qualit</w:t>
      </w:r>
      <w:r w:rsidR="007B3B52">
        <w:rPr>
          <w:sz w:val="24"/>
          <w:szCs w:val="24"/>
        </w:rPr>
        <w:t xml:space="preserve">y assurance approval framework.  </w:t>
      </w:r>
      <w:r w:rsidRPr="003D6CE4">
        <w:rPr>
          <w:sz w:val="24"/>
          <w:szCs w:val="24"/>
        </w:rPr>
        <w:t>“</w:t>
      </w:r>
      <w:r w:rsidRPr="003D6CE4">
        <w:rPr>
          <w:i/>
          <w:iCs/>
          <w:sz w:val="24"/>
          <w:szCs w:val="24"/>
        </w:rPr>
        <w:t xml:space="preserve">The framework is a fast-track way of getting courses to validation, </w:t>
      </w:r>
      <w:r w:rsidRPr="003D6CE4">
        <w:rPr>
          <w:sz w:val="24"/>
          <w:szCs w:val="24"/>
        </w:rPr>
        <w:t xml:space="preserve">[…] </w:t>
      </w:r>
      <w:r w:rsidRPr="003D6CE4">
        <w:rPr>
          <w:i/>
          <w:iCs/>
          <w:sz w:val="24"/>
          <w:szCs w:val="24"/>
        </w:rPr>
        <w:t>if we didn't have our work-based learning framework, I think we would be at sea. I think if we were going through our normal validation processes, it wouldn't be quick enough on its feet.</w:t>
      </w:r>
      <w:r w:rsidRPr="003D6CE4">
        <w:rPr>
          <w:sz w:val="24"/>
          <w:szCs w:val="24"/>
        </w:rPr>
        <w:t xml:space="preserve">” </w:t>
      </w:r>
    </w:p>
    <w:p w:rsidR="000B6C35" w:rsidRPr="003D6CE4" w:rsidRDefault="000B6C35" w:rsidP="00F53638">
      <w:pPr>
        <w:pStyle w:val="Default"/>
        <w:rPr>
          <w:rFonts w:ascii="Times New Roman" w:hAnsi="Times New Roman" w:cs="Times New Roman"/>
        </w:rPr>
      </w:pPr>
    </w:p>
    <w:p w:rsidR="007E2FFA" w:rsidRPr="007E2FFA" w:rsidRDefault="007E2FFA" w:rsidP="00F53638">
      <w:pPr>
        <w:pStyle w:val="Default"/>
        <w:rPr>
          <w:rFonts w:ascii="Times New Roman" w:hAnsi="Times New Roman" w:cs="Times New Roman"/>
          <w:b/>
          <w:bCs/>
        </w:rPr>
      </w:pPr>
      <w:r w:rsidRPr="007E2FFA">
        <w:rPr>
          <w:rFonts w:ascii="Times New Roman" w:hAnsi="Times New Roman" w:cs="Times New Roman"/>
          <w:b/>
          <w:bCs/>
        </w:rPr>
        <w:t>Conclusion</w:t>
      </w:r>
    </w:p>
    <w:p w:rsidR="007E2FFA" w:rsidRPr="007E2FFA" w:rsidRDefault="007E2FFA" w:rsidP="00F53638">
      <w:pPr>
        <w:pStyle w:val="Default"/>
        <w:rPr>
          <w:rFonts w:ascii="Times New Roman" w:hAnsi="Times New Roman" w:cs="Times New Roman"/>
        </w:rPr>
      </w:pPr>
    </w:p>
    <w:p w:rsidR="007E2FFA" w:rsidRPr="00832542" w:rsidRDefault="007E2FFA" w:rsidP="00F53638">
      <w:pPr>
        <w:autoSpaceDE w:val="0"/>
        <w:autoSpaceDN w:val="0"/>
        <w:adjustRightInd w:val="0"/>
        <w:rPr>
          <w:rFonts w:eastAsiaTheme="minorHAnsi"/>
          <w:color w:val="000000"/>
          <w:sz w:val="24"/>
          <w:szCs w:val="24"/>
        </w:rPr>
      </w:pPr>
      <w:r w:rsidRPr="007E2FFA">
        <w:rPr>
          <w:rFonts w:eastAsiaTheme="minorHAnsi"/>
          <w:color w:val="000000"/>
          <w:sz w:val="24"/>
          <w:szCs w:val="24"/>
        </w:rPr>
        <w:t xml:space="preserve">This research aimed to investigate the impact of DAs on the education of professionals in the built environment from the </w:t>
      </w:r>
      <w:r w:rsidR="00832542">
        <w:rPr>
          <w:rFonts w:eastAsiaTheme="minorHAnsi"/>
          <w:color w:val="000000"/>
          <w:sz w:val="24"/>
          <w:szCs w:val="24"/>
        </w:rPr>
        <w:t xml:space="preserve">perspective of HEIs in England.  </w:t>
      </w:r>
      <w:r w:rsidRPr="007E2FFA">
        <w:rPr>
          <w:rFonts w:eastAsiaTheme="minorHAnsi"/>
          <w:color w:val="000000"/>
          <w:sz w:val="24"/>
          <w:szCs w:val="24"/>
        </w:rPr>
        <w:t xml:space="preserve">Through a comprehensive literature review the distinctive characteristics of a DA were established.  These characteristics presented a number of benefits, barriers and opportunities for HEI and it was the exploration of with these, through a series of semi-structured interviews with HEI and a subsequent content analysis, which established a series of impact factors illustrated in </w:t>
      </w:r>
      <w:r w:rsidRPr="007E2FFA">
        <w:rPr>
          <w:rFonts w:eastAsiaTheme="minorHAnsi"/>
          <w:b/>
          <w:color w:val="000000"/>
          <w:sz w:val="24"/>
          <w:szCs w:val="24"/>
        </w:rPr>
        <w:t>Table 4.</w:t>
      </w:r>
    </w:p>
    <w:p w:rsidR="007E2FFA" w:rsidRDefault="007E2FFA" w:rsidP="00F53638">
      <w:pPr>
        <w:autoSpaceDE w:val="0"/>
        <w:autoSpaceDN w:val="0"/>
        <w:adjustRightInd w:val="0"/>
        <w:rPr>
          <w:rFonts w:eastAsiaTheme="minorHAns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F53638" w:rsidTr="006B065D">
        <w:tc>
          <w:tcPr>
            <w:tcW w:w="9016" w:type="dxa"/>
            <w:gridSpan w:val="2"/>
            <w:tcBorders>
              <w:bottom w:val="single" w:sz="4" w:space="0" w:color="auto"/>
            </w:tcBorders>
          </w:tcPr>
          <w:p w:rsidR="00F53638" w:rsidRPr="00414B3D" w:rsidRDefault="00F53638" w:rsidP="006B065D">
            <w:pPr>
              <w:spacing w:after="160"/>
              <w:rPr>
                <w:sz w:val="24"/>
                <w:szCs w:val="24"/>
              </w:rPr>
            </w:pPr>
            <w:r>
              <w:rPr>
                <w:sz w:val="24"/>
                <w:szCs w:val="24"/>
              </w:rPr>
              <w:t>Table 4</w:t>
            </w:r>
          </w:p>
          <w:p w:rsidR="00F53638" w:rsidRPr="00414B3D" w:rsidRDefault="00F53638" w:rsidP="006B065D">
            <w:pPr>
              <w:spacing w:after="160"/>
              <w:rPr>
                <w:b/>
                <w:i/>
                <w:sz w:val="24"/>
                <w:szCs w:val="24"/>
              </w:rPr>
            </w:pPr>
            <w:r w:rsidRPr="00414B3D">
              <w:rPr>
                <w:b/>
                <w:i/>
                <w:sz w:val="24"/>
                <w:szCs w:val="24"/>
              </w:rPr>
              <w:t>Impact factors</w:t>
            </w:r>
          </w:p>
        </w:tc>
      </w:tr>
      <w:tr w:rsidR="00F53638" w:rsidTr="006B065D">
        <w:tc>
          <w:tcPr>
            <w:tcW w:w="1838" w:type="dxa"/>
            <w:tcBorders>
              <w:top w:val="single" w:sz="4" w:space="0" w:color="auto"/>
              <w:bottom w:val="single" w:sz="4" w:space="0" w:color="auto"/>
            </w:tcBorders>
          </w:tcPr>
          <w:p w:rsidR="00F53638" w:rsidRPr="00414B3D" w:rsidRDefault="00F53638" w:rsidP="006B065D">
            <w:pPr>
              <w:spacing w:after="160"/>
              <w:rPr>
                <w:b/>
                <w:i/>
              </w:rPr>
            </w:pPr>
            <w:r w:rsidRPr="00414B3D">
              <w:rPr>
                <w:b/>
                <w:i/>
              </w:rPr>
              <w:t>Impact</w:t>
            </w:r>
          </w:p>
        </w:tc>
        <w:tc>
          <w:tcPr>
            <w:tcW w:w="7178" w:type="dxa"/>
            <w:tcBorders>
              <w:top w:val="single" w:sz="4" w:space="0" w:color="auto"/>
              <w:bottom w:val="single" w:sz="4" w:space="0" w:color="auto"/>
            </w:tcBorders>
            <w:vAlign w:val="center"/>
          </w:tcPr>
          <w:p w:rsidR="00F53638" w:rsidRPr="00414B3D" w:rsidRDefault="00F53638" w:rsidP="006B065D">
            <w:pPr>
              <w:rPr>
                <w:b/>
                <w:bCs/>
                <w:lang w:eastAsia="en-GB"/>
              </w:rPr>
            </w:pPr>
            <w:r w:rsidRPr="00414B3D">
              <w:rPr>
                <w:b/>
                <w:bCs/>
                <w:lang w:eastAsia="en-GB"/>
              </w:rPr>
              <w:t>Resource intensive for both HEI and employer</w:t>
            </w:r>
          </w:p>
        </w:tc>
      </w:tr>
      <w:tr w:rsidR="00F53638" w:rsidTr="006B065D">
        <w:tc>
          <w:tcPr>
            <w:tcW w:w="1838" w:type="dxa"/>
            <w:tcBorders>
              <w:top w:val="single" w:sz="4" w:space="0" w:color="auto"/>
            </w:tcBorders>
          </w:tcPr>
          <w:p w:rsidR="00F53638" w:rsidRPr="00414B3D" w:rsidRDefault="00F53638" w:rsidP="006B065D">
            <w:pPr>
              <w:spacing w:after="160"/>
              <w:rPr>
                <w:i/>
              </w:rPr>
            </w:pPr>
            <w:r w:rsidRPr="00414B3D">
              <w:rPr>
                <w:i/>
              </w:rPr>
              <w:t>Benefits</w:t>
            </w:r>
          </w:p>
        </w:tc>
        <w:tc>
          <w:tcPr>
            <w:tcW w:w="7178" w:type="dxa"/>
            <w:tcBorders>
              <w:top w:val="single" w:sz="4" w:space="0" w:color="auto"/>
            </w:tcBorders>
            <w:vAlign w:val="center"/>
          </w:tcPr>
          <w:p w:rsidR="00F53638" w:rsidRPr="00414B3D" w:rsidRDefault="00F53638" w:rsidP="006B065D">
            <w:pPr>
              <w:rPr>
                <w:lang w:eastAsia="en-GB"/>
              </w:rPr>
            </w:pPr>
            <w:r w:rsidRPr="00414B3D">
              <w:rPr>
                <w:lang w:eastAsia="en-GB"/>
              </w:rPr>
              <w:t xml:space="preserve">Alternative income stream for HEI and an enhancing the student journey </w:t>
            </w:r>
          </w:p>
        </w:tc>
      </w:tr>
      <w:tr w:rsidR="00F53638" w:rsidTr="006B065D">
        <w:tc>
          <w:tcPr>
            <w:tcW w:w="1838" w:type="dxa"/>
          </w:tcPr>
          <w:p w:rsidR="00F53638" w:rsidRPr="00414B3D" w:rsidRDefault="00F53638" w:rsidP="006B065D">
            <w:pPr>
              <w:spacing w:after="160"/>
              <w:rPr>
                <w:i/>
              </w:rPr>
            </w:pPr>
            <w:r w:rsidRPr="00414B3D">
              <w:rPr>
                <w:i/>
              </w:rPr>
              <w:t>Barriers</w:t>
            </w:r>
          </w:p>
        </w:tc>
        <w:tc>
          <w:tcPr>
            <w:tcW w:w="7178" w:type="dxa"/>
            <w:vAlign w:val="center"/>
          </w:tcPr>
          <w:p w:rsidR="00F53638" w:rsidRPr="00414B3D" w:rsidRDefault="00F53638" w:rsidP="006B065D">
            <w:pPr>
              <w:rPr>
                <w:lang w:eastAsia="en-GB"/>
              </w:rPr>
            </w:pPr>
            <w:r w:rsidRPr="00414B3D">
              <w:rPr>
                <w:lang w:eastAsia="en-GB"/>
              </w:rPr>
              <w:t>Prioritising the additional resource required to maximise the tri-partite relationship, mentor support and work based learning</w:t>
            </w:r>
          </w:p>
        </w:tc>
      </w:tr>
      <w:tr w:rsidR="00F53638" w:rsidTr="006B065D">
        <w:tc>
          <w:tcPr>
            <w:tcW w:w="1838" w:type="dxa"/>
            <w:tcBorders>
              <w:bottom w:val="single" w:sz="4" w:space="0" w:color="auto"/>
            </w:tcBorders>
          </w:tcPr>
          <w:p w:rsidR="00F53638" w:rsidRPr="00414B3D" w:rsidRDefault="00F53638" w:rsidP="006B065D">
            <w:pPr>
              <w:spacing w:after="160"/>
              <w:rPr>
                <w:b/>
                <w:i/>
              </w:rPr>
            </w:pPr>
            <w:r w:rsidRPr="00414B3D">
              <w:rPr>
                <w:b/>
                <w:i/>
              </w:rPr>
              <w:t>Impact</w:t>
            </w:r>
          </w:p>
        </w:tc>
        <w:tc>
          <w:tcPr>
            <w:tcW w:w="7178" w:type="dxa"/>
            <w:tcBorders>
              <w:bottom w:val="single" w:sz="4" w:space="0" w:color="auto"/>
            </w:tcBorders>
            <w:vAlign w:val="center"/>
          </w:tcPr>
          <w:p w:rsidR="00F53638" w:rsidRPr="00414B3D" w:rsidRDefault="00F53638" w:rsidP="006B065D">
            <w:pPr>
              <w:rPr>
                <w:b/>
                <w:bCs/>
                <w:lang w:eastAsia="en-GB"/>
              </w:rPr>
            </w:pPr>
            <w:r w:rsidRPr="00414B3D">
              <w:rPr>
                <w:b/>
                <w:bCs/>
                <w:lang w:eastAsia="en-GB"/>
              </w:rPr>
              <w:t>Expanding service provision for the traditional HEI</w:t>
            </w:r>
          </w:p>
        </w:tc>
      </w:tr>
      <w:tr w:rsidR="00F53638" w:rsidTr="006B065D">
        <w:tc>
          <w:tcPr>
            <w:tcW w:w="1838" w:type="dxa"/>
            <w:tcBorders>
              <w:top w:val="single" w:sz="4" w:space="0" w:color="auto"/>
            </w:tcBorders>
          </w:tcPr>
          <w:p w:rsidR="00F53638" w:rsidRPr="00414B3D" w:rsidRDefault="00F53638" w:rsidP="006B065D">
            <w:pPr>
              <w:spacing w:after="160"/>
              <w:rPr>
                <w:i/>
              </w:rPr>
            </w:pPr>
            <w:r w:rsidRPr="00414B3D">
              <w:rPr>
                <w:i/>
              </w:rPr>
              <w:t>Benefits</w:t>
            </w:r>
          </w:p>
        </w:tc>
        <w:tc>
          <w:tcPr>
            <w:tcW w:w="7178" w:type="dxa"/>
            <w:tcBorders>
              <w:top w:val="single" w:sz="4" w:space="0" w:color="auto"/>
            </w:tcBorders>
            <w:vAlign w:val="center"/>
          </w:tcPr>
          <w:p w:rsidR="00F53638" w:rsidRPr="00414B3D" w:rsidRDefault="00F53638" w:rsidP="006B065D">
            <w:pPr>
              <w:rPr>
                <w:lang w:eastAsia="en-GB"/>
              </w:rPr>
            </w:pPr>
            <w:r w:rsidRPr="00414B3D">
              <w:rPr>
                <w:lang w:eastAsia="en-GB"/>
              </w:rPr>
              <w:t>Maximising opportunities for mutually beneficial activities beyond the DA.</w:t>
            </w:r>
          </w:p>
        </w:tc>
      </w:tr>
      <w:tr w:rsidR="00F53638" w:rsidTr="006B065D">
        <w:tc>
          <w:tcPr>
            <w:tcW w:w="1838" w:type="dxa"/>
          </w:tcPr>
          <w:p w:rsidR="00F53638" w:rsidRPr="00414B3D" w:rsidRDefault="00F53638" w:rsidP="006B065D">
            <w:pPr>
              <w:spacing w:after="160"/>
              <w:rPr>
                <w:i/>
              </w:rPr>
            </w:pPr>
            <w:r w:rsidRPr="00414B3D">
              <w:rPr>
                <w:i/>
              </w:rPr>
              <w:t>Barriers</w:t>
            </w:r>
          </w:p>
        </w:tc>
        <w:tc>
          <w:tcPr>
            <w:tcW w:w="7178" w:type="dxa"/>
            <w:vAlign w:val="center"/>
          </w:tcPr>
          <w:p w:rsidR="00F53638" w:rsidRPr="00414B3D" w:rsidRDefault="00F53638" w:rsidP="006B065D">
            <w:pPr>
              <w:rPr>
                <w:lang w:eastAsia="en-GB"/>
              </w:rPr>
            </w:pPr>
            <w:r w:rsidRPr="00414B3D">
              <w:rPr>
                <w:lang w:eastAsia="en-GB"/>
              </w:rPr>
              <w:t>Attracting the appropriate resource with the communication skills to unite culturally different sectors</w:t>
            </w:r>
          </w:p>
        </w:tc>
      </w:tr>
      <w:tr w:rsidR="00F53638" w:rsidTr="006B065D">
        <w:tc>
          <w:tcPr>
            <w:tcW w:w="1838" w:type="dxa"/>
            <w:tcBorders>
              <w:bottom w:val="single" w:sz="4" w:space="0" w:color="auto"/>
            </w:tcBorders>
          </w:tcPr>
          <w:p w:rsidR="00F53638" w:rsidRPr="00414B3D" w:rsidRDefault="00F53638" w:rsidP="006B065D">
            <w:pPr>
              <w:spacing w:after="160"/>
              <w:rPr>
                <w:b/>
                <w:i/>
              </w:rPr>
            </w:pPr>
            <w:r w:rsidRPr="00414B3D">
              <w:rPr>
                <w:b/>
                <w:i/>
              </w:rPr>
              <w:t>Impact</w:t>
            </w:r>
          </w:p>
        </w:tc>
        <w:tc>
          <w:tcPr>
            <w:tcW w:w="7178" w:type="dxa"/>
            <w:tcBorders>
              <w:bottom w:val="single" w:sz="4" w:space="0" w:color="auto"/>
            </w:tcBorders>
            <w:vAlign w:val="center"/>
          </w:tcPr>
          <w:p w:rsidR="00F53638" w:rsidRPr="00414B3D" w:rsidRDefault="00F53638" w:rsidP="006B065D">
            <w:pPr>
              <w:rPr>
                <w:b/>
                <w:bCs/>
                <w:lang w:eastAsia="en-GB"/>
              </w:rPr>
            </w:pPr>
            <w:r w:rsidRPr="00414B3D">
              <w:rPr>
                <w:b/>
                <w:bCs/>
                <w:lang w:eastAsia="en-GB"/>
              </w:rPr>
              <w:t>Industry designed curriculum</w:t>
            </w:r>
          </w:p>
        </w:tc>
      </w:tr>
      <w:tr w:rsidR="00F53638" w:rsidTr="006B065D">
        <w:tc>
          <w:tcPr>
            <w:tcW w:w="1838" w:type="dxa"/>
            <w:tcBorders>
              <w:top w:val="single" w:sz="4" w:space="0" w:color="auto"/>
            </w:tcBorders>
          </w:tcPr>
          <w:p w:rsidR="00F53638" w:rsidRPr="00414B3D" w:rsidRDefault="00F53638" w:rsidP="006B065D">
            <w:pPr>
              <w:spacing w:after="160"/>
              <w:rPr>
                <w:i/>
              </w:rPr>
            </w:pPr>
            <w:r w:rsidRPr="00414B3D">
              <w:rPr>
                <w:i/>
              </w:rPr>
              <w:t>Benefits</w:t>
            </w:r>
          </w:p>
        </w:tc>
        <w:tc>
          <w:tcPr>
            <w:tcW w:w="7178" w:type="dxa"/>
            <w:tcBorders>
              <w:top w:val="single" w:sz="4" w:space="0" w:color="auto"/>
            </w:tcBorders>
            <w:vAlign w:val="center"/>
          </w:tcPr>
          <w:p w:rsidR="00F53638" w:rsidRPr="00414B3D" w:rsidRDefault="00F53638" w:rsidP="006B065D">
            <w:pPr>
              <w:rPr>
                <w:lang w:eastAsia="en-GB"/>
              </w:rPr>
            </w:pPr>
            <w:r w:rsidRPr="00414B3D">
              <w:rPr>
                <w:lang w:eastAsia="en-GB"/>
              </w:rPr>
              <w:t>Commercially aware graduate apprentices with academic achievement and professional membership</w:t>
            </w:r>
          </w:p>
        </w:tc>
      </w:tr>
      <w:tr w:rsidR="00F53638" w:rsidTr="006B065D">
        <w:tc>
          <w:tcPr>
            <w:tcW w:w="1838" w:type="dxa"/>
          </w:tcPr>
          <w:p w:rsidR="00F53638" w:rsidRPr="00414B3D" w:rsidRDefault="00F53638" w:rsidP="006B065D">
            <w:pPr>
              <w:spacing w:after="160"/>
              <w:rPr>
                <w:i/>
              </w:rPr>
            </w:pPr>
            <w:r w:rsidRPr="00414B3D">
              <w:rPr>
                <w:i/>
              </w:rPr>
              <w:t>Barriers</w:t>
            </w:r>
          </w:p>
        </w:tc>
        <w:tc>
          <w:tcPr>
            <w:tcW w:w="7178" w:type="dxa"/>
            <w:vAlign w:val="center"/>
          </w:tcPr>
          <w:p w:rsidR="00F53638" w:rsidRPr="00414B3D" w:rsidRDefault="00F53638" w:rsidP="006B065D">
            <w:pPr>
              <w:rPr>
                <w:lang w:eastAsia="en-GB"/>
              </w:rPr>
            </w:pPr>
            <w:r w:rsidRPr="00414B3D">
              <w:rPr>
                <w:lang w:eastAsia="en-GB"/>
              </w:rPr>
              <w:t>Resourcing the current and evolving academic delivery</w:t>
            </w:r>
          </w:p>
        </w:tc>
      </w:tr>
      <w:tr w:rsidR="00F53638" w:rsidTr="006B065D">
        <w:tc>
          <w:tcPr>
            <w:tcW w:w="1838" w:type="dxa"/>
            <w:tcBorders>
              <w:bottom w:val="single" w:sz="4" w:space="0" w:color="auto"/>
            </w:tcBorders>
          </w:tcPr>
          <w:p w:rsidR="00F53638" w:rsidRPr="00414B3D" w:rsidRDefault="00F53638" w:rsidP="006B065D">
            <w:pPr>
              <w:spacing w:after="160"/>
              <w:rPr>
                <w:b/>
                <w:i/>
              </w:rPr>
            </w:pPr>
            <w:r w:rsidRPr="00414B3D">
              <w:rPr>
                <w:b/>
                <w:i/>
              </w:rPr>
              <w:t>Impact</w:t>
            </w:r>
          </w:p>
        </w:tc>
        <w:tc>
          <w:tcPr>
            <w:tcW w:w="7178" w:type="dxa"/>
            <w:tcBorders>
              <w:bottom w:val="single" w:sz="4" w:space="0" w:color="auto"/>
            </w:tcBorders>
            <w:vAlign w:val="center"/>
          </w:tcPr>
          <w:p w:rsidR="00F53638" w:rsidRPr="00414B3D" w:rsidRDefault="00F53638" w:rsidP="006B065D">
            <w:pPr>
              <w:rPr>
                <w:b/>
                <w:bCs/>
                <w:lang w:eastAsia="en-GB"/>
              </w:rPr>
            </w:pPr>
            <w:r w:rsidRPr="00414B3D">
              <w:rPr>
                <w:b/>
                <w:bCs/>
                <w:lang w:eastAsia="en-GB"/>
              </w:rPr>
              <w:t xml:space="preserve">New funding system - Apprenticeship levy </w:t>
            </w:r>
          </w:p>
        </w:tc>
      </w:tr>
      <w:tr w:rsidR="00F53638" w:rsidTr="006B065D">
        <w:tc>
          <w:tcPr>
            <w:tcW w:w="1838" w:type="dxa"/>
            <w:tcBorders>
              <w:top w:val="single" w:sz="4" w:space="0" w:color="auto"/>
            </w:tcBorders>
          </w:tcPr>
          <w:p w:rsidR="00F53638" w:rsidRPr="00414B3D" w:rsidRDefault="00F53638" w:rsidP="006B065D">
            <w:pPr>
              <w:spacing w:after="160"/>
              <w:rPr>
                <w:i/>
              </w:rPr>
            </w:pPr>
            <w:r w:rsidRPr="00414B3D">
              <w:rPr>
                <w:i/>
              </w:rPr>
              <w:t>Benefits</w:t>
            </w:r>
          </w:p>
        </w:tc>
        <w:tc>
          <w:tcPr>
            <w:tcW w:w="7178" w:type="dxa"/>
            <w:tcBorders>
              <w:top w:val="single" w:sz="4" w:space="0" w:color="auto"/>
            </w:tcBorders>
            <w:vAlign w:val="center"/>
          </w:tcPr>
          <w:p w:rsidR="00F53638" w:rsidRPr="00414B3D" w:rsidRDefault="00F53638" w:rsidP="006B065D">
            <w:pPr>
              <w:rPr>
                <w:lang w:eastAsia="en-GB"/>
              </w:rPr>
            </w:pPr>
            <w:r w:rsidRPr="00414B3D">
              <w:rPr>
                <w:lang w:eastAsia="en-GB"/>
              </w:rPr>
              <w:t>Financial assistance for both student and employer</w:t>
            </w:r>
          </w:p>
        </w:tc>
      </w:tr>
      <w:tr w:rsidR="00F53638" w:rsidTr="006B065D">
        <w:tc>
          <w:tcPr>
            <w:tcW w:w="1838" w:type="dxa"/>
          </w:tcPr>
          <w:p w:rsidR="00F53638" w:rsidRPr="00414B3D" w:rsidRDefault="00F53638" w:rsidP="006B065D">
            <w:pPr>
              <w:spacing w:after="160"/>
              <w:rPr>
                <w:i/>
              </w:rPr>
            </w:pPr>
            <w:r w:rsidRPr="00414B3D">
              <w:rPr>
                <w:i/>
              </w:rPr>
              <w:t>Barriers</w:t>
            </w:r>
          </w:p>
        </w:tc>
        <w:tc>
          <w:tcPr>
            <w:tcW w:w="7178" w:type="dxa"/>
            <w:vAlign w:val="center"/>
          </w:tcPr>
          <w:p w:rsidR="00F53638" w:rsidRPr="00414B3D" w:rsidRDefault="00F53638" w:rsidP="006B065D">
            <w:pPr>
              <w:rPr>
                <w:lang w:eastAsia="en-GB"/>
              </w:rPr>
            </w:pPr>
            <w:r w:rsidRPr="00414B3D">
              <w:rPr>
                <w:lang w:eastAsia="en-GB"/>
              </w:rPr>
              <w:t>Complex and inaccessible process subject to political influence</w:t>
            </w:r>
          </w:p>
        </w:tc>
      </w:tr>
      <w:tr w:rsidR="00F53638" w:rsidTr="006B065D">
        <w:tc>
          <w:tcPr>
            <w:tcW w:w="1838" w:type="dxa"/>
            <w:tcBorders>
              <w:bottom w:val="single" w:sz="4" w:space="0" w:color="auto"/>
            </w:tcBorders>
          </w:tcPr>
          <w:p w:rsidR="00F53638" w:rsidRPr="00414B3D" w:rsidRDefault="00F53638" w:rsidP="006B065D">
            <w:pPr>
              <w:spacing w:after="160"/>
              <w:rPr>
                <w:b/>
                <w:i/>
              </w:rPr>
            </w:pPr>
            <w:r w:rsidRPr="00414B3D">
              <w:rPr>
                <w:b/>
                <w:i/>
              </w:rPr>
              <w:t>Impact</w:t>
            </w:r>
          </w:p>
        </w:tc>
        <w:tc>
          <w:tcPr>
            <w:tcW w:w="7178" w:type="dxa"/>
            <w:tcBorders>
              <w:bottom w:val="single" w:sz="4" w:space="0" w:color="auto"/>
            </w:tcBorders>
            <w:vAlign w:val="center"/>
          </w:tcPr>
          <w:p w:rsidR="00F53638" w:rsidRPr="00414B3D" w:rsidRDefault="00F53638" w:rsidP="006B065D">
            <w:pPr>
              <w:rPr>
                <w:b/>
                <w:bCs/>
                <w:lang w:eastAsia="en-GB"/>
              </w:rPr>
            </w:pPr>
            <w:r w:rsidRPr="00414B3D">
              <w:rPr>
                <w:b/>
                <w:bCs/>
                <w:lang w:eastAsia="en-GB"/>
              </w:rPr>
              <w:t>Additional governance</w:t>
            </w:r>
          </w:p>
        </w:tc>
      </w:tr>
      <w:tr w:rsidR="00F53638" w:rsidTr="006B065D">
        <w:tc>
          <w:tcPr>
            <w:tcW w:w="1838" w:type="dxa"/>
            <w:tcBorders>
              <w:top w:val="single" w:sz="4" w:space="0" w:color="auto"/>
            </w:tcBorders>
          </w:tcPr>
          <w:p w:rsidR="00F53638" w:rsidRPr="00414B3D" w:rsidRDefault="00F53638" w:rsidP="006B065D">
            <w:pPr>
              <w:spacing w:after="160"/>
              <w:rPr>
                <w:i/>
              </w:rPr>
            </w:pPr>
            <w:r w:rsidRPr="00414B3D">
              <w:rPr>
                <w:i/>
              </w:rPr>
              <w:t>Benefits</w:t>
            </w:r>
          </w:p>
        </w:tc>
        <w:tc>
          <w:tcPr>
            <w:tcW w:w="7178" w:type="dxa"/>
            <w:tcBorders>
              <w:top w:val="single" w:sz="4" w:space="0" w:color="auto"/>
            </w:tcBorders>
            <w:vAlign w:val="center"/>
          </w:tcPr>
          <w:p w:rsidR="00F53638" w:rsidRPr="00414B3D" w:rsidRDefault="00F53638" w:rsidP="006B065D">
            <w:pPr>
              <w:rPr>
                <w:lang w:eastAsia="en-GB"/>
              </w:rPr>
            </w:pPr>
            <w:r w:rsidRPr="00414B3D">
              <w:rPr>
                <w:lang w:eastAsia="en-GB"/>
              </w:rPr>
              <w:t>Framework for consistency and continual improvement in DA delivery</w:t>
            </w:r>
          </w:p>
        </w:tc>
      </w:tr>
      <w:tr w:rsidR="00F53638" w:rsidTr="006B065D">
        <w:tc>
          <w:tcPr>
            <w:tcW w:w="1838" w:type="dxa"/>
          </w:tcPr>
          <w:p w:rsidR="00F53638" w:rsidRPr="00414B3D" w:rsidRDefault="00F53638" w:rsidP="006B065D">
            <w:pPr>
              <w:spacing w:after="160"/>
              <w:rPr>
                <w:i/>
              </w:rPr>
            </w:pPr>
            <w:r w:rsidRPr="00414B3D">
              <w:rPr>
                <w:i/>
              </w:rPr>
              <w:t>Barriers</w:t>
            </w:r>
          </w:p>
        </w:tc>
        <w:tc>
          <w:tcPr>
            <w:tcW w:w="7178" w:type="dxa"/>
            <w:vAlign w:val="center"/>
          </w:tcPr>
          <w:p w:rsidR="00F53638" w:rsidRPr="00414B3D" w:rsidRDefault="00F53638" w:rsidP="006B065D">
            <w:pPr>
              <w:rPr>
                <w:lang w:eastAsia="en-GB"/>
              </w:rPr>
            </w:pPr>
            <w:r w:rsidRPr="00414B3D">
              <w:rPr>
                <w:lang w:eastAsia="en-GB"/>
              </w:rPr>
              <w:t>Bureaucracy and limited resource in new markets</w:t>
            </w:r>
          </w:p>
        </w:tc>
      </w:tr>
      <w:tr w:rsidR="00F53638" w:rsidTr="006B065D">
        <w:tc>
          <w:tcPr>
            <w:tcW w:w="1838" w:type="dxa"/>
            <w:tcBorders>
              <w:bottom w:val="single" w:sz="4" w:space="0" w:color="auto"/>
            </w:tcBorders>
          </w:tcPr>
          <w:p w:rsidR="00F53638" w:rsidRPr="00414B3D" w:rsidRDefault="00F53638" w:rsidP="006B065D">
            <w:pPr>
              <w:spacing w:after="160"/>
              <w:rPr>
                <w:b/>
                <w:i/>
              </w:rPr>
            </w:pPr>
            <w:r w:rsidRPr="00414B3D">
              <w:rPr>
                <w:b/>
                <w:i/>
              </w:rPr>
              <w:t>Impact</w:t>
            </w:r>
          </w:p>
        </w:tc>
        <w:tc>
          <w:tcPr>
            <w:tcW w:w="7178" w:type="dxa"/>
            <w:tcBorders>
              <w:bottom w:val="single" w:sz="4" w:space="0" w:color="auto"/>
            </w:tcBorders>
            <w:vAlign w:val="center"/>
          </w:tcPr>
          <w:p w:rsidR="00F53638" w:rsidRPr="00414B3D" w:rsidRDefault="00F53638" w:rsidP="006B065D">
            <w:pPr>
              <w:rPr>
                <w:b/>
                <w:bCs/>
                <w:lang w:eastAsia="en-GB"/>
              </w:rPr>
            </w:pPr>
            <w:r w:rsidRPr="00414B3D">
              <w:rPr>
                <w:b/>
                <w:bCs/>
                <w:lang w:eastAsia="en-GB"/>
              </w:rPr>
              <w:t>Authentic learning and embedding work based learning pedagogy</w:t>
            </w:r>
          </w:p>
        </w:tc>
      </w:tr>
      <w:tr w:rsidR="00F53638" w:rsidTr="006B065D">
        <w:tc>
          <w:tcPr>
            <w:tcW w:w="1838" w:type="dxa"/>
            <w:tcBorders>
              <w:top w:val="single" w:sz="4" w:space="0" w:color="auto"/>
            </w:tcBorders>
          </w:tcPr>
          <w:p w:rsidR="00F53638" w:rsidRPr="00414B3D" w:rsidRDefault="00F53638" w:rsidP="006B065D">
            <w:pPr>
              <w:spacing w:after="160"/>
              <w:rPr>
                <w:i/>
              </w:rPr>
            </w:pPr>
            <w:r w:rsidRPr="00414B3D">
              <w:rPr>
                <w:i/>
              </w:rPr>
              <w:t>Benefits</w:t>
            </w:r>
          </w:p>
        </w:tc>
        <w:tc>
          <w:tcPr>
            <w:tcW w:w="7178" w:type="dxa"/>
            <w:tcBorders>
              <w:top w:val="single" w:sz="4" w:space="0" w:color="auto"/>
            </w:tcBorders>
            <w:vAlign w:val="center"/>
          </w:tcPr>
          <w:p w:rsidR="00F53638" w:rsidRPr="00414B3D" w:rsidRDefault="00F53638" w:rsidP="006B065D">
            <w:pPr>
              <w:rPr>
                <w:color w:val="000000"/>
                <w:lang w:eastAsia="en-GB"/>
              </w:rPr>
            </w:pPr>
            <w:r w:rsidRPr="00414B3D">
              <w:rPr>
                <w:color w:val="000000"/>
                <w:lang w:eastAsia="en-GB"/>
              </w:rPr>
              <w:t>Aligning the workplace and classroom and encouraging innovation and application</w:t>
            </w:r>
          </w:p>
        </w:tc>
      </w:tr>
      <w:tr w:rsidR="00F53638" w:rsidTr="006B065D">
        <w:tc>
          <w:tcPr>
            <w:tcW w:w="1838" w:type="dxa"/>
            <w:tcBorders>
              <w:bottom w:val="single" w:sz="4" w:space="0" w:color="auto"/>
            </w:tcBorders>
          </w:tcPr>
          <w:p w:rsidR="00F53638" w:rsidRPr="00414B3D" w:rsidRDefault="00F53638" w:rsidP="006B065D">
            <w:pPr>
              <w:spacing w:after="160"/>
              <w:rPr>
                <w:i/>
              </w:rPr>
            </w:pPr>
            <w:r w:rsidRPr="00414B3D">
              <w:rPr>
                <w:i/>
              </w:rPr>
              <w:t>Barriers</w:t>
            </w:r>
          </w:p>
        </w:tc>
        <w:tc>
          <w:tcPr>
            <w:tcW w:w="7178" w:type="dxa"/>
            <w:tcBorders>
              <w:bottom w:val="single" w:sz="4" w:space="0" w:color="auto"/>
            </w:tcBorders>
            <w:vAlign w:val="center"/>
          </w:tcPr>
          <w:p w:rsidR="00F53638" w:rsidRPr="00414B3D" w:rsidRDefault="00F53638" w:rsidP="006B065D">
            <w:pPr>
              <w:rPr>
                <w:color w:val="000000"/>
                <w:lang w:eastAsia="en-GB"/>
              </w:rPr>
            </w:pPr>
            <w:r w:rsidRPr="00414B3D">
              <w:rPr>
                <w:color w:val="000000"/>
                <w:lang w:eastAsia="en-GB"/>
              </w:rPr>
              <w:t>Commitment and priorities from all stakeholders</w:t>
            </w:r>
          </w:p>
        </w:tc>
      </w:tr>
    </w:tbl>
    <w:tbl>
      <w:tblPr>
        <w:tblW w:w="10420" w:type="dxa"/>
        <w:tblLook w:val="04A0" w:firstRow="1" w:lastRow="0" w:firstColumn="1" w:lastColumn="0" w:noHBand="0" w:noVBand="1"/>
      </w:tblPr>
      <w:tblGrid>
        <w:gridCol w:w="10420"/>
      </w:tblGrid>
      <w:tr w:rsidR="00F53638" w:rsidRPr="00916E5C" w:rsidTr="006B065D">
        <w:trPr>
          <w:trHeight w:val="375"/>
        </w:trPr>
        <w:tc>
          <w:tcPr>
            <w:tcW w:w="10420" w:type="dxa"/>
            <w:tcBorders>
              <w:top w:val="nil"/>
              <w:left w:val="nil"/>
              <w:bottom w:val="nil"/>
              <w:right w:val="nil"/>
            </w:tcBorders>
            <w:shd w:val="clear" w:color="auto" w:fill="auto"/>
            <w:vAlign w:val="center"/>
          </w:tcPr>
          <w:p w:rsidR="00F53638" w:rsidRPr="00916E5C" w:rsidRDefault="00F53638" w:rsidP="006B065D">
            <w:pPr>
              <w:spacing w:line="480" w:lineRule="auto"/>
              <w:rPr>
                <w:b/>
                <w:bCs/>
                <w:color w:val="000000"/>
                <w:sz w:val="24"/>
                <w:szCs w:val="24"/>
                <w:lang w:eastAsia="en-GB"/>
              </w:rPr>
            </w:pPr>
            <w:r>
              <w:rPr>
                <w:b/>
                <w:i/>
              </w:rPr>
              <w:br w:type="page"/>
            </w:r>
          </w:p>
        </w:tc>
      </w:tr>
    </w:tbl>
    <w:p w:rsidR="00E80350" w:rsidRPr="003D6CE4" w:rsidRDefault="007E2FFA" w:rsidP="00F53638">
      <w:pPr>
        <w:autoSpaceDE w:val="0"/>
        <w:autoSpaceDN w:val="0"/>
        <w:adjustRightInd w:val="0"/>
        <w:rPr>
          <w:rFonts w:eastAsiaTheme="minorHAnsi"/>
          <w:color w:val="000000"/>
          <w:sz w:val="24"/>
          <w:szCs w:val="24"/>
        </w:rPr>
      </w:pPr>
      <w:bookmarkStart w:id="0" w:name="_GoBack"/>
      <w:bookmarkEnd w:id="0"/>
      <w:r w:rsidRPr="007E2FFA">
        <w:rPr>
          <w:rFonts w:eastAsiaTheme="minorHAnsi"/>
          <w:color w:val="000000"/>
          <w:sz w:val="24"/>
          <w:szCs w:val="24"/>
        </w:rPr>
        <w:t xml:space="preserve">The key question is ‘can the increased level of resource required to deliver the distinctive characteristics of a DA </w:t>
      </w:r>
      <w:proofErr w:type="spellStart"/>
      <w:r w:rsidRPr="007E2FFA">
        <w:rPr>
          <w:rFonts w:eastAsiaTheme="minorHAnsi"/>
          <w:color w:val="000000"/>
          <w:sz w:val="24"/>
          <w:szCs w:val="24"/>
        </w:rPr>
        <w:t>ie</w:t>
      </w:r>
      <w:proofErr w:type="spellEnd"/>
      <w:r w:rsidRPr="007E2FFA">
        <w:rPr>
          <w:rFonts w:eastAsiaTheme="minorHAnsi"/>
          <w:color w:val="000000"/>
          <w:sz w:val="24"/>
          <w:szCs w:val="24"/>
        </w:rPr>
        <w:t xml:space="preserve"> work based learning, </w:t>
      </w:r>
      <w:r w:rsidR="00E1777E">
        <w:rPr>
          <w:rFonts w:eastAsiaTheme="minorHAnsi"/>
          <w:color w:val="000000"/>
          <w:sz w:val="24"/>
          <w:szCs w:val="24"/>
        </w:rPr>
        <w:t xml:space="preserve">cross sector </w:t>
      </w:r>
      <w:r w:rsidRPr="007E2FFA">
        <w:rPr>
          <w:rFonts w:eastAsiaTheme="minorHAnsi"/>
          <w:color w:val="000000"/>
          <w:sz w:val="24"/>
          <w:szCs w:val="24"/>
        </w:rPr>
        <w:t>collaboration, professional competence, be enab</w:t>
      </w:r>
      <w:r w:rsidR="00832542">
        <w:rPr>
          <w:rFonts w:eastAsiaTheme="minorHAnsi"/>
          <w:color w:val="000000"/>
          <w:sz w:val="24"/>
          <w:szCs w:val="24"/>
        </w:rPr>
        <w:t xml:space="preserve">led within HEI and employers?’ </w:t>
      </w:r>
      <w:r w:rsidRPr="007E2FFA">
        <w:rPr>
          <w:rFonts w:eastAsiaTheme="minorHAnsi"/>
          <w:color w:val="000000"/>
          <w:sz w:val="24"/>
          <w:szCs w:val="24"/>
        </w:rPr>
        <w:t xml:space="preserve"> </w:t>
      </w:r>
      <w:r w:rsidR="00E1777E">
        <w:rPr>
          <w:rFonts w:eastAsiaTheme="minorHAnsi"/>
          <w:color w:val="000000"/>
          <w:sz w:val="24"/>
          <w:szCs w:val="24"/>
        </w:rPr>
        <w:t>These</w:t>
      </w:r>
      <w:r w:rsidR="00E80350">
        <w:rPr>
          <w:rFonts w:eastAsiaTheme="minorHAnsi"/>
          <w:color w:val="000000"/>
          <w:sz w:val="24"/>
          <w:szCs w:val="24"/>
        </w:rPr>
        <w:t xml:space="preserve"> activities support the</w:t>
      </w:r>
      <w:r w:rsidR="00E1777E">
        <w:rPr>
          <w:rFonts w:eastAsiaTheme="minorHAnsi"/>
          <w:color w:val="000000"/>
          <w:sz w:val="24"/>
          <w:szCs w:val="24"/>
        </w:rPr>
        <w:t xml:space="preserve"> findings of</w:t>
      </w:r>
      <w:r w:rsidR="00E80350">
        <w:rPr>
          <w:rFonts w:eastAsiaTheme="minorHAnsi"/>
          <w:color w:val="000000"/>
          <w:sz w:val="24"/>
          <w:szCs w:val="24"/>
        </w:rPr>
        <w:t xml:space="preserve"> </w:t>
      </w:r>
      <w:proofErr w:type="spellStart"/>
      <w:r w:rsidR="00E80350">
        <w:rPr>
          <w:rFonts w:eastAsiaTheme="minorHAnsi"/>
          <w:color w:val="000000"/>
          <w:sz w:val="24"/>
          <w:szCs w:val="24"/>
        </w:rPr>
        <w:t>Mulkeen</w:t>
      </w:r>
      <w:proofErr w:type="spellEnd"/>
      <w:r w:rsidR="00E80350">
        <w:rPr>
          <w:rFonts w:eastAsiaTheme="minorHAnsi"/>
          <w:color w:val="000000"/>
          <w:sz w:val="24"/>
          <w:szCs w:val="24"/>
        </w:rPr>
        <w:t xml:space="preserve"> et al </w:t>
      </w:r>
      <w:r w:rsidR="00E1777E">
        <w:rPr>
          <w:rFonts w:eastAsiaTheme="minorHAnsi"/>
          <w:color w:val="000000"/>
          <w:sz w:val="24"/>
          <w:szCs w:val="24"/>
        </w:rPr>
        <w:t>who acknowledge the</w:t>
      </w:r>
      <w:r w:rsidR="00E80350" w:rsidRPr="003D6CE4">
        <w:rPr>
          <w:rFonts w:eastAsiaTheme="minorHAnsi"/>
          <w:color w:val="000000"/>
          <w:sz w:val="24"/>
          <w:szCs w:val="24"/>
        </w:rPr>
        <w:t xml:space="preserve"> </w:t>
      </w:r>
      <w:r w:rsidR="00E1777E">
        <w:rPr>
          <w:rFonts w:eastAsiaTheme="minorHAnsi"/>
          <w:color w:val="000000"/>
          <w:sz w:val="24"/>
          <w:szCs w:val="24"/>
        </w:rPr>
        <w:t xml:space="preserve">essential nature of </w:t>
      </w:r>
      <w:r w:rsidR="00E80350" w:rsidRPr="003D6CE4">
        <w:rPr>
          <w:rFonts w:eastAsiaTheme="minorHAnsi"/>
          <w:color w:val="000000"/>
          <w:sz w:val="24"/>
          <w:szCs w:val="24"/>
        </w:rPr>
        <w:t>collaboration, co-operat</w:t>
      </w:r>
      <w:r w:rsidR="00E1777E">
        <w:rPr>
          <w:rFonts w:eastAsiaTheme="minorHAnsi"/>
          <w:color w:val="000000"/>
          <w:sz w:val="24"/>
          <w:szCs w:val="24"/>
        </w:rPr>
        <w:t xml:space="preserve">ion and co-creation between </w:t>
      </w:r>
      <w:r w:rsidR="00E80350" w:rsidRPr="003D6CE4">
        <w:rPr>
          <w:rFonts w:eastAsiaTheme="minorHAnsi"/>
          <w:color w:val="000000"/>
          <w:sz w:val="24"/>
          <w:szCs w:val="24"/>
        </w:rPr>
        <w:t xml:space="preserve">employer and </w:t>
      </w:r>
      <w:r w:rsidR="00E1777E">
        <w:rPr>
          <w:rFonts w:eastAsiaTheme="minorHAnsi"/>
          <w:color w:val="000000"/>
          <w:sz w:val="24"/>
          <w:szCs w:val="24"/>
        </w:rPr>
        <w:t>HEI.</w:t>
      </w:r>
    </w:p>
    <w:p w:rsidR="007E2FFA" w:rsidRDefault="007E2FFA" w:rsidP="00F53638">
      <w:pPr>
        <w:autoSpaceDE w:val="0"/>
        <w:autoSpaceDN w:val="0"/>
        <w:adjustRightInd w:val="0"/>
        <w:rPr>
          <w:rFonts w:eastAsiaTheme="minorHAnsi"/>
          <w:color w:val="000000"/>
          <w:sz w:val="24"/>
          <w:szCs w:val="24"/>
        </w:rPr>
      </w:pPr>
      <w:r w:rsidRPr="007E2FFA">
        <w:rPr>
          <w:rFonts w:eastAsiaTheme="minorHAnsi"/>
          <w:color w:val="000000"/>
          <w:sz w:val="24"/>
          <w:szCs w:val="24"/>
        </w:rPr>
        <w:lastRenderedPageBreak/>
        <w:t xml:space="preserve">Addressing the requirement for an increased level of staff resource, which is versed both in education and practice, is considered to be influential in enabling the benefits of the DA for all stakeholders. Developing this infrastructure is a critical component for delivering high quality DAs which deliver on the government expectations of producing work ready graduates.  The DA is compromised by often conflicting organisational structures and commercial priorities across the stakeholders.  An enhanced support structure requires a redefinition of the employer as an educator and a wider role for HEI as an educator and assessor in the workplace.   One of the biggest challenges is the delivery of the industry designed curriculum, which would be expected to reflect currency in practice.  A strategy for this sees an increased level of co-delivery across employers and industry, resulting in enhanced work based learning pedagogy and authentic project based learning opportunities. </w:t>
      </w:r>
    </w:p>
    <w:p w:rsidR="007E2FFA" w:rsidRPr="007E2FFA" w:rsidRDefault="007E2FFA" w:rsidP="00F53638">
      <w:pPr>
        <w:autoSpaceDE w:val="0"/>
        <w:autoSpaceDN w:val="0"/>
        <w:adjustRightInd w:val="0"/>
        <w:rPr>
          <w:rFonts w:eastAsiaTheme="minorHAnsi"/>
          <w:color w:val="000000"/>
          <w:sz w:val="24"/>
          <w:szCs w:val="24"/>
        </w:rPr>
      </w:pPr>
    </w:p>
    <w:p w:rsidR="007E2FFA" w:rsidRDefault="007E2FFA" w:rsidP="00F53638">
      <w:pPr>
        <w:autoSpaceDE w:val="0"/>
        <w:autoSpaceDN w:val="0"/>
        <w:adjustRightInd w:val="0"/>
        <w:rPr>
          <w:rFonts w:eastAsiaTheme="minorHAnsi"/>
          <w:color w:val="000000"/>
          <w:sz w:val="24"/>
          <w:szCs w:val="24"/>
        </w:rPr>
      </w:pPr>
      <w:r w:rsidRPr="007E2FFA">
        <w:rPr>
          <w:rFonts w:eastAsiaTheme="minorHAnsi"/>
          <w:color w:val="000000"/>
          <w:sz w:val="24"/>
          <w:szCs w:val="24"/>
        </w:rPr>
        <w:t xml:space="preserve">The key stakeholder at the centre of the new educational philosophy is acknowledged as the apprentice, who undoubtedly benefits from the existence of the apprenticeship levy and a tuition fee free education.  The ability to realize the Richard Review of Apprenticeships defined benefits is the central tenet of DAs. </w:t>
      </w:r>
      <w:r w:rsidR="00F5109D">
        <w:rPr>
          <w:rFonts w:eastAsiaTheme="minorHAnsi"/>
          <w:color w:val="000000"/>
          <w:sz w:val="24"/>
          <w:szCs w:val="24"/>
        </w:rPr>
        <w:t>Progressing the work of Pratt &amp; Johnson</w:t>
      </w:r>
      <w:r w:rsidR="00E02AD6">
        <w:rPr>
          <w:rFonts w:eastAsiaTheme="minorHAnsi"/>
          <w:color w:val="000000"/>
          <w:sz w:val="24"/>
          <w:szCs w:val="24"/>
        </w:rPr>
        <w:t xml:space="preserve"> in the development of s</w:t>
      </w:r>
      <w:r w:rsidRPr="007E2FFA">
        <w:rPr>
          <w:rFonts w:eastAsiaTheme="minorHAnsi"/>
          <w:color w:val="000000"/>
          <w:sz w:val="24"/>
          <w:szCs w:val="24"/>
        </w:rPr>
        <w:t>elf-motivated</w:t>
      </w:r>
      <w:r w:rsidR="00E02AD6">
        <w:rPr>
          <w:rFonts w:eastAsiaTheme="minorHAnsi"/>
          <w:color w:val="000000"/>
          <w:sz w:val="24"/>
          <w:szCs w:val="24"/>
        </w:rPr>
        <w:t>, intellectual</w:t>
      </w:r>
      <w:r w:rsidRPr="007E2FFA">
        <w:rPr>
          <w:rFonts w:eastAsiaTheme="minorHAnsi"/>
          <w:color w:val="000000"/>
          <w:sz w:val="24"/>
          <w:szCs w:val="24"/>
        </w:rPr>
        <w:t xml:space="preserve"> apprentices who enga</w:t>
      </w:r>
      <w:r w:rsidR="00E02AD6">
        <w:rPr>
          <w:rFonts w:eastAsiaTheme="minorHAnsi"/>
          <w:color w:val="000000"/>
          <w:sz w:val="24"/>
          <w:szCs w:val="24"/>
        </w:rPr>
        <w:t>ge in their learning process as</w:t>
      </w:r>
      <w:r w:rsidRPr="007E2FFA">
        <w:rPr>
          <w:rFonts w:eastAsiaTheme="minorHAnsi"/>
          <w:color w:val="000000"/>
          <w:sz w:val="24"/>
          <w:szCs w:val="24"/>
        </w:rPr>
        <w:t xml:space="preserve"> the driving force of D</w:t>
      </w:r>
      <w:r w:rsidR="00E02AD6">
        <w:rPr>
          <w:rFonts w:eastAsiaTheme="minorHAnsi"/>
          <w:color w:val="000000"/>
          <w:sz w:val="24"/>
          <w:szCs w:val="24"/>
        </w:rPr>
        <w:t>A</w:t>
      </w:r>
      <w:r w:rsidRPr="007E2FFA">
        <w:rPr>
          <w:rFonts w:eastAsiaTheme="minorHAnsi"/>
          <w:color w:val="000000"/>
          <w:sz w:val="24"/>
          <w:szCs w:val="24"/>
        </w:rPr>
        <w:t>s</w:t>
      </w:r>
      <w:r w:rsidR="00E02AD6">
        <w:rPr>
          <w:rFonts w:eastAsiaTheme="minorHAnsi"/>
          <w:color w:val="000000"/>
          <w:sz w:val="24"/>
          <w:szCs w:val="24"/>
        </w:rPr>
        <w:t xml:space="preserve">.  </w:t>
      </w:r>
      <w:r w:rsidRPr="007E2FFA">
        <w:rPr>
          <w:rFonts w:eastAsiaTheme="minorHAnsi"/>
          <w:color w:val="000000"/>
          <w:sz w:val="24"/>
          <w:szCs w:val="24"/>
        </w:rPr>
        <w:t xml:space="preserve"> </w:t>
      </w:r>
      <w:r w:rsidR="00E02AD6">
        <w:rPr>
          <w:rFonts w:eastAsiaTheme="minorHAnsi"/>
          <w:color w:val="000000"/>
          <w:sz w:val="24"/>
          <w:szCs w:val="24"/>
        </w:rPr>
        <w:t>This level of apprentice has a longer-term view</w:t>
      </w:r>
      <w:r w:rsidRPr="007E2FFA">
        <w:rPr>
          <w:rFonts w:eastAsiaTheme="minorHAnsi"/>
          <w:color w:val="000000"/>
          <w:sz w:val="24"/>
          <w:szCs w:val="24"/>
        </w:rPr>
        <w:t xml:space="preserve"> of career benefits, opportunities after graduation and ultimately </w:t>
      </w:r>
      <w:r w:rsidR="00E02AD6">
        <w:rPr>
          <w:rFonts w:eastAsiaTheme="minorHAnsi"/>
          <w:color w:val="000000"/>
          <w:sz w:val="24"/>
          <w:szCs w:val="24"/>
        </w:rPr>
        <w:t>a positive impact on</w:t>
      </w:r>
      <w:r w:rsidRPr="007E2FFA">
        <w:rPr>
          <w:rFonts w:eastAsiaTheme="minorHAnsi"/>
          <w:color w:val="000000"/>
          <w:sz w:val="24"/>
          <w:szCs w:val="24"/>
        </w:rPr>
        <w:t xml:space="preserve"> the productivity</w:t>
      </w:r>
      <w:r w:rsidR="00F5109D">
        <w:rPr>
          <w:rFonts w:eastAsiaTheme="minorHAnsi"/>
          <w:color w:val="000000"/>
          <w:sz w:val="24"/>
          <w:szCs w:val="24"/>
        </w:rPr>
        <w:t xml:space="preserve"> and performance of the economy.</w:t>
      </w:r>
    </w:p>
    <w:p w:rsidR="007E2FFA" w:rsidRPr="007E2FFA" w:rsidRDefault="007E2FFA" w:rsidP="00F53638">
      <w:pPr>
        <w:autoSpaceDE w:val="0"/>
        <w:autoSpaceDN w:val="0"/>
        <w:adjustRightInd w:val="0"/>
        <w:rPr>
          <w:rFonts w:eastAsiaTheme="minorHAnsi"/>
          <w:color w:val="000000"/>
          <w:sz w:val="24"/>
          <w:szCs w:val="24"/>
        </w:rPr>
      </w:pPr>
    </w:p>
    <w:p w:rsidR="007E2FFA" w:rsidRDefault="007E2FFA" w:rsidP="00F53638">
      <w:pPr>
        <w:autoSpaceDE w:val="0"/>
        <w:autoSpaceDN w:val="0"/>
        <w:adjustRightInd w:val="0"/>
        <w:rPr>
          <w:rFonts w:eastAsiaTheme="minorHAnsi"/>
          <w:b/>
          <w:bCs/>
          <w:color w:val="000000"/>
          <w:sz w:val="24"/>
          <w:szCs w:val="24"/>
        </w:rPr>
      </w:pPr>
      <w:r>
        <w:rPr>
          <w:rFonts w:eastAsiaTheme="minorHAnsi"/>
          <w:b/>
          <w:bCs/>
          <w:color w:val="000000"/>
          <w:sz w:val="24"/>
          <w:szCs w:val="24"/>
        </w:rPr>
        <w:t>Further R</w:t>
      </w:r>
      <w:r w:rsidRPr="00916E5C">
        <w:rPr>
          <w:rFonts w:eastAsiaTheme="minorHAnsi"/>
          <w:b/>
          <w:bCs/>
          <w:color w:val="000000"/>
          <w:sz w:val="24"/>
          <w:szCs w:val="24"/>
        </w:rPr>
        <w:t>ecommendations</w:t>
      </w:r>
    </w:p>
    <w:p w:rsidR="007E2FFA" w:rsidRPr="00916E5C" w:rsidRDefault="007E2FFA" w:rsidP="00F53638">
      <w:pPr>
        <w:autoSpaceDE w:val="0"/>
        <w:autoSpaceDN w:val="0"/>
        <w:adjustRightInd w:val="0"/>
        <w:jc w:val="center"/>
        <w:rPr>
          <w:rFonts w:eastAsiaTheme="minorHAnsi"/>
          <w:color w:val="000000"/>
          <w:sz w:val="24"/>
          <w:szCs w:val="24"/>
        </w:rPr>
      </w:pPr>
    </w:p>
    <w:p w:rsidR="007E2FFA" w:rsidRPr="00916E5C" w:rsidRDefault="007E2FFA" w:rsidP="00F53638">
      <w:pPr>
        <w:autoSpaceDE w:val="0"/>
        <w:autoSpaceDN w:val="0"/>
        <w:adjustRightInd w:val="0"/>
        <w:rPr>
          <w:rFonts w:eastAsiaTheme="minorHAnsi"/>
          <w:color w:val="000000"/>
          <w:sz w:val="24"/>
          <w:szCs w:val="24"/>
        </w:rPr>
      </w:pPr>
      <w:r>
        <w:rPr>
          <w:rFonts w:eastAsiaTheme="minorHAnsi"/>
          <w:color w:val="000000"/>
          <w:sz w:val="24"/>
          <w:szCs w:val="24"/>
        </w:rPr>
        <w:t>To further extend this research a study into developing the infrastructure within HEI and employers to allow for the effective delivery of DA’s is recommended.</w:t>
      </w:r>
    </w:p>
    <w:p w:rsidR="009A0C95" w:rsidRPr="003D6CE4" w:rsidRDefault="009A0C95" w:rsidP="00F53638">
      <w:pPr>
        <w:pStyle w:val="Default"/>
        <w:rPr>
          <w:rFonts w:ascii="Times New Roman" w:hAnsi="Times New Roman" w:cs="Times New Roman"/>
          <w:b/>
          <w:bCs/>
        </w:rPr>
      </w:pPr>
    </w:p>
    <w:p w:rsidR="009B72B8" w:rsidRPr="003D6CE4" w:rsidRDefault="009B72B8" w:rsidP="00F53638">
      <w:pPr>
        <w:pStyle w:val="Default"/>
        <w:rPr>
          <w:rFonts w:ascii="Times New Roman" w:hAnsi="Times New Roman" w:cs="Times New Roman"/>
          <w:b/>
          <w:bCs/>
        </w:rPr>
      </w:pPr>
      <w:r w:rsidRPr="003D6CE4">
        <w:rPr>
          <w:rFonts w:ascii="Times New Roman" w:hAnsi="Times New Roman" w:cs="Times New Roman"/>
          <w:b/>
          <w:bCs/>
        </w:rPr>
        <w:t>Acknowledgements</w:t>
      </w:r>
    </w:p>
    <w:p w:rsidR="00F55694" w:rsidRPr="003D6CE4" w:rsidRDefault="00F55694" w:rsidP="00F53638">
      <w:pPr>
        <w:pStyle w:val="Default"/>
        <w:rPr>
          <w:rFonts w:ascii="Times New Roman" w:hAnsi="Times New Roman" w:cs="Times New Roman"/>
        </w:rPr>
      </w:pPr>
    </w:p>
    <w:p w:rsidR="009B72B8" w:rsidRPr="003D6CE4" w:rsidRDefault="009B72B8" w:rsidP="00F53638">
      <w:pPr>
        <w:pStyle w:val="Default"/>
        <w:rPr>
          <w:rFonts w:ascii="Times New Roman" w:hAnsi="Times New Roman" w:cs="Times New Roman"/>
        </w:rPr>
      </w:pPr>
      <w:r w:rsidRPr="003D6CE4">
        <w:rPr>
          <w:rFonts w:ascii="Times New Roman" w:hAnsi="Times New Roman" w:cs="Times New Roman"/>
        </w:rPr>
        <w:t xml:space="preserve">It is with sincere thanks and appreciation that the authors acknowledge the sponsorship they received from the Council of Heads of the Built Environment to support this study. </w:t>
      </w:r>
    </w:p>
    <w:p w:rsidR="000F39D8" w:rsidRPr="003D6CE4" w:rsidRDefault="000F39D8" w:rsidP="00F53638">
      <w:pPr>
        <w:pStyle w:val="Default"/>
        <w:rPr>
          <w:rFonts w:ascii="Times New Roman" w:hAnsi="Times New Roman" w:cs="Times New Roman"/>
        </w:rPr>
      </w:pPr>
    </w:p>
    <w:p w:rsidR="009B72B8" w:rsidRPr="003D6CE4" w:rsidRDefault="009B72B8" w:rsidP="00F53638">
      <w:pPr>
        <w:pStyle w:val="Default"/>
        <w:rPr>
          <w:rFonts w:ascii="Times New Roman" w:hAnsi="Times New Roman" w:cs="Times New Roman"/>
          <w:b/>
          <w:bCs/>
        </w:rPr>
      </w:pPr>
      <w:r w:rsidRPr="003D6CE4">
        <w:rPr>
          <w:rFonts w:ascii="Times New Roman" w:hAnsi="Times New Roman" w:cs="Times New Roman"/>
          <w:b/>
          <w:bCs/>
        </w:rPr>
        <w:t>References</w:t>
      </w:r>
    </w:p>
    <w:p w:rsidR="00B45307" w:rsidRPr="003D6CE4" w:rsidRDefault="00B45307" w:rsidP="00F53638">
      <w:pPr>
        <w:pStyle w:val="Default"/>
        <w:rPr>
          <w:rFonts w:ascii="Times New Roman" w:hAnsi="Times New Roman" w:cs="Times New Roman"/>
          <w:b/>
          <w:bCs/>
        </w:rPr>
      </w:pPr>
    </w:p>
    <w:p w:rsidR="00865F06" w:rsidRPr="003D6CE4" w:rsidRDefault="00C17C6F" w:rsidP="00F53638">
      <w:pPr>
        <w:pStyle w:val="Default"/>
        <w:rPr>
          <w:rStyle w:val="selectable"/>
          <w:rFonts w:ascii="Times New Roman" w:hAnsi="Times New Roman" w:cs="Times New Roman"/>
          <w:lang w:val="en"/>
        </w:rPr>
      </w:pPr>
      <w:proofErr w:type="spellStart"/>
      <w:r w:rsidRPr="003D6CE4">
        <w:rPr>
          <w:rStyle w:val="selectable"/>
          <w:rFonts w:ascii="Times New Roman" w:hAnsi="Times New Roman" w:cs="Times New Roman"/>
          <w:lang w:val="en"/>
        </w:rPr>
        <w:t>Antcliff</w:t>
      </w:r>
      <w:proofErr w:type="spellEnd"/>
      <w:r w:rsidRPr="003D6CE4">
        <w:rPr>
          <w:rStyle w:val="selectable"/>
          <w:rFonts w:ascii="Times New Roman" w:hAnsi="Times New Roman" w:cs="Times New Roman"/>
          <w:lang w:val="en"/>
        </w:rPr>
        <w:t>, V., Baines, S. &amp;</w:t>
      </w:r>
      <w:r w:rsidR="00865F06" w:rsidRPr="003D6CE4">
        <w:rPr>
          <w:rStyle w:val="selectable"/>
          <w:rFonts w:ascii="Times New Roman" w:hAnsi="Times New Roman" w:cs="Times New Roman"/>
          <w:lang w:val="en"/>
        </w:rPr>
        <w:t xml:space="preserve"> </w:t>
      </w:r>
      <w:proofErr w:type="spellStart"/>
      <w:r w:rsidR="00865F06" w:rsidRPr="003D6CE4">
        <w:rPr>
          <w:rStyle w:val="selectable"/>
          <w:rFonts w:ascii="Times New Roman" w:hAnsi="Times New Roman" w:cs="Times New Roman"/>
          <w:lang w:val="en"/>
        </w:rPr>
        <w:t>Gorb</w:t>
      </w:r>
      <w:proofErr w:type="spellEnd"/>
      <w:r w:rsidR="00865F06" w:rsidRPr="003D6CE4">
        <w:rPr>
          <w:rStyle w:val="selectable"/>
          <w:rFonts w:ascii="Times New Roman" w:hAnsi="Times New Roman" w:cs="Times New Roman"/>
          <w:lang w:val="en"/>
        </w:rPr>
        <w:t xml:space="preserve">, E. (2016). Developing your own graduate employees. </w:t>
      </w:r>
      <w:r w:rsidR="00865F06" w:rsidRPr="003D6CE4">
        <w:rPr>
          <w:rStyle w:val="selectable"/>
          <w:rFonts w:ascii="Times New Roman" w:hAnsi="Times New Roman" w:cs="Times New Roman"/>
          <w:i/>
          <w:iCs/>
          <w:lang w:val="en"/>
        </w:rPr>
        <w:t>Higher Education, Skills and Work-Based Learning</w:t>
      </w:r>
      <w:r w:rsidR="00865F06" w:rsidRPr="003D6CE4">
        <w:rPr>
          <w:rStyle w:val="selectable"/>
          <w:rFonts w:ascii="Times New Roman" w:hAnsi="Times New Roman" w:cs="Times New Roman"/>
          <w:lang w:val="en"/>
        </w:rPr>
        <w:t>, 6(4), pp.378-383.</w:t>
      </w:r>
    </w:p>
    <w:p w:rsidR="000E4617" w:rsidRPr="003D6CE4" w:rsidRDefault="000E4617" w:rsidP="00F53638">
      <w:pPr>
        <w:pStyle w:val="Default"/>
        <w:rPr>
          <w:rFonts w:ascii="Times New Roman" w:hAnsi="Times New Roman" w:cs="Times New Roman"/>
        </w:rPr>
      </w:pPr>
    </w:p>
    <w:p w:rsidR="009B72B8" w:rsidRPr="003D6CE4" w:rsidRDefault="009B72B8" w:rsidP="00F53638">
      <w:pPr>
        <w:pStyle w:val="Default"/>
        <w:rPr>
          <w:rFonts w:ascii="Times New Roman" w:hAnsi="Times New Roman" w:cs="Times New Roman"/>
        </w:rPr>
      </w:pPr>
      <w:proofErr w:type="spellStart"/>
      <w:r w:rsidRPr="003D6CE4">
        <w:rPr>
          <w:rFonts w:ascii="Times New Roman" w:hAnsi="Times New Roman" w:cs="Times New Roman"/>
        </w:rPr>
        <w:t>Bazeley</w:t>
      </w:r>
      <w:proofErr w:type="spellEnd"/>
      <w:r w:rsidRPr="003D6CE4">
        <w:rPr>
          <w:rFonts w:ascii="Times New Roman" w:hAnsi="Times New Roman" w:cs="Times New Roman"/>
        </w:rPr>
        <w:t>, P. &amp; Jackson, K. (2013)</w:t>
      </w:r>
      <w:r w:rsidR="00C17C6F" w:rsidRPr="003D6CE4">
        <w:rPr>
          <w:rFonts w:ascii="Times New Roman" w:hAnsi="Times New Roman" w:cs="Times New Roman"/>
        </w:rPr>
        <w:t>.</w:t>
      </w:r>
      <w:r w:rsidRPr="003D6CE4">
        <w:rPr>
          <w:rFonts w:ascii="Times New Roman" w:hAnsi="Times New Roman" w:cs="Times New Roman"/>
        </w:rPr>
        <w:t xml:space="preserve"> </w:t>
      </w:r>
      <w:r w:rsidRPr="003D6CE4">
        <w:rPr>
          <w:rFonts w:ascii="Times New Roman" w:hAnsi="Times New Roman" w:cs="Times New Roman"/>
          <w:i/>
          <w:iCs/>
        </w:rPr>
        <w:t xml:space="preserve">Qualitative data analysis with </w:t>
      </w:r>
      <w:proofErr w:type="spellStart"/>
      <w:r w:rsidRPr="003D6CE4">
        <w:rPr>
          <w:rFonts w:ascii="Times New Roman" w:hAnsi="Times New Roman" w:cs="Times New Roman"/>
          <w:i/>
          <w:iCs/>
        </w:rPr>
        <w:t>NVivo</w:t>
      </w:r>
      <w:proofErr w:type="spellEnd"/>
      <w:r w:rsidRPr="003D6CE4">
        <w:rPr>
          <w:rFonts w:ascii="Times New Roman" w:hAnsi="Times New Roman" w:cs="Times New Roman"/>
          <w:i/>
          <w:iCs/>
        </w:rPr>
        <w:t xml:space="preserve">. </w:t>
      </w:r>
      <w:r w:rsidRPr="003D6CE4">
        <w:rPr>
          <w:rFonts w:ascii="Times New Roman" w:hAnsi="Times New Roman" w:cs="Times New Roman"/>
        </w:rPr>
        <w:t xml:space="preserve">2nd </w:t>
      </w:r>
      <w:proofErr w:type="spellStart"/>
      <w:r w:rsidRPr="003D6CE4">
        <w:rPr>
          <w:rFonts w:ascii="Times New Roman" w:hAnsi="Times New Roman" w:cs="Times New Roman"/>
        </w:rPr>
        <w:t>edn</w:t>
      </w:r>
      <w:proofErr w:type="spellEnd"/>
      <w:r w:rsidRPr="003D6CE4">
        <w:rPr>
          <w:rFonts w:ascii="Times New Roman" w:hAnsi="Times New Roman" w:cs="Times New Roman"/>
        </w:rPr>
        <w:t xml:space="preserve">. London: Sage publications. </w:t>
      </w:r>
    </w:p>
    <w:p w:rsidR="000E4617" w:rsidRPr="003D6CE4" w:rsidRDefault="000E4617" w:rsidP="00F53638">
      <w:pPr>
        <w:pStyle w:val="Default"/>
        <w:rPr>
          <w:rFonts w:ascii="Times New Roman" w:hAnsi="Times New Roman" w:cs="Times New Roman"/>
        </w:rPr>
      </w:pPr>
    </w:p>
    <w:p w:rsidR="009B72B8" w:rsidRPr="003D6CE4" w:rsidRDefault="009B72B8" w:rsidP="00F53638">
      <w:pPr>
        <w:pStyle w:val="Default"/>
        <w:rPr>
          <w:rFonts w:ascii="Times New Roman" w:hAnsi="Times New Roman" w:cs="Times New Roman"/>
        </w:rPr>
      </w:pPr>
      <w:r w:rsidRPr="003D6CE4">
        <w:rPr>
          <w:rFonts w:ascii="Times New Roman" w:hAnsi="Times New Roman" w:cs="Times New Roman"/>
        </w:rPr>
        <w:t>Bernard, H.R. &amp; Ryan, G.W. (</w:t>
      </w:r>
      <w:r w:rsidR="00287C22" w:rsidRPr="003D6CE4">
        <w:rPr>
          <w:rFonts w:ascii="Times New Roman" w:hAnsi="Times New Roman" w:cs="Times New Roman"/>
        </w:rPr>
        <w:t>2009</w:t>
      </w:r>
      <w:r w:rsidRPr="003D6CE4">
        <w:rPr>
          <w:rFonts w:ascii="Times New Roman" w:hAnsi="Times New Roman" w:cs="Times New Roman"/>
        </w:rPr>
        <w:t>)</w:t>
      </w:r>
      <w:r w:rsidR="00C17C6F" w:rsidRPr="003D6CE4">
        <w:rPr>
          <w:rFonts w:ascii="Times New Roman" w:hAnsi="Times New Roman" w:cs="Times New Roman"/>
        </w:rPr>
        <w:t>.</w:t>
      </w:r>
      <w:r w:rsidRPr="003D6CE4">
        <w:rPr>
          <w:rFonts w:ascii="Times New Roman" w:hAnsi="Times New Roman" w:cs="Times New Roman"/>
        </w:rPr>
        <w:t xml:space="preserve"> </w:t>
      </w:r>
      <w:proofErr w:type="spellStart"/>
      <w:r w:rsidRPr="003D6CE4">
        <w:rPr>
          <w:rFonts w:ascii="Times New Roman" w:hAnsi="Times New Roman" w:cs="Times New Roman"/>
          <w:i/>
          <w:iCs/>
        </w:rPr>
        <w:t>Analyzing</w:t>
      </w:r>
      <w:proofErr w:type="spellEnd"/>
      <w:r w:rsidRPr="003D6CE4">
        <w:rPr>
          <w:rFonts w:ascii="Times New Roman" w:hAnsi="Times New Roman" w:cs="Times New Roman"/>
          <w:i/>
          <w:iCs/>
        </w:rPr>
        <w:t xml:space="preserve"> qualitative data: systematic approaches</w:t>
      </w:r>
      <w:r w:rsidRPr="003D6CE4">
        <w:rPr>
          <w:rFonts w:ascii="Times New Roman" w:hAnsi="Times New Roman" w:cs="Times New Roman"/>
        </w:rPr>
        <w:t xml:space="preserve">. Thousand Oaks, </w:t>
      </w:r>
      <w:proofErr w:type="gramStart"/>
      <w:r w:rsidRPr="003D6CE4">
        <w:rPr>
          <w:rFonts w:ascii="Times New Roman" w:hAnsi="Times New Roman" w:cs="Times New Roman"/>
        </w:rPr>
        <w:t>CA.:</w:t>
      </w:r>
      <w:proofErr w:type="gramEnd"/>
      <w:r w:rsidRPr="003D6CE4">
        <w:rPr>
          <w:rFonts w:ascii="Times New Roman" w:hAnsi="Times New Roman" w:cs="Times New Roman"/>
        </w:rPr>
        <w:t xml:space="preserve"> Sage Publishing. </w:t>
      </w:r>
    </w:p>
    <w:p w:rsidR="000E4617" w:rsidRPr="003D6CE4" w:rsidRDefault="000E4617" w:rsidP="00F53638">
      <w:pPr>
        <w:pStyle w:val="Default"/>
        <w:rPr>
          <w:rFonts w:ascii="Times New Roman" w:hAnsi="Times New Roman" w:cs="Times New Roman"/>
        </w:rPr>
      </w:pPr>
    </w:p>
    <w:p w:rsidR="009B72B8" w:rsidRPr="003D6CE4" w:rsidRDefault="009B72B8" w:rsidP="00F53638">
      <w:pPr>
        <w:pStyle w:val="Default"/>
        <w:rPr>
          <w:rFonts w:ascii="Times New Roman" w:hAnsi="Times New Roman" w:cs="Times New Roman"/>
          <w:color w:val="auto"/>
        </w:rPr>
      </w:pPr>
      <w:r w:rsidRPr="003D6CE4">
        <w:rPr>
          <w:rFonts w:ascii="Times New Roman" w:hAnsi="Times New Roman" w:cs="Times New Roman"/>
        </w:rPr>
        <w:t>Cable, V. (2018)</w:t>
      </w:r>
      <w:r w:rsidR="00C17C6F" w:rsidRPr="003D6CE4">
        <w:rPr>
          <w:rFonts w:ascii="Times New Roman" w:hAnsi="Times New Roman" w:cs="Times New Roman"/>
        </w:rPr>
        <w:t>.</w:t>
      </w:r>
      <w:r w:rsidRPr="003D6CE4">
        <w:rPr>
          <w:rFonts w:ascii="Times New Roman" w:hAnsi="Times New Roman" w:cs="Times New Roman"/>
        </w:rPr>
        <w:t xml:space="preserve"> </w:t>
      </w:r>
      <w:r w:rsidRPr="003D6CE4">
        <w:rPr>
          <w:rFonts w:ascii="Times New Roman" w:hAnsi="Times New Roman" w:cs="Times New Roman"/>
          <w:i/>
          <w:iCs/>
        </w:rPr>
        <w:t>Apprenticeship review is launched</w:t>
      </w:r>
      <w:r w:rsidRPr="003D6CE4">
        <w:rPr>
          <w:rFonts w:ascii="Times New Roman" w:hAnsi="Times New Roman" w:cs="Times New Roman"/>
        </w:rPr>
        <w:t xml:space="preserve">. Available at: </w:t>
      </w:r>
      <w:r w:rsidRPr="003D6CE4">
        <w:rPr>
          <w:rFonts w:ascii="Times New Roman" w:hAnsi="Times New Roman" w:cs="Times New Roman"/>
          <w:color w:val="auto"/>
        </w:rPr>
        <w:t xml:space="preserve">http://www.bbc.co.uk/news/business-18387551 (Accessed: 16 January 2018). </w:t>
      </w:r>
    </w:p>
    <w:p w:rsidR="000E4617" w:rsidRPr="003D6CE4" w:rsidRDefault="000E4617" w:rsidP="00F53638">
      <w:pPr>
        <w:pStyle w:val="Default"/>
        <w:rPr>
          <w:rFonts w:ascii="Times New Roman" w:hAnsi="Times New Roman" w:cs="Times New Roman"/>
          <w:color w:val="auto"/>
        </w:rPr>
      </w:pPr>
    </w:p>
    <w:p w:rsidR="00F65C3F" w:rsidRPr="003D6CE4" w:rsidRDefault="00C17C6F" w:rsidP="00F53638">
      <w:pPr>
        <w:pStyle w:val="Default"/>
        <w:rPr>
          <w:rFonts w:ascii="Times New Roman" w:hAnsi="Times New Roman" w:cs="Times New Roman"/>
          <w:color w:val="auto"/>
        </w:rPr>
      </w:pPr>
      <w:r w:rsidRPr="003D6CE4">
        <w:rPr>
          <w:rFonts w:ascii="Times New Roman" w:hAnsi="Times New Roman" w:cs="Times New Roman"/>
          <w:color w:val="auto"/>
        </w:rPr>
        <w:t>Carter, J. &amp;</w:t>
      </w:r>
      <w:r w:rsidR="008E44B8" w:rsidRPr="003D6CE4">
        <w:rPr>
          <w:rFonts w:ascii="Times New Roman" w:hAnsi="Times New Roman" w:cs="Times New Roman"/>
          <w:color w:val="auto"/>
        </w:rPr>
        <w:t xml:space="preserve"> Tubbs, N. (2017). Degree apprenticeships, the ‘joy of learning’ excellence framework, and the common good. </w:t>
      </w:r>
      <w:r w:rsidR="008E44B8" w:rsidRPr="003D6CE4">
        <w:rPr>
          <w:rFonts w:ascii="Times New Roman" w:hAnsi="Times New Roman" w:cs="Times New Roman"/>
          <w:i/>
          <w:color w:val="auto"/>
        </w:rPr>
        <w:t>Journal of Further and Higher Education</w:t>
      </w:r>
      <w:r w:rsidR="008E44B8" w:rsidRPr="003D6CE4">
        <w:rPr>
          <w:rFonts w:ascii="Times New Roman" w:hAnsi="Times New Roman" w:cs="Times New Roman"/>
          <w:color w:val="auto"/>
        </w:rPr>
        <w:t>, pp.1-11.</w:t>
      </w:r>
    </w:p>
    <w:p w:rsidR="000E4617" w:rsidRPr="003D6CE4" w:rsidRDefault="000E4617" w:rsidP="00F53638">
      <w:pPr>
        <w:pStyle w:val="Default"/>
        <w:rPr>
          <w:rFonts w:ascii="Times New Roman" w:hAnsi="Times New Roman" w:cs="Times New Roman"/>
          <w:color w:val="auto"/>
        </w:rPr>
      </w:pPr>
    </w:p>
    <w:p w:rsidR="009B72B8" w:rsidRPr="003D6CE4" w:rsidRDefault="009B72B8" w:rsidP="00F53638">
      <w:pPr>
        <w:pStyle w:val="Default"/>
        <w:rPr>
          <w:rFonts w:ascii="Times New Roman" w:hAnsi="Times New Roman" w:cs="Times New Roman"/>
        </w:rPr>
      </w:pPr>
      <w:r w:rsidRPr="003D6CE4">
        <w:rPr>
          <w:rFonts w:ascii="Times New Roman" w:hAnsi="Times New Roman" w:cs="Times New Roman"/>
          <w:color w:val="auto"/>
        </w:rPr>
        <w:t>Coffrey, A. &amp; Atkinson, P. (1996)</w:t>
      </w:r>
      <w:r w:rsidR="00C17C6F" w:rsidRPr="003D6CE4">
        <w:rPr>
          <w:rFonts w:ascii="Times New Roman" w:hAnsi="Times New Roman" w:cs="Times New Roman"/>
          <w:color w:val="auto"/>
        </w:rPr>
        <w:t>.</w:t>
      </w:r>
      <w:r w:rsidRPr="003D6CE4">
        <w:rPr>
          <w:rFonts w:ascii="Times New Roman" w:hAnsi="Times New Roman" w:cs="Times New Roman"/>
          <w:color w:val="auto"/>
        </w:rPr>
        <w:t xml:space="preserve"> </w:t>
      </w:r>
      <w:r w:rsidRPr="003D6CE4">
        <w:rPr>
          <w:rFonts w:ascii="Times New Roman" w:hAnsi="Times New Roman" w:cs="Times New Roman"/>
          <w:i/>
          <w:iCs/>
        </w:rPr>
        <w:t>Making sense of qualitative data</w:t>
      </w:r>
      <w:r w:rsidR="001B6B7A" w:rsidRPr="003D6CE4">
        <w:rPr>
          <w:rFonts w:ascii="Times New Roman" w:hAnsi="Times New Roman" w:cs="Times New Roman"/>
          <w:i/>
          <w:iCs/>
        </w:rPr>
        <w:t>: complementary research strategies (and social thought)</w:t>
      </w:r>
      <w:r w:rsidRPr="003D6CE4">
        <w:rPr>
          <w:rFonts w:ascii="Times New Roman" w:hAnsi="Times New Roman" w:cs="Times New Roman"/>
        </w:rPr>
        <w:t xml:space="preserve">. Thousand Oaks, </w:t>
      </w:r>
      <w:proofErr w:type="gramStart"/>
      <w:r w:rsidRPr="003D6CE4">
        <w:rPr>
          <w:rFonts w:ascii="Times New Roman" w:hAnsi="Times New Roman" w:cs="Times New Roman"/>
        </w:rPr>
        <w:t>CA.:</w:t>
      </w:r>
      <w:proofErr w:type="gramEnd"/>
      <w:r w:rsidRPr="003D6CE4">
        <w:rPr>
          <w:rFonts w:ascii="Times New Roman" w:hAnsi="Times New Roman" w:cs="Times New Roman"/>
        </w:rPr>
        <w:t xml:space="preserve"> Sage Publishing. </w:t>
      </w:r>
    </w:p>
    <w:p w:rsidR="000E4617" w:rsidRPr="003D6CE4" w:rsidRDefault="000E4617" w:rsidP="00F53638">
      <w:pPr>
        <w:pStyle w:val="Default"/>
        <w:rPr>
          <w:rFonts w:ascii="Times New Roman" w:hAnsi="Times New Roman" w:cs="Times New Roman"/>
        </w:rPr>
      </w:pPr>
    </w:p>
    <w:p w:rsidR="009B72B8" w:rsidRPr="003D6CE4" w:rsidRDefault="009B72B8" w:rsidP="00F53638">
      <w:pPr>
        <w:pStyle w:val="Default"/>
        <w:rPr>
          <w:rFonts w:ascii="Times New Roman" w:hAnsi="Times New Roman" w:cs="Times New Roman"/>
        </w:rPr>
      </w:pPr>
      <w:r w:rsidRPr="003D6CE4">
        <w:rPr>
          <w:rFonts w:ascii="Times New Roman" w:hAnsi="Times New Roman" w:cs="Times New Roman"/>
        </w:rPr>
        <w:lastRenderedPageBreak/>
        <w:t>Conservative Party (2015)</w:t>
      </w:r>
      <w:r w:rsidR="00C17C6F" w:rsidRPr="003D6CE4">
        <w:rPr>
          <w:rFonts w:ascii="Times New Roman" w:hAnsi="Times New Roman" w:cs="Times New Roman"/>
        </w:rPr>
        <w:t>.</w:t>
      </w:r>
      <w:r w:rsidRPr="003D6CE4">
        <w:rPr>
          <w:rFonts w:ascii="Times New Roman" w:hAnsi="Times New Roman" w:cs="Times New Roman"/>
        </w:rPr>
        <w:t xml:space="preserve"> </w:t>
      </w:r>
      <w:r w:rsidRPr="003D6CE4">
        <w:rPr>
          <w:rFonts w:ascii="Times New Roman" w:hAnsi="Times New Roman" w:cs="Times New Roman"/>
          <w:i/>
          <w:iCs/>
        </w:rPr>
        <w:t>Conservative Party manifesto: strong leadership, a clear economic plan, a brighter more secure future</w:t>
      </w:r>
      <w:r w:rsidRPr="003D6CE4">
        <w:rPr>
          <w:rFonts w:ascii="Times New Roman" w:hAnsi="Times New Roman" w:cs="Times New Roman"/>
        </w:rPr>
        <w:t xml:space="preserve">. London: Conservative Party. Available at: https://www.bond.org.uk/data/files/Blog/ConservativeManifesto2015.pdf (Accessed: 16 January 2018). </w:t>
      </w:r>
    </w:p>
    <w:p w:rsidR="000E4617" w:rsidRPr="003D6CE4" w:rsidRDefault="000E4617" w:rsidP="00F53638">
      <w:pPr>
        <w:pStyle w:val="Default"/>
        <w:rPr>
          <w:rFonts w:ascii="Times New Roman" w:hAnsi="Times New Roman" w:cs="Times New Roman"/>
        </w:rPr>
      </w:pPr>
    </w:p>
    <w:p w:rsidR="009B72B8" w:rsidRPr="003D6CE4" w:rsidRDefault="009B72B8" w:rsidP="00F53638">
      <w:pPr>
        <w:pStyle w:val="Default"/>
        <w:rPr>
          <w:rFonts w:ascii="Times New Roman" w:hAnsi="Times New Roman" w:cs="Times New Roman"/>
        </w:rPr>
      </w:pPr>
      <w:r w:rsidRPr="003D6CE4">
        <w:rPr>
          <w:rFonts w:ascii="Times New Roman" w:hAnsi="Times New Roman" w:cs="Times New Roman"/>
        </w:rPr>
        <w:t>Construction Industry Training Board (2017)</w:t>
      </w:r>
      <w:r w:rsidR="00C17C6F" w:rsidRPr="003D6CE4">
        <w:rPr>
          <w:rFonts w:ascii="Times New Roman" w:hAnsi="Times New Roman" w:cs="Times New Roman"/>
        </w:rPr>
        <w:t>.</w:t>
      </w:r>
      <w:r w:rsidRPr="003D6CE4">
        <w:rPr>
          <w:rFonts w:ascii="Times New Roman" w:hAnsi="Times New Roman" w:cs="Times New Roman"/>
        </w:rPr>
        <w:t xml:space="preserve"> </w:t>
      </w:r>
      <w:r w:rsidRPr="003D6CE4">
        <w:rPr>
          <w:rFonts w:ascii="Times New Roman" w:hAnsi="Times New Roman" w:cs="Times New Roman"/>
          <w:i/>
          <w:iCs/>
        </w:rPr>
        <w:t>Industry insights: construction skills network. Forecasts 2017-2021</w:t>
      </w:r>
      <w:r w:rsidRPr="003D6CE4">
        <w:rPr>
          <w:rFonts w:ascii="Times New Roman" w:hAnsi="Times New Roman" w:cs="Times New Roman"/>
        </w:rPr>
        <w:t xml:space="preserve">. Available at: https://www.citb.co.uk/documents/research/csn%202017-2021/csn-national-2017.pdf (Accessed: 1 February 2018). </w:t>
      </w:r>
    </w:p>
    <w:p w:rsidR="000E4617" w:rsidRPr="003D6CE4" w:rsidRDefault="000E4617" w:rsidP="00F53638">
      <w:pPr>
        <w:pStyle w:val="Default"/>
        <w:rPr>
          <w:rFonts w:ascii="Times New Roman" w:hAnsi="Times New Roman" w:cs="Times New Roman"/>
        </w:rPr>
      </w:pPr>
    </w:p>
    <w:p w:rsidR="009B72B8" w:rsidRPr="003D6CE4" w:rsidRDefault="009B72B8" w:rsidP="00F53638">
      <w:pPr>
        <w:pStyle w:val="Default"/>
        <w:rPr>
          <w:rFonts w:ascii="Times New Roman" w:hAnsi="Times New Roman" w:cs="Times New Roman"/>
        </w:rPr>
      </w:pPr>
      <w:r w:rsidRPr="003D6CE4">
        <w:rPr>
          <w:rFonts w:ascii="Times New Roman" w:hAnsi="Times New Roman" w:cs="Times New Roman"/>
        </w:rPr>
        <w:t>Corbin, J. &amp; Strauss, A. (2015)</w:t>
      </w:r>
      <w:r w:rsidR="00C17C6F" w:rsidRPr="003D6CE4">
        <w:rPr>
          <w:rFonts w:ascii="Times New Roman" w:hAnsi="Times New Roman" w:cs="Times New Roman"/>
        </w:rPr>
        <w:t>.</w:t>
      </w:r>
      <w:r w:rsidRPr="003D6CE4">
        <w:rPr>
          <w:rFonts w:ascii="Times New Roman" w:hAnsi="Times New Roman" w:cs="Times New Roman"/>
        </w:rPr>
        <w:t xml:space="preserve"> </w:t>
      </w:r>
      <w:r w:rsidRPr="003D6CE4">
        <w:rPr>
          <w:rFonts w:ascii="Times New Roman" w:hAnsi="Times New Roman" w:cs="Times New Roman"/>
          <w:i/>
          <w:iCs/>
        </w:rPr>
        <w:t>Basics of qualitative research: Techniques and procedures for developing grounded theory</w:t>
      </w:r>
      <w:r w:rsidRPr="003D6CE4">
        <w:rPr>
          <w:rFonts w:ascii="Times New Roman" w:hAnsi="Times New Roman" w:cs="Times New Roman"/>
        </w:rPr>
        <w:t xml:space="preserve">. 4th </w:t>
      </w:r>
      <w:proofErr w:type="spellStart"/>
      <w:r w:rsidRPr="003D6CE4">
        <w:rPr>
          <w:rFonts w:ascii="Times New Roman" w:hAnsi="Times New Roman" w:cs="Times New Roman"/>
        </w:rPr>
        <w:t>edn</w:t>
      </w:r>
      <w:proofErr w:type="spellEnd"/>
      <w:r w:rsidRPr="003D6CE4">
        <w:rPr>
          <w:rFonts w:ascii="Times New Roman" w:hAnsi="Times New Roman" w:cs="Times New Roman"/>
        </w:rPr>
        <w:t xml:space="preserve">. San Jose State University, USA: Sage Publishing. </w:t>
      </w:r>
    </w:p>
    <w:p w:rsidR="00E80895" w:rsidRPr="003D6CE4" w:rsidRDefault="00E80895" w:rsidP="00F53638">
      <w:pPr>
        <w:pStyle w:val="Default"/>
        <w:rPr>
          <w:rFonts w:ascii="Times New Roman" w:hAnsi="Times New Roman" w:cs="Times New Roman"/>
        </w:rPr>
      </w:pPr>
    </w:p>
    <w:p w:rsidR="00E80895" w:rsidRPr="003D6CE4" w:rsidRDefault="00E80895" w:rsidP="00F53638">
      <w:pPr>
        <w:rPr>
          <w:sz w:val="24"/>
          <w:szCs w:val="24"/>
        </w:rPr>
      </w:pPr>
      <w:proofErr w:type="spellStart"/>
      <w:r w:rsidRPr="003D6CE4">
        <w:rPr>
          <w:sz w:val="24"/>
          <w:szCs w:val="24"/>
        </w:rPr>
        <w:t>Cresswell</w:t>
      </w:r>
      <w:proofErr w:type="spellEnd"/>
      <w:r w:rsidRPr="003D6CE4">
        <w:rPr>
          <w:sz w:val="24"/>
          <w:szCs w:val="24"/>
        </w:rPr>
        <w:t xml:space="preserve">, J. W. (2007).  </w:t>
      </w:r>
      <w:r w:rsidRPr="003D6CE4">
        <w:rPr>
          <w:i/>
          <w:sz w:val="24"/>
          <w:szCs w:val="24"/>
        </w:rPr>
        <w:t>Qualitative inquiry and research design: Choosing among the five traditions.</w:t>
      </w:r>
      <w:r w:rsidRPr="003D6CE4">
        <w:rPr>
          <w:sz w:val="24"/>
          <w:szCs w:val="24"/>
        </w:rPr>
        <w:t xml:space="preserve"> 2</w:t>
      </w:r>
      <w:r w:rsidRPr="003D6CE4">
        <w:rPr>
          <w:sz w:val="24"/>
          <w:szCs w:val="24"/>
          <w:vertAlign w:val="superscript"/>
        </w:rPr>
        <w:t>nd</w:t>
      </w:r>
      <w:r w:rsidRPr="003D6CE4">
        <w:rPr>
          <w:sz w:val="24"/>
          <w:szCs w:val="24"/>
        </w:rPr>
        <w:t xml:space="preserve"> </w:t>
      </w:r>
      <w:proofErr w:type="spellStart"/>
      <w:r w:rsidRPr="003D6CE4">
        <w:rPr>
          <w:sz w:val="24"/>
          <w:szCs w:val="24"/>
        </w:rPr>
        <w:t>edn</w:t>
      </w:r>
      <w:proofErr w:type="spellEnd"/>
      <w:r w:rsidRPr="003D6CE4">
        <w:rPr>
          <w:sz w:val="24"/>
          <w:szCs w:val="24"/>
        </w:rPr>
        <w:t>. London: Sage.</w:t>
      </w:r>
    </w:p>
    <w:p w:rsidR="000E4617" w:rsidRPr="003D6CE4" w:rsidRDefault="000E4617" w:rsidP="00F53638">
      <w:pPr>
        <w:pStyle w:val="Default"/>
        <w:rPr>
          <w:rFonts w:ascii="Times New Roman" w:hAnsi="Times New Roman" w:cs="Times New Roman"/>
        </w:rPr>
      </w:pPr>
    </w:p>
    <w:p w:rsidR="009B72B8" w:rsidRPr="003D6CE4" w:rsidRDefault="009B72B8" w:rsidP="00F53638">
      <w:pPr>
        <w:pStyle w:val="Default"/>
        <w:rPr>
          <w:rFonts w:ascii="Times New Roman" w:hAnsi="Times New Roman" w:cs="Times New Roman"/>
        </w:rPr>
      </w:pPr>
      <w:r w:rsidRPr="003D6CE4">
        <w:rPr>
          <w:rFonts w:ascii="Times New Roman" w:hAnsi="Times New Roman" w:cs="Times New Roman"/>
        </w:rPr>
        <w:t>Department for Business, Energy and Industrial Strategy (2017)</w:t>
      </w:r>
      <w:r w:rsidR="00C17C6F" w:rsidRPr="003D6CE4">
        <w:rPr>
          <w:rFonts w:ascii="Times New Roman" w:hAnsi="Times New Roman" w:cs="Times New Roman"/>
        </w:rPr>
        <w:t>.</w:t>
      </w:r>
      <w:r w:rsidRPr="003D6CE4">
        <w:rPr>
          <w:rFonts w:ascii="Times New Roman" w:hAnsi="Times New Roman" w:cs="Times New Roman"/>
        </w:rPr>
        <w:t xml:space="preserve"> </w:t>
      </w:r>
      <w:r w:rsidRPr="003D6CE4">
        <w:rPr>
          <w:rFonts w:ascii="Times New Roman" w:hAnsi="Times New Roman" w:cs="Times New Roman"/>
          <w:i/>
          <w:iCs/>
        </w:rPr>
        <w:t>Industrial strategy: building a Britain fit for the future</w:t>
      </w:r>
      <w:r w:rsidRPr="003D6CE4">
        <w:rPr>
          <w:rFonts w:ascii="Times New Roman" w:hAnsi="Times New Roman" w:cs="Times New Roman"/>
        </w:rPr>
        <w:t xml:space="preserve">. Available at: https://www.gov.uk/government/publications/industrial-strategy-building-a-britain-fit-for-the-future (Accessed: 1 February 2018). </w:t>
      </w:r>
    </w:p>
    <w:p w:rsidR="000E4617" w:rsidRPr="003D6CE4" w:rsidRDefault="000E4617" w:rsidP="00F53638">
      <w:pPr>
        <w:pStyle w:val="Default"/>
        <w:rPr>
          <w:rFonts w:ascii="Times New Roman" w:hAnsi="Times New Roman" w:cs="Times New Roman"/>
        </w:rPr>
      </w:pPr>
    </w:p>
    <w:p w:rsidR="009B72B8" w:rsidRPr="003D6CE4" w:rsidRDefault="009B72B8" w:rsidP="00F53638">
      <w:pPr>
        <w:pStyle w:val="Default"/>
        <w:rPr>
          <w:rFonts w:ascii="Times New Roman" w:hAnsi="Times New Roman" w:cs="Times New Roman"/>
        </w:rPr>
      </w:pPr>
      <w:r w:rsidRPr="003D6CE4">
        <w:rPr>
          <w:rFonts w:ascii="Times New Roman" w:hAnsi="Times New Roman" w:cs="Times New Roman"/>
        </w:rPr>
        <w:t>Department for Business, Innovation and Skills (2015)</w:t>
      </w:r>
      <w:r w:rsidR="00C17C6F" w:rsidRPr="003D6CE4">
        <w:rPr>
          <w:rFonts w:ascii="Times New Roman" w:hAnsi="Times New Roman" w:cs="Times New Roman"/>
        </w:rPr>
        <w:t>.</w:t>
      </w:r>
      <w:r w:rsidRPr="003D6CE4">
        <w:rPr>
          <w:rFonts w:ascii="Times New Roman" w:hAnsi="Times New Roman" w:cs="Times New Roman"/>
        </w:rPr>
        <w:t xml:space="preserve"> </w:t>
      </w:r>
      <w:r w:rsidRPr="003D6CE4">
        <w:rPr>
          <w:rFonts w:ascii="Times New Roman" w:hAnsi="Times New Roman" w:cs="Times New Roman"/>
          <w:i/>
          <w:iCs/>
        </w:rPr>
        <w:t>Government rolls-out flagship degree apprenticeships</w:t>
      </w:r>
      <w:r w:rsidRPr="003D6CE4">
        <w:rPr>
          <w:rFonts w:ascii="Times New Roman" w:hAnsi="Times New Roman" w:cs="Times New Roman"/>
        </w:rPr>
        <w:t xml:space="preserve">. Available at: https://www.gov.uk/government/news/government-rolls-out-flagship-degree-apprenticeships (Accessed: 1 February 2018). </w:t>
      </w:r>
    </w:p>
    <w:p w:rsidR="000E4617" w:rsidRPr="003D6CE4" w:rsidRDefault="000E4617" w:rsidP="00F53638">
      <w:pPr>
        <w:pStyle w:val="Default"/>
        <w:rPr>
          <w:rFonts w:ascii="Times New Roman" w:hAnsi="Times New Roman" w:cs="Times New Roman"/>
        </w:rPr>
      </w:pPr>
    </w:p>
    <w:p w:rsidR="009B72B8" w:rsidRPr="003D6CE4" w:rsidRDefault="009B72B8" w:rsidP="00F53638">
      <w:pPr>
        <w:pStyle w:val="Default"/>
        <w:rPr>
          <w:rFonts w:ascii="Times New Roman" w:hAnsi="Times New Roman" w:cs="Times New Roman"/>
        </w:rPr>
      </w:pPr>
      <w:r w:rsidRPr="003D6CE4">
        <w:rPr>
          <w:rFonts w:ascii="Times New Roman" w:hAnsi="Times New Roman" w:cs="Times New Roman"/>
        </w:rPr>
        <w:t>Department for Education (2018)</w:t>
      </w:r>
      <w:r w:rsidR="00C17C6F" w:rsidRPr="003D6CE4">
        <w:rPr>
          <w:rFonts w:ascii="Times New Roman" w:hAnsi="Times New Roman" w:cs="Times New Roman"/>
        </w:rPr>
        <w:t>.</w:t>
      </w:r>
      <w:r w:rsidRPr="003D6CE4">
        <w:rPr>
          <w:rFonts w:ascii="Times New Roman" w:hAnsi="Times New Roman" w:cs="Times New Roman"/>
        </w:rPr>
        <w:t xml:space="preserve"> </w:t>
      </w:r>
      <w:r w:rsidRPr="003D6CE4">
        <w:rPr>
          <w:rFonts w:ascii="Times New Roman" w:hAnsi="Times New Roman" w:cs="Times New Roman"/>
          <w:i/>
          <w:iCs/>
        </w:rPr>
        <w:t>Apprenticeship funding: how it works</w:t>
      </w:r>
      <w:r w:rsidRPr="003D6CE4">
        <w:rPr>
          <w:rFonts w:ascii="Times New Roman" w:hAnsi="Times New Roman" w:cs="Times New Roman"/>
        </w:rPr>
        <w:t xml:space="preserve">. Available at: https://www.gov.uk/government/publications/apprenticeship-levy-how-it-will-work/apprenticeship-levy-how-it-will-work#pay-apprenticeship-levy (Accessed: 9 July 2018). </w:t>
      </w:r>
    </w:p>
    <w:p w:rsidR="00B40031" w:rsidRPr="003D6CE4" w:rsidRDefault="00B40031" w:rsidP="00F53638">
      <w:pPr>
        <w:pStyle w:val="Default"/>
        <w:rPr>
          <w:rFonts w:ascii="Times New Roman" w:hAnsi="Times New Roman" w:cs="Times New Roman"/>
        </w:rPr>
      </w:pPr>
    </w:p>
    <w:p w:rsidR="00B40031" w:rsidRPr="003D6CE4" w:rsidRDefault="00B40031" w:rsidP="00F53638">
      <w:pPr>
        <w:pStyle w:val="Default"/>
        <w:rPr>
          <w:rFonts w:ascii="Times New Roman" w:hAnsi="Times New Roman" w:cs="Times New Roman"/>
        </w:rPr>
      </w:pPr>
      <w:r w:rsidRPr="003D6CE4">
        <w:rPr>
          <w:rFonts w:ascii="Times New Roman" w:hAnsi="Times New Roman" w:cs="Times New Roman"/>
          <w:color w:val="333333"/>
          <w:lang w:val="en"/>
        </w:rPr>
        <w:t xml:space="preserve">European Commission. </w:t>
      </w:r>
      <w:r w:rsidRPr="003D6CE4">
        <w:rPr>
          <w:rStyle w:val="nlmyear"/>
          <w:rFonts w:ascii="Times New Roman" w:hAnsi="Times New Roman" w:cs="Times New Roman"/>
          <w:color w:val="333333"/>
          <w:lang w:val="en"/>
        </w:rPr>
        <w:t>2012</w:t>
      </w:r>
      <w:r w:rsidRPr="003D6CE4">
        <w:rPr>
          <w:rFonts w:ascii="Times New Roman" w:hAnsi="Times New Roman" w:cs="Times New Roman"/>
          <w:color w:val="333333"/>
          <w:lang w:val="en"/>
        </w:rPr>
        <w:t xml:space="preserve">. </w:t>
      </w:r>
      <w:r w:rsidRPr="003D6CE4">
        <w:rPr>
          <w:rFonts w:ascii="Times New Roman" w:hAnsi="Times New Roman" w:cs="Times New Roman"/>
          <w:i/>
          <w:iCs/>
          <w:color w:val="333333"/>
          <w:lang w:val="en"/>
        </w:rPr>
        <w:t>Apprenticeship Supply in the Member States of the European Union</w:t>
      </w:r>
      <w:r w:rsidRPr="003D6CE4">
        <w:rPr>
          <w:rFonts w:ascii="Times New Roman" w:hAnsi="Times New Roman" w:cs="Times New Roman"/>
          <w:color w:val="333333"/>
          <w:lang w:val="en"/>
        </w:rPr>
        <w:t xml:space="preserve">. Final report. </w:t>
      </w:r>
      <w:r w:rsidRPr="003D6CE4">
        <w:rPr>
          <w:rStyle w:val="nlmpublisher-loc"/>
          <w:rFonts w:ascii="Times New Roman" w:hAnsi="Times New Roman" w:cs="Times New Roman"/>
          <w:color w:val="333333"/>
          <w:lang w:val="en"/>
        </w:rPr>
        <w:t>Luxembourg</w:t>
      </w:r>
      <w:r w:rsidRPr="003D6CE4">
        <w:rPr>
          <w:rFonts w:ascii="Times New Roman" w:hAnsi="Times New Roman" w:cs="Times New Roman"/>
          <w:color w:val="333333"/>
          <w:lang w:val="en"/>
        </w:rPr>
        <w:t xml:space="preserve">: </w:t>
      </w:r>
      <w:r w:rsidRPr="003D6CE4">
        <w:rPr>
          <w:rStyle w:val="nlmpublisher-name"/>
          <w:rFonts w:ascii="Times New Roman" w:hAnsi="Times New Roman" w:cs="Times New Roman"/>
          <w:color w:val="333333"/>
          <w:lang w:val="en"/>
        </w:rPr>
        <w:t>European Commission</w:t>
      </w:r>
      <w:r w:rsidRPr="003D6CE4">
        <w:rPr>
          <w:rFonts w:ascii="Times New Roman" w:hAnsi="Times New Roman" w:cs="Times New Roman"/>
          <w:color w:val="333333"/>
          <w:lang w:val="en"/>
        </w:rPr>
        <w:t>.  Available at: http://ec.europa.eu/economy_finance/publications/european_economy/2012/pdf/ee-2012-5_en.pdf (Accessed: 22 July 2019)</w:t>
      </w:r>
    </w:p>
    <w:p w:rsidR="000E4617" w:rsidRPr="003D6CE4" w:rsidRDefault="000E4617" w:rsidP="00F53638">
      <w:pPr>
        <w:pStyle w:val="Default"/>
        <w:rPr>
          <w:rFonts w:ascii="Times New Roman" w:hAnsi="Times New Roman" w:cs="Times New Roman"/>
        </w:rPr>
      </w:pPr>
    </w:p>
    <w:p w:rsidR="000E4617" w:rsidRPr="003D6CE4" w:rsidRDefault="00E444C0" w:rsidP="00F53638">
      <w:pPr>
        <w:pStyle w:val="Default"/>
        <w:rPr>
          <w:rStyle w:val="selectable"/>
          <w:rFonts w:ascii="Times New Roman" w:hAnsi="Times New Roman" w:cs="Times New Roman"/>
          <w:lang w:val="en"/>
        </w:rPr>
      </w:pPr>
      <w:r w:rsidRPr="003D6CE4">
        <w:rPr>
          <w:rStyle w:val="selectable"/>
          <w:rFonts w:ascii="Times New Roman" w:hAnsi="Times New Roman" w:cs="Times New Roman"/>
          <w:lang w:val="en"/>
        </w:rPr>
        <w:t>Farmer, M. (2016)</w:t>
      </w:r>
      <w:r w:rsidR="00C17C6F" w:rsidRPr="003D6CE4">
        <w:rPr>
          <w:rStyle w:val="selectable"/>
          <w:rFonts w:ascii="Times New Roman" w:hAnsi="Times New Roman" w:cs="Times New Roman"/>
          <w:lang w:val="en"/>
        </w:rPr>
        <w:t>.</w:t>
      </w:r>
      <w:r w:rsidRPr="003D6CE4">
        <w:rPr>
          <w:rStyle w:val="selectable"/>
          <w:rFonts w:ascii="Times New Roman" w:hAnsi="Times New Roman" w:cs="Times New Roman"/>
          <w:lang w:val="en"/>
        </w:rPr>
        <w:t xml:space="preserve"> </w:t>
      </w:r>
      <w:r w:rsidRPr="003D6CE4">
        <w:rPr>
          <w:rStyle w:val="selectable"/>
          <w:rFonts w:ascii="Times New Roman" w:hAnsi="Times New Roman" w:cs="Times New Roman"/>
          <w:i/>
          <w:iCs/>
          <w:lang w:val="en"/>
        </w:rPr>
        <w:t xml:space="preserve">The Farmer Review of the UK Construction </w:t>
      </w:r>
      <w:proofErr w:type="spellStart"/>
      <w:r w:rsidRPr="003D6CE4">
        <w:rPr>
          <w:rStyle w:val="selectable"/>
          <w:rFonts w:ascii="Times New Roman" w:hAnsi="Times New Roman" w:cs="Times New Roman"/>
          <w:i/>
          <w:iCs/>
          <w:lang w:val="en"/>
        </w:rPr>
        <w:t>Labour</w:t>
      </w:r>
      <w:proofErr w:type="spellEnd"/>
      <w:r w:rsidRPr="003D6CE4">
        <w:rPr>
          <w:rStyle w:val="selectable"/>
          <w:rFonts w:ascii="Times New Roman" w:hAnsi="Times New Roman" w:cs="Times New Roman"/>
          <w:i/>
          <w:iCs/>
          <w:lang w:val="en"/>
        </w:rPr>
        <w:t xml:space="preserve"> Market: </w:t>
      </w:r>
      <w:proofErr w:type="spellStart"/>
      <w:r w:rsidRPr="003D6CE4">
        <w:rPr>
          <w:rStyle w:val="selectable"/>
          <w:rFonts w:ascii="Times New Roman" w:hAnsi="Times New Roman" w:cs="Times New Roman"/>
          <w:i/>
          <w:iCs/>
          <w:lang w:val="en"/>
        </w:rPr>
        <w:t>Modernise</w:t>
      </w:r>
      <w:proofErr w:type="spellEnd"/>
      <w:r w:rsidRPr="003D6CE4">
        <w:rPr>
          <w:rStyle w:val="selectable"/>
          <w:rFonts w:ascii="Times New Roman" w:hAnsi="Times New Roman" w:cs="Times New Roman"/>
          <w:i/>
          <w:iCs/>
          <w:lang w:val="en"/>
        </w:rPr>
        <w:t xml:space="preserve"> or Die</w:t>
      </w:r>
      <w:r w:rsidRPr="003D6CE4">
        <w:rPr>
          <w:rStyle w:val="selectable"/>
          <w:rFonts w:ascii="Times New Roman" w:hAnsi="Times New Roman" w:cs="Times New Roman"/>
          <w:lang w:val="en"/>
        </w:rPr>
        <w:t>, pp. 12-34. Available at: http://www.constructionleadershipcouncil.co.uk/wp-content/uploads/2016/10/Farmer-Review.pdf (Accessed: 19 September 2018).</w:t>
      </w:r>
    </w:p>
    <w:p w:rsidR="000E4617" w:rsidRPr="003D6CE4" w:rsidRDefault="000E4617" w:rsidP="00F53638">
      <w:pPr>
        <w:pStyle w:val="Default"/>
        <w:rPr>
          <w:rStyle w:val="selectable"/>
          <w:rFonts w:ascii="Times New Roman" w:hAnsi="Times New Roman" w:cs="Times New Roman"/>
          <w:lang w:val="en"/>
        </w:rPr>
      </w:pPr>
    </w:p>
    <w:p w:rsidR="0064334D" w:rsidRPr="003D6CE4" w:rsidRDefault="009B72B8" w:rsidP="00F53638">
      <w:pPr>
        <w:pStyle w:val="Default"/>
        <w:rPr>
          <w:rFonts w:ascii="Times New Roman" w:hAnsi="Times New Roman" w:cs="Times New Roman"/>
        </w:rPr>
      </w:pPr>
      <w:r w:rsidRPr="003D6CE4">
        <w:rPr>
          <w:rFonts w:ascii="Times New Roman" w:hAnsi="Times New Roman" w:cs="Times New Roman"/>
          <w:lang w:val="es-ES_tradnl"/>
        </w:rPr>
        <w:t>Hernández</w:t>
      </w:r>
      <w:r w:rsidRPr="003D6CE4">
        <w:rPr>
          <w:rFonts w:ascii="Cambria Math" w:hAnsi="Cambria Math" w:cs="Cambria Math"/>
          <w:lang w:val="es-ES_tradnl"/>
        </w:rPr>
        <w:t>‐</w:t>
      </w:r>
      <w:proofErr w:type="spellStart"/>
      <w:r w:rsidRPr="003D6CE4">
        <w:rPr>
          <w:rFonts w:ascii="Times New Roman" w:hAnsi="Times New Roman" w:cs="Times New Roman"/>
          <w:lang w:val="es-ES_tradnl"/>
        </w:rPr>
        <w:t>March</w:t>
      </w:r>
      <w:proofErr w:type="spellEnd"/>
      <w:r w:rsidRPr="003D6CE4">
        <w:rPr>
          <w:rFonts w:ascii="Times New Roman" w:hAnsi="Times New Roman" w:cs="Times New Roman"/>
          <w:lang w:val="es-ES_tradnl"/>
        </w:rPr>
        <w:t xml:space="preserve">, J., Martín del Peso, M. &amp; </w:t>
      </w:r>
      <w:proofErr w:type="spellStart"/>
      <w:r w:rsidRPr="003D6CE4">
        <w:rPr>
          <w:rFonts w:ascii="Times New Roman" w:hAnsi="Times New Roman" w:cs="Times New Roman"/>
          <w:lang w:val="es-ES_tradnl"/>
        </w:rPr>
        <w:t>Leguey</w:t>
      </w:r>
      <w:proofErr w:type="spellEnd"/>
      <w:r w:rsidRPr="003D6CE4">
        <w:rPr>
          <w:rFonts w:ascii="Times New Roman" w:hAnsi="Times New Roman" w:cs="Times New Roman"/>
          <w:lang w:val="es-ES_tradnl"/>
        </w:rPr>
        <w:t>, S. (2009)</w:t>
      </w:r>
      <w:r w:rsidR="00C17C6F" w:rsidRPr="003D6CE4">
        <w:rPr>
          <w:rFonts w:ascii="Times New Roman" w:hAnsi="Times New Roman" w:cs="Times New Roman"/>
          <w:lang w:val="es-ES_tradnl"/>
        </w:rPr>
        <w:t>.</w:t>
      </w:r>
      <w:r w:rsidRPr="003D6CE4">
        <w:rPr>
          <w:rFonts w:ascii="Times New Roman" w:hAnsi="Times New Roman" w:cs="Times New Roman"/>
          <w:lang w:val="es-ES_tradnl"/>
        </w:rPr>
        <w:t xml:space="preserve"> </w:t>
      </w:r>
      <w:r w:rsidRPr="003D6CE4">
        <w:rPr>
          <w:rFonts w:ascii="Times New Roman" w:hAnsi="Times New Roman" w:cs="Times New Roman"/>
        </w:rPr>
        <w:t xml:space="preserve">‘Graduates’ skills and higher education: the employers’ perspective’, </w:t>
      </w:r>
      <w:r w:rsidRPr="003D6CE4">
        <w:rPr>
          <w:rFonts w:ascii="Times New Roman" w:hAnsi="Times New Roman" w:cs="Times New Roman"/>
          <w:i/>
          <w:iCs/>
        </w:rPr>
        <w:t>Tertiary Education and Management</w:t>
      </w:r>
      <w:r w:rsidRPr="003D6CE4">
        <w:rPr>
          <w:rFonts w:ascii="Times New Roman" w:hAnsi="Times New Roman" w:cs="Times New Roman"/>
        </w:rPr>
        <w:t>, 15(1), pp.1-16. Available at:</w:t>
      </w:r>
      <w:r w:rsidR="005A28A9" w:rsidRPr="003D6CE4">
        <w:rPr>
          <w:rFonts w:ascii="Times New Roman" w:hAnsi="Times New Roman" w:cs="Times New Roman"/>
        </w:rPr>
        <w:t xml:space="preserve"> http://www.tandfonline.com/doi/full/10.1080/13583880802699978?src=recsys (Accessed: 16 January 2018). </w:t>
      </w:r>
    </w:p>
    <w:p w:rsidR="000E4617" w:rsidRPr="003D6CE4" w:rsidRDefault="000E4617" w:rsidP="00F53638">
      <w:pPr>
        <w:pStyle w:val="Default"/>
        <w:rPr>
          <w:rFonts w:ascii="Times New Roman" w:hAnsi="Times New Roman" w:cs="Times New Roman"/>
        </w:rPr>
      </w:pPr>
    </w:p>
    <w:p w:rsidR="005A28A9" w:rsidRPr="003D6CE4" w:rsidRDefault="005A28A9" w:rsidP="00F53638">
      <w:pPr>
        <w:pStyle w:val="Default"/>
        <w:rPr>
          <w:rFonts w:ascii="Times New Roman" w:hAnsi="Times New Roman" w:cs="Times New Roman"/>
          <w:color w:val="auto"/>
        </w:rPr>
      </w:pPr>
      <w:r w:rsidRPr="003D6CE4">
        <w:rPr>
          <w:rFonts w:ascii="Times New Roman" w:hAnsi="Times New Roman" w:cs="Times New Roman"/>
        </w:rPr>
        <w:t>Institute for Apprenticeships (2018)</w:t>
      </w:r>
      <w:r w:rsidR="00C17C6F" w:rsidRPr="003D6CE4">
        <w:rPr>
          <w:rFonts w:ascii="Times New Roman" w:hAnsi="Times New Roman" w:cs="Times New Roman"/>
        </w:rPr>
        <w:t>.</w:t>
      </w:r>
      <w:r w:rsidRPr="003D6CE4">
        <w:rPr>
          <w:rFonts w:ascii="Times New Roman" w:hAnsi="Times New Roman" w:cs="Times New Roman"/>
        </w:rPr>
        <w:t xml:space="preserve"> </w:t>
      </w:r>
      <w:r w:rsidRPr="003D6CE4">
        <w:rPr>
          <w:rFonts w:ascii="Times New Roman" w:hAnsi="Times New Roman" w:cs="Times New Roman"/>
          <w:i/>
          <w:iCs/>
        </w:rPr>
        <w:t>Developing apprenticeship standards</w:t>
      </w:r>
      <w:r w:rsidRPr="003D6CE4">
        <w:rPr>
          <w:rFonts w:ascii="Times New Roman" w:hAnsi="Times New Roman" w:cs="Times New Roman"/>
        </w:rPr>
        <w:t xml:space="preserve">. Available at: https://www.instituteforapprenticeships.org/developing-new-apprenticeships/ (Accessed: 1 </w:t>
      </w:r>
      <w:r w:rsidRPr="003D6CE4">
        <w:rPr>
          <w:rFonts w:ascii="Times New Roman" w:hAnsi="Times New Roman" w:cs="Times New Roman"/>
          <w:color w:val="auto"/>
        </w:rPr>
        <w:t xml:space="preserve">February 2018). </w:t>
      </w:r>
    </w:p>
    <w:p w:rsidR="000E4617" w:rsidRPr="003D6CE4" w:rsidRDefault="000E4617" w:rsidP="00F53638">
      <w:pPr>
        <w:pStyle w:val="Default"/>
        <w:rPr>
          <w:rStyle w:val="selectable"/>
          <w:rFonts w:ascii="Times New Roman" w:hAnsi="Times New Roman" w:cs="Times New Roman"/>
          <w:color w:val="auto"/>
          <w:lang w:val="en"/>
        </w:rPr>
      </w:pPr>
    </w:p>
    <w:p w:rsidR="00ED12BC" w:rsidRPr="003D6CE4" w:rsidRDefault="00ED12BC" w:rsidP="00F53638">
      <w:pPr>
        <w:pStyle w:val="Default"/>
        <w:rPr>
          <w:rStyle w:val="selectable"/>
          <w:rFonts w:ascii="Times New Roman" w:hAnsi="Times New Roman" w:cs="Times New Roman"/>
          <w:color w:val="auto"/>
          <w:lang w:val="en"/>
        </w:rPr>
      </w:pPr>
      <w:r w:rsidRPr="003D6CE4">
        <w:rPr>
          <w:rStyle w:val="selectable"/>
          <w:rFonts w:ascii="Times New Roman" w:hAnsi="Times New Roman" w:cs="Times New Roman"/>
          <w:color w:val="auto"/>
          <w:lang w:val="en"/>
        </w:rPr>
        <w:t>Institute for Education, Bath Spa University (2018)</w:t>
      </w:r>
      <w:r w:rsidR="00C17C6F" w:rsidRPr="003D6CE4">
        <w:rPr>
          <w:rStyle w:val="selectable"/>
          <w:rFonts w:ascii="Times New Roman" w:hAnsi="Times New Roman" w:cs="Times New Roman"/>
          <w:color w:val="auto"/>
          <w:lang w:val="en"/>
        </w:rPr>
        <w:t>.</w:t>
      </w:r>
      <w:r w:rsidRPr="003D6CE4">
        <w:rPr>
          <w:rStyle w:val="selectable"/>
          <w:rFonts w:ascii="Times New Roman" w:hAnsi="Times New Roman" w:cs="Times New Roman"/>
          <w:color w:val="auto"/>
          <w:lang w:val="en"/>
        </w:rPr>
        <w:t xml:space="preserve"> </w:t>
      </w:r>
      <w:r w:rsidRPr="003D6CE4">
        <w:rPr>
          <w:rStyle w:val="selectable"/>
          <w:rFonts w:ascii="Times New Roman" w:hAnsi="Times New Roman" w:cs="Times New Roman"/>
          <w:i/>
          <w:iCs/>
          <w:color w:val="auto"/>
          <w:lang w:val="en"/>
        </w:rPr>
        <w:t>Degree Apprenticeships: Higher Technical or Technical Higher (Education)</w:t>
      </w:r>
      <w:proofErr w:type="gramStart"/>
      <w:r w:rsidRPr="003D6CE4">
        <w:rPr>
          <w:rStyle w:val="selectable"/>
          <w:rFonts w:ascii="Times New Roman" w:hAnsi="Times New Roman" w:cs="Times New Roman"/>
          <w:i/>
          <w:iCs/>
          <w:color w:val="auto"/>
          <w:lang w:val="en"/>
        </w:rPr>
        <w:t>?</w:t>
      </w:r>
      <w:r w:rsidRPr="003D6CE4">
        <w:rPr>
          <w:rStyle w:val="selectable"/>
          <w:rFonts w:ascii="Times New Roman" w:hAnsi="Times New Roman" w:cs="Times New Roman"/>
          <w:color w:val="auto"/>
          <w:lang w:val="en"/>
        </w:rPr>
        <w:t>.</w:t>
      </w:r>
      <w:proofErr w:type="gramEnd"/>
    </w:p>
    <w:p w:rsidR="000E4617" w:rsidRPr="003D6CE4" w:rsidRDefault="000E4617" w:rsidP="00F53638">
      <w:pPr>
        <w:pStyle w:val="Default"/>
        <w:rPr>
          <w:rFonts w:ascii="Times New Roman" w:hAnsi="Times New Roman" w:cs="Times New Roman"/>
          <w:color w:val="auto"/>
        </w:rPr>
      </w:pPr>
    </w:p>
    <w:p w:rsidR="0064334D" w:rsidRPr="003D6CE4" w:rsidRDefault="0064334D" w:rsidP="00F53638">
      <w:pPr>
        <w:pStyle w:val="Default"/>
        <w:rPr>
          <w:rStyle w:val="selectable"/>
          <w:rFonts w:ascii="Times New Roman" w:hAnsi="Times New Roman" w:cs="Times New Roman"/>
          <w:lang w:val="en"/>
        </w:rPr>
      </w:pPr>
      <w:r w:rsidRPr="003D6CE4">
        <w:rPr>
          <w:rStyle w:val="selectable"/>
          <w:rFonts w:ascii="Times New Roman" w:hAnsi="Times New Roman" w:cs="Times New Roman"/>
          <w:i/>
          <w:iCs/>
          <w:lang w:val="fr-FR"/>
        </w:rPr>
        <w:lastRenderedPageBreak/>
        <w:t xml:space="preserve">JACS 3.0: Principal </w:t>
      </w:r>
      <w:proofErr w:type="spellStart"/>
      <w:r w:rsidRPr="003D6CE4">
        <w:rPr>
          <w:rStyle w:val="selectable"/>
          <w:rFonts w:ascii="Times New Roman" w:hAnsi="Times New Roman" w:cs="Times New Roman"/>
          <w:i/>
          <w:iCs/>
          <w:lang w:val="fr-FR"/>
        </w:rPr>
        <w:t>subject</w:t>
      </w:r>
      <w:proofErr w:type="spellEnd"/>
      <w:r w:rsidRPr="003D6CE4">
        <w:rPr>
          <w:rStyle w:val="selectable"/>
          <w:rFonts w:ascii="Times New Roman" w:hAnsi="Times New Roman" w:cs="Times New Roman"/>
          <w:i/>
          <w:iCs/>
          <w:lang w:val="fr-FR"/>
        </w:rPr>
        <w:t xml:space="preserve"> codes | HESA</w:t>
      </w:r>
      <w:r w:rsidRPr="003D6CE4">
        <w:rPr>
          <w:rStyle w:val="selectable"/>
          <w:rFonts w:ascii="Times New Roman" w:hAnsi="Times New Roman" w:cs="Times New Roman"/>
          <w:lang w:val="fr-FR"/>
        </w:rPr>
        <w:t xml:space="preserve"> (2018). </w:t>
      </w:r>
      <w:r w:rsidRPr="003D6CE4">
        <w:rPr>
          <w:rStyle w:val="selectable"/>
          <w:rFonts w:ascii="Times New Roman" w:hAnsi="Times New Roman" w:cs="Times New Roman"/>
          <w:lang w:val="en"/>
        </w:rPr>
        <w:t>Available at: https://www.hesa.ac.uk/support/documentation/jacs/jacs3-principal (Accessed: 19 September 2018).</w:t>
      </w:r>
    </w:p>
    <w:p w:rsidR="000E4617" w:rsidRPr="003D6CE4" w:rsidRDefault="000E4617" w:rsidP="00F53638">
      <w:pPr>
        <w:pStyle w:val="Default"/>
        <w:rPr>
          <w:rStyle w:val="selectable"/>
          <w:rFonts w:ascii="Times New Roman" w:hAnsi="Times New Roman" w:cs="Times New Roman"/>
          <w:lang w:val="en"/>
        </w:rPr>
      </w:pPr>
    </w:p>
    <w:p w:rsidR="001150C6" w:rsidRPr="003D6CE4" w:rsidRDefault="001150C6" w:rsidP="00F53638">
      <w:pPr>
        <w:autoSpaceDE w:val="0"/>
        <w:autoSpaceDN w:val="0"/>
        <w:adjustRightInd w:val="0"/>
        <w:spacing w:before="100" w:after="100"/>
        <w:rPr>
          <w:rFonts w:eastAsiaTheme="minorHAnsi"/>
          <w:sz w:val="24"/>
          <w:szCs w:val="24"/>
        </w:rPr>
      </w:pPr>
      <w:proofErr w:type="spellStart"/>
      <w:r w:rsidRPr="003D6CE4">
        <w:rPr>
          <w:rFonts w:eastAsiaTheme="minorHAnsi"/>
          <w:sz w:val="24"/>
          <w:szCs w:val="24"/>
        </w:rPr>
        <w:t>Mulke</w:t>
      </w:r>
      <w:r w:rsidR="00C17C6F" w:rsidRPr="003D6CE4">
        <w:rPr>
          <w:rFonts w:eastAsiaTheme="minorHAnsi"/>
          <w:sz w:val="24"/>
          <w:szCs w:val="24"/>
        </w:rPr>
        <w:t>en</w:t>
      </w:r>
      <w:proofErr w:type="spellEnd"/>
      <w:r w:rsidR="00C17C6F" w:rsidRPr="003D6CE4">
        <w:rPr>
          <w:rFonts w:eastAsiaTheme="minorHAnsi"/>
          <w:sz w:val="24"/>
          <w:szCs w:val="24"/>
        </w:rPr>
        <w:t xml:space="preserve">, J., </w:t>
      </w:r>
      <w:proofErr w:type="spellStart"/>
      <w:r w:rsidR="00C17C6F" w:rsidRPr="003D6CE4">
        <w:rPr>
          <w:rFonts w:eastAsiaTheme="minorHAnsi"/>
          <w:sz w:val="24"/>
          <w:szCs w:val="24"/>
        </w:rPr>
        <w:t>Abdou</w:t>
      </w:r>
      <w:proofErr w:type="spellEnd"/>
      <w:r w:rsidR="00C17C6F" w:rsidRPr="003D6CE4">
        <w:rPr>
          <w:rFonts w:eastAsiaTheme="minorHAnsi"/>
          <w:sz w:val="24"/>
          <w:szCs w:val="24"/>
        </w:rPr>
        <w:t>, H., Leigh, J. &amp;</w:t>
      </w:r>
      <w:r w:rsidRPr="003D6CE4">
        <w:rPr>
          <w:rFonts w:eastAsiaTheme="minorHAnsi"/>
          <w:sz w:val="24"/>
          <w:szCs w:val="24"/>
        </w:rPr>
        <w:t xml:space="preserve"> Ward, P. (2017). Degree and Higher Level Apprenticeships: an empirical investigation of stakeholder perceptions of challenges and opportunities. </w:t>
      </w:r>
      <w:r w:rsidRPr="003D6CE4">
        <w:rPr>
          <w:rFonts w:eastAsiaTheme="minorHAnsi"/>
          <w:i/>
          <w:iCs/>
          <w:sz w:val="24"/>
          <w:szCs w:val="24"/>
        </w:rPr>
        <w:t>Studies in Higher Education</w:t>
      </w:r>
      <w:r w:rsidRPr="003D6CE4">
        <w:rPr>
          <w:rFonts w:eastAsiaTheme="minorHAnsi"/>
          <w:sz w:val="24"/>
          <w:szCs w:val="24"/>
        </w:rPr>
        <w:t>, pp.1-14.</w:t>
      </w:r>
    </w:p>
    <w:p w:rsidR="000E4617" w:rsidRPr="003D6CE4" w:rsidRDefault="000E4617" w:rsidP="00F53638">
      <w:pPr>
        <w:autoSpaceDE w:val="0"/>
        <w:autoSpaceDN w:val="0"/>
        <w:adjustRightInd w:val="0"/>
        <w:spacing w:before="100" w:after="100"/>
        <w:rPr>
          <w:rFonts w:eastAsiaTheme="minorHAnsi"/>
          <w:sz w:val="24"/>
          <w:szCs w:val="24"/>
        </w:rPr>
      </w:pPr>
    </w:p>
    <w:p w:rsidR="00835E76" w:rsidRPr="003D6CE4" w:rsidRDefault="005A28A9" w:rsidP="00F53638">
      <w:pPr>
        <w:pStyle w:val="Default"/>
        <w:rPr>
          <w:rFonts w:ascii="Times New Roman" w:hAnsi="Times New Roman" w:cs="Times New Roman"/>
        </w:rPr>
      </w:pPr>
      <w:r w:rsidRPr="003D6CE4">
        <w:rPr>
          <w:rFonts w:ascii="Times New Roman" w:hAnsi="Times New Roman" w:cs="Times New Roman"/>
        </w:rPr>
        <w:t>Office for National Statistics (2018)</w:t>
      </w:r>
      <w:r w:rsidR="00C17C6F" w:rsidRPr="003D6CE4">
        <w:rPr>
          <w:rFonts w:ascii="Times New Roman" w:hAnsi="Times New Roman" w:cs="Times New Roman"/>
        </w:rPr>
        <w:t>.</w:t>
      </w:r>
      <w:r w:rsidRPr="003D6CE4">
        <w:rPr>
          <w:rFonts w:ascii="Times New Roman" w:hAnsi="Times New Roman" w:cs="Times New Roman"/>
        </w:rPr>
        <w:t xml:space="preserve"> </w:t>
      </w:r>
      <w:r w:rsidRPr="003D6CE4">
        <w:rPr>
          <w:rFonts w:ascii="Times New Roman" w:hAnsi="Times New Roman" w:cs="Times New Roman"/>
          <w:i/>
        </w:rPr>
        <w:t>Construction output in Great Britain: May 2018.</w:t>
      </w:r>
      <w:r w:rsidRPr="003D6CE4">
        <w:rPr>
          <w:rFonts w:ascii="Times New Roman" w:hAnsi="Times New Roman" w:cs="Times New Roman"/>
        </w:rPr>
        <w:t xml:space="preserve"> Available at: https://www.ons.gov.uk/businessindustryandtrade/constructionindustry/bulletins/constructionoutputingreatbritain/may2018 (Accessed: 9 July 2018).</w:t>
      </w:r>
    </w:p>
    <w:p w:rsidR="005B15EE" w:rsidRPr="003D6CE4" w:rsidRDefault="005B15EE" w:rsidP="00F53638">
      <w:pPr>
        <w:pStyle w:val="Default"/>
        <w:rPr>
          <w:rFonts w:ascii="Times New Roman" w:hAnsi="Times New Roman" w:cs="Times New Roman"/>
        </w:rPr>
      </w:pPr>
    </w:p>
    <w:p w:rsidR="005B15EE" w:rsidRPr="003D6CE4" w:rsidRDefault="005B15EE" w:rsidP="00F53638">
      <w:pPr>
        <w:widowControl w:val="0"/>
        <w:autoSpaceDE w:val="0"/>
        <w:autoSpaceDN w:val="0"/>
        <w:adjustRightInd w:val="0"/>
        <w:rPr>
          <w:noProof/>
          <w:sz w:val="24"/>
          <w:szCs w:val="24"/>
        </w:rPr>
      </w:pPr>
      <w:r w:rsidRPr="003D6CE4">
        <w:rPr>
          <w:noProof/>
          <w:sz w:val="24"/>
          <w:szCs w:val="24"/>
        </w:rPr>
        <w:t xml:space="preserve">Pratt, D. D. and Johnson, J. (1998) ‘Alternative Frames of Understanding. Introduction to Five Perspectives’, in </w:t>
      </w:r>
      <w:r w:rsidRPr="003D6CE4">
        <w:rPr>
          <w:i/>
          <w:iCs/>
          <w:noProof/>
          <w:sz w:val="24"/>
          <w:szCs w:val="24"/>
        </w:rPr>
        <w:t>The Apprenticeship Perspective</w:t>
      </w:r>
      <w:r w:rsidRPr="003D6CE4">
        <w:rPr>
          <w:noProof/>
          <w:sz w:val="24"/>
          <w:szCs w:val="24"/>
        </w:rPr>
        <w:t>.</w:t>
      </w:r>
    </w:p>
    <w:p w:rsidR="005B15EE" w:rsidRPr="003D6CE4" w:rsidRDefault="005B15EE" w:rsidP="00F53638">
      <w:pPr>
        <w:pStyle w:val="Default"/>
        <w:rPr>
          <w:rFonts w:ascii="Times New Roman" w:hAnsi="Times New Roman" w:cs="Times New Roman"/>
        </w:rPr>
      </w:pPr>
    </w:p>
    <w:p w:rsidR="005A28A9" w:rsidRPr="003D6CE4" w:rsidRDefault="00835E76" w:rsidP="00F53638">
      <w:pPr>
        <w:pStyle w:val="Default"/>
        <w:rPr>
          <w:rFonts w:ascii="Times New Roman" w:hAnsi="Times New Roman" w:cs="Times New Roman"/>
        </w:rPr>
      </w:pPr>
      <w:r w:rsidRPr="003D6CE4">
        <w:rPr>
          <w:rStyle w:val="selectable"/>
          <w:rFonts w:ascii="Times New Roman" w:hAnsi="Times New Roman" w:cs="Times New Roman"/>
          <w:lang w:val="en"/>
        </w:rPr>
        <w:t xml:space="preserve">PWC (2018). </w:t>
      </w:r>
      <w:r w:rsidRPr="003D6CE4">
        <w:rPr>
          <w:rStyle w:val="selectable"/>
          <w:rFonts w:ascii="Times New Roman" w:hAnsi="Times New Roman" w:cs="Times New Roman"/>
          <w:i/>
          <w:iCs/>
          <w:lang w:val="en"/>
        </w:rPr>
        <w:t>UK Economic Outlook: July 2018</w:t>
      </w:r>
      <w:r w:rsidRPr="003D6CE4">
        <w:rPr>
          <w:rStyle w:val="selectable"/>
          <w:rFonts w:ascii="Times New Roman" w:hAnsi="Times New Roman" w:cs="Times New Roman"/>
          <w:lang w:val="en"/>
        </w:rPr>
        <w:t>. [</w:t>
      </w:r>
      <w:proofErr w:type="gramStart"/>
      <w:r w:rsidRPr="003D6CE4">
        <w:rPr>
          <w:rStyle w:val="selectable"/>
          <w:rFonts w:ascii="Times New Roman" w:hAnsi="Times New Roman" w:cs="Times New Roman"/>
          <w:lang w:val="en"/>
        </w:rPr>
        <w:t>online</w:t>
      </w:r>
      <w:proofErr w:type="gramEnd"/>
      <w:r w:rsidRPr="003D6CE4">
        <w:rPr>
          <w:rStyle w:val="selectable"/>
          <w:rFonts w:ascii="Times New Roman" w:hAnsi="Times New Roman" w:cs="Times New Roman"/>
          <w:lang w:val="en"/>
        </w:rPr>
        <w:t>] p.5. Available at: https://www.pwc.co.uk/economic-services/ukeo/ukeo-july18-summary.pdf [Accessed 1 Aug. 2018].</w:t>
      </w:r>
      <w:r w:rsidR="005A28A9" w:rsidRPr="003D6CE4">
        <w:rPr>
          <w:rFonts w:ascii="Times New Roman" w:hAnsi="Times New Roman" w:cs="Times New Roman"/>
        </w:rPr>
        <w:t xml:space="preserve"> </w:t>
      </w:r>
    </w:p>
    <w:p w:rsidR="009B77DB" w:rsidRPr="003D6CE4" w:rsidRDefault="009B77DB" w:rsidP="00F53638">
      <w:pPr>
        <w:pStyle w:val="Default"/>
        <w:rPr>
          <w:rFonts w:ascii="Times New Roman" w:hAnsi="Times New Roman" w:cs="Times New Roman"/>
        </w:rPr>
      </w:pPr>
    </w:p>
    <w:p w:rsidR="005A28A9" w:rsidRPr="003D6CE4" w:rsidRDefault="005A28A9" w:rsidP="00F53638">
      <w:pPr>
        <w:pStyle w:val="Default"/>
        <w:rPr>
          <w:rFonts w:ascii="Times New Roman" w:hAnsi="Times New Roman" w:cs="Times New Roman"/>
        </w:rPr>
      </w:pPr>
      <w:r w:rsidRPr="003D6CE4">
        <w:rPr>
          <w:rFonts w:ascii="Times New Roman" w:hAnsi="Times New Roman" w:cs="Times New Roman"/>
        </w:rPr>
        <w:t>Richard, D. (2012)</w:t>
      </w:r>
      <w:r w:rsidR="00C17C6F" w:rsidRPr="003D6CE4">
        <w:rPr>
          <w:rFonts w:ascii="Times New Roman" w:hAnsi="Times New Roman" w:cs="Times New Roman"/>
        </w:rPr>
        <w:t>.</w:t>
      </w:r>
      <w:r w:rsidRPr="003D6CE4">
        <w:rPr>
          <w:rFonts w:ascii="Times New Roman" w:hAnsi="Times New Roman" w:cs="Times New Roman"/>
        </w:rPr>
        <w:t xml:space="preserve"> </w:t>
      </w:r>
      <w:r w:rsidR="007B554D" w:rsidRPr="003D6CE4">
        <w:rPr>
          <w:rFonts w:ascii="Times New Roman" w:hAnsi="Times New Roman" w:cs="Times New Roman"/>
          <w:i/>
          <w:iCs/>
        </w:rPr>
        <w:t>Richard R</w:t>
      </w:r>
      <w:r w:rsidRPr="003D6CE4">
        <w:rPr>
          <w:rFonts w:ascii="Times New Roman" w:hAnsi="Times New Roman" w:cs="Times New Roman"/>
          <w:i/>
          <w:iCs/>
        </w:rPr>
        <w:t>eview of apprenticeships</w:t>
      </w:r>
      <w:r w:rsidRPr="003D6CE4">
        <w:rPr>
          <w:rFonts w:ascii="Times New Roman" w:hAnsi="Times New Roman" w:cs="Times New Roman"/>
        </w:rPr>
        <w:t xml:space="preserve">. London: Department for Business, Innovation &amp; Skills. Available at: https://www.gov.uk/government/publications/the-richard-review-of-apprenticeships (Accessed: 16 January 2018). </w:t>
      </w:r>
    </w:p>
    <w:p w:rsidR="009B77DB" w:rsidRPr="003D6CE4" w:rsidRDefault="009B77DB" w:rsidP="00F53638">
      <w:pPr>
        <w:pStyle w:val="Default"/>
        <w:rPr>
          <w:rFonts w:ascii="Times New Roman" w:hAnsi="Times New Roman" w:cs="Times New Roman"/>
        </w:rPr>
      </w:pPr>
    </w:p>
    <w:p w:rsidR="005A28A9" w:rsidRPr="003D6CE4" w:rsidRDefault="005A28A9" w:rsidP="00F53638">
      <w:pPr>
        <w:pStyle w:val="Default"/>
        <w:rPr>
          <w:rFonts w:ascii="Times New Roman" w:hAnsi="Times New Roman" w:cs="Times New Roman"/>
        </w:rPr>
      </w:pPr>
      <w:r w:rsidRPr="003D6CE4">
        <w:rPr>
          <w:rFonts w:ascii="Times New Roman" w:hAnsi="Times New Roman" w:cs="Times New Roman"/>
        </w:rPr>
        <w:t>Time Higher Education (2018)</w:t>
      </w:r>
      <w:r w:rsidR="00C17C6F" w:rsidRPr="003D6CE4">
        <w:rPr>
          <w:rFonts w:ascii="Times New Roman" w:hAnsi="Times New Roman" w:cs="Times New Roman"/>
        </w:rPr>
        <w:t>.</w:t>
      </w:r>
      <w:r w:rsidRPr="003D6CE4">
        <w:rPr>
          <w:rFonts w:ascii="Times New Roman" w:hAnsi="Times New Roman" w:cs="Times New Roman"/>
        </w:rPr>
        <w:t xml:space="preserve"> ‘Students’ careers advice “not fit for purpose”’, </w:t>
      </w:r>
      <w:r w:rsidRPr="003D6CE4">
        <w:rPr>
          <w:rFonts w:ascii="Times New Roman" w:hAnsi="Times New Roman" w:cs="Times New Roman"/>
          <w:i/>
          <w:iCs/>
        </w:rPr>
        <w:t>Times Higher Education</w:t>
      </w:r>
      <w:r w:rsidRPr="003D6CE4">
        <w:rPr>
          <w:rFonts w:ascii="Times New Roman" w:hAnsi="Times New Roman" w:cs="Times New Roman"/>
        </w:rPr>
        <w:t xml:space="preserve">. Available at: https://www.timeshighereducation.com/news/students-careers-advice-not-fit-for-purpose/2016846.article (Accessed: 16 January 2018). </w:t>
      </w:r>
    </w:p>
    <w:p w:rsidR="009B77DB" w:rsidRPr="003D6CE4" w:rsidRDefault="009B77DB" w:rsidP="00F53638">
      <w:pPr>
        <w:pStyle w:val="Default"/>
        <w:rPr>
          <w:rFonts w:ascii="Times New Roman" w:hAnsi="Times New Roman" w:cs="Times New Roman"/>
        </w:rPr>
      </w:pPr>
    </w:p>
    <w:p w:rsidR="005A28A9" w:rsidRPr="003D6CE4" w:rsidRDefault="005A28A9" w:rsidP="00F53638">
      <w:pPr>
        <w:pStyle w:val="Default"/>
        <w:rPr>
          <w:rFonts w:ascii="Times New Roman" w:hAnsi="Times New Roman" w:cs="Times New Roman"/>
        </w:rPr>
      </w:pPr>
      <w:r w:rsidRPr="003D6CE4">
        <w:rPr>
          <w:rFonts w:ascii="Times New Roman" w:hAnsi="Times New Roman" w:cs="Times New Roman"/>
        </w:rPr>
        <w:t>Trading Economics (2018)</w:t>
      </w:r>
      <w:r w:rsidR="00C17C6F" w:rsidRPr="003D6CE4">
        <w:rPr>
          <w:rFonts w:ascii="Times New Roman" w:hAnsi="Times New Roman" w:cs="Times New Roman"/>
        </w:rPr>
        <w:t>.</w:t>
      </w:r>
      <w:r w:rsidRPr="003D6CE4">
        <w:rPr>
          <w:rFonts w:ascii="Times New Roman" w:hAnsi="Times New Roman" w:cs="Times New Roman"/>
        </w:rPr>
        <w:t xml:space="preserve"> </w:t>
      </w:r>
      <w:r w:rsidRPr="003D6CE4">
        <w:rPr>
          <w:rFonts w:ascii="Times New Roman" w:hAnsi="Times New Roman" w:cs="Times New Roman"/>
          <w:i/>
          <w:iCs/>
        </w:rPr>
        <w:t>United Kingdom GDP from construction</w:t>
      </w:r>
      <w:r w:rsidRPr="003D6CE4">
        <w:rPr>
          <w:rFonts w:ascii="Times New Roman" w:hAnsi="Times New Roman" w:cs="Times New Roman"/>
        </w:rPr>
        <w:t xml:space="preserve">. Available at: https://tradingeconomics.com/united-kingdom/gdp-from-construction (Accessed: 9 July 2018). </w:t>
      </w:r>
    </w:p>
    <w:p w:rsidR="009B77DB" w:rsidRPr="003D6CE4" w:rsidRDefault="009B77DB" w:rsidP="00F53638">
      <w:pPr>
        <w:pStyle w:val="Default"/>
        <w:rPr>
          <w:rFonts w:ascii="Times New Roman" w:hAnsi="Times New Roman" w:cs="Times New Roman"/>
        </w:rPr>
      </w:pPr>
    </w:p>
    <w:p w:rsidR="005A28A9" w:rsidRPr="003D6CE4" w:rsidRDefault="005A28A9" w:rsidP="00F53638">
      <w:pPr>
        <w:pStyle w:val="Default"/>
        <w:rPr>
          <w:rFonts w:ascii="Times New Roman" w:hAnsi="Times New Roman" w:cs="Times New Roman"/>
        </w:rPr>
      </w:pPr>
      <w:r w:rsidRPr="003D6CE4">
        <w:rPr>
          <w:rFonts w:ascii="Times New Roman" w:hAnsi="Times New Roman" w:cs="Times New Roman"/>
        </w:rPr>
        <w:t>Universities and Colleges Admissions Service (2017)</w:t>
      </w:r>
      <w:r w:rsidR="00C17C6F" w:rsidRPr="003D6CE4">
        <w:rPr>
          <w:rFonts w:ascii="Times New Roman" w:hAnsi="Times New Roman" w:cs="Times New Roman"/>
        </w:rPr>
        <w:t>.</w:t>
      </w:r>
      <w:r w:rsidRPr="003D6CE4">
        <w:rPr>
          <w:rFonts w:ascii="Times New Roman" w:hAnsi="Times New Roman" w:cs="Times New Roman"/>
        </w:rPr>
        <w:t xml:space="preserve"> </w:t>
      </w:r>
      <w:r w:rsidRPr="003D6CE4">
        <w:rPr>
          <w:rFonts w:ascii="Times New Roman" w:hAnsi="Times New Roman" w:cs="Times New Roman"/>
          <w:i/>
          <w:iCs/>
        </w:rPr>
        <w:t>2016 applications by subject group (summary level)</w:t>
      </w:r>
      <w:r w:rsidRPr="003D6CE4">
        <w:rPr>
          <w:rFonts w:ascii="Times New Roman" w:hAnsi="Times New Roman" w:cs="Times New Roman"/>
        </w:rPr>
        <w:t xml:space="preserve">. Available at: https://www.ucas.com/files/2016-applications-subject-group-summary-level (Accessed: 9 July 2018). </w:t>
      </w:r>
    </w:p>
    <w:p w:rsidR="009B77DB" w:rsidRPr="003D6CE4" w:rsidRDefault="009B77DB" w:rsidP="00F53638">
      <w:pPr>
        <w:pStyle w:val="Default"/>
        <w:rPr>
          <w:rFonts w:ascii="Times New Roman" w:hAnsi="Times New Roman" w:cs="Times New Roman"/>
        </w:rPr>
      </w:pPr>
    </w:p>
    <w:p w:rsidR="009B72B8" w:rsidRPr="003D6CE4" w:rsidRDefault="005A28A9" w:rsidP="00F53638">
      <w:pPr>
        <w:autoSpaceDE w:val="0"/>
        <w:autoSpaceDN w:val="0"/>
        <w:adjustRightInd w:val="0"/>
        <w:rPr>
          <w:sz w:val="24"/>
          <w:szCs w:val="24"/>
        </w:rPr>
      </w:pPr>
      <w:r w:rsidRPr="003D6CE4">
        <w:rPr>
          <w:sz w:val="24"/>
          <w:szCs w:val="24"/>
        </w:rPr>
        <w:t>Universities and Colleges Admissions Service (2018)</w:t>
      </w:r>
      <w:r w:rsidR="00C17C6F" w:rsidRPr="003D6CE4">
        <w:rPr>
          <w:sz w:val="24"/>
          <w:szCs w:val="24"/>
        </w:rPr>
        <w:t>.</w:t>
      </w:r>
      <w:r w:rsidRPr="003D6CE4">
        <w:rPr>
          <w:sz w:val="24"/>
          <w:szCs w:val="24"/>
        </w:rPr>
        <w:t xml:space="preserve"> </w:t>
      </w:r>
      <w:r w:rsidRPr="003D6CE4">
        <w:rPr>
          <w:i/>
          <w:iCs/>
          <w:sz w:val="24"/>
          <w:szCs w:val="24"/>
        </w:rPr>
        <w:t>Degree apprenticeships</w:t>
      </w:r>
      <w:r w:rsidRPr="003D6CE4">
        <w:rPr>
          <w:sz w:val="24"/>
          <w:szCs w:val="24"/>
        </w:rPr>
        <w:t>. Available at: https://www.ucas.com/degree-apprenticeships (Accessed: 16 January 2018).</w:t>
      </w:r>
    </w:p>
    <w:p w:rsidR="009B77DB" w:rsidRPr="003D6CE4" w:rsidRDefault="009B77DB" w:rsidP="00F53638">
      <w:pPr>
        <w:autoSpaceDE w:val="0"/>
        <w:autoSpaceDN w:val="0"/>
        <w:adjustRightInd w:val="0"/>
        <w:rPr>
          <w:sz w:val="24"/>
          <w:szCs w:val="24"/>
        </w:rPr>
      </w:pPr>
    </w:p>
    <w:p w:rsidR="00FA2A39" w:rsidRPr="003D6CE4" w:rsidRDefault="00FA2A39" w:rsidP="00F53638">
      <w:pPr>
        <w:autoSpaceDE w:val="0"/>
        <w:autoSpaceDN w:val="0"/>
        <w:adjustRightInd w:val="0"/>
        <w:spacing w:before="100" w:after="100"/>
        <w:rPr>
          <w:rFonts w:eastAsiaTheme="minorHAnsi"/>
          <w:sz w:val="24"/>
          <w:szCs w:val="24"/>
        </w:rPr>
      </w:pPr>
      <w:r w:rsidRPr="003D6CE4">
        <w:rPr>
          <w:rFonts w:eastAsiaTheme="minorHAnsi"/>
          <w:sz w:val="24"/>
          <w:szCs w:val="24"/>
        </w:rPr>
        <w:t xml:space="preserve">Universities UK (2017). </w:t>
      </w:r>
      <w:r w:rsidRPr="003D6CE4">
        <w:rPr>
          <w:rFonts w:eastAsiaTheme="minorHAnsi"/>
          <w:i/>
          <w:iCs/>
          <w:sz w:val="24"/>
          <w:szCs w:val="24"/>
        </w:rPr>
        <w:t>Patterns and Trends in UK Higher Education</w:t>
      </w:r>
      <w:r w:rsidRPr="003D6CE4">
        <w:rPr>
          <w:rFonts w:eastAsiaTheme="minorHAnsi"/>
          <w:sz w:val="24"/>
          <w:szCs w:val="24"/>
        </w:rPr>
        <w:t>. [</w:t>
      </w:r>
      <w:proofErr w:type="gramStart"/>
      <w:r w:rsidRPr="003D6CE4">
        <w:rPr>
          <w:rFonts w:eastAsiaTheme="minorHAnsi"/>
          <w:sz w:val="24"/>
          <w:szCs w:val="24"/>
        </w:rPr>
        <w:t>online</w:t>
      </w:r>
      <w:proofErr w:type="gramEnd"/>
      <w:r w:rsidRPr="003D6CE4">
        <w:rPr>
          <w:rFonts w:eastAsiaTheme="minorHAnsi"/>
          <w:sz w:val="24"/>
          <w:szCs w:val="24"/>
        </w:rPr>
        <w:t>] pp.14-15. Available at: https://www.universitiesuk.ac.uk/facts-and-stats/data-and-analysis/Documents/patterns-and-trends-2017.pdf [Accessed 26 Sep. 2018].</w:t>
      </w:r>
    </w:p>
    <w:sectPr w:rsidR="00FA2A39" w:rsidRPr="003D6CE4" w:rsidSect="004B73F6">
      <w:headerReference w:type="default" r:id="rId8"/>
      <w:pgSz w:w="11906" w:h="16838"/>
      <w:pgMar w:top="63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9A6" w:rsidRDefault="006A19A6" w:rsidP="00E25827">
      <w:r>
        <w:separator/>
      </w:r>
    </w:p>
  </w:endnote>
  <w:endnote w:type="continuationSeparator" w:id="0">
    <w:p w:rsidR="006A19A6" w:rsidRDefault="006A19A6" w:rsidP="00E2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9A6" w:rsidRDefault="006A19A6" w:rsidP="00E25827">
      <w:r>
        <w:separator/>
      </w:r>
    </w:p>
  </w:footnote>
  <w:footnote w:type="continuationSeparator" w:id="0">
    <w:p w:rsidR="006A19A6" w:rsidRDefault="006A19A6" w:rsidP="00E25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9A6" w:rsidRDefault="006A19A6" w:rsidP="00E258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3EA"/>
    <w:multiLevelType w:val="hybridMultilevel"/>
    <w:tmpl w:val="432094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E894053"/>
    <w:multiLevelType w:val="hybridMultilevel"/>
    <w:tmpl w:val="D3A6F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85B20"/>
    <w:multiLevelType w:val="hybridMultilevel"/>
    <w:tmpl w:val="E362C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512D8"/>
    <w:multiLevelType w:val="multilevel"/>
    <w:tmpl w:val="5520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520643"/>
    <w:multiLevelType w:val="hybridMultilevel"/>
    <w:tmpl w:val="DD52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90B3A"/>
    <w:multiLevelType w:val="hybridMultilevel"/>
    <w:tmpl w:val="A620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1124B"/>
    <w:multiLevelType w:val="multilevel"/>
    <w:tmpl w:val="FA06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8403C4"/>
    <w:multiLevelType w:val="hybridMultilevel"/>
    <w:tmpl w:val="690E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B17F9"/>
    <w:multiLevelType w:val="hybridMultilevel"/>
    <w:tmpl w:val="A840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B25B3"/>
    <w:multiLevelType w:val="hybridMultilevel"/>
    <w:tmpl w:val="1EE8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8F2172"/>
    <w:multiLevelType w:val="hybridMultilevel"/>
    <w:tmpl w:val="E4EC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F1997"/>
    <w:multiLevelType w:val="hybridMultilevel"/>
    <w:tmpl w:val="FC70E7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C512A4A"/>
    <w:multiLevelType w:val="hybridMultilevel"/>
    <w:tmpl w:val="2A46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FF26D9"/>
    <w:multiLevelType w:val="hybridMultilevel"/>
    <w:tmpl w:val="27FA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F57DCA"/>
    <w:multiLevelType w:val="hybridMultilevel"/>
    <w:tmpl w:val="148A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5"/>
  </w:num>
  <w:num w:numId="5">
    <w:abstractNumId w:val="8"/>
  </w:num>
  <w:num w:numId="6">
    <w:abstractNumId w:val="7"/>
  </w:num>
  <w:num w:numId="7">
    <w:abstractNumId w:val="14"/>
  </w:num>
  <w:num w:numId="8">
    <w:abstractNumId w:val="1"/>
  </w:num>
  <w:num w:numId="9">
    <w:abstractNumId w:val="12"/>
  </w:num>
  <w:num w:numId="10">
    <w:abstractNumId w:val="9"/>
  </w:num>
  <w:num w:numId="11">
    <w:abstractNumId w:val="0"/>
  </w:num>
  <w:num w:numId="12">
    <w:abstractNumId w:val="4"/>
  </w:num>
  <w:num w:numId="13">
    <w:abstractNumId w:val="13"/>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zMDa1NDUwMzOyNDZU0lEKTi0uzszPAykwrAUAZYTx+iwAAAA="/>
  </w:docVars>
  <w:rsids>
    <w:rsidRoot w:val="00482AB7"/>
    <w:rsid w:val="0000380B"/>
    <w:rsid w:val="000329AA"/>
    <w:rsid w:val="00033C59"/>
    <w:rsid w:val="00041B4B"/>
    <w:rsid w:val="00046FF9"/>
    <w:rsid w:val="00053E71"/>
    <w:rsid w:val="0005616A"/>
    <w:rsid w:val="00071E95"/>
    <w:rsid w:val="00074E0F"/>
    <w:rsid w:val="000A20F8"/>
    <w:rsid w:val="000B6C35"/>
    <w:rsid w:val="000C2A49"/>
    <w:rsid w:val="000D4453"/>
    <w:rsid w:val="000D644B"/>
    <w:rsid w:val="000E0474"/>
    <w:rsid w:val="000E4617"/>
    <w:rsid w:val="000F27F9"/>
    <w:rsid w:val="000F2B21"/>
    <w:rsid w:val="000F39D8"/>
    <w:rsid w:val="000F450C"/>
    <w:rsid w:val="000F6A12"/>
    <w:rsid w:val="001036DF"/>
    <w:rsid w:val="00114987"/>
    <w:rsid w:val="001150C6"/>
    <w:rsid w:val="00115DBB"/>
    <w:rsid w:val="00133718"/>
    <w:rsid w:val="00140151"/>
    <w:rsid w:val="00145925"/>
    <w:rsid w:val="00146207"/>
    <w:rsid w:val="001462AF"/>
    <w:rsid w:val="00147FAB"/>
    <w:rsid w:val="001529BC"/>
    <w:rsid w:val="00153236"/>
    <w:rsid w:val="00153888"/>
    <w:rsid w:val="001756EB"/>
    <w:rsid w:val="0017594B"/>
    <w:rsid w:val="00180531"/>
    <w:rsid w:val="00181104"/>
    <w:rsid w:val="001825A8"/>
    <w:rsid w:val="00182EAB"/>
    <w:rsid w:val="0019089C"/>
    <w:rsid w:val="001A257F"/>
    <w:rsid w:val="001A4C04"/>
    <w:rsid w:val="001B6B7A"/>
    <w:rsid w:val="001D212C"/>
    <w:rsid w:val="001D45C2"/>
    <w:rsid w:val="001E6504"/>
    <w:rsid w:val="001E67AA"/>
    <w:rsid w:val="00201CA0"/>
    <w:rsid w:val="002048C0"/>
    <w:rsid w:val="00223BB7"/>
    <w:rsid w:val="0024614A"/>
    <w:rsid w:val="00260952"/>
    <w:rsid w:val="0026516F"/>
    <w:rsid w:val="002675DE"/>
    <w:rsid w:val="00287C22"/>
    <w:rsid w:val="0029352D"/>
    <w:rsid w:val="002B0ECD"/>
    <w:rsid w:val="002B1365"/>
    <w:rsid w:val="002B28F9"/>
    <w:rsid w:val="002B2A36"/>
    <w:rsid w:val="002B38A7"/>
    <w:rsid w:val="002B71A5"/>
    <w:rsid w:val="002C00C9"/>
    <w:rsid w:val="002C70D7"/>
    <w:rsid w:val="002D3FC1"/>
    <w:rsid w:val="002D674D"/>
    <w:rsid w:val="002D7DEC"/>
    <w:rsid w:val="002E4159"/>
    <w:rsid w:val="002E6A21"/>
    <w:rsid w:val="00303456"/>
    <w:rsid w:val="003110CC"/>
    <w:rsid w:val="00313305"/>
    <w:rsid w:val="00320F97"/>
    <w:rsid w:val="00323FEE"/>
    <w:rsid w:val="00330894"/>
    <w:rsid w:val="00351D4A"/>
    <w:rsid w:val="0035752D"/>
    <w:rsid w:val="00363824"/>
    <w:rsid w:val="00366A38"/>
    <w:rsid w:val="003679DB"/>
    <w:rsid w:val="003716E4"/>
    <w:rsid w:val="00375590"/>
    <w:rsid w:val="00392857"/>
    <w:rsid w:val="003A1A84"/>
    <w:rsid w:val="003D17AF"/>
    <w:rsid w:val="003D58D0"/>
    <w:rsid w:val="003D673A"/>
    <w:rsid w:val="003D6CE4"/>
    <w:rsid w:val="003F36E5"/>
    <w:rsid w:val="00420FAC"/>
    <w:rsid w:val="00423A42"/>
    <w:rsid w:val="00426CEE"/>
    <w:rsid w:val="00431594"/>
    <w:rsid w:val="004509E0"/>
    <w:rsid w:val="00450ADC"/>
    <w:rsid w:val="004513F8"/>
    <w:rsid w:val="004520E2"/>
    <w:rsid w:val="00456386"/>
    <w:rsid w:val="00463782"/>
    <w:rsid w:val="004653D0"/>
    <w:rsid w:val="00482AB7"/>
    <w:rsid w:val="004A682D"/>
    <w:rsid w:val="004B276C"/>
    <w:rsid w:val="004B3C11"/>
    <w:rsid w:val="004B73F6"/>
    <w:rsid w:val="004C1BB2"/>
    <w:rsid w:val="004C254E"/>
    <w:rsid w:val="004D0A4B"/>
    <w:rsid w:val="004D271D"/>
    <w:rsid w:val="004E0A97"/>
    <w:rsid w:val="004E0D97"/>
    <w:rsid w:val="00550AEE"/>
    <w:rsid w:val="005529C7"/>
    <w:rsid w:val="00556ADC"/>
    <w:rsid w:val="00560EF6"/>
    <w:rsid w:val="00566F03"/>
    <w:rsid w:val="00573C76"/>
    <w:rsid w:val="005A28A9"/>
    <w:rsid w:val="005B15EE"/>
    <w:rsid w:val="005B7A77"/>
    <w:rsid w:val="005D18CE"/>
    <w:rsid w:val="005E0B5E"/>
    <w:rsid w:val="005E56F9"/>
    <w:rsid w:val="005F06C8"/>
    <w:rsid w:val="005F4478"/>
    <w:rsid w:val="00601A7F"/>
    <w:rsid w:val="00602EAD"/>
    <w:rsid w:val="00616D28"/>
    <w:rsid w:val="00625C13"/>
    <w:rsid w:val="00637870"/>
    <w:rsid w:val="006407AB"/>
    <w:rsid w:val="006419AF"/>
    <w:rsid w:val="0064334D"/>
    <w:rsid w:val="00683E8B"/>
    <w:rsid w:val="00685442"/>
    <w:rsid w:val="00694C1A"/>
    <w:rsid w:val="006A19A6"/>
    <w:rsid w:val="006A6389"/>
    <w:rsid w:val="006B3529"/>
    <w:rsid w:val="006B51CB"/>
    <w:rsid w:val="006C401D"/>
    <w:rsid w:val="006D027D"/>
    <w:rsid w:val="006D758F"/>
    <w:rsid w:val="006E2733"/>
    <w:rsid w:val="006E6037"/>
    <w:rsid w:val="00702046"/>
    <w:rsid w:val="00707770"/>
    <w:rsid w:val="00731B60"/>
    <w:rsid w:val="007449F3"/>
    <w:rsid w:val="00754B21"/>
    <w:rsid w:val="007677EC"/>
    <w:rsid w:val="00773ABD"/>
    <w:rsid w:val="007923B0"/>
    <w:rsid w:val="007B0633"/>
    <w:rsid w:val="007B38F9"/>
    <w:rsid w:val="007B3B52"/>
    <w:rsid w:val="007B4098"/>
    <w:rsid w:val="007B554D"/>
    <w:rsid w:val="007B66EA"/>
    <w:rsid w:val="007C0047"/>
    <w:rsid w:val="007D25E2"/>
    <w:rsid w:val="007E2FFA"/>
    <w:rsid w:val="007E6983"/>
    <w:rsid w:val="007F4DEF"/>
    <w:rsid w:val="007F5886"/>
    <w:rsid w:val="00802978"/>
    <w:rsid w:val="008232EB"/>
    <w:rsid w:val="00832542"/>
    <w:rsid w:val="00835E76"/>
    <w:rsid w:val="0085093B"/>
    <w:rsid w:val="008657E0"/>
    <w:rsid w:val="00865F06"/>
    <w:rsid w:val="0086793C"/>
    <w:rsid w:val="00873162"/>
    <w:rsid w:val="0089384E"/>
    <w:rsid w:val="00897105"/>
    <w:rsid w:val="008A2D86"/>
    <w:rsid w:val="008B1DEB"/>
    <w:rsid w:val="008B57ED"/>
    <w:rsid w:val="008B5D42"/>
    <w:rsid w:val="008C7214"/>
    <w:rsid w:val="008D5297"/>
    <w:rsid w:val="008D546D"/>
    <w:rsid w:val="008E283E"/>
    <w:rsid w:val="008E44B8"/>
    <w:rsid w:val="008E77EA"/>
    <w:rsid w:val="008F1ABF"/>
    <w:rsid w:val="008F3C55"/>
    <w:rsid w:val="00916E5C"/>
    <w:rsid w:val="00954F17"/>
    <w:rsid w:val="00956090"/>
    <w:rsid w:val="00964927"/>
    <w:rsid w:val="009730AD"/>
    <w:rsid w:val="009734AA"/>
    <w:rsid w:val="00986969"/>
    <w:rsid w:val="00986F0D"/>
    <w:rsid w:val="009A0C95"/>
    <w:rsid w:val="009A258E"/>
    <w:rsid w:val="009A51BF"/>
    <w:rsid w:val="009B611D"/>
    <w:rsid w:val="009B72B8"/>
    <w:rsid w:val="009B77DB"/>
    <w:rsid w:val="009C0EF5"/>
    <w:rsid w:val="009D0078"/>
    <w:rsid w:val="009E30B3"/>
    <w:rsid w:val="009F7176"/>
    <w:rsid w:val="009F7BA4"/>
    <w:rsid w:val="00A03E20"/>
    <w:rsid w:val="00A21A1A"/>
    <w:rsid w:val="00A23928"/>
    <w:rsid w:val="00A36F22"/>
    <w:rsid w:val="00A4629F"/>
    <w:rsid w:val="00A52659"/>
    <w:rsid w:val="00A55206"/>
    <w:rsid w:val="00A61AF9"/>
    <w:rsid w:val="00A620F0"/>
    <w:rsid w:val="00A665F0"/>
    <w:rsid w:val="00A67511"/>
    <w:rsid w:val="00A73C91"/>
    <w:rsid w:val="00A84639"/>
    <w:rsid w:val="00A938BF"/>
    <w:rsid w:val="00AA1DAA"/>
    <w:rsid w:val="00AB3BDE"/>
    <w:rsid w:val="00AB443B"/>
    <w:rsid w:val="00AB739D"/>
    <w:rsid w:val="00AB74AE"/>
    <w:rsid w:val="00AC15B6"/>
    <w:rsid w:val="00AE7629"/>
    <w:rsid w:val="00B01790"/>
    <w:rsid w:val="00B339C8"/>
    <w:rsid w:val="00B34D07"/>
    <w:rsid w:val="00B368A5"/>
    <w:rsid w:val="00B40031"/>
    <w:rsid w:val="00B45307"/>
    <w:rsid w:val="00B47194"/>
    <w:rsid w:val="00B503B0"/>
    <w:rsid w:val="00B579E3"/>
    <w:rsid w:val="00B61244"/>
    <w:rsid w:val="00B615CA"/>
    <w:rsid w:val="00B63EBF"/>
    <w:rsid w:val="00B67461"/>
    <w:rsid w:val="00B8156E"/>
    <w:rsid w:val="00BB2820"/>
    <w:rsid w:val="00BE25DC"/>
    <w:rsid w:val="00BE66EB"/>
    <w:rsid w:val="00BF2B13"/>
    <w:rsid w:val="00C13259"/>
    <w:rsid w:val="00C17C6F"/>
    <w:rsid w:val="00C2738B"/>
    <w:rsid w:val="00C43AD5"/>
    <w:rsid w:val="00C4687B"/>
    <w:rsid w:val="00C521C5"/>
    <w:rsid w:val="00C66FFD"/>
    <w:rsid w:val="00C8362A"/>
    <w:rsid w:val="00C96EB6"/>
    <w:rsid w:val="00CA35CF"/>
    <w:rsid w:val="00CA5EBB"/>
    <w:rsid w:val="00CB488E"/>
    <w:rsid w:val="00CC4B5B"/>
    <w:rsid w:val="00CE6223"/>
    <w:rsid w:val="00D24BC3"/>
    <w:rsid w:val="00D250B4"/>
    <w:rsid w:val="00D31915"/>
    <w:rsid w:val="00D52296"/>
    <w:rsid w:val="00D57F0E"/>
    <w:rsid w:val="00D62E79"/>
    <w:rsid w:val="00D73317"/>
    <w:rsid w:val="00D77F31"/>
    <w:rsid w:val="00D92568"/>
    <w:rsid w:val="00DA5E46"/>
    <w:rsid w:val="00DB76DC"/>
    <w:rsid w:val="00DD6AF9"/>
    <w:rsid w:val="00DE73D9"/>
    <w:rsid w:val="00DF0A8C"/>
    <w:rsid w:val="00E02AD6"/>
    <w:rsid w:val="00E07164"/>
    <w:rsid w:val="00E1777E"/>
    <w:rsid w:val="00E25827"/>
    <w:rsid w:val="00E36D0C"/>
    <w:rsid w:val="00E444C0"/>
    <w:rsid w:val="00E62F0F"/>
    <w:rsid w:val="00E80350"/>
    <w:rsid w:val="00E80895"/>
    <w:rsid w:val="00EA5666"/>
    <w:rsid w:val="00EA74B3"/>
    <w:rsid w:val="00EB1D11"/>
    <w:rsid w:val="00EB2FAE"/>
    <w:rsid w:val="00EC2276"/>
    <w:rsid w:val="00EC6285"/>
    <w:rsid w:val="00EC7F48"/>
    <w:rsid w:val="00ED12BC"/>
    <w:rsid w:val="00ED2298"/>
    <w:rsid w:val="00ED29C9"/>
    <w:rsid w:val="00ED6AC7"/>
    <w:rsid w:val="00EF09A8"/>
    <w:rsid w:val="00F23BC8"/>
    <w:rsid w:val="00F3068B"/>
    <w:rsid w:val="00F45184"/>
    <w:rsid w:val="00F5109D"/>
    <w:rsid w:val="00F53638"/>
    <w:rsid w:val="00F55694"/>
    <w:rsid w:val="00F5693D"/>
    <w:rsid w:val="00F65C3F"/>
    <w:rsid w:val="00F73CA5"/>
    <w:rsid w:val="00F87818"/>
    <w:rsid w:val="00F96B6F"/>
    <w:rsid w:val="00FA1778"/>
    <w:rsid w:val="00FA1A66"/>
    <w:rsid w:val="00FA2A39"/>
    <w:rsid w:val="00FA4EB1"/>
    <w:rsid w:val="00FF366B"/>
    <w:rsid w:val="00FF76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00E210"/>
  <w15:docId w15:val="{5554F137-606E-4B8D-B2A2-78094839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A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2AB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82EAB"/>
    <w:rPr>
      <w:color w:val="0563C1" w:themeColor="hyperlink"/>
      <w:u w:val="single"/>
    </w:rPr>
  </w:style>
  <w:style w:type="paragraph" w:styleId="ListParagraph">
    <w:name w:val="List Paragraph"/>
    <w:basedOn w:val="Normal"/>
    <w:uiPriority w:val="34"/>
    <w:qFormat/>
    <w:rsid w:val="00FA4EB1"/>
    <w:pPr>
      <w:ind w:left="720"/>
      <w:contextualSpacing/>
    </w:pPr>
  </w:style>
  <w:style w:type="paragraph" w:styleId="NormalWeb">
    <w:name w:val="Normal (Web)"/>
    <w:basedOn w:val="Normal"/>
    <w:uiPriority w:val="99"/>
    <w:semiHidden/>
    <w:unhideWhenUsed/>
    <w:rsid w:val="00CA5EBB"/>
    <w:pPr>
      <w:spacing w:before="240" w:after="240"/>
    </w:pPr>
    <w:rPr>
      <w:sz w:val="24"/>
      <w:szCs w:val="24"/>
      <w:lang w:eastAsia="en-GB"/>
    </w:rPr>
  </w:style>
  <w:style w:type="character" w:customStyle="1" w:styleId="selectable">
    <w:name w:val="selectable"/>
    <w:basedOn w:val="DefaultParagraphFont"/>
    <w:rsid w:val="00835E76"/>
  </w:style>
  <w:style w:type="paragraph" w:styleId="Header">
    <w:name w:val="header"/>
    <w:basedOn w:val="Normal"/>
    <w:link w:val="HeaderChar"/>
    <w:uiPriority w:val="99"/>
    <w:unhideWhenUsed/>
    <w:rsid w:val="00E25827"/>
    <w:pPr>
      <w:tabs>
        <w:tab w:val="center" w:pos="4513"/>
        <w:tab w:val="right" w:pos="9026"/>
      </w:tabs>
    </w:pPr>
  </w:style>
  <w:style w:type="character" w:customStyle="1" w:styleId="HeaderChar">
    <w:name w:val="Header Char"/>
    <w:basedOn w:val="DefaultParagraphFont"/>
    <w:link w:val="Header"/>
    <w:uiPriority w:val="99"/>
    <w:rsid w:val="00E2582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5827"/>
    <w:pPr>
      <w:tabs>
        <w:tab w:val="center" w:pos="4513"/>
        <w:tab w:val="right" w:pos="9026"/>
      </w:tabs>
    </w:pPr>
  </w:style>
  <w:style w:type="character" w:customStyle="1" w:styleId="FooterChar">
    <w:name w:val="Footer Char"/>
    <w:basedOn w:val="DefaultParagraphFont"/>
    <w:link w:val="Footer"/>
    <w:uiPriority w:val="99"/>
    <w:rsid w:val="00E2582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B3BDE"/>
    <w:rPr>
      <w:sz w:val="16"/>
      <w:szCs w:val="16"/>
    </w:rPr>
  </w:style>
  <w:style w:type="paragraph" w:styleId="CommentText">
    <w:name w:val="annotation text"/>
    <w:basedOn w:val="Normal"/>
    <w:link w:val="CommentTextChar"/>
    <w:uiPriority w:val="99"/>
    <w:semiHidden/>
    <w:unhideWhenUsed/>
    <w:rsid w:val="00AB3BDE"/>
  </w:style>
  <w:style w:type="character" w:customStyle="1" w:styleId="CommentTextChar">
    <w:name w:val="Comment Text Char"/>
    <w:basedOn w:val="DefaultParagraphFont"/>
    <w:link w:val="CommentText"/>
    <w:uiPriority w:val="99"/>
    <w:semiHidden/>
    <w:rsid w:val="00AB3B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BDE"/>
    <w:rPr>
      <w:b/>
      <w:bCs/>
    </w:rPr>
  </w:style>
  <w:style w:type="character" w:customStyle="1" w:styleId="CommentSubjectChar">
    <w:name w:val="Comment Subject Char"/>
    <w:basedOn w:val="CommentTextChar"/>
    <w:link w:val="CommentSubject"/>
    <w:uiPriority w:val="99"/>
    <w:semiHidden/>
    <w:rsid w:val="00AB3BD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3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BDE"/>
    <w:rPr>
      <w:rFonts w:ascii="Segoe UI" w:eastAsia="Times New Roman" w:hAnsi="Segoe UI" w:cs="Segoe UI"/>
      <w:sz w:val="18"/>
      <w:szCs w:val="18"/>
    </w:rPr>
  </w:style>
  <w:style w:type="table" w:styleId="TableGrid">
    <w:name w:val="Table Grid"/>
    <w:basedOn w:val="TableNormal"/>
    <w:uiPriority w:val="39"/>
    <w:rsid w:val="007B0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3FEE"/>
    <w:pPr>
      <w:spacing w:after="0" w:line="240" w:lineRule="auto"/>
    </w:pPr>
    <w:rPr>
      <w:rFonts w:ascii="Times New Roman" w:eastAsia="Times New Roman" w:hAnsi="Times New Roman" w:cs="Times New Roman"/>
      <w:sz w:val="20"/>
      <w:szCs w:val="20"/>
    </w:rPr>
  </w:style>
  <w:style w:type="character" w:customStyle="1" w:styleId="grame">
    <w:name w:val="grame"/>
    <w:basedOn w:val="DefaultParagraphFont"/>
    <w:rsid w:val="00C17C6F"/>
  </w:style>
  <w:style w:type="character" w:customStyle="1" w:styleId="nlmyear">
    <w:name w:val="nlm_year"/>
    <w:basedOn w:val="DefaultParagraphFont"/>
    <w:rsid w:val="00B40031"/>
  </w:style>
  <w:style w:type="character" w:customStyle="1" w:styleId="nlmpublisher-loc">
    <w:name w:val="nlm_publisher-loc"/>
    <w:basedOn w:val="DefaultParagraphFont"/>
    <w:rsid w:val="00B40031"/>
  </w:style>
  <w:style w:type="character" w:customStyle="1" w:styleId="nlmpublisher-name">
    <w:name w:val="nlm_publisher-name"/>
    <w:basedOn w:val="DefaultParagraphFont"/>
    <w:rsid w:val="00B4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8839">
      <w:bodyDiv w:val="1"/>
      <w:marLeft w:val="0"/>
      <w:marRight w:val="0"/>
      <w:marTop w:val="0"/>
      <w:marBottom w:val="0"/>
      <w:divBdr>
        <w:top w:val="none" w:sz="0" w:space="0" w:color="auto"/>
        <w:left w:val="none" w:sz="0" w:space="0" w:color="auto"/>
        <w:bottom w:val="none" w:sz="0" w:space="0" w:color="auto"/>
        <w:right w:val="none" w:sz="0" w:space="0" w:color="auto"/>
      </w:divBdr>
    </w:div>
    <w:div w:id="526988800">
      <w:bodyDiv w:val="1"/>
      <w:marLeft w:val="0"/>
      <w:marRight w:val="0"/>
      <w:marTop w:val="0"/>
      <w:marBottom w:val="0"/>
      <w:divBdr>
        <w:top w:val="none" w:sz="0" w:space="0" w:color="auto"/>
        <w:left w:val="none" w:sz="0" w:space="0" w:color="auto"/>
        <w:bottom w:val="none" w:sz="0" w:space="0" w:color="auto"/>
        <w:right w:val="none" w:sz="0" w:space="0" w:color="auto"/>
      </w:divBdr>
      <w:divsChild>
        <w:div w:id="1899315902">
          <w:marLeft w:val="0"/>
          <w:marRight w:val="0"/>
          <w:marTop w:val="100"/>
          <w:marBottom w:val="100"/>
          <w:divBdr>
            <w:top w:val="none" w:sz="0" w:space="0" w:color="auto"/>
            <w:left w:val="none" w:sz="0" w:space="0" w:color="auto"/>
            <w:bottom w:val="none" w:sz="0" w:space="0" w:color="auto"/>
            <w:right w:val="none" w:sz="0" w:space="0" w:color="auto"/>
          </w:divBdr>
          <w:divsChild>
            <w:div w:id="1369069393">
              <w:marLeft w:val="0"/>
              <w:marRight w:val="0"/>
              <w:marTop w:val="0"/>
              <w:marBottom w:val="0"/>
              <w:divBdr>
                <w:top w:val="none" w:sz="0" w:space="0" w:color="auto"/>
                <w:left w:val="none" w:sz="0" w:space="0" w:color="auto"/>
                <w:bottom w:val="none" w:sz="0" w:space="0" w:color="auto"/>
                <w:right w:val="none" w:sz="0" w:space="0" w:color="auto"/>
              </w:divBdr>
              <w:divsChild>
                <w:div w:id="68582374">
                  <w:marLeft w:val="105"/>
                  <w:marRight w:val="105"/>
                  <w:marTop w:val="105"/>
                  <w:marBottom w:val="105"/>
                  <w:divBdr>
                    <w:top w:val="none" w:sz="0" w:space="0" w:color="auto"/>
                    <w:left w:val="none" w:sz="0" w:space="0" w:color="auto"/>
                    <w:bottom w:val="none" w:sz="0" w:space="0" w:color="auto"/>
                    <w:right w:val="none" w:sz="0" w:space="0" w:color="auto"/>
                  </w:divBdr>
                  <w:divsChild>
                    <w:div w:id="569115708">
                      <w:marLeft w:val="0"/>
                      <w:marRight w:val="0"/>
                      <w:marTop w:val="0"/>
                      <w:marBottom w:val="0"/>
                      <w:divBdr>
                        <w:top w:val="none" w:sz="0" w:space="0" w:color="auto"/>
                        <w:left w:val="none" w:sz="0" w:space="0" w:color="auto"/>
                        <w:bottom w:val="none" w:sz="0" w:space="0" w:color="auto"/>
                        <w:right w:val="none" w:sz="0" w:space="0" w:color="auto"/>
                      </w:divBdr>
                      <w:divsChild>
                        <w:div w:id="1517420611">
                          <w:marLeft w:val="0"/>
                          <w:marRight w:val="0"/>
                          <w:marTop w:val="0"/>
                          <w:marBottom w:val="0"/>
                          <w:divBdr>
                            <w:top w:val="none" w:sz="0" w:space="0" w:color="auto"/>
                            <w:left w:val="none" w:sz="0" w:space="0" w:color="auto"/>
                            <w:bottom w:val="none" w:sz="0" w:space="0" w:color="auto"/>
                            <w:right w:val="none" w:sz="0" w:space="0" w:color="auto"/>
                          </w:divBdr>
                          <w:divsChild>
                            <w:div w:id="2115468896">
                              <w:marLeft w:val="0"/>
                              <w:marRight w:val="0"/>
                              <w:marTop w:val="0"/>
                              <w:marBottom w:val="0"/>
                              <w:divBdr>
                                <w:top w:val="none" w:sz="0" w:space="0" w:color="auto"/>
                                <w:left w:val="none" w:sz="0" w:space="0" w:color="auto"/>
                                <w:bottom w:val="none" w:sz="0" w:space="0" w:color="auto"/>
                                <w:right w:val="none" w:sz="0" w:space="0" w:color="auto"/>
                              </w:divBdr>
                              <w:divsChild>
                                <w:div w:id="2144615028">
                                  <w:marLeft w:val="0"/>
                                  <w:marRight w:val="0"/>
                                  <w:marTop w:val="0"/>
                                  <w:marBottom w:val="0"/>
                                  <w:divBdr>
                                    <w:top w:val="none" w:sz="0" w:space="0" w:color="auto"/>
                                    <w:left w:val="none" w:sz="0" w:space="0" w:color="auto"/>
                                    <w:bottom w:val="none" w:sz="0" w:space="0" w:color="auto"/>
                                    <w:right w:val="none" w:sz="0" w:space="0" w:color="auto"/>
                                  </w:divBdr>
                                  <w:divsChild>
                                    <w:div w:id="1432821295">
                                      <w:marLeft w:val="105"/>
                                      <w:marRight w:val="105"/>
                                      <w:marTop w:val="105"/>
                                      <w:marBottom w:val="105"/>
                                      <w:divBdr>
                                        <w:top w:val="none" w:sz="0" w:space="0" w:color="auto"/>
                                        <w:left w:val="none" w:sz="0" w:space="0" w:color="auto"/>
                                        <w:bottom w:val="none" w:sz="0" w:space="0" w:color="auto"/>
                                        <w:right w:val="none" w:sz="0" w:space="0" w:color="auto"/>
                                      </w:divBdr>
                                      <w:divsChild>
                                        <w:div w:id="116725083">
                                          <w:marLeft w:val="0"/>
                                          <w:marRight w:val="0"/>
                                          <w:marTop w:val="0"/>
                                          <w:marBottom w:val="0"/>
                                          <w:divBdr>
                                            <w:top w:val="none" w:sz="0" w:space="0" w:color="auto"/>
                                            <w:left w:val="none" w:sz="0" w:space="0" w:color="auto"/>
                                            <w:bottom w:val="none" w:sz="0" w:space="0" w:color="auto"/>
                                            <w:right w:val="none" w:sz="0" w:space="0" w:color="auto"/>
                                          </w:divBdr>
                                          <w:divsChild>
                                            <w:div w:id="1586454154">
                                              <w:marLeft w:val="0"/>
                                              <w:marRight w:val="0"/>
                                              <w:marTop w:val="0"/>
                                              <w:marBottom w:val="0"/>
                                              <w:divBdr>
                                                <w:top w:val="none" w:sz="0" w:space="0" w:color="auto"/>
                                                <w:left w:val="none" w:sz="0" w:space="0" w:color="auto"/>
                                                <w:bottom w:val="none" w:sz="0" w:space="0" w:color="auto"/>
                                                <w:right w:val="none" w:sz="0" w:space="0" w:color="auto"/>
                                              </w:divBdr>
                                              <w:divsChild>
                                                <w:div w:id="1158499763">
                                                  <w:marLeft w:val="0"/>
                                                  <w:marRight w:val="0"/>
                                                  <w:marTop w:val="0"/>
                                                  <w:marBottom w:val="0"/>
                                                  <w:divBdr>
                                                    <w:top w:val="none" w:sz="0" w:space="0" w:color="auto"/>
                                                    <w:left w:val="none" w:sz="0" w:space="0" w:color="auto"/>
                                                    <w:bottom w:val="none" w:sz="0" w:space="0" w:color="auto"/>
                                                    <w:right w:val="none" w:sz="0" w:space="0" w:color="auto"/>
                                                  </w:divBdr>
                                                  <w:divsChild>
                                                    <w:div w:id="2081756240">
                                                      <w:marLeft w:val="0"/>
                                                      <w:marRight w:val="0"/>
                                                      <w:marTop w:val="0"/>
                                                      <w:marBottom w:val="0"/>
                                                      <w:divBdr>
                                                        <w:top w:val="none" w:sz="0" w:space="0" w:color="auto"/>
                                                        <w:left w:val="none" w:sz="0" w:space="0" w:color="auto"/>
                                                        <w:bottom w:val="none" w:sz="0" w:space="0" w:color="auto"/>
                                                        <w:right w:val="none" w:sz="0" w:space="0" w:color="auto"/>
                                                      </w:divBdr>
                                                      <w:divsChild>
                                                        <w:div w:id="584148085">
                                                          <w:marLeft w:val="0"/>
                                                          <w:marRight w:val="0"/>
                                                          <w:marTop w:val="0"/>
                                                          <w:marBottom w:val="0"/>
                                                          <w:divBdr>
                                                            <w:top w:val="none" w:sz="0" w:space="0" w:color="auto"/>
                                                            <w:left w:val="none" w:sz="0" w:space="0" w:color="auto"/>
                                                            <w:bottom w:val="none" w:sz="0" w:space="0" w:color="auto"/>
                                                            <w:right w:val="none" w:sz="0" w:space="0" w:color="auto"/>
                                                          </w:divBdr>
                                                          <w:divsChild>
                                                            <w:div w:id="1461846123">
                                                              <w:marLeft w:val="0"/>
                                                              <w:marRight w:val="0"/>
                                                              <w:marTop w:val="0"/>
                                                              <w:marBottom w:val="0"/>
                                                              <w:divBdr>
                                                                <w:top w:val="none" w:sz="0" w:space="0" w:color="auto"/>
                                                                <w:left w:val="none" w:sz="0" w:space="0" w:color="auto"/>
                                                                <w:bottom w:val="none" w:sz="0" w:space="0" w:color="auto"/>
                                                                <w:right w:val="none" w:sz="0" w:space="0" w:color="auto"/>
                                                              </w:divBdr>
                                                              <w:divsChild>
                                                                <w:div w:id="1436049210">
                                                                  <w:marLeft w:val="105"/>
                                                                  <w:marRight w:val="105"/>
                                                                  <w:marTop w:val="105"/>
                                                                  <w:marBottom w:val="105"/>
                                                                  <w:divBdr>
                                                                    <w:top w:val="none" w:sz="0" w:space="0" w:color="auto"/>
                                                                    <w:left w:val="none" w:sz="0" w:space="0" w:color="auto"/>
                                                                    <w:bottom w:val="none" w:sz="0" w:space="0" w:color="auto"/>
                                                                    <w:right w:val="none" w:sz="0" w:space="0" w:color="auto"/>
                                                                  </w:divBdr>
                                                                  <w:divsChild>
                                                                    <w:div w:id="3484804">
                                                                      <w:marLeft w:val="0"/>
                                                                      <w:marRight w:val="0"/>
                                                                      <w:marTop w:val="0"/>
                                                                      <w:marBottom w:val="0"/>
                                                                      <w:divBdr>
                                                                        <w:top w:val="none" w:sz="0" w:space="0" w:color="auto"/>
                                                                        <w:left w:val="none" w:sz="0" w:space="0" w:color="auto"/>
                                                                        <w:bottom w:val="none" w:sz="0" w:space="0" w:color="auto"/>
                                                                        <w:right w:val="none" w:sz="0" w:space="0" w:color="auto"/>
                                                                      </w:divBdr>
                                                                      <w:divsChild>
                                                                        <w:div w:id="1186283858">
                                                                          <w:marLeft w:val="0"/>
                                                                          <w:marRight w:val="0"/>
                                                                          <w:marTop w:val="0"/>
                                                                          <w:marBottom w:val="0"/>
                                                                          <w:divBdr>
                                                                            <w:top w:val="none" w:sz="0" w:space="0" w:color="auto"/>
                                                                            <w:left w:val="none" w:sz="0" w:space="0" w:color="auto"/>
                                                                            <w:bottom w:val="none" w:sz="0" w:space="0" w:color="auto"/>
                                                                            <w:right w:val="none" w:sz="0" w:space="0" w:color="auto"/>
                                                                          </w:divBdr>
                                                                          <w:divsChild>
                                                                            <w:div w:id="1763453123">
                                                                              <w:marLeft w:val="0"/>
                                                                              <w:marRight w:val="0"/>
                                                                              <w:marTop w:val="0"/>
                                                                              <w:marBottom w:val="0"/>
                                                                              <w:divBdr>
                                                                                <w:top w:val="none" w:sz="0" w:space="0" w:color="auto"/>
                                                                                <w:left w:val="none" w:sz="0" w:space="0" w:color="auto"/>
                                                                                <w:bottom w:val="none" w:sz="0" w:space="0" w:color="auto"/>
                                                                                <w:right w:val="none" w:sz="0" w:space="0" w:color="auto"/>
                                                                              </w:divBdr>
                                                                              <w:divsChild>
                                                                                <w:div w:id="545063075">
                                                                                  <w:marLeft w:val="0"/>
                                                                                  <w:marRight w:val="0"/>
                                                                                  <w:marTop w:val="0"/>
                                                                                  <w:marBottom w:val="0"/>
                                                                                  <w:divBdr>
                                                                                    <w:top w:val="none" w:sz="0" w:space="0" w:color="auto"/>
                                                                                    <w:left w:val="none" w:sz="0" w:space="0" w:color="auto"/>
                                                                                    <w:bottom w:val="none" w:sz="0" w:space="0" w:color="auto"/>
                                                                                    <w:right w:val="none" w:sz="0" w:space="0" w:color="auto"/>
                                                                                  </w:divBdr>
                                                                                  <w:divsChild>
                                                                                    <w:div w:id="1865635643">
                                                                                      <w:marLeft w:val="0"/>
                                                                                      <w:marRight w:val="0"/>
                                                                                      <w:marTop w:val="0"/>
                                                                                      <w:marBottom w:val="0"/>
                                                                                      <w:divBdr>
                                                                                        <w:top w:val="none" w:sz="0" w:space="0" w:color="auto"/>
                                                                                        <w:left w:val="none" w:sz="0" w:space="0" w:color="auto"/>
                                                                                        <w:bottom w:val="none" w:sz="0" w:space="0" w:color="auto"/>
                                                                                        <w:right w:val="none" w:sz="0" w:space="0" w:color="auto"/>
                                                                                      </w:divBdr>
                                                                                      <w:divsChild>
                                                                                        <w:div w:id="926230697">
                                                                                          <w:marLeft w:val="0"/>
                                                                                          <w:marRight w:val="0"/>
                                                                                          <w:marTop w:val="0"/>
                                                                                          <w:marBottom w:val="0"/>
                                                                                          <w:divBdr>
                                                                                            <w:top w:val="none" w:sz="0" w:space="0" w:color="auto"/>
                                                                                            <w:left w:val="none" w:sz="0" w:space="0" w:color="auto"/>
                                                                                            <w:bottom w:val="none" w:sz="0" w:space="0" w:color="auto"/>
                                                                                            <w:right w:val="none" w:sz="0" w:space="0" w:color="auto"/>
                                                                                          </w:divBdr>
                                                                                          <w:divsChild>
                                                                                            <w:div w:id="332416476">
                                                                                              <w:marLeft w:val="0"/>
                                                                                              <w:marRight w:val="0"/>
                                                                                              <w:marTop w:val="0"/>
                                                                                              <w:marBottom w:val="0"/>
                                                                                              <w:divBdr>
                                                                                                <w:top w:val="none" w:sz="0" w:space="0" w:color="auto"/>
                                                                                                <w:left w:val="none" w:sz="0" w:space="0" w:color="auto"/>
                                                                                                <w:bottom w:val="none" w:sz="0" w:space="0" w:color="auto"/>
                                                                                                <w:right w:val="none" w:sz="0" w:space="0" w:color="auto"/>
                                                                                              </w:divBdr>
                                                                                              <w:divsChild>
                                                                                                <w:div w:id="2952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264466">
      <w:bodyDiv w:val="1"/>
      <w:marLeft w:val="0"/>
      <w:marRight w:val="0"/>
      <w:marTop w:val="0"/>
      <w:marBottom w:val="0"/>
      <w:divBdr>
        <w:top w:val="none" w:sz="0" w:space="0" w:color="auto"/>
        <w:left w:val="none" w:sz="0" w:space="0" w:color="auto"/>
        <w:bottom w:val="none" w:sz="0" w:space="0" w:color="auto"/>
        <w:right w:val="none" w:sz="0" w:space="0" w:color="auto"/>
      </w:divBdr>
    </w:div>
    <w:div w:id="20866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9FE62-B41B-4A8E-82D7-7C8A2217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7332</Words>
  <Characters>41797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tgdl2</dc:creator>
  <cp:lastModifiedBy>Susan Dawson</cp:lastModifiedBy>
  <cp:revision>3</cp:revision>
  <cp:lastPrinted>2019-07-23T09:45:00Z</cp:lastPrinted>
  <dcterms:created xsi:type="dcterms:W3CDTF">2019-10-07T14:11:00Z</dcterms:created>
  <dcterms:modified xsi:type="dcterms:W3CDTF">2019-10-22T12:47:00Z</dcterms:modified>
</cp:coreProperties>
</file>