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4F8" w:rsidRDefault="009C04F8" w:rsidP="009C04F8">
      <w:pPr>
        <w:autoSpaceDE w:val="0"/>
        <w:autoSpaceDN w:val="0"/>
        <w:adjustRightInd w:val="0"/>
        <w:jc w:val="center"/>
        <w:rPr>
          <w:b/>
          <w:bCs/>
          <w:color w:val="0000FF"/>
          <w:u w:val="single"/>
        </w:rPr>
      </w:pPr>
      <w:bookmarkStart w:id="0" w:name="_GoBack"/>
      <w:bookmarkEnd w:id="0"/>
      <w:r>
        <w:rPr>
          <w:b/>
          <w:bCs/>
          <w:color w:val="0000FF"/>
          <w:u w:val="single"/>
        </w:rPr>
        <w:t>INORGANIC PHOTOVOLTAIC SOLAR CELLS</w:t>
      </w:r>
    </w:p>
    <w:p w:rsidR="009C04F8" w:rsidRDefault="009C04F8" w:rsidP="009C04F8">
      <w:pPr>
        <w:autoSpaceDE w:val="0"/>
        <w:autoSpaceDN w:val="0"/>
        <w:adjustRightInd w:val="0"/>
        <w:jc w:val="center"/>
        <w:rPr>
          <w:b/>
          <w:bCs/>
          <w:color w:val="0000FF"/>
          <w:u w:val="single"/>
        </w:rPr>
      </w:pPr>
    </w:p>
    <w:p w:rsidR="009C04F8" w:rsidRDefault="009C04F8" w:rsidP="009C04F8">
      <w:pPr>
        <w:autoSpaceDE w:val="0"/>
        <w:autoSpaceDN w:val="0"/>
        <w:adjustRightInd w:val="0"/>
        <w:jc w:val="center"/>
        <w:rPr>
          <w:b/>
          <w:bCs/>
          <w:color w:val="0000FF"/>
          <w:u w:val="single"/>
        </w:rPr>
      </w:pPr>
    </w:p>
    <w:p w:rsidR="009C04F8" w:rsidRDefault="009C04F8" w:rsidP="009C04F8">
      <w:pPr>
        <w:autoSpaceDE w:val="0"/>
        <w:autoSpaceDN w:val="0"/>
        <w:adjustRightInd w:val="0"/>
        <w:jc w:val="center"/>
        <w:rPr>
          <w:b/>
          <w:bCs/>
          <w:color w:val="0000FF"/>
        </w:rPr>
      </w:pPr>
      <w:r>
        <w:rPr>
          <w:b/>
          <w:bCs/>
          <w:color w:val="0000FF"/>
        </w:rPr>
        <w:t>Robert W. Miles*, Guillaume Zoppi and Ian Forbes.</w:t>
      </w:r>
    </w:p>
    <w:p w:rsidR="009C04F8" w:rsidRDefault="009C04F8" w:rsidP="009C04F8">
      <w:pPr>
        <w:autoSpaceDE w:val="0"/>
        <w:autoSpaceDN w:val="0"/>
        <w:adjustRightInd w:val="0"/>
        <w:jc w:val="center"/>
        <w:rPr>
          <w:color w:val="0000FF"/>
        </w:rPr>
      </w:pPr>
      <w:r>
        <w:rPr>
          <w:color w:val="0000FF"/>
        </w:rPr>
        <w:t>Northumbria Photovoltaics Applications Centre, Northumbria University,</w:t>
      </w:r>
    </w:p>
    <w:p w:rsidR="009C04F8" w:rsidRDefault="009C04F8" w:rsidP="009C04F8">
      <w:pPr>
        <w:autoSpaceDE w:val="0"/>
        <w:autoSpaceDN w:val="0"/>
        <w:adjustRightInd w:val="0"/>
        <w:jc w:val="center"/>
        <w:rPr>
          <w:color w:val="0000FF"/>
        </w:rPr>
      </w:pPr>
      <w:smartTag w:uri="urn:schemas-microsoft-com:office:smarttags" w:element="PlaceName">
        <w:r>
          <w:rPr>
            <w:color w:val="0000FF"/>
          </w:rPr>
          <w:t>Ellison</w:t>
        </w:r>
      </w:smartTag>
      <w:r>
        <w:rPr>
          <w:color w:val="0000FF"/>
        </w:rPr>
        <w:t xml:space="preserve"> </w:t>
      </w:r>
      <w:smartTag w:uri="urn:schemas-microsoft-com:office:smarttags" w:element="PlaceType">
        <w:r>
          <w:rPr>
            <w:color w:val="0000FF"/>
          </w:rPr>
          <w:t>Building</w:t>
        </w:r>
      </w:smartTag>
      <w:r>
        <w:rPr>
          <w:color w:val="0000FF"/>
        </w:rPr>
        <w:t xml:space="preserve">, </w:t>
      </w:r>
      <w:smartTag w:uri="urn:schemas-microsoft-com:office:smarttags" w:element="place">
        <w:smartTag w:uri="urn:schemas-microsoft-com:office:smarttags" w:element="City">
          <w:r>
            <w:rPr>
              <w:color w:val="0000FF"/>
            </w:rPr>
            <w:t>Newcastle upon Tyne</w:t>
          </w:r>
        </w:smartTag>
        <w:r>
          <w:rPr>
            <w:color w:val="0000FF"/>
          </w:rPr>
          <w:t xml:space="preserve">, </w:t>
        </w:r>
        <w:smartTag w:uri="urn:schemas-microsoft-com:office:smarttags" w:element="PostalCode">
          <w:r>
            <w:rPr>
              <w:color w:val="0000FF"/>
            </w:rPr>
            <w:t>NE1 8ST</w:t>
          </w:r>
        </w:smartTag>
        <w:r>
          <w:rPr>
            <w:color w:val="0000FF"/>
          </w:rPr>
          <w:t xml:space="preserve">, </w:t>
        </w:r>
        <w:smartTag w:uri="urn:schemas-microsoft-com:office:smarttags" w:element="country-region">
          <w:r>
            <w:rPr>
              <w:color w:val="0000FF"/>
            </w:rPr>
            <w:t>U.K.</w:t>
          </w:r>
        </w:smartTag>
      </w:smartTag>
    </w:p>
    <w:p w:rsidR="009C04F8" w:rsidRDefault="009C04F8" w:rsidP="009C04F8">
      <w:pPr>
        <w:autoSpaceDE w:val="0"/>
        <w:autoSpaceDN w:val="0"/>
        <w:adjustRightInd w:val="0"/>
        <w:jc w:val="center"/>
        <w:rPr>
          <w:color w:val="0000FF"/>
        </w:rPr>
      </w:pPr>
      <w:r>
        <w:rPr>
          <w:color w:val="0000FF"/>
        </w:rPr>
        <w:t>*Tel: +441912274594, Fax: +441912273650, Email: robert.miles@northumbria.ac.uk</w:t>
      </w:r>
    </w:p>
    <w:p w:rsidR="009C04F8" w:rsidRDefault="009C04F8" w:rsidP="009C04F8">
      <w:pPr>
        <w:autoSpaceDE w:val="0"/>
        <w:autoSpaceDN w:val="0"/>
        <w:adjustRightInd w:val="0"/>
        <w:jc w:val="both"/>
      </w:pPr>
    </w:p>
    <w:p w:rsidR="009C04F8" w:rsidRDefault="009C04F8" w:rsidP="009C04F8">
      <w:pPr>
        <w:autoSpaceDE w:val="0"/>
        <w:autoSpaceDN w:val="0"/>
        <w:adjustRightInd w:val="0"/>
        <w:jc w:val="both"/>
      </w:pPr>
    </w:p>
    <w:p w:rsidR="009C04F8" w:rsidRDefault="009C04F8" w:rsidP="009C04F8">
      <w:pPr>
        <w:autoSpaceDE w:val="0"/>
        <w:autoSpaceDN w:val="0"/>
        <w:adjustRightInd w:val="0"/>
        <w:jc w:val="both"/>
      </w:pPr>
    </w:p>
    <w:p w:rsidR="009C04F8" w:rsidRDefault="009C04F8" w:rsidP="00D4441A">
      <w:pPr>
        <w:autoSpaceDE w:val="0"/>
        <w:autoSpaceDN w:val="0"/>
        <w:adjustRightInd w:val="0"/>
        <w:jc w:val="both"/>
        <w:rPr>
          <w:b/>
          <w:bCs/>
          <w:color w:val="3366FF"/>
          <w:u w:val="single"/>
        </w:rPr>
      </w:pPr>
      <w:r>
        <w:rPr>
          <w:b/>
          <w:bCs/>
          <w:color w:val="3366FF"/>
          <w:u w:val="single"/>
        </w:rPr>
        <w:t>Abstract</w:t>
      </w:r>
    </w:p>
    <w:p w:rsidR="009C04F8" w:rsidRDefault="009C04F8" w:rsidP="00D4441A">
      <w:pPr>
        <w:autoSpaceDE w:val="0"/>
        <w:autoSpaceDN w:val="0"/>
        <w:adjustRightInd w:val="0"/>
        <w:jc w:val="both"/>
        <w:rPr>
          <w:color w:val="000000"/>
        </w:rPr>
      </w:pPr>
    </w:p>
    <w:p w:rsidR="009C04F8" w:rsidRDefault="009C04F8" w:rsidP="00D4441A">
      <w:pPr>
        <w:autoSpaceDE w:val="0"/>
        <w:autoSpaceDN w:val="0"/>
        <w:adjustRightInd w:val="0"/>
        <w:jc w:val="both"/>
        <w:rPr>
          <w:b/>
          <w:bCs/>
        </w:rPr>
      </w:pPr>
      <w:r>
        <w:rPr>
          <w:color w:val="000000"/>
        </w:rPr>
        <w:t xml:space="preserve">The inorganic semiconductor materials used to make photovoltaic solar cells include crystalline, multicrystalline, amorphous and microcrystalline silicon, the III-V compounds and alloys, cadmium telluride and </w:t>
      </w:r>
      <w:r w:rsidR="009100BF">
        <w:rPr>
          <w:color w:val="000000"/>
        </w:rPr>
        <w:t>the chalcopyrite compound,</w:t>
      </w:r>
      <w:r>
        <w:rPr>
          <w:color w:val="000000"/>
        </w:rPr>
        <w:t xml:space="preserve"> copper indium gallium diselenide. The review shows the structure of the different devices developed, discusses the main methods of manufacture and reviews the achievements of the different technologies.</w:t>
      </w:r>
    </w:p>
    <w:p w:rsidR="009C04F8" w:rsidRDefault="009C04F8" w:rsidP="00D4441A">
      <w:pPr>
        <w:autoSpaceDE w:val="0"/>
        <w:autoSpaceDN w:val="0"/>
        <w:adjustRightInd w:val="0"/>
        <w:jc w:val="both"/>
        <w:rPr>
          <w:color w:val="000000"/>
        </w:rPr>
      </w:pPr>
    </w:p>
    <w:p w:rsidR="009C04F8" w:rsidRDefault="009C04F8" w:rsidP="00D4441A">
      <w:pPr>
        <w:autoSpaceDE w:val="0"/>
        <w:autoSpaceDN w:val="0"/>
        <w:adjustRightInd w:val="0"/>
        <w:jc w:val="both"/>
        <w:rPr>
          <w:b/>
          <w:bCs/>
          <w:color w:val="3366FF"/>
          <w:u w:val="single"/>
        </w:rPr>
      </w:pPr>
      <w:r>
        <w:rPr>
          <w:b/>
          <w:bCs/>
          <w:color w:val="3366FF"/>
          <w:u w:val="single"/>
        </w:rPr>
        <w:t>Introduction</w:t>
      </w:r>
    </w:p>
    <w:p w:rsidR="009C04F8" w:rsidRDefault="009C04F8" w:rsidP="00D4441A">
      <w:pPr>
        <w:autoSpaceDE w:val="0"/>
        <w:autoSpaceDN w:val="0"/>
        <w:adjustRightInd w:val="0"/>
        <w:jc w:val="both"/>
        <w:rPr>
          <w:b/>
          <w:bCs/>
          <w:color w:val="3366FF"/>
          <w:u w:val="single"/>
        </w:rPr>
      </w:pPr>
    </w:p>
    <w:p w:rsidR="009C04F8" w:rsidRDefault="009C04F8" w:rsidP="00D4441A">
      <w:pPr>
        <w:autoSpaceDE w:val="0"/>
        <w:autoSpaceDN w:val="0"/>
        <w:adjustRightInd w:val="0"/>
        <w:jc w:val="both"/>
        <w:rPr>
          <w:color w:val="000000"/>
        </w:rPr>
      </w:pPr>
      <w:r>
        <w:rPr>
          <w:color w:val="000000"/>
        </w:rPr>
        <w:t>Some applications of photovoltaic solar cells that have been well established over the past 50 years include</w:t>
      </w:r>
      <w:r>
        <w:rPr>
          <w:color w:val="000000"/>
          <w:vertAlign w:val="superscript"/>
        </w:rPr>
        <w:t>1</w:t>
      </w:r>
      <w:r>
        <w:rPr>
          <w:color w:val="000000"/>
        </w:rPr>
        <w:t>:</w:t>
      </w:r>
    </w:p>
    <w:p w:rsidR="009C04F8" w:rsidRDefault="009C04F8" w:rsidP="00D4441A">
      <w:pPr>
        <w:autoSpaceDE w:val="0"/>
        <w:autoSpaceDN w:val="0"/>
        <w:adjustRightInd w:val="0"/>
        <w:jc w:val="both"/>
        <w:rPr>
          <w:color w:val="000000"/>
        </w:rPr>
      </w:pPr>
      <w:r>
        <w:rPr>
          <w:color w:val="000000"/>
        </w:rPr>
        <w:t>(</w:t>
      </w:r>
      <w:proofErr w:type="spellStart"/>
      <w:r>
        <w:rPr>
          <w:color w:val="000000"/>
        </w:rPr>
        <w:t>i</w:t>
      </w:r>
      <w:proofErr w:type="spellEnd"/>
      <w:r>
        <w:rPr>
          <w:color w:val="000000"/>
        </w:rPr>
        <w:t xml:space="preserve">) supplying power in remote locations </w:t>
      </w:r>
      <w:r w:rsidR="004F7377">
        <w:rPr>
          <w:color w:val="000000"/>
        </w:rPr>
        <w:t xml:space="preserve">e.g. for communications </w:t>
      </w:r>
      <w:r w:rsidR="002E643E">
        <w:rPr>
          <w:color w:val="000000"/>
        </w:rPr>
        <w:t xml:space="preserve"> and</w:t>
      </w:r>
      <w:r>
        <w:rPr>
          <w:color w:val="000000"/>
        </w:rPr>
        <w:t xml:space="preserve"> weather monitoring systems and the lighting  and water pumping systems used in developing countries,</w:t>
      </w:r>
    </w:p>
    <w:p w:rsidR="009C04F8" w:rsidRDefault="009C04F8" w:rsidP="00D4441A">
      <w:pPr>
        <w:autoSpaceDE w:val="0"/>
        <w:autoSpaceDN w:val="0"/>
        <w:adjustRightInd w:val="0"/>
        <w:jc w:val="both"/>
        <w:rPr>
          <w:color w:val="000000"/>
        </w:rPr>
      </w:pPr>
      <w:r>
        <w:rPr>
          <w:color w:val="000000"/>
        </w:rPr>
        <w:t>(ii) supplying power for consumer products e.g. for electronic calculators and garden lights,</w:t>
      </w:r>
    </w:p>
    <w:p w:rsidR="001F5AF5" w:rsidRDefault="009C04F8" w:rsidP="00D4441A">
      <w:pPr>
        <w:autoSpaceDE w:val="0"/>
        <w:autoSpaceDN w:val="0"/>
        <w:adjustRightInd w:val="0"/>
        <w:jc w:val="both"/>
        <w:rPr>
          <w:color w:val="000000"/>
        </w:rPr>
      </w:pPr>
      <w:r>
        <w:rPr>
          <w:color w:val="000000"/>
        </w:rPr>
        <w:t>(iii) supplying power for applications in space e.g. for satellites and space vehicles.</w:t>
      </w:r>
    </w:p>
    <w:p w:rsidR="009C04F8" w:rsidRDefault="009C04F8" w:rsidP="00D4441A">
      <w:pPr>
        <w:autoSpaceDE w:val="0"/>
        <w:autoSpaceDN w:val="0"/>
        <w:adjustRightInd w:val="0"/>
        <w:jc w:val="both"/>
      </w:pPr>
      <w:r>
        <w:rPr>
          <w:color w:val="000000"/>
        </w:rPr>
        <w:t xml:space="preserve">Most photovoltaic cells now produced are deployed for large scale power generation either in centralised power stations or in the form of “building integrated photovoltaics” (BIPV). BIPV is currently receiving much attention as using photovoltaic solar cells in this way minimises land use and offsets the </w:t>
      </w:r>
      <w:r w:rsidR="006912DD">
        <w:rPr>
          <w:color w:val="000000"/>
        </w:rPr>
        <w:t>high cost of manufacture</w:t>
      </w:r>
      <w:r w:rsidR="00B5199B">
        <w:rPr>
          <w:color w:val="000000"/>
        </w:rPr>
        <w:t xml:space="preserve"> of the cells</w:t>
      </w:r>
      <w:r w:rsidR="006912DD">
        <w:rPr>
          <w:color w:val="000000"/>
        </w:rPr>
        <w:t xml:space="preserve"> by the cells </w:t>
      </w:r>
      <w:r w:rsidR="004F7377">
        <w:rPr>
          <w:color w:val="000000"/>
        </w:rPr>
        <w:t>(</w:t>
      </w:r>
      <w:r w:rsidR="006912DD">
        <w:rPr>
          <w:color w:val="000000"/>
        </w:rPr>
        <w:t>or panels of cells</w:t>
      </w:r>
      <w:r w:rsidR="004F7377">
        <w:rPr>
          <w:color w:val="000000"/>
        </w:rPr>
        <w:t>)</w:t>
      </w:r>
      <w:r>
        <w:rPr>
          <w:color w:val="000000"/>
        </w:rPr>
        <w:t xml:space="preserve"> </w:t>
      </w:r>
      <w:r w:rsidR="00FC66D8">
        <w:rPr>
          <w:color w:val="000000"/>
        </w:rPr>
        <w:t>acting as building materials.</w:t>
      </w:r>
      <w:r w:rsidR="003C477F">
        <w:rPr>
          <w:color w:val="000000"/>
        </w:rPr>
        <w:t xml:space="preserve"> Although</w:t>
      </w:r>
      <w:r>
        <w:rPr>
          <w:color w:val="000000"/>
        </w:rPr>
        <w:t xml:space="preserve"> crystalline silicon solar cells were the dominant cell type used through most of the </w:t>
      </w:r>
      <w:r w:rsidR="00B5199B">
        <w:rPr>
          <w:color w:val="000000"/>
        </w:rPr>
        <w:t>latter half of the last century</w:t>
      </w:r>
      <w:r>
        <w:rPr>
          <w:color w:val="000000"/>
        </w:rPr>
        <w:t xml:space="preserve"> other cell types have been developed which compete either</w:t>
      </w:r>
      <w:r w:rsidR="00770D1A">
        <w:rPr>
          <w:color w:val="000000"/>
        </w:rPr>
        <w:t xml:space="preserve"> in </w:t>
      </w:r>
      <w:r w:rsidR="00990932">
        <w:rPr>
          <w:color w:val="000000"/>
        </w:rPr>
        <w:t xml:space="preserve">terms of </w:t>
      </w:r>
      <w:r w:rsidR="00770D1A">
        <w:rPr>
          <w:color w:val="000000"/>
        </w:rPr>
        <w:t>reduced cost of production (</w:t>
      </w:r>
      <w:r>
        <w:rPr>
          <w:color w:val="000000"/>
        </w:rPr>
        <w:t>solar cells based on the use of multicrystalline silicon or silicon ribbon and the thin film cells based on the use of amorphous silicon, cadmium telluride</w:t>
      </w:r>
      <w:r w:rsidR="00B6458A">
        <w:rPr>
          <w:color w:val="000000"/>
        </w:rPr>
        <w:t xml:space="preserve"> (CdTe)</w:t>
      </w:r>
      <w:r>
        <w:rPr>
          <w:color w:val="000000"/>
        </w:rPr>
        <w:t xml:space="preserve"> or copper indium </w:t>
      </w:r>
      <w:r w:rsidR="00B6458A">
        <w:rPr>
          <w:color w:val="000000"/>
        </w:rPr>
        <w:t xml:space="preserve">gallium </w:t>
      </w:r>
      <w:r>
        <w:rPr>
          <w:color w:val="000000"/>
        </w:rPr>
        <w:t>diselenide</w:t>
      </w:r>
      <w:r w:rsidR="00B6458A">
        <w:rPr>
          <w:color w:val="000000"/>
        </w:rPr>
        <w:t xml:space="preserve"> (CIGS</w:t>
      </w:r>
      <w:r w:rsidR="00EF19C7">
        <w:rPr>
          <w:color w:val="000000"/>
        </w:rPr>
        <w:t>)</w:t>
      </w:r>
      <w:r w:rsidR="00770D1A">
        <w:rPr>
          <w:color w:val="000000"/>
        </w:rPr>
        <w:t>)</w:t>
      </w:r>
      <w:r>
        <w:rPr>
          <w:color w:val="000000"/>
        </w:rPr>
        <w:t xml:space="preserve"> or in terms of improved efficiencies</w:t>
      </w:r>
      <w:r w:rsidR="00770D1A">
        <w:rPr>
          <w:color w:val="000000"/>
        </w:rPr>
        <w:t xml:space="preserve"> (</w:t>
      </w:r>
      <w:r>
        <w:rPr>
          <w:color w:val="000000"/>
        </w:rPr>
        <w:t>solar cells based on</w:t>
      </w:r>
      <w:r w:rsidR="004F7377">
        <w:rPr>
          <w:color w:val="000000"/>
        </w:rPr>
        <w:t xml:space="preserve"> the use of the III-V compounds</w:t>
      </w:r>
      <w:r w:rsidR="00770D1A">
        <w:rPr>
          <w:color w:val="000000"/>
        </w:rPr>
        <w:t>)</w:t>
      </w:r>
      <w:r>
        <w:rPr>
          <w:color w:val="000000"/>
        </w:rPr>
        <w:t xml:space="preserve">. </w:t>
      </w:r>
      <w:r w:rsidR="00A66EC7">
        <w:rPr>
          <w:color w:val="000000"/>
        </w:rPr>
        <w:t xml:space="preserve">All of these semiconductors have energy bandgaps within the range 1.1-1.7 eV i.e. </w:t>
      </w:r>
      <w:r w:rsidR="001C32AB">
        <w:rPr>
          <w:color w:val="000000"/>
        </w:rPr>
        <w:t xml:space="preserve">they are </w:t>
      </w:r>
      <w:r w:rsidR="00A66EC7">
        <w:rPr>
          <w:color w:val="000000"/>
        </w:rPr>
        <w:t xml:space="preserve">near to the optimum energy bandgap </w:t>
      </w:r>
      <w:r w:rsidR="004F7377">
        <w:rPr>
          <w:color w:val="000000"/>
        </w:rPr>
        <w:t xml:space="preserve">(1.5 eV) </w:t>
      </w:r>
      <w:r w:rsidR="00A66EC7">
        <w:rPr>
          <w:color w:val="000000"/>
        </w:rPr>
        <w:t xml:space="preserve">for </w:t>
      </w:r>
      <w:r w:rsidR="00A324A8">
        <w:rPr>
          <w:color w:val="000000"/>
        </w:rPr>
        <w:t xml:space="preserve">photovoltaic solar energy conversion </w:t>
      </w:r>
      <w:r w:rsidR="004F7377">
        <w:rPr>
          <w:color w:val="000000"/>
        </w:rPr>
        <w:t>by a single junction solar cell</w:t>
      </w:r>
      <w:r w:rsidR="004F7377" w:rsidRPr="004F7377">
        <w:rPr>
          <w:color w:val="000000"/>
          <w:vertAlign w:val="superscript"/>
        </w:rPr>
        <w:t>1</w:t>
      </w:r>
      <w:r w:rsidR="00A66EC7">
        <w:rPr>
          <w:color w:val="000000"/>
        </w:rPr>
        <w:t xml:space="preserve">. </w:t>
      </w:r>
      <w:r>
        <w:t>The best efficiencies obtained wi</w:t>
      </w:r>
      <w:r w:rsidR="00B6458A">
        <w:t>th each cell type are given in T</w:t>
      </w:r>
      <w:r>
        <w:t xml:space="preserve">able 1 and </w:t>
      </w:r>
      <w:r>
        <w:rPr>
          <w:color w:val="000000"/>
        </w:rPr>
        <w:t xml:space="preserve">the market share of the different cell types during 2006 are given in Fig. </w:t>
      </w:r>
      <w:r w:rsidR="007222B3">
        <w:rPr>
          <w:color w:val="000000"/>
        </w:rPr>
        <w:t>1</w:t>
      </w:r>
      <w:r>
        <w:rPr>
          <w:color w:val="000000"/>
          <w:vertAlign w:val="superscript"/>
        </w:rPr>
        <w:t>17</w:t>
      </w:r>
      <w:r>
        <w:t>. Although the use of crystalline silicon cells has continued to increase rapidly the most successful technology at present is that based on the use of multicrystalline silicon which has expanded even faster. The key aim of all the technologies is to r</w:t>
      </w:r>
      <w:r w:rsidR="00B6458A">
        <w:t xml:space="preserve">educe production costs to 1 $ / </w:t>
      </w:r>
      <w:r>
        <w:t>peak Watt (1 $/</w:t>
      </w:r>
      <w:proofErr w:type="spellStart"/>
      <w:r>
        <w:t>Wp</w:t>
      </w:r>
      <w:proofErr w:type="spellEnd"/>
      <w:r>
        <w:t xml:space="preserve">) to </w:t>
      </w:r>
      <w:r>
        <w:lastRenderedPageBreak/>
        <w:t>compete cost-wise with o</w:t>
      </w:r>
      <w:r w:rsidR="006912DD">
        <w:t>ther forms of power generation.</w:t>
      </w:r>
      <w:r w:rsidR="001C32AB">
        <w:t xml:space="preserve"> </w:t>
      </w:r>
      <w:r>
        <w:t>Cells based on the use of crystalline and multicrystalline silicon cost more than four times this amount. It is generally accepted that this target is most likely to be reached using thin film fabrication technologies when expanded for large scale production.</w:t>
      </w:r>
      <w:r w:rsidR="003C477F">
        <w:t xml:space="preserve"> </w:t>
      </w:r>
      <w:r w:rsidR="006912DD">
        <w:t>The technologies also need to have acceptable energy payback times</w:t>
      </w:r>
      <w:r w:rsidR="00770D1A">
        <w:t>.</w:t>
      </w:r>
      <w:r w:rsidR="006912DD">
        <w:t xml:space="preserve"> (</w:t>
      </w:r>
      <w:r w:rsidR="00770D1A">
        <w:t xml:space="preserve">This is </w:t>
      </w:r>
      <w:r w:rsidR="006912DD">
        <w:t>the time taken to generate the energy needed to fabricate the device</w:t>
      </w:r>
      <w:r w:rsidR="00770D1A">
        <w:t xml:space="preserve"> by the device</w:t>
      </w:r>
      <w:r w:rsidR="006912DD">
        <w:t xml:space="preserve">). Crystalline and multicrystalline devices typically have energy payback times of 3-4 years and </w:t>
      </w:r>
      <w:r w:rsidR="00AE2155">
        <w:t xml:space="preserve">the </w:t>
      </w:r>
      <w:r w:rsidR="006912DD">
        <w:t xml:space="preserve">thin </w:t>
      </w:r>
      <w:r w:rsidR="004F7377">
        <w:t xml:space="preserve">film </w:t>
      </w:r>
      <w:r w:rsidR="006912DD">
        <w:t xml:space="preserve">technologies 12-18 months. </w:t>
      </w:r>
      <w:r w:rsidR="003C477F">
        <w:t xml:space="preserve">Fig. </w:t>
      </w:r>
      <w:r w:rsidR="007222B3">
        <w:t>2</w:t>
      </w:r>
      <w:r w:rsidR="003C477F">
        <w:t xml:space="preserve"> shows two examples of BIPV, the first using crystalline silicon solar cells, the second using CIGS thin film solar cells.</w:t>
      </w:r>
      <w:r w:rsidR="002E643E">
        <w:t xml:space="preserve"> </w:t>
      </w:r>
    </w:p>
    <w:p w:rsidR="006912DD" w:rsidRDefault="006912DD" w:rsidP="00D4441A">
      <w:pPr>
        <w:autoSpaceDE w:val="0"/>
        <w:autoSpaceDN w:val="0"/>
        <w:adjustRightInd w:val="0"/>
        <w:jc w:val="both"/>
        <w:rPr>
          <w:b/>
          <w:bCs/>
          <w:color w:val="3366FF"/>
          <w:u w:val="single"/>
        </w:rPr>
      </w:pPr>
    </w:p>
    <w:p w:rsidR="009C04F8" w:rsidRDefault="009C04F8" w:rsidP="00D4441A">
      <w:pPr>
        <w:autoSpaceDE w:val="0"/>
        <w:autoSpaceDN w:val="0"/>
        <w:adjustRightInd w:val="0"/>
        <w:jc w:val="both"/>
        <w:rPr>
          <w:b/>
          <w:bCs/>
          <w:color w:val="3366FF"/>
          <w:u w:val="single"/>
        </w:rPr>
      </w:pPr>
      <w:r>
        <w:rPr>
          <w:b/>
          <w:bCs/>
          <w:color w:val="3366FF"/>
          <w:u w:val="single"/>
        </w:rPr>
        <w:t>1.1 Crystalline Silicon Solar Cells</w:t>
      </w:r>
    </w:p>
    <w:p w:rsidR="009C04F8" w:rsidRDefault="009C04F8" w:rsidP="00D4441A">
      <w:pPr>
        <w:autoSpaceDE w:val="0"/>
        <w:autoSpaceDN w:val="0"/>
        <w:adjustRightInd w:val="0"/>
        <w:jc w:val="both"/>
      </w:pPr>
    </w:p>
    <w:p w:rsidR="009C04F8" w:rsidRDefault="009C04F8" w:rsidP="00D4441A">
      <w:pPr>
        <w:autoSpaceDE w:val="0"/>
        <w:autoSpaceDN w:val="0"/>
        <w:adjustRightInd w:val="0"/>
        <w:jc w:val="both"/>
      </w:pPr>
      <w:r>
        <w:t>A cross-sectional view of the silicon solar cell structure that has been used in production up to the present is given in Fig. 3</w:t>
      </w:r>
      <w:r w:rsidR="007222B3">
        <w:t xml:space="preserve"> </w:t>
      </w:r>
      <w:r>
        <w:t>(a)</w:t>
      </w:r>
      <w:r>
        <w:rPr>
          <w:vertAlign w:val="superscript"/>
        </w:rPr>
        <w:t>18</w:t>
      </w:r>
      <w:r>
        <w:t xml:space="preserve">. For crystalline silicon devices, a boule of boron doped p-type silicon is grown using the </w:t>
      </w:r>
      <w:proofErr w:type="spellStart"/>
      <w:r>
        <w:t>Czochralski</w:t>
      </w:r>
      <w:proofErr w:type="spellEnd"/>
      <w:r>
        <w:t xml:space="preserve"> method and wafers are sawn from </w:t>
      </w:r>
      <w:r w:rsidR="00F23299">
        <w:t xml:space="preserve">the </w:t>
      </w:r>
      <w:r>
        <w:t xml:space="preserve">boule. Crystalline (and multicrystalline) silicon have an indirect energy bandgap resulting in a low optical absorption coefficient, with the consequence that the wafers need to be greater than 200 </w:t>
      </w:r>
      <w:proofErr w:type="spellStart"/>
      <w:r>
        <w:t>μm</w:t>
      </w:r>
      <w:proofErr w:type="spellEnd"/>
      <w:r>
        <w:t xml:space="preserve"> thick to absorb most of the incident light. The wafer surfaces are “textured” by dipping into a solution of sodium hydroxide and isopropyl alcohol to minimise reflection losses and to refract light entering the silicon to high angles of refraction to enhance the optical path length in the silicon. A </w:t>
      </w:r>
      <w:proofErr w:type="spellStart"/>
      <w:r>
        <w:t>pn</w:t>
      </w:r>
      <w:proofErr w:type="spellEnd"/>
      <w:r>
        <w:t xml:space="preserve"> junction is formed by diffusing phosphorus into the wafer as an impurity dopant. Screen printed silver contact fingers are used on the n-type surface to make electrical contact while also allowing light to be transmitted to the junction region. Aluminium paste is used to make contact at the back p-type surface. This is annealed to introduce a p</w:t>
      </w:r>
      <w:r>
        <w:rPr>
          <w:vertAlign w:val="superscript"/>
        </w:rPr>
        <w:t>+</w:t>
      </w:r>
      <w:r>
        <w:t xml:space="preserve"> doped region at the back of the cell, to lower the contact resistance and to supply a back surface field that reflects minority carriers back toward the junction</w:t>
      </w:r>
      <w:r>
        <w:rPr>
          <w:vertAlign w:val="superscript"/>
        </w:rPr>
        <w:t>19</w:t>
      </w:r>
      <w:r>
        <w:t>. An antireflection (A/R) coating (usually titanium dioxide or silicon nitride) is deposited over the top contact fingers to complete the device.</w:t>
      </w:r>
    </w:p>
    <w:p w:rsidR="001F5AF5" w:rsidRDefault="009C04F8" w:rsidP="00D4441A">
      <w:pPr>
        <w:autoSpaceDE w:val="0"/>
        <w:autoSpaceDN w:val="0"/>
        <w:adjustRightInd w:val="0"/>
        <w:jc w:val="both"/>
        <w:rPr>
          <w:color w:val="000000"/>
        </w:rPr>
      </w:pPr>
      <w:r>
        <w:t>Green and co-workers</w:t>
      </w:r>
      <w:r>
        <w:rPr>
          <w:vertAlign w:val="superscript"/>
        </w:rPr>
        <w:t>20</w:t>
      </w:r>
      <w:r>
        <w:t xml:space="preserve"> from the University of New South Wales (UNSW) have pointed out that there is a high penalty for using screen printed contacts. High shading losses, the high resistivity of the screen printed silver grids compared to pure silver (3x as high), a high contact resistance between the grid and silicon and poor aspect ratio all reduce device efficiencies to approximately 14%. This has led them to develop solar cells in which the contacts are defined either using photolithography or laser scribing</w:t>
      </w:r>
      <w:r>
        <w:rPr>
          <w:vertAlign w:val="superscript"/>
        </w:rPr>
        <w:t>21,22</w:t>
      </w:r>
      <w:r>
        <w:t xml:space="preserve">. A typical “UNSW cell structure” is shown in Fig. 3(b). For the design shown the surface of the silicon has been oxidised to passivate the front surface of the cell and grooves for contacting cut using laser scribing. In this “buried contact” design the contact metals, nickel, copper and then silver, are deposited using </w:t>
      </w:r>
      <w:proofErr w:type="spellStart"/>
      <w:r>
        <w:t>electroless</w:t>
      </w:r>
      <w:proofErr w:type="spellEnd"/>
      <w:r>
        <w:t xml:space="preserve"> methods. The improved design permits shallower phosphorus doping at the surface of the device without degrading the open circuit voltage, improving the short wavelength response of the cell. The higher doping concentration of this n</w:t>
      </w:r>
      <w:r>
        <w:rPr>
          <w:vertAlign w:val="superscript"/>
        </w:rPr>
        <w:t>+</w:t>
      </w:r>
      <w:r>
        <w:t xml:space="preserve"> region also reduces the contact resistance to the grid contact. This type of cell is used in the high efficiency Saturn </w:t>
      </w:r>
      <w:r>
        <w:rPr>
          <w:color w:val="000000"/>
        </w:rPr>
        <w:t>modules produced by BP Solar</w:t>
      </w:r>
      <w:r>
        <w:rPr>
          <w:color w:val="000000"/>
          <w:vertAlign w:val="superscript"/>
        </w:rPr>
        <w:t>23,24</w:t>
      </w:r>
      <w:r w:rsidR="004A7EE2">
        <w:rPr>
          <w:color w:val="000000"/>
        </w:rPr>
        <w:t xml:space="preserve">. A </w:t>
      </w:r>
      <w:r w:rsidR="003C477F">
        <w:rPr>
          <w:color w:val="000000"/>
        </w:rPr>
        <w:t xml:space="preserve">photograph </w:t>
      </w:r>
      <w:r w:rsidR="004A7EE2">
        <w:rPr>
          <w:color w:val="000000"/>
        </w:rPr>
        <w:t xml:space="preserve">of a cell </w:t>
      </w:r>
      <w:r w:rsidR="003C477F">
        <w:rPr>
          <w:color w:val="000000"/>
        </w:rPr>
        <w:t>is given in Fig. 4 (a)</w:t>
      </w:r>
      <w:r>
        <w:rPr>
          <w:color w:val="000000"/>
        </w:rPr>
        <w:t>.</w:t>
      </w:r>
      <w:r w:rsidR="001F5AF5">
        <w:rPr>
          <w:color w:val="000000"/>
        </w:rPr>
        <w:t xml:space="preserve"> </w:t>
      </w:r>
    </w:p>
    <w:p w:rsidR="004A7EE2" w:rsidRDefault="009C04F8" w:rsidP="00D4441A">
      <w:pPr>
        <w:autoSpaceDE w:val="0"/>
        <w:autoSpaceDN w:val="0"/>
        <w:adjustRightInd w:val="0"/>
        <w:jc w:val="both"/>
        <w:rPr>
          <w:color w:val="000000"/>
        </w:rPr>
      </w:pPr>
      <w:r>
        <w:rPr>
          <w:color w:val="000000"/>
        </w:rPr>
        <w:t>The highest efficiency silicon solar cell produced in the laboratory is the PERL (“passivated emitter rear locally diffused”) solar cell which has an efficiency of 24.7%</w:t>
      </w:r>
      <w:r>
        <w:rPr>
          <w:color w:val="000000"/>
          <w:vertAlign w:val="superscript"/>
        </w:rPr>
        <w:t>2</w:t>
      </w:r>
      <w:r>
        <w:rPr>
          <w:color w:val="000000"/>
        </w:rPr>
        <w:t xml:space="preserve">. </w:t>
      </w:r>
      <w:r>
        <w:rPr>
          <w:color w:val="000000"/>
        </w:rPr>
        <w:lastRenderedPageBreak/>
        <w:t>The high efficiency is achieved by improving the surface texturing and by the inclusion of a silicon dioxide layer at the back of the device to passivate the back surface</w:t>
      </w:r>
      <w:r w:rsidR="00B5199B">
        <w:rPr>
          <w:color w:val="000000"/>
        </w:rPr>
        <w:t xml:space="preserve"> of </w:t>
      </w:r>
      <w:r w:rsidR="00805DEB">
        <w:rPr>
          <w:color w:val="000000"/>
        </w:rPr>
        <w:t>the device</w:t>
      </w:r>
      <w:r>
        <w:rPr>
          <w:color w:val="000000"/>
          <w:vertAlign w:val="superscript"/>
        </w:rPr>
        <w:t>2</w:t>
      </w:r>
      <w:r>
        <w:rPr>
          <w:color w:val="000000"/>
        </w:rPr>
        <w:t xml:space="preserve">. </w:t>
      </w:r>
    </w:p>
    <w:p w:rsidR="009C04F8" w:rsidRDefault="009C04F8" w:rsidP="00D4441A">
      <w:pPr>
        <w:autoSpaceDE w:val="0"/>
        <w:autoSpaceDN w:val="0"/>
        <w:adjustRightInd w:val="0"/>
        <w:jc w:val="both"/>
        <w:rPr>
          <w:color w:val="000000"/>
        </w:rPr>
      </w:pPr>
      <w:r>
        <w:rPr>
          <w:color w:val="000000"/>
        </w:rPr>
        <w:t>To minimise silicon usage there is much effort worldwide to design devices that incorporate “light trapping” features such that thinner layers of silicon can be used</w:t>
      </w:r>
      <w:r>
        <w:rPr>
          <w:color w:val="000000"/>
          <w:vertAlign w:val="superscript"/>
        </w:rPr>
        <w:t>25</w:t>
      </w:r>
      <w:r>
        <w:rPr>
          <w:color w:val="000000"/>
        </w:rPr>
        <w:t>. An alternative strategy is to deploy silicon solar cells in “concentrator systems”. In these systems a large area lens is used to focus the incident sunlight onto a smaller area cell</w:t>
      </w:r>
      <w:r>
        <w:rPr>
          <w:color w:val="000000"/>
          <w:vertAlign w:val="superscript"/>
        </w:rPr>
        <w:t>26</w:t>
      </w:r>
      <w:r>
        <w:rPr>
          <w:color w:val="000000"/>
        </w:rPr>
        <w:t xml:space="preserve">. It should however be noted that with such systems there is a need to track the sun and concentrator systems can only be used in parts of the world where there is unimpeded sunlight. A schematic view of </w:t>
      </w:r>
      <w:r w:rsidR="003C477F">
        <w:rPr>
          <w:color w:val="000000"/>
        </w:rPr>
        <w:t>such a system is given in Fig. 5</w:t>
      </w:r>
      <w:r>
        <w:rPr>
          <w:color w:val="000000"/>
        </w:rPr>
        <w:t>.</w:t>
      </w:r>
    </w:p>
    <w:p w:rsidR="009C04F8" w:rsidRDefault="009C04F8" w:rsidP="00D4441A">
      <w:pPr>
        <w:autoSpaceDE w:val="0"/>
        <w:autoSpaceDN w:val="0"/>
        <w:adjustRightInd w:val="0"/>
        <w:jc w:val="both"/>
        <w:rPr>
          <w:color w:val="000000"/>
        </w:rPr>
      </w:pPr>
    </w:p>
    <w:p w:rsidR="009C04F8" w:rsidRDefault="009C04F8" w:rsidP="00D4441A">
      <w:pPr>
        <w:autoSpaceDE w:val="0"/>
        <w:autoSpaceDN w:val="0"/>
        <w:adjustRightInd w:val="0"/>
        <w:jc w:val="both"/>
        <w:rPr>
          <w:b/>
          <w:bCs/>
          <w:u w:val="single"/>
        </w:rPr>
      </w:pPr>
      <w:r>
        <w:rPr>
          <w:b/>
          <w:bCs/>
          <w:color w:val="3366FF"/>
          <w:u w:val="single"/>
        </w:rPr>
        <w:t>1.2 Multicrystalline Silicon</w:t>
      </w:r>
    </w:p>
    <w:p w:rsidR="009C04F8" w:rsidRDefault="009C04F8" w:rsidP="00D4441A">
      <w:pPr>
        <w:autoSpaceDE w:val="0"/>
        <w:autoSpaceDN w:val="0"/>
        <w:adjustRightInd w:val="0"/>
        <w:ind w:firstLine="720"/>
        <w:jc w:val="both"/>
      </w:pPr>
    </w:p>
    <w:p w:rsidR="009C04F8" w:rsidRDefault="009C04F8" w:rsidP="00D4441A">
      <w:pPr>
        <w:autoSpaceDE w:val="0"/>
        <w:autoSpaceDN w:val="0"/>
        <w:adjustRightInd w:val="0"/>
        <w:jc w:val="both"/>
      </w:pPr>
      <w:r>
        <w:t>With this technique molten silicon is poured into a container and then allowed to cool resulting in silicon ingots with large columnar grains (typically 0.3 mm diameter) growing from the bottom of the container upwards</w:t>
      </w:r>
      <w:r>
        <w:rPr>
          <w:vertAlign w:val="superscript"/>
        </w:rPr>
        <w:t>27</w:t>
      </w:r>
      <w:r>
        <w:t xml:space="preserve">. The grains are so large that they extend through the wafers cut from the solidified block. The incorporation of hydrogen during device processing plays an important role in passivating the grain boundaries in the devices formed. This is most conveniently introduced by using PECVD (plasma enhanced chemical vapour deposition) to deposit silicon nitride as the top insulating layer, rather than silicon dioxide, as hydrogen is used in this process. Otherwise cell processing is similar to that used for crystalline devices. A photograph of a multicrystalline cell is shown in Fig. </w:t>
      </w:r>
      <w:r w:rsidR="003C477F">
        <w:t>4 (b)</w:t>
      </w:r>
      <w:r>
        <w:t xml:space="preserve">. Advantages of using multicrystalline growth over the </w:t>
      </w:r>
      <w:proofErr w:type="spellStart"/>
      <w:r>
        <w:t>Czochralski</w:t>
      </w:r>
      <w:proofErr w:type="spellEnd"/>
      <w:r>
        <w:t xml:space="preserve"> method include lower capital costs, higher throughput, less sensitivity to the quality of the silicon feedstock used and higher packing density of cells to make a module because of the square or rectangular shape of the cells. The best modules made using multicrystalline silicon generally have efficiencies 2-3% less than those of crystalline silicon and cost approximately 80% of that of crystalline silicon cells to produce.</w:t>
      </w:r>
    </w:p>
    <w:p w:rsidR="009C04F8" w:rsidRDefault="009C04F8" w:rsidP="00D4441A">
      <w:pPr>
        <w:autoSpaceDE w:val="0"/>
        <w:autoSpaceDN w:val="0"/>
        <w:adjustRightInd w:val="0"/>
        <w:jc w:val="both"/>
      </w:pPr>
      <w:r>
        <w:t>It is also possible to pull thin sheets of multicrystalline silicon in the form of thin sheets or “silicon ribbon” from a silicon melt and the sheets then processed to make solar cells</w:t>
      </w:r>
      <w:r>
        <w:rPr>
          <w:vertAlign w:val="superscript"/>
        </w:rPr>
        <w:t>28</w:t>
      </w:r>
      <w:r>
        <w:t xml:space="preserve">. The need for sawing wafers can be avoided using this method. However because resulting cells generally have lower efficiencies than those made from the cast blocks and the casting method is simpler, the casting method is preferred by most manufacturers. </w:t>
      </w:r>
    </w:p>
    <w:p w:rsidR="009C04F8" w:rsidRDefault="009C04F8" w:rsidP="00D4441A">
      <w:pPr>
        <w:autoSpaceDE w:val="0"/>
        <w:autoSpaceDN w:val="0"/>
        <w:adjustRightInd w:val="0"/>
        <w:jc w:val="both"/>
      </w:pPr>
    </w:p>
    <w:p w:rsidR="009C04F8" w:rsidRDefault="009C04F8" w:rsidP="00D4441A">
      <w:pPr>
        <w:autoSpaceDE w:val="0"/>
        <w:autoSpaceDN w:val="0"/>
        <w:adjustRightInd w:val="0"/>
        <w:jc w:val="both"/>
        <w:rPr>
          <w:b/>
          <w:bCs/>
          <w:u w:val="single"/>
        </w:rPr>
      </w:pPr>
      <w:r>
        <w:rPr>
          <w:b/>
          <w:bCs/>
          <w:color w:val="3366FF"/>
          <w:u w:val="single"/>
        </w:rPr>
        <w:t>1.3 Amorphous Silicon</w:t>
      </w:r>
    </w:p>
    <w:p w:rsidR="009C04F8" w:rsidRDefault="009C04F8" w:rsidP="00D4441A">
      <w:pPr>
        <w:autoSpaceDE w:val="0"/>
        <w:autoSpaceDN w:val="0"/>
        <w:adjustRightInd w:val="0"/>
        <w:ind w:firstLine="720"/>
        <w:jc w:val="both"/>
      </w:pPr>
    </w:p>
    <w:p w:rsidR="009C04F8" w:rsidRDefault="009C04F8" w:rsidP="00D4441A">
      <w:pPr>
        <w:autoSpaceDE w:val="0"/>
        <w:autoSpaceDN w:val="0"/>
        <w:adjustRightInd w:val="0"/>
        <w:jc w:val="both"/>
      </w:pPr>
      <w:r>
        <w:t xml:space="preserve">Thin films of amorphous silicon are usually produced using the PECVD of gases containing </w:t>
      </w:r>
      <w:proofErr w:type="spellStart"/>
      <w:r>
        <w:t>silane</w:t>
      </w:r>
      <w:proofErr w:type="spellEnd"/>
      <w:r>
        <w:t xml:space="preserve"> (SiH</w:t>
      </w:r>
      <w:r>
        <w:rPr>
          <w:vertAlign w:val="subscript"/>
        </w:rPr>
        <w:t>4</w:t>
      </w:r>
      <w:r>
        <w:t>)</w:t>
      </w:r>
      <w:r>
        <w:rPr>
          <w:vertAlign w:val="superscript"/>
        </w:rPr>
        <w:t>29</w:t>
      </w:r>
      <w:r>
        <w:t xml:space="preserve">. The layers may be deposited onto both rigid substrates e.g. glass and onto flexible substrates e.g. thin metallic sheets and plastics, allowing for continuous production and diversity of use. The material that is used in solar cells is actually hydrogenated amorphous silicon </w:t>
      </w:r>
      <w:r>
        <w:rPr>
          <w:rFonts w:ascii="Symbol" w:hAnsi="Symbol" w:cs="Symbol"/>
        </w:rPr>
        <w:t></w:t>
      </w:r>
      <w:proofErr w:type="spellStart"/>
      <w:r>
        <w:t>Si:H</w:t>
      </w:r>
      <w:proofErr w:type="spellEnd"/>
      <w:r>
        <w:t xml:space="preserve">, an alloy of silicon and hydrogen (5-20 atomic % hydrogen), in which the hydrogen plays the important role of passivating the dangling bonds that result from the random arrangement of the silicon atoms. The hydrogenated amorphous silicon is found to have a direct optical energy bandgap of 1.7 eV and an optical absorption coefficient </w:t>
      </w:r>
      <w:r>
        <w:rPr>
          <w:rFonts w:ascii="Symbol" w:hAnsi="Symbol" w:cs="Symbol"/>
        </w:rPr>
        <w:t></w:t>
      </w:r>
      <w:r>
        <w:t xml:space="preserve"> greater than 10</w:t>
      </w:r>
      <w:r>
        <w:rPr>
          <w:vertAlign w:val="superscript"/>
        </w:rPr>
        <w:t xml:space="preserve">5 </w:t>
      </w:r>
      <w:r>
        <w:t>cm</w:t>
      </w:r>
      <w:r>
        <w:rPr>
          <w:vertAlign w:val="superscript"/>
        </w:rPr>
        <w:t>-1</w:t>
      </w:r>
      <w:r>
        <w:t xml:space="preserve"> for photons with energies greater than the energy bandgap. This means that only a few microns of material are needed to absorb most of the incident light, reducing materials usage and hence cost. Most devices produced have the p-</w:t>
      </w:r>
      <w:proofErr w:type="spellStart"/>
      <w:r>
        <w:t>i</w:t>
      </w:r>
      <w:proofErr w:type="spellEnd"/>
      <w:r>
        <w:t>-n structure shown in Fig. 6 (a). A major problem with modules made using single p-</w:t>
      </w:r>
      <w:proofErr w:type="spellStart"/>
      <w:r>
        <w:t>i</w:t>
      </w:r>
      <w:proofErr w:type="spellEnd"/>
      <w:r>
        <w:t xml:space="preserve">-n junctions is that the efficiency degrades under illumination to less than 5 % due to a phenomenon known as the </w:t>
      </w:r>
      <w:proofErr w:type="spellStart"/>
      <w:r>
        <w:t>Staebler-Wronski</w:t>
      </w:r>
      <w:proofErr w:type="spellEnd"/>
      <w:r>
        <w:t xml:space="preserve"> effect</w:t>
      </w:r>
      <w:r>
        <w:rPr>
          <w:vertAlign w:val="superscript"/>
        </w:rPr>
        <w:t>29</w:t>
      </w:r>
      <w:r>
        <w:t>.</w:t>
      </w:r>
    </w:p>
    <w:p w:rsidR="009C04F8" w:rsidRDefault="009C04F8" w:rsidP="00D4441A">
      <w:pPr>
        <w:autoSpaceDE w:val="0"/>
        <w:autoSpaceDN w:val="0"/>
        <w:adjustRightInd w:val="0"/>
        <w:jc w:val="both"/>
        <w:rPr>
          <w:b/>
          <w:bCs/>
          <w:u w:val="single"/>
        </w:rPr>
      </w:pPr>
      <w:r>
        <w:t>It is possible to more efficiently absorb the solar spectrum and to improve cell stability by using multiple p-</w:t>
      </w:r>
      <w:proofErr w:type="spellStart"/>
      <w:r>
        <w:t>i</w:t>
      </w:r>
      <w:proofErr w:type="spellEnd"/>
      <w:r>
        <w:t xml:space="preserve">-n structures with different energy bandgap </w:t>
      </w:r>
      <w:proofErr w:type="spellStart"/>
      <w:r>
        <w:t>i</w:t>
      </w:r>
      <w:proofErr w:type="spellEnd"/>
      <w:r>
        <w:t>-layers to produce “double junction” or “triple junction” structures as shown in Figs. 6 (b) and (c). Narrower energy bandgap layers are produced by alloying the silicon with germanium and wider energy bandgap layers produced by alloying the silicon with carbon. The highest reported stabilised efficiency of a double junction is now greater than 9.5% and for a triple junction module greater than 10%</w:t>
      </w:r>
      <w:r>
        <w:rPr>
          <w:vertAlign w:val="superscript"/>
        </w:rPr>
        <w:t>29</w:t>
      </w:r>
      <w:r>
        <w:t>.</w:t>
      </w:r>
    </w:p>
    <w:p w:rsidR="009C04F8" w:rsidRDefault="009C04F8" w:rsidP="00D4441A">
      <w:pPr>
        <w:autoSpaceDE w:val="0"/>
        <w:autoSpaceDN w:val="0"/>
        <w:adjustRightInd w:val="0"/>
        <w:jc w:val="both"/>
      </w:pPr>
      <w:r>
        <w:t>If the gases used for the deposition of amorphous silicon are diluted in hydrogen it is found that the deposit consists of regions of crystalline silicon immersed in an amorphous matrix</w:t>
      </w:r>
      <w:r>
        <w:rPr>
          <w:vertAlign w:val="superscript"/>
        </w:rPr>
        <w:t>30</w:t>
      </w:r>
      <w:r>
        <w:t>. This two phase material is known as “microcrystalline silicon” or sometimes as “</w:t>
      </w:r>
      <w:proofErr w:type="spellStart"/>
      <w:r>
        <w:t>nanocrystalline</w:t>
      </w:r>
      <w:proofErr w:type="spellEnd"/>
      <w:r>
        <w:t xml:space="preserve"> silicon”. The physical properties of the material resemble those of crystalline / multicrystalline silicon rather than amorphous silicon, especially with regard to stability under intense illumination. Work is currently underway to develop hybrid amorphous silicon / microcrystalline silicon tandem solar cells and modules (referred to in the literature as “Micro</w:t>
      </w:r>
      <w:r w:rsidR="006912DD">
        <w:t>-</w:t>
      </w:r>
      <w:r>
        <w:t>morph devices”). Trials indicate that these hybrid devices and modules rival triple junction amorphous silicon in terms of efficiency and stability</w:t>
      </w:r>
      <w:r>
        <w:rPr>
          <w:vertAlign w:val="superscript"/>
        </w:rPr>
        <w:t>31</w:t>
      </w:r>
      <w:r>
        <w:t xml:space="preserve">. </w:t>
      </w:r>
    </w:p>
    <w:p w:rsidR="009C04F8" w:rsidRDefault="009C04F8" w:rsidP="00D4441A">
      <w:pPr>
        <w:autoSpaceDE w:val="0"/>
        <w:autoSpaceDN w:val="0"/>
        <w:adjustRightInd w:val="0"/>
        <w:ind w:firstLine="720"/>
        <w:jc w:val="both"/>
        <w:rPr>
          <w:b/>
          <w:bCs/>
          <w:u w:val="single"/>
        </w:rPr>
      </w:pPr>
    </w:p>
    <w:p w:rsidR="009C04F8" w:rsidRDefault="009C04F8" w:rsidP="00D4441A">
      <w:pPr>
        <w:autoSpaceDE w:val="0"/>
        <w:autoSpaceDN w:val="0"/>
        <w:adjustRightInd w:val="0"/>
        <w:jc w:val="both"/>
        <w:rPr>
          <w:b/>
          <w:bCs/>
          <w:u w:val="single"/>
        </w:rPr>
      </w:pPr>
      <w:r>
        <w:rPr>
          <w:b/>
          <w:bCs/>
          <w:color w:val="3366FF"/>
          <w:u w:val="single"/>
        </w:rPr>
        <w:t>1.4 HIT Solar Cell</w:t>
      </w:r>
      <w:r>
        <w:rPr>
          <w:b/>
          <w:bCs/>
          <w:u w:val="single"/>
        </w:rPr>
        <w:t xml:space="preserve"> </w:t>
      </w:r>
    </w:p>
    <w:p w:rsidR="009C04F8" w:rsidRDefault="009C04F8" w:rsidP="00D4441A">
      <w:pPr>
        <w:autoSpaceDE w:val="0"/>
        <w:autoSpaceDN w:val="0"/>
        <w:adjustRightInd w:val="0"/>
        <w:ind w:firstLine="720"/>
        <w:jc w:val="both"/>
      </w:pPr>
    </w:p>
    <w:p w:rsidR="009C04F8" w:rsidRDefault="009C04F8" w:rsidP="00D4441A">
      <w:pPr>
        <w:autoSpaceDE w:val="0"/>
        <w:autoSpaceDN w:val="0"/>
        <w:adjustRightInd w:val="0"/>
        <w:jc w:val="both"/>
        <w:rPr>
          <w:b/>
          <w:bCs/>
          <w:u w:val="single"/>
        </w:rPr>
      </w:pPr>
      <w:r>
        <w:t xml:space="preserve">A </w:t>
      </w:r>
      <w:r w:rsidR="006912DD">
        <w:t xml:space="preserve">novel device developed by Sanyo </w:t>
      </w:r>
      <w:r>
        <w:t>is the HIT (“</w:t>
      </w:r>
      <w:proofErr w:type="spellStart"/>
      <w:r>
        <w:t>heterojunction</w:t>
      </w:r>
      <w:proofErr w:type="spellEnd"/>
      <w:r>
        <w:t xml:space="preserve"> with intrinsic thin layer”) solar cell</w:t>
      </w:r>
      <w:r>
        <w:rPr>
          <w:vertAlign w:val="superscript"/>
        </w:rPr>
        <w:t>9</w:t>
      </w:r>
      <w:r>
        <w:t xml:space="preserve">. In this device layers of amorphous silicon are deposited onto both faces of a textured wafer of single crystal silicon. This results in (10 cm x 10 cm) </w:t>
      </w:r>
      <w:proofErr w:type="spellStart"/>
      <w:r>
        <w:t>multijunction</w:t>
      </w:r>
      <w:proofErr w:type="spellEnd"/>
      <w:r>
        <w:t xml:space="preserve"> devices with efficiencies greater than 21% and 80 cm x 120 cm modules with efficiencies up to 17.3%</w:t>
      </w:r>
      <w:r>
        <w:rPr>
          <w:vertAlign w:val="superscript"/>
        </w:rPr>
        <w:t>9</w:t>
      </w:r>
      <w:r>
        <w:t>. The advantages of this structure include potential for high efficiency, very good surface passivation, low temperature processing (all steps less than 200°C, except for substrate production), reduced energy payback time and reduced cost relative to conventional silicon devices.</w:t>
      </w:r>
    </w:p>
    <w:p w:rsidR="009C04F8" w:rsidRDefault="009C04F8" w:rsidP="00D4441A">
      <w:pPr>
        <w:autoSpaceDE w:val="0"/>
        <w:autoSpaceDN w:val="0"/>
        <w:adjustRightInd w:val="0"/>
        <w:jc w:val="both"/>
      </w:pPr>
    </w:p>
    <w:p w:rsidR="009C04F8" w:rsidRDefault="009C04F8" w:rsidP="00D4441A">
      <w:pPr>
        <w:autoSpaceDE w:val="0"/>
        <w:autoSpaceDN w:val="0"/>
        <w:adjustRightInd w:val="0"/>
        <w:jc w:val="both"/>
        <w:rPr>
          <w:b/>
          <w:bCs/>
          <w:color w:val="3366FF"/>
          <w:u w:val="single"/>
        </w:rPr>
      </w:pPr>
      <w:r>
        <w:rPr>
          <w:b/>
          <w:bCs/>
          <w:color w:val="3366FF"/>
          <w:u w:val="single"/>
        </w:rPr>
        <w:t>2.1 Single Junction III-V Solar Cells</w:t>
      </w:r>
    </w:p>
    <w:p w:rsidR="009C04F8" w:rsidRDefault="009C04F8" w:rsidP="00D4441A">
      <w:pPr>
        <w:autoSpaceDE w:val="0"/>
        <w:autoSpaceDN w:val="0"/>
        <w:adjustRightInd w:val="0"/>
        <w:jc w:val="both"/>
      </w:pPr>
    </w:p>
    <w:p w:rsidR="009C04F8" w:rsidRDefault="009C04F8" w:rsidP="00D4441A">
      <w:pPr>
        <w:autoSpaceDE w:val="0"/>
        <w:autoSpaceDN w:val="0"/>
        <w:adjustRightInd w:val="0"/>
        <w:jc w:val="both"/>
        <w:rPr>
          <w:b/>
          <w:bCs/>
          <w:u w:val="single"/>
        </w:rPr>
      </w:pPr>
      <w:r>
        <w:t xml:space="preserve">The III-V compounds such as gallium arsenide, indium phosphide and gallium </w:t>
      </w:r>
      <w:proofErr w:type="spellStart"/>
      <w:r>
        <w:t>antimonide</w:t>
      </w:r>
      <w:proofErr w:type="spellEnd"/>
      <w:r>
        <w:t xml:space="preserve"> have direct energy bandgaps, high optical absorption coefficients and good values of minority carrier lifetimes and mobilities (in highly pure, single crystal material) making them excellent materials for making high efficiency solar cells</w:t>
      </w:r>
      <w:r>
        <w:rPr>
          <w:vertAlign w:val="superscript"/>
        </w:rPr>
        <w:t>32</w:t>
      </w:r>
      <w:r>
        <w:t xml:space="preserve">. The III-V materials most widely used for making single junction solar cells are </w:t>
      </w:r>
      <w:proofErr w:type="spellStart"/>
      <w:r>
        <w:t>GaAs</w:t>
      </w:r>
      <w:proofErr w:type="spellEnd"/>
      <w:r>
        <w:t xml:space="preserve"> and </w:t>
      </w:r>
      <w:proofErr w:type="spellStart"/>
      <w:r>
        <w:t>InP</w:t>
      </w:r>
      <w:proofErr w:type="spellEnd"/>
      <w:r>
        <w:t xml:space="preserve"> as both have near optimum energy bandgaps of 1.4 eV.</w:t>
      </w:r>
      <w:r>
        <w:rPr>
          <w:b/>
          <w:bCs/>
        </w:rPr>
        <w:t xml:space="preserve"> </w:t>
      </w:r>
      <w:r>
        <w:t xml:space="preserve">Originally devices were formed by the diffusion of n-type dopants into wafers from single crystals produced using either the liquid encapsulated </w:t>
      </w:r>
      <w:proofErr w:type="spellStart"/>
      <w:r>
        <w:t>Czochralski</w:t>
      </w:r>
      <w:proofErr w:type="spellEnd"/>
      <w:r>
        <w:t xml:space="preserve"> (LEC) method or using a Bridgmann method</w:t>
      </w:r>
      <w:r>
        <w:rPr>
          <w:vertAlign w:val="superscript"/>
        </w:rPr>
        <w:t>33</w:t>
      </w:r>
      <w:r>
        <w:t xml:space="preserve">. However, the confirmed highest conversion efficiencies under standard conditions are 25.8% for </w:t>
      </w:r>
      <w:proofErr w:type="spellStart"/>
      <w:r>
        <w:t>GaAs</w:t>
      </w:r>
      <w:proofErr w:type="spellEnd"/>
      <w:r>
        <w:t xml:space="preserve"> and 21.9% for </w:t>
      </w:r>
      <w:proofErr w:type="spellStart"/>
      <w:r>
        <w:t>InP</w:t>
      </w:r>
      <w:proofErr w:type="spellEnd"/>
      <w:r>
        <w:t xml:space="preserve"> single junction cells were </w:t>
      </w:r>
      <w:proofErr w:type="spellStart"/>
      <w:r>
        <w:t>epitaxially</w:t>
      </w:r>
      <w:proofErr w:type="spellEnd"/>
      <w:r>
        <w:t xml:space="preserve"> grown homojunction structures produced in the U.S. by the </w:t>
      </w:r>
      <w:proofErr w:type="spellStart"/>
      <w:r>
        <w:t>Kopin</w:t>
      </w:r>
      <w:proofErr w:type="spellEnd"/>
      <w:r>
        <w:t xml:space="preserve"> (Bedford, MA)</w:t>
      </w:r>
      <w:r>
        <w:rPr>
          <w:vertAlign w:val="superscript"/>
        </w:rPr>
        <w:t>10</w:t>
      </w:r>
      <w:r>
        <w:t xml:space="preserve"> and Spire (</w:t>
      </w:r>
      <w:proofErr w:type="spellStart"/>
      <w:r>
        <w:t>Westboro</w:t>
      </w:r>
      <w:proofErr w:type="spellEnd"/>
      <w:r>
        <w:t>, MA)</w:t>
      </w:r>
      <w:r>
        <w:rPr>
          <w:vertAlign w:val="superscript"/>
        </w:rPr>
        <w:t>11</w:t>
      </w:r>
      <w:r>
        <w:t xml:space="preserve"> corporations, respectively.</w:t>
      </w:r>
    </w:p>
    <w:p w:rsidR="009C04F8" w:rsidRDefault="009C04F8" w:rsidP="00D4441A">
      <w:pPr>
        <w:autoSpaceDE w:val="0"/>
        <w:autoSpaceDN w:val="0"/>
        <w:adjustRightInd w:val="0"/>
        <w:jc w:val="both"/>
      </w:pPr>
      <w:r>
        <w:t>The disadvantage of using III-V compounds in photovoltaic devices is the very high cost of producing device quality substrates or epitaxial layers of these compounds. Crystal imperfections, including unwanted impurities, severely reduce device efficiencies and alternative lower cost deposition methods cannot be used. These materials are also easily cleaved and are significantly weaker, mechanically, than silicon. The high density of the materials is also a disadvantage, in terms of weight, unless very thin cells can be produced to take advantage of their high absorption coefficients. These drawbacks led to them being considered as not promising materials for single junction, terrestrial, solar cells. It was primarily due to their potential for space applications that development of III-V based devices was undertaken. The potential for high conversion efficiencies together with radiation resistance in the demanding environment of space power generation mitigated against the high materials cost</w:t>
      </w:r>
      <w:r>
        <w:rPr>
          <w:vertAlign w:val="superscript"/>
        </w:rPr>
        <w:t>34</w:t>
      </w:r>
      <w:r>
        <w:t>. It was also realised that the high cost of cell manufacture could be off-set for terrestrial applications by using the high efficiency cells in concentrator systems</w:t>
      </w:r>
      <w:r>
        <w:rPr>
          <w:vertAlign w:val="superscript"/>
        </w:rPr>
        <w:t>35</w:t>
      </w:r>
      <w:r>
        <w:t>. These devices are of course subject to the requirements for direct sunlight and tracking as mentioned in section 1.1.</w:t>
      </w:r>
    </w:p>
    <w:p w:rsidR="009C04F8" w:rsidRDefault="009C04F8" w:rsidP="00D4441A">
      <w:pPr>
        <w:autoSpaceDE w:val="0"/>
        <w:autoSpaceDN w:val="0"/>
        <w:adjustRightInd w:val="0"/>
        <w:jc w:val="both"/>
      </w:pPr>
      <w:r>
        <w:t xml:space="preserve">A recent development is that of quantum well (QW) cells made using </w:t>
      </w:r>
      <w:proofErr w:type="spellStart"/>
      <w:r>
        <w:t>GaAs</w:t>
      </w:r>
      <w:proofErr w:type="spellEnd"/>
      <w:r>
        <w:t xml:space="preserve"> and III-V alloys. A 50 well, strain balanced, QW solar cell has been shown to have a higher efficiency than a </w:t>
      </w:r>
      <w:proofErr w:type="spellStart"/>
      <w:r>
        <w:t>pn-GaAs</w:t>
      </w:r>
      <w:proofErr w:type="spellEnd"/>
      <w:r>
        <w:t xml:space="preserve"> control cell. This device was grown by metal-organic chemical vapour deposition (MOCVD)</w:t>
      </w:r>
      <w:r>
        <w:rPr>
          <w:vertAlign w:val="superscript"/>
        </w:rPr>
        <w:t>36</w:t>
      </w:r>
      <w:r>
        <w:t>.</w:t>
      </w:r>
    </w:p>
    <w:p w:rsidR="009C04F8" w:rsidRDefault="009C04F8" w:rsidP="00D4441A">
      <w:pPr>
        <w:autoSpaceDE w:val="0"/>
        <w:autoSpaceDN w:val="0"/>
        <w:adjustRightInd w:val="0"/>
        <w:jc w:val="both"/>
        <w:rPr>
          <w:b/>
          <w:bCs/>
          <w:u w:val="single"/>
        </w:rPr>
      </w:pPr>
    </w:p>
    <w:p w:rsidR="009C04F8" w:rsidRDefault="009C04F8" w:rsidP="00D4441A">
      <w:pPr>
        <w:autoSpaceDE w:val="0"/>
        <w:autoSpaceDN w:val="0"/>
        <w:adjustRightInd w:val="0"/>
        <w:jc w:val="both"/>
        <w:rPr>
          <w:b/>
          <w:bCs/>
          <w:color w:val="3366FF"/>
          <w:u w:val="single"/>
        </w:rPr>
      </w:pPr>
      <w:r>
        <w:rPr>
          <w:b/>
          <w:bCs/>
          <w:color w:val="3366FF"/>
          <w:u w:val="single"/>
        </w:rPr>
        <w:t>2.2 III-V Multijunction Devices</w:t>
      </w:r>
    </w:p>
    <w:p w:rsidR="009C04F8" w:rsidRDefault="009C04F8" w:rsidP="00D4441A">
      <w:pPr>
        <w:autoSpaceDE w:val="0"/>
        <w:autoSpaceDN w:val="0"/>
        <w:adjustRightInd w:val="0"/>
        <w:jc w:val="both"/>
      </w:pPr>
    </w:p>
    <w:p w:rsidR="009C04F8" w:rsidRDefault="009C04F8" w:rsidP="00D4441A">
      <w:pPr>
        <w:autoSpaceDE w:val="0"/>
        <w:autoSpaceDN w:val="0"/>
        <w:adjustRightInd w:val="0"/>
        <w:jc w:val="both"/>
      </w:pPr>
      <w:r>
        <w:t xml:space="preserve">In a single junction </w:t>
      </w:r>
      <w:r w:rsidR="003C477F">
        <w:t xml:space="preserve">silicon </w:t>
      </w:r>
      <w:r>
        <w:t>solar cell 56% of the available energy is lost because photons with energies less than the energy bandgap are not absorbed and photons with energies greater than the energy bandgap “</w:t>
      </w:r>
      <w:proofErr w:type="spellStart"/>
      <w:r>
        <w:t>thermalise</w:t>
      </w:r>
      <w:proofErr w:type="spellEnd"/>
      <w:r>
        <w:t>” such that the excess energy over the bandgap is lost as heat</w:t>
      </w:r>
      <w:r>
        <w:rPr>
          <w:vertAlign w:val="superscript"/>
        </w:rPr>
        <w:t>37</w:t>
      </w:r>
      <w:r>
        <w:t>. A range of studies have shown that using multi-junction solar cells (sometimes referred to as tandem solar cells) such losses can be minimised leading to much higher efficiency devices</w:t>
      </w:r>
      <w:r>
        <w:rPr>
          <w:vertAlign w:val="superscript"/>
        </w:rPr>
        <w:t>38-40</w:t>
      </w:r>
      <w:r>
        <w:t xml:space="preserve">. A landmark achievement to demonstrate this concept was the development in 1990 of a </w:t>
      </w:r>
      <w:proofErr w:type="spellStart"/>
      <w:r>
        <w:t>GaAs</w:t>
      </w:r>
      <w:proofErr w:type="spellEnd"/>
      <w:r>
        <w:t>/</w:t>
      </w:r>
      <w:proofErr w:type="spellStart"/>
      <w:r>
        <w:t>GaSb</w:t>
      </w:r>
      <w:proofErr w:type="spellEnd"/>
      <w:r>
        <w:t xml:space="preserve"> stacked cell with an efficiency greater than 30%</w:t>
      </w:r>
      <w:r>
        <w:rPr>
          <w:vertAlign w:val="superscript"/>
        </w:rPr>
        <w:t>41</w:t>
      </w:r>
      <w:r>
        <w:t xml:space="preserve">. Much work since then has been on the development of stacked cells grown by MOCVD onto </w:t>
      </w:r>
      <w:proofErr w:type="spellStart"/>
      <w:r>
        <w:t>GaAs</w:t>
      </w:r>
      <w:proofErr w:type="spellEnd"/>
      <w:r>
        <w:t xml:space="preserve">, </w:t>
      </w:r>
      <w:proofErr w:type="spellStart"/>
      <w:r>
        <w:t>InP</w:t>
      </w:r>
      <w:proofErr w:type="spellEnd"/>
      <w:r>
        <w:t xml:space="preserve"> and more recently Ge substrates</w:t>
      </w:r>
      <w:r>
        <w:rPr>
          <w:vertAlign w:val="superscript"/>
        </w:rPr>
        <w:t>40</w:t>
      </w:r>
      <w:r>
        <w:t xml:space="preserve">. The most efficient stacked cell devices are now produced by </w:t>
      </w:r>
      <w:proofErr w:type="spellStart"/>
      <w:r>
        <w:t>Spectrolab</w:t>
      </w:r>
      <w:proofErr w:type="spellEnd"/>
      <w:r>
        <w:t xml:space="preserve"> (</w:t>
      </w:r>
      <w:smartTag w:uri="urn:schemas-microsoft-com:office:smarttags" w:element="place">
        <w:smartTag w:uri="urn:schemas-microsoft-com:office:smarttags" w:element="City">
          <w:r>
            <w:t>Sylmar</w:t>
          </w:r>
        </w:smartTag>
        <w:r>
          <w:t xml:space="preserve">, </w:t>
        </w:r>
        <w:smartTag w:uri="urn:schemas-microsoft-com:office:smarttags" w:element="State">
          <w:r>
            <w:t>CA</w:t>
          </w:r>
        </w:smartTag>
      </w:smartTag>
      <w:r>
        <w:t>) in the U.S.</w:t>
      </w:r>
      <w:r>
        <w:rPr>
          <w:vertAlign w:val="superscript"/>
        </w:rPr>
        <w:t>12,42</w:t>
      </w:r>
      <w:r>
        <w:t>. A cross-sectional view of a device with an efficiency &gt; 39% is given in Fig. 7.</w:t>
      </w:r>
    </w:p>
    <w:p w:rsidR="009C04F8" w:rsidRDefault="009C04F8" w:rsidP="00D4441A">
      <w:pPr>
        <w:autoSpaceDE w:val="0"/>
        <w:autoSpaceDN w:val="0"/>
        <w:adjustRightInd w:val="0"/>
        <w:jc w:val="both"/>
      </w:pPr>
    </w:p>
    <w:p w:rsidR="009C04F8" w:rsidRDefault="009C04F8" w:rsidP="00D4441A">
      <w:pPr>
        <w:autoSpaceDE w:val="0"/>
        <w:autoSpaceDN w:val="0"/>
        <w:adjustRightInd w:val="0"/>
        <w:jc w:val="both"/>
        <w:rPr>
          <w:b/>
          <w:bCs/>
          <w:color w:val="3366FF"/>
          <w:u w:val="single"/>
        </w:rPr>
      </w:pPr>
      <w:r>
        <w:rPr>
          <w:b/>
          <w:bCs/>
          <w:color w:val="3366FF"/>
          <w:u w:val="single"/>
        </w:rPr>
        <w:t>3.1 Solar Cells Based on the use of CdTe</w:t>
      </w:r>
    </w:p>
    <w:p w:rsidR="009C04F8" w:rsidRDefault="009C04F8" w:rsidP="00D4441A">
      <w:pPr>
        <w:autoSpaceDE w:val="0"/>
        <w:autoSpaceDN w:val="0"/>
        <w:adjustRightInd w:val="0"/>
        <w:jc w:val="both"/>
        <w:rPr>
          <w:b/>
          <w:bCs/>
          <w:color w:val="3366FF"/>
          <w:u w:val="single"/>
        </w:rPr>
      </w:pPr>
    </w:p>
    <w:p w:rsidR="009C04F8" w:rsidRDefault="009C04F8" w:rsidP="00D4441A">
      <w:pPr>
        <w:autoSpaceDE w:val="0"/>
        <w:autoSpaceDN w:val="0"/>
        <w:adjustRightInd w:val="0"/>
        <w:jc w:val="both"/>
      </w:pPr>
      <w:r>
        <w:rPr>
          <w:color w:val="000000"/>
        </w:rPr>
        <w:t xml:space="preserve">With a direct optical energy bandgap of 1.5 eV and high optical absorption coefficient for photons with energies greater than 1.5 eV, only a few </w:t>
      </w:r>
      <w:proofErr w:type="spellStart"/>
      <w:r>
        <w:rPr>
          <w:color w:val="000000"/>
        </w:rPr>
        <w:t>μm</w:t>
      </w:r>
      <w:proofErr w:type="spellEnd"/>
      <w:r>
        <w:rPr>
          <w:color w:val="000000"/>
        </w:rPr>
        <w:t xml:space="preserve"> of CdTe are needed to absorb most of the incident light. Because only thin layers are needed, material costs are minimised and because a short minority diffusion length (a few </w:t>
      </w:r>
      <w:proofErr w:type="spellStart"/>
      <w:r>
        <w:rPr>
          <w:color w:val="000000"/>
        </w:rPr>
        <w:t>μm</w:t>
      </w:r>
      <w:proofErr w:type="spellEnd"/>
      <w:r>
        <w:rPr>
          <w:color w:val="000000"/>
        </w:rPr>
        <w:t xml:space="preserve">) is adequate, expensive materials processing can be avoided. </w:t>
      </w:r>
      <w:r>
        <w:t>A cross-sectional view of a typical CdS/CdTe solar cell is shown in Fig. 8 (a). A front contact is provided by depositing a transparent conductive oxide (TCO) onto the glass substrate. The TCO layer has a high optical transparency in the visible and near infrared regions and high n-type conductivity. This is followed by the deposition of a CdS window layer, the CdTe absorber layer and finally the back contact. For commercial devices the CdS layer is usually deposited using either closed-space sublimation (CSS)</w:t>
      </w:r>
      <w:r>
        <w:rPr>
          <w:vertAlign w:val="superscript"/>
        </w:rPr>
        <w:t>43</w:t>
      </w:r>
      <w:r>
        <w:t xml:space="preserve"> or chemical bath deposition</w:t>
      </w:r>
      <w:r>
        <w:rPr>
          <w:vertAlign w:val="superscript"/>
        </w:rPr>
        <w:t>13</w:t>
      </w:r>
      <w:r>
        <w:t>, although other methods have been used to investigate the fundamental properties of devices in the research laboratory</w:t>
      </w:r>
      <w:r>
        <w:rPr>
          <w:vertAlign w:val="superscript"/>
        </w:rPr>
        <w:t>44,45</w:t>
      </w:r>
      <w:r>
        <w:t xml:space="preserve">. The CdTe p-type absorber layer, 3-10 </w:t>
      </w:r>
      <w:r>
        <w:rPr>
          <w:rFonts w:ascii="Symbol" w:hAnsi="Symbol" w:cs="Symbol"/>
        </w:rPr>
        <w:t></w:t>
      </w:r>
      <w:r>
        <w:t>m thick can be deposited using a variety of techniques including physical vapour deposition (PVD)</w:t>
      </w:r>
      <w:r>
        <w:rPr>
          <w:vertAlign w:val="superscript"/>
        </w:rPr>
        <w:t>46</w:t>
      </w:r>
      <w:r>
        <w:t>, CSS</w:t>
      </w:r>
      <w:r>
        <w:rPr>
          <w:vertAlign w:val="superscript"/>
        </w:rPr>
        <w:t>13</w:t>
      </w:r>
      <w:r>
        <w:t>, electrodeposition</w:t>
      </w:r>
      <w:r>
        <w:rPr>
          <w:vertAlign w:val="superscript"/>
        </w:rPr>
        <w:t>47</w:t>
      </w:r>
      <w:r>
        <w:t xml:space="preserve"> and spray pyrolysis</w:t>
      </w:r>
      <w:r>
        <w:rPr>
          <w:vertAlign w:val="superscript"/>
        </w:rPr>
        <w:t>48</w:t>
      </w:r>
      <w:r>
        <w:t>. To produce the most efficient devices an activation process is required in the presence of CdCl</w:t>
      </w:r>
      <w:r>
        <w:rPr>
          <w:vertAlign w:val="subscript"/>
        </w:rPr>
        <w:t>2</w:t>
      </w:r>
      <w:r>
        <w:t xml:space="preserve"> regardless of the deposition technique. This treatment is known to recrystallise the CdTe layer</w:t>
      </w:r>
      <w:r>
        <w:rPr>
          <w:vertAlign w:val="superscript"/>
        </w:rPr>
        <w:t>49</w:t>
      </w:r>
      <w:r>
        <w:t>, passivate grain boundaries</w:t>
      </w:r>
      <w:r>
        <w:rPr>
          <w:vertAlign w:val="superscript"/>
        </w:rPr>
        <w:t>50</w:t>
      </w:r>
      <w:r>
        <w:t xml:space="preserve"> and promote interdiffusion of the CdS and CdTe at the interface</w:t>
      </w:r>
      <w:r>
        <w:rPr>
          <w:vertAlign w:val="superscript"/>
        </w:rPr>
        <w:t>51</w:t>
      </w:r>
      <w:r>
        <w:t>. Forming an ohmic contact to CdTe is difficult because the work function of CdTe is higher than all the metals. This can be overcome by creating a thin p</w:t>
      </w:r>
      <w:r>
        <w:rPr>
          <w:vertAlign w:val="superscript"/>
        </w:rPr>
        <w:t>+</w:t>
      </w:r>
      <w:r>
        <w:t xml:space="preserve"> layer by etching the surface in bromine methanol or HNO</w:t>
      </w:r>
      <w:r>
        <w:rPr>
          <w:vertAlign w:val="subscript"/>
        </w:rPr>
        <w:t>3</w:t>
      </w:r>
      <w:r>
        <w:t>/H</w:t>
      </w:r>
      <w:r>
        <w:rPr>
          <w:vertAlign w:val="subscript"/>
        </w:rPr>
        <w:t>3</w:t>
      </w:r>
      <w:r>
        <w:t>PO</w:t>
      </w:r>
      <w:r>
        <w:rPr>
          <w:vertAlign w:val="subscript"/>
        </w:rPr>
        <w:t>4</w:t>
      </w:r>
      <w:r>
        <w:t xml:space="preserve"> acids solution and depositing Cu-Au alloy or ZnTe:Cu</w:t>
      </w:r>
      <w:r>
        <w:rPr>
          <w:vertAlign w:val="superscript"/>
        </w:rPr>
        <w:t>52</w:t>
      </w:r>
      <w:r>
        <w:t>. This creates a thin, highly doped region that carriers can tunnel through. However Cu is a strong diffuser in CdTe and causes the performances to degrade with time. Another approach is to use a very low bandgap material e.g. Sb</w:t>
      </w:r>
      <w:r>
        <w:rPr>
          <w:vertAlign w:val="subscript"/>
        </w:rPr>
        <w:t>2</w:t>
      </w:r>
      <w:r>
        <w:t>Te</w:t>
      </w:r>
      <w:r>
        <w:rPr>
          <w:vertAlign w:val="subscript"/>
        </w:rPr>
        <w:t>3</w:t>
      </w:r>
      <w:r>
        <w:t xml:space="preserve"> followed by Mo or W</w:t>
      </w:r>
      <w:r>
        <w:rPr>
          <w:vertAlign w:val="superscript"/>
        </w:rPr>
        <w:t>53</w:t>
      </w:r>
      <w:r>
        <w:t>. This technique does not require a surface etch and the device’s performance does not degrade with time.</w:t>
      </w:r>
    </w:p>
    <w:p w:rsidR="00D15523" w:rsidRDefault="009C04F8" w:rsidP="00D4441A">
      <w:pPr>
        <w:autoSpaceDE w:val="0"/>
        <w:autoSpaceDN w:val="0"/>
        <w:adjustRightInd w:val="0"/>
        <w:jc w:val="both"/>
      </w:pPr>
      <w:r>
        <w:t>The most efficient CdTe/CdS solar cells (efficiencies up to 16.5%</w:t>
      </w:r>
      <w:r>
        <w:rPr>
          <w:vertAlign w:val="superscript"/>
        </w:rPr>
        <w:t>13</w:t>
      </w:r>
      <w:r>
        <w:t xml:space="preserve">) have been produced using a slightly different design to that shown in Fig. 8 (a). The improved efficiency is due to the use of </w:t>
      </w:r>
      <w:r w:rsidR="00FE6B19">
        <w:t xml:space="preserve">a </w:t>
      </w:r>
      <w:r>
        <w:t>Cd</w:t>
      </w:r>
      <w:r>
        <w:rPr>
          <w:vertAlign w:val="subscript"/>
        </w:rPr>
        <w:t>2</w:t>
      </w:r>
      <w:r>
        <w:t>SnO</w:t>
      </w:r>
      <w:r>
        <w:rPr>
          <w:vertAlign w:val="subscript"/>
        </w:rPr>
        <w:t>4</w:t>
      </w:r>
      <w:r w:rsidR="002E643E">
        <w:rPr>
          <w:vertAlign w:val="subscript"/>
        </w:rPr>
        <w:t xml:space="preserve"> </w:t>
      </w:r>
      <w:r>
        <w:t xml:space="preserve"> TCO layer</w:t>
      </w:r>
      <w:r w:rsidR="00FE6B19">
        <w:t xml:space="preserve"> which is more</w:t>
      </w:r>
      <w:r>
        <w:t xml:space="preserve"> </w:t>
      </w:r>
      <w:r w:rsidR="00FE6B19">
        <w:t>transmissive and conductive than the classical SnO</w:t>
      </w:r>
      <w:r w:rsidR="00FE6B19" w:rsidRPr="00FE6B19">
        <w:rPr>
          <w:vertAlign w:val="subscript"/>
        </w:rPr>
        <w:t>2</w:t>
      </w:r>
      <w:r w:rsidR="00FE6B19">
        <w:t>-based TCOs</w:t>
      </w:r>
      <w:r w:rsidR="002E643E">
        <w:t xml:space="preserve"> and the inclusion of a Zn</w:t>
      </w:r>
      <w:r w:rsidR="002E643E" w:rsidRPr="002E643E">
        <w:rPr>
          <w:vertAlign w:val="subscript"/>
        </w:rPr>
        <w:t>2</w:t>
      </w:r>
      <w:r w:rsidR="002E643E">
        <w:t>SnO</w:t>
      </w:r>
      <w:r w:rsidR="002E643E" w:rsidRPr="002E643E">
        <w:rPr>
          <w:vertAlign w:val="subscript"/>
        </w:rPr>
        <w:t>4</w:t>
      </w:r>
      <w:r w:rsidR="002E643E">
        <w:t xml:space="preserve"> buffer layer which improves the quality of the device interface. </w:t>
      </w:r>
      <w:r>
        <w:t xml:space="preserve">Two companies currently manufacture CdTe-based modules, First Solar and </w:t>
      </w:r>
      <w:proofErr w:type="spellStart"/>
      <w:r>
        <w:t>Antec</w:t>
      </w:r>
      <w:proofErr w:type="spellEnd"/>
      <w:r>
        <w:t xml:space="preserve"> Solar. Both use </w:t>
      </w:r>
      <w:r w:rsidR="00FE6B19">
        <w:t>thermal sublimation</w:t>
      </w:r>
      <w:r>
        <w:t xml:space="preserve"> processes and have managed to produce modules with baseline efficiencies of 8-9%</w:t>
      </w:r>
      <w:r>
        <w:rPr>
          <w:vertAlign w:val="superscript"/>
        </w:rPr>
        <w:t>54,55</w:t>
      </w:r>
      <w:r>
        <w:t xml:space="preserve">. First Solar current production costs are $1.25/Wp for a 99 </w:t>
      </w:r>
      <w:proofErr w:type="spellStart"/>
      <w:r>
        <w:t>MWp</w:t>
      </w:r>
      <w:proofErr w:type="spellEnd"/>
      <w:r>
        <w:t xml:space="preserve">/yr manufacturing line and projected output is 275 </w:t>
      </w:r>
      <w:proofErr w:type="spellStart"/>
      <w:r>
        <w:t>MWp</w:t>
      </w:r>
      <w:proofErr w:type="spellEnd"/>
      <w:r>
        <w:t>/yr for 2008 with estimated cost below the $1/Wp barrier</w:t>
      </w:r>
      <w:r>
        <w:rPr>
          <w:vertAlign w:val="superscript"/>
        </w:rPr>
        <w:t>56</w:t>
      </w:r>
      <w:r>
        <w:t xml:space="preserve">. </w:t>
      </w:r>
      <w:r w:rsidR="00D15523">
        <w:t xml:space="preserve">In August 2007 CdTe modules manufactured by First Solar have been installed on the roof of a logistic centre in </w:t>
      </w:r>
      <w:proofErr w:type="spellStart"/>
      <w:smartTag w:uri="urn:schemas-microsoft-com:office:smarttags" w:element="place">
        <w:smartTag w:uri="urn:schemas-microsoft-com:office:smarttags" w:element="City">
          <w:r w:rsidR="00D15523">
            <w:t>Ramstein</w:t>
          </w:r>
        </w:smartTag>
        <w:proofErr w:type="spellEnd"/>
        <w:r w:rsidR="00D15523">
          <w:t xml:space="preserve">, </w:t>
        </w:r>
        <w:smartTag w:uri="urn:schemas-microsoft-com:office:smarttags" w:element="country-region">
          <w:r w:rsidR="00D15523">
            <w:t>Germany</w:t>
          </w:r>
        </w:smartTag>
      </w:smartTag>
      <w:r w:rsidR="00D15523">
        <w:t xml:space="preserve">. The installation is capable of generating 2.5 </w:t>
      </w:r>
      <w:proofErr w:type="spellStart"/>
      <w:r w:rsidR="00D15523">
        <w:t>MWp</w:t>
      </w:r>
      <w:proofErr w:type="spellEnd"/>
      <w:r w:rsidR="00D15523">
        <w:t xml:space="preserve"> of power i.e. it is currently the largest thin film BIPV generation project using thin film solar cells.</w:t>
      </w:r>
    </w:p>
    <w:p w:rsidR="00D15523" w:rsidRPr="00D15523" w:rsidRDefault="00D15523" w:rsidP="00D4441A">
      <w:pPr>
        <w:autoSpaceDE w:val="0"/>
        <w:autoSpaceDN w:val="0"/>
        <w:adjustRightInd w:val="0"/>
        <w:jc w:val="both"/>
      </w:pPr>
    </w:p>
    <w:p w:rsidR="009C04F8" w:rsidRDefault="009C04F8" w:rsidP="00D4441A">
      <w:pPr>
        <w:autoSpaceDE w:val="0"/>
        <w:autoSpaceDN w:val="0"/>
        <w:adjustRightInd w:val="0"/>
        <w:jc w:val="both"/>
        <w:rPr>
          <w:b/>
          <w:bCs/>
          <w:color w:val="3366FF"/>
          <w:u w:val="single"/>
        </w:rPr>
      </w:pPr>
      <w:r>
        <w:rPr>
          <w:b/>
          <w:bCs/>
          <w:color w:val="3366FF"/>
          <w:u w:val="single"/>
        </w:rPr>
        <w:t>3.2 Solar Cells Based on the use of the Chalcopyrite Compounds</w:t>
      </w:r>
    </w:p>
    <w:p w:rsidR="009C04F8" w:rsidRDefault="009C04F8" w:rsidP="00D4441A">
      <w:pPr>
        <w:autoSpaceDE w:val="0"/>
        <w:autoSpaceDN w:val="0"/>
        <w:adjustRightInd w:val="0"/>
        <w:jc w:val="both"/>
        <w:rPr>
          <w:b/>
          <w:bCs/>
          <w:color w:val="3366FF"/>
          <w:u w:val="single"/>
        </w:rPr>
      </w:pPr>
    </w:p>
    <w:p w:rsidR="009C04F8" w:rsidRDefault="009C04F8" w:rsidP="00D4441A">
      <w:pPr>
        <w:autoSpaceDE w:val="0"/>
        <w:autoSpaceDN w:val="0"/>
        <w:adjustRightInd w:val="0"/>
        <w:jc w:val="both"/>
        <w:rPr>
          <w:color w:val="000000"/>
        </w:rPr>
      </w:pPr>
      <w:r>
        <w:rPr>
          <w:color w:val="000000"/>
        </w:rPr>
        <w:t>The first chalcopyrite solar cells developed were based on the use of CuInSe</w:t>
      </w:r>
      <w:r>
        <w:rPr>
          <w:color w:val="000000"/>
          <w:vertAlign w:val="subscript"/>
        </w:rPr>
        <w:t>2</w:t>
      </w:r>
      <w:r>
        <w:rPr>
          <w:color w:val="000000"/>
        </w:rPr>
        <w:t xml:space="preserve"> (CIS). It was however rapidly realised that by incorporating gallium to produce the solid solution Cu(</w:t>
      </w:r>
      <w:proofErr w:type="spellStart"/>
      <w:r>
        <w:rPr>
          <w:color w:val="000000"/>
        </w:rPr>
        <w:t>In,Ga</w:t>
      </w:r>
      <w:proofErr w:type="spellEnd"/>
      <w:r>
        <w:rPr>
          <w:color w:val="000000"/>
        </w:rPr>
        <w:t>)Se</w:t>
      </w:r>
      <w:r>
        <w:rPr>
          <w:color w:val="000000"/>
          <w:vertAlign w:val="subscript"/>
        </w:rPr>
        <w:t>2</w:t>
      </w:r>
      <w:r>
        <w:rPr>
          <w:color w:val="000000"/>
        </w:rPr>
        <w:t xml:space="preserve"> (CIGS) resulted in a the widening of the energy bandgap to 1.3 eV and an improvement in material quality, resulting in solar cells with enhanced efficiencies. </w:t>
      </w:r>
      <w:r>
        <w:t xml:space="preserve">CIGS has a direct energy bandgap and a high optical absorption coefficient for photons with energies greater than the bandgap, such that only a few </w:t>
      </w:r>
      <w:proofErr w:type="spellStart"/>
      <w:r>
        <w:t>μm</w:t>
      </w:r>
      <w:proofErr w:type="spellEnd"/>
      <w:r>
        <w:t xml:space="preserve"> of material are needed to absorb most of the incident light, with consequent reductions in material and production costs. The best CIGS solar cells are grown on soda-lime glass in the sequence: b</w:t>
      </w:r>
      <w:r w:rsidR="005A077A">
        <w:t>ack contact, absorber layer,</w:t>
      </w:r>
      <w:r>
        <w:t xml:space="preserve"> </w:t>
      </w:r>
      <w:r w:rsidR="005A077A">
        <w:t xml:space="preserve">window layer, </w:t>
      </w:r>
      <w:r>
        <w:t>buffer layer, TCO and then the top contact grid. A typical structure is shown in Fig. 8 (b). CIGS solar cells have been produced with efficiencies of 19.5%</w:t>
      </w:r>
      <w:r>
        <w:rPr>
          <w:vertAlign w:val="superscript"/>
        </w:rPr>
        <w:t>15</w:t>
      </w:r>
      <w:r>
        <w:t xml:space="preserve"> and modules with efficiencies of 13.4%</w:t>
      </w:r>
      <w:r>
        <w:rPr>
          <w:vertAlign w:val="superscript"/>
        </w:rPr>
        <w:t>16</w:t>
      </w:r>
      <w:r>
        <w:t>. The back contact is a thin film of Mo deposited by magnetron sputtering, typically 500-1000 nm thick. The CIGS absorber layer is formed mainly by (</w:t>
      </w:r>
      <w:proofErr w:type="spellStart"/>
      <w:r>
        <w:t>i</w:t>
      </w:r>
      <w:proofErr w:type="spellEnd"/>
      <w:r>
        <w:t xml:space="preserve">) the co-evaporation of the elements </w:t>
      </w:r>
      <w:r w:rsidR="00477739">
        <w:t xml:space="preserve">either uniformly deposited </w:t>
      </w:r>
      <w:r>
        <w:t xml:space="preserve">or </w:t>
      </w:r>
      <w:r w:rsidR="00477739">
        <w:t>using the so-called 3-stage process</w:t>
      </w:r>
      <w:r w:rsidR="00D60180" w:rsidRPr="00D60180">
        <w:rPr>
          <w:vertAlign w:val="superscript"/>
        </w:rPr>
        <w:t>57</w:t>
      </w:r>
      <w:r w:rsidR="00477739">
        <w:t xml:space="preserve"> or </w:t>
      </w:r>
      <w:r>
        <w:t xml:space="preserve">(ii) the deposition of the metallic precursor layers followed by selenisation and/or </w:t>
      </w:r>
      <w:proofErr w:type="spellStart"/>
      <w:r>
        <w:t>sulfidisation</w:t>
      </w:r>
      <w:proofErr w:type="spellEnd"/>
      <w:r>
        <w:t>. The former process yields devices with the highest performance while the latter is preferred for large scale production. Both techniques require a processing temperature &gt; 500°C to enhance grain growth and recrystallisation. Another requirement is the presence of Na either directly from the glass substrate or introduced chemically by evaporation of a Na compound</w:t>
      </w:r>
      <w:r>
        <w:rPr>
          <w:vertAlign w:val="superscript"/>
        </w:rPr>
        <w:t>5</w:t>
      </w:r>
      <w:r w:rsidR="00D60180">
        <w:rPr>
          <w:vertAlign w:val="superscript"/>
        </w:rPr>
        <w:t>8</w:t>
      </w:r>
      <w:r>
        <w:t>. The primary effects of the Na introduction are grain growth</w:t>
      </w:r>
      <w:r>
        <w:rPr>
          <w:vertAlign w:val="superscript"/>
        </w:rPr>
        <w:t>5</w:t>
      </w:r>
      <w:r w:rsidR="00D60180">
        <w:rPr>
          <w:vertAlign w:val="superscript"/>
        </w:rPr>
        <w:t>9</w:t>
      </w:r>
      <w:r>
        <w:t>, passivation of grain boundaries</w:t>
      </w:r>
      <w:r w:rsidR="00D60180" w:rsidRPr="00D60180">
        <w:rPr>
          <w:vertAlign w:val="superscript"/>
        </w:rPr>
        <w:t>60</w:t>
      </w:r>
      <w:r>
        <w:t xml:space="preserve"> and decrease in the absorber layer resistivity</w:t>
      </w:r>
      <w:r>
        <w:rPr>
          <w:vertAlign w:val="superscript"/>
        </w:rPr>
        <w:t>6</w:t>
      </w:r>
      <w:r w:rsidR="00D60180">
        <w:rPr>
          <w:vertAlign w:val="superscript"/>
        </w:rPr>
        <w:t>1</w:t>
      </w:r>
      <w:r>
        <w:t>. This usually yields an increase of 1-2% in efficiency for Na concentration &lt; 1%</w:t>
      </w:r>
      <w:r>
        <w:rPr>
          <w:vertAlign w:val="superscript"/>
        </w:rPr>
        <w:t>6</w:t>
      </w:r>
      <w:r w:rsidR="00D60180">
        <w:rPr>
          <w:vertAlign w:val="superscript"/>
        </w:rPr>
        <w:t>2</w:t>
      </w:r>
      <w:r>
        <w:t xml:space="preserve">. The junction is usually formed by the chemical bath deposition of a thin (50-80 nm) window layer. CdS has been found to be the best material but alternative material such as </w:t>
      </w:r>
      <w:proofErr w:type="spellStart"/>
      <w:r>
        <w:t>ZnS</w:t>
      </w:r>
      <w:proofErr w:type="spellEnd"/>
      <w:r>
        <w:t xml:space="preserve">, </w:t>
      </w:r>
      <w:proofErr w:type="spellStart"/>
      <w:r>
        <w:t>ZnSe</w:t>
      </w:r>
      <w:proofErr w:type="spellEnd"/>
      <w:r>
        <w:t>, In</w:t>
      </w:r>
      <w:r>
        <w:rPr>
          <w:vertAlign w:val="subscript"/>
        </w:rPr>
        <w:t>2</w:t>
      </w:r>
      <w:r>
        <w:t>S</w:t>
      </w:r>
      <w:r>
        <w:rPr>
          <w:vertAlign w:val="subscript"/>
        </w:rPr>
        <w:t>3</w:t>
      </w:r>
      <w:r>
        <w:t>, (</w:t>
      </w:r>
      <w:proofErr w:type="spellStart"/>
      <w:r>
        <w:t>Zn,In</w:t>
      </w:r>
      <w:proofErr w:type="spellEnd"/>
      <w:r>
        <w:t>)Se, Zn(O,S)</w:t>
      </w:r>
      <w:r>
        <w:rPr>
          <w:vertAlign w:val="superscript"/>
        </w:rPr>
        <w:t>6</w:t>
      </w:r>
      <w:r w:rsidR="00D60180">
        <w:rPr>
          <w:vertAlign w:val="superscript"/>
        </w:rPr>
        <w:t>3</w:t>
      </w:r>
      <w:r>
        <w:t xml:space="preserve"> and MgZnO</w:t>
      </w:r>
      <w:r>
        <w:rPr>
          <w:vertAlign w:val="superscript"/>
        </w:rPr>
        <w:t>6</w:t>
      </w:r>
      <w:r w:rsidR="00D60180">
        <w:rPr>
          <w:vertAlign w:val="superscript"/>
        </w:rPr>
        <w:t>4</w:t>
      </w:r>
      <w:r>
        <w:t xml:space="preserve"> can also be used. The buffer layer can be deposited by chemical bath deposition, sputtering, chemical vapour deposition or evaporation but highest efficiencies have been achieved when using a wet process due to the presence of Cd</w:t>
      </w:r>
      <w:r>
        <w:rPr>
          <w:vertAlign w:val="superscript"/>
        </w:rPr>
        <w:t>2+</w:t>
      </w:r>
      <w:r>
        <w:t xml:space="preserve"> ions</w:t>
      </w:r>
      <w:r>
        <w:rPr>
          <w:vertAlign w:val="superscript"/>
        </w:rPr>
        <w:t>6</w:t>
      </w:r>
      <w:r w:rsidR="00D60180">
        <w:rPr>
          <w:vertAlign w:val="superscript"/>
        </w:rPr>
        <w:t>5</w:t>
      </w:r>
      <w:r>
        <w:t xml:space="preserve">. A 50 nm intrinsic </w:t>
      </w:r>
      <w:proofErr w:type="spellStart"/>
      <w:r>
        <w:t>ZnO</w:t>
      </w:r>
      <w:proofErr w:type="spellEnd"/>
      <w:r>
        <w:t xml:space="preserve"> buffer layer is then deposited and acts as preventing any shunts. The TCO layer is usually </w:t>
      </w:r>
      <w:proofErr w:type="spellStart"/>
      <w:r>
        <w:t>ZnO:Al</w:t>
      </w:r>
      <w:proofErr w:type="spellEnd"/>
      <w:r>
        <w:t xml:space="preserve"> 0.5-1.5 </w:t>
      </w:r>
      <w:r>
        <w:rPr>
          <w:rFonts w:ascii="Symbol" w:hAnsi="Symbol" w:cs="Symbol"/>
        </w:rPr>
        <w:t></w:t>
      </w:r>
      <w:r>
        <w:t xml:space="preserve">m. The cell is finally completed by depositing a metal grid contact Ni/Al for current collection. The main CIGS manufacturers are </w:t>
      </w:r>
      <w:proofErr w:type="spellStart"/>
      <w:r>
        <w:t>Würth</w:t>
      </w:r>
      <w:proofErr w:type="spellEnd"/>
      <w:r>
        <w:t xml:space="preserve"> Solar, </w:t>
      </w:r>
      <w:proofErr w:type="spellStart"/>
      <w:r>
        <w:t>Avancis</w:t>
      </w:r>
      <w:proofErr w:type="spellEnd"/>
      <w:r>
        <w:t xml:space="preserve"> (formerly Shell Solar) and Global Solar. Numerous other ventures are engaged worldwide in the development of CIGS-based photovoltaic products.</w:t>
      </w:r>
    </w:p>
    <w:p w:rsidR="006912DD" w:rsidRDefault="006912DD" w:rsidP="00D4441A">
      <w:pPr>
        <w:autoSpaceDE w:val="0"/>
        <w:autoSpaceDN w:val="0"/>
        <w:adjustRightInd w:val="0"/>
        <w:jc w:val="both"/>
      </w:pPr>
    </w:p>
    <w:p w:rsidR="006912DD" w:rsidRDefault="009C04F8" w:rsidP="006912DD">
      <w:pPr>
        <w:autoSpaceDE w:val="0"/>
        <w:autoSpaceDN w:val="0"/>
        <w:adjustRightInd w:val="0"/>
        <w:jc w:val="both"/>
        <w:rPr>
          <w:b/>
          <w:bCs/>
          <w:color w:val="3366FF"/>
          <w:u w:val="single"/>
        </w:rPr>
      </w:pPr>
      <w:r>
        <w:rPr>
          <w:b/>
          <w:bCs/>
          <w:color w:val="3366FF"/>
          <w:u w:val="single"/>
        </w:rPr>
        <w:t>Conclusions</w:t>
      </w:r>
    </w:p>
    <w:p w:rsidR="006912DD" w:rsidRDefault="006912DD" w:rsidP="006912DD">
      <w:pPr>
        <w:autoSpaceDE w:val="0"/>
        <w:autoSpaceDN w:val="0"/>
        <w:adjustRightInd w:val="0"/>
        <w:jc w:val="both"/>
        <w:rPr>
          <w:b/>
          <w:bCs/>
          <w:color w:val="3366FF"/>
          <w:u w:val="single"/>
        </w:rPr>
      </w:pPr>
    </w:p>
    <w:p w:rsidR="009C04F8" w:rsidRDefault="009C04F8" w:rsidP="00D4441A">
      <w:pPr>
        <w:autoSpaceDE w:val="0"/>
        <w:autoSpaceDN w:val="0"/>
        <w:adjustRightInd w:val="0"/>
        <w:jc w:val="both"/>
        <w:rPr>
          <w:color w:val="000000"/>
        </w:rPr>
      </w:pPr>
      <w:r>
        <w:rPr>
          <w:color w:val="000000"/>
        </w:rPr>
        <w:t xml:space="preserve">Most commercially produced solar cells are manufactured using either crystalline or multicrystalline silicon. Thin film solar cells based on the use of silicon, cadmium telluride and CIGS are now being mass manufactured and it is expected with economies of scale they will achieve the cost reduction needed to compete directly with the other forms of energy production in the UK. Multijunction solar cells, made so far primarily using the III-V compounds, have clearly proven that by minimising </w:t>
      </w:r>
      <w:proofErr w:type="spellStart"/>
      <w:r>
        <w:rPr>
          <w:color w:val="000000"/>
        </w:rPr>
        <w:t>thermalisation</w:t>
      </w:r>
      <w:proofErr w:type="spellEnd"/>
      <w:r>
        <w:rPr>
          <w:color w:val="000000"/>
        </w:rPr>
        <w:t xml:space="preserve"> and transmission losses very large improvements in efficiency can be made over those of single junction cells. These devices find application for generating power for space applications and for use in concentrator systems. The development in the future of </w:t>
      </w:r>
      <w:proofErr w:type="spellStart"/>
      <w:r>
        <w:rPr>
          <w:color w:val="000000"/>
        </w:rPr>
        <w:t>multijunction</w:t>
      </w:r>
      <w:proofErr w:type="spellEnd"/>
      <w:r>
        <w:rPr>
          <w:color w:val="000000"/>
        </w:rPr>
        <w:t xml:space="preserve"> devices using low cost thin film technologies is also especially promising for producing more efficient and yet inexpensive devices. Cost reductions will also be significant when the thin film technologies are directly produced on building materials other than glass as many materials e.g. tiles and bricks can be substantially cheaper than glass (and have much lower energy contents than glass).</w:t>
      </w:r>
    </w:p>
    <w:p w:rsidR="00D60180" w:rsidRDefault="00D60180" w:rsidP="00D4441A">
      <w:pPr>
        <w:autoSpaceDE w:val="0"/>
        <w:autoSpaceDN w:val="0"/>
        <w:adjustRightInd w:val="0"/>
        <w:jc w:val="both"/>
        <w:rPr>
          <w:color w:val="000000"/>
        </w:rPr>
      </w:pPr>
    </w:p>
    <w:p w:rsidR="009C04F8" w:rsidRDefault="009C04F8" w:rsidP="00D4441A">
      <w:pPr>
        <w:autoSpaceDE w:val="0"/>
        <w:autoSpaceDN w:val="0"/>
        <w:adjustRightInd w:val="0"/>
        <w:jc w:val="both"/>
        <w:rPr>
          <w:b/>
          <w:bCs/>
          <w:color w:val="3366FF"/>
          <w:u w:val="single"/>
        </w:rPr>
      </w:pPr>
      <w:r>
        <w:rPr>
          <w:b/>
          <w:bCs/>
          <w:color w:val="3366FF"/>
          <w:u w:val="single"/>
        </w:rPr>
        <w:t>References</w:t>
      </w:r>
    </w:p>
    <w:p w:rsidR="009C04F8" w:rsidRDefault="009C04F8" w:rsidP="00D4441A">
      <w:pPr>
        <w:autoSpaceDE w:val="0"/>
        <w:autoSpaceDN w:val="0"/>
        <w:adjustRightInd w:val="0"/>
        <w:jc w:val="both"/>
        <w:rPr>
          <w:rFonts w:ascii="Arial" w:hAnsi="Arial" w:cs="Arial"/>
          <w:sz w:val="20"/>
          <w:szCs w:val="20"/>
        </w:rPr>
      </w:pPr>
    </w:p>
    <w:p w:rsidR="006E6615" w:rsidRDefault="006E6615" w:rsidP="00D4441A">
      <w:pPr>
        <w:autoSpaceDE w:val="0"/>
        <w:autoSpaceDN w:val="0"/>
        <w:adjustRightInd w:val="0"/>
        <w:jc w:val="both"/>
      </w:pPr>
    </w:p>
    <w:p w:rsidR="00D4441A" w:rsidRDefault="00D4441A" w:rsidP="00D4441A">
      <w:pPr>
        <w:widowControl w:val="0"/>
        <w:autoSpaceDE w:val="0"/>
        <w:autoSpaceDN w:val="0"/>
        <w:adjustRightInd w:val="0"/>
        <w:jc w:val="both"/>
      </w:pPr>
      <w:r>
        <w:t xml:space="preserve">1.  </w:t>
      </w:r>
      <w:proofErr w:type="spellStart"/>
      <w:r>
        <w:t>Partain</w:t>
      </w:r>
      <w:proofErr w:type="spellEnd"/>
      <w:r>
        <w:t xml:space="preserve">, L. D., </w:t>
      </w:r>
      <w:r>
        <w:rPr>
          <w:i/>
          <w:iCs/>
        </w:rPr>
        <w:t>Solar Cells and Their Applications</w:t>
      </w:r>
      <w:r>
        <w:t>, John Wiley &amp; Sons, (1995)</w:t>
      </w:r>
    </w:p>
    <w:p w:rsidR="00D4441A" w:rsidRDefault="00D4441A" w:rsidP="00D4441A">
      <w:pPr>
        <w:widowControl w:val="0"/>
        <w:autoSpaceDE w:val="0"/>
        <w:autoSpaceDN w:val="0"/>
        <w:adjustRightInd w:val="0"/>
        <w:jc w:val="both"/>
      </w:pPr>
      <w:r>
        <w:t>2.  Zhao, J.</w:t>
      </w:r>
      <w:r>
        <w:rPr>
          <w:i/>
          <w:iCs/>
        </w:rPr>
        <w:t>, et al.</w:t>
      </w:r>
      <w:r>
        <w:t xml:space="preserve">, </w:t>
      </w:r>
      <w:r>
        <w:rPr>
          <w:i/>
          <w:iCs/>
        </w:rPr>
        <w:t>Applied Physics Letters</w:t>
      </w:r>
      <w:r>
        <w:t xml:space="preserve"> (1998) </w:t>
      </w:r>
      <w:r>
        <w:rPr>
          <w:b/>
          <w:bCs/>
        </w:rPr>
        <w:t>73</w:t>
      </w:r>
      <w:r>
        <w:t>, 1991</w:t>
      </w:r>
    </w:p>
    <w:p w:rsidR="00D4441A" w:rsidRDefault="00D4441A" w:rsidP="00D4441A">
      <w:pPr>
        <w:widowControl w:val="0"/>
        <w:autoSpaceDE w:val="0"/>
        <w:autoSpaceDN w:val="0"/>
        <w:adjustRightInd w:val="0"/>
        <w:jc w:val="both"/>
      </w:pPr>
      <w:r>
        <w:t>3.  Zhao, J.</w:t>
      </w:r>
      <w:r>
        <w:rPr>
          <w:i/>
          <w:iCs/>
        </w:rPr>
        <w:t>, et al.</w:t>
      </w:r>
      <w:r>
        <w:t xml:space="preserve">, </w:t>
      </w:r>
      <w:r>
        <w:rPr>
          <w:i/>
          <w:iCs/>
        </w:rPr>
        <w:t>Progress in Photovoltaics: Research and Applications</w:t>
      </w:r>
      <w:r>
        <w:t xml:space="preserve"> (1997) </w:t>
      </w:r>
      <w:r>
        <w:rPr>
          <w:b/>
          <w:bCs/>
        </w:rPr>
        <w:t>5</w:t>
      </w:r>
      <w:r>
        <w:t>, 269</w:t>
      </w:r>
    </w:p>
    <w:p w:rsidR="00D4441A" w:rsidRDefault="00D4441A" w:rsidP="00D4441A">
      <w:pPr>
        <w:widowControl w:val="0"/>
        <w:autoSpaceDE w:val="0"/>
        <w:autoSpaceDN w:val="0"/>
        <w:adjustRightInd w:val="0"/>
        <w:jc w:val="both"/>
      </w:pPr>
      <w:r>
        <w:t>4.  Schultz, O.</w:t>
      </w:r>
      <w:r>
        <w:rPr>
          <w:i/>
          <w:iCs/>
        </w:rPr>
        <w:t>, et al.</w:t>
      </w:r>
      <w:r>
        <w:t xml:space="preserve">, </w:t>
      </w:r>
      <w:r>
        <w:rPr>
          <w:i/>
          <w:iCs/>
        </w:rPr>
        <w:t>Progress in Photovoltaics: Research and Applications</w:t>
      </w:r>
      <w:r>
        <w:t xml:space="preserve"> (2004) </w:t>
      </w:r>
      <w:r>
        <w:rPr>
          <w:b/>
          <w:bCs/>
        </w:rPr>
        <w:t>12</w:t>
      </w:r>
      <w:r>
        <w:t>, 553</w:t>
      </w:r>
    </w:p>
    <w:p w:rsidR="00D4441A" w:rsidRDefault="00D4441A" w:rsidP="00D4441A">
      <w:pPr>
        <w:widowControl w:val="0"/>
        <w:autoSpaceDE w:val="0"/>
        <w:autoSpaceDN w:val="0"/>
        <w:adjustRightInd w:val="0"/>
        <w:jc w:val="both"/>
      </w:pPr>
      <w:r>
        <w:t>5.  King, D. L.</w:t>
      </w:r>
      <w:r>
        <w:rPr>
          <w:i/>
          <w:iCs/>
        </w:rPr>
        <w:t>, et al.</w:t>
      </w:r>
      <w:r>
        <w:t xml:space="preserve">, In </w:t>
      </w:r>
      <w:r>
        <w:rPr>
          <w:i/>
          <w:iCs/>
        </w:rPr>
        <w:t>Proceedings of the 1</w:t>
      </w:r>
      <w:r>
        <w:rPr>
          <w:i/>
          <w:iCs/>
          <w:vertAlign w:val="superscript"/>
        </w:rPr>
        <w:t>st</w:t>
      </w:r>
      <w:r>
        <w:rPr>
          <w:i/>
          <w:iCs/>
        </w:rPr>
        <w:t xml:space="preserve"> World Conference on Photovoltaic Energy Conversion,</w:t>
      </w:r>
      <w:r>
        <w:t xml:space="preserve"> Hawaii, (1994), 1660</w:t>
      </w:r>
    </w:p>
    <w:p w:rsidR="00D4441A" w:rsidRDefault="00D4441A" w:rsidP="00D4441A">
      <w:pPr>
        <w:widowControl w:val="0"/>
        <w:autoSpaceDE w:val="0"/>
        <w:autoSpaceDN w:val="0"/>
        <w:adjustRightInd w:val="0"/>
        <w:jc w:val="both"/>
      </w:pPr>
      <w:r>
        <w:t xml:space="preserve">6.  </w:t>
      </w:r>
      <w:proofErr w:type="spellStart"/>
      <w:r>
        <w:t>Egawa</w:t>
      </w:r>
      <w:proofErr w:type="spellEnd"/>
      <w:r>
        <w:t>, T.</w:t>
      </w:r>
      <w:r>
        <w:rPr>
          <w:i/>
          <w:iCs/>
        </w:rPr>
        <w:t>, et al.</w:t>
      </w:r>
      <w:r>
        <w:t xml:space="preserve">, In </w:t>
      </w:r>
      <w:r>
        <w:rPr>
          <w:i/>
          <w:iCs/>
        </w:rPr>
        <w:t>Materials Research Society Symposium Proceedings,</w:t>
      </w:r>
      <w:r>
        <w:t xml:space="preserve"> San </w:t>
      </w:r>
      <w:proofErr w:type="spellStart"/>
      <w:r>
        <w:t>Fransisco</w:t>
      </w:r>
      <w:proofErr w:type="spellEnd"/>
      <w:r>
        <w:t xml:space="preserve">, California, (1998), </w:t>
      </w:r>
      <w:r>
        <w:rPr>
          <w:b/>
          <w:bCs/>
        </w:rPr>
        <w:t>482</w:t>
      </w:r>
      <w:r>
        <w:t>, 1101</w:t>
      </w:r>
    </w:p>
    <w:p w:rsidR="00D4441A" w:rsidRDefault="00D4441A" w:rsidP="00D4441A">
      <w:pPr>
        <w:widowControl w:val="0"/>
        <w:autoSpaceDE w:val="0"/>
        <w:autoSpaceDN w:val="0"/>
        <w:adjustRightInd w:val="0"/>
        <w:jc w:val="both"/>
      </w:pPr>
      <w:r>
        <w:t>7.  Yang, J.</w:t>
      </w:r>
      <w:r>
        <w:rPr>
          <w:i/>
          <w:iCs/>
        </w:rPr>
        <w:t>, et al.</w:t>
      </w:r>
      <w:r>
        <w:t xml:space="preserve">, In </w:t>
      </w:r>
      <w:r>
        <w:rPr>
          <w:i/>
          <w:iCs/>
        </w:rPr>
        <w:t>Proceedings of the 1</w:t>
      </w:r>
      <w:r>
        <w:rPr>
          <w:i/>
          <w:iCs/>
          <w:vertAlign w:val="superscript"/>
        </w:rPr>
        <w:t>st</w:t>
      </w:r>
      <w:r>
        <w:rPr>
          <w:i/>
          <w:iCs/>
        </w:rPr>
        <w:t xml:space="preserve"> World Conference on Photovoltaic Energy Conversion,</w:t>
      </w:r>
      <w:r>
        <w:t xml:space="preserve"> Hawaii, (1994), 380</w:t>
      </w:r>
    </w:p>
    <w:p w:rsidR="00D4441A" w:rsidRDefault="00D4441A" w:rsidP="00D4441A">
      <w:pPr>
        <w:widowControl w:val="0"/>
        <w:autoSpaceDE w:val="0"/>
        <w:autoSpaceDN w:val="0"/>
        <w:adjustRightInd w:val="0"/>
        <w:jc w:val="both"/>
      </w:pPr>
      <w:r>
        <w:t>8.  Yoshimi, M.</w:t>
      </w:r>
      <w:r>
        <w:rPr>
          <w:i/>
          <w:iCs/>
        </w:rPr>
        <w:t>, et al.</w:t>
      </w:r>
      <w:r>
        <w:t xml:space="preserve">, In </w:t>
      </w:r>
      <w:r>
        <w:rPr>
          <w:i/>
          <w:iCs/>
        </w:rPr>
        <w:t>Proceedings of the 3</w:t>
      </w:r>
      <w:r>
        <w:rPr>
          <w:i/>
          <w:iCs/>
          <w:vertAlign w:val="superscript"/>
        </w:rPr>
        <w:t>rd</w:t>
      </w:r>
      <w:r>
        <w:rPr>
          <w:i/>
          <w:iCs/>
        </w:rPr>
        <w:t xml:space="preserve"> World Conference on Photovoltaic Energy Conversion,</w:t>
      </w:r>
      <w:r>
        <w:t xml:space="preserve"> Osaka, Japan, (2003), 1566</w:t>
      </w:r>
    </w:p>
    <w:p w:rsidR="00D4441A" w:rsidRDefault="00D4441A" w:rsidP="00D4441A">
      <w:pPr>
        <w:widowControl w:val="0"/>
        <w:autoSpaceDE w:val="0"/>
        <w:autoSpaceDN w:val="0"/>
        <w:adjustRightInd w:val="0"/>
        <w:jc w:val="both"/>
      </w:pPr>
      <w:r>
        <w:t>9.  Maruyama, E.</w:t>
      </w:r>
      <w:r>
        <w:rPr>
          <w:i/>
          <w:iCs/>
        </w:rPr>
        <w:t>, et al.</w:t>
      </w:r>
      <w:r>
        <w:t xml:space="preserve">, In </w:t>
      </w:r>
      <w:r>
        <w:rPr>
          <w:i/>
          <w:iCs/>
        </w:rPr>
        <w:t>Proceedings of the 4</w:t>
      </w:r>
      <w:r>
        <w:rPr>
          <w:i/>
          <w:iCs/>
          <w:vertAlign w:val="superscript"/>
        </w:rPr>
        <w:t>th</w:t>
      </w:r>
      <w:r>
        <w:rPr>
          <w:i/>
          <w:iCs/>
        </w:rPr>
        <w:t xml:space="preserve"> World Conference on Photovoltaic Energy Conversion,</w:t>
      </w:r>
      <w:r>
        <w:t xml:space="preserve"> Hawaii, (2006), 1455</w:t>
      </w:r>
    </w:p>
    <w:p w:rsidR="00D4441A" w:rsidRDefault="00D4441A" w:rsidP="00D4441A">
      <w:pPr>
        <w:widowControl w:val="0"/>
        <w:autoSpaceDE w:val="0"/>
        <w:autoSpaceDN w:val="0"/>
        <w:adjustRightInd w:val="0"/>
        <w:jc w:val="both"/>
      </w:pPr>
      <w:r>
        <w:t>10.  Gale, R. P.</w:t>
      </w:r>
      <w:r>
        <w:rPr>
          <w:i/>
          <w:iCs/>
        </w:rPr>
        <w:t>, et al.</w:t>
      </w:r>
      <w:r>
        <w:t xml:space="preserve">, In </w:t>
      </w:r>
      <w:r>
        <w:rPr>
          <w:i/>
          <w:iCs/>
        </w:rPr>
        <w:t>Proceedings of the 21</w:t>
      </w:r>
      <w:r>
        <w:rPr>
          <w:i/>
          <w:iCs/>
          <w:vertAlign w:val="superscript"/>
        </w:rPr>
        <w:t>st</w:t>
      </w:r>
      <w:r>
        <w:rPr>
          <w:i/>
          <w:iCs/>
        </w:rPr>
        <w:t xml:space="preserve"> IEEE Photovoltaic Specialists Conference,</w:t>
      </w:r>
      <w:r>
        <w:t xml:space="preserve"> Kissimmee, Florida, (1990), 53</w:t>
      </w:r>
    </w:p>
    <w:p w:rsidR="00D4441A" w:rsidRDefault="00D4441A" w:rsidP="00D4441A">
      <w:pPr>
        <w:widowControl w:val="0"/>
        <w:autoSpaceDE w:val="0"/>
        <w:autoSpaceDN w:val="0"/>
        <w:adjustRightInd w:val="0"/>
        <w:jc w:val="both"/>
      </w:pPr>
      <w:r>
        <w:t xml:space="preserve">11.  </w:t>
      </w:r>
      <w:proofErr w:type="spellStart"/>
      <w:r>
        <w:t>Keavney</w:t>
      </w:r>
      <w:proofErr w:type="spellEnd"/>
      <w:r>
        <w:t>, C. J.</w:t>
      </w:r>
      <w:r>
        <w:rPr>
          <w:i/>
          <w:iCs/>
        </w:rPr>
        <w:t>, et al.</w:t>
      </w:r>
      <w:r>
        <w:t xml:space="preserve">, In </w:t>
      </w:r>
      <w:r>
        <w:rPr>
          <w:i/>
          <w:iCs/>
        </w:rPr>
        <w:t>Proceedings of the 21</w:t>
      </w:r>
      <w:r>
        <w:rPr>
          <w:i/>
          <w:iCs/>
          <w:vertAlign w:val="superscript"/>
        </w:rPr>
        <w:t>st</w:t>
      </w:r>
      <w:r>
        <w:rPr>
          <w:i/>
          <w:iCs/>
        </w:rPr>
        <w:t xml:space="preserve"> IEEE Photovoltaic Specialists Conference,</w:t>
      </w:r>
      <w:r>
        <w:t xml:space="preserve"> Kissimmee, Florida, (1990), 141</w:t>
      </w:r>
    </w:p>
    <w:p w:rsidR="00D4441A" w:rsidRDefault="00D4441A" w:rsidP="00D4441A">
      <w:pPr>
        <w:widowControl w:val="0"/>
        <w:autoSpaceDE w:val="0"/>
        <w:autoSpaceDN w:val="0"/>
        <w:adjustRightInd w:val="0"/>
        <w:jc w:val="both"/>
      </w:pPr>
      <w:r>
        <w:t>12.  King, R. R.</w:t>
      </w:r>
      <w:r>
        <w:rPr>
          <w:i/>
          <w:iCs/>
        </w:rPr>
        <w:t>, et al.</w:t>
      </w:r>
      <w:r>
        <w:t xml:space="preserve">, In </w:t>
      </w:r>
      <w:r>
        <w:rPr>
          <w:i/>
          <w:iCs/>
        </w:rPr>
        <w:t>Proceedings of the 21</w:t>
      </w:r>
      <w:r>
        <w:rPr>
          <w:i/>
          <w:iCs/>
          <w:vertAlign w:val="superscript"/>
        </w:rPr>
        <w:t>st</w:t>
      </w:r>
      <w:r>
        <w:rPr>
          <w:i/>
          <w:iCs/>
        </w:rPr>
        <w:t xml:space="preserve"> European Photovoltaic Solar Energy Conference,</w:t>
      </w:r>
      <w:r>
        <w:t xml:space="preserve"> Dresden, Germany, (2006), 124</w:t>
      </w:r>
    </w:p>
    <w:p w:rsidR="00D4441A" w:rsidRDefault="00D4441A" w:rsidP="00D4441A">
      <w:pPr>
        <w:widowControl w:val="0"/>
        <w:autoSpaceDE w:val="0"/>
        <w:autoSpaceDN w:val="0"/>
        <w:adjustRightInd w:val="0"/>
        <w:jc w:val="both"/>
      </w:pPr>
      <w:r>
        <w:t>13.  Wu, X.</w:t>
      </w:r>
      <w:r>
        <w:rPr>
          <w:i/>
          <w:iCs/>
        </w:rPr>
        <w:t>, et al.</w:t>
      </w:r>
      <w:r>
        <w:t xml:space="preserve">, In </w:t>
      </w:r>
      <w:r>
        <w:rPr>
          <w:i/>
          <w:iCs/>
        </w:rPr>
        <w:t>Proceedings of the 17</w:t>
      </w:r>
      <w:r>
        <w:rPr>
          <w:i/>
          <w:iCs/>
          <w:vertAlign w:val="superscript"/>
        </w:rPr>
        <w:t>th</w:t>
      </w:r>
      <w:r>
        <w:rPr>
          <w:i/>
          <w:iCs/>
        </w:rPr>
        <w:t xml:space="preserve"> European Photovoltaic Solar Energy Conference,</w:t>
      </w:r>
      <w:r>
        <w:t xml:space="preserve"> Munich, Germany, (2001), 995</w:t>
      </w:r>
    </w:p>
    <w:p w:rsidR="00D4441A" w:rsidRDefault="00D4441A" w:rsidP="00D4441A">
      <w:pPr>
        <w:widowControl w:val="0"/>
        <w:autoSpaceDE w:val="0"/>
        <w:autoSpaceDN w:val="0"/>
        <w:adjustRightInd w:val="0"/>
        <w:jc w:val="both"/>
      </w:pPr>
      <w:r>
        <w:t>14.  Cunningham, D.</w:t>
      </w:r>
      <w:r>
        <w:rPr>
          <w:i/>
          <w:iCs/>
        </w:rPr>
        <w:t>, et al.</w:t>
      </w:r>
      <w:r>
        <w:t xml:space="preserve">, In </w:t>
      </w:r>
      <w:r>
        <w:rPr>
          <w:i/>
          <w:iCs/>
        </w:rPr>
        <w:t>Proceedings of the 28</w:t>
      </w:r>
      <w:r>
        <w:rPr>
          <w:i/>
          <w:iCs/>
          <w:vertAlign w:val="superscript"/>
        </w:rPr>
        <w:t>th</w:t>
      </w:r>
      <w:r>
        <w:rPr>
          <w:i/>
          <w:iCs/>
        </w:rPr>
        <w:t xml:space="preserve"> IEEE Photovoltaic Specialists Conference,</w:t>
      </w:r>
      <w:r>
        <w:t xml:space="preserve"> Anchorage, Alaska, (2000), 13</w:t>
      </w:r>
    </w:p>
    <w:p w:rsidR="00D4441A" w:rsidRDefault="00D4441A" w:rsidP="00D4441A">
      <w:pPr>
        <w:widowControl w:val="0"/>
        <w:autoSpaceDE w:val="0"/>
        <w:autoSpaceDN w:val="0"/>
        <w:adjustRightInd w:val="0"/>
        <w:jc w:val="both"/>
      </w:pPr>
      <w:r>
        <w:t>15.  Contreras, M. A.</w:t>
      </w:r>
      <w:r>
        <w:rPr>
          <w:i/>
          <w:iCs/>
        </w:rPr>
        <w:t>, et al.</w:t>
      </w:r>
      <w:r>
        <w:t xml:space="preserve">, </w:t>
      </w:r>
      <w:r>
        <w:rPr>
          <w:i/>
          <w:iCs/>
        </w:rPr>
        <w:t>Progress in Photovoltaics: Research and Applications</w:t>
      </w:r>
      <w:r>
        <w:t xml:space="preserve"> (2005) </w:t>
      </w:r>
      <w:r>
        <w:rPr>
          <w:b/>
          <w:bCs/>
        </w:rPr>
        <w:t>13</w:t>
      </w:r>
      <w:r>
        <w:t>, 209</w:t>
      </w:r>
    </w:p>
    <w:p w:rsidR="00D4441A" w:rsidRDefault="00D4441A" w:rsidP="00D4441A">
      <w:pPr>
        <w:widowControl w:val="0"/>
        <w:autoSpaceDE w:val="0"/>
        <w:autoSpaceDN w:val="0"/>
        <w:adjustRightInd w:val="0"/>
        <w:jc w:val="both"/>
      </w:pPr>
      <w:r>
        <w:t>16.  Tanaka, Y.</w:t>
      </w:r>
      <w:r>
        <w:rPr>
          <w:i/>
          <w:iCs/>
        </w:rPr>
        <w:t>, et al.</w:t>
      </w:r>
      <w:r>
        <w:t xml:space="preserve">, In </w:t>
      </w:r>
      <w:r>
        <w:rPr>
          <w:i/>
          <w:iCs/>
        </w:rPr>
        <w:t>Proceedings of the 17</w:t>
      </w:r>
      <w:r>
        <w:rPr>
          <w:i/>
          <w:iCs/>
          <w:vertAlign w:val="superscript"/>
        </w:rPr>
        <w:t>th</w:t>
      </w:r>
      <w:r>
        <w:rPr>
          <w:i/>
          <w:iCs/>
        </w:rPr>
        <w:t xml:space="preserve"> European Photovoltaic Solar Energy Conference,</w:t>
      </w:r>
      <w:r>
        <w:t xml:space="preserve"> Munich, Germany, (2001), 989</w:t>
      </w:r>
    </w:p>
    <w:p w:rsidR="00D4441A" w:rsidRDefault="00D4441A" w:rsidP="00D4441A">
      <w:pPr>
        <w:widowControl w:val="0"/>
        <w:autoSpaceDE w:val="0"/>
        <w:autoSpaceDN w:val="0"/>
        <w:adjustRightInd w:val="0"/>
        <w:jc w:val="both"/>
      </w:pPr>
      <w:r>
        <w:t xml:space="preserve">17.  World Cell Production in 2006, in </w:t>
      </w:r>
      <w:r>
        <w:rPr>
          <w:i/>
          <w:iCs/>
        </w:rPr>
        <w:t>PV News</w:t>
      </w:r>
      <w:r>
        <w:t xml:space="preserve">, (2007), </w:t>
      </w:r>
      <w:r>
        <w:rPr>
          <w:b/>
          <w:bCs/>
        </w:rPr>
        <w:t>26</w:t>
      </w:r>
      <w:r>
        <w:t>, 4, 10</w:t>
      </w:r>
    </w:p>
    <w:p w:rsidR="00D4441A" w:rsidRDefault="00D4441A" w:rsidP="00D4441A">
      <w:pPr>
        <w:widowControl w:val="0"/>
        <w:autoSpaceDE w:val="0"/>
        <w:autoSpaceDN w:val="0"/>
        <w:adjustRightInd w:val="0"/>
        <w:jc w:val="both"/>
      </w:pPr>
      <w:r>
        <w:t xml:space="preserve">18.  </w:t>
      </w:r>
      <w:proofErr w:type="spellStart"/>
      <w:r>
        <w:t>Willeke</w:t>
      </w:r>
      <w:proofErr w:type="spellEnd"/>
      <w:r>
        <w:t xml:space="preserve">, G. P., In </w:t>
      </w:r>
      <w:r>
        <w:rPr>
          <w:i/>
          <w:iCs/>
        </w:rPr>
        <w:t>Proceedings of the 19</w:t>
      </w:r>
      <w:r>
        <w:rPr>
          <w:i/>
          <w:iCs/>
          <w:vertAlign w:val="superscript"/>
        </w:rPr>
        <w:t>th</w:t>
      </w:r>
      <w:r>
        <w:rPr>
          <w:i/>
          <w:iCs/>
        </w:rPr>
        <w:t xml:space="preserve"> European Photovoltaic Solar Energy Conference,</w:t>
      </w:r>
      <w:r>
        <w:t xml:space="preserve"> Paris, France, (2004), 383</w:t>
      </w:r>
    </w:p>
    <w:p w:rsidR="00D4441A" w:rsidRDefault="00D4441A" w:rsidP="00D4441A">
      <w:pPr>
        <w:widowControl w:val="0"/>
        <w:autoSpaceDE w:val="0"/>
        <w:autoSpaceDN w:val="0"/>
        <w:adjustRightInd w:val="0"/>
        <w:jc w:val="both"/>
      </w:pPr>
      <w:r>
        <w:t xml:space="preserve">19.  </w:t>
      </w:r>
      <w:proofErr w:type="spellStart"/>
      <w:r>
        <w:t>Mandelhorn</w:t>
      </w:r>
      <w:proofErr w:type="spellEnd"/>
      <w:r>
        <w:t xml:space="preserve">, J. and </w:t>
      </w:r>
      <w:proofErr w:type="spellStart"/>
      <w:r>
        <w:t>Maneck</w:t>
      </w:r>
      <w:proofErr w:type="spellEnd"/>
      <w:r>
        <w:t xml:space="preserve">, J. H., In </w:t>
      </w:r>
      <w:r>
        <w:rPr>
          <w:i/>
          <w:iCs/>
        </w:rPr>
        <w:t>Proceedings of the 9</w:t>
      </w:r>
      <w:r>
        <w:rPr>
          <w:i/>
          <w:iCs/>
          <w:vertAlign w:val="superscript"/>
        </w:rPr>
        <w:t>th</w:t>
      </w:r>
      <w:r>
        <w:rPr>
          <w:i/>
          <w:iCs/>
        </w:rPr>
        <w:t xml:space="preserve"> IEEE Photovoltaic Specialists Conference,</w:t>
      </w:r>
      <w:r>
        <w:t xml:space="preserve"> Silver Springs, Florida, (1972), 66</w:t>
      </w:r>
    </w:p>
    <w:p w:rsidR="00D4441A" w:rsidRDefault="00D4441A" w:rsidP="00D4441A">
      <w:pPr>
        <w:widowControl w:val="0"/>
        <w:autoSpaceDE w:val="0"/>
        <w:autoSpaceDN w:val="0"/>
        <w:adjustRightInd w:val="0"/>
        <w:jc w:val="both"/>
      </w:pPr>
      <w:r>
        <w:t>20.  Green, M. A.</w:t>
      </w:r>
      <w:r>
        <w:rPr>
          <w:i/>
          <w:iCs/>
        </w:rPr>
        <w:t>, et al.</w:t>
      </w:r>
      <w:r>
        <w:t xml:space="preserve">, In </w:t>
      </w:r>
      <w:r>
        <w:rPr>
          <w:i/>
          <w:iCs/>
        </w:rPr>
        <w:t>Proceedings of the 18</w:t>
      </w:r>
      <w:r>
        <w:rPr>
          <w:i/>
          <w:iCs/>
          <w:vertAlign w:val="superscript"/>
        </w:rPr>
        <w:t>th</w:t>
      </w:r>
      <w:r>
        <w:rPr>
          <w:i/>
          <w:iCs/>
        </w:rPr>
        <w:t xml:space="preserve"> IEEE Photovoltaic Specialists Conference,</w:t>
      </w:r>
      <w:r>
        <w:t xml:space="preserve"> Las Vegas, Nevada, (1985), 39</w:t>
      </w:r>
    </w:p>
    <w:p w:rsidR="00D4441A" w:rsidRDefault="00D4441A" w:rsidP="00D4441A">
      <w:pPr>
        <w:widowControl w:val="0"/>
        <w:autoSpaceDE w:val="0"/>
        <w:autoSpaceDN w:val="0"/>
        <w:adjustRightInd w:val="0"/>
        <w:jc w:val="both"/>
      </w:pPr>
      <w:r>
        <w:t xml:space="preserve">21.  Wenham, S., </w:t>
      </w:r>
      <w:r>
        <w:rPr>
          <w:i/>
          <w:iCs/>
        </w:rPr>
        <w:t>Progress in Photovoltaics: Research and Applications</w:t>
      </w:r>
      <w:r>
        <w:t xml:space="preserve"> (1993) </w:t>
      </w:r>
      <w:r>
        <w:rPr>
          <w:b/>
          <w:bCs/>
        </w:rPr>
        <w:t>1</w:t>
      </w:r>
      <w:r>
        <w:t>, 3</w:t>
      </w:r>
    </w:p>
    <w:p w:rsidR="00D4441A" w:rsidRDefault="00D4441A" w:rsidP="00D4441A">
      <w:pPr>
        <w:widowControl w:val="0"/>
        <w:autoSpaceDE w:val="0"/>
        <w:autoSpaceDN w:val="0"/>
        <w:adjustRightInd w:val="0"/>
        <w:jc w:val="both"/>
      </w:pPr>
      <w:r>
        <w:t xml:space="preserve">22.  Wenham, S. R. and Green, M. A., </w:t>
      </w:r>
      <w:r>
        <w:rPr>
          <w:i/>
          <w:iCs/>
        </w:rPr>
        <w:t>Buried Contact Solar Cell</w:t>
      </w:r>
      <w:r>
        <w:t>, Australia patent 570309, 1985</w:t>
      </w:r>
    </w:p>
    <w:p w:rsidR="00D4441A" w:rsidRDefault="00D4441A" w:rsidP="00D4441A">
      <w:pPr>
        <w:widowControl w:val="0"/>
        <w:autoSpaceDE w:val="0"/>
        <w:autoSpaceDN w:val="0"/>
        <w:adjustRightInd w:val="0"/>
        <w:jc w:val="both"/>
      </w:pPr>
      <w:r>
        <w:t xml:space="preserve">23.  </w:t>
      </w:r>
      <w:proofErr w:type="spellStart"/>
      <w:r>
        <w:t>Bruton</w:t>
      </w:r>
      <w:proofErr w:type="spellEnd"/>
      <w:r>
        <w:t>, T. M.</w:t>
      </w:r>
      <w:r>
        <w:rPr>
          <w:i/>
          <w:iCs/>
        </w:rPr>
        <w:t>, et al.</w:t>
      </w:r>
      <w:r>
        <w:t xml:space="preserve">, In </w:t>
      </w:r>
      <w:r>
        <w:rPr>
          <w:i/>
          <w:iCs/>
        </w:rPr>
        <w:t>Proceedings of the 12</w:t>
      </w:r>
      <w:r>
        <w:rPr>
          <w:i/>
          <w:iCs/>
          <w:vertAlign w:val="superscript"/>
        </w:rPr>
        <w:t>th</w:t>
      </w:r>
      <w:r>
        <w:rPr>
          <w:i/>
          <w:iCs/>
        </w:rPr>
        <w:t xml:space="preserve"> European Photovoltaic Solar Energy Conference,</w:t>
      </w:r>
      <w:r>
        <w:t xml:space="preserve"> </w:t>
      </w:r>
      <w:smartTag w:uri="urn:schemas-microsoft-com:office:smarttags" w:element="City">
        <w:r>
          <w:t>Amsterdam</w:t>
        </w:r>
      </w:smartTag>
      <w:r>
        <w:t xml:space="preserve">, The </w:t>
      </w:r>
      <w:smartTag w:uri="urn:schemas-microsoft-com:office:smarttags" w:element="place">
        <w:smartTag w:uri="urn:schemas-microsoft-com:office:smarttags" w:element="country-region">
          <w:r>
            <w:t>Netherlands</w:t>
          </w:r>
        </w:smartTag>
      </w:smartTag>
      <w:r>
        <w:t>, (1994), 531</w:t>
      </w:r>
    </w:p>
    <w:p w:rsidR="00D4441A" w:rsidRDefault="00D4441A" w:rsidP="00D4441A">
      <w:pPr>
        <w:widowControl w:val="0"/>
        <w:autoSpaceDE w:val="0"/>
        <w:autoSpaceDN w:val="0"/>
        <w:adjustRightInd w:val="0"/>
        <w:jc w:val="both"/>
      </w:pPr>
      <w:r>
        <w:t>24.  Mason, A.</w:t>
      </w:r>
      <w:r>
        <w:rPr>
          <w:i/>
          <w:iCs/>
        </w:rPr>
        <w:t>, et al.</w:t>
      </w:r>
      <w:r>
        <w:t xml:space="preserve">, In </w:t>
      </w:r>
      <w:r>
        <w:rPr>
          <w:i/>
          <w:iCs/>
        </w:rPr>
        <w:t>Proceedings of the 19</w:t>
      </w:r>
      <w:r>
        <w:rPr>
          <w:i/>
          <w:iCs/>
          <w:vertAlign w:val="superscript"/>
        </w:rPr>
        <w:t>th</w:t>
      </w:r>
      <w:r>
        <w:rPr>
          <w:i/>
          <w:iCs/>
        </w:rPr>
        <w:t xml:space="preserve"> European Photovoltaic Solar Energy Conference,</w:t>
      </w:r>
      <w:r>
        <w:t xml:space="preserve"> Paris, France, (2004), 2653</w:t>
      </w:r>
    </w:p>
    <w:p w:rsidR="00D4441A" w:rsidRDefault="00D4441A" w:rsidP="00D4441A">
      <w:pPr>
        <w:widowControl w:val="0"/>
        <w:autoSpaceDE w:val="0"/>
        <w:autoSpaceDN w:val="0"/>
        <w:adjustRightInd w:val="0"/>
        <w:jc w:val="both"/>
      </w:pPr>
      <w:r>
        <w:t xml:space="preserve">25.  </w:t>
      </w:r>
      <w:proofErr w:type="spellStart"/>
      <w:r>
        <w:t>Poortmans</w:t>
      </w:r>
      <w:proofErr w:type="spellEnd"/>
      <w:r>
        <w:t>, J.</w:t>
      </w:r>
      <w:r>
        <w:rPr>
          <w:i/>
          <w:iCs/>
        </w:rPr>
        <w:t>, et al.</w:t>
      </w:r>
      <w:r>
        <w:t xml:space="preserve">, In </w:t>
      </w:r>
      <w:r>
        <w:rPr>
          <w:i/>
          <w:iCs/>
        </w:rPr>
        <w:t>Proceedings of the 14</w:t>
      </w:r>
      <w:r>
        <w:rPr>
          <w:i/>
          <w:iCs/>
          <w:vertAlign w:val="superscript"/>
        </w:rPr>
        <w:t>th</w:t>
      </w:r>
      <w:r>
        <w:rPr>
          <w:i/>
          <w:iCs/>
        </w:rPr>
        <w:t xml:space="preserve"> international Photovoltaics Science and </w:t>
      </w:r>
      <w:proofErr w:type="spellStart"/>
      <w:r>
        <w:rPr>
          <w:i/>
          <w:iCs/>
        </w:rPr>
        <w:t>and</w:t>
      </w:r>
      <w:proofErr w:type="spellEnd"/>
      <w:r>
        <w:rPr>
          <w:i/>
          <w:iCs/>
        </w:rPr>
        <w:t xml:space="preserve"> Engineering Conference (PVSEC-14),</w:t>
      </w:r>
      <w:r>
        <w:t xml:space="preserve"> Bangkok, Thailand, (2004), 13</w:t>
      </w:r>
    </w:p>
    <w:p w:rsidR="00D4441A" w:rsidRDefault="00D4441A" w:rsidP="00D4441A">
      <w:pPr>
        <w:widowControl w:val="0"/>
        <w:autoSpaceDE w:val="0"/>
        <w:autoSpaceDN w:val="0"/>
        <w:adjustRightInd w:val="0"/>
        <w:jc w:val="both"/>
      </w:pPr>
      <w:r>
        <w:t xml:space="preserve">26.  </w:t>
      </w:r>
      <w:proofErr w:type="spellStart"/>
      <w:r>
        <w:t>Luque</w:t>
      </w:r>
      <w:proofErr w:type="spellEnd"/>
      <w:r>
        <w:t xml:space="preserve">, A. and Andreev, V., </w:t>
      </w:r>
      <w:r>
        <w:rPr>
          <w:i/>
          <w:iCs/>
        </w:rPr>
        <w:t>Concentrator Photovoltaics</w:t>
      </w:r>
      <w:r>
        <w:t>, Springer Series in Optical Sciences, (2007); Vol. 130</w:t>
      </w:r>
    </w:p>
    <w:p w:rsidR="00D4441A" w:rsidRDefault="00D4441A" w:rsidP="00D4441A">
      <w:pPr>
        <w:widowControl w:val="0"/>
        <w:autoSpaceDE w:val="0"/>
        <w:autoSpaceDN w:val="0"/>
        <w:adjustRightInd w:val="0"/>
        <w:jc w:val="both"/>
      </w:pPr>
      <w:r>
        <w:t>27.  Ghosh, M.</w:t>
      </w:r>
      <w:r>
        <w:rPr>
          <w:i/>
          <w:iCs/>
        </w:rPr>
        <w:t>, et al.</w:t>
      </w:r>
      <w:r>
        <w:t xml:space="preserve">, In </w:t>
      </w:r>
      <w:r>
        <w:rPr>
          <w:i/>
          <w:iCs/>
        </w:rPr>
        <w:t>Proceedings of the 19</w:t>
      </w:r>
      <w:r>
        <w:rPr>
          <w:i/>
          <w:iCs/>
          <w:vertAlign w:val="superscript"/>
        </w:rPr>
        <w:t>th</w:t>
      </w:r>
      <w:r>
        <w:rPr>
          <w:i/>
          <w:iCs/>
        </w:rPr>
        <w:t xml:space="preserve"> European Photovoltaic Solar Energy Conference,</w:t>
      </w:r>
      <w:r>
        <w:t xml:space="preserve"> Paris, France, (2004), 560</w:t>
      </w:r>
    </w:p>
    <w:p w:rsidR="00D4441A" w:rsidRDefault="00D4441A" w:rsidP="00D4441A">
      <w:pPr>
        <w:widowControl w:val="0"/>
        <w:autoSpaceDE w:val="0"/>
        <w:autoSpaceDN w:val="0"/>
        <w:adjustRightInd w:val="0"/>
        <w:jc w:val="both"/>
      </w:pPr>
      <w:r>
        <w:t xml:space="preserve">28.  </w:t>
      </w:r>
      <w:proofErr w:type="spellStart"/>
      <w:r>
        <w:t>Eyer</w:t>
      </w:r>
      <w:proofErr w:type="spellEnd"/>
      <w:r>
        <w:t>, A.</w:t>
      </w:r>
      <w:r>
        <w:rPr>
          <w:i/>
          <w:iCs/>
        </w:rPr>
        <w:t>, et al.</w:t>
      </w:r>
      <w:r>
        <w:t xml:space="preserve">, </w:t>
      </w:r>
      <w:r>
        <w:rPr>
          <w:i/>
          <w:iCs/>
        </w:rPr>
        <w:t>Optoelectronics</w:t>
      </w:r>
      <w:r>
        <w:t xml:space="preserve"> (1990) </w:t>
      </w:r>
      <w:r>
        <w:rPr>
          <w:b/>
          <w:bCs/>
        </w:rPr>
        <w:t>5</w:t>
      </w:r>
      <w:r>
        <w:t>, 239</w:t>
      </w:r>
    </w:p>
    <w:p w:rsidR="00D4441A" w:rsidRDefault="00D4441A" w:rsidP="00D4441A">
      <w:pPr>
        <w:widowControl w:val="0"/>
        <w:autoSpaceDE w:val="0"/>
        <w:autoSpaceDN w:val="0"/>
        <w:adjustRightInd w:val="0"/>
        <w:jc w:val="both"/>
      </w:pPr>
      <w:r>
        <w:t xml:space="preserve">29.  </w:t>
      </w:r>
      <w:proofErr w:type="spellStart"/>
      <w:r>
        <w:t>Wronski</w:t>
      </w:r>
      <w:proofErr w:type="spellEnd"/>
      <w:r>
        <w:t xml:space="preserve">, C. R. and Carlson, D. E., Amorphous Silicon Solar Cells. In </w:t>
      </w:r>
      <w:r>
        <w:rPr>
          <w:i/>
          <w:iCs/>
        </w:rPr>
        <w:t>Clean Electricity from Photovoltaics</w:t>
      </w:r>
      <w:r>
        <w:t>, Archer, M. D., Hill, R. (eds.), Imperial College Press, London, U.K., (2001), 199</w:t>
      </w:r>
    </w:p>
    <w:p w:rsidR="00D4441A" w:rsidRDefault="00D4441A" w:rsidP="00D4441A">
      <w:pPr>
        <w:widowControl w:val="0"/>
        <w:autoSpaceDE w:val="0"/>
        <w:autoSpaceDN w:val="0"/>
        <w:adjustRightInd w:val="0"/>
        <w:jc w:val="both"/>
      </w:pPr>
      <w:r>
        <w:t>30.  Baba, T.</w:t>
      </w:r>
      <w:r>
        <w:rPr>
          <w:i/>
          <w:iCs/>
        </w:rPr>
        <w:t>, et al.</w:t>
      </w:r>
      <w:r>
        <w:t xml:space="preserve">, In </w:t>
      </w:r>
      <w:r>
        <w:rPr>
          <w:i/>
          <w:iCs/>
        </w:rPr>
        <w:t>Proceedings of the 13</w:t>
      </w:r>
      <w:r>
        <w:rPr>
          <w:i/>
          <w:iCs/>
          <w:vertAlign w:val="superscript"/>
        </w:rPr>
        <w:t>th</w:t>
      </w:r>
      <w:r>
        <w:rPr>
          <w:i/>
          <w:iCs/>
        </w:rPr>
        <w:t xml:space="preserve"> European Photovoltaic Solar Energy Conference,</w:t>
      </w:r>
      <w:r>
        <w:t xml:space="preserve"> Nice, France, (1995), 1708</w:t>
      </w:r>
    </w:p>
    <w:p w:rsidR="00D4441A" w:rsidRDefault="00D4441A" w:rsidP="00D4441A">
      <w:pPr>
        <w:widowControl w:val="0"/>
        <w:autoSpaceDE w:val="0"/>
        <w:autoSpaceDN w:val="0"/>
        <w:adjustRightInd w:val="0"/>
        <w:jc w:val="both"/>
      </w:pPr>
      <w:r>
        <w:t>31.  Shah, A.</w:t>
      </w:r>
      <w:r>
        <w:rPr>
          <w:i/>
          <w:iCs/>
        </w:rPr>
        <w:t>, et al.</w:t>
      </w:r>
      <w:r>
        <w:t xml:space="preserve">, In </w:t>
      </w:r>
      <w:r>
        <w:rPr>
          <w:i/>
          <w:iCs/>
        </w:rPr>
        <w:t>Proceedings of the Technical-digest of the 14</w:t>
      </w:r>
      <w:r>
        <w:rPr>
          <w:i/>
          <w:iCs/>
          <w:vertAlign w:val="superscript"/>
        </w:rPr>
        <w:t>th</w:t>
      </w:r>
      <w:r>
        <w:rPr>
          <w:i/>
          <w:iCs/>
        </w:rPr>
        <w:t xml:space="preserve"> International Photovoltaic Science and Engineering Conference,</w:t>
      </w:r>
      <w:r>
        <w:t xml:space="preserve"> Bangkok, Thailand, (2004), 39</w:t>
      </w:r>
    </w:p>
    <w:p w:rsidR="00D4441A" w:rsidRDefault="00D4441A" w:rsidP="00D4441A">
      <w:pPr>
        <w:widowControl w:val="0"/>
        <w:autoSpaceDE w:val="0"/>
        <w:autoSpaceDN w:val="0"/>
        <w:adjustRightInd w:val="0"/>
        <w:jc w:val="both"/>
      </w:pPr>
      <w:r>
        <w:t xml:space="preserve">32.  </w:t>
      </w:r>
      <w:proofErr w:type="spellStart"/>
      <w:r>
        <w:t>Bube</w:t>
      </w:r>
      <w:proofErr w:type="spellEnd"/>
      <w:r>
        <w:t xml:space="preserve">, R. H., </w:t>
      </w:r>
      <w:r>
        <w:rPr>
          <w:i/>
          <w:iCs/>
        </w:rPr>
        <w:t>Photovoltaic Materials</w:t>
      </w:r>
      <w:r>
        <w:t>, Imperial College Press, London, U.K., (1998)</w:t>
      </w:r>
    </w:p>
    <w:p w:rsidR="00D4441A" w:rsidRDefault="00D4441A" w:rsidP="00D4441A">
      <w:pPr>
        <w:widowControl w:val="0"/>
        <w:autoSpaceDE w:val="0"/>
        <w:autoSpaceDN w:val="0"/>
        <w:adjustRightInd w:val="0"/>
        <w:jc w:val="both"/>
      </w:pPr>
      <w:r>
        <w:t xml:space="preserve">33.  </w:t>
      </w:r>
      <w:proofErr w:type="spellStart"/>
      <w:r>
        <w:t>Klausmeier</w:t>
      </w:r>
      <w:proofErr w:type="spellEnd"/>
      <w:r>
        <w:t xml:space="preserve">-Brown, M. E., Status, Prospects, and Economics of Terrestrial, Single Junction </w:t>
      </w:r>
      <w:proofErr w:type="spellStart"/>
      <w:r>
        <w:t>GaAs</w:t>
      </w:r>
      <w:proofErr w:type="spellEnd"/>
      <w:r>
        <w:t xml:space="preserve"> Concentrator Cells. In </w:t>
      </w:r>
      <w:r>
        <w:rPr>
          <w:i/>
          <w:iCs/>
        </w:rPr>
        <w:t>Solar Cells and their Applications</w:t>
      </w:r>
      <w:r>
        <w:t xml:space="preserve">, </w:t>
      </w:r>
      <w:proofErr w:type="spellStart"/>
      <w:r>
        <w:t>Partain</w:t>
      </w:r>
      <w:proofErr w:type="spellEnd"/>
      <w:r>
        <w:t>, L. D. (eds.), John Wiley &amp; Sons, (1995), 125</w:t>
      </w:r>
    </w:p>
    <w:p w:rsidR="00D4441A" w:rsidRDefault="00D4441A" w:rsidP="00D4441A">
      <w:pPr>
        <w:widowControl w:val="0"/>
        <w:autoSpaceDE w:val="0"/>
        <w:autoSpaceDN w:val="0"/>
        <w:adjustRightInd w:val="0"/>
        <w:jc w:val="both"/>
      </w:pPr>
      <w:r>
        <w:t>34.  Weinberg, L.</w:t>
      </w:r>
      <w:r>
        <w:rPr>
          <w:i/>
          <w:iCs/>
        </w:rPr>
        <w:t>, et al.</w:t>
      </w:r>
      <w:r>
        <w:t xml:space="preserve">, In </w:t>
      </w:r>
      <w:r>
        <w:rPr>
          <w:i/>
          <w:iCs/>
        </w:rPr>
        <w:t>Proceedings of the 18</w:t>
      </w:r>
      <w:r>
        <w:rPr>
          <w:i/>
          <w:iCs/>
          <w:vertAlign w:val="superscript"/>
        </w:rPr>
        <w:t>th</w:t>
      </w:r>
      <w:r>
        <w:rPr>
          <w:i/>
          <w:iCs/>
        </w:rPr>
        <w:t xml:space="preserve"> IEEE Photovoltaic Specialists Conference,</w:t>
      </w:r>
      <w:r>
        <w:t xml:space="preserve"> Las Vegas, Nevada, (1985), 5344</w:t>
      </w:r>
    </w:p>
    <w:p w:rsidR="00D4441A" w:rsidRDefault="00D4441A" w:rsidP="00D4441A">
      <w:pPr>
        <w:widowControl w:val="0"/>
        <w:autoSpaceDE w:val="0"/>
        <w:autoSpaceDN w:val="0"/>
        <w:adjustRightInd w:val="0"/>
        <w:jc w:val="both"/>
      </w:pPr>
      <w:r>
        <w:t xml:space="preserve">35.  </w:t>
      </w:r>
      <w:proofErr w:type="spellStart"/>
      <w:r>
        <w:t>Luque</w:t>
      </w:r>
      <w:proofErr w:type="spellEnd"/>
      <w:r>
        <w:t xml:space="preserve">, A., Concentrator Cells and Systems. In </w:t>
      </w:r>
      <w:r>
        <w:rPr>
          <w:i/>
          <w:iCs/>
        </w:rPr>
        <w:t>Clean Electricity from Photovoltaics</w:t>
      </w:r>
      <w:r>
        <w:t>, Archer, M. D., Hill, R. (eds.), Imperial College Press, London, U.K., (2001), 529</w:t>
      </w:r>
    </w:p>
    <w:p w:rsidR="00D4441A" w:rsidRDefault="00D4441A" w:rsidP="00D4441A">
      <w:pPr>
        <w:widowControl w:val="0"/>
        <w:autoSpaceDE w:val="0"/>
        <w:autoSpaceDN w:val="0"/>
        <w:adjustRightInd w:val="0"/>
        <w:jc w:val="both"/>
      </w:pPr>
      <w:r>
        <w:t xml:space="preserve">36.  </w:t>
      </w:r>
      <w:proofErr w:type="spellStart"/>
      <w:r>
        <w:t>Barnham</w:t>
      </w:r>
      <w:proofErr w:type="spellEnd"/>
      <w:r>
        <w:t>, K. W. J.</w:t>
      </w:r>
      <w:r>
        <w:rPr>
          <w:i/>
          <w:iCs/>
        </w:rPr>
        <w:t>, et al.</w:t>
      </w:r>
      <w:r>
        <w:t xml:space="preserve">, In </w:t>
      </w:r>
      <w:r>
        <w:rPr>
          <w:i/>
          <w:iCs/>
        </w:rPr>
        <w:t>Proceedings of the 3</w:t>
      </w:r>
      <w:r>
        <w:rPr>
          <w:i/>
          <w:iCs/>
          <w:vertAlign w:val="superscript"/>
        </w:rPr>
        <w:t>rd</w:t>
      </w:r>
      <w:r>
        <w:rPr>
          <w:i/>
          <w:iCs/>
        </w:rPr>
        <w:t xml:space="preserve"> World Conference on </w:t>
      </w:r>
      <w:proofErr w:type="spellStart"/>
      <w:r>
        <w:rPr>
          <w:i/>
          <w:iCs/>
        </w:rPr>
        <w:t>Photovaltaic</w:t>
      </w:r>
      <w:proofErr w:type="spellEnd"/>
      <w:r>
        <w:rPr>
          <w:i/>
          <w:iCs/>
        </w:rPr>
        <w:t xml:space="preserve"> Energy Conversion,</w:t>
      </w:r>
      <w:r>
        <w:t xml:space="preserve"> Osaka, Japan, (2003), 606</w:t>
      </w:r>
    </w:p>
    <w:p w:rsidR="00D4441A" w:rsidRDefault="00D4441A" w:rsidP="00D4441A">
      <w:pPr>
        <w:widowControl w:val="0"/>
        <w:autoSpaceDE w:val="0"/>
        <w:autoSpaceDN w:val="0"/>
        <w:adjustRightInd w:val="0"/>
        <w:jc w:val="both"/>
      </w:pPr>
      <w:r>
        <w:t xml:space="preserve">37.  Jackson, E. D., </w:t>
      </w:r>
      <w:r>
        <w:rPr>
          <w:i/>
          <w:iCs/>
        </w:rPr>
        <w:t>Transactions of Conference on the use of Solar Energy</w:t>
      </w:r>
      <w:r>
        <w:t xml:space="preserve"> (1958) </w:t>
      </w:r>
      <w:r>
        <w:rPr>
          <w:b/>
          <w:bCs/>
        </w:rPr>
        <w:t>5</w:t>
      </w:r>
      <w:r>
        <w:t>, 122</w:t>
      </w:r>
    </w:p>
    <w:p w:rsidR="00D4441A" w:rsidRDefault="00D4441A" w:rsidP="00D4441A">
      <w:pPr>
        <w:widowControl w:val="0"/>
        <w:autoSpaceDE w:val="0"/>
        <w:autoSpaceDN w:val="0"/>
        <w:adjustRightInd w:val="0"/>
        <w:jc w:val="both"/>
      </w:pPr>
      <w:r>
        <w:t xml:space="preserve">38.  </w:t>
      </w:r>
      <w:proofErr w:type="spellStart"/>
      <w:r>
        <w:t>Fraas</w:t>
      </w:r>
      <w:proofErr w:type="spellEnd"/>
      <w:r>
        <w:t xml:space="preserve">, L. M. and Avery, J. E., </w:t>
      </w:r>
      <w:r>
        <w:rPr>
          <w:i/>
          <w:iCs/>
        </w:rPr>
        <w:t>Optoelectronics-Devices and Technologies</w:t>
      </w:r>
      <w:r>
        <w:t xml:space="preserve"> (1990) </w:t>
      </w:r>
      <w:r>
        <w:rPr>
          <w:b/>
          <w:bCs/>
        </w:rPr>
        <w:t>5</w:t>
      </w:r>
      <w:r>
        <w:t>, 297</w:t>
      </w:r>
    </w:p>
    <w:p w:rsidR="00D4441A" w:rsidRDefault="00D4441A" w:rsidP="00D4441A">
      <w:pPr>
        <w:widowControl w:val="0"/>
        <w:autoSpaceDE w:val="0"/>
        <w:autoSpaceDN w:val="0"/>
        <w:adjustRightInd w:val="0"/>
        <w:jc w:val="both"/>
      </w:pPr>
      <w:r>
        <w:t xml:space="preserve">39.  </w:t>
      </w:r>
      <w:proofErr w:type="spellStart"/>
      <w:r>
        <w:t>Gokcen</w:t>
      </w:r>
      <w:proofErr w:type="spellEnd"/>
      <w:r>
        <w:t xml:space="preserve">, N. A. and </w:t>
      </w:r>
      <w:proofErr w:type="spellStart"/>
      <w:r>
        <w:t>Loferski</w:t>
      </w:r>
      <w:proofErr w:type="spellEnd"/>
      <w:r>
        <w:t xml:space="preserve">, J. J., </w:t>
      </w:r>
      <w:r>
        <w:rPr>
          <w:i/>
          <w:iCs/>
        </w:rPr>
        <w:t>Solar Energy Materials</w:t>
      </w:r>
      <w:r>
        <w:t xml:space="preserve"> (1979) </w:t>
      </w:r>
      <w:r>
        <w:rPr>
          <w:b/>
          <w:bCs/>
        </w:rPr>
        <w:t>1</w:t>
      </w:r>
      <w:r>
        <w:t>, 271</w:t>
      </w:r>
    </w:p>
    <w:p w:rsidR="00D4441A" w:rsidRDefault="00D4441A" w:rsidP="00D4441A">
      <w:pPr>
        <w:widowControl w:val="0"/>
        <w:autoSpaceDE w:val="0"/>
        <w:autoSpaceDN w:val="0"/>
        <w:adjustRightInd w:val="0"/>
        <w:jc w:val="both"/>
      </w:pPr>
      <w:r>
        <w:t xml:space="preserve">40.  Henry, C. H., </w:t>
      </w:r>
      <w:r>
        <w:rPr>
          <w:i/>
          <w:iCs/>
        </w:rPr>
        <w:t>Journal of Applied Physics</w:t>
      </w:r>
      <w:r>
        <w:t xml:space="preserve"> (1980) </w:t>
      </w:r>
      <w:r>
        <w:rPr>
          <w:b/>
          <w:bCs/>
        </w:rPr>
        <w:t>51</w:t>
      </w:r>
      <w:r>
        <w:t>, 4494</w:t>
      </w:r>
    </w:p>
    <w:p w:rsidR="00D4441A" w:rsidRDefault="00D4441A" w:rsidP="00D4441A">
      <w:pPr>
        <w:widowControl w:val="0"/>
        <w:autoSpaceDE w:val="0"/>
        <w:autoSpaceDN w:val="0"/>
        <w:adjustRightInd w:val="0"/>
        <w:jc w:val="both"/>
      </w:pPr>
      <w:r>
        <w:t>41.  Miles, R. W.</w:t>
      </w:r>
      <w:r>
        <w:rPr>
          <w:i/>
          <w:iCs/>
        </w:rPr>
        <w:t>, et al.</w:t>
      </w:r>
      <w:r>
        <w:t xml:space="preserve">, </w:t>
      </w:r>
      <w:r>
        <w:rPr>
          <w:i/>
          <w:iCs/>
        </w:rPr>
        <w:t>Progress in Crystal Growth and Characterization of Materials</w:t>
      </w:r>
      <w:r>
        <w:t xml:space="preserve"> (2005) </w:t>
      </w:r>
      <w:r>
        <w:rPr>
          <w:b/>
          <w:bCs/>
        </w:rPr>
        <w:t>51</w:t>
      </w:r>
      <w:r>
        <w:t>, 1</w:t>
      </w:r>
    </w:p>
    <w:p w:rsidR="00D4441A" w:rsidRDefault="00D4441A" w:rsidP="00D4441A">
      <w:pPr>
        <w:widowControl w:val="0"/>
        <w:autoSpaceDE w:val="0"/>
        <w:autoSpaceDN w:val="0"/>
        <w:adjustRightInd w:val="0"/>
        <w:jc w:val="both"/>
      </w:pPr>
      <w:r>
        <w:t>42.  Green, M. A.</w:t>
      </w:r>
      <w:r>
        <w:rPr>
          <w:i/>
          <w:iCs/>
        </w:rPr>
        <w:t>, et al.</w:t>
      </w:r>
      <w:r>
        <w:t xml:space="preserve">, </w:t>
      </w:r>
      <w:r>
        <w:rPr>
          <w:i/>
          <w:iCs/>
        </w:rPr>
        <w:t>Progress in Photovoltaics: Research and Applications</w:t>
      </w:r>
      <w:r>
        <w:t xml:space="preserve"> (2007) </w:t>
      </w:r>
      <w:r>
        <w:rPr>
          <w:b/>
          <w:bCs/>
        </w:rPr>
        <w:t>15</w:t>
      </w:r>
      <w:r>
        <w:t>, 35</w:t>
      </w:r>
    </w:p>
    <w:p w:rsidR="00D4441A" w:rsidRDefault="00D4441A" w:rsidP="00D4441A">
      <w:pPr>
        <w:widowControl w:val="0"/>
        <w:autoSpaceDE w:val="0"/>
        <w:autoSpaceDN w:val="0"/>
        <w:adjustRightInd w:val="0"/>
        <w:jc w:val="both"/>
      </w:pPr>
      <w:r>
        <w:t xml:space="preserve">43.  Bonnet, D. and </w:t>
      </w:r>
      <w:proofErr w:type="spellStart"/>
      <w:r>
        <w:t>Rabenhorst</w:t>
      </w:r>
      <w:proofErr w:type="spellEnd"/>
      <w:r>
        <w:t xml:space="preserve">, H., In </w:t>
      </w:r>
      <w:r>
        <w:rPr>
          <w:i/>
          <w:iCs/>
        </w:rPr>
        <w:t>Proceedings of the 9</w:t>
      </w:r>
      <w:r>
        <w:rPr>
          <w:i/>
          <w:iCs/>
          <w:vertAlign w:val="superscript"/>
        </w:rPr>
        <w:t>th</w:t>
      </w:r>
      <w:r>
        <w:rPr>
          <w:i/>
          <w:iCs/>
        </w:rPr>
        <w:t xml:space="preserve"> IEEE Photovoltaic Specialists Conference,</w:t>
      </w:r>
      <w:r>
        <w:t xml:space="preserve"> Silver Springs, Maryland, (1972), 129</w:t>
      </w:r>
    </w:p>
    <w:p w:rsidR="00D4441A" w:rsidRDefault="00D4441A" w:rsidP="00D4441A">
      <w:pPr>
        <w:widowControl w:val="0"/>
        <w:autoSpaceDE w:val="0"/>
        <w:autoSpaceDN w:val="0"/>
        <w:adjustRightInd w:val="0"/>
        <w:jc w:val="both"/>
      </w:pPr>
      <w:r>
        <w:t xml:space="preserve">44.  </w:t>
      </w:r>
      <w:proofErr w:type="spellStart"/>
      <w:r>
        <w:t>Aramoto</w:t>
      </w:r>
      <w:proofErr w:type="spellEnd"/>
      <w:r>
        <w:t>, T.</w:t>
      </w:r>
      <w:r>
        <w:rPr>
          <w:i/>
          <w:iCs/>
        </w:rPr>
        <w:t>, et al.</w:t>
      </w:r>
      <w:r>
        <w:t xml:space="preserve">, </w:t>
      </w:r>
      <w:r>
        <w:rPr>
          <w:i/>
          <w:iCs/>
        </w:rPr>
        <w:t>Japanese Journal of Applied Physics</w:t>
      </w:r>
      <w:r>
        <w:t xml:space="preserve"> (1997) </w:t>
      </w:r>
      <w:r>
        <w:rPr>
          <w:b/>
          <w:bCs/>
        </w:rPr>
        <w:t>36</w:t>
      </w:r>
      <w:r>
        <w:t>, 6304</w:t>
      </w:r>
    </w:p>
    <w:p w:rsidR="00D4441A" w:rsidRDefault="00D4441A" w:rsidP="00D4441A">
      <w:pPr>
        <w:widowControl w:val="0"/>
        <w:autoSpaceDE w:val="0"/>
        <w:autoSpaceDN w:val="0"/>
        <w:adjustRightInd w:val="0"/>
        <w:jc w:val="both"/>
      </w:pPr>
      <w:r>
        <w:t>45.  Romeo, N.</w:t>
      </w:r>
      <w:r>
        <w:rPr>
          <w:i/>
          <w:iCs/>
        </w:rPr>
        <w:t>, et al.</w:t>
      </w:r>
      <w:r>
        <w:t xml:space="preserve">, In </w:t>
      </w:r>
      <w:r>
        <w:rPr>
          <w:i/>
          <w:iCs/>
        </w:rPr>
        <w:t>Proceedings of the 14</w:t>
      </w:r>
      <w:r>
        <w:rPr>
          <w:i/>
          <w:iCs/>
          <w:vertAlign w:val="superscript"/>
        </w:rPr>
        <w:t>th</w:t>
      </w:r>
      <w:r>
        <w:rPr>
          <w:i/>
          <w:iCs/>
        </w:rPr>
        <w:t xml:space="preserve"> European Photovoltaic Solar Energy Conference,</w:t>
      </w:r>
      <w:r>
        <w:t xml:space="preserve"> Barcelona, Spain, (1997), 2351</w:t>
      </w:r>
    </w:p>
    <w:p w:rsidR="00D4441A" w:rsidRDefault="00D4441A" w:rsidP="00D4441A">
      <w:pPr>
        <w:widowControl w:val="0"/>
        <w:autoSpaceDE w:val="0"/>
        <w:autoSpaceDN w:val="0"/>
        <w:adjustRightInd w:val="0"/>
        <w:jc w:val="both"/>
      </w:pPr>
      <w:r>
        <w:t xml:space="preserve">46.  </w:t>
      </w:r>
      <w:proofErr w:type="spellStart"/>
      <w:r>
        <w:t>Takamoto</w:t>
      </w:r>
      <w:proofErr w:type="spellEnd"/>
      <w:r>
        <w:t>, T.</w:t>
      </w:r>
      <w:r>
        <w:rPr>
          <w:i/>
          <w:iCs/>
        </w:rPr>
        <w:t>, et al.</w:t>
      </w:r>
      <w:r>
        <w:t xml:space="preserve">, </w:t>
      </w:r>
      <w:r>
        <w:rPr>
          <w:i/>
          <w:iCs/>
        </w:rPr>
        <w:t>Solar Energy Materials and Solar Cells</w:t>
      </w:r>
      <w:r>
        <w:t xml:space="preserve"> (1997) </w:t>
      </w:r>
      <w:r>
        <w:rPr>
          <w:b/>
          <w:bCs/>
        </w:rPr>
        <w:t>49</w:t>
      </w:r>
      <w:r>
        <w:t>, 219</w:t>
      </w:r>
    </w:p>
    <w:p w:rsidR="00D4441A" w:rsidRDefault="00D4441A" w:rsidP="00D4441A">
      <w:pPr>
        <w:widowControl w:val="0"/>
        <w:autoSpaceDE w:val="0"/>
        <w:autoSpaceDN w:val="0"/>
        <w:adjustRightInd w:val="0"/>
        <w:jc w:val="both"/>
      </w:pPr>
      <w:r>
        <w:t>47.  Morris, G. C.</w:t>
      </w:r>
      <w:r>
        <w:rPr>
          <w:i/>
          <w:iCs/>
        </w:rPr>
        <w:t>, et al.</w:t>
      </w:r>
      <w:r>
        <w:t xml:space="preserve">, In </w:t>
      </w:r>
      <w:r>
        <w:rPr>
          <w:i/>
          <w:iCs/>
        </w:rPr>
        <w:t>Proceedings of the 21</w:t>
      </w:r>
      <w:r>
        <w:rPr>
          <w:i/>
          <w:iCs/>
          <w:vertAlign w:val="superscript"/>
        </w:rPr>
        <w:t>st</w:t>
      </w:r>
      <w:r>
        <w:rPr>
          <w:i/>
          <w:iCs/>
        </w:rPr>
        <w:t xml:space="preserve"> IEEE Photovoltaic Specialists Conference,</w:t>
      </w:r>
      <w:r>
        <w:t xml:space="preserve"> Kissimmee, Florida, (1990), 575</w:t>
      </w:r>
    </w:p>
    <w:p w:rsidR="00D4441A" w:rsidRDefault="00D4441A" w:rsidP="00D4441A">
      <w:pPr>
        <w:widowControl w:val="0"/>
        <w:autoSpaceDE w:val="0"/>
        <w:autoSpaceDN w:val="0"/>
        <w:adjustRightInd w:val="0"/>
        <w:jc w:val="both"/>
      </w:pPr>
      <w:r>
        <w:t xml:space="preserve">48.  Chu, T. L. and Chu, S. S., </w:t>
      </w:r>
      <w:r>
        <w:rPr>
          <w:i/>
          <w:iCs/>
        </w:rPr>
        <w:t>Solid-State Electronics</w:t>
      </w:r>
      <w:r>
        <w:t xml:space="preserve"> (1995) </w:t>
      </w:r>
      <w:r>
        <w:rPr>
          <w:b/>
          <w:bCs/>
        </w:rPr>
        <w:t>38</w:t>
      </w:r>
      <w:r>
        <w:t>, 533</w:t>
      </w:r>
    </w:p>
    <w:p w:rsidR="00D4441A" w:rsidRDefault="00D4441A" w:rsidP="00D4441A">
      <w:pPr>
        <w:widowControl w:val="0"/>
        <w:autoSpaceDE w:val="0"/>
        <w:autoSpaceDN w:val="0"/>
        <w:adjustRightInd w:val="0"/>
        <w:jc w:val="both"/>
      </w:pPr>
      <w:r>
        <w:t>49.  Zoppi, G.</w:t>
      </w:r>
      <w:r>
        <w:rPr>
          <w:i/>
          <w:iCs/>
        </w:rPr>
        <w:t>, et al.</w:t>
      </w:r>
      <w:r>
        <w:t xml:space="preserve">, </w:t>
      </w:r>
      <w:r>
        <w:rPr>
          <w:i/>
          <w:iCs/>
        </w:rPr>
        <w:t>Semiconductor Science and Technology</w:t>
      </w:r>
      <w:r>
        <w:t xml:space="preserve"> (2006) </w:t>
      </w:r>
      <w:r>
        <w:rPr>
          <w:b/>
          <w:bCs/>
        </w:rPr>
        <w:t>21</w:t>
      </w:r>
      <w:r>
        <w:t>, 763</w:t>
      </w:r>
    </w:p>
    <w:p w:rsidR="00D4441A" w:rsidRDefault="00D4441A" w:rsidP="00D4441A">
      <w:pPr>
        <w:widowControl w:val="0"/>
        <w:autoSpaceDE w:val="0"/>
        <w:autoSpaceDN w:val="0"/>
        <w:adjustRightInd w:val="0"/>
        <w:jc w:val="both"/>
      </w:pPr>
      <w:r>
        <w:t>50.  Edwards, P. R.</w:t>
      </w:r>
      <w:r>
        <w:rPr>
          <w:i/>
          <w:iCs/>
        </w:rPr>
        <w:t>, et al.</w:t>
      </w:r>
      <w:r>
        <w:t xml:space="preserve">, In </w:t>
      </w:r>
      <w:r>
        <w:rPr>
          <w:i/>
          <w:iCs/>
        </w:rPr>
        <w:t>Proceedings of the 2</w:t>
      </w:r>
      <w:r>
        <w:rPr>
          <w:i/>
          <w:iCs/>
          <w:vertAlign w:val="superscript"/>
        </w:rPr>
        <w:t>nd</w:t>
      </w:r>
      <w:r>
        <w:rPr>
          <w:i/>
          <w:iCs/>
        </w:rPr>
        <w:t xml:space="preserve"> World Conference on Photovoltaic Solar Energy Conversion,</w:t>
      </w:r>
      <w:r>
        <w:t xml:space="preserve"> Vienna, Austria, (1998), 472</w:t>
      </w:r>
    </w:p>
    <w:p w:rsidR="00D4441A" w:rsidRDefault="00D4441A" w:rsidP="00D4441A">
      <w:pPr>
        <w:widowControl w:val="0"/>
        <w:autoSpaceDE w:val="0"/>
        <w:autoSpaceDN w:val="0"/>
        <w:adjustRightInd w:val="0"/>
        <w:jc w:val="both"/>
      </w:pPr>
      <w:r>
        <w:t>51.  Jensen, D. G.</w:t>
      </w:r>
      <w:r>
        <w:rPr>
          <w:i/>
          <w:iCs/>
        </w:rPr>
        <w:t>, et al.</w:t>
      </w:r>
      <w:r>
        <w:t xml:space="preserve">, In </w:t>
      </w:r>
      <w:r>
        <w:rPr>
          <w:i/>
          <w:iCs/>
        </w:rPr>
        <w:t>Proceedings of the 25</w:t>
      </w:r>
      <w:r>
        <w:rPr>
          <w:i/>
          <w:iCs/>
          <w:vertAlign w:val="superscript"/>
        </w:rPr>
        <w:t>th</w:t>
      </w:r>
      <w:r>
        <w:rPr>
          <w:i/>
          <w:iCs/>
        </w:rPr>
        <w:t xml:space="preserve"> IEEE Photovoltaic Specialists Conference,</w:t>
      </w:r>
      <w:r>
        <w:t xml:space="preserve"> Washington, USA, (1996), 773</w:t>
      </w:r>
    </w:p>
    <w:p w:rsidR="00D4441A" w:rsidRDefault="00D4441A" w:rsidP="00D4441A">
      <w:pPr>
        <w:widowControl w:val="0"/>
        <w:autoSpaceDE w:val="0"/>
        <w:autoSpaceDN w:val="0"/>
        <w:adjustRightInd w:val="0"/>
        <w:jc w:val="both"/>
      </w:pPr>
      <w:r>
        <w:t xml:space="preserve">52.  Meyers, P. E., </w:t>
      </w:r>
      <w:r>
        <w:rPr>
          <w:i/>
          <w:iCs/>
        </w:rPr>
        <w:t>Solar Cells</w:t>
      </w:r>
      <w:r>
        <w:t xml:space="preserve"> (1988) </w:t>
      </w:r>
      <w:r>
        <w:rPr>
          <w:b/>
          <w:bCs/>
        </w:rPr>
        <w:t>23</w:t>
      </w:r>
      <w:r>
        <w:t>, 59</w:t>
      </w:r>
    </w:p>
    <w:p w:rsidR="00D4441A" w:rsidRDefault="00D4441A" w:rsidP="00D4441A">
      <w:pPr>
        <w:widowControl w:val="0"/>
        <w:autoSpaceDE w:val="0"/>
        <w:autoSpaceDN w:val="0"/>
        <w:adjustRightInd w:val="0"/>
        <w:jc w:val="both"/>
      </w:pPr>
      <w:r>
        <w:t>53.  Romeo, A.</w:t>
      </w:r>
      <w:r>
        <w:rPr>
          <w:i/>
          <w:iCs/>
        </w:rPr>
        <w:t>, et al.</w:t>
      </w:r>
      <w:r>
        <w:t xml:space="preserve">, In </w:t>
      </w:r>
      <w:r>
        <w:rPr>
          <w:i/>
          <w:iCs/>
        </w:rPr>
        <w:t>Proceedings of the 2</w:t>
      </w:r>
      <w:r>
        <w:rPr>
          <w:i/>
          <w:iCs/>
          <w:vertAlign w:val="superscript"/>
        </w:rPr>
        <w:t>nd</w:t>
      </w:r>
      <w:r>
        <w:rPr>
          <w:i/>
          <w:iCs/>
        </w:rPr>
        <w:t xml:space="preserve"> World Conference on Photovoltaic Solar Energy Conversion,</w:t>
      </w:r>
      <w:r>
        <w:t xml:space="preserve"> Vienna, Austria, (1998), 1105</w:t>
      </w:r>
    </w:p>
    <w:p w:rsidR="00D4441A" w:rsidRDefault="00D4441A" w:rsidP="00D4441A">
      <w:pPr>
        <w:widowControl w:val="0"/>
        <w:autoSpaceDE w:val="0"/>
        <w:autoSpaceDN w:val="0"/>
        <w:adjustRightInd w:val="0"/>
        <w:jc w:val="both"/>
      </w:pPr>
      <w:r>
        <w:t xml:space="preserve">54.  Bonnet, D., </w:t>
      </w:r>
      <w:r>
        <w:rPr>
          <w:i/>
          <w:iCs/>
        </w:rPr>
        <w:t>Thin Solid Films</w:t>
      </w:r>
      <w:r>
        <w:t xml:space="preserve"> (2000) </w:t>
      </w:r>
      <w:r>
        <w:rPr>
          <w:b/>
          <w:bCs/>
        </w:rPr>
        <w:t>361-362</w:t>
      </w:r>
      <w:r>
        <w:t>, 547</w:t>
      </w:r>
    </w:p>
    <w:p w:rsidR="00D4441A" w:rsidRDefault="00D4441A" w:rsidP="00D4441A">
      <w:pPr>
        <w:widowControl w:val="0"/>
        <w:autoSpaceDE w:val="0"/>
        <w:autoSpaceDN w:val="0"/>
        <w:adjustRightInd w:val="0"/>
        <w:jc w:val="both"/>
      </w:pPr>
      <w:r>
        <w:t>55.  Rose, D.</w:t>
      </w:r>
      <w:r>
        <w:rPr>
          <w:i/>
          <w:iCs/>
        </w:rPr>
        <w:t>, et al.</w:t>
      </w:r>
      <w:r>
        <w:t xml:space="preserve">, In </w:t>
      </w:r>
      <w:r>
        <w:rPr>
          <w:i/>
          <w:iCs/>
        </w:rPr>
        <w:t>Proceedings of the 29</w:t>
      </w:r>
      <w:r w:rsidRPr="00D4441A">
        <w:rPr>
          <w:i/>
          <w:iCs/>
          <w:vertAlign w:val="superscript"/>
        </w:rPr>
        <w:t>th</w:t>
      </w:r>
      <w:r>
        <w:rPr>
          <w:i/>
          <w:iCs/>
        </w:rPr>
        <w:t xml:space="preserve"> IEEE Photovoltaic Specialists Conference,</w:t>
      </w:r>
      <w:r>
        <w:t xml:space="preserve"> New Orleans, (2002), 555</w:t>
      </w:r>
    </w:p>
    <w:p w:rsidR="00D4441A" w:rsidRDefault="00D4441A" w:rsidP="00D4441A">
      <w:pPr>
        <w:widowControl w:val="0"/>
        <w:autoSpaceDE w:val="0"/>
        <w:autoSpaceDN w:val="0"/>
        <w:adjustRightInd w:val="0"/>
        <w:jc w:val="both"/>
      </w:pPr>
      <w:r>
        <w:t xml:space="preserve">56.  </w:t>
      </w:r>
      <w:proofErr w:type="spellStart"/>
      <w:r>
        <w:t>Eaglesham</w:t>
      </w:r>
      <w:proofErr w:type="spellEnd"/>
      <w:r>
        <w:t xml:space="preserve">, D., Scalable, </w:t>
      </w:r>
      <w:proofErr w:type="spellStart"/>
      <w:r>
        <w:t>Manufacturable</w:t>
      </w:r>
      <w:proofErr w:type="spellEnd"/>
      <w:r>
        <w:t xml:space="preserve">, TF-on-glass: from $1.59/W to $1/W, </w:t>
      </w:r>
      <w:r>
        <w:rPr>
          <w:i/>
          <w:iCs/>
        </w:rPr>
        <w:t>Presented at the Thin-Film Compound Semiconductor Photovoltaics Symposium, Materials Research Society Spring Meeting</w:t>
      </w:r>
      <w:r>
        <w:t>, (2007)</w:t>
      </w:r>
    </w:p>
    <w:p w:rsidR="00D60180" w:rsidRDefault="00D60180" w:rsidP="00D4441A">
      <w:pPr>
        <w:widowControl w:val="0"/>
        <w:autoSpaceDE w:val="0"/>
        <w:autoSpaceDN w:val="0"/>
        <w:adjustRightInd w:val="0"/>
        <w:jc w:val="both"/>
      </w:pPr>
      <w:r>
        <w:t>57.  Contreras, M. A.</w:t>
      </w:r>
      <w:r>
        <w:rPr>
          <w:i/>
          <w:iCs/>
        </w:rPr>
        <w:t>, et al.</w:t>
      </w:r>
      <w:r>
        <w:t xml:space="preserve">, In </w:t>
      </w:r>
      <w:r>
        <w:rPr>
          <w:i/>
          <w:iCs/>
        </w:rPr>
        <w:t>Proceedings of the 1</w:t>
      </w:r>
      <w:r>
        <w:rPr>
          <w:i/>
          <w:iCs/>
          <w:vertAlign w:val="superscript"/>
        </w:rPr>
        <w:t>st</w:t>
      </w:r>
      <w:r w:rsidR="003833A8">
        <w:rPr>
          <w:i/>
          <w:iCs/>
        </w:rPr>
        <w:t xml:space="preserve"> IEEE World Conference o</w:t>
      </w:r>
      <w:r>
        <w:rPr>
          <w:i/>
          <w:iCs/>
        </w:rPr>
        <w:t>n Photovoltaic Energy Conversion,</w:t>
      </w:r>
      <w:r>
        <w:t xml:space="preserve"> Hawaii, (1994), 68</w:t>
      </w:r>
    </w:p>
    <w:p w:rsidR="00D4441A" w:rsidRDefault="00D4441A" w:rsidP="00D4441A">
      <w:pPr>
        <w:widowControl w:val="0"/>
        <w:autoSpaceDE w:val="0"/>
        <w:autoSpaceDN w:val="0"/>
        <w:adjustRightInd w:val="0"/>
        <w:jc w:val="both"/>
      </w:pPr>
      <w:r>
        <w:t>5</w:t>
      </w:r>
      <w:r w:rsidR="00D60180">
        <w:t>8</w:t>
      </w:r>
      <w:r>
        <w:t>.  Romeo, A.</w:t>
      </w:r>
      <w:r>
        <w:rPr>
          <w:i/>
          <w:iCs/>
        </w:rPr>
        <w:t>, et al.</w:t>
      </w:r>
      <w:r>
        <w:t xml:space="preserve">, </w:t>
      </w:r>
      <w:r>
        <w:rPr>
          <w:i/>
          <w:iCs/>
        </w:rPr>
        <w:t>Progress in Photovoltaics: Research and Applications</w:t>
      </w:r>
      <w:r>
        <w:t xml:space="preserve"> (2004) </w:t>
      </w:r>
      <w:r>
        <w:rPr>
          <w:b/>
          <w:bCs/>
        </w:rPr>
        <w:t>12</w:t>
      </w:r>
      <w:r>
        <w:t>, 93</w:t>
      </w:r>
    </w:p>
    <w:p w:rsidR="00D4441A" w:rsidRDefault="00D4441A" w:rsidP="00D4441A">
      <w:pPr>
        <w:widowControl w:val="0"/>
        <w:autoSpaceDE w:val="0"/>
        <w:autoSpaceDN w:val="0"/>
        <w:adjustRightInd w:val="0"/>
        <w:jc w:val="both"/>
      </w:pPr>
      <w:r>
        <w:t>5</w:t>
      </w:r>
      <w:r w:rsidR="00D60180">
        <w:t>9</w:t>
      </w:r>
      <w:r>
        <w:t xml:space="preserve">.  </w:t>
      </w:r>
      <w:proofErr w:type="spellStart"/>
      <w:r>
        <w:t>Rudmann</w:t>
      </w:r>
      <w:proofErr w:type="spellEnd"/>
      <w:r>
        <w:t>, D.</w:t>
      </w:r>
      <w:r>
        <w:rPr>
          <w:i/>
          <w:iCs/>
        </w:rPr>
        <w:t>, et al.</w:t>
      </w:r>
      <w:r>
        <w:t xml:space="preserve">, </w:t>
      </w:r>
      <w:r>
        <w:rPr>
          <w:i/>
          <w:iCs/>
        </w:rPr>
        <w:t>Thin Solid Films</w:t>
      </w:r>
      <w:r>
        <w:t xml:space="preserve"> (2005) </w:t>
      </w:r>
      <w:r>
        <w:rPr>
          <w:b/>
          <w:bCs/>
        </w:rPr>
        <w:t>480-481</w:t>
      </w:r>
      <w:r>
        <w:t>, 55</w:t>
      </w:r>
    </w:p>
    <w:p w:rsidR="00D4441A" w:rsidRDefault="00D60180" w:rsidP="00D4441A">
      <w:pPr>
        <w:widowControl w:val="0"/>
        <w:autoSpaceDE w:val="0"/>
        <w:autoSpaceDN w:val="0"/>
        <w:adjustRightInd w:val="0"/>
        <w:jc w:val="both"/>
      </w:pPr>
      <w:r>
        <w:t>60</w:t>
      </w:r>
      <w:r w:rsidR="00D4441A">
        <w:t xml:space="preserve">.  </w:t>
      </w:r>
      <w:proofErr w:type="spellStart"/>
      <w:r w:rsidR="00D4441A">
        <w:t>Rudmann</w:t>
      </w:r>
      <w:proofErr w:type="spellEnd"/>
      <w:r w:rsidR="00D4441A">
        <w:t>, D.</w:t>
      </w:r>
      <w:r w:rsidR="00D4441A">
        <w:rPr>
          <w:i/>
          <w:iCs/>
        </w:rPr>
        <w:t>, et al.</w:t>
      </w:r>
      <w:r w:rsidR="00D4441A">
        <w:t xml:space="preserve">, </w:t>
      </w:r>
      <w:r w:rsidR="00D4441A">
        <w:rPr>
          <w:i/>
          <w:iCs/>
        </w:rPr>
        <w:t>Applied Physics Letters</w:t>
      </w:r>
      <w:r w:rsidR="00D4441A">
        <w:t xml:space="preserve"> (2004) </w:t>
      </w:r>
      <w:r w:rsidR="00D4441A">
        <w:rPr>
          <w:b/>
          <w:bCs/>
        </w:rPr>
        <w:t>84</w:t>
      </w:r>
      <w:r w:rsidR="00D4441A">
        <w:t>, 1129</w:t>
      </w:r>
    </w:p>
    <w:p w:rsidR="00D4441A" w:rsidRDefault="00D60180" w:rsidP="00D4441A">
      <w:pPr>
        <w:widowControl w:val="0"/>
        <w:autoSpaceDE w:val="0"/>
        <w:autoSpaceDN w:val="0"/>
        <w:adjustRightInd w:val="0"/>
        <w:jc w:val="both"/>
      </w:pPr>
      <w:r>
        <w:t>61</w:t>
      </w:r>
      <w:r w:rsidR="00D4441A">
        <w:t xml:space="preserve">.  </w:t>
      </w:r>
      <w:proofErr w:type="spellStart"/>
      <w:r w:rsidR="00D4441A">
        <w:t>Granata</w:t>
      </w:r>
      <w:proofErr w:type="spellEnd"/>
      <w:r w:rsidR="00D4441A">
        <w:t xml:space="preserve">, J. E. and Sites, J. R., In </w:t>
      </w:r>
      <w:r w:rsidR="00D4441A">
        <w:rPr>
          <w:i/>
          <w:iCs/>
        </w:rPr>
        <w:t>Proceedings of the 2</w:t>
      </w:r>
      <w:r w:rsidR="00D4441A">
        <w:rPr>
          <w:i/>
          <w:iCs/>
          <w:vertAlign w:val="superscript"/>
        </w:rPr>
        <w:t>nd</w:t>
      </w:r>
      <w:r w:rsidR="00D4441A">
        <w:rPr>
          <w:i/>
          <w:iCs/>
        </w:rPr>
        <w:t xml:space="preserve"> World Conference on Photovoltaic Solar Energy Conversion,</w:t>
      </w:r>
      <w:r w:rsidR="00D4441A">
        <w:t xml:space="preserve"> Vienna, (1998), 604</w:t>
      </w:r>
    </w:p>
    <w:p w:rsidR="00D4441A" w:rsidRDefault="00D60180" w:rsidP="00D4441A">
      <w:pPr>
        <w:widowControl w:val="0"/>
        <w:autoSpaceDE w:val="0"/>
        <w:autoSpaceDN w:val="0"/>
        <w:adjustRightInd w:val="0"/>
        <w:jc w:val="both"/>
      </w:pPr>
      <w:r>
        <w:t>62</w:t>
      </w:r>
      <w:r w:rsidR="00D4441A">
        <w:t>.  Niles, D. W.</w:t>
      </w:r>
      <w:r w:rsidR="00D4441A">
        <w:rPr>
          <w:i/>
          <w:iCs/>
        </w:rPr>
        <w:t>, et al.</w:t>
      </w:r>
      <w:r w:rsidR="00D4441A">
        <w:t xml:space="preserve">, </w:t>
      </w:r>
      <w:r w:rsidR="00D4441A">
        <w:rPr>
          <w:i/>
          <w:iCs/>
        </w:rPr>
        <w:t>Journal of Vacuum Science &amp; Technology A-Vacuum Surfaces and Films</w:t>
      </w:r>
      <w:r w:rsidR="00D4441A">
        <w:t xml:space="preserve"> (1997) </w:t>
      </w:r>
      <w:r w:rsidR="00D4441A">
        <w:rPr>
          <w:b/>
          <w:bCs/>
        </w:rPr>
        <w:t>15</w:t>
      </w:r>
      <w:r w:rsidR="00D4441A">
        <w:t>, 3044</w:t>
      </w:r>
    </w:p>
    <w:p w:rsidR="00D4441A" w:rsidRDefault="00D60180" w:rsidP="00D4441A">
      <w:pPr>
        <w:widowControl w:val="0"/>
        <w:autoSpaceDE w:val="0"/>
        <w:autoSpaceDN w:val="0"/>
        <w:adjustRightInd w:val="0"/>
        <w:jc w:val="both"/>
      </w:pPr>
      <w:r>
        <w:t>63</w:t>
      </w:r>
      <w:r w:rsidR="00D4441A">
        <w:t xml:space="preserve">.  </w:t>
      </w:r>
      <w:proofErr w:type="spellStart"/>
      <w:r w:rsidR="00D4441A">
        <w:t>Siebentritt</w:t>
      </w:r>
      <w:proofErr w:type="spellEnd"/>
      <w:r w:rsidR="00D4441A">
        <w:t xml:space="preserve">, S., </w:t>
      </w:r>
      <w:r w:rsidR="00D4441A">
        <w:rPr>
          <w:i/>
          <w:iCs/>
        </w:rPr>
        <w:t>Solar Energy</w:t>
      </w:r>
      <w:r w:rsidR="00D4441A">
        <w:t xml:space="preserve"> (2004) </w:t>
      </w:r>
      <w:r w:rsidR="00D4441A">
        <w:rPr>
          <w:b/>
          <w:bCs/>
        </w:rPr>
        <w:t>77</w:t>
      </w:r>
      <w:r w:rsidR="00D4441A">
        <w:t>, 767</w:t>
      </w:r>
    </w:p>
    <w:p w:rsidR="00D4441A" w:rsidRDefault="00D60180" w:rsidP="00D4441A">
      <w:pPr>
        <w:widowControl w:val="0"/>
        <w:autoSpaceDE w:val="0"/>
        <w:autoSpaceDN w:val="0"/>
        <w:adjustRightInd w:val="0"/>
        <w:jc w:val="both"/>
      </w:pPr>
      <w:r>
        <w:t>64</w:t>
      </w:r>
      <w:r w:rsidR="00D4441A">
        <w:t>.  Minemoto, T.</w:t>
      </w:r>
      <w:r w:rsidR="00D4441A">
        <w:rPr>
          <w:i/>
          <w:iCs/>
        </w:rPr>
        <w:t>, et al.</w:t>
      </w:r>
      <w:r w:rsidR="00D4441A">
        <w:t xml:space="preserve">, </w:t>
      </w:r>
      <w:r w:rsidR="00D4441A">
        <w:rPr>
          <w:i/>
          <w:iCs/>
        </w:rPr>
        <w:t>Thin Solid Films</w:t>
      </w:r>
      <w:r w:rsidR="00D4441A">
        <w:t xml:space="preserve"> (2000) </w:t>
      </w:r>
      <w:r w:rsidR="00D4441A">
        <w:rPr>
          <w:b/>
          <w:bCs/>
        </w:rPr>
        <w:t>372</w:t>
      </w:r>
      <w:r w:rsidR="00D4441A">
        <w:t>, 173</w:t>
      </w:r>
    </w:p>
    <w:p w:rsidR="00D4441A" w:rsidRDefault="00D60180" w:rsidP="00D4441A">
      <w:pPr>
        <w:widowControl w:val="0"/>
        <w:autoSpaceDE w:val="0"/>
        <w:autoSpaceDN w:val="0"/>
        <w:adjustRightInd w:val="0"/>
        <w:jc w:val="both"/>
      </w:pPr>
      <w:r>
        <w:t>65</w:t>
      </w:r>
      <w:r w:rsidR="00D4441A">
        <w:t xml:space="preserve">.  </w:t>
      </w:r>
      <w:proofErr w:type="spellStart"/>
      <w:r w:rsidR="00D4441A">
        <w:t>Weinhardt</w:t>
      </w:r>
      <w:proofErr w:type="spellEnd"/>
      <w:r w:rsidR="00D4441A">
        <w:t>, L.</w:t>
      </w:r>
      <w:r w:rsidR="00D4441A">
        <w:rPr>
          <w:i/>
          <w:iCs/>
        </w:rPr>
        <w:t>, et al.</w:t>
      </w:r>
      <w:r w:rsidR="00D4441A">
        <w:t xml:space="preserve">, </w:t>
      </w:r>
      <w:r w:rsidR="00D4441A">
        <w:rPr>
          <w:i/>
          <w:iCs/>
        </w:rPr>
        <w:t>Thin Solid Films</w:t>
      </w:r>
      <w:r w:rsidR="00D4441A">
        <w:t xml:space="preserve"> (2003) </w:t>
      </w:r>
      <w:r w:rsidR="00D4441A">
        <w:rPr>
          <w:b/>
          <w:bCs/>
        </w:rPr>
        <w:t>431-432</w:t>
      </w:r>
      <w:r w:rsidR="00D4441A">
        <w:t>, 272</w:t>
      </w:r>
    </w:p>
    <w:p w:rsidR="006E6615" w:rsidRDefault="006E6615" w:rsidP="00D4441A">
      <w:pPr>
        <w:autoSpaceDE w:val="0"/>
        <w:autoSpaceDN w:val="0"/>
        <w:adjustRightInd w:val="0"/>
        <w:jc w:val="both"/>
      </w:pPr>
    </w:p>
    <w:p w:rsidR="006E6615" w:rsidRDefault="006E6615" w:rsidP="00D4441A">
      <w:pPr>
        <w:autoSpaceDE w:val="0"/>
        <w:autoSpaceDN w:val="0"/>
        <w:adjustRightInd w:val="0"/>
        <w:jc w:val="both"/>
        <w:rPr>
          <w:rFonts w:ascii="Arial" w:hAnsi="Arial" w:cs="Arial"/>
          <w:sz w:val="20"/>
          <w:szCs w:val="20"/>
        </w:rPr>
      </w:pPr>
    </w:p>
    <w:p w:rsidR="006E6615" w:rsidRDefault="006E6615" w:rsidP="006E6615">
      <w:pPr>
        <w:ind w:left="280" w:hanging="280"/>
        <w:rPr>
          <w:b/>
          <w:u w:val="single"/>
        </w:rPr>
      </w:pPr>
      <w:r>
        <w:br w:type="page"/>
      </w:r>
      <w:r>
        <w:rPr>
          <w:b/>
          <w:u w:val="single"/>
        </w:rPr>
        <w:t>List of Figures</w:t>
      </w:r>
    </w:p>
    <w:p w:rsidR="006E6615" w:rsidRDefault="006E6615" w:rsidP="006E6615">
      <w:pPr>
        <w:jc w:val="both"/>
        <w:outlineLvl w:val="0"/>
        <w:rPr>
          <w:b/>
          <w:u w:val="single"/>
        </w:rPr>
      </w:pPr>
    </w:p>
    <w:p w:rsidR="007222B3" w:rsidRDefault="007222B3" w:rsidP="007222B3">
      <w:pPr>
        <w:jc w:val="both"/>
        <w:outlineLvl w:val="0"/>
      </w:pPr>
      <w:r>
        <w:t>Fig. 1: The market share of photovoltaic solar cell types sold during 2006.</w:t>
      </w:r>
    </w:p>
    <w:p w:rsidR="007222B3" w:rsidRDefault="007222B3" w:rsidP="006E6615">
      <w:pPr>
        <w:jc w:val="both"/>
        <w:outlineLvl w:val="0"/>
      </w:pPr>
    </w:p>
    <w:p w:rsidR="007222B3" w:rsidRDefault="007222B3" w:rsidP="006E6615">
      <w:pPr>
        <w:jc w:val="both"/>
        <w:outlineLvl w:val="0"/>
      </w:pPr>
    </w:p>
    <w:p w:rsidR="007027F0" w:rsidRDefault="007027F0" w:rsidP="006E6615">
      <w:pPr>
        <w:jc w:val="both"/>
        <w:outlineLvl w:val="0"/>
      </w:pPr>
      <w:r w:rsidRPr="007027F0">
        <w:t>Fig.</w:t>
      </w:r>
      <w:r w:rsidR="003239CC">
        <w:t xml:space="preserve"> </w:t>
      </w:r>
      <w:r w:rsidR="007222B3">
        <w:t>2</w:t>
      </w:r>
      <w:r>
        <w:t xml:space="preserve">: </w:t>
      </w:r>
      <w:r w:rsidR="007222B3">
        <w:t>(a)</w:t>
      </w:r>
      <w:r w:rsidR="00416556">
        <w:t xml:space="preserve">The 40 </w:t>
      </w:r>
      <w:proofErr w:type="spellStart"/>
      <w:r w:rsidR="00416556">
        <w:t>kWp</w:t>
      </w:r>
      <w:proofErr w:type="spellEnd"/>
      <w:r w:rsidR="00416556">
        <w:t xml:space="preserve"> façade of the Northumberland building at Northumbria University</w:t>
      </w:r>
      <w:r w:rsidR="009E1DFD">
        <w:t>, UK</w:t>
      </w:r>
      <w:r w:rsidR="006E2BD3">
        <w:t xml:space="preserve"> which uses the crystalline silicon solar modules manufactured by BP Solar. (Saturn modules).</w:t>
      </w:r>
      <w:r w:rsidR="007222B3">
        <w:t xml:space="preserve"> (b)</w:t>
      </w:r>
      <w:r w:rsidR="009E1DFD">
        <w:t xml:space="preserve">The 85 </w:t>
      </w:r>
      <w:proofErr w:type="spellStart"/>
      <w:r w:rsidR="009E1DFD">
        <w:t>kWp</w:t>
      </w:r>
      <w:proofErr w:type="spellEnd"/>
      <w:r w:rsidR="009E1DFD">
        <w:t xml:space="preserve"> </w:t>
      </w:r>
      <w:r w:rsidR="006F0578">
        <w:t xml:space="preserve">façade of the </w:t>
      </w:r>
      <w:proofErr w:type="spellStart"/>
      <w:r w:rsidR="009E1DFD">
        <w:t>Technium</w:t>
      </w:r>
      <w:proofErr w:type="spellEnd"/>
      <w:r w:rsidR="009E1DFD">
        <w:t xml:space="preserve"> </w:t>
      </w:r>
      <w:proofErr w:type="spellStart"/>
      <w:r w:rsidR="009E1DFD">
        <w:t>OpTIC</w:t>
      </w:r>
      <w:proofErr w:type="spellEnd"/>
      <w:r w:rsidR="009E1DFD">
        <w:t xml:space="preserve"> (</w:t>
      </w:r>
      <w:proofErr w:type="spellStart"/>
      <w:r w:rsidR="009E1DFD">
        <w:t>opto</w:t>
      </w:r>
      <w:proofErr w:type="spellEnd"/>
      <w:r w:rsidR="009E1DFD">
        <w:t>-electronics Technology and Incubat</w:t>
      </w:r>
      <w:r w:rsidR="006E2BD3">
        <w:t xml:space="preserve">ion Centre) in St </w:t>
      </w:r>
      <w:proofErr w:type="spellStart"/>
      <w:r w:rsidR="006E2BD3">
        <w:t>Asaph</w:t>
      </w:r>
      <w:proofErr w:type="spellEnd"/>
      <w:r w:rsidR="006E2BD3">
        <w:t xml:space="preserve">, </w:t>
      </w:r>
      <w:r w:rsidR="006F0578">
        <w:t xml:space="preserve">Wales which is covered with the </w:t>
      </w:r>
      <w:r w:rsidR="009E1DFD">
        <w:t xml:space="preserve">CIGS </w:t>
      </w:r>
      <w:r w:rsidR="006E2BD3">
        <w:t>modules manufactured by Shell Solar.</w:t>
      </w:r>
    </w:p>
    <w:p w:rsidR="007027F0" w:rsidRDefault="007027F0" w:rsidP="006E6615">
      <w:pPr>
        <w:jc w:val="both"/>
        <w:outlineLvl w:val="0"/>
      </w:pPr>
    </w:p>
    <w:p w:rsidR="006E6615" w:rsidRDefault="006E6615" w:rsidP="006E6615">
      <w:pPr>
        <w:jc w:val="both"/>
        <w:outlineLvl w:val="0"/>
      </w:pPr>
      <w:r w:rsidRPr="00F314B4">
        <w:t>Fig.</w:t>
      </w:r>
      <w:r w:rsidR="003239CC">
        <w:t xml:space="preserve"> </w:t>
      </w:r>
      <w:r w:rsidR="007027F0">
        <w:t>3</w:t>
      </w:r>
      <w:r w:rsidR="007335FB">
        <w:t xml:space="preserve"> </w:t>
      </w:r>
      <w:r w:rsidRPr="00F314B4">
        <w:t xml:space="preserve">A cross-sectional view of a silicon solar cell produced </w:t>
      </w:r>
      <w:r w:rsidR="007335FB">
        <w:t xml:space="preserve">(a) with screen printed contacts (b) a </w:t>
      </w:r>
      <w:r w:rsidRPr="00F314B4">
        <w:t>UNSW solar cell with buried contacts</w:t>
      </w:r>
      <w:r>
        <w:t>.</w:t>
      </w:r>
    </w:p>
    <w:p w:rsidR="000C4204" w:rsidRDefault="000C4204" w:rsidP="000C4204">
      <w:pPr>
        <w:jc w:val="both"/>
        <w:outlineLvl w:val="0"/>
      </w:pPr>
    </w:p>
    <w:p w:rsidR="000C4204" w:rsidRDefault="000C4204" w:rsidP="000C4204">
      <w:pPr>
        <w:jc w:val="both"/>
        <w:outlineLvl w:val="0"/>
      </w:pPr>
      <w:r>
        <w:t xml:space="preserve">Fig. 4: A photograph of (a) </w:t>
      </w:r>
      <w:r w:rsidR="009E1DFD">
        <w:t xml:space="preserve">a crystalline silicon solar cell </w:t>
      </w:r>
      <w:r>
        <w:t>and (b) a multicrystalline silicon solar cell.</w:t>
      </w:r>
    </w:p>
    <w:p w:rsidR="000C4204" w:rsidRDefault="000C4204" w:rsidP="006E6615">
      <w:pPr>
        <w:jc w:val="both"/>
        <w:outlineLvl w:val="0"/>
      </w:pPr>
    </w:p>
    <w:p w:rsidR="002B71F0" w:rsidRDefault="007335FB" w:rsidP="006E6615">
      <w:pPr>
        <w:jc w:val="both"/>
        <w:outlineLvl w:val="0"/>
      </w:pPr>
      <w:r>
        <w:t>Fig.</w:t>
      </w:r>
      <w:r w:rsidR="003239CC">
        <w:t xml:space="preserve"> </w:t>
      </w:r>
      <w:r w:rsidR="000C4204">
        <w:t>5</w:t>
      </w:r>
      <w:r w:rsidR="002B71F0">
        <w:t>: A schematic view of a concentrator system. The Fresnel lens focuses light onto the high efficiency cell which may be either a silicon cell or a cell made using III-V compounds.</w:t>
      </w:r>
    </w:p>
    <w:p w:rsidR="000C3631" w:rsidRPr="00F314B4" w:rsidRDefault="000C3631" w:rsidP="006E6615">
      <w:pPr>
        <w:jc w:val="both"/>
        <w:outlineLvl w:val="0"/>
      </w:pPr>
    </w:p>
    <w:p w:rsidR="006E6615" w:rsidRDefault="006E6615" w:rsidP="006E6615">
      <w:pPr>
        <w:jc w:val="both"/>
        <w:outlineLvl w:val="0"/>
      </w:pPr>
      <w:r w:rsidRPr="00F314B4">
        <w:t>Fig.</w:t>
      </w:r>
      <w:r w:rsidR="003239CC">
        <w:t xml:space="preserve"> </w:t>
      </w:r>
      <w:r w:rsidR="007335FB">
        <w:t>6</w:t>
      </w:r>
      <w:r w:rsidRPr="00F314B4">
        <w:t xml:space="preserve">: A cross-sectional view of </w:t>
      </w:r>
      <w:r w:rsidR="007335FB">
        <w:t>(</w:t>
      </w:r>
      <w:r w:rsidRPr="00F314B4">
        <w:t>a</w:t>
      </w:r>
      <w:r w:rsidR="007335FB">
        <w:t>)</w:t>
      </w:r>
      <w:r w:rsidRPr="00F314B4">
        <w:t xml:space="preserve"> </w:t>
      </w:r>
      <w:r w:rsidR="007335FB">
        <w:t xml:space="preserve">a </w:t>
      </w:r>
      <w:r w:rsidRPr="00F314B4">
        <w:t>single juncti</w:t>
      </w:r>
      <w:r w:rsidR="00820A94">
        <w:t xml:space="preserve">on </w:t>
      </w:r>
      <w:r w:rsidR="007335FB">
        <w:t>(b) a double junction and (c) a triple junction amorphous silicon solar cell.</w:t>
      </w:r>
    </w:p>
    <w:p w:rsidR="006E6615" w:rsidRDefault="006E6615" w:rsidP="006E6615">
      <w:pPr>
        <w:jc w:val="both"/>
        <w:outlineLvl w:val="0"/>
      </w:pPr>
    </w:p>
    <w:p w:rsidR="006E6615" w:rsidRDefault="007335FB" w:rsidP="006E6615">
      <w:pPr>
        <w:jc w:val="both"/>
        <w:outlineLvl w:val="0"/>
      </w:pPr>
      <w:r>
        <w:t>Fig. 7</w:t>
      </w:r>
      <w:r w:rsidR="006E6615" w:rsidRPr="00887B0F">
        <w:t xml:space="preserve">: A cross-sectional view of a </w:t>
      </w:r>
      <w:r w:rsidR="006E6615">
        <w:t xml:space="preserve">39.3% efficient III-V </w:t>
      </w:r>
      <w:proofErr w:type="spellStart"/>
      <w:r w:rsidR="006E6615">
        <w:t>multi</w:t>
      </w:r>
      <w:r w:rsidR="006E6615" w:rsidRPr="00887B0F">
        <w:t>junction</w:t>
      </w:r>
      <w:proofErr w:type="spellEnd"/>
      <w:r w:rsidR="006E6615" w:rsidRPr="00887B0F">
        <w:t xml:space="preserve"> device grown on a germanium substrate.</w:t>
      </w:r>
    </w:p>
    <w:p w:rsidR="006E6615" w:rsidRPr="00F314B4" w:rsidRDefault="006E6615" w:rsidP="006E6615">
      <w:pPr>
        <w:jc w:val="both"/>
        <w:outlineLvl w:val="0"/>
      </w:pPr>
    </w:p>
    <w:p w:rsidR="007335FB" w:rsidRDefault="006E6615" w:rsidP="006E6615">
      <w:pPr>
        <w:jc w:val="both"/>
        <w:outlineLvl w:val="0"/>
      </w:pPr>
      <w:r w:rsidRPr="00F314B4">
        <w:t>Fig.</w:t>
      </w:r>
      <w:r>
        <w:t xml:space="preserve"> </w:t>
      </w:r>
      <w:r w:rsidR="007335FB">
        <w:t>8: C</w:t>
      </w:r>
      <w:r w:rsidRPr="00F314B4">
        <w:t>ross-sectional view</w:t>
      </w:r>
      <w:r w:rsidR="007335FB">
        <w:t>s</w:t>
      </w:r>
      <w:r w:rsidRPr="00F314B4">
        <w:t xml:space="preserve"> of </w:t>
      </w:r>
      <w:r w:rsidR="007335FB">
        <w:t xml:space="preserve">thin film </w:t>
      </w:r>
      <w:r w:rsidR="006F0578">
        <w:t xml:space="preserve">solar cells based on the use of </w:t>
      </w:r>
      <w:r w:rsidR="007335FB">
        <w:t>compound semiconductors: (a) a CdS/CdTe thin film solar cell and (b) a CdS/CIGS thin film solar cell.</w:t>
      </w:r>
    </w:p>
    <w:p w:rsidR="006E6615" w:rsidRDefault="006E6615" w:rsidP="006E6615">
      <w:pPr>
        <w:jc w:val="both"/>
        <w:outlineLvl w:val="0"/>
      </w:pPr>
    </w:p>
    <w:p w:rsidR="000C4204" w:rsidRDefault="000C4204" w:rsidP="006E6615">
      <w:pPr>
        <w:jc w:val="both"/>
        <w:outlineLvl w:val="0"/>
        <w:rPr>
          <w:b/>
          <w:u w:val="single"/>
        </w:rPr>
      </w:pPr>
    </w:p>
    <w:p w:rsidR="00D4441A" w:rsidRDefault="006E6615" w:rsidP="00D4441A">
      <w:pPr>
        <w:autoSpaceDE w:val="0"/>
        <w:autoSpaceDN w:val="0"/>
        <w:adjustRightInd w:val="0"/>
        <w:jc w:val="both"/>
      </w:pPr>
      <w:r>
        <w:br w:type="page"/>
      </w:r>
      <w:r w:rsidR="00D4441A">
        <w:t>Table 1 Best efficiencies reported for the different solar cells and modules</w:t>
      </w:r>
    </w:p>
    <w:p w:rsidR="00D4441A" w:rsidRDefault="00D4441A" w:rsidP="00D4441A">
      <w:pPr>
        <w:autoSpaceDE w:val="0"/>
        <w:autoSpaceDN w:val="0"/>
        <w:adjustRightInd w:val="0"/>
        <w:jc w:val="both"/>
      </w:pPr>
    </w:p>
    <w:p w:rsidR="00D4441A" w:rsidRDefault="00D4441A" w:rsidP="00D4441A">
      <w:pPr>
        <w:autoSpaceDE w:val="0"/>
        <w:autoSpaceDN w:val="0"/>
        <w:adjustRightInd w:val="0"/>
        <w:jc w:val="both"/>
        <w:rPr>
          <w:color w:val="000000"/>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8"/>
        <w:gridCol w:w="1080"/>
        <w:gridCol w:w="720"/>
        <w:gridCol w:w="2160"/>
        <w:gridCol w:w="720"/>
        <w:gridCol w:w="360"/>
        <w:gridCol w:w="720"/>
        <w:gridCol w:w="1980"/>
      </w:tblGrid>
      <w:tr w:rsidR="00D4441A" w:rsidTr="00EF19C7">
        <w:tblPrEx>
          <w:tblCellMar>
            <w:top w:w="0" w:type="dxa"/>
            <w:bottom w:w="0" w:type="dxa"/>
          </w:tblCellMar>
        </w:tblPrEx>
        <w:trPr>
          <w:trHeight w:val="567"/>
          <w:jc w:val="center"/>
        </w:trPr>
        <w:tc>
          <w:tcPr>
            <w:tcW w:w="2988" w:type="dxa"/>
            <w:tcBorders>
              <w:top w:val="single" w:sz="8" w:space="0" w:color="auto"/>
              <w:left w:val="single" w:sz="8" w:space="0" w:color="auto"/>
              <w:bottom w:val="single" w:sz="8" w:space="0" w:color="auto"/>
              <w:right w:val="single" w:sz="8" w:space="0" w:color="auto"/>
            </w:tcBorders>
            <w:vAlign w:val="center"/>
          </w:tcPr>
          <w:p w:rsidR="00D4441A" w:rsidRDefault="00D4441A" w:rsidP="00EF19C7">
            <w:pPr>
              <w:autoSpaceDE w:val="0"/>
              <w:autoSpaceDN w:val="0"/>
              <w:adjustRightInd w:val="0"/>
              <w:rPr>
                <w:color w:val="0000FF"/>
                <w:sz w:val="18"/>
                <w:szCs w:val="18"/>
              </w:rPr>
            </w:pPr>
          </w:p>
        </w:tc>
        <w:tc>
          <w:tcPr>
            <w:tcW w:w="3960" w:type="dxa"/>
            <w:gridSpan w:val="3"/>
            <w:tcBorders>
              <w:top w:val="single" w:sz="8" w:space="0" w:color="auto"/>
              <w:left w:val="single" w:sz="8" w:space="0" w:color="auto"/>
              <w:bottom w:val="single" w:sz="8" w:space="0" w:color="auto"/>
              <w:right w:val="single" w:sz="8" w:space="0" w:color="auto"/>
            </w:tcBorders>
            <w:vAlign w:val="center"/>
          </w:tcPr>
          <w:p w:rsidR="00D4441A" w:rsidRDefault="00D4441A" w:rsidP="00EF19C7">
            <w:pPr>
              <w:autoSpaceDE w:val="0"/>
              <w:autoSpaceDN w:val="0"/>
              <w:adjustRightInd w:val="0"/>
              <w:jc w:val="center"/>
              <w:rPr>
                <w:color w:val="0000FF"/>
                <w:sz w:val="18"/>
                <w:szCs w:val="18"/>
              </w:rPr>
            </w:pPr>
            <w:r>
              <w:rPr>
                <w:color w:val="0000FF"/>
                <w:sz w:val="18"/>
                <w:szCs w:val="18"/>
              </w:rPr>
              <w:t>Highest reported small area cell efficiency</w:t>
            </w:r>
          </w:p>
        </w:tc>
        <w:tc>
          <w:tcPr>
            <w:tcW w:w="3780" w:type="dxa"/>
            <w:gridSpan w:val="4"/>
            <w:tcBorders>
              <w:top w:val="single" w:sz="8" w:space="0" w:color="auto"/>
              <w:left w:val="single" w:sz="8" w:space="0" w:color="auto"/>
              <w:bottom w:val="single" w:sz="8" w:space="0" w:color="auto"/>
              <w:right w:val="single" w:sz="8" w:space="0" w:color="auto"/>
            </w:tcBorders>
            <w:vAlign w:val="center"/>
          </w:tcPr>
          <w:p w:rsidR="00D4441A" w:rsidRDefault="00D4441A" w:rsidP="00EF19C7">
            <w:pPr>
              <w:autoSpaceDE w:val="0"/>
              <w:autoSpaceDN w:val="0"/>
              <w:adjustRightInd w:val="0"/>
              <w:jc w:val="center"/>
              <w:rPr>
                <w:color w:val="0000FF"/>
                <w:sz w:val="18"/>
                <w:szCs w:val="18"/>
              </w:rPr>
            </w:pPr>
            <w:r>
              <w:rPr>
                <w:color w:val="0000FF"/>
                <w:sz w:val="18"/>
                <w:szCs w:val="18"/>
              </w:rPr>
              <w:t>Highest reported module efficiency</w:t>
            </w:r>
          </w:p>
        </w:tc>
      </w:tr>
      <w:tr w:rsidR="00D4441A" w:rsidTr="00EF19C7">
        <w:tblPrEx>
          <w:tblCellMar>
            <w:top w:w="0" w:type="dxa"/>
            <w:bottom w:w="0" w:type="dxa"/>
          </w:tblCellMar>
        </w:tblPrEx>
        <w:trPr>
          <w:trHeight w:val="567"/>
          <w:jc w:val="center"/>
        </w:trPr>
        <w:tc>
          <w:tcPr>
            <w:tcW w:w="2988" w:type="dxa"/>
            <w:tcBorders>
              <w:top w:val="single" w:sz="8" w:space="0" w:color="auto"/>
              <w:left w:val="single" w:sz="8" w:space="0" w:color="auto"/>
              <w:bottom w:val="single" w:sz="4" w:space="0" w:color="auto"/>
              <w:right w:val="single" w:sz="8" w:space="0" w:color="auto"/>
            </w:tcBorders>
            <w:vAlign w:val="center"/>
          </w:tcPr>
          <w:p w:rsidR="00D4441A" w:rsidRDefault="00D4441A" w:rsidP="00EF19C7">
            <w:pPr>
              <w:autoSpaceDE w:val="0"/>
              <w:autoSpaceDN w:val="0"/>
              <w:adjustRightInd w:val="0"/>
              <w:rPr>
                <w:i/>
                <w:iCs/>
                <w:color w:val="0000FF"/>
                <w:sz w:val="18"/>
                <w:szCs w:val="18"/>
              </w:rPr>
            </w:pPr>
          </w:p>
        </w:tc>
        <w:tc>
          <w:tcPr>
            <w:tcW w:w="1080" w:type="dxa"/>
            <w:tcBorders>
              <w:top w:val="single" w:sz="8"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i/>
                <w:iCs/>
                <w:sz w:val="18"/>
                <w:szCs w:val="18"/>
              </w:rPr>
            </w:pPr>
            <w:r>
              <w:rPr>
                <w:i/>
                <w:iCs/>
                <w:sz w:val="18"/>
                <w:szCs w:val="18"/>
              </w:rPr>
              <w:t>Efficiency %</w:t>
            </w:r>
          </w:p>
        </w:tc>
        <w:tc>
          <w:tcPr>
            <w:tcW w:w="720" w:type="dxa"/>
            <w:tcBorders>
              <w:top w:val="single" w:sz="8"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i/>
                <w:iCs/>
                <w:sz w:val="18"/>
                <w:szCs w:val="18"/>
              </w:rPr>
            </w:pPr>
            <w:r>
              <w:rPr>
                <w:i/>
                <w:iCs/>
                <w:sz w:val="18"/>
                <w:szCs w:val="18"/>
              </w:rPr>
              <w:t>Area cm</w:t>
            </w:r>
            <w:r>
              <w:rPr>
                <w:i/>
                <w:iCs/>
                <w:sz w:val="18"/>
                <w:szCs w:val="18"/>
                <w:vertAlign w:val="superscript"/>
              </w:rPr>
              <w:t>2</w:t>
            </w:r>
          </w:p>
        </w:tc>
        <w:tc>
          <w:tcPr>
            <w:tcW w:w="2160" w:type="dxa"/>
            <w:tcBorders>
              <w:top w:val="single" w:sz="8"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i/>
                <w:iCs/>
                <w:sz w:val="18"/>
                <w:szCs w:val="18"/>
              </w:rPr>
            </w:pPr>
            <w:r>
              <w:rPr>
                <w:i/>
                <w:iCs/>
                <w:sz w:val="18"/>
                <w:szCs w:val="18"/>
              </w:rPr>
              <w:t>Reference</w:t>
            </w:r>
          </w:p>
        </w:tc>
        <w:tc>
          <w:tcPr>
            <w:tcW w:w="1080" w:type="dxa"/>
            <w:gridSpan w:val="2"/>
            <w:tcBorders>
              <w:top w:val="single" w:sz="8"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i/>
                <w:iCs/>
                <w:sz w:val="18"/>
                <w:szCs w:val="18"/>
              </w:rPr>
            </w:pPr>
            <w:r>
              <w:rPr>
                <w:i/>
                <w:iCs/>
                <w:sz w:val="18"/>
                <w:szCs w:val="18"/>
              </w:rPr>
              <w:t>Efficiency %</w:t>
            </w:r>
          </w:p>
        </w:tc>
        <w:tc>
          <w:tcPr>
            <w:tcW w:w="720" w:type="dxa"/>
            <w:tcBorders>
              <w:top w:val="single" w:sz="8"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i/>
                <w:iCs/>
                <w:sz w:val="18"/>
                <w:szCs w:val="18"/>
              </w:rPr>
            </w:pPr>
            <w:r>
              <w:rPr>
                <w:i/>
                <w:iCs/>
                <w:sz w:val="18"/>
                <w:szCs w:val="18"/>
              </w:rPr>
              <w:t>Area cm</w:t>
            </w:r>
            <w:r>
              <w:rPr>
                <w:i/>
                <w:iCs/>
                <w:sz w:val="18"/>
                <w:szCs w:val="18"/>
                <w:vertAlign w:val="superscript"/>
              </w:rPr>
              <w:t>2</w:t>
            </w:r>
          </w:p>
        </w:tc>
        <w:tc>
          <w:tcPr>
            <w:tcW w:w="1980" w:type="dxa"/>
            <w:tcBorders>
              <w:top w:val="single" w:sz="8"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i/>
                <w:iCs/>
                <w:sz w:val="18"/>
                <w:szCs w:val="18"/>
              </w:rPr>
            </w:pPr>
            <w:r>
              <w:rPr>
                <w:i/>
                <w:iCs/>
                <w:sz w:val="18"/>
                <w:szCs w:val="18"/>
              </w:rPr>
              <w:t>Reference</w:t>
            </w:r>
          </w:p>
        </w:tc>
      </w:tr>
      <w:tr w:rsidR="00D4441A" w:rsidTr="00EF19C7">
        <w:tblPrEx>
          <w:tblCellMar>
            <w:top w:w="0" w:type="dxa"/>
            <w:bottom w:w="0" w:type="dxa"/>
          </w:tblCellMar>
        </w:tblPrEx>
        <w:trPr>
          <w:trHeight w:val="397"/>
          <w:jc w:val="center"/>
        </w:trPr>
        <w:tc>
          <w:tcPr>
            <w:tcW w:w="2988" w:type="dxa"/>
            <w:tcBorders>
              <w:top w:val="single" w:sz="4" w:space="0" w:color="auto"/>
              <w:left w:val="single" w:sz="8" w:space="0" w:color="auto"/>
              <w:bottom w:val="single" w:sz="4" w:space="0" w:color="auto"/>
              <w:right w:val="single" w:sz="8" w:space="0" w:color="auto"/>
            </w:tcBorders>
            <w:vAlign w:val="center"/>
          </w:tcPr>
          <w:p w:rsidR="00D4441A" w:rsidRDefault="00D4441A" w:rsidP="00EF19C7">
            <w:pPr>
              <w:autoSpaceDE w:val="0"/>
              <w:autoSpaceDN w:val="0"/>
              <w:adjustRightInd w:val="0"/>
              <w:rPr>
                <w:color w:val="0000FF"/>
                <w:sz w:val="18"/>
                <w:szCs w:val="18"/>
              </w:rPr>
            </w:pPr>
            <w:r>
              <w:rPr>
                <w:color w:val="0000FF"/>
                <w:sz w:val="18"/>
                <w:szCs w:val="18"/>
              </w:rPr>
              <w:t>Crystalline Si</w:t>
            </w:r>
          </w:p>
        </w:tc>
        <w:tc>
          <w:tcPr>
            <w:tcW w:w="1080" w:type="dxa"/>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24.7</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4.0</w:t>
            </w:r>
          </w:p>
        </w:tc>
        <w:tc>
          <w:tcPr>
            <w:tcW w:w="216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proofErr w:type="spellStart"/>
            <w:r>
              <w:rPr>
                <w:sz w:val="18"/>
                <w:szCs w:val="18"/>
              </w:rPr>
              <w:t>UNSW</w:t>
            </w:r>
            <w:r w:rsidR="0072232E" w:rsidRPr="0072232E">
              <w:rPr>
                <w:i/>
                <w:sz w:val="18"/>
                <w:szCs w:val="18"/>
                <w:vertAlign w:val="superscript"/>
              </w:rPr>
              <w:t>i</w:t>
            </w:r>
            <w:proofErr w:type="spellEnd"/>
            <w:r>
              <w:rPr>
                <w:sz w:val="18"/>
                <w:szCs w:val="18"/>
              </w:rPr>
              <w:t>, PERL</w:t>
            </w:r>
            <w:r w:rsidR="0072232E" w:rsidRPr="0072232E">
              <w:rPr>
                <w:i/>
                <w:sz w:val="18"/>
                <w:szCs w:val="18"/>
                <w:vertAlign w:val="superscript"/>
              </w:rPr>
              <w:t>ii,</w:t>
            </w:r>
            <w:r>
              <w:rPr>
                <w:sz w:val="18"/>
                <w:szCs w:val="18"/>
                <w:vertAlign w:val="superscript"/>
              </w:rPr>
              <w:t>2</w:t>
            </w:r>
          </w:p>
        </w:tc>
        <w:tc>
          <w:tcPr>
            <w:tcW w:w="1080" w:type="dxa"/>
            <w:gridSpan w:val="2"/>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22.7</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778</w:t>
            </w:r>
          </w:p>
        </w:tc>
        <w:tc>
          <w:tcPr>
            <w:tcW w:w="198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UNSW/Gochermann</w:t>
            </w:r>
            <w:r>
              <w:rPr>
                <w:sz w:val="18"/>
                <w:szCs w:val="18"/>
                <w:vertAlign w:val="superscript"/>
              </w:rPr>
              <w:t>3</w:t>
            </w:r>
          </w:p>
        </w:tc>
      </w:tr>
      <w:tr w:rsidR="00D4441A" w:rsidTr="00EF19C7">
        <w:tblPrEx>
          <w:tblCellMar>
            <w:top w:w="0" w:type="dxa"/>
            <w:bottom w:w="0" w:type="dxa"/>
          </w:tblCellMar>
        </w:tblPrEx>
        <w:trPr>
          <w:trHeight w:val="397"/>
          <w:jc w:val="center"/>
        </w:trPr>
        <w:tc>
          <w:tcPr>
            <w:tcW w:w="2988" w:type="dxa"/>
            <w:tcBorders>
              <w:top w:val="single" w:sz="4" w:space="0" w:color="auto"/>
              <w:left w:val="single" w:sz="8" w:space="0" w:color="auto"/>
              <w:bottom w:val="single" w:sz="4" w:space="0" w:color="auto"/>
              <w:right w:val="single" w:sz="8" w:space="0" w:color="auto"/>
            </w:tcBorders>
            <w:vAlign w:val="center"/>
          </w:tcPr>
          <w:p w:rsidR="00D4441A" w:rsidRDefault="00D4441A" w:rsidP="00EF19C7">
            <w:pPr>
              <w:autoSpaceDE w:val="0"/>
              <w:autoSpaceDN w:val="0"/>
              <w:adjustRightInd w:val="0"/>
              <w:rPr>
                <w:color w:val="0000FF"/>
                <w:sz w:val="18"/>
                <w:szCs w:val="18"/>
              </w:rPr>
            </w:pPr>
            <w:r>
              <w:rPr>
                <w:color w:val="0000FF"/>
                <w:sz w:val="18"/>
                <w:szCs w:val="18"/>
              </w:rPr>
              <w:t>Multicrystalline Si</w:t>
            </w:r>
          </w:p>
        </w:tc>
        <w:tc>
          <w:tcPr>
            <w:tcW w:w="1080" w:type="dxa"/>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20.3</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1.0</w:t>
            </w:r>
          </w:p>
        </w:tc>
        <w:tc>
          <w:tcPr>
            <w:tcW w:w="216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FhG-ISE</w:t>
            </w:r>
            <w:r w:rsidR="0072232E" w:rsidRPr="0072232E">
              <w:rPr>
                <w:i/>
                <w:sz w:val="18"/>
                <w:szCs w:val="18"/>
                <w:vertAlign w:val="superscript"/>
              </w:rPr>
              <w:t>iii,</w:t>
            </w:r>
            <w:r>
              <w:rPr>
                <w:sz w:val="18"/>
                <w:szCs w:val="18"/>
                <w:vertAlign w:val="superscript"/>
              </w:rPr>
              <w:t>4</w:t>
            </w:r>
          </w:p>
        </w:tc>
        <w:tc>
          <w:tcPr>
            <w:tcW w:w="1080" w:type="dxa"/>
            <w:gridSpan w:val="2"/>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15.3</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1017</w:t>
            </w:r>
          </w:p>
        </w:tc>
        <w:tc>
          <w:tcPr>
            <w:tcW w:w="198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Sandia/HEM</w:t>
            </w:r>
            <w:r>
              <w:rPr>
                <w:sz w:val="18"/>
                <w:szCs w:val="18"/>
                <w:vertAlign w:val="superscript"/>
              </w:rPr>
              <w:t>5</w:t>
            </w:r>
          </w:p>
        </w:tc>
      </w:tr>
      <w:tr w:rsidR="00D4441A" w:rsidTr="00EF19C7">
        <w:tblPrEx>
          <w:tblCellMar>
            <w:top w:w="0" w:type="dxa"/>
            <w:bottom w:w="0" w:type="dxa"/>
          </w:tblCellMar>
        </w:tblPrEx>
        <w:trPr>
          <w:trHeight w:val="397"/>
          <w:jc w:val="center"/>
        </w:trPr>
        <w:tc>
          <w:tcPr>
            <w:tcW w:w="2988" w:type="dxa"/>
            <w:tcBorders>
              <w:top w:val="single" w:sz="4" w:space="0" w:color="auto"/>
              <w:left w:val="single" w:sz="8" w:space="0" w:color="auto"/>
              <w:bottom w:val="single" w:sz="4" w:space="0" w:color="auto"/>
              <w:right w:val="single" w:sz="8" w:space="0" w:color="auto"/>
            </w:tcBorders>
            <w:vAlign w:val="center"/>
          </w:tcPr>
          <w:p w:rsidR="00D4441A" w:rsidRDefault="00D4441A" w:rsidP="00EF19C7">
            <w:pPr>
              <w:autoSpaceDE w:val="0"/>
              <w:autoSpaceDN w:val="0"/>
              <w:adjustRightInd w:val="0"/>
              <w:rPr>
                <w:color w:val="0000FF"/>
                <w:sz w:val="18"/>
                <w:szCs w:val="18"/>
              </w:rPr>
            </w:pPr>
            <w:r>
              <w:rPr>
                <w:color w:val="0000FF"/>
                <w:sz w:val="18"/>
                <w:szCs w:val="18"/>
              </w:rPr>
              <w:t xml:space="preserve">Amorphous (and </w:t>
            </w:r>
            <w:proofErr w:type="spellStart"/>
            <w:r>
              <w:rPr>
                <w:color w:val="0000FF"/>
                <w:sz w:val="18"/>
                <w:szCs w:val="18"/>
              </w:rPr>
              <w:t>nanocrystalline</w:t>
            </w:r>
            <w:proofErr w:type="spellEnd"/>
            <w:r>
              <w:rPr>
                <w:color w:val="0000FF"/>
                <w:sz w:val="18"/>
                <w:szCs w:val="18"/>
              </w:rPr>
              <w:t>) Si</w:t>
            </w:r>
          </w:p>
        </w:tc>
        <w:tc>
          <w:tcPr>
            <w:tcW w:w="1080" w:type="dxa"/>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10.1</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1.2</w:t>
            </w:r>
          </w:p>
        </w:tc>
        <w:tc>
          <w:tcPr>
            <w:tcW w:w="216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Kaneka, Single junction</w:t>
            </w:r>
            <w:r>
              <w:rPr>
                <w:sz w:val="18"/>
                <w:szCs w:val="18"/>
                <w:vertAlign w:val="superscript"/>
              </w:rPr>
              <w:t>6</w:t>
            </w:r>
          </w:p>
        </w:tc>
        <w:tc>
          <w:tcPr>
            <w:tcW w:w="1080" w:type="dxa"/>
            <w:gridSpan w:val="2"/>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10.4</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905</w:t>
            </w:r>
          </w:p>
        </w:tc>
        <w:tc>
          <w:tcPr>
            <w:tcW w:w="198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proofErr w:type="spellStart"/>
            <w:r>
              <w:rPr>
                <w:sz w:val="18"/>
                <w:szCs w:val="18"/>
              </w:rPr>
              <w:t>USSC</w:t>
            </w:r>
            <w:r w:rsidR="00114864" w:rsidRPr="00114864">
              <w:rPr>
                <w:i/>
                <w:sz w:val="18"/>
                <w:szCs w:val="18"/>
                <w:vertAlign w:val="superscript"/>
              </w:rPr>
              <w:t>iv</w:t>
            </w:r>
            <w:proofErr w:type="spellEnd"/>
            <w:r>
              <w:rPr>
                <w:sz w:val="18"/>
                <w:szCs w:val="18"/>
              </w:rPr>
              <w:t>, Triple junction</w:t>
            </w:r>
            <w:r>
              <w:rPr>
                <w:sz w:val="18"/>
                <w:szCs w:val="18"/>
                <w:vertAlign w:val="superscript"/>
              </w:rPr>
              <w:t>7</w:t>
            </w:r>
          </w:p>
        </w:tc>
      </w:tr>
      <w:tr w:rsidR="00D4441A" w:rsidTr="00EF19C7">
        <w:tblPrEx>
          <w:tblCellMar>
            <w:top w:w="0" w:type="dxa"/>
            <w:bottom w:w="0" w:type="dxa"/>
          </w:tblCellMar>
        </w:tblPrEx>
        <w:trPr>
          <w:trHeight w:val="397"/>
          <w:jc w:val="center"/>
        </w:trPr>
        <w:tc>
          <w:tcPr>
            <w:tcW w:w="2988" w:type="dxa"/>
            <w:tcBorders>
              <w:top w:val="single" w:sz="4" w:space="0" w:color="auto"/>
              <w:left w:val="single" w:sz="8" w:space="0" w:color="auto"/>
              <w:bottom w:val="single" w:sz="4" w:space="0" w:color="auto"/>
              <w:right w:val="single" w:sz="8" w:space="0" w:color="auto"/>
            </w:tcBorders>
            <w:vAlign w:val="center"/>
          </w:tcPr>
          <w:p w:rsidR="00D4441A" w:rsidRDefault="00D4441A" w:rsidP="00EF19C7">
            <w:pPr>
              <w:autoSpaceDE w:val="0"/>
              <w:autoSpaceDN w:val="0"/>
              <w:adjustRightInd w:val="0"/>
              <w:ind w:left="180" w:hanging="180"/>
              <w:rPr>
                <w:color w:val="0000FF"/>
                <w:sz w:val="18"/>
                <w:szCs w:val="18"/>
                <w:lang w:val="it-IT"/>
              </w:rPr>
            </w:pPr>
            <w:r>
              <w:rPr>
                <w:rFonts w:ascii="Symbol" w:hAnsi="Symbol" w:cs="Symbol"/>
                <w:color w:val="0000FF"/>
                <w:sz w:val="18"/>
                <w:szCs w:val="18"/>
              </w:rPr>
              <w:t></w:t>
            </w:r>
            <w:r>
              <w:rPr>
                <w:color w:val="0000FF"/>
                <w:sz w:val="18"/>
                <w:szCs w:val="18"/>
                <w:lang w:val="it-IT"/>
              </w:rPr>
              <w:t>c-Si/</w:t>
            </w:r>
            <w:r>
              <w:rPr>
                <w:rFonts w:ascii="Symbol" w:hAnsi="Symbol" w:cs="Symbol"/>
                <w:color w:val="0000FF"/>
                <w:sz w:val="18"/>
                <w:szCs w:val="18"/>
              </w:rPr>
              <w:t></w:t>
            </w:r>
            <w:r>
              <w:rPr>
                <w:color w:val="0000FF"/>
                <w:sz w:val="18"/>
                <w:szCs w:val="18"/>
                <w:lang w:val="it-IT"/>
              </w:rPr>
              <w:t>Si:H micro-morph cell</w:t>
            </w:r>
          </w:p>
        </w:tc>
        <w:tc>
          <w:tcPr>
            <w:tcW w:w="1080" w:type="dxa"/>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11.7</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14.2</w:t>
            </w:r>
          </w:p>
        </w:tc>
        <w:tc>
          <w:tcPr>
            <w:tcW w:w="216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Kaneka, Minimodule</w:t>
            </w:r>
            <w:r>
              <w:rPr>
                <w:sz w:val="18"/>
                <w:szCs w:val="18"/>
                <w:vertAlign w:val="superscript"/>
              </w:rPr>
              <w:t>8</w:t>
            </w:r>
          </w:p>
        </w:tc>
        <w:tc>
          <w:tcPr>
            <w:tcW w:w="1080" w:type="dxa"/>
            <w:gridSpan w:val="2"/>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11.7</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14.2</w:t>
            </w:r>
          </w:p>
        </w:tc>
        <w:tc>
          <w:tcPr>
            <w:tcW w:w="198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Kaneka, Minimodule</w:t>
            </w:r>
            <w:r>
              <w:rPr>
                <w:sz w:val="18"/>
                <w:szCs w:val="18"/>
                <w:vertAlign w:val="superscript"/>
              </w:rPr>
              <w:t>8</w:t>
            </w:r>
          </w:p>
        </w:tc>
      </w:tr>
      <w:tr w:rsidR="00D4441A" w:rsidTr="00EF19C7">
        <w:tblPrEx>
          <w:tblCellMar>
            <w:top w:w="0" w:type="dxa"/>
            <w:bottom w:w="0" w:type="dxa"/>
          </w:tblCellMar>
        </w:tblPrEx>
        <w:trPr>
          <w:trHeight w:val="397"/>
          <w:jc w:val="center"/>
        </w:trPr>
        <w:tc>
          <w:tcPr>
            <w:tcW w:w="2988" w:type="dxa"/>
            <w:tcBorders>
              <w:top w:val="single" w:sz="4" w:space="0" w:color="auto"/>
              <w:left w:val="single" w:sz="8" w:space="0" w:color="auto"/>
              <w:bottom w:val="single" w:sz="4" w:space="0" w:color="auto"/>
              <w:right w:val="single" w:sz="8" w:space="0" w:color="auto"/>
            </w:tcBorders>
            <w:vAlign w:val="center"/>
          </w:tcPr>
          <w:p w:rsidR="00D4441A" w:rsidRDefault="00D4441A" w:rsidP="00EF19C7">
            <w:pPr>
              <w:autoSpaceDE w:val="0"/>
              <w:autoSpaceDN w:val="0"/>
              <w:adjustRightInd w:val="0"/>
              <w:rPr>
                <w:color w:val="0000FF"/>
                <w:sz w:val="18"/>
                <w:szCs w:val="18"/>
              </w:rPr>
            </w:pPr>
            <w:proofErr w:type="spellStart"/>
            <w:r>
              <w:rPr>
                <w:color w:val="0000FF"/>
                <w:sz w:val="18"/>
                <w:szCs w:val="18"/>
              </w:rPr>
              <w:t>HIT</w:t>
            </w:r>
            <w:r w:rsidR="00353494" w:rsidRPr="00353494">
              <w:rPr>
                <w:i/>
                <w:color w:val="0000FF"/>
                <w:sz w:val="18"/>
                <w:szCs w:val="18"/>
                <w:vertAlign w:val="superscript"/>
              </w:rPr>
              <w:t>v</w:t>
            </w:r>
            <w:proofErr w:type="spellEnd"/>
            <w:r>
              <w:rPr>
                <w:color w:val="0000FF"/>
                <w:sz w:val="18"/>
                <w:szCs w:val="18"/>
              </w:rPr>
              <w:t xml:space="preserve"> cell</w:t>
            </w:r>
          </w:p>
        </w:tc>
        <w:tc>
          <w:tcPr>
            <w:tcW w:w="1080" w:type="dxa"/>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21.8</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100.4</w:t>
            </w:r>
          </w:p>
        </w:tc>
        <w:tc>
          <w:tcPr>
            <w:tcW w:w="216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Sanyo</w:t>
            </w:r>
            <w:r w:rsidR="0072232E">
              <w:rPr>
                <w:sz w:val="18"/>
                <w:szCs w:val="18"/>
              </w:rPr>
              <w:t xml:space="preserve"> Corporation</w:t>
            </w:r>
            <w:r>
              <w:rPr>
                <w:sz w:val="18"/>
                <w:szCs w:val="18"/>
                <w:vertAlign w:val="superscript"/>
              </w:rPr>
              <w:t>9</w:t>
            </w:r>
          </w:p>
        </w:tc>
        <w:tc>
          <w:tcPr>
            <w:tcW w:w="1080" w:type="dxa"/>
            <w:gridSpan w:val="2"/>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17.3</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11000</w:t>
            </w:r>
          </w:p>
        </w:tc>
        <w:tc>
          <w:tcPr>
            <w:tcW w:w="198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Sanyo</w:t>
            </w:r>
            <w:r w:rsidR="0072232E">
              <w:rPr>
                <w:sz w:val="18"/>
                <w:szCs w:val="18"/>
              </w:rPr>
              <w:t xml:space="preserve"> Corporation</w:t>
            </w:r>
            <w:r>
              <w:rPr>
                <w:sz w:val="18"/>
                <w:szCs w:val="18"/>
                <w:vertAlign w:val="superscript"/>
              </w:rPr>
              <w:t>9</w:t>
            </w:r>
          </w:p>
        </w:tc>
      </w:tr>
      <w:tr w:rsidR="00D4441A" w:rsidTr="00EF19C7">
        <w:tblPrEx>
          <w:tblCellMar>
            <w:top w:w="0" w:type="dxa"/>
            <w:bottom w:w="0" w:type="dxa"/>
          </w:tblCellMar>
        </w:tblPrEx>
        <w:trPr>
          <w:trHeight w:val="397"/>
          <w:jc w:val="center"/>
        </w:trPr>
        <w:tc>
          <w:tcPr>
            <w:tcW w:w="2988" w:type="dxa"/>
            <w:tcBorders>
              <w:top w:val="single" w:sz="4" w:space="0" w:color="auto"/>
              <w:left w:val="single" w:sz="8" w:space="0" w:color="auto"/>
              <w:bottom w:val="single" w:sz="4" w:space="0" w:color="auto"/>
              <w:right w:val="single" w:sz="8" w:space="0" w:color="auto"/>
            </w:tcBorders>
            <w:vAlign w:val="center"/>
          </w:tcPr>
          <w:p w:rsidR="00D4441A" w:rsidRDefault="00D4441A" w:rsidP="00EF19C7">
            <w:pPr>
              <w:autoSpaceDE w:val="0"/>
              <w:autoSpaceDN w:val="0"/>
              <w:adjustRightInd w:val="0"/>
              <w:rPr>
                <w:color w:val="0000FF"/>
                <w:sz w:val="18"/>
                <w:szCs w:val="18"/>
              </w:rPr>
            </w:pPr>
            <w:proofErr w:type="spellStart"/>
            <w:r>
              <w:rPr>
                <w:color w:val="0000FF"/>
                <w:sz w:val="18"/>
                <w:szCs w:val="18"/>
              </w:rPr>
              <w:t>GaAs</w:t>
            </w:r>
            <w:proofErr w:type="spellEnd"/>
            <w:r>
              <w:rPr>
                <w:color w:val="0000FF"/>
                <w:sz w:val="18"/>
                <w:szCs w:val="18"/>
              </w:rPr>
              <w:t xml:space="preserve"> cell</w:t>
            </w:r>
          </w:p>
        </w:tc>
        <w:tc>
          <w:tcPr>
            <w:tcW w:w="1080" w:type="dxa"/>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25.8</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3.9</w:t>
            </w:r>
          </w:p>
        </w:tc>
        <w:tc>
          <w:tcPr>
            <w:tcW w:w="216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proofErr w:type="spellStart"/>
            <w:r>
              <w:rPr>
                <w:sz w:val="18"/>
                <w:szCs w:val="18"/>
              </w:rPr>
              <w:t>Kopin</w:t>
            </w:r>
            <w:proofErr w:type="spellEnd"/>
            <w:r>
              <w:rPr>
                <w:sz w:val="18"/>
                <w:szCs w:val="18"/>
              </w:rPr>
              <w:t xml:space="preserve"> Corporation</w:t>
            </w:r>
            <w:r>
              <w:rPr>
                <w:sz w:val="18"/>
                <w:szCs w:val="18"/>
                <w:vertAlign w:val="superscript"/>
              </w:rPr>
              <w:t>10</w:t>
            </w:r>
          </w:p>
        </w:tc>
        <w:tc>
          <w:tcPr>
            <w:tcW w:w="1800" w:type="dxa"/>
            <w:gridSpan w:val="3"/>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Not relevant</w:t>
            </w:r>
          </w:p>
        </w:tc>
        <w:tc>
          <w:tcPr>
            <w:tcW w:w="198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p>
        </w:tc>
      </w:tr>
      <w:tr w:rsidR="00D4441A" w:rsidTr="00EF19C7">
        <w:tblPrEx>
          <w:tblCellMar>
            <w:top w:w="0" w:type="dxa"/>
            <w:bottom w:w="0" w:type="dxa"/>
          </w:tblCellMar>
        </w:tblPrEx>
        <w:trPr>
          <w:trHeight w:val="397"/>
          <w:jc w:val="center"/>
        </w:trPr>
        <w:tc>
          <w:tcPr>
            <w:tcW w:w="2988" w:type="dxa"/>
            <w:tcBorders>
              <w:top w:val="single" w:sz="4" w:space="0" w:color="auto"/>
              <w:left w:val="single" w:sz="8" w:space="0" w:color="auto"/>
              <w:bottom w:val="single" w:sz="4" w:space="0" w:color="auto"/>
              <w:right w:val="single" w:sz="8" w:space="0" w:color="auto"/>
            </w:tcBorders>
            <w:vAlign w:val="center"/>
          </w:tcPr>
          <w:p w:rsidR="00D4441A" w:rsidRDefault="00D4441A" w:rsidP="00EF19C7">
            <w:pPr>
              <w:autoSpaceDE w:val="0"/>
              <w:autoSpaceDN w:val="0"/>
              <w:adjustRightInd w:val="0"/>
              <w:rPr>
                <w:color w:val="0000FF"/>
                <w:sz w:val="18"/>
                <w:szCs w:val="18"/>
              </w:rPr>
            </w:pPr>
            <w:proofErr w:type="spellStart"/>
            <w:r>
              <w:rPr>
                <w:color w:val="0000FF"/>
                <w:sz w:val="18"/>
                <w:szCs w:val="18"/>
              </w:rPr>
              <w:t>InP</w:t>
            </w:r>
            <w:proofErr w:type="spellEnd"/>
            <w:r>
              <w:rPr>
                <w:color w:val="0000FF"/>
                <w:sz w:val="18"/>
                <w:szCs w:val="18"/>
              </w:rPr>
              <w:t xml:space="preserve"> cell</w:t>
            </w:r>
          </w:p>
        </w:tc>
        <w:tc>
          <w:tcPr>
            <w:tcW w:w="1080" w:type="dxa"/>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21.9</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4.0</w:t>
            </w:r>
          </w:p>
        </w:tc>
        <w:tc>
          <w:tcPr>
            <w:tcW w:w="216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Spire Corporation</w:t>
            </w:r>
            <w:r>
              <w:rPr>
                <w:sz w:val="18"/>
                <w:szCs w:val="18"/>
                <w:vertAlign w:val="superscript"/>
              </w:rPr>
              <w:t>11</w:t>
            </w:r>
          </w:p>
        </w:tc>
        <w:tc>
          <w:tcPr>
            <w:tcW w:w="1800" w:type="dxa"/>
            <w:gridSpan w:val="3"/>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Not relevant</w:t>
            </w:r>
          </w:p>
        </w:tc>
        <w:tc>
          <w:tcPr>
            <w:tcW w:w="1980" w:type="dxa"/>
            <w:tcBorders>
              <w:top w:val="single" w:sz="4" w:space="0" w:color="auto"/>
              <w:left w:val="nil"/>
              <w:bottom w:val="single" w:sz="4" w:space="0" w:color="auto"/>
              <w:right w:val="single" w:sz="8" w:space="0" w:color="auto"/>
            </w:tcBorders>
            <w:vAlign w:val="center"/>
          </w:tcPr>
          <w:p w:rsidR="00D4441A" w:rsidRDefault="00D4441A" w:rsidP="00EF19C7">
            <w:pPr>
              <w:autoSpaceDE w:val="0"/>
              <w:autoSpaceDN w:val="0"/>
              <w:adjustRightInd w:val="0"/>
              <w:jc w:val="center"/>
              <w:rPr>
                <w:sz w:val="18"/>
                <w:szCs w:val="18"/>
              </w:rPr>
            </w:pPr>
          </w:p>
        </w:tc>
      </w:tr>
      <w:tr w:rsidR="00D4441A" w:rsidTr="00EF19C7">
        <w:tblPrEx>
          <w:tblCellMar>
            <w:top w:w="0" w:type="dxa"/>
            <w:bottom w:w="0" w:type="dxa"/>
          </w:tblCellMar>
        </w:tblPrEx>
        <w:trPr>
          <w:trHeight w:val="397"/>
          <w:jc w:val="center"/>
        </w:trPr>
        <w:tc>
          <w:tcPr>
            <w:tcW w:w="2988" w:type="dxa"/>
            <w:tcBorders>
              <w:top w:val="single" w:sz="4" w:space="0" w:color="auto"/>
              <w:left w:val="single" w:sz="8" w:space="0" w:color="auto"/>
              <w:bottom w:val="single" w:sz="4" w:space="0" w:color="auto"/>
              <w:right w:val="single" w:sz="8" w:space="0" w:color="auto"/>
            </w:tcBorders>
            <w:vAlign w:val="center"/>
          </w:tcPr>
          <w:p w:rsidR="00D4441A" w:rsidRDefault="00D4441A" w:rsidP="00EF19C7">
            <w:pPr>
              <w:autoSpaceDE w:val="0"/>
              <w:autoSpaceDN w:val="0"/>
              <w:adjustRightInd w:val="0"/>
              <w:ind w:left="180" w:hanging="180"/>
              <w:rPr>
                <w:color w:val="0000FF"/>
                <w:sz w:val="18"/>
                <w:szCs w:val="18"/>
              </w:rPr>
            </w:pPr>
            <w:proofErr w:type="spellStart"/>
            <w:r>
              <w:rPr>
                <w:color w:val="0000FF"/>
                <w:sz w:val="18"/>
                <w:szCs w:val="18"/>
              </w:rPr>
              <w:t>GaInP</w:t>
            </w:r>
            <w:proofErr w:type="spellEnd"/>
            <w:r>
              <w:rPr>
                <w:color w:val="0000FF"/>
                <w:sz w:val="18"/>
                <w:szCs w:val="18"/>
              </w:rPr>
              <w:t>/</w:t>
            </w:r>
            <w:proofErr w:type="spellStart"/>
            <w:r>
              <w:rPr>
                <w:color w:val="0000FF"/>
                <w:sz w:val="18"/>
                <w:szCs w:val="18"/>
              </w:rPr>
              <w:t>GaAs</w:t>
            </w:r>
            <w:proofErr w:type="spellEnd"/>
            <w:r>
              <w:rPr>
                <w:color w:val="0000FF"/>
                <w:sz w:val="18"/>
                <w:szCs w:val="18"/>
              </w:rPr>
              <w:t>/Ge Multijunction cell</w:t>
            </w:r>
          </w:p>
        </w:tc>
        <w:tc>
          <w:tcPr>
            <w:tcW w:w="1080" w:type="dxa"/>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39.3</w:t>
            </w:r>
            <w:r>
              <w:rPr>
                <w:sz w:val="18"/>
                <w:szCs w:val="18"/>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0.4</w:t>
            </w:r>
          </w:p>
        </w:tc>
        <w:tc>
          <w:tcPr>
            <w:tcW w:w="216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proofErr w:type="spellStart"/>
            <w:r>
              <w:rPr>
                <w:sz w:val="18"/>
                <w:szCs w:val="18"/>
              </w:rPr>
              <w:t>Spectrolab</w:t>
            </w:r>
            <w:proofErr w:type="spellEnd"/>
            <w:r>
              <w:rPr>
                <w:sz w:val="18"/>
                <w:szCs w:val="18"/>
              </w:rPr>
              <w:t>, Concentrator</w:t>
            </w:r>
            <w:r>
              <w:rPr>
                <w:sz w:val="18"/>
                <w:szCs w:val="18"/>
                <w:vertAlign w:val="superscript"/>
              </w:rPr>
              <w:t>12</w:t>
            </w:r>
          </w:p>
        </w:tc>
        <w:tc>
          <w:tcPr>
            <w:tcW w:w="1800" w:type="dxa"/>
            <w:gridSpan w:val="3"/>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Not relevant</w:t>
            </w:r>
          </w:p>
        </w:tc>
        <w:tc>
          <w:tcPr>
            <w:tcW w:w="1980" w:type="dxa"/>
            <w:tcBorders>
              <w:top w:val="single" w:sz="4" w:space="0" w:color="auto"/>
              <w:left w:val="nil"/>
              <w:bottom w:val="single" w:sz="4" w:space="0" w:color="auto"/>
              <w:right w:val="single" w:sz="8" w:space="0" w:color="auto"/>
            </w:tcBorders>
            <w:vAlign w:val="center"/>
          </w:tcPr>
          <w:p w:rsidR="00D4441A" w:rsidRDefault="00D4441A" w:rsidP="00EF19C7">
            <w:pPr>
              <w:autoSpaceDE w:val="0"/>
              <w:autoSpaceDN w:val="0"/>
              <w:adjustRightInd w:val="0"/>
              <w:jc w:val="center"/>
              <w:rPr>
                <w:sz w:val="18"/>
                <w:szCs w:val="18"/>
              </w:rPr>
            </w:pPr>
          </w:p>
        </w:tc>
      </w:tr>
      <w:tr w:rsidR="00D4441A" w:rsidTr="00EF19C7">
        <w:tblPrEx>
          <w:tblCellMar>
            <w:top w:w="0" w:type="dxa"/>
            <w:bottom w:w="0" w:type="dxa"/>
          </w:tblCellMar>
        </w:tblPrEx>
        <w:trPr>
          <w:trHeight w:val="397"/>
          <w:jc w:val="center"/>
        </w:trPr>
        <w:tc>
          <w:tcPr>
            <w:tcW w:w="2988" w:type="dxa"/>
            <w:tcBorders>
              <w:top w:val="single" w:sz="4" w:space="0" w:color="auto"/>
              <w:left w:val="single" w:sz="8" w:space="0" w:color="auto"/>
              <w:bottom w:val="single" w:sz="4" w:space="0" w:color="auto"/>
              <w:right w:val="single" w:sz="8" w:space="0" w:color="auto"/>
            </w:tcBorders>
            <w:vAlign w:val="center"/>
          </w:tcPr>
          <w:p w:rsidR="00D4441A" w:rsidRDefault="00D4441A" w:rsidP="00EF19C7">
            <w:pPr>
              <w:autoSpaceDE w:val="0"/>
              <w:autoSpaceDN w:val="0"/>
              <w:adjustRightInd w:val="0"/>
              <w:rPr>
                <w:color w:val="0000FF"/>
                <w:sz w:val="18"/>
                <w:szCs w:val="18"/>
              </w:rPr>
            </w:pPr>
            <w:r>
              <w:rPr>
                <w:color w:val="0000FF"/>
                <w:sz w:val="18"/>
                <w:szCs w:val="18"/>
              </w:rPr>
              <w:t>CdTe</w:t>
            </w:r>
          </w:p>
        </w:tc>
        <w:tc>
          <w:tcPr>
            <w:tcW w:w="1080" w:type="dxa"/>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16.5</w:t>
            </w:r>
          </w:p>
        </w:tc>
        <w:tc>
          <w:tcPr>
            <w:tcW w:w="720" w:type="dxa"/>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1.0</w:t>
            </w:r>
          </w:p>
        </w:tc>
        <w:tc>
          <w:tcPr>
            <w:tcW w:w="216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NREL</w:t>
            </w:r>
            <w:r w:rsidR="00353494" w:rsidRPr="00353494">
              <w:rPr>
                <w:i/>
                <w:sz w:val="18"/>
                <w:szCs w:val="18"/>
                <w:vertAlign w:val="superscript"/>
              </w:rPr>
              <w:t>vi</w:t>
            </w:r>
            <w:r w:rsidR="00353494">
              <w:rPr>
                <w:sz w:val="18"/>
                <w:szCs w:val="18"/>
                <w:vertAlign w:val="superscript"/>
              </w:rPr>
              <w:t>,</w:t>
            </w:r>
            <w:r>
              <w:rPr>
                <w:sz w:val="18"/>
                <w:szCs w:val="18"/>
                <w:vertAlign w:val="superscript"/>
              </w:rPr>
              <w:t>13</w:t>
            </w:r>
          </w:p>
        </w:tc>
        <w:tc>
          <w:tcPr>
            <w:tcW w:w="720" w:type="dxa"/>
            <w:tcBorders>
              <w:top w:val="single" w:sz="4" w:space="0" w:color="auto"/>
              <w:left w:val="single" w:sz="8"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10.7</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4874</w:t>
            </w:r>
          </w:p>
        </w:tc>
        <w:tc>
          <w:tcPr>
            <w:tcW w:w="1980" w:type="dxa"/>
            <w:tcBorders>
              <w:top w:val="single" w:sz="4" w:space="0" w:color="auto"/>
              <w:left w:val="single" w:sz="4" w:space="0" w:color="auto"/>
              <w:bottom w:val="single" w:sz="4"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BP Solarex</w:t>
            </w:r>
            <w:r>
              <w:rPr>
                <w:sz w:val="18"/>
                <w:szCs w:val="18"/>
                <w:vertAlign w:val="superscript"/>
              </w:rPr>
              <w:t>14</w:t>
            </w:r>
          </w:p>
        </w:tc>
      </w:tr>
      <w:tr w:rsidR="00D4441A" w:rsidTr="00EF19C7">
        <w:tblPrEx>
          <w:tblCellMar>
            <w:top w:w="0" w:type="dxa"/>
            <w:bottom w:w="0" w:type="dxa"/>
          </w:tblCellMar>
        </w:tblPrEx>
        <w:trPr>
          <w:trHeight w:val="397"/>
          <w:jc w:val="center"/>
        </w:trPr>
        <w:tc>
          <w:tcPr>
            <w:tcW w:w="2988" w:type="dxa"/>
            <w:tcBorders>
              <w:top w:val="single" w:sz="4" w:space="0" w:color="auto"/>
              <w:left w:val="single" w:sz="8" w:space="0" w:color="auto"/>
              <w:bottom w:val="single" w:sz="8" w:space="0" w:color="auto"/>
              <w:right w:val="single" w:sz="8" w:space="0" w:color="auto"/>
            </w:tcBorders>
            <w:vAlign w:val="center"/>
          </w:tcPr>
          <w:p w:rsidR="00D4441A" w:rsidRDefault="00D4441A" w:rsidP="00EF19C7">
            <w:pPr>
              <w:autoSpaceDE w:val="0"/>
              <w:autoSpaceDN w:val="0"/>
              <w:adjustRightInd w:val="0"/>
              <w:rPr>
                <w:color w:val="0000FF"/>
                <w:sz w:val="18"/>
                <w:szCs w:val="18"/>
              </w:rPr>
            </w:pPr>
            <w:proofErr w:type="spellStart"/>
            <w:r>
              <w:rPr>
                <w:color w:val="0000FF"/>
                <w:sz w:val="18"/>
                <w:szCs w:val="18"/>
              </w:rPr>
              <w:t>CIGS</w:t>
            </w:r>
            <w:r w:rsidR="002120C9" w:rsidRPr="002120C9">
              <w:rPr>
                <w:i/>
                <w:color w:val="0000FF"/>
                <w:sz w:val="18"/>
                <w:szCs w:val="18"/>
                <w:vertAlign w:val="superscript"/>
              </w:rPr>
              <w:t>vii</w:t>
            </w:r>
            <w:proofErr w:type="spellEnd"/>
          </w:p>
        </w:tc>
        <w:tc>
          <w:tcPr>
            <w:tcW w:w="1080" w:type="dxa"/>
            <w:tcBorders>
              <w:top w:val="single" w:sz="4" w:space="0" w:color="auto"/>
              <w:left w:val="single" w:sz="8" w:space="0" w:color="auto"/>
              <w:bottom w:val="single" w:sz="8"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19.5</w:t>
            </w:r>
          </w:p>
        </w:tc>
        <w:tc>
          <w:tcPr>
            <w:tcW w:w="720" w:type="dxa"/>
            <w:tcBorders>
              <w:top w:val="single" w:sz="4" w:space="0" w:color="auto"/>
              <w:left w:val="single" w:sz="4" w:space="0" w:color="auto"/>
              <w:bottom w:val="single" w:sz="8"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0.4</w:t>
            </w:r>
          </w:p>
        </w:tc>
        <w:tc>
          <w:tcPr>
            <w:tcW w:w="2160" w:type="dxa"/>
            <w:tcBorders>
              <w:top w:val="single" w:sz="4" w:space="0" w:color="auto"/>
              <w:left w:val="single" w:sz="4" w:space="0" w:color="auto"/>
              <w:bottom w:val="single" w:sz="8"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NREL</w:t>
            </w:r>
            <w:r>
              <w:rPr>
                <w:sz w:val="18"/>
                <w:szCs w:val="18"/>
                <w:vertAlign w:val="superscript"/>
              </w:rPr>
              <w:t>15</w:t>
            </w:r>
          </w:p>
        </w:tc>
        <w:tc>
          <w:tcPr>
            <w:tcW w:w="720" w:type="dxa"/>
            <w:tcBorders>
              <w:top w:val="single" w:sz="4" w:space="0" w:color="auto"/>
              <w:left w:val="single" w:sz="8" w:space="0" w:color="auto"/>
              <w:bottom w:val="single" w:sz="8"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13.4</w:t>
            </w:r>
          </w:p>
        </w:tc>
        <w:tc>
          <w:tcPr>
            <w:tcW w:w="1080" w:type="dxa"/>
            <w:gridSpan w:val="2"/>
            <w:tcBorders>
              <w:top w:val="single" w:sz="4" w:space="0" w:color="auto"/>
              <w:left w:val="single" w:sz="4" w:space="0" w:color="auto"/>
              <w:bottom w:val="single" w:sz="8" w:space="0" w:color="auto"/>
              <w:right w:val="single" w:sz="4" w:space="0" w:color="auto"/>
            </w:tcBorders>
            <w:vAlign w:val="center"/>
          </w:tcPr>
          <w:p w:rsidR="00D4441A" w:rsidRDefault="00D4441A" w:rsidP="00EF19C7">
            <w:pPr>
              <w:autoSpaceDE w:val="0"/>
              <w:autoSpaceDN w:val="0"/>
              <w:adjustRightInd w:val="0"/>
              <w:jc w:val="center"/>
              <w:rPr>
                <w:sz w:val="18"/>
                <w:szCs w:val="18"/>
              </w:rPr>
            </w:pPr>
            <w:r>
              <w:rPr>
                <w:sz w:val="18"/>
                <w:szCs w:val="18"/>
              </w:rPr>
              <w:t>3459</w:t>
            </w:r>
          </w:p>
        </w:tc>
        <w:tc>
          <w:tcPr>
            <w:tcW w:w="1980" w:type="dxa"/>
            <w:tcBorders>
              <w:top w:val="single" w:sz="4" w:space="0" w:color="auto"/>
              <w:left w:val="single" w:sz="4" w:space="0" w:color="auto"/>
              <w:bottom w:val="single" w:sz="8" w:space="0" w:color="auto"/>
              <w:right w:val="single" w:sz="8" w:space="0" w:color="auto"/>
            </w:tcBorders>
            <w:vAlign w:val="center"/>
          </w:tcPr>
          <w:p w:rsidR="00D4441A" w:rsidRDefault="00D4441A" w:rsidP="00EF19C7">
            <w:pPr>
              <w:autoSpaceDE w:val="0"/>
              <w:autoSpaceDN w:val="0"/>
              <w:adjustRightInd w:val="0"/>
              <w:rPr>
                <w:sz w:val="18"/>
                <w:szCs w:val="18"/>
              </w:rPr>
            </w:pPr>
            <w:r>
              <w:rPr>
                <w:sz w:val="18"/>
                <w:szCs w:val="18"/>
              </w:rPr>
              <w:t>Showa Shell</w:t>
            </w:r>
            <w:r>
              <w:rPr>
                <w:sz w:val="18"/>
                <w:szCs w:val="18"/>
                <w:vertAlign w:val="superscript"/>
              </w:rPr>
              <w:t>16</w:t>
            </w:r>
          </w:p>
        </w:tc>
      </w:tr>
    </w:tbl>
    <w:p w:rsidR="0072232E" w:rsidRDefault="0072232E" w:rsidP="00D4441A">
      <w:pPr>
        <w:autoSpaceDE w:val="0"/>
        <w:autoSpaceDN w:val="0"/>
        <w:adjustRightInd w:val="0"/>
        <w:jc w:val="both"/>
      </w:pPr>
      <w:proofErr w:type="spellStart"/>
      <w:r w:rsidRPr="0072232E">
        <w:rPr>
          <w:i/>
          <w:vertAlign w:val="superscript"/>
        </w:rPr>
        <w:t>i</w:t>
      </w:r>
      <w:proofErr w:type="spellEnd"/>
      <w:r w:rsidRPr="0072232E">
        <w:rPr>
          <w:i/>
          <w:vertAlign w:val="superscript"/>
        </w:rPr>
        <w:t xml:space="preserve"> </w:t>
      </w:r>
      <w:r>
        <w:t xml:space="preserve">UNSW,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 South Wales</w:t>
          </w:r>
        </w:smartTag>
      </w:smartTag>
      <w:r>
        <w:t>.</w:t>
      </w:r>
    </w:p>
    <w:p w:rsidR="0072232E" w:rsidRDefault="0072232E" w:rsidP="00D4441A">
      <w:pPr>
        <w:autoSpaceDE w:val="0"/>
        <w:autoSpaceDN w:val="0"/>
        <w:adjustRightInd w:val="0"/>
        <w:jc w:val="both"/>
      </w:pPr>
      <w:r w:rsidRPr="0072232E">
        <w:rPr>
          <w:i/>
          <w:vertAlign w:val="superscript"/>
        </w:rPr>
        <w:t>ii</w:t>
      </w:r>
      <w:r>
        <w:t xml:space="preserve"> PERL, passivated emitter rear locally diffused.</w:t>
      </w:r>
    </w:p>
    <w:p w:rsidR="0072232E" w:rsidRDefault="0072232E" w:rsidP="00D4441A">
      <w:pPr>
        <w:autoSpaceDE w:val="0"/>
        <w:autoSpaceDN w:val="0"/>
        <w:adjustRightInd w:val="0"/>
        <w:jc w:val="both"/>
      </w:pPr>
      <w:r w:rsidRPr="0072232E">
        <w:rPr>
          <w:i/>
          <w:vertAlign w:val="superscript"/>
        </w:rPr>
        <w:t>iii</w:t>
      </w:r>
      <w:r>
        <w:t xml:space="preserve"> </w:t>
      </w:r>
      <w:proofErr w:type="spellStart"/>
      <w:r>
        <w:t>FhG</w:t>
      </w:r>
      <w:proofErr w:type="spellEnd"/>
      <w:r>
        <w:t xml:space="preserve">-ISE, </w:t>
      </w:r>
      <w:proofErr w:type="spellStart"/>
      <w:r>
        <w:t>Fraunhofer</w:t>
      </w:r>
      <w:proofErr w:type="spellEnd"/>
      <w:r>
        <w:t xml:space="preserve"> Institute for Solar Energy Systems.</w:t>
      </w:r>
    </w:p>
    <w:p w:rsidR="00114864" w:rsidRDefault="00114864" w:rsidP="00D4441A">
      <w:pPr>
        <w:autoSpaceDE w:val="0"/>
        <w:autoSpaceDN w:val="0"/>
        <w:adjustRightInd w:val="0"/>
        <w:jc w:val="both"/>
      </w:pPr>
      <w:r w:rsidRPr="00114864">
        <w:rPr>
          <w:i/>
          <w:vertAlign w:val="superscript"/>
        </w:rPr>
        <w:t>iv</w:t>
      </w:r>
      <w:r>
        <w:t xml:space="preserve"> USSC, United solar Systems Corporation.</w:t>
      </w:r>
    </w:p>
    <w:p w:rsidR="00114864" w:rsidRDefault="00114864" w:rsidP="00D4441A">
      <w:pPr>
        <w:autoSpaceDE w:val="0"/>
        <w:autoSpaceDN w:val="0"/>
        <w:adjustRightInd w:val="0"/>
        <w:jc w:val="both"/>
      </w:pPr>
      <w:r w:rsidRPr="00114864">
        <w:rPr>
          <w:i/>
          <w:vertAlign w:val="superscript"/>
        </w:rPr>
        <w:t>v</w:t>
      </w:r>
      <w:r>
        <w:t xml:space="preserve"> HIT, </w:t>
      </w:r>
      <w:proofErr w:type="spellStart"/>
      <w:r>
        <w:t>heterojunction</w:t>
      </w:r>
      <w:proofErr w:type="spellEnd"/>
      <w:r>
        <w:t xml:space="preserve"> with intrinsic thin layer.</w:t>
      </w:r>
    </w:p>
    <w:p w:rsidR="00353494" w:rsidRDefault="00353494" w:rsidP="00D4441A">
      <w:pPr>
        <w:autoSpaceDE w:val="0"/>
        <w:autoSpaceDN w:val="0"/>
        <w:adjustRightInd w:val="0"/>
        <w:jc w:val="both"/>
      </w:pPr>
      <w:r w:rsidRPr="00353494">
        <w:rPr>
          <w:i/>
          <w:vertAlign w:val="superscript"/>
        </w:rPr>
        <w:t>vi</w:t>
      </w:r>
      <w:r>
        <w:t xml:space="preserve"> NREL, Nation</w:t>
      </w:r>
      <w:r w:rsidR="00F1129D">
        <w:t>al Renewable Energy Laboratory</w:t>
      </w:r>
      <w:r>
        <w:t>.</w:t>
      </w:r>
    </w:p>
    <w:p w:rsidR="002120C9" w:rsidRDefault="002120C9" w:rsidP="00D4441A">
      <w:pPr>
        <w:autoSpaceDE w:val="0"/>
        <w:autoSpaceDN w:val="0"/>
        <w:adjustRightInd w:val="0"/>
        <w:jc w:val="both"/>
        <w:rPr>
          <w:lang w:val="de-DE"/>
        </w:rPr>
      </w:pPr>
      <w:r w:rsidRPr="002120C9">
        <w:rPr>
          <w:i/>
          <w:vertAlign w:val="superscript"/>
          <w:lang w:val="de-DE"/>
        </w:rPr>
        <w:t>vii</w:t>
      </w:r>
      <w:r w:rsidRPr="002120C9">
        <w:rPr>
          <w:lang w:val="de-DE"/>
        </w:rPr>
        <w:t xml:space="preserve"> CIGS, copper indium gallium diselenide.</w:t>
      </w:r>
    </w:p>
    <w:p w:rsidR="0014462E" w:rsidRPr="002120C9" w:rsidRDefault="0014462E" w:rsidP="00D4441A">
      <w:pPr>
        <w:autoSpaceDE w:val="0"/>
        <w:autoSpaceDN w:val="0"/>
        <w:adjustRightInd w:val="0"/>
        <w:jc w:val="both"/>
        <w:rPr>
          <w:lang w:val="de-DE"/>
        </w:rPr>
      </w:pPr>
    </w:p>
    <w:p w:rsidR="00D4441A" w:rsidRDefault="00D4441A" w:rsidP="00D4441A">
      <w:pPr>
        <w:autoSpaceDE w:val="0"/>
        <w:autoSpaceDN w:val="0"/>
        <w:adjustRightInd w:val="0"/>
        <w:jc w:val="both"/>
        <w:rPr>
          <w:color w:val="000000"/>
        </w:rPr>
      </w:pPr>
      <w:r>
        <w:t>*Boeing-</w:t>
      </w:r>
      <w:proofErr w:type="spellStart"/>
      <w:r>
        <w:t>Spectrolab</w:t>
      </w:r>
      <w:proofErr w:type="spellEnd"/>
      <w:r w:rsidR="00114864">
        <w:t xml:space="preserve"> (Sylmar</w:t>
      </w:r>
      <w:r w:rsidR="00AA77DB">
        <w:t>,</w:t>
      </w:r>
      <w:r w:rsidR="00114864">
        <w:t xml:space="preserve"> CA)</w:t>
      </w:r>
      <w:r>
        <w:t xml:space="preserve"> announced a 40.7% efficient cell under 240X concentrated light in December 2006 (unpublished).</w:t>
      </w:r>
    </w:p>
    <w:p w:rsidR="00D4441A" w:rsidRDefault="00D4441A" w:rsidP="00D4441A">
      <w:pPr>
        <w:autoSpaceDE w:val="0"/>
        <w:autoSpaceDN w:val="0"/>
        <w:adjustRightInd w:val="0"/>
        <w:jc w:val="both"/>
        <w:rPr>
          <w:color w:val="000000"/>
        </w:rPr>
      </w:pPr>
    </w:p>
    <w:p w:rsidR="006E6615" w:rsidRDefault="006E6615" w:rsidP="006E6615">
      <w:pPr>
        <w:autoSpaceDE w:val="0"/>
        <w:autoSpaceDN w:val="0"/>
        <w:adjustRightInd w:val="0"/>
        <w:jc w:val="both"/>
        <w:rPr>
          <w:color w:val="000000"/>
        </w:rPr>
      </w:pPr>
    </w:p>
    <w:p w:rsidR="006E6615" w:rsidRPr="00DC6F0E" w:rsidRDefault="006E6615" w:rsidP="006E6615">
      <w:pPr>
        <w:autoSpaceDE w:val="0"/>
        <w:autoSpaceDN w:val="0"/>
        <w:adjustRightInd w:val="0"/>
        <w:rPr>
          <w:rFonts w:ascii="Arial" w:hAnsi="Arial" w:cs="Arial"/>
          <w:sz w:val="20"/>
          <w:szCs w:val="20"/>
          <w:lang w:val="en-US"/>
        </w:rPr>
      </w:pPr>
    </w:p>
    <w:p w:rsidR="006E6615" w:rsidRDefault="006E6615" w:rsidP="006E6615"/>
    <w:p w:rsidR="00EE3632" w:rsidRDefault="006E6615" w:rsidP="00EE3632">
      <w:pPr>
        <w:rPr>
          <w:b/>
          <w:sz w:val="48"/>
          <w:szCs w:val="48"/>
        </w:rPr>
      </w:pPr>
      <w:r>
        <w:br w:type="page"/>
      </w:r>
      <w:r w:rsidR="00EE3632">
        <w:rPr>
          <w:b/>
          <w:sz w:val="48"/>
          <w:szCs w:val="48"/>
        </w:rPr>
        <w:t xml:space="preserve">Fig. 1 </w:t>
      </w:r>
    </w:p>
    <w:p w:rsidR="00EE3632" w:rsidRPr="000A6109" w:rsidRDefault="00EE3632" w:rsidP="00EE3632">
      <w:pPr>
        <w:rPr>
          <w:b/>
          <w:sz w:val="48"/>
          <w:szCs w:val="48"/>
        </w:rPr>
      </w:pPr>
    </w:p>
    <w:p w:rsidR="00EE3632" w:rsidRDefault="00592260" w:rsidP="00EE3632">
      <w:r>
        <w:rPr>
          <w:noProof/>
        </w:rPr>
        <w:drawing>
          <wp:inline distT="0" distB="0" distL="0" distR="0">
            <wp:extent cx="5133975" cy="3962400"/>
            <wp:effectExtent l="0" t="0" r="0" b="0"/>
            <wp:docPr id="1" name="Picture 1" descr="p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3975" cy="3962400"/>
                    </a:xfrm>
                    <a:prstGeom prst="rect">
                      <a:avLst/>
                    </a:prstGeom>
                    <a:noFill/>
                    <a:ln>
                      <a:noFill/>
                    </a:ln>
                  </pic:spPr>
                </pic:pic>
              </a:graphicData>
            </a:graphic>
          </wp:inline>
        </w:drawing>
      </w:r>
    </w:p>
    <w:p w:rsidR="00EE3632" w:rsidRDefault="00EE3632" w:rsidP="00EE3632"/>
    <w:p w:rsidR="00EE3632" w:rsidRPr="001C5E72" w:rsidRDefault="00EE3632" w:rsidP="00EE3632"/>
    <w:p w:rsidR="00EE3632" w:rsidRDefault="00EE3632" w:rsidP="00EE3632">
      <w:r>
        <w:br w:type="page"/>
      </w:r>
    </w:p>
    <w:p w:rsidR="00EE3632" w:rsidRDefault="00EE3632" w:rsidP="009F69A6"/>
    <w:p w:rsidR="009F69A6" w:rsidRDefault="009F69A6" w:rsidP="009F69A6">
      <w:pPr>
        <w:rPr>
          <w:b/>
          <w:sz w:val="48"/>
          <w:szCs w:val="48"/>
        </w:rPr>
      </w:pPr>
      <w:r>
        <w:rPr>
          <w:b/>
          <w:sz w:val="48"/>
          <w:szCs w:val="48"/>
        </w:rPr>
        <w:t xml:space="preserve">Fig. </w:t>
      </w:r>
      <w:r w:rsidR="00EE3632">
        <w:rPr>
          <w:b/>
          <w:sz w:val="48"/>
          <w:szCs w:val="48"/>
        </w:rPr>
        <w:t>2</w:t>
      </w:r>
    </w:p>
    <w:p w:rsidR="004318C8" w:rsidRPr="000A6109" w:rsidRDefault="004318C8" w:rsidP="009F69A6">
      <w:pPr>
        <w:rPr>
          <w:b/>
          <w:sz w:val="48"/>
          <w:szCs w:val="48"/>
        </w:rPr>
      </w:pPr>
      <w:r>
        <w:rPr>
          <w:b/>
          <w:sz w:val="48"/>
          <w:szCs w:val="48"/>
        </w:rPr>
        <w:t>(a)</w:t>
      </w:r>
    </w:p>
    <w:p w:rsidR="009F69A6" w:rsidRDefault="00592260" w:rsidP="009F69A6">
      <w:r>
        <w:rPr>
          <w:noProof/>
        </w:rPr>
        <w:drawing>
          <wp:inline distT="0" distB="0" distL="0" distR="0">
            <wp:extent cx="4324350" cy="3105150"/>
            <wp:effectExtent l="0" t="0" r="0" b="0"/>
            <wp:docPr id="2" name="Picture 2" descr="northumberland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umberland cropp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4350" cy="3105150"/>
                    </a:xfrm>
                    <a:prstGeom prst="rect">
                      <a:avLst/>
                    </a:prstGeom>
                    <a:noFill/>
                    <a:ln>
                      <a:noFill/>
                    </a:ln>
                  </pic:spPr>
                </pic:pic>
              </a:graphicData>
            </a:graphic>
          </wp:inline>
        </w:drawing>
      </w:r>
    </w:p>
    <w:p w:rsidR="009F69A6" w:rsidRDefault="009F69A6" w:rsidP="009F69A6"/>
    <w:p w:rsidR="004318C8" w:rsidRPr="000A6109" w:rsidRDefault="004318C8" w:rsidP="004318C8">
      <w:pPr>
        <w:rPr>
          <w:b/>
          <w:sz w:val="48"/>
          <w:szCs w:val="48"/>
        </w:rPr>
      </w:pPr>
      <w:r>
        <w:rPr>
          <w:b/>
          <w:sz w:val="48"/>
          <w:szCs w:val="48"/>
        </w:rPr>
        <w:t>(b)</w:t>
      </w:r>
    </w:p>
    <w:p w:rsidR="009F69A6" w:rsidRDefault="00592260" w:rsidP="009F69A6">
      <w:r>
        <w:rPr>
          <w:noProof/>
        </w:rPr>
        <w:drawing>
          <wp:inline distT="0" distB="0" distL="0" distR="0">
            <wp:extent cx="4314825" cy="3238500"/>
            <wp:effectExtent l="0" t="0" r="0" b="0"/>
            <wp:docPr id="3" name="Picture 3" descr="P10203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0389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rsidR="009F69A6" w:rsidRPr="000A6109" w:rsidRDefault="009F69A6" w:rsidP="009F69A6">
      <w:pPr>
        <w:rPr>
          <w:b/>
          <w:sz w:val="48"/>
          <w:szCs w:val="48"/>
        </w:rPr>
      </w:pPr>
      <w:r>
        <w:br w:type="page"/>
      </w:r>
      <w:r>
        <w:rPr>
          <w:b/>
          <w:sz w:val="48"/>
          <w:szCs w:val="48"/>
        </w:rPr>
        <w:t>Fig. 3 (a)</w:t>
      </w:r>
    </w:p>
    <w:p w:rsidR="009F69A6" w:rsidRDefault="009F69A6" w:rsidP="009F69A6"/>
    <w:p w:rsidR="009F69A6" w:rsidRDefault="009F69A6" w:rsidP="009F69A6"/>
    <w:p w:rsidR="009F69A6" w:rsidRDefault="00592260" w:rsidP="009F69A6">
      <w:r>
        <w:rPr>
          <w:noProof/>
        </w:rPr>
        <w:drawing>
          <wp:inline distT="0" distB="0" distL="0" distR="0">
            <wp:extent cx="4619625" cy="2305050"/>
            <wp:effectExtent l="0" t="0" r="0" b="0"/>
            <wp:docPr id="4" name="Picture 4" descr="Fig1-C-Si screen printed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C-Si screen printed conta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9625" cy="2305050"/>
                    </a:xfrm>
                    <a:prstGeom prst="rect">
                      <a:avLst/>
                    </a:prstGeom>
                    <a:noFill/>
                    <a:ln>
                      <a:noFill/>
                    </a:ln>
                  </pic:spPr>
                </pic:pic>
              </a:graphicData>
            </a:graphic>
          </wp:inline>
        </w:drawing>
      </w:r>
    </w:p>
    <w:p w:rsidR="009F69A6" w:rsidRDefault="009F69A6" w:rsidP="009F69A6"/>
    <w:p w:rsidR="009F69A6" w:rsidRDefault="009F69A6" w:rsidP="009F69A6"/>
    <w:p w:rsidR="009F69A6" w:rsidRDefault="009F69A6" w:rsidP="009F69A6"/>
    <w:p w:rsidR="009F69A6" w:rsidRDefault="009F69A6" w:rsidP="009F69A6"/>
    <w:p w:rsidR="009F69A6" w:rsidRDefault="009F69A6" w:rsidP="009F69A6"/>
    <w:p w:rsidR="009F69A6" w:rsidRDefault="009F69A6" w:rsidP="009F69A6"/>
    <w:p w:rsidR="009F69A6" w:rsidRDefault="009F69A6" w:rsidP="009F69A6">
      <w:pPr>
        <w:rPr>
          <w:b/>
          <w:sz w:val="48"/>
          <w:szCs w:val="48"/>
        </w:rPr>
      </w:pPr>
      <w:r>
        <w:br w:type="page"/>
      </w:r>
      <w:r>
        <w:rPr>
          <w:b/>
          <w:sz w:val="48"/>
          <w:szCs w:val="48"/>
        </w:rPr>
        <w:t>Fig. 3 (b)</w:t>
      </w:r>
    </w:p>
    <w:p w:rsidR="009F69A6" w:rsidRDefault="009F69A6" w:rsidP="009F69A6">
      <w:pPr>
        <w:rPr>
          <w:color w:val="000000"/>
        </w:rPr>
      </w:pPr>
    </w:p>
    <w:p w:rsidR="009F69A6" w:rsidRDefault="009F69A6" w:rsidP="009F69A6">
      <w:pPr>
        <w:rPr>
          <w:color w:val="000000"/>
        </w:rPr>
      </w:pPr>
    </w:p>
    <w:p w:rsidR="009F69A6" w:rsidRDefault="00592260" w:rsidP="009F69A6">
      <w:pPr>
        <w:rPr>
          <w:color w:val="000000"/>
        </w:rPr>
      </w:pPr>
      <w:r>
        <w:rPr>
          <w:noProof/>
          <w:color w:val="000000"/>
        </w:rPr>
        <w:drawing>
          <wp:inline distT="0" distB="0" distL="0" distR="0">
            <wp:extent cx="4686300" cy="2190750"/>
            <wp:effectExtent l="0" t="0" r="0" b="0"/>
            <wp:docPr id="5" name="Picture 5" descr="Fig2-C-Si buried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C-Si buried conta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6300" cy="2190750"/>
                    </a:xfrm>
                    <a:prstGeom prst="rect">
                      <a:avLst/>
                    </a:prstGeom>
                    <a:noFill/>
                    <a:ln>
                      <a:noFill/>
                    </a:ln>
                  </pic:spPr>
                </pic:pic>
              </a:graphicData>
            </a:graphic>
          </wp:inline>
        </w:drawing>
      </w:r>
    </w:p>
    <w:p w:rsidR="009F69A6" w:rsidRDefault="009F69A6" w:rsidP="009F69A6">
      <w:pPr>
        <w:rPr>
          <w:color w:val="000000"/>
        </w:rPr>
      </w:pPr>
    </w:p>
    <w:p w:rsidR="009F69A6" w:rsidRDefault="009F69A6" w:rsidP="009F69A6"/>
    <w:p w:rsidR="009F69A6" w:rsidRDefault="009F69A6" w:rsidP="009F69A6"/>
    <w:p w:rsidR="009F69A6" w:rsidRDefault="009F69A6" w:rsidP="009F69A6"/>
    <w:p w:rsidR="009F69A6" w:rsidRDefault="009F69A6" w:rsidP="009F69A6"/>
    <w:p w:rsidR="009F69A6" w:rsidRDefault="009F69A6" w:rsidP="009F69A6"/>
    <w:p w:rsidR="009F69A6" w:rsidRDefault="009F69A6" w:rsidP="009F69A6"/>
    <w:p w:rsidR="009F69A6" w:rsidRDefault="009F69A6" w:rsidP="009F69A6"/>
    <w:p w:rsidR="009F69A6" w:rsidRDefault="009F69A6" w:rsidP="009F69A6"/>
    <w:p w:rsidR="009F69A6" w:rsidRDefault="009F69A6" w:rsidP="009F69A6"/>
    <w:p w:rsidR="00EE3632" w:rsidRDefault="009F69A6" w:rsidP="00EE3632">
      <w:pPr>
        <w:rPr>
          <w:b/>
          <w:sz w:val="48"/>
          <w:szCs w:val="48"/>
        </w:rPr>
      </w:pPr>
      <w:r>
        <w:br w:type="page"/>
      </w:r>
      <w:bookmarkStart w:id="1" w:name="OLE_LINK1"/>
      <w:bookmarkStart w:id="2" w:name="OLE_LINK2"/>
      <w:r w:rsidR="00EE3632">
        <w:rPr>
          <w:b/>
          <w:sz w:val="48"/>
          <w:szCs w:val="48"/>
        </w:rPr>
        <w:t>Fig. 4</w:t>
      </w:r>
    </w:p>
    <w:p w:rsidR="00EE3632" w:rsidRDefault="00EE3632" w:rsidP="00EE3632">
      <w:pPr>
        <w:rPr>
          <w:b/>
          <w:sz w:val="48"/>
          <w:szCs w:val="48"/>
        </w:rPr>
      </w:pPr>
      <w:r>
        <w:rPr>
          <w:b/>
          <w:sz w:val="48"/>
          <w:szCs w:val="48"/>
        </w:rPr>
        <w:t>(a)</w:t>
      </w:r>
    </w:p>
    <w:p w:rsidR="00EE3632" w:rsidRDefault="00592260" w:rsidP="00EE3632">
      <w:r>
        <w:rPr>
          <w:noProof/>
        </w:rPr>
        <w:drawing>
          <wp:inline distT="0" distB="0" distL="0" distR="0">
            <wp:extent cx="4010025" cy="3857625"/>
            <wp:effectExtent l="0" t="0" r="0" b="0"/>
            <wp:docPr id="6" name="Picture 6" descr="Mono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o ce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0025" cy="3857625"/>
                    </a:xfrm>
                    <a:prstGeom prst="rect">
                      <a:avLst/>
                    </a:prstGeom>
                    <a:noFill/>
                    <a:ln>
                      <a:noFill/>
                    </a:ln>
                  </pic:spPr>
                </pic:pic>
              </a:graphicData>
            </a:graphic>
          </wp:inline>
        </w:drawing>
      </w:r>
    </w:p>
    <w:p w:rsidR="00EE3632" w:rsidRDefault="00EE3632" w:rsidP="00EE3632">
      <w:pPr>
        <w:rPr>
          <w:b/>
          <w:sz w:val="48"/>
          <w:szCs w:val="48"/>
        </w:rPr>
      </w:pPr>
    </w:p>
    <w:p w:rsidR="00EE3632" w:rsidRDefault="00EE3632" w:rsidP="00EE3632">
      <w:pPr>
        <w:rPr>
          <w:b/>
          <w:sz w:val="48"/>
          <w:szCs w:val="48"/>
        </w:rPr>
      </w:pPr>
      <w:r>
        <w:rPr>
          <w:b/>
          <w:sz w:val="48"/>
          <w:szCs w:val="48"/>
        </w:rPr>
        <w:br w:type="page"/>
        <w:t>Fig. 4</w:t>
      </w:r>
    </w:p>
    <w:p w:rsidR="00EE3632" w:rsidRDefault="00EE3632" w:rsidP="00EE3632">
      <w:pPr>
        <w:rPr>
          <w:b/>
          <w:sz w:val="48"/>
          <w:szCs w:val="48"/>
        </w:rPr>
      </w:pPr>
      <w:r>
        <w:rPr>
          <w:b/>
          <w:sz w:val="48"/>
          <w:szCs w:val="48"/>
        </w:rPr>
        <w:t>(b)</w:t>
      </w:r>
    </w:p>
    <w:p w:rsidR="00EE3632" w:rsidRDefault="00EE3632" w:rsidP="00EE3632">
      <w:pPr>
        <w:rPr>
          <w:b/>
          <w:sz w:val="48"/>
          <w:szCs w:val="48"/>
        </w:rPr>
      </w:pPr>
    </w:p>
    <w:p w:rsidR="00EE3632" w:rsidRDefault="00592260" w:rsidP="00EE3632">
      <w:r>
        <w:rPr>
          <w:noProof/>
        </w:rPr>
        <w:drawing>
          <wp:inline distT="0" distB="0" distL="0" distR="0">
            <wp:extent cx="4010025" cy="3857625"/>
            <wp:effectExtent l="0" t="0" r="0" b="0"/>
            <wp:docPr id="7" name="Picture 7" descr="pol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y ce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0025" cy="3857625"/>
                    </a:xfrm>
                    <a:prstGeom prst="rect">
                      <a:avLst/>
                    </a:prstGeom>
                    <a:noFill/>
                    <a:ln>
                      <a:noFill/>
                    </a:ln>
                  </pic:spPr>
                </pic:pic>
              </a:graphicData>
            </a:graphic>
          </wp:inline>
        </w:drawing>
      </w:r>
    </w:p>
    <w:p w:rsidR="00EE3632" w:rsidRDefault="00EE3632" w:rsidP="00EE3632"/>
    <w:p w:rsidR="009F69A6" w:rsidRDefault="00EE3632" w:rsidP="009F69A6">
      <w:r>
        <w:br w:type="page"/>
      </w:r>
      <w:r>
        <w:rPr>
          <w:b/>
          <w:sz w:val="48"/>
          <w:szCs w:val="48"/>
        </w:rPr>
        <w:t>Fig. 5</w:t>
      </w:r>
      <w:r w:rsidR="009F69A6">
        <w:rPr>
          <w:b/>
          <w:sz w:val="48"/>
          <w:szCs w:val="48"/>
        </w:rPr>
        <w:t xml:space="preserve"> </w:t>
      </w:r>
    </w:p>
    <w:p w:rsidR="009F69A6" w:rsidRDefault="009F69A6" w:rsidP="009F69A6"/>
    <w:p w:rsidR="009F69A6" w:rsidRDefault="00592260" w:rsidP="009F69A6">
      <w:r>
        <w:rPr>
          <w:noProof/>
        </w:rPr>
        <w:drawing>
          <wp:inline distT="0" distB="0" distL="0" distR="0">
            <wp:extent cx="4457700" cy="4038600"/>
            <wp:effectExtent l="0" t="0" r="0" b="0"/>
            <wp:docPr id="8" name="Picture 8" descr="concen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centrat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0" cy="4038600"/>
                    </a:xfrm>
                    <a:prstGeom prst="rect">
                      <a:avLst/>
                    </a:prstGeom>
                    <a:noFill/>
                    <a:ln>
                      <a:noFill/>
                    </a:ln>
                  </pic:spPr>
                </pic:pic>
              </a:graphicData>
            </a:graphic>
          </wp:inline>
        </w:drawing>
      </w:r>
    </w:p>
    <w:p w:rsidR="009F69A6" w:rsidRDefault="009F69A6" w:rsidP="009F69A6"/>
    <w:p w:rsidR="009F69A6" w:rsidRPr="003C49B1" w:rsidRDefault="009F69A6" w:rsidP="009F69A6">
      <w:r>
        <w:br w:type="page"/>
      </w:r>
      <w:r w:rsidR="00EE3632">
        <w:rPr>
          <w:b/>
          <w:sz w:val="48"/>
          <w:szCs w:val="48"/>
        </w:rPr>
        <w:t xml:space="preserve"> </w:t>
      </w:r>
      <w:r>
        <w:rPr>
          <w:b/>
          <w:sz w:val="48"/>
          <w:szCs w:val="48"/>
        </w:rPr>
        <w:t>Fig. 6 (a)</w:t>
      </w:r>
    </w:p>
    <w:p w:rsidR="009F69A6" w:rsidRPr="003C49B1" w:rsidRDefault="009F69A6" w:rsidP="009F69A6"/>
    <w:bookmarkEnd w:id="1"/>
    <w:bookmarkEnd w:id="2"/>
    <w:p w:rsidR="009F69A6" w:rsidRDefault="009F69A6" w:rsidP="009F69A6"/>
    <w:p w:rsidR="009F69A6" w:rsidRDefault="00592260" w:rsidP="009F69A6">
      <w:r>
        <w:rPr>
          <w:noProof/>
        </w:rPr>
        <w:drawing>
          <wp:inline distT="0" distB="0" distL="0" distR="0">
            <wp:extent cx="3248025" cy="2305050"/>
            <wp:effectExtent l="0" t="0" r="0" b="0"/>
            <wp:docPr id="9" name="Picture 9" descr="Fig3 a-Si H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3 a-Si H sing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8025" cy="2305050"/>
                    </a:xfrm>
                    <a:prstGeom prst="rect">
                      <a:avLst/>
                    </a:prstGeom>
                    <a:noFill/>
                    <a:ln>
                      <a:noFill/>
                    </a:ln>
                  </pic:spPr>
                </pic:pic>
              </a:graphicData>
            </a:graphic>
          </wp:inline>
        </w:drawing>
      </w:r>
    </w:p>
    <w:p w:rsidR="009F69A6" w:rsidRDefault="009F69A6" w:rsidP="009F69A6"/>
    <w:p w:rsidR="009F69A6" w:rsidRDefault="009F69A6" w:rsidP="009F69A6"/>
    <w:p w:rsidR="009F69A6" w:rsidRDefault="009F69A6" w:rsidP="009F69A6"/>
    <w:p w:rsidR="009F69A6" w:rsidRDefault="009F69A6" w:rsidP="009F69A6"/>
    <w:p w:rsidR="009F69A6" w:rsidRDefault="009F69A6" w:rsidP="009F69A6">
      <w:pPr>
        <w:rPr>
          <w:b/>
          <w:sz w:val="48"/>
          <w:szCs w:val="48"/>
        </w:rPr>
      </w:pPr>
      <w:r>
        <w:br w:type="page"/>
      </w:r>
      <w:r>
        <w:rPr>
          <w:b/>
          <w:sz w:val="48"/>
          <w:szCs w:val="48"/>
        </w:rPr>
        <w:t>Fig. 6 (b)</w:t>
      </w:r>
    </w:p>
    <w:p w:rsidR="009F69A6" w:rsidRDefault="009F69A6" w:rsidP="009F69A6"/>
    <w:p w:rsidR="009F69A6" w:rsidRDefault="00592260" w:rsidP="009F69A6">
      <w:r>
        <w:rPr>
          <w:noProof/>
        </w:rPr>
        <w:drawing>
          <wp:inline distT="0" distB="0" distL="0" distR="0">
            <wp:extent cx="4838700" cy="2781300"/>
            <wp:effectExtent l="0" t="0" r="0" b="0"/>
            <wp:docPr id="10" name="Picture 10" descr="Fig3 b a-Si H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3 b a-Si H dou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700" cy="2781300"/>
                    </a:xfrm>
                    <a:prstGeom prst="rect">
                      <a:avLst/>
                    </a:prstGeom>
                    <a:noFill/>
                    <a:ln>
                      <a:noFill/>
                    </a:ln>
                  </pic:spPr>
                </pic:pic>
              </a:graphicData>
            </a:graphic>
          </wp:inline>
        </w:drawing>
      </w:r>
    </w:p>
    <w:p w:rsidR="009F69A6" w:rsidRDefault="009F69A6" w:rsidP="009F69A6"/>
    <w:p w:rsidR="009F69A6" w:rsidRDefault="009F69A6" w:rsidP="009F69A6"/>
    <w:p w:rsidR="009F69A6" w:rsidRDefault="009F69A6" w:rsidP="009F69A6"/>
    <w:p w:rsidR="009F69A6" w:rsidRDefault="009F69A6" w:rsidP="009F69A6"/>
    <w:p w:rsidR="009F69A6" w:rsidRDefault="009F69A6" w:rsidP="009F69A6">
      <w:pPr>
        <w:rPr>
          <w:b/>
          <w:sz w:val="48"/>
          <w:szCs w:val="48"/>
        </w:rPr>
      </w:pPr>
      <w:r>
        <w:br w:type="page"/>
      </w:r>
      <w:r>
        <w:rPr>
          <w:b/>
          <w:sz w:val="48"/>
          <w:szCs w:val="48"/>
        </w:rPr>
        <w:t>Fig. 6 (c)</w:t>
      </w:r>
    </w:p>
    <w:p w:rsidR="009F69A6" w:rsidRDefault="009F69A6" w:rsidP="009F69A6"/>
    <w:p w:rsidR="009F69A6" w:rsidRDefault="009F69A6" w:rsidP="009F69A6"/>
    <w:p w:rsidR="009F69A6" w:rsidRDefault="00592260" w:rsidP="009F69A6">
      <w:r>
        <w:rPr>
          <w:noProof/>
        </w:rPr>
        <w:drawing>
          <wp:inline distT="0" distB="0" distL="0" distR="0">
            <wp:extent cx="4838700" cy="3600450"/>
            <wp:effectExtent l="0" t="0" r="0" b="0"/>
            <wp:docPr id="11" name="Picture 11" descr="Fig3c a-Si H tr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3c a-Si H tri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700" cy="3600450"/>
                    </a:xfrm>
                    <a:prstGeom prst="rect">
                      <a:avLst/>
                    </a:prstGeom>
                    <a:noFill/>
                    <a:ln>
                      <a:noFill/>
                    </a:ln>
                  </pic:spPr>
                </pic:pic>
              </a:graphicData>
            </a:graphic>
          </wp:inline>
        </w:drawing>
      </w:r>
    </w:p>
    <w:p w:rsidR="009F69A6" w:rsidRDefault="009F69A6" w:rsidP="009F69A6"/>
    <w:p w:rsidR="009F69A6" w:rsidRDefault="009F69A6" w:rsidP="009F69A6"/>
    <w:p w:rsidR="009F69A6" w:rsidRDefault="009F69A6" w:rsidP="009F69A6"/>
    <w:p w:rsidR="009F69A6" w:rsidRDefault="009F69A6" w:rsidP="009F69A6"/>
    <w:p w:rsidR="009F69A6" w:rsidRDefault="009F69A6" w:rsidP="009F69A6">
      <w:r>
        <w:br w:type="page"/>
      </w:r>
      <w:r>
        <w:rPr>
          <w:b/>
          <w:sz w:val="48"/>
          <w:szCs w:val="48"/>
        </w:rPr>
        <w:t xml:space="preserve"> Fig. 7 </w:t>
      </w:r>
    </w:p>
    <w:p w:rsidR="009F69A6" w:rsidRDefault="009F69A6" w:rsidP="009F69A6"/>
    <w:p w:rsidR="009F69A6" w:rsidRDefault="009F69A6" w:rsidP="009F69A6"/>
    <w:p w:rsidR="009F69A6" w:rsidRDefault="00592260" w:rsidP="009F69A6">
      <w:r>
        <w:rPr>
          <w:noProof/>
        </w:rPr>
        <w:drawing>
          <wp:inline distT="0" distB="0" distL="0" distR="0">
            <wp:extent cx="3228975" cy="3371850"/>
            <wp:effectExtent l="0" t="0" r="0" b="0"/>
            <wp:docPr id="12" name="Picture 12" descr="Fig5 II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5 III-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975" cy="3371850"/>
                    </a:xfrm>
                    <a:prstGeom prst="rect">
                      <a:avLst/>
                    </a:prstGeom>
                    <a:noFill/>
                    <a:ln>
                      <a:noFill/>
                    </a:ln>
                  </pic:spPr>
                </pic:pic>
              </a:graphicData>
            </a:graphic>
          </wp:inline>
        </w:drawing>
      </w:r>
    </w:p>
    <w:p w:rsidR="009F69A6" w:rsidRDefault="009F69A6" w:rsidP="009F69A6"/>
    <w:p w:rsidR="009F69A6" w:rsidRDefault="009F69A6" w:rsidP="009F69A6"/>
    <w:p w:rsidR="009F69A6" w:rsidRDefault="009F69A6" w:rsidP="009F69A6"/>
    <w:p w:rsidR="009F69A6" w:rsidRDefault="009F69A6" w:rsidP="009F69A6">
      <w:pPr>
        <w:rPr>
          <w:b/>
          <w:sz w:val="48"/>
          <w:szCs w:val="48"/>
        </w:rPr>
      </w:pPr>
      <w:r>
        <w:br w:type="page"/>
      </w:r>
      <w:r>
        <w:rPr>
          <w:b/>
          <w:sz w:val="48"/>
          <w:szCs w:val="48"/>
        </w:rPr>
        <w:t>Fig. 8 (a)</w:t>
      </w:r>
    </w:p>
    <w:p w:rsidR="009F69A6" w:rsidRDefault="009F69A6" w:rsidP="009F69A6"/>
    <w:p w:rsidR="009F69A6" w:rsidRDefault="009F69A6" w:rsidP="009F69A6"/>
    <w:p w:rsidR="009F69A6" w:rsidRDefault="00592260" w:rsidP="009F69A6">
      <w:r>
        <w:rPr>
          <w:noProof/>
        </w:rPr>
        <w:drawing>
          <wp:inline distT="0" distB="0" distL="0" distR="0">
            <wp:extent cx="3257550" cy="1962150"/>
            <wp:effectExtent l="0" t="0" r="0" b="0"/>
            <wp:docPr id="13" name="Picture 13" descr="Fig6 Cd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6 Cd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7550" cy="1962150"/>
                    </a:xfrm>
                    <a:prstGeom prst="rect">
                      <a:avLst/>
                    </a:prstGeom>
                    <a:noFill/>
                    <a:ln>
                      <a:noFill/>
                    </a:ln>
                  </pic:spPr>
                </pic:pic>
              </a:graphicData>
            </a:graphic>
          </wp:inline>
        </w:drawing>
      </w:r>
    </w:p>
    <w:p w:rsidR="009F69A6" w:rsidRDefault="009F69A6" w:rsidP="009F69A6"/>
    <w:p w:rsidR="009F69A6" w:rsidRDefault="009F69A6" w:rsidP="009F69A6"/>
    <w:p w:rsidR="009F69A6" w:rsidRDefault="009F69A6" w:rsidP="009F69A6"/>
    <w:p w:rsidR="009F69A6" w:rsidRDefault="009F69A6" w:rsidP="009F69A6"/>
    <w:p w:rsidR="009F69A6" w:rsidRDefault="009F69A6" w:rsidP="009F69A6">
      <w:pPr>
        <w:rPr>
          <w:b/>
          <w:sz w:val="48"/>
          <w:szCs w:val="48"/>
        </w:rPr>
      </w:pPr>
      <w:r>
        <w:br w:type="page"/>
      </w:r>
      <w:r>
        <w:rPr>
          <w:b/>
          <w:sz w:val="48"/>
          <w:szCs w:val="48"/>
        </w:rPr>
        <w:t>Fig. 8 (b)</w:t>
      </w:r>
    </w:p>
    <w:p w:rsidR="009F69A6" w:rsidRDefault="009F69A6" w:rsidP="009F69A6"/>
    <w:p w:rsidR="009F69A6" w:rsidRDefault="00592260" w:rsidP="009F69A6">
      <w:r>
        <w:rPr>
          <w:noProof/>
        </w:rPr>
        <w:drawing>
          <wp:inline distT="0" distB="0" distL="0" distR="0">
            <wp:extent cx="3209925" cy="2914650"/>
            <wp:effectExtent l="0" t="0" r="0" b="0"/>
            <wp:docPr id="14" name="Picture 14" descr="Fig7 C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7 CI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9925" cy="2914650"/>
                    </a:xfrm>
                    <a:prstGeom prst="rect">
                      <a:avLst/>
                    </a:prstGeom>
                    <a:noFill/>
                    <a:ln>
                      <a:noFill/>
                    </a:ln>
                  </pic:spPr>
                </pic:pic>
              </a:graphicData>
            </a:graphic>
          </wp:inline>
        </w:drawing>
      </w:r>
    </w:p>
    <w:p w:rsidR="009F69A6" w:rsidRDefault="009F69A6" w:rsidP="009F69A6"/>
    <w:p w:rsidR="009F69A6" w:rsidRDefault="009F69A6" w:rsidP="009F69A6">
      <w:pPr>
        <w:ind w:left="280" w:hanging="280"/>
      </w:pPr>
    </w:p>
    <w:p w:rsidR="009F69A6" w:rsidRDefault="009F69A6" w:rsidP="009F69A6"/>
    <w:p w:rsidR="00820A94" w:rsidRDefault="00820A94"/>
    <w:p w:rsidR="00820A94" w:rsidRDefault="00820A94"/>
    <w:p w:rsidR="000C4EEF" w:rsidRDefault="000C4EEF" w:rsidP="005B4115">
      <w:pPr>
        <w:ind w:left="720" w:hanging="720"/>
      </w:pPr>
    </w:p>
    <w:sectPr w:rsidR="000C4EEF" w:rsidSect="006E6615">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CS no titl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eferences-Endnote-Converted v8.enl&lt;/item&gt;&lt;/Libraries&gt;&lt;/ENLibraries&gt;"/>
  </w:docVars>
  <w:rsids>
    <w:rsidRoot w:val="006E6615"/>
    <w:rsid w:val="00007868"/>
    <w:rsid w:val="000146E8"/>
    <w:rsid w:val="00030083"/>
    <w:rsid w:val="000355EB"/>
    <w:rsid w:val="000378B4"/>
    <w:rsid w:val="000440F4"/>
    <w:rsid w:val="00047360"/>
    <w:rsid w:val="0007069C"/>
    <w:rsid w:val="00071A4F"/>
    <w:rsid w:val="00072910"/>
    <w:rsid w:val="00072A1D"/>
    <w:rsid w:val="00075563"/>
    <w:rsid w:val="00076AED"/>
    <w:rsid w:val="000849F5"/>
    <w:rsid w:val="0008516C"/>
    <w:rsid w:val="00097974"/>
    <w:rsid w:val="000A16DE"/>
    <w:rsid w:val="000A2518"/>
    <w:rsid w:val="000A5140"/>
    <w:rsid w:val="000B0C62"/>
    <w:rsid w:val="000B0DB9"/>
    <w:rsid w:val="000B508B"/>
    <w:rsid w:val="000B6DBD"/>
    <w:rsid w:val="000C0B46"/>
    <w:rsid w:val="000C0DF1"/>
    <w:rsid w:val="000C3631"/>
    <w:rsid w:val="000C4204"/>
    <w:rsid w:val="000C4EEF"/>
    <w:rsid w:val="000D1D68"/>
    <w:rsid w:val="000E097F"/>
    <w:rsid w:val="000E3992"/>
    <w:rsid w:val="000F07A2"/>
    <w:rsid w:val="000F3DB3"/>
    <w:rsid w:val="000F5571"/>
    <w:rsid w:val="000F67E8"/>
    <w:rsid w:val="00100994"/>
    <w:rsid w:val="00105641"/>
    <w:rsid w:val="0010764E"/>
    <w:rsid w:val="001076C5"/>
    <w:rsid w:val="00114864"/>
    <w:rsid w:val="00122BAA"/>
    <w:rsid w:val="0012407C"/>
    <w:rsid w:val="0012607C"/>
    <w:rsid w:val="00126EEB"/>
    <w:rsid w:val="001311BD"/>
    <w:rsid w:val="0014275D"/>
    <w:rsid w:val="0014462E"/>
    <w:rsid w:val="00153984"/>
    <w:rsid w:val="00160690"/>
    <w:rsid w:val="001627B2"/>
    <w:rsid w:val="001748E0"/>
    <w:rsid w:val="00175B4D"/>
    <w:rsid w:val="0017724C"/>
    <w:rsid w:val="001849C8"/>
    <w:rsid w:val="0019262B"/>
    <w:rsid w:val="00193152"/>
    <w:rsid w:val="001942C1"/>
    <w:rsid w:val="00196C51"/>
    <w:rsid w:val="00197B6E"/>
    <w:rsid w:val="001A16E4"/>
    <w:rsid w:val="001A4CD1"/>
    <w:rsid w:val="001A742D"/>
    <w:rsid w:val="001C166D"/>
    <w:rsid w:val="001C2173"/>
    <w:rsid w:val="001C32AB"/>
    <w:rsid w:val="001C4868"/>
    <w:rsid w:val="001D21CD"/>
    <w:rsid w:val="001D67B8"/>
    <w:rsid w:val="001F1292"/>
    <w:rsid w:val="001F1E74"/>
    <w:rsid w:val="001F261B"/>
    <w:rsid w:val="001F2765"/>
    <w:rsid w:val="001F4E7F"/>
    <w:rsid w:val="001F5AF5"/>
    <w:rsid w:val="00200AA1"/>
    <w:rsid w:val="00202D63"/>
    <w:rsid w:val="0020603E"/>
    <w:rsid w:val="00206A76"/>
    <w:rsid w:val="00206E30"/>
    <w:rsid w:val="002120C9"/>
    <w:rsid w:val="00215BEE"/>
    <w:rsid w:val="002323D1"/>
    <w:rsid w:val="00233941"/>
    <w:rsid w:val="00234E26"/>
    <w:rsid w:val="00237514"/>
    <w:rsid w:val="00240EDB"/>
    <w:rsid w:val="00242415"/>
    <w:rsid w:val="0024603E"/>
    <w:rsid w:val="002560C1"/>
    <w:rsid w:val="00256357"/>
    <w:rsid w:val="00261C03"/>
    <w:rsid w:val="002638D9"/>
    <w:rsid w:val="002733F4"/>
    <w:rsid w:val="00275768"/>
    <w:rsid w:val="00276D02"/>
    <w:rsid w:val="002A3CEE"/>
    <w:rsid w:val="002B1207"/>
    <w:rsid w:val="002B421B"/>
    <w:rsid w:val="002B466C"/>
    <w:rsid w:val="002B5786"/>
    <w:rsid w:val="002B71F0"/>
    <w:rsid w:val="002C44F0"/>
    <w:rsid w:val="002D15B3"/>
    <w:rsid w:val="002E0F8D"/>
    <w:rsid w:val="002E11E9"/>
    <w:rsid w:val="002E53E0"/>
    <w:rsid w:val="002E643E"/>
    <w:rsid w:val="002F6BCE"/>
    <w:rsid w:val="003047DF"/>
    <w:rsid w:val="003073A3"/>
    <w:rsid w:val="003210C3"/>
    <w:rsid w:val="003239CC"/>
    <w:rsid w:val="003263BE"/>
    <w:rsid w:val="003302AE"/>
    <w:rsid w:val="00331D3F"/>
    <w:rsid w:val="00332BBB"/>
    <w:rsid w:val="00332F95"/>
    <w:rsid w:val="003336E3"/>
    <w:rsid w:val="00336220"/>
    <w:rsid w:val="00343EF9"/>
    <w:rsid w:val="0034587F"/>
    <w:rsid w:val="0034614C"/>
    <w:rsid w:val="0034781C"/>
    <w:rsid w:val="0035201D"/>
    <w:rsid w:val="00353119"/>
    <w:rsid w:val="00353494"/>
    <w:rsid w:val="00354E6E"/>
    <w:rsid w:val="0035538B"/>
    <w:rsid w:val="00360A7D"/>
    <w:rsid w:val="00366B28"/>
    <w:rsid w:val="00370401"/>
    <w:rsid w:val="00373C26"/>
    <w:rsid w:val="00380BE6"/>
    <w:rsid w:val="00381062"/>
    <w:rsid w:val="003833A8"/>
    <w:rsid w:val="00384579"/>
    <w:rsid w:val="003A0ECF"/>
    <w:rsid w:val="003A3DC7"/>
    <w:rsid w:val="003A56F7"/>
    <w:rsid w:val="003B2CEF"/>
    <w:rsid w:val="003B32F0"/>
    <w:rsid w:val="003C477F"/>
    <w:rsid w:val="003D1CE7"/>
    <w:rsid w:val="003E2CBD"/>
    <w:rsid w:val="003E5AC2"/>
    <w:rsid w:val="003F006E"/>
    <w:rsid w:val="003F119D"/>
    <w:rsid w:val="003F1612"/>
    <w:rsid w:val="003F4E13"/>
    <w:rsid w:val="003F66BC"/>
    <w:rsid w:val="0040062C"/>
    <w:rsid w:val="004015C9"/>
    <w:rsid w:val="00402B6C"/>
    <w:rsid w:val="00407201"/>
    <w:rsid w:val="00411044"/>
    <w:rsid w:val="00416556"/>
    <w:rsid w:val="00416A5A"/>
    <w:rsid w:val="00417761"/>
    <w:rsid w:val="00417C66"/>
    <w:rsid w:val="004225C1"/>
    <w:rsid w:val="004318C8"/>
    <w:rsid w:val="004324DF"/>
    <w:rsid w:val="00432DF0"/>
    <w:rsid w:val="00434B23"/>
    <w:rsid w:val="00434B25"/>
    <w:rsid w:val="00434C33"/>
    <w:rsid w:val="004433F7"/>
    <w:rsid w:val="0045005A"/>
    <w:rsid w:val="00454EE2"/>
    <w:rsid w:val="004558B7"/>
    <w:rsid w:val="00460460"/>
    <w:rsid w:val="00460889"/>
    <w:rsid w:val="00467436"/>
    <w:rsid w:val="004677CD"/>
    <w:rsid w:val="00471809"/>
    <w:rsid w:val="00471F83"/>
    <w:rsid w:val="00477739"/>
    <w:rsid w:val="00483861"/>
    <w:rsid w:val="00485CA5"/>
    <w:rsid w:val="00490F1E"/>
    <w:rsid w:val="00491712"/>
    <w:rsid w:val="004979A7"/>
    <w:rsid w:val="00497CE4"/>
    <w:rsid w:val="004A49C4"/>
    <w:rsid w:val="004A64E2"/>
    <w:rsid w:val="004A7EE2"/>
    <w:rsid w:val="004B3EF1"/>
    <w:rsid w:val="004B4121"/>
    <w:rsid w:val="004B70B9"/>
    <w:rsid w:val="004B77D5"/>
    <w:rsid w:val="004B7C10"/>
    <w:rsid w:val="004C38FB"/>
    <w:rsid w:val="004C522D"/>
    <w:rsid w:val="004D2678"/>
    <w:rsid w:val="004E2968"/>
    <w:rsid w:val="004F7377"/>
    <w:rsid w:val="005007F0"/>
    <w:rsid w:val="005033C9"/>
    <w:rsid w:val="005064DD"/>
    <w:rsid w:val="00510B08"/>
    <w:rsid w:val="00513C42"/>
    <w:rsid w:val="00514AD4"/>
    <w:rsid w:val="00515A92"/>
    <w:rsid w:val="00521BFD"/>
    <w:rsid w:val="00525759"/>
    <w:rsid w:val="00526091"/>
    <w:rsid w:val="0052654C"/>
    <w:rsid w:val="00527C3F"/>
    <w:rsid w:val="00532A1A"/>
    <w:rsid w:val="0053479D"/>
    <w:rsid w:val="0053617F"/>
    <w:rsid w:val="0054041D"/>
    <w:rsid w:val="00541569"/>
    <w:rsid w:val="00542DBD"/>
    <w:rsid w:val="00544A68"/>
    <w:rsid w:val="0054559C"/>
    <w:rsid w:val="00553896"/>
    <w:rsid w:val="005548AF"/>
    <w:rsid w:val="005640BC"/>
    <w:rsid w:val="00565909"/>
    <w:rsid w:val="00570E86"/>
    <w:rsid w:val="00573A2F"/>
    <w:rsid w:val="00575522"/>
    <w:rsid w:val="00580683"/>
    <w:rsid w:val="005812BC"/>
    <w:rsid w:val="00583EBF"/>
    <w:rsid w:val="00584C70"/>
    <w:rsid w:val="0058603C"/>
    <w:rsid w:val="00592260"/>
    <w:rsid w:val="0059499A"/>
    <w:rsid w:val="00596CED"/>
    <w:rsid w:val="005A077A"/>
    <w:rsid w:val="005A1A41"/>
    <w:rsid w:val="005A509D"/>
    <w:rsid w:val="005B01DC"/>
    <w:rsid w:val="005B32CF"/>
    <w:rsid w:val="005B4039"/>
    <w:rsid w:val="005B4115"/>
    <w:rsid w:val="005B57C6"/>
    <w:rsid w:val="005C177C"/>
    <w:rsid w:val="005D29CF"/>
    <w:rsid w:val="005D3201"/>
    <w:rsid w:val="005D3CEC"/>
    <w:rsid w:val="005E288B"/>
    <w:rsid w:val="005E5CD0"/>
    <w:rsid w:val="005E6C02"/>
    <w:rsid w:val="005F1E55"/>
    <w:rsid w:val="005F33EC"/>
    <w:rsid w:val="005F59F3"/>
    <w:rsid w:val="00601A7E"/>
    <w:rsid w:val="00602749"/>
    <w:rsid w:val="006070AD"/>
    <w:rsid w:val="00607D5F"/>
    <w:rsid w:val="00614F34"/>
    <w:rsid w:val="006228F5"/>
    <w:rsid w:val="00626CD1"/>
    <w:rsid w:val="00633852"/>
    <w:rsid w:val="006347D5"/>
    <w:rsid w:val="006375DC"/>
    <w:rsid w:val="00640989"/>
    <w:rsid w:val="00642D33"/>
    <w:rsid w:val="00645ADF"/>
    <w:rsid w:val="00662A97"/>
    <w:rsid w:val="006630D3"/>
    <w:rsid w:val="00663EB1"/>
    <w:rsid w:val="0066722E"/>
    <w:rsid w:val="006714C7"/>
    <w:rsid w:val="00671C96"/>
    <w:rsid w:val="0067227F"/>
    <w:rsid w:val="00672DAC"/>
    <w:rsid w:val="0067678D"/>
    <w:rsid w:val="00680579"/>
    <w:rsid w:val="00684CE9"/>
    <w:rsid w:val="00684D65"/>
    <w:rsid w:val="0068782D"/>
    <w:rsid w:val="00687C90"/>
    <w:rsid w:val="00690CC1"/>
    <w:rsid w:val="006912DD"/>
    <w:rsid w:val="00692115"/>
    <w:rsid w:val="0069355B"/>
    <w:rsid w:val="00695AC6"/>
    <w:rsid w:val="006A1FD9"/>
    <w:rsid w:val="006A36CB"/>
    <w:rsid w:val="006B4E88"/>
    <w:rsid w:val="006B78C9"/>
    <w:rsid w:val="006B7EF5"/>
    <w:rsid w:val="006C1EB1"/>
    <w:rsid w:val="006C3438"/>
    <w:rsid w:val="006C470F"/>
    <w:rsid w:val="006C6B88"/>
    <w:rsid w:val="006C7112"/>
    <w:rsid w:val="006D48AE"/>
    <w:rsid w:val="006D607E"/>
    <w:rsid w:val="006D6D08"/>
    <w:rsid w:val="006E23F0"/>
    <w:rsid w:val="006E2BD3"/>
    <w:rsid w:val="006E6615"/>
    <w:rsid w:val="006F0578"/>
    <w:rsid w:val="006F26CE"/>
    <w:rsid w:val="006F718D"/>
    <w:rsid w:val="00701E65"/>
    <w:rsid w:val="007027F0"/>
    <w:rsid w:val="00702A80"/>
    <w:rsid w:val="007059C1"/>
    <w:rsid w:val="00706646"/>
    <w:rsid w:val="00710ACE"/>
    <w:rsid w:val="0071108C"/>
    <w:rsid w:val="007220B2"/>
    <w:rsid w:val="007222B3"/>
    <w:rsid w:val="0072232E"/>
    <w:rsid w:val="00725F0B"/>
    <w:rsid w:val="007335FB"/>
    <w:rsid w:val="00733B87"/>
    <w:rsid w:val="00737655"/>
    <w:rsid w:val="007406D5"/>
    <w:rsid w:val="00746EF2"/>
    <w:rsid w:val="00752037"/>
    <w:rsid w:val="00752AA8"/>
    <w:rsid w:val="0075459D"/>
    <w:rsid w:val="00762E14"/>
    <w:rsid w:val="00763E1D"/>
    <w:rsid w:val="0076515A"/>
    <w:rsid w:val="00770D1A"/>
    <w:rsid w:val="007831EB"/>
    <w:rsid w:val="007909F3"/>
    <w:rsid w:val="00796864"/>
    <w:rsid w:val="007C1889"/>
    <w:rsid w:val="007C3A9C"/>
    <w:rsid w:val="007C76B2"/>
    <w:rsid w:val="007D4874"/>
    <w:rsid w:val="007D5B40"/>
    <w:rsid w:val="007E39FA"/>
    <w:rsid w:val="007E75FD"/>
    <w:rsid w:val="007E7D0B"/>
    <w:rsid w:val="007F0482"/>
    <w:rsid w:val="007F2FEB"/>
    <w:rsid w:val="007F4AC0"/>
    <w:rsid w:val="00801818"/>
    <w:rsid w:val="0080529E"/>
    <w:rsid w:val="00805DEB"/>
    <w:rsid w:val="008101DC"/>
    <w:rsid w:val="0081056B"/>
    <w:rsid w:val="0081283C"/>
    <w:rsid w:val="00820A94"/>
    <w:rsid w:val="008226F1"/>
    <w:rsid w:val="008255FC"/>
    <w:rsid w:val="00826692"/>
    <w:rsid w:val="00826D36"/>
    <w:rsid w:val="00843708"/>
    <w:rsid w:val="00847164"/>
    <w:rsid w:val="008506D8"/>
    <w:rsid w:val="00851C42"/>
    <w:rsid w:val="0085329E"/>
    <w:rsid w:val="00860F4F"/>
    <w:rsid w:val="00864255"/>
    <w:rsid w:val="00866877"/>
    <w:rsid w:val="0088519E"/>
    <w:rsid w:val="008858C9"/>
    <w:rsid w:val="00890B40"/>
    <w:rsid w:val="00894E86"/>
    <w:rsid w:val="0089699A"/>
    <w:rsid w:val="00897DE1"/>
    <w:rsid w:val="008B3701"/>
    <w:rsid w:val="008B6462"/>
    <w:rsid w:val="008C42F3"/>
    <w:rsid w:val="008D2F25"/>
    <w:rsid w:val="008D73CF"/>
    <w:rsid w:val="008E29D5"/>
    <w:rsid w:val="008E683E"/>
    <w:rsid w:val="008E7188"/>
    <w:rsid w:val="008E7F6C"/>
    <w:rsid w:val="008F1942"/>
    <w:rsid w:val="008F229E"/>
    <w:rsid w:val="008F5087"/>
    <w:rsid w:val="009100BF"/>
    <w:rsid w:val="00914F0B"/>
    <w:rsid w:val="0092011B"/>
    <w:rsid w:val="00920191"/>
    <w:rsid w:val="009370EF"/>
    <w:rsid w:val="009372BC"/>
    <w:rsid w:val="0094719D"/>
    <w:rsid w:val="00947D87"/>
    <w:rsid w:val="0095576C"/>
    <w:rsid w:val="00960EB1"/>
    <w:rsid w:val="009632FA"/>
    <w:rsid w:val="00966F9B"/>
    <w:rsid w:val="00971A60"/>
    <w:rsid w:val="0097210B"/>
    <w:rsid w:val="00977DC4"/>
    <w:rsid w:val="00982CFE"/>
    <w:rsid w:val="00983249"/>
    <w:rsid w:val="00983ABF"/>
    <w:rsid w:val="009845E5"/>
    <w:rsid w:val="00987FEC"/>
    <w:rsid w:val="00990932"/>
    <w:rsid w:val="00990A03"/>
    <w:rsid w:val="009923F5"/>
    <w:rsid w:val="00992680"/>
    <w:rsid w:val="009A4B70"/>
    <w:rsid w:val="009A4E0F"/>
    <w:rsid w:val="009B05FD"/>
    <w:rsid w:val="009B5050"/>
    <w:rsid w:val="009B7B87"/>
    <w:rsid w:val="009C04F8"/>
    <w:rsid w:val="009C28F4"/>
    <w:rsid w:val="009C5ED7"/>
    <w:rsid w:val="009D62DC"/>
    <w:rsid w:val="009E1DFD"/>
    <w:rsid w:val="009E29F9"/>
    <w:rsid w:val="009E4448"/>
    <w:rsid w:val="009E5008"/>
    <w:rsid w:val="009F1343"/>
    <w:rsid w:val="009F69A6"/>
    <w:rsid w:val="009F74EE"/>
    <w:rsid w:val="00A01445"/>
    <w:rsid w:val="00A12B1A"/>
    <w:rsid w:val="00A13C35"/>
    <w:rsid w:val="00A14C9F"/>
    <w:rsid w:val="00A14F96"/>
    <w:rsid w:val="00A1772C"/>
    <w:rsid w:val="00A23CAD"/>
    <w:rsid w:val="00A259D1"/>
    <w:rsid w:val="00A25A32"/>
    <w:rsid w:val="00A26412"/>
    <w:rsid w:val="00A272B9"/>
    <w:rsid w:val="00A27D16"/>
    <w:rsid w:val="00A31D80"/>
    <w:rsid w:val="00A324A8"/>
    <w:rsid w:val="00A4375F"/>
    <w:rsid w:val="00A47FCA"/>
    <w:rsid w:val="00A6235A"/>
    <w:rsid w:val="00A64B04"/>
    <w:rsid w:val="00A64DDF"/>
    <w:rsid w:val="00A661C8"/>
    <w:rsid w:val="00A6680F"/>
    <w:rsid w:val="00A66EC7"/>
    <w:rsid w:val="00A805BC"/>
    <w:rsid w:val="00A8300C"/>
    <w:rsid w:val="00A853E5"/>
    <w:rsid w:val="00AA77DB"/>
    <w:rsid w:val="00AC3404"/>
    <w:rsid w:val="00AC4856"/>
    <w:rsid w:val="00AD7D79"/>
    <w:rsid w:val="00AE1B35"/>
    <w:rsid w:val="00AE1C6F"/>
    <w:rsid w:val="00AE2155"/>
    <w:rsid w:val="00AE2795"/>
    <w:rsid w:val="00B01EE6"/>
    <w:rsid w:val="00B042DF"/>
    <w:rsid w:val="00B055B4"/>
    <w:rsid w:val="00B109D0"/>
    <w:rsid w:val="00B11E17"/>
    <w:rsid w:val="00B12FEC"/>
    <w:rsid w:val="00B13861"/>
    <w:rsid w:val="00B15164"/>
    <w:rsid w:val="00B1668D"/>
    <w:rsid w:val="00B17CAD"/>
    <w:rsid w:val="00B260B0"/>
    <w:rsid w:val="00B26771"/>
    <w:rsid w:val="00B275D0"/>
    <w:rsid w:val="00B3121E"/>
    <w:rsid w:val="00B312D4"/>
    <w:rsid w:val="00B3430E"/>
    <w:rsid w:val="00B44AC8"/>
    <w:rsid w:val="00B5199B"/>
    <w:rsid w:val="00B549B7"/>
    <w:rsid w:val="00B54D42"/>
    <w:rsid w:val="00B5500D"/>
    <w:rsid w:val="00B5541C"/>
    <w:rsid w:val="00B60194"/>
    <w:rsid w:val="00B6458A"/>
    <w:rsid w:val="00B67EC6"/>
    <w:rsid w:val="00B702AE"/>
    <w:rsid w:val="00B81E14"/>
    <w:rsid w:val="00B83E04"/>
    <w:rsid w:val="00B84B06"/>
    <w:rsid w:val="00B93153"/>
    <w:rsid w:val="00BA2D18"/>
    <w:rsid w:val="00BA2E2C"/>
    <w:rsid w:val="00BB367F"/>
    <w:rsid w:val="00BC40B7"/>
    <w:rsid w:val="00BC68CC"/>
    <w:rsid w:val="00BD0804"/>
    <w:rsid w:val="00BD6CB8"/>
    <w:rsid w:val="00BE3E31"/>
    <w:rsid w:val="00BF6597"/>
    <w:rsid w:val="00C00E1B"/>
    <w:rsid w:val="00C01935"/>
    <w:rsid w:val="00C029F0"/>
    <w:rsid w:val="00C039AA"/>
    <w:rsid w:val="00C06F97"/>
    <w:rsid w:val="00C113BC"/>
    <w:rsid w:val="00C124AB"/>
    <w:rsid w:val="00C156A8"/>
    <w:rsid w:val="00C1778E"/>
    <w:rsid w:val="00C252C3"/>
    <w:rsid w:val="00C2598E"/>
    <w:rsid w:val="00C34989"/>
    <w:rsid w:val="00C374DC"/>
    <w:rsid w:val="00C4324D"/>
    <w:rsid w:val="00C45BE3"/>
    <w:rsid w:val="00C47E58"/>
    <w:rsid w:val="00C5215C"/>
    <w:rsid w:val="00C52921"/>
    <w:rsid w:val="00C52FCF"/>
    <w:rsid w:val="00C5493E"/>
    <w:rsid w:val="00C62791"/>
    <w:rsid w:val="00C7011D"/>
    <w:rsid w:val="00C77EB1"/>
    <w:rsid w:val="00C80342"/>
    <w:rsid w:val="00C80C15"/>
    <w:rsid w:val="00C81634"/>
    <w:rsid w:val="00C81C71"/>
    <w:rsid w:val="00C83585"/>
    <w:rsid w:val="00C87550"/>
    <w:rsid w:val="00CA1E2D"/>
    <w:rsid w:val="00CA36F0"/>
    <w:rsid w:val="00CA3F33"/>
    <w:rsid w:val="00CA44F9"/>
    <w:rsid w:val="00CB266D"/>
    <w:rsid w:val="00CC4967"/>
    <w:rsid w:val="00CC5536"/>
    <w:rsid w:val="00CC5FAB"/>
    <w:rsid w:val="00CC6B09"/>
    <w:rsid w:val="00CD15E8"/>
    <w:rsid w:val="00CD2D72"/>
    <w:rsid w:val="00CD7969"/>
    <w:rsid w:val="00CE19E8"/>
    <w:rsid w:val="00CE34EA"/>
    <w:rsid w:val="00D00737"/>
    <w:rsid w:val="00D01CF4"/>
    <w:rsid w:val="00D07E26"/>
    <w:rsid w:val="00D12A9E"/>
    <w:rsid w:val="00D15523"/>
    <w:rsid w:val="00D1605D"/>
    <w:rsid w:val="00D16687"/>
    <w:rsid w:val="00D2071A"/>
    <w:rsid w:val="00D20FD7"/>
    <w:rsid w:val="00D21EE8"/>
    <w:rsid w:val="00D23CC7"/>
    <w:rsid w:val="00D23F71"/>
    <w:rsid w:val="00D25A7E"/>
    <w:rsid w:val="00D2774A"/>
    <w:rsid w:val="00D27B5B"/>
    <w:rsid w:val="00D345DC"/>
    <w:rsid w:val="00D34AA5"/>
    <w:rsid w:val="00D40042"/>
    <w:rsid w:val="00D4105E"/>
    <w:rsid w:val="00D421A0"/>
    <w:rsid w:val="00D4441A"/>
    <w:rsid w:val="00D4443C"/>
    <w:rsid w:val="00D45A2E"/>
    <w:rsid w:val="00D5127C"/>
    <w:rsid w:val="00D60180"/>
    <w:rsid w:val="00D74877"/>
    <w:rsid w:val="00D91F72"/>
    <w:rsid w:val="00D93F2E"/>
    <w:rsid w:val="00D95DAA"/>
    <w:rsid w:val="00D9716E"/>
    <w:rsid w:val="00D977F1"/>
    <w:rsid w:val="00DA292D"/>
    <w:rsid w:val="00DA50C3"/>
    <w:rsid w:val="00DA62E3"/>
    <w:rsid w:val="00DA694D"/>
    <w:rsid w:val="00DB0DCE"/>
    <w:rsid w:val="00DB2CF4"/>
    <w:rsid w:val="00DB5D16"/>
    <w:rsid w:val="00DB6C90"/>
    <w:rsid w:val="00DC0BD3"/>
    <w:rsid w:val="00DC4455"/>
    <w:rsid w:val="00DC4A89"/>
    <w:rsid w:val="00DC6F0E"/>
    <w:rsid w:val="00DD0F07"/>
    <w:rsid w:val="00DD7971"/>
    <w:rsid w:val="00DE2984"/>
    <w:rsid w:val="00DF2432"/>
    <w:rsid w:val="00DF436C"/>
    <w:rsid w:val="00DF4A56"/>
    <w:rsid w:val="00E03344"/>
    <w:rsid w:val="00E04DE7"/>
    <w:rsid w:val="00E11CC0"/>
    <w:rsid w:val="00E136B0"/>
    <w:rsid w:val="00E142C0"/>
    <w:rsid w:val="00E2041F"/>
    <w:rsid w:val="00E23D97"/>
    <w:rsid w:val="00E272EF"/>
    <w:rsid w:val="00E27815"/>
    <w:rsid w:val="00E3201C"/>
    <w:rsid w:val="00E40048"/>
    <w:rsid w:val="00E410C7"/>
    <w:rsid w:val="00E44508"/>
    <w:rsid w:val="00E47F77"/>
    <w:rsid w:val="00E6293A"/>
    <w:rsid w:val="00E635A2"/>
    <w:rsid w:val="00E713AC"/>
    <w:rsid w:val="00E7361D"/>
    <w:rsid w:val="00E7654D"/>
    <w:rsid w:val="00E82B59"/>
    <w:rsid w:val="00E9588D"/>
    <w:rsid w:val="00E96BAA"/>
    <w:rsid w:val="00EA0147"/>
    <w:rsid w:val="00EA2C59"/>
    <w:rsid w:val="00EB0E95"/>
    <w:rsid w:val="00EB13FE"/>
    <w:rsid w:val="00EB1675"/>
    <w:rsid w:val="00EB68CD"/>
    <w:rsid w:val="00EB7CBA"/>
    <w:rsid w:val="00EC0396"/>
    <w:rsid w:val="00EC2D2B"/>
    <w:rsid w:val="00EC342C"/>
    <w:rsid w:val="00EC713F"/>
    <w:rsid w:val="00ED0083"/>
    <w:rsid w:val="00ED378B"/>
    <w:rsid w:val="00EE019D"/>
    <w:rsid w:val="00EE13FF"/>
    <w:rsid w:val="00EE26E9"/>
    <w:rsid w:val="00EE3632"/>
    <w:rsid w:val="00EE5FBB"/>
    <w:rsid w:val="00EF06EB"/>
    <w:rsid w:val="00EF157E"/>
    <w:rsid w:val="00EF19C7"/>
    <w:rsid w:val="00EF4586"/>
    <w:rsid w:val="00EF47A3"/>
    <w:rsid w:val="00F1129D"/>
    <w:rsid w:val="00F142E9"/>
    <w:rsid w:val="00F16F76"/>
    <w:rsid w:val="00F2193A"/>
    <w:rsid w:val="00F22625"/>
    <w:rsid w:val="00F23299"/>
    <w:rsid w:val="00F406A9"/>
    <w:rsid w:val="00F42505"/>
    <w:rsid w:val="00F44FF4"/>
    <w:rsid w:val="00F466A2"/>
    <w:rsid w:val="00F46A38"/>
    <w:rsid w:val="00F528BB"/>
    <w:rsid w:val="00F5291B"/>
    <w:rsid w:val="00F52CB1"/>
    <w:rsid w:val="00F53193"/>
    <w:rsid w:val="00F575DF"/>
    <w:rsid w:val="00F62D45"/>
    <w:rsid w:val="00F646AF"/>
    <w:rsid w:val="00F71817"/>
    <w:rsid w:val="00F825DD"/>
    <w:rsid w:val="00F8284E"/>
    <w:rsid w:val="00F82BDB"/>
    <w:rsid w:val="00F838AB"/>
    <w:rsid w:val="00F84DBC"/>
    <w:rsid w:val="00F9008C"/>
    <w:rsid w:val="00F93E61"/>
    <w:rsid w:val="00F97094"/>
    <w:rsid w:val="00FB255B"/>
    <w:rsid w:val="00FB2AC4"/>
    <w:rsid w:val="00FC554C"/>
    <w:rsid w:val="00FC66D8"/>
    <w:rsid w:val="00FD0A73"/>
    <w:rsid w:val="00FD1335"/>
    <w:rsid w:val="00FD3A13"/>
    <w:rsid w:val="00FD6533"/>
    <w:rsid w:val="00FE0C5B"/>
    <w:rsid w:val="00FE3C09"/>
    <w:rsid w:val="00FE45D8"/>
    <w:rsid w:val="00FE6B19"/>
    <w:rsid w:val="00FE6F9E"/>
    <w:rsid w:val="00FF2096"/>
    <w:rsid w:val="00FF4D3A"/>
    <w:rsid w:val="00FF64E8"/>
    <w:rsid w:val="00FF75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6615"/>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rsid w:val="00592260"/>
    <w:rPr>
      <w:rFonts w:ascii="Tahoma" w:hAnsi="Tahoma" w:cs="Tahoma"/>
      <w:sz w:val="16"/>
      <w:szCs w:val="16"/>
    </w:rPr>
  </w:style>
  <w:style w:type="character" w:customStyle="1" w:styleId="BalloonTextChar">
    <w:name w:val="Balloon Text Char"/>
    <w:basedOn w:val="DefaultParagraphFont"/>
    <w:link w:val="BalloonText"/>
    <w:rsid w:val="005922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6615"/>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rsid w:val="00592260"/>
    <w:rPr>
      <w:rFonts w:ascii="Tahoma" w:hAnsi="Tahoma" w:cs="Tahoma"/>
      <w:sz w:val="16"/>
      <w:szCs w:val="16"/>
    </w:rPr>
  </w:style>
  <w:style w:type="character" w:customStyle="1" w:styleId="BalloonTextChar">
    <w:name w:val="Balloon Text Char"/>
    <w:basedOn w:val="DefaultParagraphFont"/>
    <w:link w:val="BalloonText"/>
    <w:rsid w:val="005922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emf"/><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5185</Words>
  <Characters>28179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INORGANIC PHOTOVOLTAIC SOLAR CELLS</vt:lpstr>
    </vt:vector>
  </TitlesOfParts>
  <Company>unn</Company>
  <LinksUpToDate>false</LinksUpToDate>
  <CharactersWithSpaces>33298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INORGANIC PHOTOVOLTAIC SOLAR CELLS</dc:title>
  <dc:subject/>
  <dc:creator>fqdb8</dc:creator>
  <cp:keywords/>
  <dc:description/>
  <cp:lastModifiedBy>Paul Burns</cp:lastModifiedBy>
  <cp:revision>2</cp:revision>
  <cp:lastPrinted>2007-08-23T12:08:00Z</cp:lastPrinted>
  <dcterms:created xsi:type="dcterms:W3CDTF">2015-02-19T09:50:00Z</dcterms:created>
  <dcterms:modified xsi:type="dcterms:W3CDTF">2015-02-19T09:50:00Z</dcterms:modified>
</cp:coreProperties>
</file>