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CAC6" w14:textId="77777777" w:rsidR="00811FC3" w:rsidRPr="00CE6AF9" w:rsidRDefault="00616E88" w:rsidP="00CE6AF9">
      <w:pPr>
        <w:pStyle w:val="Heading1"/>
        <w:spacing w:before="0" w:after="0" w:line="480" w:lineRule="auto"/>
        <w:jc w:val="center"/>
        <w:rPr>
          <w:rFonts w:ascii="Arial" w:hAnsi="Arial" w:cs="Arial"/>
          <w:sz w:val="32"/>
          <w:szCs w:val="32"/>
          <w:lang w:val="en-GB"/>
        </w:rPr>
      </w:pPr>
      <w:r w:rsidRPr="00847E26">
        <w:rPr>
          <w:rFonts w:ascii="Arial" w:hAnsi="Arial" w:cs="Arial"/>
          <w:sz w:val="32"/>
          <w:szCs w:val="32"/>
          <w:lang w:val="en-GB"/>
        </w:rPr>
        <w:t>Evaluation of</w:t>
      </w:r>
      <w:r w:rsidR="00FC2CC4">
        <w:rPr>
          <w:rFonts w:ascii="Arial" w:hAnsi="Arial" w:cs="Arial"/>
          <w:sz w:val="32"/>
          <w:szCs w:val="32"/>
          <w:lang w:val="en-GB"/>
        </w:rPr>
        <w:t xml:space="preserve"> Public-</w:t>
      </w:r>
      <w:r w:rsidR="00223F10" w:rsidRPr="00847E26">
        <w:rPr>
          <w:rFonts w:ascii="Arial" w:hAnsi="Arial" w:cs="Arial"/>
          <w:sz w:val="32"/>
          <w:szCs w:val="32"/>
          <w:lang w:val="en-GB"/>
        </w:rPr>
        <w:t>Private Partnership</w:t>
      </w:r>
      <w:r w:rsidR="00FA0888">
        <w:rPr>
          <w:rFonts w:ascii="Arial" w:hAnsi="Arial" w:cs="Arial"/>
          <w:sz w:val="32"/>
          <w:szCs w:val="32"/>
          <w:lang w:val="en-GB"/>
        </w:rPr>
        <w:t xml:space="preserve">s: </w:t>
      </w:r>
      <w:r w:rsidR="00770025">
        <w:rPr>
          <w:rFonts w:ascii="Arial" w:hAnsi="Arial" w:cs="Arial"/>
          <w:sz w:val="32"/>
          <w:szCs w:val="32"/>
          <w:lang w:val="en-GB"/>
        </w:rPr>
        <w:t>A Life-Cycle Performance Prism</w:t>
      </w:r>
      <w:r w:rsidR="007A63C2" w:rsidRPr="00847E26">
        <w:rPr>
          <w:rFonts w:ascii="Arial" w:hAnsi="Arial" w:cs="Arial"/>
          <w:sz w:val="32"/>
          <w:szCs w:val="32"/>
          <w:lang w:val="en-GB"/>
        </w:rPr>
        <w:t xml:space="preserve"> for Ensuring Value for Money</w:t>
      </w:r>
      <w:r w:rsidR="006A4811">
        <w:rPr>
          <w:sz w:val="24"/>
          <w:lang w:val="en-GB"/>
        </w:rPr>
        <w:t xml:space="preserve"> </w:t>
      </w:r>
    </w:p>
    <w:p w14:paraId="6B9CEA2A" w14:textId="77777777" w:rsidR="00811FC3" w:rsidRDefault="00811FC3" w:rsidP="00CE6AF9">
      <w:pPr>
        <w:spacing w:line="480" w:lineRule="auto"/>
        <w:rPr>
          <w:sz w:val="24"/>
          <w:lang w:val="en-GB"/>
        </w:rPr>
      </w:pPr>
    </w:p>
    <w:p w14:paraId="7DD03E19" w14:textId="77777777" w:rsidR="00CE6AF9" w:rsidRDefault="0057098C" w:rsidP="0057098C">
      <w:pPr>
        <w:spacing w:line="480" w:lineRule="auto"/>
        <w:rPr>
          <w:b/>
          <w:sz w:val="24"/>
          <w:szCs w:val="22"/>
          <w:lang w:val="en-GB"/>
        </w:rPr>
      </w:pPr>
      <w:r w:rsidRPr="000B7A2D">
        <w:rPr>
          <w:rFonts w:ascii="Arial" w:hAnsi="Arial" w:cs="Arial"/>
          <w:b/>
          <w:sz w:val="24"/>
          <w:szCs w:val="22"/>
          <w:lang w:val="en-GB"/>
        </w:rPr>
        <w:t>Abstract</w:t>
      </w:r>
    </w:p>
    <w:p w14:paraId="38EB3434" w14:textId="641C4CFA" w:rsidR="00223F10" w:rsidRPr="000B7A2D" w:rsidRDefault="000339A1" w:rsidP="0057098C">
      <w:pPr>
        <w:spacing w:line="480" w:lineRule="auto"/>
        <w:rPr>
          <w:sz w:val="24"/>
          <w:szCs w:val="22"/>
          <w:lang w:val="en-GB"/>
        </w:rPr>
      </w:pPr>
      <w:r w:rsidRPr="000B7A2D">
        <w:rPr>
          <w:sz w:val="24"/>
          <w:szCs w:val="22"/>
          <w:lang w:val="en-GB"/>
        </w:rPr>
        <w:t xml:space="preserve">Public-Private Partnerships (PPPs) </w:t>
      </w:r>
      <w:r w:rsidR="000739D6">
        <w:rPr>
          <w:sz w:val="24"/>
          <w:szCs w:val="22"/>
          <w:lang w:val="en-GB"/>
        </w:rPr>
        <w:t>have</w:t>
      </w:r>
      <w:r w:rsidR="00223F10" w:rsidRPr="000B7A2D">
        <w:rPr>
          <w:sz w:val="24"/>
          <w:szCs w:val="22"/>
          <w:lang w:val="en-GB"/>
        </w:rPr>
        <w:t xml:space="preserve"> become</w:t>
      </w:r>
      <w:r w:rsidRPr="000B7A2D">
        <w:rPr>
          <w:sz w:val="24"/>
          <w:szCs w:val="22"/>
          <w:lang w:val="en-GB"/>
        </w:rPr>
        <w:t xml:space="preserve"> an integral </w:t>
      </w:r>
      <w:r w:rsidR="000739D6">
        <w:rPr>
          <w:sz w:val="24"/>
          <w:szCs w:val="22"/>
          <w:lang w:val="en-GB"/>
        </w:rPr>
        <w:t>strategy to deliver infrastructure projects</w:t>
      </w:r>
      <w:r w:rsidR="000739D6" w:rsidRPr="000B7A2D">
        <w:rPr>
          <w:sz w:val="24"/>
          <w:szCs w:val="22"/>
          <w:lang w:val="en-GB"/>
        </w:rPr>
        <w:t xml:space="preserve"> </w:t>
      </w:r>
      <w:r w:rsidRPr="000B7A2D">
        <w:rPr>
          <w:sz w:val="24"/>
          <w:szCs w:val="22"/>
          <w:lang w:val="en-GB"/>
        </w:rPr>
        <w:t>in Australia</w:t>
      </w:r>
      <w:r w:rsidR="00CB43B2">
        <w:rPr>
          <w:sz w:val="24"/>
          <w:szCs w:val="22"/>
          <w:lang w:val="en-GB"/>
        </w:rPr>
        <w:t>. Y</w:t>
      </w:r>
      <w:r w:rsidR="00223F10" w:rsidRPr="000B7A2D">
        <w:rPr>
          <w:sz w:val="24"/>
          <w:szCs w:val="22"/>
          <w:lang w:val="en-GB"/>
        </w:rPr>
        <w:t>et</w:t>
      </w:r>
      <w:r w:rsidR="00CB43B2">
        <w:rPr>
          <w:sz w:val="24"/>
          <w:szCs w:val="22"/>
          <w:lang w:val="en-GB"/>
        </w:rPr>
        <w:t>,</w:t>
      </w:r>
      <w:r w:rsidRPr="000B7A2D">
        <w:rPr>
          <w:sz w:val="24"/>
          <w:szCs w:val="22"/>
          <w:lang w:val="en-GB"/>
        </w:rPr>
        <w:t xml:space="preserve"> PPPs </w:t>
      </w:r>
      <w:r w:rsidR="00223F10" w:rsidRPr="000B7A2D">
        <w:rPr>
          <w:sz w:val="24"/>
          <w:szCs w:val="22"/>
          <w:lang w:val="en-GB"/>
        </w:rPr>
        <w:t>have been</w:t>
      </w:r>
      <w:r w:rsidRPr="000B7A2D">
        <w:rPr>
          <w:sz w:val="24"/>
          <w:szCs w:val="22"/>
          <w:lang w:val="en-GB"/>
        </w:rPr>
        <w:t xml:space="preserve"> plague</w:t>
      </w:r>
      <w:r w:rsidR="00223F10" w:rsidRPr="000B7A2D">
        <w:rPr>
          <w:sz w:val="24"/>
          <w:szCs w:val="22"/>
          <w:lang w:val="en-GB"/>
        </w:rPr>
        <w:t>d</w:t>
      </w:r>
      <w:r w:rsidRPr="000B7A2D">
        <w:rPr>
          <w:sz w:val="24"/>
          <w:szCs w:val="22"/>
          <w:lang w:val="en-GB"/>
        </w:rPr>
        <w:t xml:space="preserve"> with controversy </w:t>
      </w:r>
      <w:r w:rsidR="00223F10" w:rsidRPr="000B7A2D">
        <w:rPr>
          <w:sz w:val="24"/>
          <w:szCs w:val="22"/>
          <w:lang w:val="en-GB"/>
        </w:rPr>
        <w:t xml:space="preserve">due to recurrent </w:t>
      </w:r>
      <w:r w:rsidR="004E54F3" w:rsidRPr="000B7A2D">
        <w:rPr>
          <w:sz w:val="24"/>
          <w:szCs w:val="22"/>
          <w:lang w:val="en-GB"/>
        </w:rPr>
        <w:t xml:space="preserve">time </w:t>
      </w:r>
      <w:r w:rsidR="00CB43B2">
        <w:rPr>
          <w:sz w:val="24"/>
          <w:szCs w:val="22"/>
          <w:lang w:val="en-GB"/>
        </w:rPr>
        <w:t>and</w:t>
      </w:r>
      <w:r w:rsidR="004E54F3" w:rsidRPr="000B7A2D">
        <w:rPr>
          <w:sz w:val="24"/>
          <w:szCs w:val="22"/>
          <w:lang w:val="en-GB"/>
        </w:rPr>
        <w:t xml:space="preserve"> cost</w:t>
      </w:r>
      <w:r w:rsidRPr="000B7A2D">
        <w:rPr>
          <w:sz w:val="24"/>
          <w:szCs w:val="22"/>
          <w:lang w:val="en-GB"/>
        </w:rPr>
        <w:t xml:space="preserve"> overruns. </w:t>
      </w:r>
      <w:r w:rsidR="00223F10" w:rsidRPr="000B7A2D">
        <w:rPr>
          <w:sz w:val="24"/>
          <w:szCs w:val="22"/>
          <w:lang w:val="en-GB"/>
        </w:rPr>
        <w:t>The paucity of</w:t>
      </w:r>
      <w:r w:rsidR="004E54F3" w:rsidRPr="000B7A2D">
        <w:rPr>
          <w:sz w:val="24"/>
          <w:szCs w:val="22"/>
          <w:lang w:val="en-GB"/>
        </w:rPr>
        <w:t xml:space="preserve"> </w:t>
      </w:r>
      <w:r w:rsidR="00F04F87">
        <w:rPr>
          <w:sz w:val="24"/>
          <w:szCs w:val="22"/>
          <w:lang w:val="en-GB"/>
        </w:rPr>
        <w:t>a</w:t>
      </w:r>
      <w:r w:rsidR="000739D6">
        <w:rPr>
          <w:sz w:val="24"/>
          <w:szCs w:val="22"/>
          <w:lang w:val="en-GB"/>
        </w:rPr>
        <w:t>n approach to evaluate the</w:t>
      </w:r>
      <w:r w:rsidR="00F04F87">
        <w:rPr>
          <w:sz w:val="24"/>
          <w:szCs w:val="22"/>
          <w:lang w:val="en-GB"/>
        </w:rPr>
        <w:t xml:space="preserve"> </w:t>
      </w:r>
      <w:r w:rsidR="004E54F3" w:rsidRPr="000B7A2D">
        <w:rPr>
          <w:sz w:val="24"/>
          <w:szCs w:val="22"/>
          <w:lang w:val="en-GB"/>
        </w:rPr>
        <w:t xml:space="preserve">performance </w:t>
      </w:r>
      <w:r w:rsidR="000739D6">
        <w:rPr>
          <w:sz w:val="24"/>
          <w:szCs w:val="22"/>
          <w:lang w:val="en-GB"/>
        </w:rPr>
        <w:t xml:space="preserve">of PPPs throughout their life-cycle </w:t>
      </w:r>
      <w:r w:rsidR="004E54F3" w:rsidRPr="000B7A2D">
        <w:rPr>
          <w:sz w:val="24"/>
          <w:szCs w:val="22"/>
          <w:lang w:val="en-GB"/>
        </w:rPr>
        <w:t>has</w:t>
      </w:r>
      <w:r w:rsidR="000739D6">
        <w:rPr>
          <w:sz w:val="24"/>
          <w:szCs w:val="22"/>
          <w:lang w:val="en-GB"/>
        </w:rPr>
        <w:t xml:space="preserve"> hindered the ability of governments</w:t>
      </w:r>
      <w:r w:rsidR="004E54F3" w:rsidRPr="000B7A2D">
        <w:rPr>
          <w:sz w:val="24"/>
          <w:szCs w:val="22"/>
          <w:lang w:val="en-GB"/>
        </w:rPr>
        <w:t xml:space="preserve"> </w:t>
      </w:r>
      <w:r w:rsidR="000739D6">
        <w:rPr>
          <w:sz w:val="24"/>
          <w:szCs w:val="22"/>
          <w:lang w:val="en-GB"/>
        </w:rPr>
        <w:t>to</w:t>
      </w:r>
      <w:r w:rsidR="00F178AE">
        <w:rPr>
          <w:sz w:val="24"/>
          <w:szCs w:val="22"/>
          <w:lang w:val="en-GB"/>
        </w:rPr>
        <w:t xml:space="preserve"> manag</w:t>
      </w:r>
      <w:r w:rsidR="000739D6">
        <w:rPr>
          <w:sz w:val="24"/>
          <w:szCs w:val="22"/>
          <w:lang w:val="en-GB"/>
        </w:rPr>
        <w:t>e</w:t>
      </w:r>
      <w:r w:rsidR="00F178AE">
        <w:rPr>
          <w:sz w:val="24"/>
          <w:szCs w:val="22"/>
          <w:lang w:val="en-GB"/>
        </w:rPr>
        <w:t xml:space="preserve"> </w:t>
      </w:r>
      <w:r w:rsidR="00223F10" w:rsidRPr="000B7A2D">
        <w:rPr>
          <w:sz w:val="24"/>
          <w:szCs w:val="22"/>
          <w:lang w:val="en-GB"/>
        </w:rPr>
        <w:t>their effective and efficien</w:t>
      </w:r>
      <w:r w:rsidR="00A30C90" w:rsidRPr="000B7A2D">
        <w:rPr>
          <w:sz w:val="24"/>
          <w:szCs w:val="22"/>
          <w:lang w:val="en-GB"/>
        </w:rPr>
        <w:t>t</w:t>
      </w:r>
      <w:r w:rsidR="00223F10" w:rsidRPr="000B7A2D">
        <w:rPr>
          <w:sz w:val="24"/>
          <w:szCs w:val="22"/>
          <w:lang w:val="en-GB"/>
        </w:rPr>
        <w:t xml:space="preserve"> delivery</w:t>
      </w:r>
      <w:r w:rsidR="004E54F3" w:rsidRPr="000B7A2D">
        <w:rPr>
          <w:sz w:val="24"/>
          <w:szCs w:val="22"/>
          <w:lang w:val="en-GB"/>
        </w:rPr>
        <w:t xml:space="preserve">. </w:t>
      </w:r>
      <w:r w:rsidR="00223F10" w:rsidRPr="000B7A2D">
        <w:rPr>
          <w:sz w:val="24"/>
          <w:szCs w:val="22"/>
          <w:lang w:val="en-GB"/>
        </w:rPr>
        <w:t xml:space="preserve">This paper examines </w:t>
      </w:r>
      <w:r w:rsidR="00CB43B2">
        <w:rPr>
          <w:sz w:val="24"/>
          <w:szCs w:val="22"/>
          <w:lang w:val="en-GB"/>
        </w:rPr>
        <w:t xml:space="preserve">the practice of evaluation </w:t>
      </w:r>
      <w:r w:rsidR="000739D6">
        <w:rPr>
          <w:sz w:val="24"/>
          <w:szCs w:val="22"/>
          <w:lang w:val="en-GB"/>
        </w:rPr>
        <w:t>for a hospital and prison</w:t>
      </w:r>
      <w:r w:rsidR="00CB43B2">
        <w:rPr>
          <w:sz w:val="24"/>
          <w:szCs w:val="22"/>
          <w:lang w:val="en-GB"/>
        </w:rPr>
        <w:t xml:space="preserve"> </w:t>
      </w:r>
      <w:r w:rsidR="00CB43B2" w:rsidRPr="005462ED">
        <w:rPr>
          <w:sz w:val="24"/>
          <w:szCs w:val="22"/>
          <w:lang w:val="en-GB"/>
        </w:rPr>
        <w:t xml:space="preserve">that were </w:t>
      </w:r>
      <w:r w:rsidR="009E7160" w:rsidRPr="005462ED">
        <w:rPr>
          <w:sz w:val="24"/>
          <w:szCs w:val="22"/>
          <w:lang w:val="en-GB"/>
        </w:rPr>
        <w:t>delivere</w:t>
      </w:r>
      <w:r w:rsidR="009E7160" w:rsidRPr="000C0A38">
        <w:rPr>
          <w:sz w:val="24"/>
          <w:szCs w:val="22"/>
          <w:lang w:val="en-GB"/>
        </w:rPr>
        <w:t>d</w:t>
      </w:r>
      <w:r w:rsidR="00223F10" w:rsidRPr="000C0A38">
        <w:rPr>
          <w:sz w:val="24"/>
          <w:szCs w:val="22"/>
          <w:lang w:val="en-GB"/>
        </w:rPr>
        <w:t xml:space="preserve"> </w:t>
      </w:r>
      <w:r w:rsidR="00CB43B2" w:rsidRPr="000C0A38">
        <w:rPr>
          <w:sz w:val="24"/>
          <w:szCs w:val="22"/>
          <w:lang w:val="en-GB"/>
        </w:rPr>
        <w:t>using</w:t>
      </w:r>
      <w:r w:rsidR="00223F10" w:rsidRPr="000C0A38">
        <w:rPr>
          <w:sz w:val="24"/>
          <w:szCs w:val="22"/>
          <w:lang w:val="en-GB"/>
        </w:rPr>
        <w:t xml:space="preserve"> PPP</w:t>
      </w:r>
      <w:r w:rsidR="00ED40A5" w:rsidRPr="000C0A38">
        <w:rPr>
          <w:sz w:val="24"/>
          <w:szCs w:val="22"/>
          <w:lang w:val="en-GB"/>
        </w:rPr>
        <w:t>s</w:t>
      </w:r>
      <w:r w:rsidR="00223F10" w:rsidRPr="000C0A38">
        <w:rPr>
          <w:sz w:val="24"/>
          <w:szCs w:val="22"/>
          <w:lang w:val="en-GB"/>
        </w:rPr>
        <w:t xml:space="preserve">. </w:t>
      </w:r>
      <w:r w:rsidR="000739D6" w:rsidRPr="000C0A38">
        <w:rPr>
          <w:sz w:val="24"/>
          <w:szCs w:val="22"/>
          <w:lang w:val="en-GB"/>
        </w:rPr>
        <w:t xml:space="preserve">The empirical evidence indicates </w:t>
      </w:r>
      <w:r w:rsidR="00CB43B2" w:rsidRPr="00337D90">
        <w:rPr>
          <w:sz w:val="24"/>
          <w:szCs w:val="22"/>
          <w:lang w:val="en-GB"/>
        </w:rPr>
        <w:t>that</w:t>
      </w:r>
      <w:r w:rsidR="0008620A" w:rsidRPr="00337D90">
        <w:rPr>
          <w:sz w:val="24"/>
          <w:szCs w:val="22"/>
          <w:lang w:val="en-GB"/>
        </w:rPr>
        <w:t xml:space="preserve"> with</w:t>
      </w:r>
      <w:r w:rsidR="000739D6" w:rsidRPr="00337D90">
        <w:rPr>
          <w:sz w:val="24"/>
          <w:szCs w:val="22"/>
          <w:lang w:val="en-GB"/>
        </w:rPr>
        <w:t xml:space="preserve"> PPPs</w:t>
      </w:r>
      <w:r w:rsidR="00CB43B2" w:rsidRPr="00337D90">
        <w:rPr>
          <w:sz w:val="24"/>
          <w:szCs w:val="22"/>
          <w:lang w:val="en-GB"/>
        </w:rPr>
        <w:t xml:space="preserve">: (1) </w:t>
      </w:r>
      <w:r w:rsidR="000739D6" w:rsidRPr="00337D90">
        <w:rPr>
          <w:sz w:val="24"/>
          <w:szCs w:val="22"/>
          <w:lang w:val="en-GB"/>
        </w:rPr>
        <w:t>performance is typically</w:t>
      </w:r>
      <w:r w:rsidR="00717196" w:rsidRPr="00337D90">
        <w:rPr>
          <w:sz w:val="24"/>
          <w:szCs w:val="22"/>
          <w:lang w:val="en-GB"/>
        </w:rPr>
        <w:t xml:space="preserve"> </w:t>
      </w:r>
      <w:r w:rsidR="000739D6" w:rsidRPr="00337D90">
        <w:rPr>
          <w:sz w:val="24"/>
          <w:szCs w:val="22"/>
          <w:lang w:val="en-GB"/>
        </w:rPr>
        <w:t xml:space="preserve">measured during the </w:t>
      </w:r>
      <w:r w:rsidR="00717196" w:rsidRPr="00337D90">
        <w:rPr>
          <w:sz w:val="24"/>
          <w:szCs w:val="22"/>
          <w:lang w:val="en-GB"/>
        </w:rPr>
        <w:t xml:space="preserve">construction and operation </w:t>
      </w:r>
      <w:r w:rsidR="000739D6" w:rsidRPr="00337D90">
        <w:rPr>
          <w:sz w:val="24"/>
          <w:szCs w:val="22"/>
          <w:lang w:val="en-GB"/>
        </w:rPr>
        <w:t>phases</w:t>
      </w:r>
      <w:r w:rsidR="00717196" w:rsidRPr="00337D90">
        <w:rPr>
          <w:sz w:val="24"/>
          <w:szCs w:val="22"/>
          <w:lang w:val="en-GB"/>
        </w:rPr>
        <w:t xml:space="preserve"> using</w:t>
      </w:r>
      <w:r w:rsidR="000739D6" w:rsidRPr="00337D90">
        <w:rPr>
          <w:sz w:val="24"/>
          <w:szCs w:val="22"/>
          <w:lang w:val="en-GB"/>
        </w:rPr>
        <w:t xml:space="preserve"> </w:t>
      </w:r>
      <w:r w:rsidR="00717196" w:rsidRPr="00337D90">
        <w:rPr>
          <w:sz w:val="24"/>
          <w:szCs w:val="22"/>
          <w:lang w:val="en-GB"/>
        </w:rPr>
        <w:t>time, cost and quality and</w:t>
      </w:r>
      <w:r w:rsidR="000739D6" w:rsidRPr="00337D90">
        <w:rPr>
          <w:sz w:val="24"/>
          <w:szCs w:val="22"/>
          <w:lang w:val="en-GB"/>
        </w:rPr>
        <w:t xml:space="preserve"> </w:t>
      </w:r>
      <w:r w:rsidR="000C0A38" w:rsidRPr="00337D90">
        <w:rPr>
          <w:sz w:val="24"/>
          <w:szCs w:val="22"/>
          <w:lang w:val="en-GB"/>
        </w:rPr>
        <w:t>a restricted number of</w:t>
      </w:r>
      <w:r w:rsidR="00717196" w:rsidRPr="00337D90">
        <w:rPr>
          <w:sz w:val="24"/>
          <w:szCs w:val="22"/>
          <w:lang w:val="en-GB"/>
        </w:rPr>
        <w:t xml:space="preserve"> key performance indicators</w:t>
      </w:r>
      <w:r w:rsidR="00CB43B2" w:rsidRPr="00337D90">
        <w:rPr>
          <w:sz w:val="24"/>
          <w:szCs w:val="22"/>
          <w:lang w:val="en-GB"/>
        </w:rPr>
        <w:t xml:space="preserve">; and (2) </w:t>
      </w:r>
      <w:r w:rsidR="000739D6" w:rsidRPr="00337D90">
        <w:rPr>
          <w:sz w:val="24"/>
          <w:szCs w:val="22"/>
          <w:lang w:val="en-GB"/>
        </w:rPr>
        <w:t xml:space="preserve">a </w:t>
      </w:r>
      <w:r w:rsidR="00CB43B2" w:rsidRPr="00337D90">
        <w:rPr>
          <w:sz w:val="24"/>
          <w:szCs w:val="22"/>
          <w:lang w:val="en-GB"/>
        </w:rPr>
        <w:t xml:space="preserve">process-based and stakeholder-oriented measurement </w:t>
      </w:r>
      <w:r w:rsidR="000739D6" w:rsidRPr="00337D90">
        <w:rPr>
          <w:sz w:val="24"/>
          <w:szCs w:val="22"/>
          <w:lang w:val="en-GB"/>
        </w:rPr>
        <w:t>approach would be better suited to evaluate performance</w:t>
      </w:r>
      <w:r w:rsidR="00CB43B2" w:rsidRPr="00337D90">
        <w:rPr>
          <w:sz w:val="24"/>
          <w:szCs w:val="22"/>
          <w:lang w:val="en-GB"/>
        </w:rPr>
        <w:t>.</w:t>
      </w:r>
      <w:r w:rsidR="00CB43B2" w:rsidRPr="005462ED">
        <w:rPr>
          <w:sz w:val="24"/>
          <w:szCs w:val="22"/>
          <w:lang w:val="en-GB"/>
        </w:rPr>
        <w:t xml:space="preserve"> </w:t>
      </w:r>
      <w:r w:rsidR="00223F10" w:rsidRPr="005462ED">
        <w:rPr>
          <w:sz w:val="24"/>
          <w:szCs w:val="22"/>
          <w:lang w:val="en-GB"/>
        </w:rPr>
        <w:t>Building</w:t>
      </w:r>
      <w:r w:rsidR="00223F10" w:rsidRPr="000B7A2D">
        <w:rPr>
          <w:sz w:val="24"/>
          <w:szCs w:val="22"/>
          <w:lang w:val="en-GB"/>
        </w:rPr>
        <w:t xml:space="preserve"> upon the extant li</w:t>
      </w:r>
      <w:r w:rsidR="009E7160" w:rsidRPr="000B7A2D">
        <w:rPr>
          <w:sz w:val="24"/>
          <w:szCs w:val="22"/>
          <w:lang w:val="en-GB"/>
        </w:rPr>
        <w:t>terature and</w:t>
      </w:r>
      <w:r w:rsidR="004313D4">
        <w:rPr>
          <w:sz w:val="24"/>
          <w:szCs w:val="22"/>
          <w:lang w:val="en-GB"/>
        </w:rPr>
        <w:t xml:space="preserve"> the</w:t>
      </w:r>
      <w:r w:rsidR="009E7160" w:rsidRPr="000B7A2D">
        <w:rPr>
          <w:sz w:val="24"/>
          <w:szCs w:val="22"/>
          <w:lang w:val="en-GB"/>
        </w:rPr>
        <w:t xml:space="preserve"> findings </w:t>
      </w:r>
      <w:r w:rsidR="000739D6">
        <w:rPr>
          <w:sz w:val="24"/>
          <w:szCs w:val="22"/>
          <w:lang w:val="en-GB"/>
        </w:rPr>
        <w:t>emerging from</w:t>
      </w:r>
      <w:r w:rsidR="000739D6" w:rsidRPr="000B7A2D">
        <w:rPr>
          <w:sz w:val="24"/>
          <w:szCs w:val="22"/>
          <w:lang w:val="en-GB"/>
        </w:rPr>
        <w:t xml:space="preserve"> </w:t>
      </w:r>
      <w:r w:rsidR="000739D6">
        <w:rPr>
          <w:sz w:val="24"/>
          <w:szCs w:val="22"/>
          <w:lang w:val="en-GB"/>
        </w:rPr>
        <w:t>‘</w:t>
      </w:r>
      <w:r w:rsidR="009E7160" w:rsidRPr="000B7A2D">
        <w:rPr>
          <w:sz w:val="24"/>
          <w:szCs w:val="22"/>
          <w:lang w:val="en-GB"/>
        </w:rPr>
        <w:t>practice</w:t>
      </w:r>
      <w:r w:rsidR="000739D6">
        <w:rPr>
          <w:sz w:val="24"/>
          <w:szCs w:val="22"/>
          <w:lang w:val="en-GB"/>
        </w:rPr>
        <w:t>’</w:t>
      </w:r>
      <w:r w:rsidR="000739D6" w:rsidRPr="000B7A2D">
        <w:rPr>
          <w:sz w:val="24"/>
          <w:szCs w:val="22"/>
          <w:lang w:val="en-GB"/>
        </w:rPr>
        <w:t xml:space="preserve"> </w:t>
      </w:r>
      <w:r w:rsidR="00337B74" w:rsidRPr="000B7A2D">
        <w:rPr>
          <w:color w:val="000000" w:themeColor="text1"/>
          <w:sz w:val="24"/>
          <w:szCs w:val="22"/>
        </w:rPr>
        <w:t>(i.e.</w:t>
      </w:r>
      <w:r w:rsidR="00ED0CA4" w:rsidRPr="000B7A2D">
        <w:rPr>
          <w:color w:val="000000" w:themeColor="text1"/>
          <w:sz w:val="24"/>
          <w:szCs w:val="22"/>
        </w:rPr>
        <w:t>,</w:t>
      </w:r>
      <w:r w:rsidR="00337B74" w:rsidRPr="000B7A2D">
        <w:rPr>
          <w:color w:val="000000" w:themeColor="text1"/>
          <w:sz w:val="24"/>
          <w:szCs w:val="22"/>
        </w:rPr>
        <w:t xml:space="preserve"> actual activity, events or work)</w:t>
      </w:r>
      <w:r w:rsidR="00CB43B2">
        <w:rPr>
          <w:color w:val="000000" w:themeColor="text1"/>
          <w:sz w:val="24"/>
          <w:szCs w:val="22"/>
        </w:rPr>
        <w:t>,</w:t>
      </w:r>
      <w:r w:rsidR="00D35356" w:rsidRPr="000B7A2D">
        <w:rPr>
          <w:sz w:val="24"/>
          <w:szCs w:val="22"/>
          <w:lang w:val="en-GB"/>
        </w:rPr>
        <w:t xml:space="preserve"> a</w:t>
      </w:r>
      <w:r w:rsidR="000E53F7" w:rsidRPr="000B7A2D">
        <w:rPr>
          <w:sz w:val="24"/>
          <w:szCs w:val="22"/>
          <w:lang w:val="en-GB"/>
        </w:rPr>
        <w:t xml:space="preserve"> Performance Prism </w:t>
      </w:r>
      <w:r w:rsidR="0047719D">
        <w:rPr>
          <w:sz w:val="24"/>
          <w:szCs w:val="22"/>
          <w:lang w:val="en-GB"/>
        </w:rPr>
        <w:t>for</w:t>
      </w:r>
      <w:r w:rsidR="00F9045E" w:rsidRPr="000B7A2D">
        <w:rPr>
          <w:sz w:val="24"/>
          <w:szCs w:val="22"/>
          <w:lang w:val="en-GB"/>
        </w:rPr>
        <w:t xml:space="preserve"> </w:t>
      </w:r>
      <w:r w:rsidR="000E53F7" w:rsidRPr="000B7A2D">
        <w:rPr>
          <w:sz w:val="24"/>
          <w:szCs w:val="22"/>
          <w:lang w:val="en-GB"/>
        </w:rPr>
        <w:t xml:space="preserve">ameliorating </w:t>
      </w:r>
      <w:r w:rsidR="000739D6">
        <w:rPr>
          <w:sz w:val="24"/>
          <w:szCs w:val="22"/>
          <w:lang w:val="en-GB"/>
        </w:rPr>
        <w:t>the</w:t>
      </w:r>
      <w:r w:rsidR="000739D6" w:rsidRPr="000B7A2D">
        <w:rPr>
          <w:sz w:val="24"/>
          <w:szCs w:val="22"/>
          <w:lang w:val="en-GB"/>
        </w:rPr>
        <w:t xml:space="preserve"> </w:t>
      </w:r>
      <w:r w:rsidR="00CB43B2">
        <w:rPr>
          <w:sz w:val="24"/>
          <w:szCs w:val="22"/>
          <w:lang w:val="en-GB"/>
        </w:rPr>
        <w:t>evaluation</w:t>
      </w:r>
      <w:r w:rsidR="000E53F7" w:rsidRPr="000B7A2D">
        <w:rPr>
          <w:sz w:val="24"/>
          <w:szCs w:val="22"/>
          <w:lang w:val="en-GB"/>
        </w:rPr>
        <w:t xml:space="preserve"> of PPPs </w:t>
      </w:r>
      <w:r w:rsidR="00F178AE">
        <w:rPr>
          <w:sz w:val="24"/>
          <w:szCs w:val="22"/>
          <w:lang w:val="en-GB"/>
        </w:rPr>
        <w:t>throughout</w:t>
      </w:r>
      <w:r w:rsidR="00CB43B2">
        <w:rPr>
          <w:sz w:val="24"/>
          <w:szCs w:val="22"/>
          <w:lang w:val="en-GB"/>
        </w:rPr>
        <w:t xml:space="preserve"> their life</w:t>
      </w:r>
      <w:r w:rsidR="00F9045E" w:rsidRPr="000B7A2D">
        <w:rPr>
          <w:sz w:val="24"/>
          <w:szCs w:val="22"/>
          <w:lang w:val="en-GB"/>
        </w:rPr>
        <w:t>cycle is proposed.</w:t>
      </w:r>
      <w:r w:rsidR="00565D78" w:rsidRPr="000B7A2D">
        <w:rPr>
          <w:sz w:val="24"/>
          <w:szCs w:val="22"/>
          <w:lang w:val="en-GB"/>
        </w:rPr>
        <w:t xml:space="preserve"> The research presented in this paper provides </w:t>
      </w:r>
      <w:r w:rsidR="000E53F7" w:rsidRPr="000B7A2D">
        <w:rPr>
          <w:sz w:val="24"/>
          <w:szCs w:val="22"/>
          <w:lang w:val="en-GB"/>
        </w:rPr>
        <w:t>stakeholders of PPPs</w:t>
      </w:r>
      <w:r w:rsidR="004C3B5D">
        <w:rPr>
          <w:sz w:val="24"/>
          <w:szCs w:val="22"/>
          <w:lang w:val="en-GB"/>
        </w:rPr>
        <w:t>, especially government</w:t>
      </w:r>
      <w:r w:rsidR="00895E75">
        <w:rPr>
          <w:sz w:val="24"/>
          <w:szCs w:val="22"/>
          <w:lang w:val="en-GB"/>
        </w:rPr>
        <w:t>s</w:t>
      </w:r>
      <w:r w:rsidR="004C3B5D">
        <w:rPr>
          <w:sz w:val="24"/>
          <w:szCs w:val="22"/>
          <w:lang w:val="en-GB"/>
        </w:rPr>
        <w:t>,</w:t>
      </w:r>
      <w:r w:rsidR="000E53F7" w:rsidRPr="000B7A2D">
        <w:rPr>
          <w:sz w:val="24"/>
          <w:szCs w:val="22"/>
          <w:lang w:val="en-GB"/>
        </w:rPr>
        <w:t xml:space="preserve"> with a </w:t>
      </w:r>
      <w:r w:rsidR="00565D78" w:rsidRPr="000B7A2D">
        <w:rPr>
          <w:sz w:val="24"/>
          <w:szCs w:val="22"/>
          <w:lang w:val="en-GB"/>
        </w:rPr>
        <w:t xml:space="preserve">robust framework </w:t>
      </w:r>
      <w:r w:rsidR="000739D6">
        <w:rPr>
          <w:sz w:val="24"/>
          <w:szCs w:val="22"/>
          <w:lang w:val="en-GB"/>
        </w:rPr>
        <w:t>for</w:t>
      </w:r>
      <w:r w:rsidR="000739D6" w:rsidRPr="000B7A2D">
        <w:rPr>
          <w:sz w:val="24"/>
          <w:szCs w:val="22"/>
          <w:lang w:val="en-GB"/>
        </w:rPr>
        <w:t xml:space="preserve"> </w:t>
      </w:r>
      <w:r w:rsidR="004C3B5D">
        <w:rPr>
          <w:sz w:val="24"/>
          <w:szCs w:val="22"/>
          <w:lang w:val="en-GB"/>
        </w:rPr>
        <w:t>governing and future proofing</w:t>
      </w:r>
      <w:r w:rsidR="00ED40A5">
        <w:rPr>
          <w:sz w:val="24"/>
          <w:szCs w:val="22"/>
          <w:lang w:val="en-GB"/>
        </w:rPr>
        <w:t xml:space="preserve"> their </w:t>
      </w:r>
      <w:r w:rsidR="000739D6">
        <w:rPr>
          <w:sz w:val="24"/>
          <w:szCs w:val="22"/>
          <w:lang w:val="en-GB"/>
        </w:rPr>
        <w:t xml:space="preserve">assets </w:t>
      </w:r>
      <w:r w:rsidR="00ED40A5">
        <w:rPr>
          <w:sz w:val="24"/>
          <w:szCs w:val="22"/>
          <w:lang w:val="en-GB"/>
        </w:rPr>
        <w:t>to ensur</w:t>
      </w:r>
      <w:r w:rsidR="0008620A">
        <w:rPr>
          <w:sz w:val="24"/>
          <w:szCs w:val="22"/>
          <w:lang w:val="en-GB"/>
        </w:rPr>
        <w:t>e</w:t>
      </w:r>
      <w:r w:rsidR="00ED40A5">
        <w:rPr>
          <w:sz w:val="24"/>
          <w:szCs w:val="22"/>
          <w:lang w:val="en-GB"/>
        </w:rPr>
        <w:t xml:space="preserve"> </w:t>
      </w:r>
      <w:r w:rsidR="000739D6">
        <w:rPr>
          <w:sz w:val="24"/>
          <w:szCs w:val="22"/>
          <w:lang w:val="en-GB"/>
        </w:rPr>
        <w:t xml:space="preserve">value </w:t>
      </w:r>
      <w:r w:rsidR="00ED40A5">
        <w:rPr>
          <w:sz w:val="24"/>
          <w:szCs w:val="22"/>
          <w:lang w:val="en-GB"/>
        </w:rPr>
        <w:t xml:space="preserve">for </w:t>
      </w:r>
      <w:r w:rsidR="000739D6">
        <w:rPr>
          <w:sz w:val="24"/>
          <w:szCs w:val="22"/>
          <w:lang w:val="en-GB"/>
        </w:rPr>
        <w:t>money</w:t>
      </w:r>
      <w:r w:rsidR="00ED40A5">
        <w:rPr>
          <w:sz w:val="24"/>
          <w:szCs w:val="22"/>
          <w:lang w:val="en-GB"/>
        </w:rPr>
        <w:t>.</w:t>
      </w:r>
    </w:p>
    <w:p w14:paraId="323E70C1" w14:textId="77777777" w:rsidR="00D35356" w:rsidRDefault="00D35356" w:rsidP="0057098C">
      <w:pPr>
        <w:spacing w:line="480" w:lineRule="auto"/>
        <w:rPr>
          <w:sz w:val="24"/>
          <w:lang w:val="en-GB"/>
        </w:rPr>
      </w:pPr>
    </w:p>
    <w:p w14:paraId="207868FE" w14:textId="0BD1CC58" w:rsidR="00556B18" w:rsidRDefault="00915FEE" w:rsidP="0057098C">
      <w:pPr>
        <w:spacing w:line="480" w:lineRule="auto"/>
        <w:rPr>
          <w:sz w:val="24"/>
          <w:lang w:val="en-GB"/>
        </w:rPr>
      </w:pPr>
      <w:r w:rsidRPr="00616E88">
        <w:rPr>
          <w:b/>
          <w:sz w:val="24"/>
          <w:lang w:val="en-GB"/>
        </w:rPr>
        <w:t>Keywords:</w:t>
      </w:r>
      <w:r w:rsidR="00BE6A3A" w:rsidRPr="00616E88">
        <w:rPr>
          <w:sz w:val="24"/>
          <w:lang w:val="en-GB"/>
        </w:rPr>
        <w:t xml:space="preserve"> </w:t>
      </w:r>
      <w:r w:rsidR="00E568B6">
        <w:rPr>
          <w:sz w:val="24"/>
          <w:lang w:val="en-GB"/>
        </w:rPr>
        <w:t>E</w:t>
      </w:r>
      <w:r w:rsidR="000739D6">
        <w:rPr>
          <w:sz w:val="24"/>
          <w:lang w:val="en-GB"/>
        </w:rPr>
        <w:t>valuation</w:t>
      </w:r>
      <w:r w:rsidR="00BE6A3A" w:rsidRPr="00616E88">
        <w:rPr>
          <w:sz w:val="24"/>
          <w:lang w:val="en-GB"/>
        </w:rPr>
        <w:t>,</w:t>
      </w:r>
      <w:r w:rsidR="000739D6" w:rsidRPr="000739D6">
        <w:rPr>
          <w:sz w:val="24"/>
          <w:lang w:val="en-GB"/>
        </w:rPr>
        <w:t xml:space="preserve"> </w:t>
      </w:r>
      <w:r w:rsidR="000739D6">
        <w:rPr>
          <w:sz w:val="24"/>
          <w:lang w:val="en-GB"/>
        </w:rPr>
        <w:t xml:space="preserve">PPPs, </w:t>
      </w:r>
      <w:r w:rsidR="000E53F7">
        <w:rPr>
          <w:sz w:val="24"/>
          <w:lang w:val="en-GB"/>
        </w:rPr>
        <w:t>P</w:t>
      </w:r>
      <w:r w:rsidR="00204275" w:rsidRPr="00616E88">
        <w:rPr>
          <w:sz w:val="24"/>
          <w:lang w:val="en-GB"/>
        </w:rPr>
        <w:t>erformance</w:t>
      </w:r>
      <w:r w:rsidR="000E53F7">
        <w:rPr>
          <w:sz w:val="24"/>
          <w:lang w:val="en-GB"/>
        </w:rPr>
        <w:t xml:space="preserve"> P</w:t>
      </w:r>
      <w:r w:rsidR="00337B74">
        <w:rPr>
          <w:sz w:val="24"/>
          <w:lang w:val="en-GB"/>
        </w:rPr>
        <w:t>rism</w:t>
      </w:r>
      <w:r w:rsidR="00204275" w:rsidRPr="00616E88">
        <w:rPr>
          <w:sz w:val="24"/>
          <w:lang w:val="en-GB"/>
        </w:rPr>
        <w:t xml:space="preserve">, </w:t>
      </w:r>
      <w:r w:rsidR="00E568B6">
        <w:rPr>
          <w:sz w:val="24"/>
          <w:lang w:val="en-GB"/>
        </w:rPr>
        <w:t>S</w:t>
      </w:r>
      <w:r w:rsidR="000739D6">
        <w:rPr>
          <w:sz w:val="24"/>
          <w:lang w:val="en-GB"/>
        </w:rPr>
        <w:t xml:space="preserve">ocial </w:t>
      </w:r>
      <w:r w:rsidR="00337B74">
        <w:rPr>
          <w:sz w:val="24"/>
          <w:lang w:val="en-GB"/>
        </w:rPr>
        <w:t>infrastructure</w:t>
      </w:r>
      <w:r w:rsidR="00E568B6">
        <w:rPr>
          <w:sz w:val="24"/>
          <w:lang w:val="en-GB"/>
        </w:rPr>
        <w:t>, Australia</w:t>
      </w:r>
    </w:p>
    <w:p w14:paraId="466099B0" w14:textId="77777777" w:rsidR="00EA3537" w:rsidRDefault="00EA3537" w:rsidP="0057098C">
      <w:pPr>
        <w:spacing w:line="480" w:lineRule="auto"/>
        <w:rPr>
          <w:sz w:val="24"/>
          <w:lang w:val="en-GB"/>
        </w:rPr>
      </w:pPr>
    </w:p>
    <w:p w14:paraId="02F4BE5F" w14:textId="77777777" w:rsidR="00CB43B2" w:rsidRDefault="00CB43B2" w:rsidP="0057098C">
      <w:pPr>
        <w:spacing w:line="480" w:lineRule="auto"/>
        <w:rPr>
          <w:sz w:val="24"/>
          <w:lang w:val="en-GB"/>
        </w:rPr>
      </w:pPr>
    </w:p>
    <w:p w14:paraId="0237F64B" w14:textId="77777777" w:rsidR="00CB43B2" w:rsidRDefault="00CB43B2" w:rsidP="0057098C">
      <w:pPr>
        <w:spacing w:line="480" w:lineRule="auto"/>
        <w:rPr>
          <w:sz w:val="24"/>
          <w:lang w:val="en-GB"/>
        </w:rPr>
      </w:pPr>
    </w:p>
    <w:p w14:paraId="37F03C11" w14:textId="77777777" w:rsidR="005462ED" w:rsidRDefault="005462ED" w:rsidP="0057098C">
      <w:pPr>
        <w:spacing w:line="480" w:lineRule="auto"/>
        <w:rPr>
          <w:sz w:val="24"/>
          <w:lang w:val="en-GB"/>
        </w:rPr>
      </w:pPr>
    </w:p>
    <w:p w14:paraId="163D3815" w14:textId="77777777" w:rsidR="00CD40F9" w:rsidRDefault="00CD40F9" w:rsidP="0057098C">
      <w:pPr>
        <w:spacing w:line="480" w:lineRule="auto"/>
        <w:rPr>
          <w:sz w:val="24"/>
          <w:lang w:val="en-GB"/>
        </w:rPr>
      </w:pPr>
    </w:p>
    <w:p w14:paraId="459D3CA5" w14:textId="77777777" w:rsidR="006E2A21" w:rsidRPr="001178D4" w:rsidRDefault="00EE7D3C" w:rsidP="00847E26">
      <w:pPr>
        <w:spacing w:after="120" w:line="480" w:lineRule="auto"/>
        <w:rPr>
          <w:rFonts w:ascii="Arial" w:hAnsi="Arial" w:cs="Arial"/>
          <w:b/>
          <w:sz w:val="24"/>
          <w:lang w:val="en-GB"/>
        </w:rPr>
      </w:pPr>
      <w:r w:rsidRPr="001178D4">
        <w:rPr>
          <w:rFonts w:ascii="Arial" w:hAnsi="Arial" w:cs="Arial"/>
          <w:b/>
          <w:sz w:val="24"/>
          <w:lang w:val="en-GB"/>
        </w:rPr>
        <w:lastRenderedPageBreak/>
        <w:t>Introduction</w:t>
      </w:r>
    </w:p>
    <w:p w14:paraId="3C2C5691" w14:textId="0A01CB1A" w:rsidR="001B6F82" w:rsidRDefault="00DC66C7" w:rsidP="009A3DAA">
      <w:pPr>
        <w:spacing w:line="480" w:lineRule="auto"/>
        <w:rPr>
          <w:sz w:val="24"/>
          <w:lang w:val="en-GB"/>
        </w:rPr>
      </w:pPr>
      <w:r>
        <w:rPr>
          <w:sz w:val="24"/>
          <w:lang w:val="en-GB"/>
        </w:rPr>
        <w:t xml:space="preserve">Public-Private Partnerships (PPPs) have been extensively </w:t>
      </w:r>
      <w:r w:rsidR="00A07528">
        <w:rPr>
          <w:sz w:val="24"/>
          <w:lang w:val="en-GB"/>
        </w:rPr>
        <w:t>used</w:t>
      </w:r>
      <w:r>
        <w:rPr>
          <w:sz w:val="24"/>
          <w:lang w:val="en-GB"/>
        </w:rPr>
        <w:t xml:space="preserve"> </w:t>
      </w:r>
      <w:r w:rsidR="00D35356">
        <w:rPr>
          <w:sz w:val="24"/>
          <w:lang w:val="en-GB"/>
        </w:rPr>
        <w:t xml:space="preserve">to </w:t>
      </w:r>
      <w:r w:rsidR="009E7160" w:rsidRPr="003D1E5E">
        <w:rPr>
          <w:sz w:val="24"/>
          <w:lang w:val="en-GB"/>
        </w:rPr>
        <w:t>deliver</w:t>
      </w:r>
      <w:r w:rsidRPr="003D1E5E">
        <w:rPr>
          <w:sz w:val="24"/>
          <w:lang w:val="en-GB"/>
        </w:rPr>
        <w:t xml:space="preserve"> p</w:t>
      </w:r>
      <w:r w:rsidR="00960BCB" w:rsidRPr="003D1E5E">
        <w:rPr>
          <w:sz w:val="24"/>
          <w:lang w:val="en-GB"/>
        </w:rPr>
        <w:t>ublic assets</w:t>
      </w:r>
      <w:r w:rsidR="00117F35" w:rsidRPr="003D1E5E">
        <w:rPr>
          <w:sz w:val="24"/>
          <w:lang w:val="en-GB"/>
        </w:rPr>
        <w:t>,</w:t>
      </w:r>
      <w:r w:rsidR="00960BCB" w:rsidRPr="003D1E5E">
        <w:rPr>
          <w:sz w:val="24"/>
          <w:lang w:val="en-GB"/>
        </w:rPr>
        <w:t xml:space="preserve"> when </w:t>
      </w:r>
      <w:r w:rsidRPr="003D1E5E">
        <w:rPr>
          <w:sz w:val="24"/>
          <w:lang w:val="en-GB"/>
        </w:rPr>
        <w:t>governments’</w:t>
      </w:r>
      <w:r w:rsidR="00960BCB" w:rsidRPr="003D1E5E">
        <w:rPr>
          <w:sz w:val="24"/>
          <w:lang w:val="en-GB"/>
        </w:rPr>
        <w:t xml:space="preserve"> budgets </w:t>
      </w:r>
      <w:r w:rsidRPr="003D1E5E">
        <w:rPr>
          <w:sz w:val="24"/>
          <w:lang w:val="en-GB"/>
        </w:rPr>
        <w:t>for infrastructure development</w:t>
      </w:r>
      <w:r w:rsidR="00297C99" w:rsidRPr="003D1E5E">
        <w:rPr>
          <w:sz w:val="24"/>
          <w:lang w:val="en-GB"/>
        </w:rPr>
        <w:t xml:space="preserve"> are limited</w:t>
      </w:r>
      <w:r w:rsidRPr="003D1E5E">
        <w:rPr>
          <w:sz w:val="24"/>
          <w:lang w:val="en-GB"/>
        </w:rPr>
        <w:t xml:space="preserve">. The PPP market </w:t>
      </w:r>
      <w:r w:rsidR="00960BCB" w:rsidRPr="003D1E5E">
        <w:rPr>
          <w:sz w:val="24"/>
          <w:lang w:val="en-GB"/>
        </w:rPr>
        <w:t>in</w:t>
      </w:r>
      <w:r w:rsidRPr="003D1E5E">
        <w:rPr>
          <w:sz w:val="24"/>
          <w:lang w:val="en-GB"/>
        </w:rPr>
        <w:t xml:space="preserve"> Australia </w:t>
      </w:r>
      <w:r w:rsidR="00960BCB" w:rsidRPr="003D1E5E">
        <w:rPr>
          <w:sz w:val="24"/>
          <w:lang w:val="en-GB"/>
        </w:rPr>
        <w:t>is</w:t>
      </w:r>
      <w:r w:rsidRPr="003D1E5E">
        <w:rPr>
          <w:sz w:val="24"/>
          <w:lang w:val="en-GB"/>
        </w:rPr>
        <w:t xml:space="preserve"> considered to be mature and sophisticated</w:t>
      </w:r>
      <w:r w:rsidR="00960BCB" w:rsidRPr="003D1E5E">
        <w:rPr>
          <w:sz w:val="24"/>
          <w:lang w:val="en-GB"/>
        </w:rPr>
        <w:t xml:space="preserve">; </w:t>
      </w:r>
      <w:r w:rsidR="0008620A">
        <w:rPr>
          <w:sz w:val="24"/>
          <w:lang w:val="en-GB"/>
        </w:rPr>
        <w:t>it</w:t>
      </w:r>
      <w:r w:rsidRPr="003D1E5E">
        <w:rPr>
          <w:sz w:val="24"/>
          <w:lang w:val="en-GB"/>
        </w:rPr>
        <w:t xml:space="preserve"> </w:t>
      </w:r>
      <w:r w:rsidR="00960BCB" w:rsidRPr="003D1E5E">
        <w:rPr>
          <w:sz w:val="24"/>
          <w:lang w:val="en-GB"/>
        </w:rPr>
        <w:t>form</w:t>
      </w:r>
      <w:r w:rsidR="0008620A">
        <w:rPr>
          <w:sz w:val="24"/>
          <w:lang w:val="en-GB"/>
        </w:rPr>
        <w:t>s</w:t>
      </w:r>
      <w:r w:rsidR="009A2D79" w:rsidRPr="003D1E5E">
        <w:rPr>
          <w:sz w:val="24"/>
          <w:lang w:val="en-GB"/>
        </w:rPr>
        <w:t xml:space="preserve"> </w:t>
      </w:r>
      <w:r w:rsidRPr="003D1E5E">
        <w:rPr>
          <w:sz w:val="24"/>
          <w:lang w:val="en-GB"/>
        </w:rPr>
        <w:t>an integral part of</w:t>
      </w:r>
      <w:r w:rsidR="00960BCB" w:rsidRPr="003D1E5E">
        <w:rPr>
          <w:sz w:val="24"/>
          <w:lang w:val="en-GB"/>
        </w:rPr>
        <w:t xml:space="preserve"> State Governments</w:t>
      </w:r>
      <w:r w:rsidR="00117F35" w:rsidRPr="003D1E5E">
        <w:rPr>
          <w:sz w:val="24"/>
          <w:lang w:val="en-GB"/>
        </w:rPr>
        <w:t>’</w:t>
      </w:r>
      <w:r w:rsidR="00960BCB" w:rsidRPr="003D1E5E">
        <w:rPr>
          <w:sz w:val="24"/>
          <w:lang w:val="en-GB"/>
        </w:rPr>
        <w:t xml:space="preserve"> procurement </w:t>
      </w:r>
      <w:r w:rsidR="0054065A">
        <w:rPr>
          <w:sz w:val="24"/>
          <w:lang w:val="en-GB"/>
        </w:rPr>
        <w:t>strategies</w:t>
      </w:r>
      <w:r w:rsidRPr="003D1E5E">
        <w:rPr>
          <w:sz w:val="24"/>
          <w:lang w:val="en-GB"/>
        </w:rPr>
        <w:t xml:space="preserve"> </w:t>
      </w:r>
      <w:r w:rsidR="00960BCB" w:rsidRPr="003D1E5E">
        <w:rPr>
          <w:sz w:val="24"/>
          <w:lang w:val="en-GB"/>
        </w:rPr>
        <w:t xml:space="preserve">for </w:t>
      </w:r>
      <w:r w:rsidR="0054065A">
        <w:rPr>
          <w:sz w:val="24"/>
          <w:lang w:val="en-GB"/>
        </w:rPr>
        <w:t>delivering</w:t>
      </w:r>
      <w:r w:rsidR="00960BCB" w:rsidRPr="003D1E5E">
        <w:rPr>
          <w:sz w:val="24"/>
          <w:lang w:val="en-GB"/>
        </w:rPr>
        <w:t xml:space="preserve"> infrastructure</w:t>
      </w:r>
      <w:r w:rsidR="009A2D79" w:rsidRPr="003D1E5E">
        <w:rPr>
          <w:sz w:val="24"/>
          <w:lang w:val="en-GB"/>
        </w:rPr>
        <w:t xml:space="preserve"> (</w:t>
      </w:r>
      <w:r w:rsidR="00F039C6">
        <w:rPr>
          <w:sz w:val="24"/>
          <w:lang w:val="en-GB"/>
        </w:rPr>
        <w:t xml:space="preserve">Hodge, 2004; </w:t>
      </w:r>
      <w:r w:rsidR="009A2D79" w:rsidRPr="003D1E5E">
        <w:rPr>
          <w:sz w:val="24"/>
          <w:lang w:val="en-GB"/>
        </w:rPr>
        <w:t xml:space="preserve">Duffield and Clifton, 2008). </w:t>
      </w:r>
      <w:r w:rsidR="00960BCB" w:rsidRPr="003D1E5E">
        <w:rPr>
          <w:sz w:val="24"/>
          <w:lang w:val="en-GB"/>
        </w:rPr>
        <w:t>Yet,</w:t>
      </w:r>
      <w:r w:rsidR="009A2D79" w:rsidRPr="003D1E5E">
        <w:rPr>
          <w:sz w:val="24"/>
          <w:lang w:val="en-GB"/>
        </w:rPr>
        <w:t xml:space="preserve"> the use of PPPs </w:t>
      </w:r>
      <w:r w:rsidR="0008620A" w:rsidRPr="003D1E5E">
        <w:rPr>
          <w:sz w:val="24"/>
          <w:lang w:val="en-GB"/>
        </w:rPr>
        <w:t>has</w:t>
      </w:r>
      <w:r w:rsidR="009A2D79" w:rsidRPr="003D1E5E">
        <w:rPr>
          <w:sz w:val="24"/>
          <w:lang w:val="en-GB"/>
        </w:rPr>
        <w:t xml:space="preserve"> been </w:t>
      </w:r>
      <w:r w:rsidR="008F7F50" w:rsidRPr="003D1E5E">
        <w:rPr>
          <w:sz w:val="24"/>
          <w:lang w:val="en-GB"/>
        </w:rPr>
        <w:t>plagued</w:t>
      </w:r>
      <w:r w:rsidR="009A2D79" w:rsidRPr="003D1E5E">
        <w:rPr>
          <w:sz w:val="24"/>
          <w:lang w:val="en-GB"/>
        </w:rPr>
        <w:t xml:space="preserve"> with controversy, particularly in Australia and the United Kingdom (UK),</w:t>
      </w:r>
      <w:r w:rsidR="00183323" w:rsidRPr="003D1E5E">
        <w:rPr>
          <w:sz w:val="24"/>
          <w:lang w:val="en-GB"/>
        </w:rPr>
        <w:t xml:space="preserve"> </w:t>
      </w:r>
      <w:r w:rsidR="0008620A">
        <w:rPr>
          <w:sz w:val="24"/>
          <w:lang w:val="en-GB"/>
        </w:rPr>
        <w:t>where</w:t>
      </w:r>
      <w:r w:rsidR="00960BCB" w:rsidRPr="003D1E5E">
        <w:rPr>
          <w:sz w:val="24"/>
          <w:lang w:val="en-GB"/>
        </w:rPr>
        <w:t xml:space="preserve"> </w:t>
      </w:r>
      <w:r w:rsidR="00A05B4E">
        <w:rPr>
          <w:sz w:val="24"/>
          <w:lang w:val="en-GB"/>
        </w:rPr>
        <w:t>many</w:t>
      </w:r>
      <w:r w:rsidR="00183323" w:rsidRPr="003D1E5E">
        <w:rPr>
          <w:sz w:val="24"/>
          <w:lang w:val="en-GB"/>
        </w:rPr>
        <w:t xml:space="preserve"> projects </w:t>
      </w:r>
      <w:r w:rsidR="00960BCB" w:rsidRPr="003D1E5E">
        <w:rPr>
          <w:sz w:val="24"/>
          <w:lang w:val="en-GB"/>
        </w:rPr>
        <w:t xml:space="preserve">have </w:t>
      </w:r>
      <w:r w:rsidR="00117F35" w:rsidRPr="003D1E5E">
        <w:rPr>
          <w:sz w:val="24"/>
          <w:lang w:val="en-GB"/>
        </w:rPr>
        <w:t>experienced</w:t>
      </w:r>
      <w:r w:rsidR="009A2D79" w:rsidRPr="003D1E5E">
        <w:rPr>
          <w:sz w:val="24"/>
          <w:lang w:val="en-GB"/>
        </w:rPr>
        <w:t xml:space="preserve"> </w:t>
      </w:r>
      <w:r w:rsidR="008F7F50" w:rsidRPr="003D1E5E">
        <w:rPr>
          <w:sz w:val="24"/>
          <w:lang w:val="en-GB"/>
        </w:rPr>
        <w:t xml:space="preserve">substantial </w:t>
      </w:r>
      <w:r w:rsidR="009A2D79" w:rsidRPr="003D1E5E">
        <w:rPr>
          <w:sz w:val="24"/>
          <w:lang w:val="en-GB"/>
        </w:rPr>
        <w:t xml:space="preserve">overruns </w:t>
      </w:r>
      <w:r w:rsidR="00A05B4E">
        <w:rPr>
          <w:sz w:val="24"/>
          <w:lang w:val="en-GB"/>
        </w:rPr>
        <w:t>and</w:t>
      </w:r>
      <w:r w:rsidR="00A07528" w:rsidRPr="003D1E5E">
        <w:rPr>
          <w:sz w:val="24"/>
          <w:lang w:val="en-GB"/>
        </w:rPr>
        <w:t xml:space="preserve"> </w:t>
      </w:r>
      <w:r w:rsidR="00A05B4E">
        <w:rPr>
          <w:sz w:val="24"/>
          <w:lang w:val="en-GB"/>
        </w:rPr>
        <w:t>poor</w:t>
      </w:r>
      <w:r w:rsidR="00960BCB" w:rsidRPr="003D1E5E">
        <w:rPr>
          <w:sz w:val="24"/>
          <w:lang w:val="en-GB"/>
        </w:rPr>
        <w:t xml:space="preserve"> operational performance</w:t>
      </w:r>
      <w:r w:rsidR="001B6F82" w:rsidRPr="00337D90">
        <w:rPr>
          <w:sz w:val="24"/>
          <w:lang w:val="en-GB"/>
        </w:rPr>
        <w:t xml:space="preserve">, for example, </w:t>
      </w:r>
      <w:r w:rsidR="00FE1972" w:rsidRPr="00337D90">
        <w:rPr>
          <w:sz w:val="24"/>
          <w:lang w:val="en-GB"/>
        </w:rPr>
        <w:t>Southern Cross Station</w:t>
      </w:r>
      <w:r w:rsidR="008F1865" w:rsidRPr="00337D90">
        <w:rPr>
          <w:sz w:val="24"/>
          <w:lang w:val="en-GB"/>
        </w:rPr>
        <w:t>, Melbourne, Australia</w:t>
      </w:r>
      <w:r w:rsidR="001B6F82" w:rsidRPr="00337D90">
        <w:rPr>
          <w:sz w:val="24"/>
          <w:lang w:val="en-GB"/>
        </w:rPr>
        <w:t xml:space="preserve"> (cost overruns)</w:t>
      </w:r>
      <w:r w:rsidR="005B031E" w:rsidRPr="00337D90">
        <w:rPr>
          <w:sz w:val="24"/>
          <w:lang w:val="en-GB"/>
        </w:rPr>
        <w:t>,</w:t>
      </w:r>
      <w:r w:rsidR="001B6F82" w:rsidRPr="00337D90">
        <w:rPr>
          <w:sz w:val="24"/>
          <w:lang w:val="en-GB"/>
        </w:rPr>
        <w:t xml:space="preserve"> Latrobe Regional Hospital, Victoria, Australia (poor service quality)</w:t>
      </w:r>
      <w:r w:rsidR="005B031E" w:rsidRPr="00337D90">
        <w:rPr>
          <w:sz w:val="24"/>
          <w:lang w:val="en-GB"/>
        </w:rPr>
        <w:t xml:space="preserve"> </w:t>
      </w:r>
      <w:r w:rsidR="00775E07" w:rsidRPr="00337D90">
        <w:rPr>
          <w:sz w:val="24"/>
          <w:lang w:val="en-GB"/>
        </w:rPr>
        <w:t xml:space="preserve">and </w:t>
      </w:r>
      <w:proofErr w:type="spellStart"/>
      <w:r w:rsidR="00775E07" w:rsidRPr="00337D90">
        <w:rPr>
          <w:sz w:val="24"/>
          <w:lang w:val="en-GB"/>
        </w:rPr>
        <w:t>Dalmuir</w:t>
      </w:r>
      <w:proofErr w:type="spellEnd"/>
      <w:r w:rsidR="00775E07" w:rsidRPr="00337D90">
        <w:rPr>
          <w:sz w:val="24"/>
          <w:lang w:val="en-GB"/>
        </w:rPr>
        <w:t xml:space="preserve"> Wastewater Treatment Works, Scotland, UK (poor operational outputs) </w:t>
      </w:r>
      <w:r w:rsidR="005B031E" w:rsidRPr="00337D90">
        <w:rPr>
          <w:sz w:val="24"/>
          <w:lang w:val="en-GB"/>
        </w:rPr>
        <w:t xml:space="preserve">(Harris </w:t>
      </w:r>
      <w:r w:rsidR="005B031E" w:rsidRPr="00337D90">
        <w:rPr>
          <w:i/>
          <w:sz w:val="24"/>
          <w:lang w:val="en-GB"/>
        </w:rPr>
        <w:t>et al.</w:t>
      </w:r>
      <w:r w:rsidR="005B031E" w:rsidRPr="00337D90">
        <w:rPr>
          <w:sz w:val="24"/>
          <w:lang w:val="en-GB"/>
        </w:rPr>
        <w:t xml:space="preserve">, 2014; Regan, 2014). </w:t>
      </w:r>
    </w:p>
    <w:p w14:paraId="0C01BD3D" w14:textId="77777777" w:rsidR="00DC66C7" w:rsidRPr="003D1E5E" w:rsidRDefault="00DC66C7" w:rsidP="009A3DAA">
      <w:pPr>
        <w:spacing w:line="480" w:lineRule="auto"/>
        <w:rPr>
          <w:sz w:val="24"/>
          <w:lang w:val="en-GB"/>
        </w:rPr>
      </w:pPr>
    </w:p>
    <w:p w14:paraId="39C5885B" w14:textId="0E4B2ABE" w:rsidR="00013C5F" w:rsidRPr="00013C5F" w:rsidRDefault="00073F0E" w:rsidP="00013C5F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>A</w:t>
      </w:r>
      <w:r w:rsidR="00183323" w:rsidRPr="003D1E5E">
        <w:rPr>
          <w:sz w:val="24"/>
          <w:lang w:val="en-GB"/>
        </w:rPr>
        <w:t xml:space="preserve"> variety of factors </w:t>
      </w:r>
      <w:r w:rsidR="004C3B5D">
        <w:rPr>
          <w:sz w:val="24"/>
          <w:lang w:val="en-GB"/>
        </w:rPr>
        <w:t>can contribute</w:t>
      </w:r>
      <w:r w:rsidR="007A63C2" w:rsidRPr="003D1E5E">
        <w:rPr>
          <w:sz w:val="24"/>
          <w:lang w:val="en-GB"/>
        </w:rPr>
        <w:t xml:space="preserve"> to the</w:t>
      </w:r>
      <w:r w:rsidR="009A2D79" w:rsidRPr="003D1E5E">
        <w:rPr>
          <w:sz w:val="24"/>
          <w:lang w:val="en-GB"/>
        </w:rPr>
        <w:t xml:space="preserve"> unsatisfactory performance </w:t>
      </w:r>
      <w:r w:rsidRPr="003D1E5E">
        <w:rPr>
          <w:sz w:val="24"/>
          <w:lang w:val="en-GB"/>
        </w:rPr>
        <w:t>of PPP</w:t>
      </w:r>
      <w:r w:rsidR="00AF1484" w:rsidRPr="003D1E5E">
        <w:rPr>
          <w:sz w:val="24"/>
          <w:lang w:val="en-GB"/>
        </w:rPr>
        <w:t>s</w:t>
      </w:r>
      <w:r w:rsidRPr="003D1E5E">
        <w:rPr>
          <w:sz w:val="24"/>
          <w:lang w:val="en-GB"/>
        </w:rPr>
        <w:t xml:space="preserve"> (Liu </w:t>
      </w:r>
      <w:r w:rsidRPr="003D1E5E">
        <w:rPr>
          <w:i/>
          <w:sz w:val="24"/>
          <w:lang w:val="en-GB"/>
        </w:rPr>
        <w:t>et al.</w:t>
      </w:r>
      <w:r w:rsidR="00183323" w:rsidRPr="003D1E5E">
        <w:rPr>
          <w:sz w:val="24"/>
          <w:lang w:val="en-GB"/>
        </w:rPr>
        <w:t xml:space="preserve">, 2015b), </w:t>
      </w:r>
      <w:r w:rsidR="0008620A">
        <w:rPr>
          <w:sz w:val="24"/>
          <w:lang w:val="en-GB"/>
        </w:rPr>
        <w:t>including</w:t>
      </w:r>
      <w:r w:rsidR="00183323" w:rsidRPr="003D1E5E">
        <w:rPr>
          <w:sz w:val="24"/>
          <w:lang w:val="en-GB"/>
        </w:rPr>
        <w:t xml:space="preserve"> ineffective project evaluation </w:t>
      </w:r>
      <w:r w:rsidR="0008620A">
        <w:rPr>
          <w:sz w:val="24"/>
          <w:lang w:val="en-GB"/>
        </w:rPr>
        <w:t xml:space="preserve">which </w:t>
      </w:r>
      <w:r w:rsidR="00183323" w:rsidRPr="003D1E5E">
        <w:rPr>
          <w:sz w:val="24"/>
          <w:lang w:val="en-GB"/>
        </w:rPr>
        <w:t>has been reported in the literature (</w:t>
      </w:r>
      <w:r w:rsidR="00AF1484" w:rsidRPr="003D1E5E">
        <w:rPr>
          <w:sz w:val="24"/>
          <w:lang w:val="en-GB"/>
        </w:rPr>
        <w:t xml:space="preserve">e.g., </w:t>
      </w:r>
      <w:r w:rsidR="00183323" w:rsidRPr="003D1E5E">
        <w:rPr>
          <w:sz w:val="24"/>
          <w:lang w:val="en-GB"/>
        </w:rPr>
        <w:t xml:space="preserve">Yuan </w:t>
      </w:r>
      <w:r w:rsidR="00183323" w:rsidRPr="003D1E5E">
        <w:rPr>
          <w:i/>
          <w:sz w:val="24"/>
          <w:lang w:val="en-GB"/>
        </w:rPr>
        <w:t>et al.</w:t>
      </w:r>
      <w:r w:rsidR="00183323" w:rsidRPr="003D1E5E">
        <w:rPr>
          <w:sz w:val="24"/>
          <w:lang w:val="en-GB"/>
        </w:rPr>
        <w:t xml:space="preserve">, 2012; Liu </w:t>
      </w:r>
      <w:r w:rsidR="00183323" w:rsidRPr="003D1E5E">
        <w:rPr>
          <w:i/>
          <w:sz w:val="24"/>
          <w:lang w:val="en-GB"/>
        </w:rPr>
        <w:t>et al.</w:t>
      </w:r>
      <w:r w:rsidR="0054065A">
        <w:rPr>
          <w:sz w:val="24"/>
          <w:lang w:val="en-GB"/>
        </w:rPr>
        <w:t>, 2015a</w:t>
      </w:r>
      <w:r w:rsidR="00183323" w:rsidRPr="003D1E5E">
        <w:rPr>
          <w:sz w:val="24"/>
          <w:lang w:val="en-GB"/>
        </w:rPr>
        <w:t xml:space="preserve">; Love </w:t>
      </w:r>
      <w:r w:rsidR="00183323" w:rsidRPr="003D1E5E">
        <w:rPr>
          <w:i/>
          <w:sz w:val="24"/>
          <w:lang w:val="en-GB"/>
        </w:rPr>
        <w:t>et al.</w:t>
      </w:r>
      <w:r w:rsidR="00183323" w:rsidRPr="003D1E5E">
        <w:rPr>
          <w:sz w:val="24"/>
          <w:lang w:val="en-GB"/>
        </w:rPr>
        <w:t xml:space="preserve">, 2015). </w:t>
      </w:r>
      <w:r w:rsidR="00D12FBE">
        <w:rPr>
          <w:sz w:val="24"/>
          <w:lang w:val="en-GB"/>
        </w:rPr>
        <w:t>Essentially, p</w:t>
      </w:r>
      <w:r w:rsidR="00183323" w:rsidRPr="003D1E5E">
        <w:rPr>
          <w:sz w:val="24"/>
          <w:lang w:val="en-GB"/>
        </w:rPr>
        <w:t>erformance evaluation</w:t>
      </w:r>
      <w:r w:rsidR="0054065A">
        <w:rPr>
          <w:sz w:val="24"/>
          <w:lang w:val="en-GB"/>
        </w:rPr>
        <w:t xml:space="preserve"> </w:t>
      </w:r>
      <w:r w:rsidR="00183323" w:rsidRPr="003D1E5E">
        <w:rPr>
          <w:sz w:val="24"/>
          <w:lang w:val="en-GB"/>
        </w:rPr>
        <w:t xml:space="preserve">is critical to business success, </w:t>
      </w:r>
      <w:r w:rsidR="0046168D">
        <w:rPr>
          <w:sz w:val="24"/>
          <w:lang w:val="en-GB"/>
        </w:rPr>
        <w:t>particularly</w:t>
      </w:r>
      <w:r w:rsidR="00183323" w:rsidRPr="003D1E5E">
        <w:rPr>
          <w:sz w:val="24"/>
          <w:lang w:val="en-GB"/>
        </w:rPr>
        <w:t xml:space="preserve"> at </w:t>
      </w:r>
      <w:r w:rsidR="0046168D">
        <w:rPr>
          <w:sz w:val="24"/>
          <w:lang w:val="en-GB"/>
        </w:rPr>
        <w:t xml:space="preserve">the </w:t>
      </w:r>
      <w:r w:rsidR="00183323" w:rsidRPr="003D1E5E">
        <w:rPr>
          <w:sz w:val="24"/>
          <w:lang w:val="en-GB"/>
        </w:rPr>
        <w:t xml:space="preserve">corporate and project levels (Love and Holt, 2000; </w:t>
      </w:r>
      <w:proofErr w:type="spellStart"/>
      <w:r w:rsidR="00D26569" w:rsidRPr="00D26569">
        <w:rPr>
          <w:rFonts w:hint="eastAsia"/>
          <w:sz w:val="24"/>
          <w:lang w:val="en-GB"/>
        </w:rPr>
        <w:t>Kagioglou</w:t>
      </w:r>
      <w:proofErr w:type="spellEnd"/>
      <w:r w:rsidR="00D26569" w:rsidRPr="00D26569">
        <w:rPr>
          <w:sz w:val="24"/>
          <w:lang w:val="en-GB"/>
        </w:rPr>
        <w:t xml:space="preserve"> </w:t>
      </w:r>
      <w:r w:rsidR="00D26569" w:rsidRPr="00D26569">
        <w:rPr>
          <w:i/>
          <w:sz w:val="24"/>
          <w:lang w:val="en-GB"/>
        </w:rPr>
        <w:t>et al.</w:t>
      </w:r>
      <w:r w:rsidR="00D26569">
        <w:rPr>
          <w:sz w:val="24"/>
          <w:lang w:val="en-GB"/>
        </w:rPr>
        <w:t xml:space="preserve">, 2001; </w:t>
      </w:r>
      <w:r w:rsidR="00183323" w:rsidRPr="003D1E5E">
        <w:rPr>
          <w:sz w:val="24"/>
          <w:lang w:val="en-GB"/>
        </w:rPr>
        <w:t xml:space="preserve">Liu </w:t>
      </w:r>
      <w:r w:rsidR="00183323" w:rsidRPr="003D1E5E">
        <w:rPr>
          <w:i/>
          <w:sz w:val="24"/>
          <w:lang w:val="en-GB"/>
        </w:rPr>
        <w:t>et al.</w:t>
      </w:r>
      <w:r w:rsidR="00183323" w:rsidRPr="003D1E5E">
        <w:rPr>
          <w:sz w:val="24"/>
          <w:lang w:val="en-GB"/>
        </w:rPr>
        <w:t>, 2014</w:t>
      </w:r>
      <w:r w:rsidR="00A07528" w:rsidRPr="003D1E5E">
        <w:rPr>
          <w:sz w:val="24"/>
          <w:lang w:val="en-GB"/>
        </w:rPr>
        <w:t>; 2015c</w:t>
      </w:r>
      <w:r w:rsidR="00F178AE">
        <w:rPr>
          <w:sz w:val="24"/>
          <w:lang w:val="en-GB"/>
        </w:rPr>
        <w:t xml:space="preserve">). </w:t>
      </w:r>
      <w:r w:rsidR="008F7F50" w:rsidRPr="003D1E5E">
        <w:rPr>
          <w:sz w:val="24"/>
          <w:lang w:val="en-GB"/>
        </w:rPr>
        <w:t xml:space="preserve">Yuan </w:t>
      </w:r>
      <w:r w:rsidR="008F7F50" w:rsidRPr="003D1E5E">
        <w:rPr>
          <w:i/>
          <w:sz w:val="24"/>
          <w:lang w:val="en-GB"/>
        </w:rPr>
        <w:t>et al.</w:t>
      </w:r>
      <w:r w:rsidR="00D26569">
        <w:rPr>
          <w:sz w:val="24"/>
          <w:lang w:val="en-GB"/>
        </w:rPr>
        <w:t xml:space="preserve"> (2009</w:t>
      </w:r>
      <w:r w:rsidR="008F7F50" w:rsidRPr="003D1E5E">
        <w:rPr>
          <w:sz w:val="24"/>
          <w:lang w:val="en-GB"/>
        </w:rPr>
        <w:t xml:space="preserve">) </w:t>
      </w:r>
      <w:r w:rsidR="00AF1484" w:rsidRPr="003D1E5E">
        <w:rPr>
          <w:sz w:val="24"/>
          <w:lang w:val="en-GB"/>
        </w:rPr>
        <w:t>has suggested that the</w:t>
      </w:r>
      <w:r w:rsidR="009E7160" w:rsidRPr="003D1E5E">
        <w:rPr>
          <w:sz w:val="24"/>
          <w:lang w:val="en-GB"/>
        </w:rPr>
        <w:t xml:space="preserve"> absence of an effective </w:t>
      </w:r>
      <w:r w:rsidR="008F7F50" w:rsidRPr="003D1E5E">
        <w:rPr>
          <w:sz w:val="24"/>
          <w:lang w:val="en-GB"/>
        </w:rPr>
        <w:t>performance evaluation within PPPs act</w:t>
      </w:r>
      <w:r w:rsidR="00AF1484" w:rsidRPr="003D1E5E">
        <w:rPr>
          <w:sz w:val="24"/>
          <w:lang w:val="en-GB"/>
        </w:rPr>
        <w:t>s</w:t>
      </w:r>
      <w:r w:rsidR="008F7F50" w:rsidRPr="003D1E5E">
        <w:rPr>
          <w:sz w:val="24"/>
          <w:lang w:val="en-GB"/>
        </w:rPr>
        <w:t xml:space="preserve"> as a trigger for producing below optimum quality</w:t>
      </w:r>
      <w:r w:rsidR="00F178AE">
        <w:rPr>
          <w:sz w:val="24"/>
          <w:lang w:val="en-GB"/>
        </w:rPr>
        <w:t xml:space="preserve"> of the public services</w:t>
      </w:r>
      <w:r w:rsidR="00A24D66">
        <w:rPr>
          <w:sz w:val="24"/>
          <w:lang w:val="en-GB"/>
        </w:rPr>
        <w:t xml:space="preserve">. </w:t>
      </w:r>
      <w:r w:rsidR="0008620A">
        <w:rPr>
          <w:sz w:val="24"/>
          <w:lang w:val="en-GB"/>
        </w:rPr>
        <w:t>Despite this,</w:t>
      </w:r>
      <w:r w:rsidR="0046168D" w:rsidRPr="0046168D">
        <w:rPr>
          <w:sz w:val="24"/>
          <w:lang w:val="en-GB"/>
        </w:rPr>
        <w:t xml:space="preserve"> most procured PPP projects have not undergone a comprehensive evaluation in terms of what has been delivered (Hodge, 2005; Regan </w:t>
      </w:r>
      <w:r w:rsidR="0046168D" w:rsidRPr="0046168D">
        <w:rPr>
          <w:i/>
          <w:sz w:val="24"/>
          <w:lang w:val="en-GB"/>
        </w:rPr>
        <w:t>et al.</w:t>
      </w:r>
      <w:r w:rsidR="0046168D" w:rsidRPr="0046168D">
        <w:rPr>
          <w:sz w:val="24"/>
          <w:lang w:val="en-GB"/>
        </w:rPr>
        <w:t>, 2011).</w:t>
      </w:r>
      <w:r w:rsidR="00013C5F">
        <w:rPr>
          <w:sz w:val="24"/>
          <w:lang w:val="en-GB"/>
        </w:rPr>
        <w:t xml:space="preserve"> </w:t>
      </w:r>
      <w:r w:rsidR="00013C5F" w:rsidRPr="00013C5F">
        <w:rPr>
          <w:sz w:val="24"/>
          <w:lang w:val="en-GB"/>
        </w:rPr>
        <w:t xml:space="preserve">Further, the accountability of the government involved with PPPs </w:t>
      </w:r>
      <w:r w:rsidR="00B618F6" w:rsidRPr="00013C5F">
        <w:rPr>
          <w:sz w:val="24"/>
          <w:lang w:val="en-GB"/>
        </w:rPr>
        <w:t>ha</w:t>
      </w:r>
      <w:r w:rsidR="00B618F6">
        <w:rPr>
          <w:sz w:val="24"/>
          <w:lang w:val="en-GB"/>
        </w:rPr>
        <w:t>s</w:t>
      </w:r>
      <w:r w:rsidR="00013C5F" w:rsidRPr="00013C5F">
        <w:rPr>
          <w:sz w:val="24"/>
          <w:lang w:val="en-GB"/>
        </w:rPr>
        <w:t xml:space="preserve"> shifted </w:t>
      </w:r>
      <w:r w:rsidR="0003761E">
        <w:rPr>
          <w:sz w:val="24"/>
          <w:lang w:val="en-GB"/>
        </w:rPr>
        <w:t>to</w:t>
      </w:r>
      <w:r w:rsidR="00013C5F" w:rsidRPr="00013C5F">
        <w:rPr>
          <w:sz w:val="24"/>
          <w:lang w:val="en-GB"/>
        </w:rPr>
        <w:t xml:space="preserve"> enhancing </w:t>
      </w:r>
      <w:r w:rsidR="00013C5F">
        <w:rPr>
          <w:sz w:val="24"/>
          <w:lang w:val="en-GB"/>
        </w:rPr>
        <w:t xml:space="preserve">the </w:t>
      </w:r>
      <w:r w:rsidR="00013C5F" w:rsidRPr="00013C5F">
        <w:rPr>
          <w:sz w:val="24"/>
          <w:lang w:val="en-GB"/>
        </w:rPr>
        <w:t>effectiveness of service quality and efficiency o</w:t>
      </w:r>
      <w:r w:rsidR="0003761E">
        <w:rPr>
          <w:sz w:val="24"/>
          <w:lang w:val="en-GB"/>
        </w:rPr>
        <w:t>f public resources</w:t>
      </w:r>
      <w:r w:rsidR="005462ED">
        <w:rPr>
          <w:sz w:val="24"/>
          <w:lang w:val="en-GB"/>
        </w:rPr>
        <w:t xml:space="preserve">. This </w:t>
      </w:r>
      <w:r w:rsidR="0003761E">
        <w:rPr>
          <w:sz w:val="24"/>
          <w:lang w:val="en-GB"/>
        </w:rPr>
        <w:t>has resulted</w:t>
      </w:r>
      <w:r w:rsidR="00013C5F" w:rsidRPr="00013C5F">
        <w:rPr>
          <w:sz w:val="24"/>
          <w:lang w:val="en-GB"/>
        </w:rPr>
        <w:t xml:space="preserve"> in increasing </w:t>
      </w:r>
      <w:r w:rsidR="0003761E">
        <w:rPr>
          <w:sz w:val="24"/>
          <w:lang w:val="en-GB"/>
        </w:rPr>
        <w:t>demand</w:t>
      </w:r>
      <w:r w:rsidR="00013C5F" w:rsidRPr="00013C5F">
        <w:rPr>
          <w:sz w:val="24"/>
          <w:lang w:val="en-GB"/>
        </w:rPr>
        <w:t xml:space="preserve"> for a </w:t>
      </w:r>
      <w:r w:rsidR="00013C5F">
        <w:rPr>
          <w:sz w:val="24"/>
          <w:lang w:val="en-GB"/>
        </w:rPr>
        <w:t xml:space="preserve">more </w:t>
      </w:r>
      <w:r w:rsidR="0003761E">
        <w:rPr>
          <w:sz w:val="24"/>
          <w:lang w:val="en-GB"/>
        </w:rPr>
        <w:t>robust evaluation</w:t>
      </w:r>
      <w:r w:rsidR="00013C5F">
        <w:rPr>
          <w:sz w:val="24"/>
          <w:lang w:val="en-GB"/>
        </w:rPr>
        <w:t xml:space="preserve"> as a governance tool </w:t>
      </w:r>
      <w:r w:rsidR="0008620A">
        <w:rPr>
          <w:sz w:val="24"/>
          <w:lang w:val="en-GB"/>
        </w:rPr>
        <w:t>for</w:t>
      </w:r>
      <w:r w:rsidR="00013C5F">
        <w:rPr>
          <w:sz w:val="24"/>
          <w:lang w:val="en-GB"/>
        </w:rPr>
        <w:t xml:space="preserve"> the projects (Wu </w:t>
      </w:r>
      <w:r w:rsidR="00013C5F" w:rsidRPr="00013C5F">
        <w:rPr>
          <w:i/>
          <w:sz w:val="24"/>
          <w:lang w:val="en-GB"/>
        </w:rPr>
        <w:t>et al.</w:t>
      </w:r>
      <w:r w:rsidR="00013C5F">
        <w:rPr>
          <w:sz w:val="24"/>
          <w:lang w:val="en-GB"/>
        </w:rPr>
        <w:t>, 2016).</w:t>
      </w:r>
    </w:p>
    <w:p w14:paraId="6A0CD190" w14:textId="77777777" w:rsidR="00A24D66" w:rsidRDefault="00A24D66" w:rsidP="009A3DAA">
      <w:pPr>
        <w:spacing w:line="480" w:lineRule="auto"/>
        <w:rPr>
          <w:sz w:val="24"/>
          <w:lang w:val="en-GB"/>
        </w:rPr>
      </w:pPr>
    </w:p>
    <w:p w14:paraId="08D07E99" w14:textId="77777777" w:rsidR="0054065A" w:rsidRDefault="005462ED" w:rsidP="003112FB">
      <w:pPr>
        <w:spacing w:line="480" w:lineRule="auto"/>
        <w:rPr>
          <w:sz w:val="24"/>
          <w:lang w:val="en-GB"/>
        </w:rPr>
      </w:pPr>
      <w:r>
        <w:rPr>
          <w:sz w:val="24"/>
          <w:lang w:val="en-GB"/>
        </w:rPr>
        <w:lastRenderedPageBreak/>
        <w:t>T</w:t>
      </w:r>
      <w:r w:rsidR="0054065A">
        <w:rPr>
          <w:sz w:val="24"/>
          <w:lang w:val="en-GB"/>
        </w:rPr>
        <w:t xml:space="preserve">his paper </w:t>
      </w:r>
      <w:r w:rsidR="00CB34BF">
        <w:rPr>
          <w:sz w:val="24"/>
          <w:lang w:val="en-GB"/>
        </w:rPr>
        <w:t xml:space="preserve">examines the </w:t>
      </w:r>
      <w:r w:rsidR="00372794">
        <w:rPr>
          <w:sz w:val="24"/>
          <w:lang w:val="en-GB"/>
        </w:rPr>
        <w:t>‘</w:t>
      </w:r>
      <w:r w:rsidR="00CB34BF">
        <w:rPr>
          <w:sz w:val="24"/>
          <w:lang w:val="en-GB"/>
        </w:rPr>
        <w:t>practice</w:t>
      </w:r>
      <w:r w:rsidR="00372794">
        <w:rPr>
          <w:sz w:val="24"/>
          <w:lang w:val="en-GB"/>
        </w:rPr>
        <w:t>’</w:t>
      </w:r>
      <w:r w:rsidR="00D46A2A">
        <w:rPr>
          <w:sz w:val="24"/>
          <w:lang w:val="en-GB"/>
        </w:rPr>
        <w:t xml:space="preserve"> </w:t>
      </w:r>
      <w:r w:rsidR="001F6452" w:rsidRPr="000B7A2D">
        <w:rPr>
          <w:color w:val="000000" w:themeColor="text1"/>
          <w:sz w:val="24"/>
          <w:szCs w:val="22"/>
        </w:rPr>
        <w:t>(i.e., actual activity, events or work)</w:t>
      </w:r>
      <w:r w:rsidR="00372794" w:rsidRPr="003D1E5E">
        <w:rPr>
          <w:sz w:val="24"/>
          <w:lang w:val="en-GB"/>
        </w:rPr>
        <w:t xml:space="preserve"> </w:t>
      </w:r>
      <w:r w:rsidR="0054065A">
        <w:rPr>
          <w:sz w:val="24"/>
          <w:lang w:val="en-GB"/>
        </w:rPr>
        <w:t>of</w:t>
      </w:r>
      <w:r w:rsidR="00337B74" w:rsidRPr="003D1E5E">
        <w:rPr>
          <w:sz w:val="24"/>
          <w:lang w:val="en-GB"/>
        </w:rPr>
        <w:t xml:space="preserve"> performance evaluation </w:t>
      </w:r>
      <w:r w:rsidR="001F6452">
        <w:rPr>
          <w:sz w:val="24"/>
          <w:lang w:val="en-GB"/>
        </w:rPr>
        <w:t>for two social infrastructure</w:t>
      </w:r>
      <w:r w:rsidR="00662B31">
        <w:rPr>
          <w:sz w:val="24"/>
          <w:lang w:val="en-GB"/>
        </w:rPr>
        <w:t xml:space="preserve"> projects</w:t>
      </w:r>
      <w:r w:rsidR="001F6452">
        <w:rPr>
          <w:sz w:val="24"/>
          <w:lang w:val="en-GB"/>
        </w:rPr>
        <w:t xml:space="preserve"> procured using a PPP: (1) hospital; and (2) prison</w:t>
      </w:r>
      <w:r w:rsidR="00337B74" w:rsidRPr="003D1E5E">
        <w:rPr>
          <w:sz w:val="24"/>
          <w:lang w:val="en-GB"/>
        </w:rPr>
        <w:t xml:space="preserve">. </w:t>
      </w:r>
      <w:r w:rsidR="007C51F8" w:rsidRPr="003D1E5E">
        <w:rPr>
          <w:sz w:val="24"/>
          <w:lang w:val="en-GB"/>
        </w:rPr>
        <w:t>In conjunction with the extant literature,</w:t>
      </w:r>
      <w:r w:rsidR="00337B74" w:rsidRPr="003D1E5E">
        <w:rPr>
          <w:sz w:val="24"/>
          <w:lang w:val="en-GB"/>
        </w:rPr>
        <w:t xml:space="preserve"> </w:t>
      </w:r>
      <w:r w:rsidR="007C51F8" w:rsidRPr="003D1E5E">
        <w:rPr>
          <w:sz w:val="24"/>
          <w:lang w:val="en-GB"/>
        </w:rPr>
        <w:t>t</w:t>
      </w:r>
      <w:r w:rsidR="00747045" w:rsidRPr="003D1E5E">
        <w:rPr>
          <w:sz w:val="24"/>
          <w:lang w:val="en-GB"/>
        </w:rPr>
        <w:t xml:space="preserve">he findings </w:t>
      </w:r>
      <w:r w:rsidR="00811FC3" w:rsidRPr="003D1E5E">
        <w:rPr>
          <w:sz w:val="24"/>
          <w:lang w:val="en-GB"/>
        </w:rPr>
        <w:t xml:space="preserve">are used to </w:t>
      </w:r>
      <w:r w:rsidR="00F00340" w:rsidRPr="003D1E5E">
        <w:rPr>
          <w:sz w:val="24"/>
          <w:lang w:val="en-GB"/>
        </w:rPr>
        <w:t xml:space="preserve">interpret </w:t>
      </w:r>
      <w:r w:rsidR="0054065A">
        <w:rPr>
          <w:sz w:val="24"/>
          <w:lang w:val="en-GB"/>
        </w:rPr>
        <w:t>PPP</w:t>
      </w:r>
      <w:r w:rsidR="00F00340" w:rsidRPr="003D1E5E">
        <w:rPr>
          <w:sz w:val="24"/>
          <w:lang w:val="en-GB"/>
        </w:rPr>
        <w:t xml:space="preserve"> performance evaluation and </w:t>
      </w:r>
      <w:r w:rsidR="0054065A">
        <w:rPr>
          <w:sz w:val="24"/>
          <w:lang w:val="en-GB"/>
        </w:rPr>
        <w:t xml:space="preserve">then </w:t>
      </w:r>
      <w:r w:rsidR="00FE1630" w:rsidRPr="003D1E5E">
        <w:rPr>
          <w:sz w:val="24"/>
          <w:lang w:val="en-GB"/>
        </w:rPr>
        <w:t xml:space="preserve">adapt and develop </w:t>
      </w:r>
      <w:r w:rsidR="00811FC3" w:rsidRPr="003D1E5E">
        <w:rPr>
          <w:sz w:val="24"/>
          <w:lang w:val="en-GB"/>
        </w:rPr>
        <w:t>a life-</w:t>
      </w:r>
      <w:r w:rsidR="000B7375" w:rsidRPr="003D1E5E">
        <w:rPr>
          <w:sz w:val="24"/>
          <w:lang w:val="en-GB"/>
        </w:rPr>
        <w:t xml:space="preserve">cycle </w:t>
      </w:r>
      <w:r w:rsidR="00811FC3" w:rsidRPr="00662B31">
        <w:rPr>
          <w:i/>
          <w:sz w:val="24"/>
          <w:lang w:val="en-GB"/>
        </w:rPr>
        <w:t>Performance P</w:t>
      </w:r>
      <w:r w:rsidR="000B7375" w:rsidRPr="00662B31">
        <w:rPr>
          <w:i/>
          <w:sz w:val="24"/>
          <w:lang w:val="en-GB"/>
        </w:rPr>
        <w:t>rism</w:t>
      </w:r>
      <w:r w:rsidR="000B7375" w:rsidRPr="003D1E5E">
        <w:rPr>
          <w:sz w:val="24"/>
          <w:lang w:val="en-GB"/>
        </w:rPr>
        <w:t xml:space="preserve"> </w:t>
      </w:r>
      <w:r w:rsidR="000D6E1C">
        <w:rPr>
          <w:sz w:val="24"/>
          <w:lang w:val="en-GB"/>
        </w:rPr>
        <w:t>valuable</w:t>
      </w:r>
      <w:r w:rsidR="0054065A">
        <w:rPr>
          <w:sz w:val="24"/>
          <w:lang w:val="en-GB"/>
        </w:rPr>
        <w:t xml:space="preserve"> for </w:t>
      </w:r>
      <w:r w:rsidR="003752D6" w:rsidRPr="003D1E5E">
        <w:rPr>
          <w:sz w:val="24"/>
          <w:lang w:val="en-GB"/>
        </w:rPr>
        <w:t>the public</w:t>
      </w:r>
      <w:r w:rsidR="008410B0" w:rsidRPr="003D1E5E">
        <w:rPr>
          <w:sz w:val="24"/>
          <w:lang w:val="en-GB"/>
        </w:rPr>
        <w:t xml:space="preserve"> </w:t>
      </w:r>
      <w:r w:rsidR="004C3B5D">
        <w:rPr>
          <w:sz w:val="24"/>
          <w:lang w:val="en-GB"/>
        </w:rPr>
        <w:t xml:space="preserve">sector </w:t>
      </w:r>
      <w:r w:rsidR="003752D6" w:rsidRPr="003D1E5E">
        <w:rPr>
          <w:sz w:val="24"/>
          <w:lang w:val="en-GB"/>
        </w:rPr>
        <w:t xml:space="preserve">to </w:t>
      </w:r>
      <w:r w:rsidR="00FE1630" w:rsidRPr="003D1E5E">
        <w:rPr>
          <w:sz w:val="24"/>
          <w:lang w:val="en-GB"/>
        </w:rPr>
        <w:t xml:space="preserve">improve the projects’ evaluations and </w:t>
      </w:r>
      <w:r w:rsidR="004C3B5D">
        <w:rPr>
          <w:sz w:val="24"/>
          <w:lang w:val="en-GB"/>
        </w:rPr>
        <w:t>ensure Value for M</w:t>
      </w:r>
      <w:r w:rsidR="003752D6" w:rsidRPr="003D1E5E">
        <w:rPr>
          <w:sz w:val="24"/>
          <w:lang w:val="en-GB"/>
        </w:rPr>
        <w:t>oney (</w:t>
      </w:r>
      <w:proofErr w:type="spellStart"/>
      <w:r w:rsidR="003752D6" w:rsidRPr="003D1E5E">
        <w:rPr>
          <w:sz w:val="24"/>
          <w:lang w:val="en-GB"/>
        </w:rPr>
        <w:t>V</w:t>
      </w:r>
      <w:r w:rsidR="003752D6" w:rsidRPr="003D1E5E">
        <w:rPr>
          <w:i/>
          <w:sz w:val="24"/>
          <w:lang w:val="en-GB"/>
        </w:rPr>
        <w:t>f</w:t>
      </w:r>
      <w:r w:rsidR="003752D6" w:rsidRPr="003D1E5E">
        <w:rPr>
          <w:sz w:val="24"/>
          <w:lang w:val="en-GB"/>
        </w:rPr>
        <w:t>M</w:t>
      </w:r>
      <w:proofErr w:type="spellEnd"/>
      <w:r w:rsidR="003752D6" w:rsidRPr="003D1E5E">
        <w:rPr>
          <w:sz w:val="24"/>
          <w:lang w:val="en-GB"/>
        </w:rPr>
        <w:t xml:space="preserve">) </w:t>
      </w:r>
      <w:r w:rsidR="004C3B5D">
        <w:rPr>
          <w:sz w:val="24"/>
          <w:lang w:val="en-GB"/>
        </w:rPr>
        <w:t>is delivered for an asset from ‘</w:t>
      </w:r>
      <w:r w:rsidR="003752D6" w:rsidRPr="003D1E5E">
        <w:rPr>
          <w:sz w:val="24"/>
          <w:lang w:val="en-GB"/>
        </w:rPr>
        <w:t>cradle’ to ‘grave’.</w:t>
      </w:r>
    </w:p>
    <w:p w14:paraId="41955BAB" w14:textId="77777777" w:rsidR="00D26569" w:rsidRDefault="00D26569" w:rsidP="003112FB">
      <w:pPr>
        <w:spacing w:line="480" w:lineRule="auto"/>
        <w:rPr>
          <w:sz w:val="24"/>
          <w:lang w:val="en-GB"/>
        </w:rPr>
      </w:pPr>
    </w:p>
    <w:p w14:paraId="19EA8FC8" w14:textId="77777777" w:rsidR="00637EC9" w:rsidRPr="003D1E5E" w:rsidRDefault="007B0A75" w:rsidP="004C1F77">
      <w:pPr>
        <w:spacing w:line="480" w:lineRule="auto"/>
        <w:rPr>
          <w:rFonts w:ascii="Arial" w:hAnsi="Arial" w:cs="Arial"/>
          <w:i/>
          <w:sz w:val="24"/>
          <w:lang w:val="en-GB"/>
        </w:rPr>
      </w:pPr>
      <w:r w:rsidRPr="003D1E5E">
        <w:rPr>
          <w:rFonts w:ascii="Arial" w:hAnsi="Arial" w:cs="Arial"/>
          <w:b/>
          <w:sz w:val="24"/>
          <w:lang w:val="en-GB"/>
        </w:rPr>
        <w:t>P</w:t>
      </w:r>
      <w:r w:rsidR="0047719D">
        <w:rPr>
          <w:rFonts w:ascii="Arial" w:hAnsi="Arial" w:cs="Arial"/>
          <w:b/>
          <w:sz w:val="24"/>
          <w:lang w:val="en-GB"/>
        </w:rPr>
        <w:t>ublic-</w:t>
      </w:r>
      <w:r w:rsidRPr="003D1E5E">
        <w:rPr>
          <w:rFonts w:ascii="Arial" w:hAnsi="Arial" w:cs="Arial"/>
          <w:b/>
          <w:sz w:val="24"/>
          <w:lang w:val="en-GB"/>
        </w:rPr>
        <w:t>P</w:t>
      </w:r>
      <w:r w:rsidR="000B7375" w:rsidRPr="003D1E5E">
        <w:rPr>
          <w:rFonts w:ascii="Arial" w:hAnsi="Arial" w:cs="Arial"/>
          <w:b/>
          <w:sz w:val="24"/>
          <w:lang w:val="en-GB"/>
        </w:rPr>
        <w:t xml:space="preserve">rivate </w:t>
      </w:r>
      <w:r w:rsidRPr="003D1E5E">
        <w:rPr>
          <w:rFonts w:ascii="Arial" w:hAnsi="Arial" w:cs="Arial"/>
          <w:b/>
          <w:sz w:val="24"/>
          <w:lang w:val="en-GB"/>
        </w:rPr>
        <w:t>P</w:t>
      </w:r>
      <w:r w:rsidR="000B7375" w:rsidRPr="003D1E5E">
        <w:rPr>
          <w:rFonts w:ascii="Arial" w:hAnsi="Arial" w:cs="Arial"/>
          <w:b/>
          <w:sz w:val="24"/>
          <w:lang w:val="en-GB"/>
        </w:rPr>
        <w:t>artnership</w:t>
      </w:r>
      <w:r w:rsidRPr="003D1E5E">
        <w:rPr>
          <w:rFonts w:ascii="Arial" w:hAnsi="Arial" w:cs="Arial"/>
          <w:b/>
          <w:sz w:val="24"/>
          <w:lang w:val="en-GB"/>
        </w:rPr>
        <w:t>s</w:t>
      </w:r>
      <w:r w:rsidR="00815D1A" w:rsidRPr="003D1E5E">
        <w:rPr>
          <w:rFonts w:ascii="Arial" w:hAnsi="Arial" w:cs="Arial"/>
          <w:b/>
          <w:sz w:val="24"/>
          <w:lang w:val="en-GB"/>
        </w:rPr>
        <w:t xml:space="preserve"> and Performance </w:t>
      </w:r>
      <w:r w:rsidR="0003761E">
        <w:rPr>
          <w:rFonts w:ascii="Arial" w:hAnsi="Arial" w:cs="Arial"/>
          <w:b/>
          <w:sz w:val="24"/>
          <w:lang w:val="en-GB"/>
        </w:rPr>
        <w:t>Evaluation</w:t>
      </w:r>
    </w:p>
    <w:p w14:paraId="569AAB45" w14:textId="77777777" w:rsidR="00D234B7" w:rsidRDefault="00747045" w:rsidP="00EA3537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 xml:space="preserve">There is no universally accepted definition </w:t>
      </w:r>
      <w:r w:rsidR="003752D6" w:rsidRPr="003D1E5E">
        <w:rPr>
          <w:sz w:val="24"/>
          <w:lang w:val="en-GB"/>
        </w:rPr>
        <w:t>for PPP</w:t>
      </w:r>
      <w:r w:rsidR="00A05B4E">
        <w:rPr>
          <w:sz w:val="24"/>
          <w:lang w:val="en-GB"/>
        </w:rPr>
        <w:t>s</w:t>
      </w:r>
      <w:r w:rsidR="003752D6" w:rsidRPr="003D1E5E">
        <w:rPr>
          <w:sz w:val="24"/>
          <w:lang w:val="en-GB"/>
        </w:rPr>
        <w:t xml:space="preserve">. </w:t>
      </w:r>
      <w:r w:rsidR="00B752A6" w:rsidRPr="003D1E5E">
        <w:rPr>
          <w:sz w:val="24"/>
          <w:lang w:val="en-GB"/>
        </w:rPr>
        <w:t xml:space="preserve">The European Investment Bank (EIB) (2004) defines </w:t>
      </w:r>
      <w:r w:rsidR="003752D6" w:rsidRPr="003D1E5E">
        <w:rPr>
          <w:sz w:val="24"/>
          <w:lang w:val="en-GB"/>
        </w:rPr>
        <w:t>PPPs as</w:t>
      </w:r>
      <w:r w:rsidR="00B752A6" w:rsidRPr="003D1E5E">
        <w:rPr>
          <w:sz w:val="24"/>
          <w:lang w:val="en-GB"/>
        </w:rPr>
        <w:t xml:space="preserve"> “the relationships formed between private sector and public bodies often with </w:t>
      </w:r>
      <w:r w:rsidR="004C3B5D">
        <w:rPr>
          <w:sz w:val="24"/>
          <w:lang w:val="en-GB"/>
        </w:rPr>
        <w:t>an</w:t>
      </w:r>
      <w:r w:rsidR="00B752A6" w:rsidRPr="003D1E5E">
        <w:rPr>
          <w:sz w:val="24"/>
          <w:lang w:val="en-GB"/>
        </w:rPr>
        <w:t xml:space="preserve"> aim of introducing private sector resources and/or expertise to provide and deliver public assets and services (p.2).” </w:t>
      </w:r>
      <w:r w:rsidR="00EF1C3E" w:rsidRPr="003D1E5E">
        <w:rPr>
          <w:sz w:val="24"/>
          <w:lang w:val="en-AU"/>
        </w:rPr>
        <w:t>Notably</w:t>
      </w:r>
      <w:r w:rsidR="00E024FE" w:rsidRPr="003D1E5E">
        <w:rPr>
          <w:sz w:val="24"/>
          <w:lang w:val="en-AU"/>
        </w:rPr>
        <w:t>,</w:t>
      </w:r>
      <w:r w:rsidR="004E7691">
        <w:rPr>
          <w:sz w:val="24"/>
          <w:lang w:val="en-AU"/>
        </w:rPr>
        <w:t xml:space="preserve"> the</w:t>
      </w:r>
      <w:r w:rsidR="00E024FE" w:rsidRPr="003D1E5E">
        <w:rPr>
          <w:sz w:val="24"/>
          <w:lang w:val="en-AU"/>
        </w:rPr>
        <w:t xml:space="preserve"> </w:t>
      </w:r>
      <w:r w:rsidR="00BE4940" w:rsidRPr="003D1E5E">
        <w:rPr>
          <w:sz w:val="24"/>
          <w:lang w:val="en-AU"/>
        </w:rPr>
        <w:t>European Commission (2003) state</w:t>
      </w:r>
      <w:r w:rsidR="008410B0" w:rsidRPr="003D1E5E">
        <w:rPr>
          <w:sz w:val="24"/>
          <w:lang w:val="en-AU"/>
        </w:rPr>
        <w:t>s</w:t>
      </w:r>
      <w:r w:rsidR="00BE4940" w:rsidRPr="003D1E5E">
        <w:rPr>
          <w:sz w:val="24"/>
          <w:lang w:val="en-AU"/>
        </w:rPr>
        <w:t xml:space="preserve"> that </w:t>
      </w:r>
      <w:r w:rsidR="00E024FE" w:rsidRPr="003D1E5E">
        <w:rPr>
          <w:sz w:val="24"/>
          <w:lang w:val="en-AU"/>
        </w:rPr>
        <w:t>governments</w:t>
      </w:r>
      <w:r w:rsidR="009E7160" w:rsidRPr="003D1E5E">
        <w:rPr>
          <w:sz w:val="24"/>
          <w:lang w:val="en-AU"/>
        </w:rPr>
        <w:t xml:space="preserve"> </w:t>
      </w:r>
      <w:r w:rsidR="00E024FE" w:rsidRPr="003D1E5E">
        <w:rPr>
          <w:sz w:val="24"/>
          <w:lang w:val="en-AU"/>
        </w:rPr>
        <w:t xml:space="preserve">embark on PPPs </w:t>
      </w:r>
      <w:r w:rsidR="005462ED">
        <w:rPr>
          <w:sz w:val="24"/>
          <w:lang w:val="en-AU"/>
        </w:rPr>
        <w:t>to</w:t>
      </w:r>
      <w:r w:rsidR="00D234B7">
        <w:rPr>
          <w:sz w:val="24"/>
          <w:lang w:val="en-GB"/>
        </w:rPr>
        <w:t>:</w:t>
      </w:r>
    </w:p>
    <w:p w14:paraId="06A95814" w14:textId="77777777" w:rsidR="00D234B7" w:rsidRDefault="00EA3537" w:rsidP="00EA3537">
      <w:pPr>
        <w:spacing w:line="480" w:lineRule="auto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14:paraId="29A49ADC" w14:textId="77777777" w:rsidR="00D234B7" w:rsidRDefault="00EA3537" w:rsidP="005462ED">
      <w:pPr>
        <w:pStyle w:val="ListParagraph"/>
        <w:numPr>
          <w:ilvl w:val="0"/>
          <w:numId w:val="46"/>
        </w:numPr>
        <w:spacing w:line="480" w:lineRule="auto"/>
        <w:ind w:left="426" w:hanging="426"/>
        <w:rPr>
          <w:sz w:val="24"/>
          <w:lang w:val="en-GB"/>
        </w:rPr>
      </w:pPr>
      <w:r w:rsidRPr="00D234B7">
        <w:rPr>
          <w:sz w:val="24"/>
          <w:lang w:val="en-GB"/>
        </w:rPr>
        <w:t>accelerate</w:t>
      </w:r>
      <w:r w:rsidR="00272D1C">
        <w:rPr>
          <w:sz w:val="24"/>
          <w:lang w:val="en-GB"/>
        </w:rPr>
        <w:t xml:space="preserve"> the provision of</w:t>
      </w:r>
      <w:r w:rsidRPr="00D234B7">
        <w:rPr>
          <w:sz w:val="24"/>
          <w:lang w:val="en-GB"/>
        </w:rPr>
        <w:t xml:space="preserve"> infrastructure by allowing the public sector to translate capital expenditure into a flow of on-going service payments; </w:t>
      </w:r>
    </w:p>
    <w:p w14:paraId="2AD5A81D" w14:textId="77777777" w:rsidR="00D234B7" w:rsidRDefault="005462ED" w:rsidP="005462ED">
      <w:pPr>
        <w:pStyle w:val="ListParagraph"/>
        <w:numPr>
          <w:ilvl w:val="0"/>
          <w:numId w:val="46"/>
        </w:numPr>
        <w:spacing w:line="480" w:lineRule="auto"/>
        <w:ind w:left="426" w:hanging="426"/>
        <w:rPr>
          <w:sz w:val="24"/>
          <w:lang w:val="en-GB"/>
        </w:rPr>
      </w:pPr>
      <w:r>
        <w:rPr>
          <w:sz w:val="24"/>
          <w:lang w:val="en-GB"/>
        </w:rPr>
        <w:t xml:space="preserve">ensure </w:t>
      </w:r>
      <w:r w:rsidR="00B10AA5" w:rsidRPr="00D234B7">
        <w:rPr>
          <w:sz w:val="24"/>
          <w:lang w:val="en-GB"/>
        </w:rPr>
        <w:t xml:space="preserve">timely project implementation </w:t>
      </w:r>
      <w:r w:rsidR="00272D1C">
        <w:rPr>
          <w:sz w:val="24"/>
          <w:lang w:val="en-GB"/>
        </w:rPr>
        <w:t>by allocating responsibility for</w:t>
      </w:r>
      <w:r w:rsidR="00B10AA5" w:rsidRPr="00D234B7">
        <w:rPr>
          <w:sz w:val="24"/>
          <w:lang w:val="en-GB"/>
        </w:rPr>
        <w:t xml:space="preserve"> design and construction </w:t>
      </w:r>
      <w:r w:rsidR="00272D1C">
        <w:rPr>
          <w:sz w:val="24"/>
          <w:lang w:val="en-GB"/>
        </w:rPr>
        <w:t>to be undertaken by the</w:t>
      </w:r>
      <w:r w:rsidR="00B10AA5" w:rsidRPr="00D234B7">
        <w:rPr>
          <w:sz w:val="24"/>
          <w:lang w:val="en-GB"/>
        </w:rPr>
        <w:t xml:space="preserve"> private</w:t>
      </w:r>
      <w:r w:rsidR="00D234B7">
        <w:rPr>
          <w:sz w:val="24"/>
          <w:lang w:val="en-GB"/>
        </w:rPr>
        <w:t xml:space="preserve"> sector;</w:t>
      </w:r>
      <w:r w:rsidR="00EA3537" w:rsidRPr="00D234B7">
        <w:rPr>
          <w:sz w:val="24"/>
          <w:lang w:val="en-GB"/>
        </w:rPr>
        <w:t xml:space="preserve"> </w:t>
      </w:r>
    </w:p>
    <w:p w14:paraId="619F313B" w14:textId="77777777" w:rsidR="00D234B7" w:rsidRDefault="00B10AA5" w:rsidP="005462ED">
      <w:pPr>
        <w:pStyle w:val="ListParagraph"/>
        <w:numPr>
          <w:ilvl w:val="0"/>
          <w:numId w:val="46"/>
        </w:numPr>
        <w:spacing w:line="480" w:lineRule="auto"/>
        <w:ind w:left="426" w:hanging="426"/>
        <w:rPr>
          <w:sz w:val="24"/>
          <w:lang w:val="en-GB"/>
        </w:rPr>
      </w:pPr>
      <w:r w:rsidRPr="00D234B7">
        <w:rPr>
          <w:sz w:val="24"/>
          <w:lang w:val="en-GB"/>
        </w:rPr>
        <w:t xml:space="preserve">reduce whole life cost and </w:t>
      </w:r>
      <w:r w:rsidR="00272D1C">
        <w:rPr>
          <w:sz w:val="24"/>
          <w:lang w:val="en-GB"/>
        </w:rPr>
        <w:t>provide</w:t>
      </w:r>
      <w:r w:rsidRPr="00D234B7">
        <w:rPr>
          <w:sz w:val="24"/>
          <w:lang w:val="en-GB"/>
        </w:rPr>
        <w:t xml:space="preserve"> incentives </w:t>
      </w:r>
      <w:r w:rsidR="00272D1C">
        <w:rPr>
          <w:sz w:val="24"/>
          <w:lang w:val="en-GB"/>
        </w:rPr>
        <w:t>to the</w:t>
      </w:r>
      <w:r w:rsidR="00272D1C" w:rsidRPr="00D234B7">
        <w:rPr>
          <w:sz w:val="24"/>
          <w:lang w:val="en-GB"/>
        </w:rPr>
        <w:t xml:space="preserve"> </w:t>
      </w:r>
      <w:r w:rsidRPr="00D234B7">
        <w:rPr>
          <w:sz w:val="24"/>
          <w:lang w:val="en-GB"/>
        </w:rPr>
        <w:t>private sector to minimise costs and improve</w:t>
      </w:r>
      <w:r w:rsidR="00272D1C">
        <w:rPr>
          <w:sz w:val="24"/>
          <w:lang w:val="en-GB"/>
        </w:rPr>
        <w:t xml:space="preserve"> the</w:t>
      </w:r>
      <w:r w:rsidRPr="00D234B7">
        <w:rPr>
          <w:sz w:val="24"/>
          <w:lang w:val="en-GB"/>
        </w:rPr>
        <w:t xml:space="preserve"> manage</w:t>
      </w:r>
      <w:r w:rsidR="002B4E76" w:rsidRPr="00D234B7">
        <w:rPr>
          <w:sz w:val="24"/>
          <w:lang w:val="en-GB"/>
        </w:rPr>
        <w:t xml:space="preserve">ment </w:t>
      </w:r>
      <w:r w:rsidR="00272D1C">
        <w:rPr>
          <w:sz w:val="24"/>
          <w:lang w:val="en-GB"/>
        </w:rPr>
        <w:t xml:space="preserve">of </w:t>
      </w:r>
      <w:r w:rsidR="00D234B7">
        <w:rPr>
          <w:sz w:val="24"/>
          <w:lang w:val="en-GB"/>
        </w:rPr>
        <w:t>a project’s life-cycle;</w:t>
      </w:r>
      <w:r w:rsidR="00EA3537" w:rsidRPr="00D234B7">
        <w:rPr>
          <w:sz w:val="24"/>
          <w:lang w:val="en-GB"/>
        </w:rPr>
        <w:t xml:space="preserve"> </w:t>
      </w:r>
    </w:p>
    <w:p w14:paraId="33309653" w14:textId="77777777" w:rsidR="00D234B7" w:rsidRDefault="00B10AA5" w:rsidP="005462ED">
      <w:pPr>
        <w:pStyle w:val="ListParagraph"/>
        <w:numPr>
          <w:ilvl w:val="0"/>
          <w:numId w:val="46"/>
        </w:numPr>
        <w:spacing w:line="480" w:lineRule="auto"/>
        <w:ind w:left="426" w:hanging="426"/>
        <w:rPr>
          <w:sz w:val="24"/>
          <w:lang w:val="en-GB"/>
        </w:rPr>
      </w:pPr>
      <w:r w:rsidRPr="00D234B7">
        <w:rPr>
          <w:sz w:val="24"/>
          <w:lang w:val="en-GB"/>
        </w:rPr>
        <w:t xml:space="preserve">reduce government risk exposure by transferring to the private </w:t>
      </w:r>
      <w:r w:rsidR="00D234B7">
        <w:rPr>
          <w:sz w:val="24"/>
          <w:lang w:val="en-GB"/>
        </w:rPr>
        <w:t>sector;</w:t>
      </w:r>
    </w:p>
    <w:p w14:paraId="6A03CB96" w14:textId="77777777" w:rsidR="00D234B7" w:rsidRDefault="00B10AA5" w:rsidP="005462ED">
      <w:pPr>
        <w:pStyle w:val="ListParagraph"/>
        <w:numPr>
          <w:ilvl w:val="0"/>
          <w:numId w:val="46"/>
        </w:numPr>
        <w:spacing w:line="480" w:lineRule="auto"/>
        <w:ind w:left="426" w:hanging="426"/>
        <w:rPr>
          <w:sz w:val="24"/>
          <w:lang w:val="en-GB"/>
        </w:rPr>
      </w:pPr>
      <w:r w:rsidRPr="00D234B7">
        <w:rPr>
          <w:sz w:val="24"/>
          <w:lang w:val="en-GB"/>
        </w:rPr>
        <w:t>improve serv</w:t>
      </w:r>
      <w:r w:rsidR="004C69B0" w:rsidRPr="00D234B7">
        <w:rPr>
          <w:sz w:val="24"/>
          <w:lang w:val="en-GB"/>
        </w:rPr>
        <w:t>ice</w:t>
      </w:r>
      <w:r w:rsidRPr="00D234B7">
        <w:rPr>
          <w:sz w:val="24"/>
          <w:lang w:val="en-GB"/>
        </w:rPr>
        <w:t xml:space="preserve"> quality and innovation via the use of private-sector expertise </w:t>
      </w:r>
      <w:r w:rsidR="00D234B7">
        <w:rPr>
          <w:sz w:val="24"/>
          <w:lang w:val="en-GB"/>
        </w:rPr>
        <w:t>and performance incentives; and</w:t>
      </w:r>
    </w:p>
    <w:p w14:paraId="2EA626BD" w14:textId="77777777" w:rsidR="00E51A11" w:rsidRPr="00D234B7" w:rsidRDefault="00B10AA5" w:rsidP="005462ED">
      <w:pPr>
        <w:pStyle w:val="ListParagraph"/>
        <w:numPr>
          <w:ilvl w:val="0"/>
          <w:numId w:val="46"/>
        </w:numPr>
        <w:spacing w:line="480" w:lineRule="auto"/>
        <w:ind w:left="426" w:hanging="426"/>
        <w:rPr>
          <w:sz w:val="24"/>
          <w:lang w:val="en-GB"/>
        </w:rPr>
      </w:pPr>
      <w:r w:rsidRPr="00D234B7">
        <w:rPr>
          <w:sz w:val="24"/>
          <w:lang w:val="en-GB"/>
        </w:rPr>
        <w:t>enhance prudent management of public expenditure and reduce corruption by increas</w:t>
      </w:r>
      <w:r w:rsidR="00272D1C">
        <w:rPr>
          <w:sz w:val="24"/>
          <w:lang w:val="en-GB"/>
        </w:rPr>
        <w:t>ing</w:t>
      </w:r>
      <w:r w:rsidRPr="00D234B7">
        <w:rPr>
          <w:sz w:val="24"/>
          <w:lang w:val="en-GB"/>
        </w:rPr>
        <w:t xml:space="preserve"> accountability and transparency</w:t>
      </w:r>
      <w:r w:rsidR="00EA3537" w:rsidRPr="00D234B7">
        <w:rPr>
          <w:sz w:val="24"/>
          <w:lang w:val="en-GB"/>
        </w:rPr>
        <w:t>.</w:t>
      </w:r>
    </w:p>
    <w:p w14:paraId="3728F40E" w14:textId="5A810D9E" w:rsidR="00DC0AAB" w:rsidRPr="00DC0AAB" w:rsidRDefault="0058718E" w:rsidP="00DC0AAB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lastRenderedPageBreak/>
        <w:t>There has been a tendency for PPP research</w:t>
      </w:r>
      <w:r w:rsidR="001E6119" w:rsidRPr="003D1E5E">
        <w:rPr>
          <w:sz w:val="24"/>
          <w:lang w:val="en-GB"/>
        </w:rPr>
        <w:t xml:space="preserve"> </w:t>
      </w:r>
      <w:r w:rsidR="005511DD" w:rsidRPr="003D1E5E">
        <w:rPr>
          <w:sz w:val="24"/>
          <w:lang w:val="en-GB"/>
        </w:rPr>
        <w:t>to</w:t>
      </w:r>
      <w:r w:rsidR="00815D1A" w:rsidRPr="003D1E5E">
        <w:rPr>
          <w:sz w:val="24"/>
          <w:lang w:val="en-GB"/>
        </w:rPr>
        <w:t xml:space="preserve"> focus</w:t>
      </w:r>
      <w:r w:rsidRPr="003D1E5E">
        <w:rPr>
          <w:sz w:val="24"/>
          <w:lang w:val="en-GB"/>
        </w:rPr>
        <w:t xml:space="preserve"> </w:t>
      </w:r>
      <w:r w:rsidR="005511DD" w:rsidRPr="003D1E5E">
        <w:rPr>
          <w:sz w:val="24"/>
          <w:lang w:val="en-GB"/>
        </w:rPr>
        <w:t xml:space="preserve">on the following areas: (1) </w:t>
      </w:r>
      <w:r w:rsidR="00272D1C">
        <w:rPr>
          <w:sz w:val="24"/>
          <w:lang w:val="en-GB"/>
        </w:rPr>
        <w:t>the development of c</w:t>
      </w:r>
      <w:r w:rsidR="00811FC3" w:rsidRPr="003D1E5E">
        <w:rPr>
          <w:sz w:val="24"/>
          <w:lang w:val="en-GB"/>
        </w:rPr>
        <w:t xml:space="preserve">ritical </w:t>
      </w:r>
      <w:r w:rsidR="00272D1C">
        <w:rPr>
          <w:sz w:val="24"/>
          <w:lang w:val="en-GB"/>
        </w:rPr>
        <w:t>s</w:t>
      </w:r>
      <w:r w:rsidR="00811FC3" w:rsidRPr="003D1E5E">
        <w:rPr>
          <w:sz w:val="24"/>
          <w:lang w:val="en-GB"/>
        </w:rPr>
        <w:t xml:space="preserve">uccess </w:t>
      </w:r>
      <w:r w:rsidR="00272D1C">
        <w:rPr>
          <w:sz w:val="24"/>
          <w:lang w:val="en-GB"/>
        </w:rPr>
        <w:t>f</w:t>
      </w:r>
      <w:r w:rsidR="00811FC3" w:rsidRPr="003D1E5E">
        <w:rPr>
          <w:sz w:val="24"/>
          <w:lang w:val="en-GB"/>
        </w:rPr>
        <w:t>actors</w:t>
      </w:r>
      <w:r w:rsidR="00272D1C">
        <w:rPr>
          <w:sz w:val="24"/>
          <w:lang w:val="en-GB"/>
        </w:rPr>
        <w:t xml:space="preserve"> (CSF)</w:t>
      </w:r>
      <w:r w:rsidR="00811FC3" w:rsidRPr="003D1E5E">
        <w:rPr>
          <w:sz w:val="24"/>
          <w:lang w:val="en-GB"/>
        </w:rPr>
        <w:t>;</w:t>
      </w:r>
      <w:r w:rsidR="001E6119" w:rsidRPr="003D1E5E">
        <w:rPr>
          <w:sz w:val="24"/>
          <w:lang w:val="en-GB"/>
        </w:rPr>
        <w:t xml:space="preserve"> </w:t>
      </w:r>
      <w:r w:rsidR="005511DD" w:rsidRPr="003D1E5E">
        <w:rPr>
          <w:sz w:val="24"/>
          <w:lang w:val="en-GB"/>
        </w:rPr>
        <w:t xml:space="preserve">(2) </w:t>
      </w:r>
      <w:r w:rsidR="001E6119" w:rsidRPr="003D1E5E">
        <w:rPr>
          <w:sz w:val="24"/>
          <w:lang w:val="en-GB"/>
        </w:rPr>
        <w:t>governme</w:t>
      </w:r>
      <w:r w:rsidR="00BD7C48">
        <w:rPr>
          <w:sz w:val="24"/>
          <w:lang w:val="en-GB"/>
        </w:rPr>
        <w:t>nts’ roles/</w:t>
      </w:r>
      <w:r w:rsidR="005511DD" w:rsidRPr="003D1E5E">
        <w:rPr>
          <w:sz w:val="24"/>
          <w:lang w:val="en-GB"/>
        </w:rPr>
        <w:t>responsibilities; (3)</w:t>
      </w:r>
      <w:r w:rsidR="001E6119" w:rsidRPr="003D1E5E">
        <w:rPr>
          <w:sz w:val="24"/>
          <w:lang w:val="en-GB"/>
        </w:rPr>
        <w:t xml:space="preserve"> selection of concessionaire</w:t>
      </w:r>
      <w:r w:rsidR="005511DD" w:rsidRPr="003D1E5E">
        <w:rPr>
          <w:sz w:val="24"/>
          <w:lang w:val="en-GB"/>
        </w:rPr>
        <w:t>;</w:t>
      </w:r>
      <w:r w:rsidR="001E6119" w:rsidRPr="003D1E5E">
        <w:rPr>
          <w:sz w:val="24"/>
          <w:lang w:val="en-GB"/>
        </w:rPr>
        <w:t xml:space="preserve"> </w:t>
      </w:r>
      <w:r w:rsidR="005511DD" w:rsidRPr="003D1E5E">
        <w:rPr>
          <w:sz w:val="24"/>
          <w:lang w:val="en-GB"/>
        </w:rPr>
        <w:t xml:space="preserve">(4) </w:t>
      </w:r>
      <w:r w:rsidR="001E6119" w:rsidRPr="003D1E5E">
        <w:rPr>
          <w:sz w:val="24"/>
          <w:lang w:val="en-GB"/>
        </w:rPr>
        <w:t xml:space="preserve">risk </w:t>
      </w:r>
      <w:r w:rsidR="00BD7C48">
        <w:rPr>
          <w:sz w:val="24"/>
          <w:lang w:val="en-GB"/>
        </w:rPr>
        <w:t>allocation/</w:t>
      </w:r>
      <w:r w:rsidR="001E6119" w:rsidRPr="003D1E5E">
        <w:rPr>
          <w:sz w:val="24"/>
          <w:lang w:val="en-GB"/>
        </w:rPr>
        <w:t>management</w:t>
      </w:r>
      <w:r w:rsidR="005511DD" w:rsidRPr="003D1E5E">
        <w:rPr>
          <w:sz w:val="24"/>
          <w:lang w:val="en-GB"/>
        </w:rPr>
        <w:t>;</w:t>
      </w:r>
      <w:r w:rsidR="001E6119" w:rsidRPr="003D1E5E">
        <w:rPr>
          <w:sz w:val="24"/>
          <w:lang w:val="en-GB"/>
        </w:rPr>
        <w:t xml:space="preserve"> </w:t>
      </w:r>
      <w:r w:rsidR="005511DD" w:rsidRPr="003D1E5E">
        <w:rPr>
          <w:sz w:val="24"/>
          <w:lang w:val="en-GB"/>
        </w:rPr>
        <w:t xml:space="preserve">(5) </w:t>
      </w:r>
      <w:r w:rsidR="00DB14EF">
        <w:rPr>
          <w:sz w:val="24"/>
          <w:lang w:val="en-GB"/>
        </w:rPr>
        <w:t>effectiveness/efficiency of project implementation</w:t>
      </w:r>
      <w:r w:rsidR="005511DD" w:rsidRPr="003D1E5E">
        <w:rPr>
          <w:sz w:val="24"/>
          <w:lang w:val="en-GB"/>
        </w:rPr>
        <w:t>;</w:t>
      </w:r>
      <w:r w:rsidR="001E6119" w:rsidRPr="003D1E5E">
        <w:rPr>
          <w:sz w:val="24"/>
          <w:lang w:val="en-GB"/>
        </w:rPr>
        <w:t xml:space="preserve"> and </w:t>
      </w:r>
      <w:r w:rsidR="005511DD" w:rsidRPr="003D1E5E">
        <w:rPr>
          <w:sz w:val="24"/>
          <w:lang w:val="en-GB"/>
        </w:rPr>
        <w:t xml:space="preserve">(6) </w:t>
      </w:r>
      <w:r w:rsidR="001E6119" w:rsidRPr="003D1E5E">
        <w:rPr>
          <w:sz w:val="24"/>
          <w:lang w:val="en-GB"/>
        </w:rPr>
        <w:t xml:space="preserve">project finance </w:t>
      </w:r>
      <w:r w:rsidR="00830E5A" w:rsidRPr="003D1E5E">
        <w:rPr>
          <w:sz w:val="24"/>
          <w:lang w:val="en-GB"/>
        </w:rPr>
        <w:t xml:space="preserve">(Liu </w:t>
      </w:r>
      <w:r w:rsidR="00830E5A" w:rsidRPr="003D1E5E">
        <w:rPr>
          <w:i/>
          <w:sz w:val="24"/>
          <w:lang w:val="en-GB"/>
        </w:rPr>
        <w:t>et al.</w:t>
      </w:r>
      <w:r w:rsidR="006B36EF" w:rsidRPr="003D1E5E">
        <w:rPr>
          <w:sz w:val="24"/>
          <w:lang w:val="en-GB"/>
        </w:rPr>
        <w:t>, 2015</w:t>
      </w:r>
      <w:r w:rsidR="000F156B" w:rsidRPr="003D1E5E">
        <w:rPr>
          <w:sz w:val="24"/>
          <w:lang w:val="en-GB"/>
        </w:rPr>
        <w:t>b</w:t>
      </w:r>
      <w:r w:rsidR="00830E5A" w:rsidRPr="003D1E5E">
        <w:rPr>
          <w:sz w:val="24"/>
          <w:lang w:val="en-GB"/>
        </w:rPr>
        <w:t>).</w:t>
      </w:r>
      <w:r w:rsidR="00B23323" w:rsidRPr="003D1E5E">
        <w:rPr>
          <w:sz w:val="24"/>
          <w:lang w:val="en-GB"/>
        </w:rPr>
        <w:t xml:space="preserve"> </w:t>
      </w:r>
      <w:r w:rsidR="00BD7C48">
        <w:rPr>
          <w:sz w:val="24"/>
          <w:lang w:val="en-GB"/>
        </w:rPr>
        <w:t xml:space="preserve">Table </w:t>
      </w:r>
      <w:r w:rsidR="00A446DE">
        <w:rPr>
          <w:sz w:val="24"/>
          <w:lang w:val="en-GB"/>
        </w:rPr>
        <w:t>1 summarises</w:t>
      </w:r>
      <w:r w:rsidR="00BD7C48">
        <w:rPr>
          <w:sz w:val="24"/>
          <w:lang w:val="en-GB"/>
        </w:rPr>
        <w:t xml:space="preserve"> the </w:t>
      </w:r>
      <w:r w:rsidR="00874F4C">
        <w:rPr>
          <w:sz w:val="24"/>
          <w:lang w:val="en-GB"/>
        </w:rPr>
        <w:t xml:space="preserve">scope </w:t>
      </w:r>
      <w:r w:rsidR="004E7691">
        <w:rPr>
          <w:sz w:val="24"/>
          <w:lang w:val="en-GB"/>
        </w:rPr>
        <w:t xml:space="preserve">of </w:t>
      </w:r>
      <w:r w:rsidR="00BD7C48">
        <w:rPr>
          <w:sz w:val="24"/>
          <w:lang w:val="en-GB"/>
        </w:rPr>
        <w:t>PPP</w:t>
      </w:r>
      <w:r w:rsidR="00272D1C">
        <w:rPr>
          <w:sz w:val="24"/>
          <w:lang w:val="en-GB"/>
        </w:rPr>
        <w:t xml:space="preserve"> research</w:t>
      </w:r>
      <w:r w:rsidR="00BD7C48">
        <w:rPr>
          <w:sz w:val="24"/>
          <w:lang w:val="en-GB"/>
        </w:rPr>
        <w:t xml:space="preserve"> over the past </w:t>
      </w:r>
      <w:r w:rsidR="00874F4C">
        <w:rPr>
          <w:sz w:val="24"/>
          <w:lang w:val="en-GB"/>
        </w:rPr>
        <w:t xml:space="preserve">two </w:t>
      </w:r>
      <w:r w:rsidR="00BD7C48">
        <w:rPr>
          <w:sz w:val="24"/>
          <w:lang w:val="en-GB"/>
        </w:rPr>
        <w:t xml:space="preserve">decades. </w:t>
      </w:r>
      <w:r w:rsidR="00272D1C">
        <w:rPr>
          <w:sz w:val="24"/>
          <w:lang w:val="en-GB"/>
        </w:rPr>
        <w:t>Noteworthy</w:t>
      </w:r>
      <w:r w:rsidR="00DC0AAB" w:rsidRPr="00DC0AAB">
        <w:rPr>
          <w:sz w:val="24"/>
          <w:lang w:val="en-GB"/>
        </w:rPr>
        <w:t xml:space="preserve">, there is a dearth of research that has addressed PPP evaluation </w:t>
      </w:r>
      <w:r w:rsidR="00272D1C">
        <w:rPr>
          <w:sz w:val="24"/>
          <w:lang w:val="en-GB"/>
        </w:rPr>
        <w:t xml:space="preserve">with </w:t>
      </w:r>
      <w:r w:rsidR="00DC0AAB" w:rsidRPr="00DC0AAB">
        <w:rPr>
          <w:sz w:val="24"/>
          <w:lang w:val="en-GB"/>
        </w:rPr>
        <w:t xml:space="preserve">empirical research </w:t>
      </w:r>
      <w:r w:rsidR="00272D1C">
        <w:rPr>
          <w:sz w:val="24"/>
          <w:lang w:val="en-GB"/>
        </w:rPr>
        <w:t>being</w:t>
      </w:r>
      <w:r w:rsidR="00DC0AAB" w:rsidRPr="00DC0AAB">
        <w:rPr>
          <w:sz w:val="24"/>
          <w:lang w:val="en-GB"/>
        </w:rPr>
        <w:t xml:space="preserve"> limited to Garvin </w:t>
      </w:r>
      <w:r w:rsidR="00DC0AAB" w:rsidRPr="00DC0AAB">
        <w:rPr>
          <w:i/>
          <w:sz w:val="24"/>
          <w:lang w:val="en-GB"/>
        </w:rPr>
        <w:t>et al.</w:t>
      </w:r>
      <w:r w:rsidR="00DC0AAB" w:rsidRPr="00DC0AAB">
        <w:rPr>
          <w:sz w:val="24"/>
          <w:lang w:val="en-GB"/>
        </w:rPr>
        <w:t xml:space="preserve"> (2011), Yuan </w:t>
      </w:r>
      <w:r w:rsidR="00DC0AAB" w:rsidRPr="00DC0AAB">
        <w:rPr>
          <w:i/>
          <w:sz w:val="24"/>
          <w:lang w:val="en-GB"/>
        </w:rPr>
        <w:t>et al.</w:t>
      </w:r>
      <w:r w:rsidR="00DC0AAB" w:rsidRPr="00DC0AAB">
        <w:rPr>
          <w:sz w:val="24"/>
          <w:lang w:val="en-GB"/>
        </w:rPr>
        <w:t xml:space="preserve"> (2012) and Mladenovic </w:t>
      </w:r>
      <w:r w:rsidR="00DC0AAB" w:rsidRPr="00DC0AAB">
        <w:rPr>
          <w:i/>
          <w:sz w:val="24"/>
          <w:lang w:val="en-GB"/>
        </w:rPr>
        <w:t>et al.</w:t>
      </w:r>
      <w:r w:rsidR="00DC0AAB" w:rsidRPr="00DC0AAB">
        <w:rPr>
          <w:sz w:val="24"/>
          <w:lang w:val="en-GB"/>
        </w:rPr>
        <w:t xml:space="preserve"> (2013).</w:t>
      </w:r>
    </w:p>
    <w:p w14:paraId="39279D4B" w14:textId="77777777" w:rsidR="00BD7C48" w:rsidRDefault="00BD7C48" w:rsidP="00F055D8">
      <w:pPr>
        <w:spacing w:line="480" w:lineRule="auto"/>
        <w:rPr>
          <w:sz w:val="24"/>
          <w:lang w:val="en-GB"/>
        </w:rPr>
      </w:pPr>
    </w:p>
    <w:p w14:paraId="1360D8AB" w14:textId="77777777" w:rsidR="00337D90" w:rsidRPr="00C25EDF" w:rsidRDefault="00337D90" w:rsidP="00337D90">
      <w:pPr>
        <w:spacing w:line="480" w:lineRule="auto"/>
        <w:jc w:val="center"/>
        <w:rPr>
          <w:sz w:val="24"/>
          <w:lang w:val="en-GB"/>
        </w:rPr>
      </w:pPr>
      <w:r w:rsidRPr="00C25EDF">
        <w:rPr>
          <w:sz w:val="24"/>
          <w:lang w:val="en-GB"/>
        </w:rPr>
        <w:t xml:space="preserve">Table 1: </w:t>
      </w:r>
      <w:r>
        <w:rPr>
          <w:sz w:val="24"/>
          <w:lang w:val="en-GB"/>
        </w:rPr>
        <w:t>Scope of the research on PPPs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328"/>
      </w:tblGrid>
      <w:tr w:rsidR="00337D90" w:rsidRPr="00C25EDF" w14:paraId="30B90CA7" w14:textId="77777777" w:rsidTr="00FF13E0">
        <w:trPr>
          <w:trHeight w:val="345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4DDA9" w14:textId="77777777" w:rsidR="00337D90" w:rsidRPr="00C25EDF" w:rsidRDefault="00337D90" w:rsidP="00FF13E0">
            <w:pPr>
              <w:rPr>
                <w:b/>
                <w:sz w:val="22"/>
                <w:lang w:val="en-GB"/>
              </w:rPr>
            </w:pPr>
            <w:r w:rsidRPr="00C25EDF">
              <w:rPr>
                <w:b/>
                <w:sz w:val="22"/>
                <w:lang w:val="en-GB"/>
              </w:rPr>
              <w:t xml:space="preserve">Research </w:t>
            </w:r>
            <w:r>
              <w:rPr>
                <w:b/>
                <w:sz w:val="22"/>
                <w:lang w:val="en-GB"/>
              </w:rPr>
              <w:t>Themes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83F17" w14:textId="77777777" w:rsidR="00337D90" w:rsidRPr="00C25EDF" w:rsidRDefault="00337D90" w:rsidP="00FF13E0">
            <w:pPr>
              <w:jc w:val="center"/>
              <w:rPr>
                <w:b/>
                <w:sz w:val="22"/>
                <w:lang w:val="en-GB"/>
              </w:rPr>
            </w:pPr>
            <w:r w:rsidRPr="00C25EDF">
              <w:rPr>
                <w:b/>
                <w:sz w:val="22"/>
                <w:lang w:val="en-GB"/>
              </w:rPr>
              <w:t>Authors</w:t>
            </w:r>
          </w:p>
        </w:tc>
      </w:tr>
      <w:tr w:rsidR="00337D90" w:rsidRPr="00C25EDF" w14:paraId="4473CA1A" w14:textId="77777777" w:rsidTr="00FF13E0">
        <w:trPr>
          <w:trHeight w:val="624"/>
          <w:jc w:val="center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6273E74" w14:textId="77777777" w:rsidR="00337D90" w:rsidRPr="00C25EDF" w:rsidRDefault="00337D90" w:rsidP="009267C3">
            <w:pPr>
              <w:spacing w:before="120"/>
              <w:rPr>
                <w:sz w:val="20"/>
                <w:lang w:val="en-GB"/>
              </w:rPr>
            </w:pPr>
            <w:r w:rsidRPr="00C25EDF">
              <w:rPr>
                <w:sz w:val="20"/>
                <w:lang w:val="en-GB"/>
              </w:rPr>
              <w:t>Critical Success Factors</w:t>
            </w:r>
          </w:p>
        </w:tc>
        <w:tc>
          <w:tcPr>
            <w:tcW w:w="5328" w:type="dxa"/>
            <w:tcBorders>
              <w:top w:val="single" w:sz="4" w:space="0" w:color="auto"/>
            </w:tcBorders>
            <w:vAlign w:val="center"/>
          </w:tcPr>
          <w:p w14:paraId="6A93D589" w14:textId="77777777" w:rsidR="00337D90" w:rsidRPr="00C25EDF" w:rsidRDefault="00337D90" w:rsidP="009267C3">
            <w:pPr>
              <w:spacing w:before="120"/>
              <w:jc w:val="left"/>
              <w:rPr>
                <w:sz w:val="20"/>
                <w:lang w:val="en-GB"/>
              </w:rPr>
            </w:pPr>
            <w:proofErr w:type="spellStart"/>
            <w:r w:rsidRPr="00C25EDF">
              <w:rPr>
                <w:sz w:val="20"/>
                <w:lang w:val="en-GB"/>
              </w:rPr>
              <w:t>Tiong</w:t>
            </w:r>
            <w:proofErr w:type="spellEnd"/>
            <w:r w:rsidRPr="00C25EDF">
              <w:rPr>
                <w:sz w:val="20"/>
                <w:lang w:val="en-GB"/>
              </w:rPr>
              <w:t xml:space="preserve"> (1996); </w:t>
            </w:r>
            <w:proofErr w:type="spellStart"/>
            <w:r w:rsidRPr="00C25EDF">
              <w:rPr>
                <w:sz w:val="20"/>
                <w:lang w:val="en-GB"/>
              </w:rPr>
              <w:t>Qiao</w:t>
            </w:r>
            <w:proofErr w:type="spellEnd"/>
            <w:r w:rsidRPr="00C25EDF">
              <w:rPr>
                <w:sz w:val="20"/>
                <w:lang w:val="en-GB"/>
              </w:rPr>
              <w:t xml:space="preserve"> </w:t>
            </w:r>
            <w:r w:rsidRPr="00C25EDF">
              <w:rPr>
                <w:i/>
                <w:sz w:val="20"/>
                <w:lang w:val="en-GB"/>
              </w:rPr>
              <w:t>et al.</w:t>
            </w:r>
            <w:r w:rsidRPr="00C25EDF">
              <w:rPr>
                <w:sz w:val="20"/>
                <w:lang w:val="en-GB"/>
              </w:rPr>
              <w:t xml:space="preserve"> (2001); Jefferies </w:t>
            </w:r>
            <w:r w:rsidRPr="00C25EDF">
              <w:rPr>
                <w:i/>
                <w:sz w:val="20"/>
                <w:lang w:val="en-GB"/>
              </w:rPr>
              <w:t>et al.</w:t>
            </w:r>
            <w:r w:rsidRPr="00C25EDF">
              <w:rPr>
                <w:sz w:val="20"/>
                <w:lang w:val="en-GB"/>
              </w:rPr>
              <w:t xml:space="preserve"> (2002); Li </w:t>
            </w:r>
            <w:r w:rsidRPr="00C25EDF">
              <w:rPr>
                <w:i/>
                <w:sz w:val="20"/>
                <w:lang w:val="en-GB"/>
              </w:rPr>
              <w:t>et al.</w:t>
            </w:r>
            <w:r w:rsidRPr="00C25EDF">
              <w:rPr>
                <w:sz w:val="20"/>
                <w:lang w:val="en-GB"/>
              </w:rPr>
              <w:t xml:space="preserve"> (2005); Jefferies (2006); and Liu </w:t>
            </w:r>
            <w:r w:rsidRPr="00C25EDF">
              <w:rPr>
                <w:i/>
                <w:sz w:val="20"/>
                <w:lang w:val="en-GB"/>
              </w:rPr>
              <w:t>et al.</w:t>
            </w:r>
            <w:r w:rsidRPr="00C25EDF">
              <w:rPr>
                <w:sz w:val="20"/>
                <w:lang w:val="en-GB"/>
              </w:rPr>
              <w:t xml:space="preserve"> (2015c).</w:t>
            </w:r>
          </w:p>
        </w:tc>
      </w:tr>
      <w:tr w:rsidR="00337D90" w:rsidRPr="00C25EDF" w14:paraId="1CDD3CED" w14:textId="77777777" w:rsidTr="00FF13E0">
        <w:trPr>
          <w:trHeight w:val="624"/>
          <w:jc w:val="center"/>
        </w:trPr>
        <w:tc>
          <w:tcPr>
            <w:tcW w:w="3402" w:type="dxa"/>
            <w:vAlign w:val="center"/>
          </w:tcPr>
          <w:p w14:paraId="291D1F6A" w14:textId="77777777" w:rsidR="00337D90" w:rsidRPr="00C25EDF" w:rsidRDefault="00337D90" w:rsidP="009267C3">
            <w:pPr>
              <w:spacing w:before="120"/>
              <w:rPr>
                <w:sz w:val="20"/>
                <w:lang w:val="en-GB"/>
              </w:rPr>
            </w:pPr>
            <w:r w:rsidRPr="00C25EDF">
              <w:rPr>
                <w:sz w:val="20"/>
                <w:lang w:val="en-GB"/>
              </w:rPr>
              <w:t>Government’s roles/responsibilities</w:t>
            </w:r>
          </w:p>
        </w:tc>
        <w:tc>
          <w:tcPr>
            <w:tcW w:w="5328" w:type="dxa"/>
            <w:vAlign w:val="center"/>
          </w:tcPr>
          <w:p w14:paraId="5D4AE26C" w14:textId="100D937A" w:rsidR="00337D90" w:rsidRPr="00C25EDF" w:rsidRDefault="00337D90" w:rsidP="009267C3">
            <w:pPr>
              <w:spacing w:before="120"/>
              <w:jc w:val="left"/>
              <w:rPr>
                <w:sz w:val="20"/>
                <w:lang w:val="en-GB"/>
              </w:rPr>
            </w:pPr>
            <w:proofErr w:type="spellStart"/>
            <w:r w:rsidRPr="00C25EDF">
              <w:rPr>
                <w:sz w:val="20"/>
                <w:lang w:val="en-GB"/>
              </w:rPr>
              <w:t>Kumaraswamy</w:t>
            </w:r>
            <w:proofErr w:type="spellEnd"/>
            <w:r w:rsidRPr="00C25EDF">
              <w:rPr>
                <w:sz w:val="20"/>
                <w:lang w:val="en-GB"/>
              </w:rPr>
              <w:t xml:space="preserve"> and Zhang (2001); </w:t>
            </w:r>
            <w:proofErr w:type="spellStart"/>
            <w:r w:rsidRPr="00C25EDF">
              <w:rPr>
                <w:sz w:val="20"/>
                <w:lang w:val="en-GB"/>
              </w:rPr>
              <w:t>Pongsiri</w:t>
            </w:r>
            <w:proofErr w:type="spellEnd"/>
            <w:r w:rsidRPr="00C25EDF">
              <w:rPr>
                <w:sz w:val="20"/>
                <w:lang w:val="en-GB"/>
              </w:rPr>
              <w:t xml:space="preserve"> (2002); Koch and </w:t>
            </w:r>
            <w:proofErr w:type="spellStart"/>
            <w:r w:rsidRPr="00C25EDF">
              <w:rPr>
                <w:sz w:val="20"/>
                <w:lang w:val="en-GB"/>
              </w:rPr>
              <w:t>Buser</w:t>
            </w:r>
            <w:proofErr w:type="spellEnd"/>
            <w:r w:rsidRPr="00C25EDF">
              <w:rPr>
                <w:sz w:val="20"/>
                <w:lang w:val="en-GB"/>
              </w:rPr>
              <w:t xml:space="preserve"> (2006); da Cruz </w:t>
            </w:r>
            <w:r w:rsidRPr="00C25EDF">
              <w:rPr>
                <w:i/>
                <w:sz w:val="20"/>
                <w:lang w:val="en-GB"/>
              </w:rPr>
              <w:t>et al.</w:t>
            </w:r>
            <w:r>
              <w:rPr>
                <w:sz w:val="20"/>
                <w:lang w:val="en-GB"/>
              </w:rPr>
              <w:t xml:space="preserve"> (2013); Van den </w:t>
            </w:r>
            <w:proofErr w:type="spellStart"/>
            <w:r>
              <w:rPr>
                <w:sz w:val="20"/>
                <w:lang w:val="en-GB"/>
              </w:rPr>
              <w:t>Hurk</w:t>
            </w:r>
            <w:proofErr w:type="spellEnd"/>
            <w:r>
              <w:rPr>
                <w:sz w:val="20"/>
                <w:lang w:val="en-GB"/>
              </w:rPr>
              <w:t xml:space="preserve"> (2016</w:t>
            </w:r>
            <w:r w:rsidRPr="00C25EDF">
              <w:rPr>
                <w:sz w:val="20"/>
                <w:lang w:val="en-GB"/>
              </w:rPr>
              <w:t xml:space="preserve">); and Wu </w:t>
            </w:r>
            <w:r w:rsidRPr="00C25EDF">
              <w:rPr>
                <w:i/>
                <w:sz w:val="20"/>
                <w:lang w:val="en-GB"/>
              </w:rPr>
              <w:t>et al.</w:t>
            </w:r>
            <w:r w:rsidRPr="00C25EDF">
              <w:rPr>
                <w:sz w:val="20"/>
                <w:lang w:val="en-GB"/>
              </w:rPr>
              <w:t xml:space="preserve"> (2016).</w:t>
            </w:r>
          </w:p>
        </w:tc>
      </w:tr>
      <w:tr w:rsidR="00337D90" w:rsidRPr="00C25EDF" w14:paraId="6866D913" w14:textId="77777777" w:rsidTr="00FF13E0">
        <w:trPr>
          <w:trHeight w:val="624"/>
          <w:jc w:val="center"/>
        </w:trPr>
        <w:tc>
          <w:tcPr>
            <w:tcW w:w="3402" w:type="dxa"/>
            <w:vAlign w:val="center"/>
          </w:tcPr>
          <w:p w14:paraId="6E7714F4" w14:textId="77777777" w:rsidR="00337D90" w:rsidRPr="00C25EDF" w:rsidRDefault="00337D90" w:rsidP="009267C3">
            <w:pPr>
              <w:spacing w:before="120"/>
              <w:rPr>
                <w:sz w:val="20"/>
                <w:lang w:val="en-GB"/>
              </w:rPr>
            </w:pPr>
            <w:r w:rsidRPr="00C25EDF">
              <w:rPr>
                <w:sz w:val="20"/>
                <w:lang w:val="en-GB"/>
              </w:rPr>
              <w:t>Concessionaire selection</w:t>
            </w:r>
          </w:p>
        </w:tc>
        <w:tc>
          <w:tcPr>
            <w:tcW w:w="5328" w:type="dxa"/>
            <w:vAlign w:val="center"/>
          </w:tcPr>
          <w:p w14:paraId="696BD212" w14:textId="7DD81A40" w:rsidR="00337D90" w:rsidRPr="00C25EDF" w:rsidRDefault="00337D90" w:rsidP="009267C3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Zhang and </w:t>
            </w:r>
            <w:proofErr w:type="spellStart"/>
            <w:r>
              <w:rPr>
                <w:sz w:val="20"/>
                <w:lang w:val="en-GB"/>
              </w:rPr>
              <w:t>Kumaraswamy</w:t>
            </w:r>
            <w:proofErr w:type="spellEnd"/>
            <w:r>
              <w:rPr>
                <w:sz w:val="20"/>
                <w:lang w:val="en-GB"/>
              </w:rPr>
              <w:t xml:space="preserve"> (2001</w:t>
            </w:r>
            <w:r w:rsidRPr="00C25EDF">
              <w:rPr>
                <w:sz w:val="20"/>
                <w:lang w:val="en-GB"/>
              </w:rPr>
              <w:t xml:space="preserve">); Zhang </w:t>
            </w:r>
            <w:r w:rsidRPr="009B565C">
              <w:rPr>
                <w:i/>
                <w:sz w:val="20"/>
                <w:lang w:val="en-GB"/>
              </w:rPr>
              <w:t>et al.</w:t>
            </w:r>
            <w:r w:rsidRPr="00C25EDF">
              <w:rPr>
                <w:sz w:val="20"/>
                <w:lang w:val="en-GB"/>
              </w:rPr>
              <w:t xml:space="preserve"> (2002); Zhang (2004, 2005a); and Jang (2011).</w:t>
            </w:r>
          </w:p>
        </w:tc>
      </w:tr>
      <w:tr w:rsidR="00337D90" w:rsidRPr="00C25EDF" w14:paraId="6C597ACB" w14:textId="77777777" w:rsidTr="00FF13E0">
        <w:trPr>
          <w:trHeight w:val="624"/>
          <w:jc w:val="center"/>
        </w:trPr>
        <w:tc>
          <w:tcPr>
            <w:tcW w:w="3402" w:type="dxa"/>
            <w:vAlign w:val="center"/>
          </w:tcPr>
          <w:p w14:paraId="4CA29441" w14:textId="77777777" w:rsidR="00337D90" w:rsidRPr="00C25EDF" w:rsidRDefault="00337D90" w:rsidP="009267C3">
            <w:pPr>
              <w:spacing w:before="120"/>
              <w:rPr>
                <w:sz w:val="20"/>
                <w:lang w:val="en-GB"/>
              </w:rPr>
            </w:pPr>
            <w:r w:rsidRPr="00C25EDF">
              <w:rPr>
                <w:sz w:val="20"/>
                <w:lang w:val="en-GB"/>
              </w:rPr>
              <w:t>Risk allocation/management</w:t>
            </w:r>
          </w:p>
        </w:tc>
        <w:tc>
          <w:tcPr>
            <w:tcW w:w="5328" w:type="dxa"/>
            <w:vAlign w:val="center"/>
          </w:tcPr>
          <w:p w14:paraId="141E601A" w14:textId="77777777" w:rsidR="00337D90" w:rsidRPr="00C25EDF" w:rsidRDefault="00337D90" w:rsidP="009267C3">
            <w:pPr>
              <w:spacing w:before="120"/>
              <w:jc w:val="left"/>
              <w:rPr>
                <w:sz w:val="20"/>
                <w:lang w:val="en-GB"/>
              </w:rPr>
            </w:pPr>
            <w:r w:rsidRPr="00C25EDF">
              <w:rPr>
                <w:sz w:val="20"/>
                <w:lang w:val="en-GB"/>
              </w:rPr>
              <w:t xml:space="preserve">Wang </w:t>
            </w:r>
            <w:r w:rsidRPr="00C25EDF">
              <w:rPr>
                <w:i/>
                <w:sz w:val="20"/>
                <w:lang w:val="en-GB"/>
              </w:rPr>
              <w:t>et al.</w:t>
            </w:r>
            <w:r w:rsidRPr="00C25EDF">
              <w:rPr>
                <w:sz w:val="20"/>
                <w:lang w:val="en-GB"/>
              </w:rPr>
              <w:t xml:space="preserve"> (2000); </w:t>
            </w:r>
            <w:proofErr w:type="spellStart"/>
            <w:r w:rsidRPr="00C25EDF">
              <w:rPr>
                <w:sz w:val="20"/>
                <w:lang w:val="en-GB"/>
              </w:rPr>
              <w:t>Grimsey</w:t>
            </w:r>
            <w:proofErr w:type="spellEnd"/>
            <w:r w:rsidRPr="00C25EDF">
              <w:rPr>
                <w:sz w:val="20"/>
                <w:lang w:val="en-GB"/>
              </w:rPr>
              <w:t xml:space="preserve"> and Lewis (2002); Thomas </w:t>
            </w:r>
            <w:r w:rsidRPr="00C25EDF">
              <w:rPr>
                <w:i/>
                <w:sz w:val="20"/>
                <w:lang w:val="en-GB"/>
              </w:rPr>
              <w:t xml:space="preserve">et al. </w:t>
            </w:r>
            <w:r w:rsidRPr="00C25EDF">
              <w:rPr>
                <w:sz w:val="20"/>
                <w:lang w:val="en-GB"/>
              </w:rPr>
              <w:t xml:space="preserve">(2003); </w:t>
            </w:r>
            <w:proofErr w:type="spellStart"/>
            <w:r w:rsidRPr="00C25EDF">
              <w:rPr>
                <w:sz w:val="20"/>
                <w:lang w:val="en-GB"/>
              </w:rPr>
              <w:t>Jin</w:t>
            </w:r>
            <w:proofErr w:type="spellEnd"/>
            <w:r w:rsidRPr="00C25EDF">
              <w:rPr>
                <w:sz w:val="20"/>
                <w:lang w:val="en-GB"/>
              </w:rPr>
              <w:t xml:space="preserve"> (2011); Chan </w:t>
            </w:r>
            <w:r w:rsidRPr="00C25EDF">
              <w:rPr>
                <w:i/>
                <w:sz w:val="20"/>
                <w:lang w:val="en-GB"/>
              </w:rPr>
              <w:t>et al.</w:t>
            </w:r>
            <w:r w:rsidRPr="00C25EDF">
              <w:rPr>
                <w:sz w:val="20"/>
                <w:lang w:val="en-GB"/>
              </w:rPr>
              <w:t xml:space="preserve"> (2011); and Roberts and </w:t>
            </w:r>
            <w:proofErr w:type="spellStart"/>
            <w:r w:rsidRPr="00C25EDF">
              <w:rPr>
                <w:sz w:val="20"/>
                <w:lang w:val="en-GB"/>
              </w:rPr>
              <w:t>Siemiatycki</w:t>
            </w:r>
            <w:proofErr w:type="spellEnd"/>
            <w:r w:rsidRPr="00C25EDF">
              <w:rPr>
                <w:sz w:val="20"/>
                <w:lang w:val="en-GB"/>
              </w:rPr>
              <w:t xml:space="preserve"> (2015)</w:t>
            </w:r>
            <w:r>
              <w:rPr>
                <w:sz w:val="20"/>
                <w:lang w:val="en-GB"/>
              </w:rPr>
              <w:t>.</w:t>
            </w:r>
          </w:p>
        </w:tc>
      </w:tr>
      <w:tr w:rsidR="00337D90" w:rsidRPr="00C25EDF" w14:paraId="675FAD26" w14:textId="77777777" w:rsidTr="00FF13E0">
        <w:trPr>
          <w:trHeight w:val="624"/>
          <w:jc w:val="center"/>
        </w:trPr>
        <w:tc>
          <w:tcPr>
            <w:tcW w:w="3402" w:type="dxa"/>
            <w:vAlign w:val="center"/>
          </w:tcPr>
          <w:p w14:paraId="3FC8A42C" w14:textId="77777777" w:rsidR="00337D90" w:rsidRPr="00C25EDF" w:rsidRDefault="00337D90" w:rsidP="009267C3">
            <w:pPr>
              <w:spacing w:before="120"/>
              <w:jc w:val="left"/>
              <w:rPr>
                <w:sz w:val="20"/>
                <w:lang w:val="en-GB"/>
              </w:rPr>
            </w:pPr>
            <w:r w:rsidRPr="00C25EDF">
              <w:rPr>
                <w:sz w:val="20"/>
                <w:lang w:val="en-GB"/>
              </w:rPr>
              <w:t>Effectiveness/efficiency of implementation of PPPs</w:t>
            </w:r>
          </w:p>
        </w:tc>
        <w:tc>
          <w:tcPr>
            <w:tcW w:w="5328" w:type="dxa"/>
            <w:vAlign w:val="center"/>
          </w:tcPr>
          <w:p w14:paraId="0F4F1184" w14:textId="4CE25A4A" w:rsidR="00337D90" w:rsidRPr="00C25EDF" w:rsidRDefault="00337D90" w:rsidP="009267C3">
            <w:pPr>
              <w:spacing w:before="120"/>
              <w:jc w:val="left"/>
              <w:rPr>
                <w:sz w:val="20"/>
                <w:lang w:val="en-GB"/>
              </w:rPr>
            </w:pPr>
            <w:proofErr w:type="spellStart"/>
            <w:r w:rsidRPr="00C25EDF">
              <w:rPr>
                <w:sz w:val="20"/>
                <w:lang w:val="en-GB"/>
              </w:rPr>
              <w:t>Lemos</w:t>
            </w:r>
            <w:proofErr w:type="spellEnd"/>
            <w:r w:rsidRPr="00C25EDF">
              <w:rPr>
                <w:sz w:val="20"/>
                <w:lang w:val="en-GB"/>
              </w:rPr>
              <w:t xml:space="preserve"> </w:t>
            </w:r>
            <w:r w:rsidRPr="00C25EDF">
              <w:rPr>
                <w:i/>
                <w:sz w:val="20"/>
                <w:lang w:val="en-GB"/>
              </w:rPr>
              <w:t>et al.</w:t>
            </w:r>
            <w:r w:rsidRPr="00C25EDF">
              <w:rPr>
                <w:sz w:val="20"/>
                <w:lang w:val="en-GB"/>
              </w:rPr>
              <w:t xml:space="preserve"> (2002); </w:t>
            </w:r>
            <w:proofErr w:type="spellStart"/>
            <w:r w:rsidRPr="00C25EDF">
              <w:rPr>
                <w:sz w:val="20"/>
                <w:lang w:val="en-GB"/>
              </w:rPr>
              <w:t>Edel</w:t>
            </w:r>
            <w:r>
              <w:rPr>
                <w:sz w:val="20"/>
                <w:lang w:val="en-GB"/>
              </w:rPr>
              <w:t>enbos</w:t>
            </w:r>
            <w:proofErr w:type="spellEnd"/>
            <w:r>
              <w:rPr>
                <w:sz w:val="20"/>
                <w:lang w:val="en-GB"/>
              </w:rPr>
              <w:t xml:space="preserve"> and </w:t>
            </w:r>
            <w:proofErr w:type="spellStart"/>
            <w:r>
              <w:rPr>
                <w:sz w:val="20"/>
                <w:lang w:val="en-GB"/>
              </w:rPr>
              <w:t>Teisman</w:t>
            </w:r>
            <w:proofErr w:type="spellEnd"/>
            <w:r>
              <w:rPr>
                <w:sz w:val="20"/>
                <w:lang w:val="en-GB"/>
              </w:rPr>
              <w:t xml:space="preserve"> (2008); Trumbu</w:t>
            </w:r>
            <w:r w:rsidRPr="00C25EDF">
              <w:rPr>
                <w:sz w:val="20"/>
                <w:lang w:val="en-GB"/>
              </w:rPr>
              <w:t xml:space="preserve">ll (2009); </w:t>
            </w:r>
            <w:proofErr w:type="spellStart"/>
            <w:r w:rsidRPr="00C25EDF">
              <w:rPr>
                <w:sz w:val="20"/>
                <w:lang w:val="en-GB"/>
              </w:rPr>
              <w:t>Beisheim</w:t>
            </w:r>
            <w:proofErr w:type="spellEnd"/>
            <w:r w:rsidRPr="00C25EDF">
              <w:rPr>
                <w:sz w:val="20"/>
                <w:lang w:val="en-GB"/>
              </w:rPr>
              <w:t xml:space="preserve"> and </w:t>
            </w:r>
            <w:proofErr w:type="spellStart"/>
            <w:r w:rsidRPr="00C25EDF">
              <w:rPr>
                <w:sz w:val="20"/>
                <w:lang w:val="en-GB"/>
              </w:rPr>
              <w:t>Campe</w:t>
            </w:r>
            <w:proofErr w:type="spellEnd"/>
            <w:r w:rsidRPr="00C25EDF">
              <w:rPr>
                <w:sz w:val="20"/>
                <w:lang w:val="en-GB"/>
              </w:rPr>
              <w:t xml:space="preserve"> (2012); Taylor and Harman (2015); </w:t>
            </w:r>
            <w:proofErr w:type="spellStart"/>
            <w:r w:rsidRPr="00C25EDF">
              <w:rPr>
                <w:sz w:val="20"/>
                <w:lang w:val="en-GB"/>
              </w:rPr>
              <w:t>Kort</w:t>
            </w:r>
            <w:proofErr w:type="spellEnd"/>
            <w:r w:rsidRPr="00C25EDF">
              <w:rPr>
                <w:sz w:val="20"/>
                <w:lang w:val="en-GB"/>
              </w:rPr>
              <w:t xml:space="preserve"> </w:t>
            </w:r>
            <w:r w:rsidRPr="00C25EDF">
              <w:rPr>
                <w:i/>
                <w:sz w:val="20"/>
                <w:lang w:val="en-GB"/>
              </w:rPr>
              <w:t>et al.</w:t>
            </w:r>
            <w:r>
              <w:rPr>
                <w:sz w:val="20"/>
                <w:lang w:val="en-GB"/>
              </w:rPr>
              <w:t xml:space="preserve"> (2015</w:t>
            </w:r>
            <w:r w:rsidRPr="00C25EDF">
              <w:rPr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>.</w:t>
            </w:r>
          </w:p>
        </w:tc>
      </w:tr>
      <w:tr w:rsidR="00337D90" w:rsidRPr="00C25EDF" w14:paraId="61133285" w14:textId="77777777" w:rsidTr="00FF13E0">
        <w:trPr>
          <w:trHeight w:val="624"/>
          <w:jc w:val="center"/>
        </w:trPr>
        <w:tc>
          <w:tcPr>
            <w:tcW w:w="3402" w:type="dxa"/>
            <w:vAlign w:val="center"/>
          </w:tcPr>
          <w:p w14:paraId="5C826D7C" w14:textId="77777777" w:rsidR="00337D90" w:rsidRPr="00C25EDF" w:rsidRDefault="00337D90" w:rsidP="009267C3">
            <w:pPr>
              <w:spacing w:before="120" w:after="120"/>
              <w:rPr>
                <w:sz w:val="20"/>
                <w:lang w:val="en-GB"/>
              </w:rPr>
            </w:pPr>
            <w:r w:rsidRPr="00C25EDF">
              <w:rPr>
                <w:sz w:val="20"/>
                <w:lang w:val="en-GB"/>
              </w:rPr>
              <w:t>Project finance</w:t>
            </w:r>
          </w:p>
        </w:tc>
        <w:tc>
          <w:tcPr>
            <w:tcW w:w="5328" w:type="dxa"/>
            <w:vAlign w:val="center"/>
          </w:tcPr>
          <w:p w14:paraId="12AF105B" w14:textId="77777777" w:rsidR="00337D90" w:rsidRPr="00C25EDF" w:rsidRDefault="00337D90" w:rsidP="009267C3">
            <w:pPr>
              <w:spacing w:before="120" w:after="120"/>
              <w:jc w:val="left"/>
              <w:rPr>
                <w:sz w:val="20"/>
                <w:lang w:val="en-GB"/>
              </w:rPr>
            </w:pPr>
            <w:r w:rsidRPr="00C25EDF">
              <w:rPr>
                <w:sz w:val="20"/>
                <w:lang w:val="en-GB"/>
              </w:rPr>
              <w:t xml:space="preserve">Levy (1996); Ye and </w:t>
            </w:r>
            <w:proofErr w:type="spellStart"/>
            <w:r w:rsidRPr="00C25EDF">
              <w:rPr>
                <w:sz w:val="20"/>
                <w:lang w:val="en-GB"/>
              </w:rPr>
              <w:t>Tiong</w:t>
            </w:r>
            <w:proofErr w:type="spellEnd"/>
            <w:r>
              <w:rPr>
                <w:sz w:val="20"/>
                <w:lang w:val="en-GB"/>
              </w:rPr>
              <w:t xml:space="preserve"> (2000); Zhang (2005b);</w:t>
            </w:r>
            <w:r w:rsidRPr="00C25EDF">
              <w:rPr>
                <w:sz w:val="20"/>
                <w:lang w:val="en-GB"/>
              </w:rPr>
              <w:t xml:space="preserve"> </w:t>
            </w:r>
            <w:proofErr w:type="spellStart"/>
            <w:r w:rsidRPr="00C25EDF">
              <w:rPr>
                <w:sz w:val="20"/>
                <w:lang w:val="en-GB"/>
              </w:rPr>
              <w:t>Devapriya</w:t>
            </w:r>
            <w:proofErr w:type="spellEnd"/>
            <w:r w:rsidRPr="00C25EDF">
              <w:rPr>
                <w:sz w:val="20"/>
                <w:lang w:val="en-GB"/>
              </w:rPr>
              <w:t xml:space="preserve"> (2006); Regan </w:t>
            </w:r>
            <w:r w:rsidRPr="009B565C">
              <w:rPr>
                <w:i/>
                <w:sz w:val="20"/>
                <w:lang w:val="en-GB"/>
              </w:rPr>
              <w:t>et al.</w:t>
            </w:r>
            <w:r w:rsidRPr="00C25EDF">
              <w:rPr>
                <w:sz w:val="20"/>
                <w:lang w:val="en-GB"/>
              </w:rPr>
              <w:t xml:space="preserve"> (2011); and Engel </w:t>
            </w:r>
            <w:r w:rsidRPr="00C25EDF">
              <w:rPr>
                <w:i/>
                <w:sz w:val="20"/>
                <w:lang w:val="en-GB"/>
              </w:rPr>
              <w:t>et al.</w:t>
            </w:r>
            <w:r w:rsidRPr="00C25EDF">
              <w:rPr>
                <w:sz w:val="20"/>
                <w:lang w:val="en-GB"/>
              </w:rPr>
              <w:t xml:space="preserve"> (2013)</w:t>
            </w:r>
            <w:r>
              <w:rPr>
                <w:sz w:val="20"/>
                <w:lang w:val="en-GB"/>
              </w:rPr>
              <w:t>.</w:t>
            </w:r>
          </w:p>
        </w:tc>
      </w:tr>
    </w:tbl>
    <w:p w14:paraId="388612C0" w14:textId="77777777" w:rsidR="00337D90" w:rsidRPr="00C25EDF" w:rsidRDefault="00337D90" w:rsidP="00337D90">
      <w:pPr>
        <w:spacing w:line="480" w:lineRule="auto"/>
        <w:rPr>
          <w:sz w:val="24"/>
          <w:lang w:val="en-GB"/>
        </w:rPr>
      </w:pPr>
    </w:p>
    <w:p w14:paraId="7B89F776" w14:textId="0130F087" w:rsidR="00874F4C" w:rsidRDefault="00327824" w:rsidP="004C1F77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 xml:space="preserve">While </w:t>
      </w:r>
      <w:r w:rsidR="00815D1A" w:rsidRPr="003D1E5E">
        <w:rPr>
          <w:sz w:val="24"/>
          <w:lang w:val="en-GB"/>
        </w:rPr>
        <w:t>the aforementioned</w:t>
      </w:r>
      <w:r w:rsidR="00F34A64" w:rsidRPr="003D1E5E">
        <w:rPr>
          <w:sz w:val="24"/>
          <w:lang w:val="en-GB"/>
        </w:rPr>
        <w:t xml:space="preserve"> studies have made a valuable </w:t>
      </w:r>
      <w:r w:rsidR="003C6C8B" w:rsidRPr="003D1E5E">
        <w:rPr>
          <w:sz w:val="24"/>
          <w:lang w:val="en-GB"/>
        </w:rPr>
        <w:t xml:space="preserve">contribution to raising the </w:t>
      </w:r>
      <w:r w:rsidR="0058217E" w:rsidRPr="003D1E5E">
        <w:rPr>
          <w:sz w:val="24"/>
          <w:lang w:val="en-GB"/>
        </w:rPr>
        <w:t>significance</w:t>
      </w:r>
      <w:r w:rsidR="003C6C8B" w:rsidRPr="003D1E5E">
        <w:rPr>
          <w:sz w:val="24"/>
          <w:lang w:val="en-GB"/>
        </w:rPr>
        <w:t xml:space="preserve"> of performance </w:t>
      </w:r>
      <w:r w:rsidR="00EF1C3E" w:rsidRPr="003D1E5E">
        <w:rPr>
          <w:sz w:val="24"/>
          <w:lang w:val="en-GB"/>
        </w:rPr>
        <w:t>evaluation</w:t>
      </w:r>
      <w:r w:rsidR="003C6C8B" w:rsidRPr="003D1E5E">
        <w:rPr>
          <w:sz w:val="24"/>
          <w:lang w:val="en-GB"/>
        </w:rPr>
        <w:t xml:space="preserve"> </w:t>
      </w:r>
      <w:r w:rsidR="00815D1A" w:rsidRPr="003D1E5E">
        <w:rPr>
          <w:sz w:val="24"/>
          <w:lang w:val="en-GB"/>
        </w:rPr>
        <w:t>within</w:t>
      </w:r>
      <w:r w:rsidR="003C6C8B" w:rsidRPr="003D1E5E">
        <w:rPr>
          <w:sz w:val="24"/>
          <w:lang w:val="en-GB"/>
        </w:rPr>
        <w:t xml:space="preserve"> PPPs, they have stopped short </w:t>
      </w:r>
      <w:r w:rsidR="002A17BF" w:rsidRPr="003D1E5E">
        <w:rPr>
          <w:sz w:val="24"/>
          <w:lang w:val="en-GB"/>
        </w:rPr>
        <w:t>of</w:t>
      </w:r>
      <w:r w:rsidR="003C6C8B" w:rsidRPr="003D1E5E">
        <w:rPr>
          <w:sz w:val="24"/>
          <w:lang w:val="en-GB"/>
        </w:rPr>
        <w:t xml:space="preserve"> </w:t>
      </w:r>
      <w:r w:rsidR="004E7691">
        <w:rPr>
          <w:sz w:val="24"/>
          <w:lang w:val="en-GB"/>
        </w:rPr>
        <w:t xml:space="preserve">tackling </w:t>
      </w:r>
      <w:r w:rsidR="005801B4">
        <w:rPr>
          <w:sz w:val="24"/>
          <w:lang w:val="en-GB"/>
        </w:rPr>
        <w:t xml:space="preserve">how to </w:t>
      </w:r>
      <w:r w:rsidR="00CE3E9A">
        <w:rPr>
          <w:sz w:val="24"/>
          <w:lang w:val="en-GB"/>
        </w:rPr>
        <w:t xml:space="preserve">comprehensively </w:t>
      </w:r>
      <w:r w:rsidR="0003761E">
        <w:rPr>
          <w:sz w:val="24"/>
          <w:lang w:val="en-GB"/>
        </w:rPr>
        <w:t>evaluate</w:t>
      </w:r>
      <w:r w:rsidR="00CE3E9A">
        <w:rPr>
          <w:sz w:val="24"/>
          <w:lang w:val="en-GB"/>
        </w:rPr>
        <w:t xml:space="preserve"> </w:t>
      </w:r>
      <w:r w:rsidR="00272D1C">
        <w:rPr>
          <w:sz w:val="24"/>
          <w:lang w:val="en-GB"/>
        </w:rPr>
        <w:t>them</w:t>
      </w:r>
      <w:r w:rsidR="005801B4">
        <w:rPr>
          <w:sz w:val="24"/>
          <w:lang w:val="en-GB"/>
        </w:rPr>
        <w:t xml:space="preserve"> </w:t>
      </w:r>
      <w:r w:rsidR="0098317D">
        <w:rPr>
          <w:sz w:val="24"/>
          <w:lang w:val="en-GB"/>
        </w:rPr>
        <w:t>throughout their life-cycle</w:t>
      </w:r>
      <w:r w:rsidR="00CE3E9A">
        <w:rPr>
          <w:sz w:val="24"/>
          <w:lang w:val="en-GB"/>
        </w:rPr>
        <w:t xml:space="preserve"> </w:t>
      </w:r>
      <w:r w:rsidR="008B24F0">
        <w:rPr>
          <w:sz w:val="24"/>
          <w:lang w:val="en-GB"/>
        </w:rPr>
        <w:t xml:space="preserve">(Liu </w:t>
      </w:r>
      <w:r w:rsidR="008B24F0" w:rsidRPr="008B24F0">
        <w:rPr>
          <w:i/>
          <w:sz w:val="24"/>
          <w:lang w:val="en-GB"/>
        </w:rPr>
        <w:t>et al.</w:t>
      </w:r>
      <w:r w:rsidR="008B24F0">
        <w:rPr>
          <w:sz w:val="24"/>
          <w:lang w:val="en-GB"/>
        </w:rPr>
        <w:t>, 2015</w:t>
      </w:r>
      <w:r w:rsidR="00B9224B">
        <w:rPr>
          <w:sz w:val="24"/>
          <w:lang w:val="en-GB"/>
        </w:rPr>
        <w:t>b</w:t>
      </w:r>
      <w:r w:rsidR="00CE3E9A">
        <w:rPr>
          <w:sz w:val="24"/>
          <w:lang w:val="en-GB"/>
        </w:rPr>
        <w:t xml:space="preserve">; Love </w:t>
      </w:r>
      <w:r w:rsidR="00CE3E9A" w:rsidRPr="00CE3E9A">
        <w:rPr>
          <w:i/>
          <w:sz w:val="24"/>
          <w:lang w:val="en-GB"/>
        </w:rPr>
        <w:t>et al.</w:t>
      </w:r>
      <w:r w:rsidR="00CE3E9A">
        <w:rPr>
          <w:sz w:val="24"/>
          <w:lang w:val="en-GB"/>
        </w:rPr>
        <w:t>, 2015</w:t>
      </w:r>
      <w:r w:rsidR="008B24F0">
        <w:rPr>
          <w:sz w:val="24"/>
          <w:lang w:val="en-GB"/>
        </w:rPr>
        <w:t xml:space="preserve">). </w:t>
      </w:r>
      <w:r w:rsidR="0098317D">
        <w:rPr>
          <w:sz w:val="24"/>
          <w:lang w:val="en-GB"/>
        </w:rPr>
        <w:t>T</w:t>
      </w:r>
      <w:r w:rsidR="0047719D">
        <w:rPr>
          <w:sz w:val="24"/>
          <w:lang w:val="en-GB"/>
        </w:rPr>
        <w:t>h</w:t>
      </w:r>
      <w:r w:rsidR="0098317D">
        <w:rPr>
          <w:sz w:val="24"/>
          <w:lang w:val="en-GB"/>
        </w:rPr>
        <w:t>us</w:t>
      </w:r>
      <w:r w:rsidR="0047719D">
        <w:rPr>
          <w:sz w:val="24"/>
          <w:lang w:val="en-GB"/>
        </w:rPr>
        <w:t xml:space="preserve">, </w:t>
      </w:r>
      <w:r w:rsidR="00CE3E9A">
        <w:rPr>
          <w:sz w:val="24"/>
          <w:lang w:val="en-GB"/>
        </w:rPr>
        <w:t xml:space="preserve">empirical </w:t>
      </w:r>
      <w:r w:rsidR="0047719D">
        <w:rPr>
          <w:sz w:val="24"/>
          <w:lang w:val="en-GB"/>
        </w:rPr>
        <w:t>research aiming to address this significant theoretical issue is required (</w:t>
      </w:r>
      <w:r w:rsidR="00A446DE">
        <w:rPr>
          <w:sz w:val="24"/>
          <w:lang w:val="en-GB"/>
        </w:rPr>
        <w:t xml:space="preserve">Koontz and Thomas; 2012; </w:t>
      </w:r>
      <w:r w:rsidR="0047719D">
        <w:rPr>
          <w:sz w:val="24"/>
          <w:lang w:val="en-GB"/>
        </w:rPr>
        <w:t xml:space="preserve">Liu </w:t>
      </w:r>
      <w:r w:rsidR="0047719D" w:rsidRPr="0047719D">
        <w:rPr>
          <w:i/>
          <w:sz w:val="24"/>
          <w:lang w:val="en-GB"/>
        </w:rPr>
        <w:t>et al.</w:t>
      </w:r>
      <w:r w:rsidR="0047719D">
        <w:rPr>
          <w:sz w:val="24"/>
          <w:lang w:val="en-GB"/>
        </w:rPr>
        <w:t xml:space="preserve">, 2016). </w:t>
      </w:r>
      <w:proofErr w:type="spellStart"/>
      <w:r w:rsidR="00CB34BF">
        <w:rPr>
          <w:sz w:val="24"/>
          <w:lang w:val="en-GB"/>
        </w:rPr>
        <w:t>Haponava</w:t>
      </w:r>
      <w:proofErr w:type="spellEnd"/>
      <w:r w:rsidR="00CB34BF">
        <w:rPr>
          <w:sz w:val="24"/>
          <w:lang w:val="en-GB"/>
        </w:rPr>
        <w:t xml:space="preserve"> and Al-</w:t>
      </w:r>
      <w:proofErr w:type="spellStart"/>
      <w:r w:rsidR="00CB34BF">
        <w:rPr>
          <w:sz w:val="24"/>
          <w:lang w:val="en-GB"/>
        </w:rPr>
        <w:t>Jibouri</w:t>
      </w:r>
      <w:proofErr w:type="spellEnd"/>
      <w:r w:rsidR="00CB34BF">
        <w:rPr>
          <w:sz w:val="24"/>
          <w:lang w:val="en-GB"/>
        </w:rPr>
        <w:t xml:space="preserve"> (2012)</w:t>
      </w:r>
      <w:r w:rsidR="00CE3E9A">
        <w:rPr>
          <w:sz w:val="24"/>
          <w:lang w:val="en-GB"/>
        </w:rPr>
        <w:t xml:space="preserve"> </w:t>
      </w:r>
      <w:r w:rsidR="00B9224B">
        <w:rPr>
          <w:sz w:val="24"/>
          <w:lang w:val="en-GB"/>
        </w:rPr>
        <w:t xml:space="preserve">further </w:t>
      </w:r>
      <w:r w:rsidR="0098317D">
        <w:rPr>
          <w:sz w:val="24"/>
          <w:lang w:val="en-GB"/>
        </w:rPr>
        <w:t>this view as they have suggested that there is a need to</w:t>
      </w:r>
      <w:r w:rsidR="00A446DE">
        <w:rPr>
          <w:sz w:val="24"/>
          <w:lang w:val="en-GB"/>
        </w:rPr>
        <w:t xml:space="preserve"> </w:t>
      </w:r>
      <w:r w:rsidR="00D05786">
        <w:rPr>
          <w:sz w:val="24"/>
          <w:lang w:val="en-GB"/>
        </w:rPr>
        <w:t xml:space="preserve">identify a new approach for </w:t>
      </w:r>
      <w:r w:rsidR="00D05786">
        <w:rPr>
          <w:sz w:val="24"/>
          <w:lang w:val="en-GB"/>
        </w:rPr>
        <w:lastRenderedPageBreak/>
        <w:t>e</w:t>
      </w:r>
      <w:r w:rsidR="008518CE">
        <w:rPr>
          <w:sz w:val="24"/>
          <w:lang w:val="en-GB"/>
        </w:rPr>
        <w:t xml:space="preserve">valuating construction projects </w:t>
      </w:r>
      <w:r w:rsidR="008E1792">
        <w:rPr>
          <w:sz w:val="24"/>
          <w:lang w:val="en-GB"/>
        </w:rPr>
        <w:t xml:space="preserve">(especially infrastructure projects) </w:t>
      </w:r>
      <w:r w:rsidR="00B9224B">
        <w:rPr>
          <w:sz w:val="24"/>
          <w:lang w:val="en-GB"/>
        </w:rPr>
        <w:t xml:space="preserve">to </w:t>
      </w:r>
      <w:r w:rsidR="00836564">
        <w:rPr>
          <w:sz w:val="24"/>
          <w:lang w:val="en-GB"/>
        </w:rPr>
        <w:t>enable</w:t>
      </w:r>
      <w:r w:rsidR="00A446DE">
        <w:rPr>
          <w:sz w:val="24"/>
          <w:lang w:val="en-GB"/>
        </w:rPr>
        <w:t xml:space="preserve"> life-cycle </w:t>
      </w:r>
      <w:r w:rsidR="00836564">
        <w:rPr>
          <w:sz w:val="24"/>
          <w:lang w:val="en-GB"/>
        </w:rPr>
        <w:t xml:space="preserve">project </w:t>
      </w:r>
      <w:r w:rsidR="00CE3E9A">
        <w:rPr>
          <w:sz w:val="24"/>
          <w:lang w:val="en-GB"/>
        </w:rPr>
        <w:t>success</w:t>
      </w:r>
      <w:r w:rsidR="0098317D" w:rsidRPr="0098317D">
        <w:rPr>
          <w:sz w:val="24"/>
          <w:lang w:val="en-GB"/>
        </w:rPr>
        <w:t xml:space="preserve">. In fact, </w:t>
      </w:r>
      <w:r w:rsidR="0098317D" w:rsidRPr="00337D90">
        <w:rPr>
          <w:sz w:val="24"/>
          <w:lang w:val="en-GB"/>
        </w:rPr>
        <w:t>t</w:t>
      </w:r>
      <w:r w:rsidR="008518CE" w:rsidRPr="00337D90">
        <w:rPr>
          <w:sz w:val="24"/>
          <w:lang w:val="en-GB"/>
        </w:rPr>
        <w:t xml:space="preserve">he </w:t>
      </w:r>
      <w:r w:rsidR="0098317D" w:rsidRPr="00337D90">
        <w:rPr>
          <w:sz w:val="24"/>
          <w:lang w:val="en-GB"/>
        </w:rPr>
        <w:t xml:space="preserve">traditional approach for performance </w:t>
      </w:r>
      <w:r w:rsidR="008518CE" w:rsidRPr="00337D90">
        <w:rPr>
          <w:sz w:val="24"/>
          <w:lang w:val="en-GB"/>
        </w:rPr>
        <w:t>evaluation</w:t>
      </w:r>
      <w:r w:rsidR="003B5B1F" w:rsidRPr="00337D90">
        <w:rPr>
          <w:sz w:val="24"/>
          <w:lang w:val="en-GB"/>
        </w:rPr>
        <w:t xml:space="preserve"> is</w:t>
      </w:r>
      <w:r w:rsidR="0098317D" w:rsidRPr="00337D90">
        <w:rPr>
          <w:sz w:val="24"/>
          <w:lang w:val="en-GB"/>
        </w:rPr>
        <w:t xml:space="preserve"> based on the triumvirate of</w:t>
      </w:r>
      <w:r w:rsidR="00CE3E9A" w:rsidRPr="00337D90">
        <w:rPr>
          <w:sz w:val="24"/>
          <w:lang w:val="en-GB"/>
        </w:rPr>
        <w:t xml:space="preserve"> time, cost and quality</w:t>
      </w:r>
      <w:r w:rsidR="0098317D" w:rsidRPr="00337D90">
        <w:rPr>
          <w:sz w:val="24"/>
          <w:lang w:val="en-GB"/>
        </w:rPr>
        <w:t xml:space="preserve"> (</w:t>
      </w:r>
      <w:r w:rsidR="00CE3E9A" w:rsidRPr="00337D90">
        <w:rPr>
          <w:sz w:val="24"/>
          <w:lang w:val="en-GB"/>
        </w:rPr>
        <w:t>TCQ)</w:t>
      </w:r>
      <w:r w:rsidR="00D30D80" w:rsidRPr="00337D90">
        <w:rPr>
          <w:sz w:val="24"/>
          <w:lang w:val="en-GB"/>
        </w:rPr>
        <w:t>. It</w:t>
      </w:r>
      <w:r w:rsidR="008518CE" w:rsidRPr="00337D90">
        <w:rPr>
          <w:sz w:val="24"/>
          <w:lang w:val="en-GB"/>
        </w:rPr>
        <w:t xml:space="preserve"> </w:t>
      </w:r>
      <w:r w:rsidR="0098317D" w:rsidRPr="00337D90">
        <w:rPr>
          <w:sz w:val="24"/>
          <w:lang w:val="en-GB"/>
        </w:rPr>
        <w:t>has been widely criticised for not being able to accommodate the dynamic and changing nature of projects throughout their life-cycle</w:t>
      </w:r>
      <w:r w:rsidR="00B9224B" w:rsidRPr="00337D90">
        <w:rPr>
          <w:sz w:val="24"/>
          <w:lang w:val="en-GB"/>
        </w:rPr>
        <w:t>.</w:t>
      </w:r>
      <w:r w:rsidR="003C2BF9" w:rsidRPr="00337D90">
        <w:rPr>
          <w:sz w:val="24"/>
          <w:lang w:val="en-GB"/>
        </w:rPr>
        <w:t xml:space="preserve"> </w:t>
      </w:r>
      <w:proofErr w:type="spellStart"/>
      <w:r w:rsidR="003C2BF9" w:rsidRPr="00337D90">
        <w:rPr>
          <w:sz w:val="24"/>
          <w:lang w:val="en-GB"/>
        </w:rPr>
        <w:t>B</w:t>
      </w:r>
      <w:r w:rsidR="003B5B1F" w:rsidRPr="00337D90">
        <w:rPr>
          <w:sz w:val="24"/>
          <w:lang w:val="en-GB"/>
        </w:rPr>
        <w:t>accarin</w:t>
      </w:r>
      <w:r w:rsidR="00235B6F" w:rsidRPr="00337D90">
        <w:rPr>
          <w:sz w:val="24"/>
          <w:lang w:val="en-GB"/>
        </w:rPr>
        <w:t>i</w:t>
      </w:r>
      <w:proofErr w:type="spellEnd"/>
      <w:r w:rsidR="003B5B1F" w:rsidRPr="00337D90">
        <w:rPr>
          <w:sz w:val="24"/>
          <w:lang w:val="en-GB"/>
        </w:rPr>
        <w:t xml:space="preserve"> (1999) </w:t>
      </w:r>
      <w:r w:rsidR="009333D3" w:rsidRPr="00337D90">
        <w:rPr>
          <w:sz w:val="24"/>
          <w:lang w:val="en-GB"/>
        </w:rPr>
        <w:t>suggests</w:t>
      </w:r>
      <w:r w:rsidR="003B5B1F" w:rsidRPr="00337D90">
        <w:rPr>
          <w:sz w:val="24"/>
          <w:lang w:val="en-GB"/>
        </w:rPr>
        <w:t xml:space="preserve"> </w:t>
      </w:r>
      <w:r w:rsidR="00836564" w:rsidRPr="00337D90">
        <w:rPr>
          <w:sz w:val="24"/>
          <w:lang w:val="en-GB"/>
        </w:rPr>
        <w:t xml:space="preserve">project success </w:t>
      </w:r>
      <w:r w:rsidR="009333D3" w:rsidRPr="00337D90">
        <w:rPr>
          <w:sz w:val="24"/>
          <w:lang w:val="en-GB"/>
        </w:rPr>
        <w:t xml:space="preserve">needs </w:t>
      </w:r>
      <w:r w:rsidR="003B5B1F" w:rsidRPr="00337D90">
        <w:rPr>
          <w:sz w:val="24"/>
          <w:lang w:val="en-GB"/>
        </w:rPr>
        <w:t xml:space="preserve">to encapsulate both </w:t>
      </w:r>
      <w:r w:rsidR="00836564" w:rsidRPr="00337D90">
        <w:rPr>
          <w:sz w:val="24"/>
          <w:lang w:val="en-GB"/>
        </w:rPr>
        <w:t>prod</w:t>
      </w:r>
      <w:r w:rsidR="00717196" w:rsidRPr="00337D90">
        <w:rPr>
          <w:sz w:val="24"/>
          <w:lang w:val="en-GB"/>
        </w:rPr>
        <w:t>uct and process</w:t>
      </w:r>
      <w:r w:rsidR="003B5B1F" w:rsidRPr="00337D90">
        <w:rPr>
          <w:sz w:val="24"/>
          <w:lang w:val="en-GB"/>
        </w:rPr>
        <w:t xml:space="preserve"> views</w:t>
      </w:r>
      <w:r w:rsidR="00717196" w:rsidRPr="00337D90">
        <w:rPr>
          <w:sz w:val="24"/>
          <w:lang w:val="en-GB"/>
        </w:rPr>
        <w:t xml:space="preserve">. </w:t>
      </w:r>
      <w:r w:rsidR="003B5B1F" w:rsidRPr="00337D90">
        <w:rPr>
          <w:sz w:val="24"/>
          <w:lang w:val="en-GB"/>
        </w:rPr>
        <w:t>P</w:t>
      </w:r>
      <w:r w:rsidR="00836564" w:rsidRPr="00337D90">
        <w:rPr>
          <w:sz w:val="24"/>
          <w:lang w:val="en-GB"/>
        </w:rPr>
        <w:t xml:space="preserve">roduct success is concerned with the </w:t>
      </w:r>
      <w:r w:rsidR="004F6A4B" w:rsidRPr="00337D90">
        <w:rPr>
          <w:sz w:val="24"/>
          <w:lang w:val="en-GB"/>
        </w:rPr>
        <w:t xml:space="preserve">long-term </w:t>
      </w:r>
      <w:r w:rsidR="00836564" w:rsidRPr="00337D90">
        <w:rPr>
          <w:sz w:val="24"/>
          <w:lang w:val="en-GB"/>
        </w:rPr>
        <w:t>impact</w:t>
      </w:r>
      <w:r w:rsidR="004F6A4B" w:rsidRPr="00337D90">
        <w:rPr>
          <w:sz w:val="24"/>
          <w:lang w:val="en-GB"/>
        </w:rPr>
        <w:t>s</w:t>
      </w:r>
      <w:r w:rsidR="00836564" w:rsidRPr="00337D90">
        <w:rPr>
          <w:sz w:val="24"/>
          <w:lang w:val="en-GB"/>
        </w:rPr>
        <w:t xml:space="preserve"> of the built asset on </w:t>
      </w:r>
      <w:r w:rsidR="00717196" w:rsidRPr="00337D90">
        <w:rPr>
          <w:sz w:val="24"/>
          <w:lang w:val="en-GB"/>
        </w:rPr>
        <w:t>local community/</w:t>
      </w:r>
      <w:r w:rsidR="00836564" w:rsidRPr="00337D90">
        <w:rPr>
          <w:sz w:val="24"/>
          <w:lang w:val="en-GB"/>
        </w:rPr>
        <w:t>region</w:t>
      </w:r>
      <w:r w:rsidR="003B5B1F" w:rsidRPr="00337D90">
        <w:rPr>
          <w:sz w:val="24"/>
          <w:lang w:val="en-GB"/>
        </w:rPr>
        <w:t>. Conversely,</w:t>
      </w:r>
      <w:r w:rsidR="00836564" w:rsidRPr="00337D90">
        <w:rPr>
          <w:sz w:val="24"/>
          <w:lang w:val="en-GB"/>
        </w:rPr>
        <w:t xml:space="preserve"> process success </w:t>
      </w:r>
      <w:r w:rsidR="003B5B1F" w:rsidRPr="00337D90">
        <w:rPr>
          <w:sz w:val="24"/>
          <w:lang w:val="en-GB"/>
        </w:rPr>
        <w:t>relates to</w:t>
      </w:r>
      <w:r w:rsidR="00836564" w:rsidRPr="00337D90">
        <w:rPr>
          <w:sz w:val="24"/>
          <w:lang w:val="en-GB"/>
        </w:rPr>
        <w:t xml:space="preserve"> effectiveness and efficiency </w:t>
      </w:r>
      <w:r w:rsidR="004F6A4B" w:rsidRPr="00337D90">
        <w:rPr>
          <w:sz w:val="24"/>
          <w:lang w:val="en-GB"/>
        </w:rPr>
        <w:t xml:space="preserve">of the managerial actions or activities </w:t>
      </w:r>
      <w:r w:rsidR="003B5B1F" w:rsidRPr="00337D90">
        <w:rPr>
          <w:sz w:val="24"/>
          <w:lang w:val="en-GB"/>
        </w:rPr>
        <w:t xml:space="preserve">that are </w:t>
      </w:r>
      <w:r w:rsidR="004F6A4B" w:rsidRPr="00337D90">
        <w:rPr>
          <w:sz w:val="24"/>
          <w:lang w:val="en-GB"/>
        </w:rPr>
        <w:t xml:space="preserve">performed </w:t>
      </w:r>
      <w:r w:rsidR="00836564" w:rsidRPr="00337D90">
        <w:rPr>
          <w:sz w:val="24"/>
          <w:lang w:val="en-GB"/>
        </w:rPr>
        <w:t>(</w:t>
      </w:r>
      <w:proofErr w:type="spellStart"/>
      <w:r w:rsidR="00836564" w:rsidRPr="00337D90">
        <w:rPr>
          <w:sz w:val="24"/>
          <w:lang w:val="en-GB"/>
        </w:rPr>
        <w:t>Baccarini</w:t>
      </w:r>
      <w:proofErr w:type="spellEnd"/>
      <w:r w:rsidR="00836564" w:rsidRPr="00337D90">
        <w:rPr>
          <w:sz w:val="24"/>
          <w:lang w:val="en-GB"/>
        </w:rPr>
        <w:t>, 1999).</w:t>
      </w:r>
      <w:r w:rsidR="00717196">
        <w:rPr>
          <w:sz w:val="24"/>
          <w:lang w:val="en-GB"/>
        </w:rPr>
        <w:t xml:space="preserve"> </w:t>
      </w:r>
    </w:p>
    <w:p w14:paraId="0892D7CA" w14:textId="77777777" w:rsidR="008F1865" w:rsidRDefault="008F1865" w:rsidP="004C1F77">
      <w:pPr>
        <w:spacing w:line="480" w:lineRule="auto"/>
        <w:rPr>
          <w:sz w:val="24"/>
          <w:lang w:val="en-GB"/>
        </w:rPr>
      </w:pPr>
    </w:p>
    <w:p w14:paraId="76E7638C" w14:textId="77777777" w:rsidR="00ED40A5" w:rsidRDefault="009C727B" w:rsidP="00ED40A5">
      <w:pPr>
        <w:spacing w:line="480" w:lineRule="auto"/>
        <w:rPr>
          <w:rFonts w:ascii="Arial" w:hAnsi="Arial" w:cs="Arial"/>
          <w:b/>
          <w:sz w:val="24"/>
          <w:lang w:val="en-GB"/>
        </w:rPr>
      </w:pPr>
      <w:r w:rsidRPr="003D1E5E">
        <w:rPr>
          <w:rFonts w:ascii="Arial" w:hAnsi="Arial" w:cs="Arial"/>
          <w:b/>
          <w:sz w:val="24"/>
          <w:lang w:val="en-GB"/>
        </w:rPr>
        <w:t xml:space="preserve">Research </w:t>
      </w:r>
      <w:r w:rsidR="00847E26" w:rsidRPr="003D1E5E">
        <w:rPr>
          <w:rFonts w:ascii="Arial" w:hAnsi="Arial" w:cs="Arial"/>
          <w:b/>
          <w:sz w:val="24"/>
          <w:lang w:val="en-GB"/>
        </w:rPr>
        <w:t>Approach</w:t>
      </w:r>
    </w:p>
    <w:p w14:paraId="25E2F177" w14:textId="6F03A2B4" w:rsidR="00FC217C" w:rsidRDefault="0098317D" w:rsidP="00ED40A5">
      <w:pPr>
        <w:spacing w:line="480" w:lineRule="auto"/>
        <w:rPr>
          <w:sz w:val="24"/>
        </w:rPr>
      </w:pPr>
      <w:r>
        <w:rPr>
          <w:sz w:val="24"/>
          <w:lang w:val="en-GB"/>
        </w:rPr>
        <w:t>The d</w:t>
      </w:r>
      <w:r w:rsidRPr="00874F4C">
        <w:rPr>
          <w:sz w:val="24"/>
          <w:lang w:val="en-GB"/>
        </w:rPr>
        <w:t xml:space="preserve">ebate about </w:t>
      </w:r>
      <w:r>
        <w:rPr>
          <w:sz w:val="24"/>
          <w:lang w:val="en-GB"/>
        </w:rPr>
        <w:t>PPPs</w:t>
      </w:r>
      <w:r w:rsidRPr="00874F4C">
        <w:rPr>
          <w:sz w:val="24"/>
          <w:lang w:val="en-GB"/>
        </w:rPr>
        <w:t xml:space="preserve"> </w:t>
      </w:r>
      <w:r>
        <w:rPr>
          <w:sz w:val="24"/>
          <w:lang w:val="en-GB"/>
        </w:rPr>
        <w:t>ha</w:t>
      </w:r>
      <w:r w:rsidR="009333D3">
        <w:rPr>
          <w:sz w:val="24"/>
          <w:lang w:val="en-GB"/>
        </w:rPr>
        <w:t>s</w:t>
      </w:r>
      <w:r>
        <w:rPr>
          <w:sz w:val="24"/>
          <w:lang w:val="en-GB"/>
        </w:rPr>
        <w:t xml:space="preserve"> moved</w:t>
      </w:r>
      <w:r w:rsidRPr="00874F4C">
        <w:rPr>
          <w:sz w:val="24"/>
          <w:lang w:val="en-GB"/>
        </w:rPr>
        <w:t xml:space="preserve"> beyond ideological arguments about the</w:t>
      </w:r>
      <w:r>
        <w:rPr>
          <w:sz w:val="24"/>
          <w:lang w:val="en-GB"/>
        </w:rPr>
        <w:t>ir</w:t>
      </w:r>
      <w:r w:rsidRPr="00874F4C">
        <w:rPr>
          <w:sz w:val="24"/>
          <w:lang w:val="en-GB"/>
        </w:rPr>
        <w:t xml:space="preserve"> advantages and disadvantages to focusing on </w:t>
      </w:r>
      <w:r>
        <w:rPr>
          <w:sz w:val="24"/>
          <w:lang w:val="en-GB"/>
        </w:rPr>
        <w:t>‘</w:t>
      </w:r>
      <w:r w:rsidRPr="00874F4C">
        <w:rPr>
          <w:sz w:val="24"/>
          <w:lang w:val="en-GB"/>
        </w:rPr>
        <w:t>how</w:t>
      </w:r>
      <w:r>
        <w:rPr>
          <w:sz w:val="24"/>
          <w:lang w:val="en-GB"/>
        </w:rPr>
        <w:t>’</w:t>
      </w:r>
      <w:r w:rsidRPr="00874F4C">
        <w:rPr>
          <w:sz w:val="24"/>
          <w:lang w:val="en-GB"/>
        </w:rPr>
        <w:t xml:space="preserve"> </w:t>
      </w:r>
      <w:r>
        <w:rPr>
          <w:sz w:val="24"/>
          <w:lang w:val="en-GB"/>
        </w:rPr>
        <w:t>to structure and/or manage the projects throughout their life cycles to achieve the predetermined policy objectives and goals</w:t>
      </w:r>
      <w:r w:rsidRPr="0098317D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(Yong, 2010). </w:t>
      </w:r>
      <w:r w:rsidR="00FC217C">
        <w:rPr>
          <w:sz w:val="24"/>
          <w:lang w:val="en-GB"/>
        </w:rPr>
        <w:t xml:space="preserve">In line with this focus, </w:t>
      </w:r>
      <w:r w:rsidR="00FC217C" w:rsidRPr="0024115D">
        <w:rPr>
          <w:sz w:val="24"/>
        </w:rPr>
        <w:t>a</w:t>
      </w:r>
      <w:r w:rsidR="00FC217C" w:rsidRPr="00337D90">
        <w:rPr>
          <w:sz w:val="24"/>
        </w:rPr>
        <w:t xml:space="preserve"> </w:t>
      </w:r>
      <w:r w:rsidR="00B9381F" w:rsidRPr="00337D90">
        <w:rPr>
          <w:sz w:val="24"/>
        </w:rPr>
        <w:t>case study</w:t>
      </w:r>
      <w:r w:rsidR="00FC217C" w:rsidRPr="00337D90">
        <w:rPr>
          <w:sz w:val="24"/>
        </w:rPr>
        <w:t xml:space="preserve"> i</w:t>
      </w:r>
      <w:r w:rsidR="00B9381F" w:rsidRPr="00337D90">
        <w:rPr>
          <w:sz w:val="24"/>
        </w:rPr>
        <w:t xml:space="preserve">s </w:t>
      </w:r>
      <w:r w:rsidR="006F6AC4" w:rsidRPr="00337D90">
        <w:rPr>
          <w:sz w:val="24"/>
        </w:rPr>
        <w:t>used</w:t>
      </w:r>
      <w:r w:rsidR="002A17BF" w:rsidRPr="00337D90">
        <w:rPr>
          <w:sz w:val="24"/>
        </w:rPr>
        <w:t xml:space="preserve"> to</w:t>
      </w:r>
      <w:r w:rsidR="006F6AC4" w:rsidRPr="00337D90">
        <w:rPr>
          <w:sz w:val="24"/>
        </w:rPr>
        <w:t xml:space="preserve"> determine </w:t>
      </w:r>
      <w:r w:rsidR="00E62BBC" w:rsidRPr="00337D90">
        <w:rPr>
          <w:sz w:val="24"/>
        </w:rPr>
        <w:t xml:space="preserve">and explore </w:t>
      </w:r>
      <w:r w:rsidR="006F6AC4" w:rsidRPr="00337D90">
        <w:rPr>
          <w:sz w:val="24"/>
        </w:rPr>
        <w:t xml:space="preserve">‘how’ performance measurement </w:t>
      </w:r>
      <w:r w:rsidR="00FC217C" w:rsidRPr="00337D90">
        <w:rPr>
          <w:sz w:val="24"/>
        </w:rPr>
        <w:t>in PPP projects can be</w:t>
      </w:r>
      <w:r w:rsidR="00E62BBC" w:rsidRPr="00337D90">
        <w:rPr>
          <w:sz w:val="24"/>
        </w:rPr>
        <w:t xml:space="preserve"> improved. According to </w:t>
      </w:r>
      <w:proofErr w:type="spellStart"/>
      <w:r w:rsidR="00E62BBC" w:rsidRPr="00337D90">
        <w:rPr>
          <w:sz w:val="24"/>
        </w:rPr>
        <w:t>Flyvbjerg</w:t>
      </w:r>
      <w:proofErr w:type="spellEnd"/>
      <w:r w:rsidR="00E62BBC" w:rsidRPr="00337D90">
        <w:rPr>
          <w:sz w:val="24"/>
        </w:rPr>
        <w:t xml:space="preserve"> (2006), </w:t>
      </w:r>
      <w:r w:rsidR="009333D3" w:rsidRPr="00337D90">
        <w:rPr>
          <w:sz w:val="24"/>
        </w:rPr>
        <w:t xml:space="preserve">a </w:t>
      </w:r>
      <w:r w:rsidR="00E62BBC" w:rsidRPr="00337D90">
        <w:rPr>
          <w:sz w:val="24"/>
        </w:rPr>
        <w:t>case study is suitable for all stages of a research,</w:t>
      </w:r>
      <w:r w:rsidR="009333D3" w:rsidRPr="00337D90">
        <w:rPr>
          <w:sz w:val="24"/>
        </w:rPr>
        <w:t xml:space="preserve"> and</w:t>
      </w:r>
      <w:r w:rsidR="00E62BBC" w:rsidRPr="00337D90">
        <w:rPr>
          <w:sz w:val="24"/>
        </w:rPr>
        <w:t xml:space="preserve"> particularly useful for generalizing and/or examining new knowledge</w:t>
      </w:r>
      <w:r w:rsidR="006F6AC4" w:rsidRPr="00337D90">
        <w:rPr>
          <w:sz w:val="24"/>
        </w:rPr>
        <w:t>.</w:t>
      </w:r>
      <w:r w:rsidR="006F6AC4" w:rsidRPr="00FC217C">
        <w:rPr>
          <w:sz w:val="24"/>
        </w:rPr>
        <w:t xml:space="preserve"> </w:t>
      </w:r>
      <w:r w:rsidR="00642B29" w:rsidRPr="00FC217C">
        <w:rPr>
          <w:sz w:val="24"/>
        </w:rPr>
        <w:t>Moreover, p</w:t>
      </w:r>
      <w:r w:rsidR="00B9381F" w:rsidRPr="00FC217C">
        <w:rPr>
          <w:sz w:val="24"/>
        </w:rPr>
        <w:t xml:space="preserve">erformance measurement </w:t>
      </w:r>
      <w:r w:rsidR="006F6AC4" w:rsidRPr="00FC217C">
        <w:rPr>
          <w:sz w:val="24"/>
        </w:rPr>
        <w:t xml:space="preserve">research </w:t>
      </w:r>
      <w:r w:rsidR="009333D3" w:rsidRPr="00FC217C">
        <w:rPr>
          <w:sz w:val="24"/>
        </w:rPr>
        <w:t>tends to</w:t>
      </w:r>
      <w:r w:rsidR="00B9381F" w:rsidRPr="003D1E5E">
        <w:rPr>
          <w:sz w:val="24"/>
        </w:rPr>
        <w:t xml:space="preserve"> marry with </w:t>
      </w:r>
      <w:r w:rsidR="00E81506">
        <w:rPr>
          <w:sz w:val="24"/>
        </w:rPr>
        <w:t xml:space="preserve">the </w:t>
      </w:r>
      <w:r w:rsidR="00B9381F" w:rsidRPr="003D1E5E">
        <w:rPr>
          <w:sz w:val="24"/>
        </w:rPr>
        <w:t xml:space="preserve">ontology and epistemology of </w:t>
      </w:r>
      <w:proofErr w:type="spellStart"/>
      <w:r w:rsidR="00B9381F" w:rsidRPr="003D1E5E">
        <w:rPr>
          <w:sz w:val="24"/>
        </w:rPr>
        <w:t>interpretivis</w:t>
      </w:r>
      <w:r w:rsidR="005E4869" w:rsidRPr="003D1E5E">
        <w:rPr>
          <w:sz w:val="24"/>
        </w:rPr>
        <w:t>m</w:t>
      </w:r>
      <w:proofErr w:type="spellEnd"/>
      <w:r w:rsidR="00FC217C">
        <w:rPr>
          <w:sz w:val="24"/>
        </w:rPr>
        <w:t>.</w:t>
      </w:r>
      <w:r w:rsidR="00FC217C" w:rsidRPr="003D1E5E">
        <w:rPr>
          <w:sz w:val="24"/>
        </w:rPr>
        <w:t xml:space="preserve"> </w:t>
      </w:r>
      <w:r w:rsidR="00FC217C">
        <w:rPr>
          <w:sz w:val="24"/>
        </w:rPr>
        <w:t>T</w:t>
      </w:r>
      <w:r w:rsidR="00FC217C" w:rsidRPr="003D1E5E">
        <w:rPr>
          <w:sz w:val="24"/>
        </w:rPr>
        <w:t>h</w:t>
      </w:r>
      <w:r w:rsidR="00FC217C">
        <w:rPr>
          <w:sz w:val="24"/>
        </w:rPr>
        <w:t>erefore</w:t>
      </w:r>
      <w:r w:rsidR="005E4869" w:rsidRPr="003D1E5E">
        <w:rPr>
          <w:sz w:val="24"/>
        </w:rPr>
        <w:t xml:space="preserve">, practitioners’ </w:t>
      </w:r>
      <w:r w:rsidR="006F6AC4" w:rsidRPr="003D1E5E">
        <w:rPr>
          <w:sz w:val="24"/>
        </w:rPr>
        <w:t>experiences</w:t>
      </w:r>
      <w:r w:rsidR="005E4869" w:rsidRPr="003D1E5E">
        <w:rPr>
          <w:sz w:val="24"/>
        </w:rPr>
        <w:t xml:space="preserve"> and insights should not be ignored when </w:t>
      </w:r>
      <w:r w:rsidR="00E81506">
        <w:rPr>
          <w:sz w:val="24"/>
        </w:rPr>
        <w:t>deriving</w:t>
      </w:r>
      <w:r w:rsidR="005E4869" w:rsidRPr="003D1E5E">
        <w:rPr>
          <w:sz w:val="24"/>
        </w:rPr>
        <w:t xml:space="preserve"> </w:t>
      </w:r>
      <w:r w:rsidR="00E81506">
        <w:rPr>
          <w:sz w:val="24"/>
        </w:rPr>
        <w:t>a new performance measurement system (PMS)</w:t>
      </w:r>
      <w:r w:rsidR="005E4869" w:rsidRPr="003D1E5E">
        <w:rPr>
          <w:sz w:val="24"/>
        </w:rPr>
        <w:t xml:space="preserve"> for the </w:t>
      </w:r>
      <w:proofErr w:type="spellStart"/>
      <w:r w:rsidR="005E4869" w:rsidRPr="003D1E5E">
        <w:rPr>
          <w:sz w:val="24"/>
        </w:rPr>
        <w:t>organisation</w:t>
      </w:r>
      <w:proofErr w:type="spellEnd"/>
      <w:r w:rsidR="005E4869" w:rsidRPr="003D1E5E">
        <w:rPr>
          <w:sz w:val="24"/>
        </w:rPr>
        <w:t xml:space="preserve"> (Neely </w:t>
      </w:r>
      <w:r w:rsidR="005E4869" w:rsidRPr="003D1E5E">
        <w:rPr>
          <w:i/>
          <w:sz w:val="24"/>
        </w:rPr>
        <w:t>et al.</w:t>
      </w:r>
      <w:r w:rsidR="005E4869" w:rsidRPr="003D1E5E">
        <w:rPr>
          <w:sz w:val="24"/>
        </w:rPr>
        <w:t xml:space="preserve">, 2000). </w:t>
      </w:r>
      <w:r w:rsidR="00847E26" w:rsidRPr="003D1E5E">
        <w:rPr>
          <w:sz w:val="24"/>
        </w:rPr>
        <w:t xml:space="preserve">Similarly, </w:t>
      </w:r>
      <w:r w:rsidR="005E4869" w:rsidRPr="003D1E5E">
        <w:rPr>
          <w:sz w:val="24"/>
        </w:rPr>
        <w:t xml:space="preserve">Love </w:t>
      </w:r>
      <w:r w:rsidR="005E4869" w:rsidRPr="003D1E5E">
        <w:rPr>
          <w:i/>
          <w:sz w:val="24"/>
        </w:rPr>
        <w:t xml:space="preserve">et al. </w:t>
      </w:r>
      <w:r w:rsidR="005E4869" w:rsidRPr="003D1E5E">
        <w:rPr>
          <w:sz w:val="24"/>
        </w:rPr>
        <w:t>(200</w:t>
      </w:r>
      <w:r w:rsidR="000F156B" w:rsidRPr="003D1E5E">
        <w:rPr>
          <w:sz w:val="24"/>
        </w:rPr>
        <w:t>2</w:t>
      </w:r>
      <w:r w:rsidR="005E4869" w:rsidRPr="003D1E5E">
        <w:rPr>
          <w:sz w:val="24"/>
        </w:rPr>
        <w:t xml:space="preserve">) </w:t>
      </w:r>
      <w:r w:rsidR="00E81506">
        <w:rPr>
          <w:sz w:val="24"/>
        </w:rPr>
        <w:t>identify</w:t>
      </w:r>
      <w:r w:rsidR="005E4869" w:rsidRPr="003D1E5E">
        <w:rPr>
          <w:sz w:val="24"/>
        </w:rPr>
        <w:t xml:space="preserve"> that </w:t>
      </w:r>
      <w:r w:rsidR="00847E26" w:rsidRPr="003D1E5E">
        <w:rPr>
          <w:sz w:val="24"/>
        </w:rPr>
        <w:t>research of this nature</w:t>
      </w:r>
      <w:r w:rsidR="005E4869" w:rsidRPr="003D1E5E">
        <w:rPr>
          <w:sz w:val="24"/>
        </w:rPr>
        <w:t xml:space="preserve"> should not rely </w:t>
      </w:r>
      <w:r w:rsidR="00847E26" w:rsidRPr="003D1E5E">
        <w:rPr>
          <w:sz w:val="24"/>
        </w:rPr>
        <w:t>on a</w:t>
      </w:r>
      <w:r w:rsidR="005E4869" w:rsidRPr="003D1E5E">
        <w:rPr>
          <w:sz w:val="24"/>
        </w:rPr>
        <w:t xml:space="preserve"> positivist approach</w:t>
      </w:r>
      <w:r w:rsidR="00FC217C">
        <w:rPr>
          <w:sz w:val="24"/>
        </w:rPr>
        <w:t>,</w:t>
      </w:r>
      <w:r w:rsidR="005E4869" w:rsidRPr="003D1E5E">
        <w:rPr>
          <w:sz w:val="24"/>
        </w:rPr>
        <w:t xml:space="preserve"> as </w:t>
      </w:r>
      <w:r w:rsidR="006F6AC4" w:rsidRPr="003D1E5E">
        <w:rPr>
          <w:sz w:val="24"/>
        </w:rPr>
        <w:t>it</w:t>
      </w:r>
      <w:r w:rsidR="005E4869" w:rsidRPr="003D1E5E">
        <w:rPr>
          <w:sz w:val="24"/>
        </w:rPr>
        <w:t xml:space="preserve"> may </w:t>
      </w:r>
      <w:r w:rsidR="006F6AC4" w:rsidRPr="003D1E5E">
        <w:rPr>
          <w:sz w:val="24"/>
        </w:rPr>
        <w:t xml:space="preserve">neglect the impact of human </w:t>
      </w:r>
      <w:proofErr w:type="spellStart"/>
      <w:r w:rsidR="006F6AC4" w:rsidRPr="003D1E5E">
        <w:rPr>
          <w:sz w:val="24"/>
        </w:rPr>
        <w:t>behaviour</w:t>
      </w:r>
      <w:proofErr w:type="spellEnd"/>
      <w:r w:rsidR="00847E26" w:rsidRPr="003D1E5E">
        <w:rPr>
          <w:sz w:val="24"/>
        </w:rPr>
        <w:t xml:space="preserve"> and </w:t>
      </w:r>
      <w:r w:rsidR="00E61A1A" w:rsidRPr="003D1E5E">
        <w:rPr>
          <w:sz w:val="24"/>
        </w:rPr>
        <w:t xml:space="preserve">subsequent </w:t>
      </w:r>
      <w:r w:rsidR="00847E26" w:rsidRPr="003D1E5E">
        <w:rPr>
          <w:sz w:val="24"/>
        </w:rPr>
        <w:t>decision-making</w:t>
      </w:r>
      <w:r w:rsidR="00FC217C">
        <w:rPr>
          <w:sz w:val="24"/>
        </w:rPr>
        <w:t xml:space="preserve"> processes that can be enacted</w:t>
      </w:r>
      <w:r w:rsidR="006F6AC4" w:rsidRPr="003D1E5E">
        <w:rPr>
          <w:sz w:val="24"/>
        </w:rPr>
        <w:t>.</w:t>
      </w:r>
      <w:r w:rsidR="00FD27BB" w:rsidRPr="003D1E5E">
        <w:rPr>
          <w:sz w:val="24"/>
        </w:rPr>
        <w:t xml:space="preserve"> </w:t>
      </w:r>
    </w:p>
    <w:p w14:paraId="0E562299" w14:textId="77777777" w:rsidR="00FC217C" w:rsidRDefault="00FC217C" w:rsidP="00ED40A5">
      <w:pPr>
        <w:spacing w:line="480" w:lineRule="auto"/>
        <w:rPr>
          <w:sz w:val="24"/>
        </w:rPr>
      </w:pPr>
    </w:p>
    <w:p w14:paraId="1979FC2F" w14:textId="77777777" w:rsidR="006F6AC4" w:rsidRPr="0024115D" w:rsidRDefault="00E3222B" w:rsidP="00ED40A5">
      <w:pPr>
        <w:spacing w:line="480" w:lineRule="auto"/>
        <w:rPr>
          <w:sz w:val="24"/>
          <w:lang w:val="en-GB"/>
        </w:rPr>
      </w:pPr>
      <w:r w:rsidRPr="003D1E5E">
        <w:rPr>
          <w:sz w:val="24"/>
        </w:rPr>
        <w:t xml:space="preserve">The </w:t>
      </w:r>
      <w:r w:rsidR="00847E26" w:rsidRPr="003D1E5E">
        <w:rPr>
          <w:sz w:val="24"/>
        </w:rPr>
        <w:t xml:space="preserve">cases </w:t>
      </w:r>
      <w:r w:rsidR="00FD27BB" w:rsidRPr="003D1E5E">
        <w:rPr>
          <w:sz w:val="24"/>
        </w:rPr>
        <w:t>selected</w:t>
      </w:r>
      <w:r w:rsidR="00847E26" w:rsidRPr="003D1E5E">
        <w:rPr>
          <w:sz w:val="24"/>
        </w:rPr>
        <w:t xml:space="preserve"> for this </w:t>
      </w:r>
      <w:r w:rsidR="000A017D">
        <w:rPr>
          <w:sz w:val="24"/>
        </w:rPr>
        <w:t>research</w:t>
      </w:r>
      <w:r w:rsidR="000A017D" w:rsidRPr="003D1E5E">
        <w:rPr>
          <w:sz w:val="24"/>
        </w:rPr>
        <w:t xml:space="preserve"> </w:t>
      </w:r>
      <w:r w:rsidRPr="003D1E5E">
        <w:rPr>
          <w:sz w:val="24"/>
        </w:rPr>
        <w:t>were</w:t>
      </w:r>
      <w:r w:rsidR="00847E26" w:rsidRPr="003D1E5E">
        <w:rPr>
          <w:sz w:val="24"/>
        </w:rPr>
        <w:t xml:space="preserve"> the only social infrastructure PPPs being </w:t>
      </w:r>
      <w:r w:rsidR="00847E26" w:rsidRPr="003D1E5E">
        <w:rPr>
          <w:sz w:val="24"/>
        </w:rPr>
        <w:lastRenderedPageBreak/>
        <w:t>delivered by</w:t>
      </w:r>
      <w:r w:rsidR="00692491">
        <w:rPr>
          <w:sz w:val="24"/>
        </w:rPr>
        <w:t xml:space="preserve"> a</w:t>
      </w:r>
      <w:r w:rsidR="004E2E19" w:rsidRPr="003D1E5E">
        <w:rPr>
          <w:sz w:val="24"/>
        </w:rPr>
        <w:t xml:space="preserve"> State</w:t>
      </w:r>
      <w:r w:rsidR="00847E26" w:rsidRPr="003D1E5E">
        <w:rPr>
          <w:sz w:val="24"/>
        </w:rPr>
        <w:t xml:space="preserve"> Government</w:t>
      </w:r>
      <w:r w:rsidR="00E61A1A" w:rsidRPr="003D1E5E">
        <w:rPr>
          <w:sz w:val="24"/>
        </w:rPr>
        <w:t xml:space="preserve"> at the time of the research.</w:t>
      </w:r>
      <w:r w:rsidR="00847E26" w:rsidRPr="003D1E5E">
        <w:rPr>
          <w:sz w:val="24"/>
        </w:rPr>
        <w:t xml:space="preserve"> </w:t>
      </w:r>
      <w:r w:rsidR="00FD27BB" w:rsidRPr="003D1E5E">
        <w:rPr>
          <w:sz w:val="24"/>
        </w:rPr>
        <w:t xml:space="preserve">The State Government and participants of each of </w:t>
      </w:r>
      <w:r w:rsidR="00E128E3" w:rsidRPr="003D1E5E">
        <w:rPr>
          <w:sz w:val="24"/>
        </w:rPr>
        <w:t xml:space="preserve">the </w:t>
      </w:r>
      <w:r w:rsidR="00BE4940" w:rsidRPr="00566517">
        <w:rPr>
          <w:i/>
          <w:sz w:val="24"/>
        </w:rPr>
        <w:t>Special Purpose Vehicle</w:t>
      </w:r>
      <w:r w:rsidR="000A017D">
        <w:rPr>
          <w:i/>
          <w:sz w:val="24"/>
        </w:rPr>
        <w:t>s</w:t>
      </w:r>
      <w:r w:rsidR="00BE4940" w:rsidRPr="003D1E5E">
        <w:rPr>
          <w:sz w:val="24"/>
        </w:rPr>
        <w:t xml:space="preserve"> (</w:t>
      </w:r>
      <w:r w:rsidR="00FD27BB" w:rsidRPr="003D1E5E">
        <w:rPr>
          <w:sz w:val="24"/>
        </w:rPr>
        <w:t>SPV</w:t>
      </w:r>
      <w:r w:rsidR="00BE4940" w:rsidRPr="003D1E5E">
        <w:rPr>
          <w:sz w:val="24"/>
        </w:rPr>
        <w:t>)</w:t>
      </w:r>
      <w:r w:rsidR="00FD27BB" w:rsidRPr="003D1E5E">
        <w:rPr>
          <w:sz w:val="24"/>
        </w:rPr>
        <w:t xml:space="preserve"> demonstrated a willingness to participate in the research. A cross-sectional case study was adopted to provide</w:t>
      </w:r>
      <w:r w:rsidR="00E61A1A" w:rsidRPr="003D1E5E">
        <w:rPr>
          <w:sz w:val="24"/>
        </w:rPr>
        <w:t xml:space="preserve"> an</w:t>
      </w:r>
      <w:r w:rsidR="00FD27BB" w:rsidRPr="003D1E5E">
        <w:rPr>
          <w:sz w:val="24"/>
        </w:rPr>
        <w:t xml:space="preserve"> in-depth </w:t>
      </w:r>
      <w:r w:rsidR="00E61A1A" w:rsidRPr="003D1E5E">
        <w:rPr>
          <w:sz w:val="24"/>
        </w:rPr>
        <w:t>understanding of</w:t>
      </w:r>
      <w:r w:rsidR="00FD27BB" w:rsidRPr="003D1E5E">
        <w:rPr>
          <w:sz w:val="24"/>
        </w:rPr>
        <w:t xml:space="preserve"> the nature of performance measurement. </w:t>
      </w:r>
      <w:r w:rsidR="00E61A1A" w:rsidRPr="003D1E5E">
        <w:rPr>
          <w:sz w:val="24"/>
        </w:rPr>
        <w:t>The</w:t>
      </w:r>
      <w:r w:rsidR="00FD27BB" w:rsidRPr="003D1E5E">
        <w:rPr>
          <w:sz w:val="24"/>
        </w:rPr>
        <w:t xml:space="preserve"> cross-sectional approach </w:t>
      </w:r>
      <w:r w:rsidR="000A017D">
        <w:rPr>
          <w:sz w:val="24"/>
        </w:rPr>
        <w:t xml:space="preserve">was intended to </w:t>
      </w:r>
      <w:r w:rsidR="00FD27BB" w:rsidRPr="003D1E5E">
        <w:rPr>
          <w:sz w:val="24"/>
        </w:rPr>
        <w:t xml:space="preserve">minimize disruption to participants who agreed to partake in the research. </w:t>
      </w:r>
      <w:r w:rsidR="00E61A1A" w:rsidRPr="003D1E5E">
        <w:rPr>
          <w:sz w:val="24"/>
        </w:rPr>
        <w:t>S</w:t>
      </w:r>
      <w:r w:rsidR="00FD27BB" w:rsidRPr="003D1E5E">
        <w:rPr>
          <w:sz w:val="24"/>
        </w:rPr>
        <w:t xml:space="preserve">ince the completion of the research other social infrastructure PPPs have commenced. </w:t>
      </w:r>
    </w:p>
    <w:p w14:paraId="77CC5E2E" w14:textId="77777777" w:rsidR="00FD27BB" w:rsidRDefault="00FD27BB" w:rsidP="00861735">
      <w:pPr>
        <w:pStyle w:val="StyleLeft003cmRight003cm"/>
        <w:spacing w:after="0" w:line="480" w:lineRule="auto"/>
        <w:rPr>
          <w:sz w:val="24"/>
        </w:rPr>
      </w:pPr>
    </w:p>
    <w:p w14:paraId="7645F302" w14:textId="77777777" w:rsidR="00FD27BB" w:rsidRPr="003D1E5E" w:rsidRDefault="00FD27BB" w:rsidP="0024115D">
      <w:pPr>
        <w:pStyle w:val="StyleLeft003cmRight003cm"/>
        <w:spacing w:after="0" w:line="480" w:lineRule="auto"/>
        <w:ind w:left="17" w:right="17"/>
        <w:rPr>
          <w:b/>
          <w:sz w:val="24"/>
          <w:szCs w:val="24"/>
          <w:lang w:eastAsia="zh-SG"/>
        </w:rPr>
      </w:pPr>
      <w:r w:rsidRPr="003D1E5E">
        <w:rPr>
          <w:b/>
          <w:sz w:val="24"/>
          <w:szCs w:val="24"/>
          <w:lang w:eastAsia="zh-SG"/>
        </w:rPr>
        <w:t>Data Collection</w:t>
      </w:r>
    </w:p>
    <w:p w14:paraId="74888DEF" w14:textId="77777777" w:rsidR="00FD27BB" w:rsidRDefault="000A017D" w:rsidP="00861735">
      <w:pPr>
        <w:spacing w:line="480" w:lineRule="auto"/>
        <w:rPr>
          <w:rFonts w:eastAsia="Calibri"/>
          <w:sz w:val="24"/>
        </w:rPr>
      </w:pPr>
      <w:r>
        <w:rPr>
          <w:rFonts w:eastAsia="Times New Roman"/>
          <w:sz w:val="24"/>
        </w:rPr>
        <w:t>Triangulation formed the basis of the data collection process</w:t>
      </w:r>
      <w:r w:rsidRPr="000A017D">
        <w:rPr>
          <w:rFonts w:eastAsia="Calibri"/>
          <w:sz w:val="24"/>
        </w:rPr>
        <w:t xml:space="preserve"> </w:t>
      </w:r>
      <w:r w:rsidRPr="003D1E5E">
        <w:rPr>
          <w:rFonts w:eastAsia="Calibri"/>
          <w:sz w:val="24"/>
        </w:rPr>
        <w:t>as it can be used to overcome problems associated with bias and validity</w:t>
      </w:r>
      <w:r>
        <w:rPr>
          <w:rFonts w:eastAsia="Calibri"/>
          <w:sz w:val="24"/>
        </w:rPr>
        <w:t xml:space="preserve"> (Yin, 1984; Stake, 1995; Love </w:t>
      </w:r>
      <w:r w:rsidRPr="0024115D">
        <w:rPr>
          <w:rFonts w:eastAsia="Calibri"/>
          <w:i/>
          <w:sz w:val="24"/>
        </w:rPr>
        <w:t>et al</w:t>
      </w:r>
      <w:r>
        <w:rPr>
          <w:rFonts w:eastAsia="Calibri"/>
          <w:sz w:val="24"/>
        </w:rPr>
        <w:t>., 2002)</w:t>
      </w:r>
      <w:r>
        <w:rPr>
          <w:rFonts w:eastAsia="Times New Roman"/>
          <w:sz w:val="24"/>
        </w:rPr>
        <w:t xml:space="preserve">. </w:t>
      </w:r>
      <w:r w:rsidR="00FD27BB" w:rsidRPr="003D1E5E">
        <w:rPr>
          <w:rFonts w:eastAsia="Calibri"/>
          <w:sz w:val="24"/>
        </w:rPr>
        <w:t xml:space="preserve">A series of </w:t>
      </w:r>
      <w:r>
        <w:rPr>
          <w:rFonts w:eastAsia="Calibri"/>
          <w:sz w:val="24"/>
        </w:rPr>
        <w:t xml:space="preserve">informal discussions, </w:t>
      </w:r>
      <w:r w:rsidR="00FD27BB" w:rsidRPr="003D1E5E">
        <w:rPr>
          <w:rFonts w:eastAsia="Calibri"/>
          <w:sz w:val="24"/>
        </w:rPr>
        <w:t>semi-structured interviews and documentary sources</w:t>
      </w:r>
      <w:r w:rsidR="00861735" w:rsidRPr="003D1E5E">
        <w:rPr>
          <w:rFonts w:eastAsia="Calibri"/>
          <w:sz w:val="24"/>
        </w:rPr>
        <w:t xml:space="preserve"> (e.g., contractual documents)</w:t>
      </w:r>
      <w:r w:rsidR="00FD27BB" w:rsidRPr="003D1E5E">
        <w:rPr>
          <w:rFonts w:eastAsia="Calibri"/>
          <w:sz w:val="24"/>
        </w:rPr>
        <w:t xml:space="preserve"> formed the cornerstones </w:t>
      </w:r>
      <w:r w:rsidR="00ED40A5">
        <w:rPr>
          <w:rFonts w:eastAsia="Calibri"/>
          <w:sz w:val="24"/>
        </w:rPr>
        <w:t>of the data collection process.</w:t>
      </w:r>
    </w:p>
    <w:p w14:paraId="35B9ED8E" w14:textId="77777777" w:rsidR="00717196" w:rsidRDefault="00717196" w:rsidP="00861735">
      <w:pPr>
        <w:spacing w:line="480" w:lineRule="auto"/>
        <w:rPr>
          <w:rFonts w:eastAsia="Calibri"/>
          <w:sz w:val="24"/>
        </w:rPr>
      </w:pPr>
    </w:p>
    <w:p w14:paraId="38DB316F" w14:textId="77777777" w:rsidR="008E7AAE" w:rsidRPr="000C0A38" w:rsidRDefault="00FD27BB" w:rsidP="00861735">
      <w:pPr>
        <w:spacing w:line="480" w:lineRule="auto"/>
        <w:rPr>
          <w:color w:val="000000" w:themeColor="text1"/>
          <w:sz w:val="24"/>
        </w:rPr>
      </w:pPr>
      <w:r w:rsidRPr="003D1E5E">
        <w:rPr>
          <w:color w:val="000000" w:themeColor="text1"/>
          <w:sz w:val="24"/>
        </w:rPr>
        <w:t xml:space="preserve">Interviews were conducted at the interviewees’ offices and were digitally recorded, and then transcribed </w:t>
      </w:r>
      <w:r w:rsidRPr="003D1E5E">
        <w:rPr>
          <w:i/>
          <w:iCs/>
          <w:color w:val="000000" w:themeColor="text1"/>
          <w:sz w:val="24"/>
        </w:rPr>
        <w:t>verbatim</w:t>
      </w:r>
      <w:r w:rsidRPr="003D1E5E">
        <w:rPr>
          <w:color w:val="000000" w:themeColor="text1"/>
          <w:sz w:val="24"/>
        </w:rPr>
        <w:t>, to allow for any</w:t>
      </w:r>
      <w:r w:rsidR="00E2246A" w:rsidRPr="003D1E5E">
        <w:rPr>
          <w:color w:val="000000" w:themeColor="text1"/>
          <w:sz w:val="24"/>
        </w:rPr>
        <w:t xml:space="preserve"> finer nuances to be detected. </w:t>
      </w:r>
      <w:r w:rsidRPr="003D1E5E">
        <w:rPr>
          <w:color w:val="000000" w:themeColor="text1"/>
          <w:sz w:val="24"/>
        </w:rPr>
        <w:t xml:space="preserve">Interviews were </w:t>
      </w:r>
      <w:r w:rsidR="00B2452D" w:rsidRPr="003D1E5E">
        <w:rPr>
          <w:color w:val="000000" w:themeColor="text1"/>
          <w:sz w:val="24"/>
        </w:rPr>
        <w:t xml:space="preserve">purposely </w:t>
      </w:r>
      <w:r w:rsidRPr="003D1E5E">
        <w:rPr>
          <w:color w:val="000000" w:themeColor="text1"/>
          <w:sz w:val="24"/>
        </w:rPr>
        <w:t xml:space="preserve">kept </w:t>
      </w:r>
      <w:r w:rsidR="008C22B4" w:rsidRPr="003D1E5E">
        <w:rPr>
          <w:color w:val="000000" w:themeColor="text1"/>
          <w:sz w:val="24"/>
        </w:rPr>
        <w:t>relaxed</w:t>
      </w:r>
      <w:r w:rsidRPr="003D1E5E">
        <w:rPr>
          <w:color w:val="000000" w:themeColor="text1"/>
          <w:sz w:val="24"/>
        </w:rPr>
        <w:t xml:space="preserve"> using phrases such as ‘tell me about it’ or ‘can you give me an </w:t>
      </w:r>
      <w:r w:rsidRPr="000C0A38">
        <w:rPr>
          <w:color w:val="000000" w:themeColor="text1"/>
          <w:sz w:val="24"/>
        </w:rPr>
        <w:t xml:space="preserve">example’. </w:t>
      </w:r>
      <w:r w:rsidR="008E7AAE" w:rsidRPr="000C0A38">
        <w:rPr>
          <w:color w:val="000000" w:themeColor="text1"/>
          <w:sz w:val="24"/>
        </w:rPr>
        <w:t>The indicative questions that were used for the interviews included:</w:t>
      </w:r>
    </w:p>
    <w:p w14:paraId="4C0448CA" w14:textId="77777777" w:rsidR="00874F4C" w:rsidRPr="004D3DE6" w:rsidRDefault="00874F4C" w:rsidP="00861735">
      <w:pPr>
        <w:spacing w:line="480" w:lineRule="auto"/>
        <w:rPr>
          <w:color w:val="000000" w:themeColor="text1"/>
          <w:sz w:val="24"/>
        </w:rPr>
      </w:pPr>
    </w:p>
    <w:p w14:paraId="5B694293" w14:textId="4AB1B82C" w:rsidR="008E7AAE" w:rsidRPr="00337D90" w:rsidRDefault="00E62BBC" w:rsidP="000A017D">
      <w:pPr>
        <w:pStyle w:val="ListParagraph"/>
        <w:numPr>
          <w:ilvl w:val="0"/>
          <w:numId w:val="49"/>
        </w:numPr>
        <w:spacing w:line="480" w:lineRule="auto"/>
        <w:ind w:left="426" w:hanging="426"/>
        <w:rPr>
          <w:color w:val="000000" w:themeColor="text1"/>
          <w:sz w:val="24"/>
        </w:rPr>
      </w:pPr>
      <w:r w:rsidRPr="00337D90">
        <w:rPr>
          <w:color w:val="000000" w:themeColor="text1"/>
          <w:sz w:val="24"/>
        </w:rPr>
        <w:t xml:space="preserve">What approach </w:t>
      </w:r>
      <w:r w:rsidR="000C0A38" w:rsidRPr="00337D90">
        <w:rPr>
          <w:color w:val="000000" w:themeColor="text1"/>
          <w:sz w:val="24"/>
        </w:rPr>
        <w:t xml:space="preserve">is </w:t>
      </w:r>
      <w:r w:rsidRPr="00337D90">
        <w:rPr>
          <w:color w:val="000000" w:themeColor="text1"/>
          <w:sz w:val="24"/>
        </w:rPr>
        <w:t xml:space="preserve">being used </w:t>
      </w:r>
      <w:r w:rsidR="008E7AAE" w:rsidRPr="00337D90">
        <w:rPr>
          <w:color w:val="000000" w:themeColor="text1"/>
          <w:sz w:val="24"/>
        </w:rPr>
        <w:t>to evaluate the performance of the PPP project you are involved with?</w:t>
      </w:r>
    </w:p>
    <w:p w14:paraId="702BEF65" w14:textId="77777777" w:rsidR="008E7AAE" w:rsidRPr="00337D90" w:rsidRDefault="008E7AAE" w:rsidP="000A017D">
      <w:pPr>
        <w:pStyle w:val="ListParagraph"/>
        <w:numPr>
          <w:ilvl w:val="0"/>
          <w:numId w:val="49"/>
        </w:numPr>
        <w:spacing w:line="480" w:lineRule="auto"/>
        <w:ind w:left="426" w:hanging="426"/>
        <w:rPr>
          <w:color w:val="000000" w:themeColor="text1"/>
          <w:sz w:val="24"/>
        </w:rPr>
      </w:pPr>
      <w:r w:rsidRPr="00337D90">
        <w:rPr>
          <w:color w:val="000000" w:themeColor="text1"/>
          <w:sz w:val="24"/>
        </w:rPr>
        <w:t xml:space="preserve">What do you consider to be the shortcomings of the </w:t>
      </w:r>
      <w:r w:rsidR="000C0A38" w:rsidRPr="00337D90">
        <w:rPr>
          <w:color w:val="000000" w:themeColor="text1"/>
          <w:sz w:val="24"/>
        </w:rPr>
        <w:t xml:space="preserve">performance </w:t>
      </w:r>
      <w:r w:rsidRPr="00337D90">
        <w:rPr>
          <w:color w:val="000000" w:themeColor="text1"/>
          <w:sz w:val="24"/>
        </w:rPr>
        <w:t>evaluation</w:t>
      </w:r>
      <w:r w:rsidR="000C0A38" w:rsidRPr="00337D90">
        <w:rPr>
          <w:color w:val="000000" w:themeColor="text1"/>
          <w:sz w:val="24"/>
        </w:rPr>
        <w:t xml:space="preserve"> process in</w:t>
      </w:r>
      <w:r w:rsidRPr="00337D90">
        <w:rPr>
          <w:color w:val="000000" w:themeColor="text1"/>
          <w:sz w:val="24"/>
        </w:rPr>
        <w:t xml:space="preserve"> the project?</w:t>
      </w:r>
    </w:p>
    <w:p w14:paraId="608BE868" w14:textId="77777777" w:rsidR="008E7AAE" w:rsidRPr="00337D90" w:rsidRDefault="000C0A38" w:rsidP="000A017D">
      <w:pPr>
        <w:pStyle w:val="ListParagraph"/>
        <w:numPr>
          <w:ilvl w:val="0"/>
          <w:numId w:val="49"/>
        </w:numPr>
        <w:spacing w:line="480" w:lineRule="auto"/>
        <w:ind w:left="426" w:hanging="426"/>
        <w:rPr>
          <w:color w:val="000000" w:themeColor="text1"/>
          <w:sz w:val="24"/>
        </w:rPr>
      </w:pPr>
      <w:r w:rsidRPr="00337D90">
        <w:rPr>
          <w:color w:val="000000" w:themeColor="text1"/>
          <w:sz w:val="24"/>
        </w:rPr>
        <w:t>H</w:t>
      </w:r>
      <w:r w:rsidR="006F19CA" w:rsidRPr="00337D90">
        <w:rPr>
          <w:color w:val="000000" w:themeColor="text1"/>
          <w:sz w:val="24"/>
        </w:rPr>
        <w:t xml:space="preserve">ow </w:t>
      </w:r>
      <w:r w:rsidRPr="00337D90">
        <w:rPr>
          <w:color w:val="000000" w:themeColor="text1"/>
          <w:sz w:val="24"/>
        </w:rPr>
        <w:t xml:space="preserve">do you think </w:t>
      </w:r>
      <w:r w:rsidR="008E7AAE" w:rsidRPr="00337D90">
        <w:rPr>
          <w:color w:val="000000" w:themeColor="text1"/>
          <w:sz w:val="24"/>
        </w:rPr>
        <w:t xml:space="preserve">performance evaluation </w:t>
      </w:r>
      <w:r w:rsidRPr="00337D90">
        <w:rPr>
          <w:color w:val="000000" w:themeColor="text1"/>
          <w:sz w:val="24"/>
        </w:rPr>
        <w:t>can be improved in the project</w:t>
      </w:r>
      <w:r w:rsidR="008E7AAE" w:rsidRPr="00337D90">
        <w:rPr>
          <w:color w:val="000000" w:themeColor="text1"/>
          <w:sz w:val="24"/>
        </w:rPr>
        <w:t>?</w:t>
      </w:r>
    </w:p>
    <w:p w14:paraId="725FBB37" w14:textId="77777777" w:rsidR="008E7AAE" w:rsidRPr="000C0A38" w:rsidRDefault="008E7AAE" w:rsidP="00861735">
      <w:pPr>
        <w:spacing w:line="480" w:lineRule="auto"/>
        <w:rPr>
          <w:color w:val="000000" w:themeColor="text1"/>
          <w:sz w:val="24"/>
        </w:rPr>
      </w:pPr>
    </w:p>
    <w:p w14:paraId="5D9E1A39" w14:textId="15B36A58" w:rsidR="000C0A38" w:rsidRDefault="00FD27BB" w:rsidP="00861735">
      <w:pPr>
        <w:spacing w:line="480" w:lineRule="auto"/>
        <w:rPr>
          <w:color w:val="000000" w:themeColor="text1"/>
          <w:sz w:val="24"/>
        </w:rPr>
      </w:pPr>
      <w:r w:rsidRPr="004D3DE6">
        <w:rPr>
          <w:color w:val="000000" w:themeColor="text1"/>
          <w:sz w:val="24"/>
        </w:rPr>
        <w:t xml:space="preserve">The open nature of the questions stimulated avenues of interest to be pursued as they arose </w:t>
      </w:r>
      <w:r w:rsidRPr="004D3DE6">
        <w:rPr>
          <w:color w:val="000000" w:themeColor="text1"/>
          <w:sz w:val="24"/>
        </w:rPr>
        <w:lastRenderedPageBreak/>
        <w:t>without introducing bias in the response. Additional notes were taken during interviews to support the digital transcription process and to maintain validity and safeguard against the digital recorder’s failure.</w:t>
      </w:r>
      <w:r w:rsidRPr="009D6C45">
        <w:rPr>
          <w:color w:val="000000" w:themeColor="text1"/>
        </w:rPr>
        <w:t xml:space="preserve"> </w:t>
      </w:r>
      <w:r w:rsidR="00642B29" w:rsidRPr="00337D90">
        <w:rPr>
          <w:color w:val="000000" w:themeColor="text1"/>
          <w:sz w:val="24"/>
        </w:rPr>
        <w:t xml:space="preserve">Notably, </w:t>
      </w:r>
      <w:r w:rsidR="0062137D" w:rsidRPr="00337D90">
        <w:rPr>
          <w:color w:val="000000" w:themeColor="text1"/>
          <w:sz w:val="24"/>
        </w:rPr>
        <w:t>focused</w:t>
      </w:r>
      <w:r w:rsidR="00D43AA7" w:rsidRPr="00337D90">
        <w:rPr>
          <w:color w:val="000000" w:themeColor="text1"/>
          <w:sz w:val="24"/>
        </w:rPr>
        <w:t xml:space="preserve"> sampling wa</w:t>
      </w:r>
      <w:r w:rsidR="00993A85" w:rsidRPr="00337D90">
        <w:rPr>
          <w:color w:val="000000" w:themeColor="text1"/>
          <w:sz w:val="24"/>
        </w:rPr>
        <w:t xml:space="preserve">s used </w:t>
      </w:r>
      <w:r w:rsidR="00642B29" w:rsidRPr="00337D90">
        <w:rPr>
          <w:color w:val="000000" w:themeColor="text1"/>
          <w:sz w:val="24"/>
        </w:rPr>
        <w:t xml:space="preserve">for selecting interviewees as </w:t>
      </w:r>
      <w:r w:rsidR="00993A85" w:rsidRPr="00337D90">
        <w:rPr>
          <w:color w:val="000000" w:themeColor="text1"/>
          <w:sz w:val="24"/>
        </w:rPr>
        <w:t xml:space="preserve">it is particularly </w:t>
      </w:r>
      <w:r w:rsidR="00642B29" w:rsidRPr="00337D90">
        <w:rPr>
          <w:color w:val="000000" w:themeColor="text1"/>
          <w:sz w:val="24"/>
        </w:rPr>
        <w:t xml:space="preserve">effective for a case study that aims to explore new </w:t>
      </w:r>
      <w:r w:rsidR="000C0A38" w:rsidRPr="00337D90">
        <w:rPr>
          <w:color w:val="000000" w:themeColor="text1"/>
          <w:sz w:val="24"/>
        </w:rPr>
        <w:t>lines of inquiry</w:t>
      </w:r>
      <w:r w:rsidR="00584BC1" w:rsidRPr="00337D90">
        <w:rPr>
          <w:color w:val="000000" w:themeColor="text1"/>
          <w:sz w:val="24"/>
        </w:rPr>
        <w:t>.</w:t>
      </w:r>
      <w:r w:rsidR="00D43AA7">
        <w:rPr>
          <w:color w:val="000000" w:themeColor="text1"/>
          <w:sz w:val="24"/>
        </w:rPr>
        <w:t xml:space="preserve"> </w:t>
      </w:r>
    </w:p>
    <w:p w14:paraId="1560F69E" w14:textId="77777777" w:rsidR="000C0A38" w:rsidRDefault="000C0A38" w:rsidP="00861735">
      <w:pPr>
        <w:spacing w:line="480" w:lineRule="auto"/>
        <w:rPr>
          <w:color w:val="000000" w:themeColor="text1"/>
          <w:sz w:val="24"/>
        </w:rPr>
      </w:pPr>
    </w:p>
    <w:p w14:paraId="43E1D32E" w14:textId="0F08CC2A" w:rsidR="00FD27BB" w:rsidRPr="00642B29" w:rsidRDefault="000C0A38" w:rsidP="00861735">
      <w:pPr>
        <w:spacing w:line="480" w:lineRule="auto"/>
        <w:rPr>
          <w:color w:val="000000" w:themeColor="text1"/>
          <w:sz w:val="24"/>
          <w:highlight w:val="yellow"/>
        </w:rPr>
      </w:pPr>
      <w:r>
        <w:rPr>
          <w:color w:val="000000" w:themeColor="text1"/>
          <w:sz w:val="24"/>
        </w:rPr>
        <w:t>A</w:t>
      </w:r>
      <w:r w:rsidRPr="003D1E5E">
        <w:rPr>
          <w:color w:val="000000" w:themeColor="text1"/>
          <w:sz w:val="24"/>
        </w:rPr>
        <w:t xml:space="preserve"> </w:t>
      </w:r>
      <w:r w:rsidR="000E2AF9" w:rsidRPr="003D1E5E">
        <w:rPr>
          <w:color w:val="000000" w:themeColor="text1"/>
          <w:sz w:val="24"/>
        </w:rPr>
        <w:t>total of 2</w:t>
      </w:r>
      <w:r w:rsidR="008E7AAE">
        <w:rPr>
          <w:color w:val="000000" w:themeColor="text1"/>
          <w:sz w:val="24"/>
        </w:rPr>
        <w:t>2</w:t>
      </w:r>
      <w:r w:rsidR="000E2AF9" w:rsidRPr="003D1E5E">
        <w:rPr>
          <w:color w:val="000000" w:themeColor="text1"/>
          <w:sz w:val="24"/>
        </w:rPr>
        <w:t xml:space="preserve"> interviews were conducted</w:t>
      </w:r>
      <w:r>
        <w:rPr>
          <w:color w:val="000000" w:themeColor="text1"/>
          <w:sz w:val="24"/>
        </w:rPr>
        <w:t xml:space="preserve"> with</w:t>
      </w:r>
      <w:r w:rsidR="000E2AF9" w:rsidRPr="003D1E5E">
        <w:rPr>
          <w:color w:val="000000" w:themeColor="text1"/>
          <w:sz w:val="24"/>
        </w:rPr>
        <w:t xml:space="preserve"> e</w:t>
      </w:r>
      <w:r w:rsidR="00FD27BB" w:rsidRPr="003D1E5E">
        <w:rPr>
          <w:color w:val="000000" w:themeColor="text1"/>
          <w:sz w:val="24"/>
        </w:rPr>
        <w:t xml:space="preserve">ach </w:t>
      </w:r>
      <w:r>
        <w:rPr>
          <w:color w:val="000000" w:themeColor="text1"/>
          <w:sz w:val="24"/>
        </w:rPr>
        <w:t>varying</w:t>
      </w:r>
      <w:r w:rsidR="00FD27BB" w:rsidRPr="003D1E5E">
        <w:rPr>
          <w:color w:val="000000" w:themeColor="text1"/>
          <w:sz w:val="24"/>
        </w:rPr>
        <w:t xml:space="preserve"> in length from </w:t>
      </w:r>
      <w:r w:rsidR="00DC3B28" w:rsidRPr="003D1E5E">
        <w:rPr>
          <w:color w:val="000000" w:themeColor="text1"/>
          <w:sz w:val="24"/>
        </w:rPr>
        <w:t>90</w:t>
      </w:r>
      <w:r w:rsidR="00FD27BB" w:rsidRPr="003D1E5E">
        <w:rPr>
          <w:color w:val="000000" w:themeColor="text1"/>
          <w:sz w:val="24"/>
        </w:rPr>
        <w:t xml:space="preserve"> minutes to </w:t>
      </w:r>
      <w:r w:rsidR="00DC3B28" w:rsidRPr="003D1E5E">
        <w:rPr>
          <w:color w:val="000000" w:themeColor="text1"/>
          <w:sz w:val="24"/>
        </w:rPr>
        <w:t>two</w:t>
      </w:r>
      <w:r w:rsidR="00FD27BB" w:rsidRPr="003D1E5E">
        <w:rPr>
          <w:color w:val="000000" w:themeColor="text1"/>
          <w:sz w:val="24"/>
        </w:rPr>
        <w:t xml:space="preserve"> hour</w:t>
      </w:r>
      <w:r w:rsidR="00DC3B28" w:rsidRPr="003D1E5E">
        <w:rPr>
          <w:color w:val="000000" w:themeColor="text1"/>
          <w:sz w:val="24"/>
        </w:rPr>
        <w:t>s</w:t>
      </w:r>
      <w:r w:rsidR="009D64D7" w:rsidRPr="003D1E5E">
        <w:rPr>
          <w:color w:val="000000" w:themeColor="text1"/>
          <w:sz w:val="24"/>
        </w:rPr>
        <w:t>.</w:t>
      </w:r>
      <w:r w:rsidR="00FD27BB" w:rsidRPr="003D1E5E">
        <w:rPr>
          <w:color w:val="000000" w:themeColor="text1"/>
          <w:sz w:val="24"/>
        </w:rPr>
        <w:t xml:space="preserve"> </w:t>
      </w:r>
      <w:r w:rsidR="009D64D7" w:rsidRPr="003D1E5E">
        <w:rPr>
          <w:color w:val="000000" w:themeColor="text1"/>
          <w:sz w:val="24"/>
        </w:rPr>
        <w:t>A</w:t>
      </w:r>
      <w:r w:rsidR="00FD27BB" w:rsidRPr="003D1E5E">
        <w:rPr>
          <w:color w:val="000000" w:themeColor="text1"/>
          <w:sz w:val="24"/>
        </w:rPr>
        <w:t xml:space="preserve"> conscious effort was made to break</w:t>
      </w:r>
      <w:r w:rsidR="009D64D7" w:rsidRPr="003D1E5E">
        <w:rPr>
          <w:color w:val="000000" w:themeColor="text1"/>
          <w:sz w:val="24"/>
        </w:rPr>
        <w:t xml:space="preserve"> </w:t>
      </w:r>
      <w:r w:rsidR="00FD27BB" w:rsidRPr="003D1E5E">
        <w:rPr>
          <w:color w:val="000000" w:themeColor="text1"/>
          <w:sz w:val="24"/>
        </w:rPr>
        <w:t xml:space="preserve">down any barriers that may have existed between the interviewer and interviewee. </w:t>
      </w:r>
      <w:r w:rsidR="00861735" w:rsidRPr="003D1E5E">
        <w:rPr>
          <w:color w:val="000000" w:themeColor="text1"/>
          <w:sz w:val="24"/>
        </w:rPr>
        <w:t>Interviews were transcribed and then sent to the interviewee for checking and approval.</w:t>
      </w:r>
      <w:r w:rsidR="00FD27BB" w:rsidRPr="003D1E5E">
        <w:rPr>
          <w:color w:val="000000" w:themeColor="text1"/>
          <w:sz w:val="24"/>
        </w:rPr>
        <w:t xml:space="preserve"> </w:t>
      </w:r>
      <w:r w:rsidR="00FD27BB" w:rsidRPr="003D1E5E">
        <w:rPr>
          <w:rFonts w:eastAsia="Calibri"/>
          <w:sz w:val="24"/>
        </w:rPr>
        <w:t>Table 1</w:t>
      </w:r>
      <w:r w:rsidR="009D64D7" w:rsidRPr="003D1E5E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provides a summary</w:t>
      </w:r>
      <w:r w:rsidRPr="003D1E5E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of interviewees. </w:t>
      </w:r>
      <w:r w:rsidR="0062137D">
        <w:rPr>
          <w:sz w:val="24"/>
          <w:lang w:val="en-AU"/>
        </w:rPr>
        <w:t xml:space="preserve">To ensure </w:t>
      </w:r>
      <w:r w:rsidR="004E2E19" w:rsidRPr="003D1E5E">
        <w:rPr>
          <w:sz w:val="24"/>
          <w:lang w:val="en-AU"/>
        </w:rPr>
        <w:t>confidentiality, each case is referred to as Project-A and Project-B with the data collection process occurring o</w:t>
      </w:r>
      <w:r w:rsidR="009D64D7" w:rsidRPr="003D1E5E">
        <w:rPr>
          <w:sz w:val="24"/>
          <w:lang w:val="en-AU"/>
        </w:rPr>
        <w:t>ver</w:t>
      </w:r>
      <w:r w:rsidR="004E2E19" w:rsidRPr="003D1E5E">
        <w:rPr>
          <w:sz w:val="24"/>
          <w:lang w:val="en-AU"/>
        </w:rPr>
        <w:t xml:space="preserve"> </w:t>
      </w:r>
      <w:r>
        <w:rPr>
          <w:sz w:val="24"/>
          <w:lang w:val="en-AU"/>
        </w:rPr>
        <w:t>a period of a year.</w:t>
      </w:r>
    </w:p>
    <w:p w14:paraId="496F6600" w14:textId="77777777" w:rsidR="00CB43B2" w:rsidRPr="003D1E5E" w:rsidRDefault="00CB43B2" w:rsidP="00861735">
      <w:pPr>
        <w:spacing w:line="480" w:lineRule="auto"/>
        <w:rPr>
          <w:rFonts w:eastAsia="Calibri"/>
          <w:sz w:val="24"/>
        </w:rPr>
      </w:pPr>
    </w:p>
    <w:p w14:paraId="09A53162" w14:textId="77777777" w:rsidR="00337D90" w:rsidRDefault="00337D90" w:rsidP="00337D90">
      <w:pPr>
        <w:spacing w:line="480" w:lineRule="auto"/>
        <w:jc w:val="center"/>
        <w:rPr>
          <w:sz w:val="24"/>
          <w:lang w:val="en-AU"/>
        </w:rPr>
      </w:pPr>
      <w:r>
        <w:rPr>
          <w:sz w:val="24"/>
          <w:lang w:val="en-AU"/>
        </w:rPr>
        <w:t>Table 2: Interview respondents of Projects A and B</w:t>
      </w:r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3260"/>
      </w:tblGrid>
      <w:tr w:rsidR="00337D90" w:rsidRPr="00F51ED9" w14:paraId="4D35637E" w14:textId="77777777" w:rsidTr="00FF13E0">
        <w:trPr>
          <w:trHeight w:val="33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16432DA" w14:textId="77777777" w:rsidR="00337D90" w:rsidRPr="00A760A0" w:rsidRDefault="00337D90" w:rsidP="00FF13E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4"/>
                <w:szCs w:val="20"/>
                <w:lang w:val="en-GB"/>
              </w:rPr>
              <w:t>Projects and Interviewees</w:t>
            </w:r>
            <w:r w:rsidRPr="00266A9C">
              <w:rPr>
                <w:b/>
                <w:sz w:val="20"/>
                <w:szCs w:val="20"/>
                <w:lang w:val="en-GB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F9C28" w14:textId="77777777" w:rsidR="00337D90" w:rsidRPr="00F51ED9" w:rsidRDefault="00337D90" w:rsidP="00FF13E0">
            <w:pPr>
              <w:jc w:val="left"/>
              <w:rPr>
                <w:b/>
                <w:sz w:val="24"/>
                <w:lang w:val="en-GB"/>
              </w:rPr>
            </w:pPr>
            <w:r w:rsidRPr="00F51ED9">
              <w:rPr>
                <w:b/>
                <w:sz w:val="24"/>
                <w:lang w:val="en-GB"/>
              </w:rPr>
              <w:t>Serial Codes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65E88" w14:textId="77777777" w:rsidR="00337D90" w:rsidRPr="00F51ED9" w:rsidRDefault="00337D90" w:rsidP="00FF13E0">
            <w:pPr>
              <w:jc w:val="lef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Organisations</w:t>
            </w:r>
          </w:p>
        </w:tc>
      </w:tr>
      <w:tr w:rsidR="00337D90" w:rsidRPr="00F51ED9" w14:paraId="19424934" w14:textId="77777777" w:rsidTr="00FF13E0">
        <w:trPr>
          <w:trHeight w:val="340"/>
        </w:trPr>
        <w:tc>
          <w:tcPr>
            <w:tcW w:w="43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36BBAF" w14:textId="77777777" w:rsidR="00337D90" w:rsidRPr="00A760A0" w:rsidRDefault="00337D90" w:rsidP="00FF13E0">
            <w:pPr>
              <w:jc w:val="left"/>
              <w:rPr>
                <w:i/>
                <w:sz w:val="24"/>
                <w:lang w:val="en-GB"/>
              </w:rPr>
            </w:pPr>
            <w:r w:rsidRPr="00A760A0">
              <w:rPr>
                <w:i/>
                <w:sz w:val="24"/>
                <w:lang w:val="en-GB"/>
              </w:rPr>
              <w:t>Project-A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CAD310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14:paraId="0A0FBFEB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</w:p>
        </w:tc>
      </w:tr>
      <w:tr w:rsidR="00337D90" w:rsidRPr="00F51ED9" w14:paraId="517402FB" w14:textId="77777777" w:rsidTr="00FF13E0">
        <w:trPr>
          <w:trHeight w:val="340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center"/>
          </w:tcPr>
          <w:p w14:paraId="1EFF1786" w14:textId="77777777" w:rsidR="00337D90" w:rsidRPr="00F51ED9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Procurement Director (PD)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B363C08" w14:textId="77777777" w:rsidR="00337D90" w:rsidRPr="00F51ED9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PD-A&amp;B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AA9DC45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State Government</w:t>
            </w:r>
          </w:p>
        </w:tc>
      </w:tr>
      <w:tr w:rsidR="00337D90" w:rsidRPr="00F51ED9" w14:paraId="335E2A6F" w14:textId="77777777" w:rsidTr="00FF13E0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6AA32EB3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Project Manager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368DD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PM-A</w:t>
            </w:r>
          </w:p>
        </w:tc>
        <w:tc>
          <w:tcPr>
            <w:tcW w:w="3260" w:type="dxa"/>
            <w:vAlign w:val="center"/>
          </w:tcPr>
          <w:p w14:paraId="621AA5F9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State Government</w:t>
            </w:r>
          </w:p>
        </w:tc>
      </w:tr>
      <w:tr w:rsidR="00337D90" w:rsidRPr="00F51ED9" w14:paraId="578E1C48" w14:textId="77777777" w:rsidTr="00FF13E0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3E8EAA28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Service Director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2A577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O/FM-A</w:t>
            </w:r>
          </w:p>
        </w:tc>
        <w:tc>
          <w:tcPr>
            <w:tcW w:w="3260" w:type="dxa"/>
            <w:vAlign w:val="center"/>
          </w:tcPr>
          <w:p w14:paraId="06326D0C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Clinical &amp; Healthcare Provider</w:t>
            </w:r>
          </w:p>
        </w:tc>
      </w:tr>
      <w:tr w:rsidR="00337D90" w:rsidRPr="00F51ED9" w14:paraId="08BBB5E5" w14:textId="77777777" w:rsidTr="00FF13E0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14:paraId="01DFEC76" w14:textId="77777777" w:rsidR="00337D90" w:rsidRPr="00F51ED9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Construction M</w:t>
            </w:r>
            <w:r w:rsidRPr="00F51ED9">
              <w:rPr>
                <w:sz w:val="24"/>
                <w:lang w:val="en-GB"/>
              </w:rPr>
              <w:t>anager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7F2E28" w14:textId="77777777" w:rsidR="00337D90" w:rsidRPr="00F51ED9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CM-A</w:t>
            </w:r>
          </w:p>
        </w:tc>
        <w:tc>
          <w:tcPr>
            <w:tcW w:w="3260" w:type="dxa"/>
            <w:vAlign w:val="center"/>
          </w:tcPr>
          <w:p w14:paraId="581A6C5B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Construction Company</w:t>
            </w:r>
          </w:p>
        </w:tc>
      </w:tr>
      <w:tr w:rsidR="00337D90" w:rsidRPr="00F51ED9" w14:paraId="0D886CB8" w14:textId="77777777" w:rsidTr="00FF13E0">
        <w:trPr>
          <w:trHeight w:val="340"/>
        </w:trPr>
        <w:tc>
          <w:tcPr>
            <w:tcW w:w="4395" w:type="dxa"/>
            <w:tcBorders>
              <w:bottom w:val="nil"/>
            </w:tcBorders>
            <w:shd w:val="clear" w:color="auto" w:fill="auto"/>
            <w:vAlign w:val="center"/>
          </w:tcPr>
          <w:p w14:paraId="243DCA64" w14:textId="77777777" w:rsidR="00337D90" w:rsidRPr="00F51ED9" w:rsidRDefault="00337D90" w:rsidP="00FF13E0">
            <w:pPr>
              <w:jc w:val="left"/>
              <w:rPr>
                <w:sz w:val="24"/>
                <w:lang w:val="en-GB"/>
              </w:rPr>
            </w:pPr>
            <w:r w:rsidRPr="00F51ED9">
              <w:rPr>
                <w:sz w:val="24"/>
                <w:lang w:val="en-GB"/>
              </w:rPr>
              <w:t>Architect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718A1AA5" w14:textId="77777777" w:rsidR="00337D90" w:rsidRPr="00F51ED9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D/A-A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5A2D0E3F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Design Firm</w:t>
            </w:r>
          </w:p>
        </w:tc>
      </w:tr>
      <w:tr w:rsidR="00337D90" w:rsidRPr="00F51ED9" w14:paraId="145CB797" w14:textId="77777777" w:rsidTr="00FF13E0">
        <w:trPr>
          <w:trHeight w:val="340"/>
        </w:trPr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BF7C8D" w14:textId="77777777" w:rsidR="00337D90" w:rsidRPr="00F51ED9" w:rsidRDefault="00337D90" w:rsidP="00FF13E0">
            <w:pPr>
              <w:jc w:val="left"/>
              <w:rPr>
                <w:sz w:val="24"/>
                <w:lang w:val="en-GB"/>
              </w:rPr>
            </w:pPr>
            <w:r w:rsidRPr="00F51ED9">
              <w:rPr>
                <w:sz w:val="24"/>
                <w:lang w:val="en-GB"/>
              </w:rPr>
              <w:t xml:space="preserve">Contract </w:t>
            </w:r>
            <w:r>
              <w:rPr>
                <w:sz w:val="24"/>
                <w:lang w:val="en-GB"/>
              </w:rPr>
              <w:t xml:space="preserve">Advisor/Manager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9FF6B" w14:textId="77777777" w:rsidR="00337D90" w:rsidRPr="00F51ED9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CM/PA</w:t>
            </w:r>
            <w:r w:rsidRPr="00F51ED9">
              <w:rPr>
                <w:sz w:val="24"/>
                <w:lang w:val="en-GB"/>
              </w:rPr>
              <w:t>-</w:t>
            </w:r>
            <w:r>
              <w:rPr>
                <w:sz w:val="24"/>
                <w:lang w:val="en-GB"/>
              </w:rPr>
              <w:t>A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26688FAD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State Government</w:t>
            </w:r>
          </w:p>
        </w:tc>
      </w:tr>
      <w:tr w:rsidR="00337D90" w:rsidRPr="00F51ED9" w14:paraId="6326290D" w14:textId="77777777" w:rsidTr="00FF13E0">
        <w:trPr>
          <w:trHeight w:val="340"/>
        </w:trPr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FBEA3B" w14:textId="77777777" w:rsidR="00337D90" w:rsidRPr="00A760A0" w:rsidRDefault="00337D90" w:rsidP="00FF13E0">
            <w:pPr>
              <w:jc w:val="left"/>
              <w:rPr>
                <w:i/>
                <w:sz w:val="24"/>
                <w:lang w:val="en-GB"/>
              </w:rPr>
            </w:pPr>
            <w:r w:rsidRPr="00A760A0">
              <w:rPr>
                <w:i/>
                <w:sz w:val="24"/>
                <w:lang w:val="en-GB"/>
              </w:rPr>
              <w:t>Project-B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55B320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1CC5965D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</w:p>
        </w:tc>
      </w:tr>
      <w:tr w:rsidR="00337D90" w:rsidRPr="00F51ED9" w14:paraId="2D0EE9C6" w14:textId="77777777" w:rsidTr="00FF13E0">
        <w:trPr>
          <w:trHeight w:val="340"/>
        </w:trPr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1CB90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Project Manager (PM)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EB261C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PM-B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7521CEFE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Construction Company</w:t>
            </w:r>
          </w:p>
        </w:tc>
      </w:tr>
      <w:tr w:rsidR="00337D90" w:rsidRPr="00F51ED9" w14:paraId="0B6AE2BE" w14:textId="77777777" w:rsidTr="00FF13E0">
        <w:trPr>
          <w:trHeight w:val="340"/>
        </w:trPr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2B2261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Design Manager (DM)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D2A7BA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DM-B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09793ECD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Design Firm</w:t>
            </w:r>
          </w:p>
        </w:tc>
      </w:tr>
      <w:tr w:rsidR="00337D90" w:rsidRPr="00F51ED9" w14:paraId="5C6CD363" w14:textId="77777777" w:rsidTr="00FF13E0">
        <w:trPr>
          <w:trHeight w:val="340"/>
        </w:trPr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95A33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Contract Manager (CM)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6102E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CM-B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7EB76363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Construction Company</w:t>
            </w:r>
          </w:p>
        </w:tc>
      </w:tr>
      <w:tr w:rsidR="00337D90" w:rsidRPr="00F51ED9" w14:paraId="4B528FD6" w14:textId="77777777" w:rsidTr="00337D90">
        <w:trPr>
          <w:trHeight w:val="340"/>
        </w:trPr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F651B5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Engineering Manager (CEM)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A9774D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CEM-B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3152AA0D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Construction Company</w:t>
            </w:r>
          </w:p>
        </w:tc>
      </w:tr>
      <w:tr w:rsidR="00337D90" w:rsidRPr="00F51ED9" w14:paraId="60C4EF9B" w14:textId="77777777" w:rsidTr="00337D90">
        <w:trPr>
          <w:trHeight w:val="340"/>
        </w:trPr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64D9C9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Facility/Asset Manager (F/AM)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03D413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F/AM-B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14:paraId="46EBD7DC" w14:textId="77777777" w:rsidR="00337D90" w:rsidRDefault="00337D90" w:rsidP="00FF13E0">
            <w:pPr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FM Group</w:t>
            </w:r>
          </w:p>
        </w:tc>
      </w:tr>
    </w:tbl>
    <w:p w14:paraId="51A8E31E" w14:textId="1793515E" w:rsidR="00F06815" w:rsidRDefault="00F06815" w:rsidP="00147478">
      <w:pPr>
        <w:spacing w:line="480" w:lineRule="auto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 xml:space="preserve"> </w:t>
      </w:r>
    </w:p>
    <w:p w14:paraId="2FB14092" w14:textId="54CF3F6E" w:rsidR="00DC3B28" w:rsidRPr="003D1E5E" w:rsidRDefault="00DC3B28" w:rsidP="004A6557">
      <w:pPr>
        <w:spacing w:line="480" w:lineRule="auto"/>
        <w:rPr>
          <w:sz w:val="24"/>
          <w:lang w:val="en-AU"/>
        </w:rPr>
      </w:pPr>
      <w:r w:rsidRPr="003D1E5E">
        <w:rPr>
          <w:sz w:val="24"/>
          <w:lang w:val="en-AU"/>
        </w:rPr>
        <w:t>The Procurement Director</w:t>
      </w:r>
      <w:r w:rsidR="000C0A38">
        <w:rPr>
          <w:sz w:val="24"/>
          <w:lang w:val="en-AU"/>
        </w:rPr>
        <w:t xml:space="preserve"> </w:t>
      </w:r>
      <w:r w:rsidRPr="003D1E5E">
        <w:rPr>
          <w:sz w:val="24"/>
          <w:lang w:val="en-AU"/>
        </w:rPr>
        <w:t xml:space="preserve">was responsible for overseeing the progress of both case projects (A/B) as well as the senior management in charge of the essential parts of the </w:t>
      </w:r>
      <w:r w:rsidRPr="003D1E5E">
        <w:rPr>
          <w:sz w:val="24"/>
          <w:lang w:val="en-AU"/>
        </w:rPr>
        <w:lastRenderedPageBreak/>
        <w:t xml:space="preserve">delivery of the assets (e.g., design, construction, operation and/or </w:t>
      </w:r>
      <w:r w:rsidR="00B423A0">
        <w:rPr>
          <w:sz w:val="24"/>
          <w:lang w:val="en-AU"/>
        </w:rPr>
        <w:t xml:space="preserve">facility </w:t>
      </w:r>
      <w:r w:rsidRPr="003D1E5E">
        <w:rPr>
          <w:sz w:val="24"/>
          <w:lang w:val="en-AU"/>
        </w:rPr>
        <w:t>maintenance</w:t>
      </w:r>
      <w:r w:rsidR="00B423A0">
        <w:rPr>
          <w:sz w:val="24"/>
          <w:lang w:val="en-AU"/>
        </w:rPr>
        <w:t xml:space="preserve"> – FM</w:t>
      </w:r>
      <w:r w:rsidRPr="003D1E5E">
        <w:rPr>
          <w:sz w:val="24"/>
          <w:lang w:val="en-AU"/>
        </w:rPr>
        <w:t xml:space="preserve">). All practitioners that were interviewed </w:t>
      </w:r>
      <w:r w:rsidR="000C0A38">
        <w:rPr>
          <w:sz w:val="24"/>
          <w:lang w:val="en-AU"/>
        </w:rPr>
        <w:t xml:space="preserve">had </w:t>
      </w:r>
      <w:r w:rsidR="008E7AAE">
        <w:rPr>
          <w:sz w:val="24"/>
          <w:lang w:val="en-AU"/>
        </w:rPr>
        <w:t>minimum</w:t>
      </w:r>
      <w:r w:rsidR="000C0A38">
        <w:rPr>
          <w:sz w:val="24"/>
          <w:lang w:val="en-AU"/>
        </w:rPr>
        <w:t xml:space="preserve"> of</w:t>
      </w:r>
      <w:r w:rsidR="008E7AAE">
        <w:rPr>
          <w:sz w:val="24"/>
          <w:lang w:val="en-AU"/>
        </w:rPr>
        <w:t xml:space="preserve"> 10-years’ experience</w:t>
      </w:r>
      <w:r w:rsidR="000C0A38">
        <w:rPr>
          <w:sz w:val="24"/>
          <w:lang w:val="en-AU"/>
        </w:rPr>
        <w:t xml:space="preserve"> delivering social infrastructure </w:t>
      </w:r>
      <w:r w:rsidR="008E7AAE">
        <w:rPr>
          <w:sz w:val="24"/>
          <w:lang w:val="en-AU"/>
        </w:rPr>
        <w:t>PPP</w:t>
      </w:r>
      <w:r w:rsidR="000C0A38">
        <w:rPr>
          <w:sz w:val="24"/>
          <w:lang w:val="en-AU"/>
        </w:rPr>
        <w:t>s</w:t>
      </w:r>
      <w:r w:rsidR="008E7AAE">
        <w:rPr>
          <w:sz w:val="24"/>
          <w:lang w:val="en-AU"/>
        </w:rPr>
        <w:t xml:space="preserve"> </w:t>
      </w:r>
      <w:r w:rsidR="000C0A38">
        <w:rPr>
          <w:sz w:val="24"/>
          <w:lang w:val="en-AU"/>
        </w:rPr>
        <w:t xml:space="preserve">in </w:t>
      </w:r>
      <w:r w:rsidRPr="003D1E5E">
        <w:rPr>
          <w:sz w:val="24"/>
          <w:lang w:val="en-AU"/>
        </w:rPr>
        <w:t>Australia and/or Europe</w:t>
      </w:r>
      <w:r w:rsidR="000C0A38">
        <w:rPr>
          <w:sz w:val="24"/>
          <w:lang w:val="en-AU"/>
        </w:rPr>
        <w:t xml:space="preserve">. </w:t>
      </w:r>
    </w:p>
    <w:p w14:paraId="3E06FE07" w14:textId="77777777" w:rsidR="00DC3B28" w:rsidRPr="003D1E5E" w:rsidRDefault="00DC3B28" w:rsidP="003E34ED">
      <w:pPr>
        <w:spacing w:line="480" w:lineRule="auto"/>
        <w:rPr>
          <w:sz w:val="24"/>
          <w:lang w:val="en-GB"/>
        </w:rPr>
      </w:pPr>
    </w:p>
    <w:p w14:paraId="2D4C15FB" w14:textId="77777777" w:rsidR="00685637" w:rsidRPr="003D1E5E" w:rsidRDefault="00685637" w:rsidP="003E34ED">
      <w:pPr>
        <w:spacing w:line="480" w:lineRule="auto"/>
        <w:rPr>
          <w:rFonts w:ascii="Arial" w:hAnsi="Arial" w:cs="Arial"/>
          <w:b/>
          <w:sz w:val="24"/>
          <w:lang w:val="en-GB"/>
        </w:rPr>
      </w:pPr>
      <w:r w:rsidRPr="003D1E5E">
        <w:rPr>
          <w:rFonts w:ascii="Arial" w:hAnsi="Arial" w:cs="Arial"/>
          <w:b/>
          <w:sz w:val="24"/>
          <w:lang w:val="en-GB"/>
        </w:rPr>
        <w:t>Data Analysis</w:t>
      </w:r>
    </w:p>
    <w:p w14:paraId="5AF403F1" w14:textId="0D3155F8" w:rsidR="00685637" w:rsidRPr="003D1E5E" w:rsidRDefault="00685637" w:rsidP="00685637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>The narratives</w:t>
      </w:r>
      <w:r w:rsidR="00861735" w:rsidRPr="003D1E5E">
        <w:rPr>
          <w:sz w:val="24"/>
          <w:lang w:val="en-GB"/>
        </w:rPr>
        <w:t xml:space="preserve"> that were</w:t>
      </w:r>
      <w:r w:rsidRPr="003D1E5E">
        <w:rPr>
          <w:sz w:val="24"/>
          <w:lang w:val="en-GB"/>
        </w:rPr>
        <w:t xml:space="preserve"> compiled were analysed using </w:t>
      </w:r>
      <w:proofErr w:type="spellStart"/>
      <w:r w:rsidRPr="003D1E5E">
        <w:rPr>
          <w:i/>
          <w:iCs/>
          <w:sz w:val="24"/>
          <w:lang w:val="en-GB"/>
        </w:rPr>
        <w:t>NVivo</w:t>
      </w:r>
      <w:proofErr w:type="spellEnd"/>
      <w:r w:rsidRPr="003D1E5E">
        <w:rPr>
          <w:i/>
          <w:iCs/>
          <w:sz w:val="24"/>
          <w:lang w:val="en-GB"/>
        </w:rPr>
        <w:t xml:space="preserve"> 10</w:t>
      </w:r>
      <w:r w:rsidRPr="003D1E5E">
        <w:rPr>
          <w:sz w:val="24"/>
          <w:lang w:val="en-GB"/>
        </w:rPr>
        <w:t xml:space="preserve"> software, which combines the efficient management of non-numerical, unstructured data with powerful processes of indexing and theorizing. </w:t>
      </w:r>
      <w:proofErr w:type="spellStart"/>
      <w:r w:rsidRPr="003D1E5E">
        <w:rPr>
          <w:i/>
          <w:sz w:val="24"/>
          <w:lang w:val="en-GB"/>
        </w:rPr>
        <w:t>NVivo</w:t>
      </w:r>
      <w:proofErr w:type="spellEnd"/>
      <w:r w:rsidRPr="003D1E5E">
        <w:rPr>
          <w:i/>
          <w:sz w:val="24"/>
          <w:lang w:val="en-GB"/>
        </w:rPr>
        <w:t xml:space="preserve"> 10</w:t>
      </w:r>
      <w:r w:rsidRPr="003D1E5E">
        <w:rPr>
          <w:sz w:val="24"/>
          <w:lang w:val="en-GB"/>
        </w:rPr>
        <w:t xml:space="preserve"> enabled additional data sources and journal notes to be incorporated into the analysis as well as identify</w:t>
      </w:r>
      <w:r w:rsidR="009D64D7" w:rsidRPr="003D1E5E">
        <w:rPr>
          <w:sz w:val="24"/>
          <w:lang w:val="en-GB"/>
        </w:rPr>
        <w:t>ing</w:t>
      </w:r>
      <w:r w:rsidRPr="003D1E5E">
        <w:rPr>
          <w:sz w:val="24"/>
          <w:lang w:val="en-GB"/>
        </w:rPr>
        <w:t xml:space="preserve"> emergent new themes. The development and re-assessment of themes, as the analysis </w:t>
      </w:r>
      <w:r w:rsidRPr="000C0A38">
        <w:rPr>
          <w:sz w:val="24"/>
          <w:lang w:val="en-GB"/>
        </w:rPr>
        <w:t>progressed, accords with calls to avoid confining data to pre-determined sets of categories</w:t>
      </w:r>
      <w:r w:rsidR="00595AA6" w:rsidRPr="000C0A38">
        <w:rPr>
          <w:sz w:val="24"/>
          <w:lang w:val="en-GB"/>
        </w:rPr>
        <w:t xml:space="preserve">. </w:t>
      </w:r>
      <w:r w:rsidR="003772EC" w:rsidRPr="009267C3">
        <w:rPr>
          <w:sz w:val="24"/>
          <w:lang w:val="en-GB"/>
        </w:rPr>
        <w:t>This process complie</w:t>
      </w:r>
      <w:r w:rsidR="000C0A38" w:rsidRPr="009267C3">
        <w:rPr>
          <w:sz w:val="24"/>
          <w:lang w:val="en-GB"/>
        </w:rPr>
        <w:t>d</w:t>
      </w:r>
      <w:r w:rsidR="003772EC" w:rsidRPr="009267C3">
        <w:rPr>
          <w:sz w:val="24"/>
          <w:lang w:val="en-GB"/>
        </w:rPr>
        <w:t xml:space="preserve"> with the approach developed by Silverman (2006) for interpreting qualitative data.</w:t>
      </w:r>
      <w:r w:rsidR="003772EC">
        <w:rPr>
          <w:sz w:val="24"/>
          <w:lang w:val="en-GB"/>
        </w:rPr>
        <w:t xml:space="preserve"> </w:t>
      </w:r>
      <w:proofErr w:type="spellStart"/>
      <w:r w:rsidRPr="003D1E5E">
        <w:rPr>
          <w:sz w:val="24"/>
          <w:lang w:val="en-GB"/>
        </w:rPr>
        <w:t>Kvale</w:t>
      </w:r>
      <w:proofErr w:type="spellEnd"/>
      <w:r w:rsidRPr="003D1E5E">
        <w:rPr>
          <w:sz w:val="24"/>
          <w:lang w:val="en-GB"/>
        </w:rPr>
        <w:t xml:space="preserve"> (1996) suggests that </w:t>
      </w:r>
      <w:r w:rsidRPr="003D1E5E">
        <w:rPr>
          <w:i/>
          <w:iCs/>
          <w:sz w:val="24"/>
          <w:lang w:val="en-GB"/>
        </w:rPr>
        <w:t>ad hoc</w:t>
      </w:r>
      <w:r w:rsidRPr="003D1E5E">
        <w:rPr>
          <w:sz w:val="24"/>
          <w:lang w:val="en-GB"/>
        </w:rPr>
        <w:t xml:space="preserve"> methods for generating meaning enable</w:t>
      </w:r>
      <w:r w:rsidR="009D64D7" w:rsidRPr="003D1E5E">
        <w:rPr>
          <w:sz w:val="24"/>
          <w:lang w:val="en-GB"/>
        </w:rPr>
        <w:t>s</w:t>
      </w:r>
      <w:r w:rsidRPr="003D1E5E">
        <w:rPr>
          <w:sz w:val="24"/>
          <w:lang w:val="en-GB"/>
        </w:rPr>
        <w:t xml:space="preserve"> the researcher to access “a variety of common-sense approaches to interview text using an interplay of techniques such as noting patterns, seeing plausibility, making comparisons etc. (p.204).</w:t>
      </w:r>
      <w:r w:rsidR="002751D3" w:rsidRPr="003D1E5E">
        <w:rPr>
          <w:sz w:val="24"/>
          <w:lang w:val="en-GB"/>
        </w:rPr>
        <w:t>”</w:t>
      </w:r>
    </w:p>
    <w:p w14:paraId="5E481282" w14:textId="77777777" w:rsidR="00B9224B" w:rsidRPr="003D1E5E" w:rsidRDefault="00B9224B" w:rsidP="003A6721">
      <w:pPr>
        <w:spacing w:line="480" w:lineRule="auto"/>
        <w:rPr>
          <w:sz w:val="24"/>
          <w:lang w:val="en-AU"/>
        </w:rPr>
      </w:pPr>
    </w:p>
    <w:p w14:paraId="0DFAFCE4" w14:textId="77777777" w:rsidR="000F5359" w:rsidRPr="003D1E5E" w:rsidRDefault="004E2E19" w:rsidP="009A3DAA">
      <w:pPr>
        <w:spacing w:line="480" w:lineRule="auto"/>
        <w:rPr>
          <w:rFonts w:ascii="Arial" w:hAnsi="Arial" w:cs="Arial"/>
          <w:b/>
          <w:sz w:val="24"/>
          <w:lang w:val="en-GB"/>
        </w:rPr>
      </w:pPr>
      <w:r w:rsidRPr="003D1E5E">
        <w:rPr>
          <w:rFonts w:ascii="Arial" w:hAnsi="Arial" w:cs="Arial"/>
          <w:b/>
          <w:sz w:val="24"/>
          <w:lang w:val="en-GB"/>
        </w:rPr>
        <w:t>Case Background</w:t>
      </w:r>
    </w:p>
    <w:p w14:paraId="70C46D60" w14:textId="77777777" w:rsidR="00860923" w:rsidRPr="003D1E5E" w:rsidRDefault="00016836" w:rsidP="0051084D">
      <w:pPr>
        <w:spacing w:line="480" w:lineRule="auto"/>
        <w:rPr>
          <w:sz w:val="24"/>
          <w:lang w:val="en-AU"/>
        </w:rPr>
      </w:pPr>
      <w:r w:rsidRPr="003D1E5E">
        <w:rPr>
          <w:sz w:val="24"/>
          <w:lang w:val="en-AU"/>
        </w:rPr>
        <w:t>Project-A</w:t>
      </w:r>
      <w:r w:rsidR="004E2E19" w:rsidRPr="003D1E5E">
        <w:rPr>
          <w:sz w:val="24"/>
          <w:lang w:val="en-AU"/>
        </w:rPr>
        <w:t xml:space="preserve"> </w:t>
      </w:r>
      <w:r w:rsidRPr="003D1E5E">
        <w:rPr>
          <w:sz w:val="24"/>
          <w:lang w:val="en-AU"/>
        </w:rPr>
        <w:t>is a public hospital, encompassing more than 300 beds and</w:t>
      </w:r>
      <w:r w:rsidR="000C0A38">
        <w:rPr>
          <w:sz w:val="24"/>
          <w:lang w:val="en-AU"/>
        </w:rPr>
        <w:t xml:space="preserve"> housing more than</w:t>
      </w:r>
      <w:r w:rsidRPr="003D1E5E">
        <w:rPr>
          <w:sz w:val="24"/>
          <w:lang w:val="en-AU"/>
        </w:rPr>
        <w:t xml:space="preserve"> 1,000 staff. State-of-the-art facilities are embedded into the hospital</w:t>
      </w:r>
      <w:r w:rsidR="000C0A38">
        <w:rPr>
          <w:sz w:val="24"/>
          <w:lang w:val="en-AU"/>
        </w:rPr>
        <w:t>.</w:t>
      </w:r>
      <w:r w:rsidRPr="003D1E5E">
        <w:rPr>
          <w:sz w:val="24"/>
          <w:lang w:val="en-AU"/>
        </w:rPr>
        <w:t xml:space="preserve"> </w:t>
      </w:r>
      <w:r w:rsidR="000C0A38">
        <w:rPr>
          <w:sz w:val="24"/>
          <w:lang w:val="en-AU"/>
        </w:rPr>
        <w:t>F</w:t>
      </w:r>
      <w:r w:rsidRPr="003D1E5E">
        <w:rPr>
          <w:sz w:val="24"/>
          <w:lang w:val="en-AU"/>
        </w:rPr>
        <w:t>or example, Magnetic Resonance Imaging scanners,</w:t>
      </w:r>
      <w:r w:rsidR="000C0A38">
        <w:rPr>
          <w:sz w:val="24"/>
          <w:lang w:val="en-AU"/>
        </w:rPr>
        <w:t xml:space="preserve"> which</w:t>
      </w:r>
      <w:r w:rsidRPr="003D1E5E">
        <w:rPr>
          <w:sz w:val="24"/>
          <w:lang w:val="en-AU"/>
        </w:rPr>
        <w:t xml:space="preserve"> ensur</w:t>
      </w:r>
      <w:r w:rsidR="000C0A38">
        <w:rPr>
          <w:sz w:val="24"/>
          <w:lang w:val="en-AU"/>
        </w:rPr>
        <w:t>e</w:t>
      </w:r>
      <w:r w:rsidRPr="003D1E5E">
        <w:rPr>
          <w:sz w:val="24"/>
          <w:lang w:val="en-AU"/>
        </w:rPr>
        <w:t xml:space="preserve"> that a comprehensive range of clinical and healthcare services (e.g., pathology, general medical and medical specialities, general surgery and surgical specialities, maternity, intensive </w:t>
      </w:r>
      <w:r w:rsidR="004E2E19" w:rsidRPr="003D1E5E">
        <w:rPr>
          <w:sz w:val="24"/>
          <w:lang w:val="en-AU"/>
        </w:rPr>
        <w:t>care, and adult rehabilitation</w:t>
      </w:r>
      <w:r w:rsidRPr="003D1E5E">
        <w:rPr>
          <w:sz w:val="24"/>
          <w:lang w:val="en-AU"/>
        </w:rPr>
        <w:t xml:space="preserve">) </w:t>
      </w:r>
      <w:r w:rsidR="008410B0" w:rsidRPr="003D1E5E">
        <w:rPr>
          <w:sz w:val="24"/>
          <w:lang w:val="en-AU"/>
        </w:rPr>
        <w:t>are</w:t>
      </w:r>
      <w:r w:rsidRPr="003D1E5E">
        <w:rPr>
          <w:sz w:val="24"/>
          <w:lang w:val="en-AU"/>
        </w:rPr>
        <w:t xml:space="preserve"> offered to the local communities.</w:t>
      </w:r>
      <w:r w:rsidR="00EF5451" w:rsidRPr="003D1E5E">
        <w:rPr>
          <w:sz w:val="24"/>
          <w:lang w:val="en-AU"/>
        </w:rPr>
        <w:t xml:space="preserve"> </w:t>
      </w:r>
      <w:r w:rsidR="004E2E19" w:rsidRPr="003D1E5E">
        <w:rPr>
          <w:sz w:val="24"/>
          <w:lang w:val="en-AU"/>
        </w:rPr>
        <w:t>The hospital had a contra</w:t>
      </w:r>
      <w:r w:rsidR="00860923" w:rsidRPr="003D1E5E">
        <w:rPr>
          <w:sz w:val="24"/>
          <w:lang w:val="en-AU"/>
        </w:rPr>
        <w:t>ct value of AU$340 million in 20</w:t>
      </w:r>
      <w:r w:rsidR="00C62E58" w:rsidRPr="003D1E5E">
        <w:rPr>
          <w:sz w:val="24"/>
          <w:lang w:val="en-AU"/>
        </w:rPr>
        <w:t>0</w:t>
      </w:r>
      <w:r w:rsidR="00860923" w:rsidRPr="003D1E5E">
        <w:rPr>
          <w:sz w:val="24"/>
          <w:lang w:val="en-AU"/>
        </w:rPr>
        <w:t>8</w:t>
      </w:r>
      <w:r w:rsidR="00C62E58" w:rsidRPr="003D1E5E">
        <w:rPr>
          <w:sz w:val="24"/>
          <w:lang w:val="en-AU"/>
        </w:rPr>
        <w:t>,</w:t>
      </w:r>
      <w:r w:rsidR="004E2E19" w:rsidRPr="003D1E5E">
        <w:rPr>
          <w:sz w:val="24"/>
          <w:lang w:val="en-AU"/>
        </w:rPr>
        <w:t xml:space="preserve"> </w:t>
      </w:r>
      <w:r w:rsidR="000C0A38">
        <w:rPr>
          <w:sz w:val="24"/>
          <w:lang w:val="en-AU"/>
        </w:rPr>
        <w:t xml:space="preserve">was </w:t>
      </w:r>
      <w:r w:rsidR="004E2E19" w:rsidRPr="003D1E5E">
        <w:rPr>
          <w:sz w:val="24"/>
          <w:lang w:val="en-AU"/>
        </w:rPr>
        <w:t>procured using a Design Build Operate and Maintain (DBOM)</w:t>
      </w:r>
      <w:r w:rsidR="00860923" w:rsidRPr="003D1E5E">
        <w:rPr>
          <w:sz w:val="24"/>
          <w:lang w:val="en-AU"/>
        </w:rPr>
        <w:t xml:space="preserve"> </w:t>
      </w:r>
      <w:r w:rsidR="008410B0" w:rsidRPr="003D1E5E">
        <w:rPr>
          <w:sz w:val="24"/>
          <w:lang w:val="en-AU"/>
        </w:rPr>
        <w:t xml:space="preserve">and </w:t>
      </w:r>
      <w:r w:rsidR="004D3DE6">
        <w:rPr>
          <w:sz w:val="24"/>
          <w:lang w:val="en-AU"/>
        </w:rPr>
        <w:t>became</w:t>
      </w:r>
      <w:r w:rsidR="00582D73">
        <w:rPr>
          <w:sz w:val="24"/>
          <w:lang w:val="en-AU"/>
        </w:rPr>
        <w:t xml:space="preserve"> operational in 2016</w:t>
      </w:r>
      <w:r w:rsidR="00860923" w:rsidRPr="003D1E5E">
        <w:rPr>
          <w:sz w:val="24"/>
          <w:lang w:val="en-AU"/>
        </w:rPr>
        <w:t>.</w:t>
      </w:r>
      <w:r w:rsidR="00565D78" w:rsidRPr="003D1E5E">
        <w:rPr>
          <w:sz w:val="24"/>
          <w:lang w:val="en-AU"/>
        </w:rPr>
        <w:t xml:space="preserve"> </w:t>
      </w:r>
      <w:r w:rsidR="00860923" w:rsidRPr="003D1E5E">
        <w:rPr>
          <w:sz w:val="24"/>
          <w:lang w:val="en-AU"/>
        </w:rPr>
        <w:t>Contrastingly</w:t>
      </w:r>
      <w:r w:rsidR="00EF5451" w:rsidRPr="003D1E5E">
        <w:rPr>
          <w:sz w:val="24"/>
          <w:lang w:val="en-AU"/>
        </w:rPr>
        <w:t xml:space="preserve">, </w:t>
      </w:r>
      <w:r w:rsidR="0051084D" w:rsidRPr="003D1E5E">
        <w:rPr>
          <w:sz w:val="24"/>
          <w:lang w:val="en-AU"/>
        </w:rPr>
        <w:t>Project-B</w:t>
      </w:r>
      <w:r w:rsidR="004E2E19" w:rsidRPr="003D1E5E">
        <w:rPr>
          <w:sz w:val="24"/>
          <w:lang w:val="en-AU"/>
        </w:rPr>
        <w:t xml:space="preserve"> </w:t>
      </w:r>
      <w:r w:rsidR="004D3DE6">
        <w:rPr>
          <w:sz w:val="24"/>
          <w:lang w:val="en-AU"/>
        </w:rPr>
        <w:t>was</w:t>
      </w:r>
      <w:r w:rsidR="004D3DE6" w:rsidRPr="003D1E5E">
        <w:rPr>
          <w:sz w:val="24"/>
          <w:lang w:val="en-AU"/>
        </w:rPr>
        <w:t xml:space="preserve"> </w:t>
      </w:r>
      <w:r w:rsidR="008E5C61" w:rsidRPr="003D1E5E">
        <w:rPr>
          <w:sz w:val="24"/>
          <w:lang w:val="en-AU"/>
        </w:rPr>
        <w:t xml:space="preserve">a regional prison, which </w:t>
      </w:r>
      <w:r w:rsidR="004D3DE6" w:rsidRPr="003D1E5E">
        <w:rPr>
          <w:sz w:val="24"/>
          <w:lang w:val="en-AU"/>
        </w:rPr>
        <w:t>aim</w:t>
      </w:r>
      <w:r w:rsidR="004D3DE6">
        <w:rPr>
          <w:sz w:val="24"/>
          <w:lang w:val="en-AU"/>
        </w:rPr>
        <w:t xml:space="preserve">ed </w:t>
      </w:r>
      <w:r w:rsidR="008E5C61" w:rsidRPr="003D1E5E">
        <w:rPr>
          <w:sz w:val="24"/>
          <w:lang w:val="en-AU"/>
        </w:rPr>
        <w:t>to deliver</w:t>
      </w:r>
      <w:r w:rsidR="0051084D" w:rsidRPr="003D1E5E">
        <w:rPr>
          <w:sz w:val="24"/>
          <w:lang w:val="en-AU"/>
        </w:rPr>
        <w:t xml:space="preserve"> </w:t>
      </w:r>
      <w:r w:rsidR="0051084D" w:rsidRPr="003D1E5E">
        <w:rPr>
          <w:sz w:val="24"/>
          <w:lang w:val="en-AU"/>
        </w:rPr>
        <w:lastRenderedPageBreak/>
        <w:t>more than 1,</w:t>
      </w:r>
      <w:r w:rsidR="004E2E19" w:rsidRPr="003D1E5E">
        <w:rPr>
          <w:sz w:val="24"/>
          <w:lang w:val="en-AU"/>
        </w:rPr>
        <w:t>600 additional beds across the S</w:t>
      </w:r>
      <w:r w:rsidR="0051084D" w:rsidRPr="003D1E5E">
        <w:rPr>
          <w:sz w:val="24"/>
          <w:lang w:val="en-AU"/>
        </w:rPr>
        <w:t>tate’s prison system. This project replace</w:t>
      </w:r>
      <w:r w:rsidR="004D3DE6">
        <w:rPr>
          <w:sz w:val="24"/>
          <w:lang w:val="en-AU"/>
        </w:rPr>
        <w:t>d</w:t>
      </w:r>
      <w:r w:rsidR="0051084D" w:rsidRPr="003D1E5E">
        <w:rPr>
          <w:sz w:val="24"/>
          <w:lang w:val="en-AU"/>
        </w:rPr>
        <w:t xml:space="preserve"> the existing </w:t>
      </w:r>
      <w:r w:rsidR="004E2E19" w:rsidRPr="003D1E5E">
        <w:rPr>
          <w:sz w:val="24"/>
          <w:lang w:val="en-AU"/>
        </w:rPr>
        <w:t>facility</w:t>
      </w:r>
      <w:r w:rsidR="0051084D" w:rsidRPr="003D1E5E">
        <w:rPr>
          <w:sz w:val="24"/>
          <w:lang w:val="en-AU"/>
        </w:rPr>
        <w:t xml:space="preserve">, which </w:t>
      </w:r>
      <w:r w:rsidR="008E5C61" w:rsidRPr="003D1E5E">
        <w:rPr>
          <w:sz w:val="24"/>
          <w:lang w:val="en-AU"/>
        </w:rPr>
        <w:t xml:space="preserve">initially </w:t>
      </w:r>
      <w:r w:rsidR="0051084D" w:rsidRPr="003D1E5E">
        <w:rPr>
          <w:sz w:val="24"/>
          <w:lang w:val="en-AU"/>
        </w:rPr>
        <w:t>was built in the 1980s and incorporate</w:t>
      </w:r>
      <w:r w:rsidR="004E2E19" w:rsidRPr="003D1E5E">
        <w:rPr>
          <w:sz w:val="24"/>
          <w:lang w:val="en-AU"/>
        </w:rPr>
        <w:t>d</w:t>
      </w:r>
      <w:r w:rsidR="0051084D" w:rsidRPr="003D1E5E">
        <w:rPr>
          <w:sz w:val="24"/>
          <w:lang w:val="en-AU"/>
        </w:rPr>
        <w:t xml:space="preserve"> </w:t>
      </w:r>
      <w:r w:rsidR="004E2E19" w:rsidRPr="003D1E5E">
        <w:rPr>
          <w:sz w:val="24"/>
          <w:lang w:val="en-AU"/>
        </w:rPr>
        <w:t>only 100 beds</w:t>
      </w:r>
      <w:r w:rsidR="0051084D" w:rsidRPr="003D1E5E">
        <w:rPr>
          <w:sz w:val="24"/>
          <w:lang w:val="en-AU"/>
        </w:rPr>
        <w:t>.</w:t>
      </w:r>
      <w:r w:rsidR="00860923" w:rsidRPr="003D1E5E">
        <w:rPr>
          <w:sz w:val="24"/>
          <w:lang w:val="en-AU"/>
        </w:rPr>
        <w:t xml:space="preserve"> Project-B had a contract value of AU$200 million in 2009 and was procured</w:t>
      </w:r>
      <w:r w:rsidR="00C62E58" w:rsidRPr="003D1E5E">
        <w:rPr>
          <w:sz w:val="24"/>
          <w:lang w:val="en-AU"/>
        </w:rPr>
        <w:t xml:space="preserve"> employing a</w:t>
      </w:r>
      <w:r w:rsidR="00860923" w:rsidRPr="003D1E5E">
        <w:rPr>
          <w:sz w:val="24"/>
          <w:lang w:val="en-AU"/>
        </w:rPr>
        <w:t xml:space="preserve"> Design Build Finance Maintain (DBFM)</w:t>
      </w:r>
      <w:r w:rsidR="004D3DE6">
        <w:rPr>
          <w:sz w:val="24"/>
          <w:lang w:val="en-AU"/>
        </w:rPr>
        <w:t xml:space="preserve"> and was completed in 2016.</w:t>
      </w:r>
    </w:p>
    <w:p w14:paraId="3AA4DEB5" w14:textId="77777777" w:rsidR="0051084D" w:rsidRPr="003D1E5E" w:rsidRDefault="0051084D" w:rsidP="0051084D">
      <w:pPr>
        <w:spacing w:line="480" w:lineRule="auto"/>
        <w:rPr>
          <w:sz w:val="24"/>
          <w:lang w:val="en-AU"/>
        </w:rPr>
      </w:pPr>
    </w:p>
    <w:p w14:paraId="62008FB5" w14:textId="77777777" w:rsidR="00D234B7" w:rsidRDefault="00860923" w:rsidP="0051084D">
      <w:pPr>
        <w:spacing w:line="480" w:lineRule="auto"/>
        <w:rPr>
          <w:sz w:val="24"/>
          <w:lang w:val="en-AU"/>
        </w:rPr>
      </w:pPr>
      <w:r w:rsidRPr="003D1E5E">
        <w:rPr>
          <w:sz w:val="24"/>
          <w:lang w:val="en-AU"/>
        </w:rPr>
        <w:t xml:space="preserve">Both DBOM and DBFM are forms of PPP. In </w:t>
      </w:r>
      <w:r w:rsidR="00446193" w:rsidRPr="003D1E5E">
        <w:rPr>
          <w:sz w:val="24"/>
          <w:lang w:val="en-AU"/>
        </w:rPr>
        <w:t xml:space="preserve">the </w:t>
      </w:r>
      <w:r w:rsidRPr="003D1E5E">
        <w:rPr>
          <w:sz w:val="24"/>
          <w:lang w:val="en-AU"/>
        </w:rPr>
        <w:t>case of Project-A</w:t>
      </w:r>
      <w:r w:rsidR="00446193" w:rsidRPr="003D1E5E">
        <w:rPr>
          <w:sz w:val="24"/>
          <w:lang w:val="en-AU"/>
        </w:rPr>
        <w:t>,</w:t>
      </w:r>
      <w:r w:rsidRPr="003D1E5E">
        <w:rPr>
          <w:sz w:val="24"/>
          <w:lang w:val="en-AU"/>
        </w:rPr>
        <w:t xml:space="preserve"> </w:t>
      </w:r>
      <w:r w:rsidR="00B35876" w:rsidRPr="003D1E5E">
        <w:rPr>
          <w:sz w:val="24"/>
          <w:lang w:val="en-AU"/>
        </w:rPr>
        <w:t>the priv</w:t>
      </w:r>
      <w:r w:rsidR="00D405DC" w:rsidRPr="003D1E5E">
        <w:rPr>
          <w:sz w:val="24"/>
          <w:lang w:val="en-AU"/>
        </w:rPr>
        <w:t>ate</w:t>
      </w:r>
      <w:r w:rsidR="00916844" w:rsidRPr="003D1E5E">
        <w:rPr>
          <w:sz w:val="24"/>
          <w:lang w:val="en-AU"/>
        </w:rPr>
        <w:t>-sector</w:t>
      </w:r>
      <w:r w:rsidR="00D405DC" w:rsidRPr="003D1E5E">
        <w:rPr>
          <w:sz w:val="24"/>
          <w:lang w:val="en-AU"/>
        </w:rPr>
        <w:t xml:space="preserve"> </w:t>
      </w:r>
      <w:r w:rsidR="008E5C61" w:rsidRPr="003D1E5E">
        <w:rPr>
          <w:sz w:val="24"/>
          <w:lang w:val="en-AU"/>
        </w:rPr>
        <w:t>SPV</w:t>
      </w:r>
      <w:r w:rsidR="00D405DC" w:rsidRPr="003D1E5E">
        <w:rPr>
          <w:sz w:val="24"/>
          <w:lang w:val="en-AU"/>
        </w:rPr>
        <w:t xml:space="preserve"> handled the asset’s design, build, operation and maintenance, while the </w:t>
      </w:r>
      <w:r w:rsidR="00E2246A" w:rsidRPr="003D1E5E">
        <w:rPr>
          <w:sz w:val="24"/>
          <w:lang w:val="en-AU"/>
        </w:rPr>
        <w:t>SPV</w:t>
      </w:r>
      <w:r w:rsidR="00D405DC" w:rsidRPr="003D1E5E">
        <w:rPr>
          <w:sz w:val="24"/>
          <w:lang w:val="en-AU"/>
        </w:rPr>
        <w:t xml:space="preserve"> of Project-B was responsible for designing, building, financing and maintaining the facility. </w:t>
      </w:r>
      <w:r w:rsidR="00916844" w:rsidRPr="003D1E5E">
        <w:rPr>
          <w:sz w:val="24"/>
          <w:lang w:val="en-AU"/>
        </w:rPr>
        <w:t>Unlike Project-B</w:t>
      </w:r>
      <w:r w:rsidR="004D3DE6">
        <w:rPr>
          <w:sz w:val="24"/>
          <w:lang w:val="en-AU"/>
        </w:rPr>
        <w:t>,</w:t>
      </w:r>
      <w:r w:rsidR="00916844" w:rsidRPr="003D1E5E">
        <w:rPr>
          <w:sz w:val="24"/>
          <w:lang w:val="en-AU"/>
        </w:rPr>
        <w:t xml:space="preserve"> </w:t>
      </w:r>
      <w:r w:rsidR="008410B0" w:rsidRPr="003D1E5E">
        <w:rPr>
          <w:sz w:val="24"/>
          <w:lang w:val="en-AU"/>
        </w:rPr>
        <w:t>which</w:t>
      </w:r>
      <w:r w:rsidR="008E5C61" w:rsidRPr="003D1E5E">
        <w:rPr>
          <w:sz w:val="24"/>
          <w:lang w:val="en-AU"/>
        </w:rPr>
        <w:t xml:space="preserve"> was fully funded by the private-</w:t>
      </w:r>
      <w:r w:rsidR="00916844" w:rsidRPr="003D1E5E">
        <w:rPr>
          <w:sz w:val="24"/>
          <w:lang w:val="en-AU"/>
        </w:rPr>
        <w:t>sector</w:t>
      </w:r>
      <w:r w:rsidR="008E5C61" w:rsidRPr="003D1E5E">
        <w:rPr>
          <w:sz w:val="24"/>
          <w:lang w:val="en-AU"/>
        </w:rPr>
        <w:t xml:space="preserve"> SPV</w:t>
      </w:r>
      <w:r w:rsidR="00E2246A" w:rsidRPr="003D1E5E">
        <w:rPr>
          <w:sz w:val="24"/>
          <w:lang w:val="en-AU"/>
        </w:rPr>
        <w:t xml:space="preserve"> by introducing equity investors and debt providers</w:t>
      </w:r>
      <w:r w:rsidR="00916844" w:rsidRPr="003D1E5E">
        <w:rPr>
          <w:sz w:val="24"/>
          <w:lang w:val="en-AU"/>
        </w:rPr>
        <w:t>, Project-A was co-funded by the Australian Commonwealth</w:t>
      </w:r>
      <w:r w:rsidR="00C60D44" w:rsidRPr="003D1E5E">
        <w:rPr>
          <w:sz w:val="24"/>
          <w:lang w:val="en-AU"/>
        </w:rPr>
        <w:t xml:space="preserve"> and State Governments (i.e., AU</w:t>
      </w:r>
      <w:r w:rsidR="00916844" w:rsidRPr="003D1E5E">
        <w:rPr>
          <w:sz w:val="24"/>
          <w:lang w:val="en-AU"/>
        </w:rPr>
        <w:t>$170 million from each). Figures 1 and 2 illustrate the structures of the case projects.</w:t>
      </w:r>
    </w:p>
    <w:p w14:paraId="4A95F74F" w14:textId="70C08DC3" w:rsidR="005F5AC2" w:rsidRDefault="005F5AC2" w:rsidP="00111CC2">
      <w:pPr>
        <w:spacing w:line="480" w:lineRule="auto"/>
        <w:rPr>
          <w:sz w:val="24"/>
          <w:lang w:val="en-AU"/>
        </w:rPr>
      </w:pPr>
    </w:p>
    <w:p w14:paraId="260B5DF7" w14:textId="77C7A54E" w:rsidR="009267C3" w:rsidRDefault="009267C3" w:rsidP="009267C3">
      <w:pPr>
        <w:spacing w:line="480" w:lineRule="auto"/>
        <w:jc w:val="center"/>
        <w:rPr>
          <w:sz w:val="24"/>
          <w:lang w:val="en-AU"/>
        </w:rPr>
      </w:pPr>
      <w:r>
        <w:rPr>
          <w:noProof/>
          <w:sz w:val="24"/>
          <w:lang w:val="en-GB" w:eastAsia="en-GB"/>
        </w:rPr>
        <w:drawing>
          <wp:inline distT="0" distB="0" distL="0" distR="0" wp14:anchorId="6E0AAC4B" wp14:editId="66FB15C6">
            <wp:extent cx="5768533" cy="36957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445" cy="3700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7164C8" w14:textId="5198D620" w:rsidR="009267C3" w:rsidRDefault="00667F8C" w:rsidP="009267C3">
      <w:pPr>
        <w:spacing w:line="480" w:lineRule="auto"/>
        <w:jc w:val="center"/>
        <w:rPr>
          <w:sz w:val="24"/>
          <w:lang w:val="en-AU"/>
        </w:rPr>
      </w:pPr>
      <w:r>
        <w:rPr>
          <w:sz w:val="24"/>
          <w:lang w:val="en-AU"/>
        </w:rPr>
        <w:t>Figure 1: Structure of Project-A</w:t>
      </w:r>
    </w:p>
    <w:p w14:paraId="2BF4AE95" w14:textId="5EDF603A" w:rsidR="00F06815" w:rsidRDefault="009267C3" w:rsidP="009267C3">
      <w:pPr>
        <w:spacing w:line="480" w:lineRule="auto"/>
        <w:jc w:val="center"/>
        <w:rPr>
          <w:sz w:val="24"/>
          <w:lang w:val="en-AU"/>
        </w:rPr>
      </w:pPr>
      <w:r>
        <w:rPr>
          <w:noProof/>
          <w:sz w:val="24"/>
          <w:lang w:val="en-GB" w:eastAsia="en-GB"/>
        </w:rPr>
        <w:lastRenderedPageBreak/>
        <w:drawing>
          <wp:inline distT="0" distB="0" distL="0" distR="0" wp14:anchorId="36D57D39" wp14:editId="63DF397E">
            <wp:extent cx="5905906" cy="3133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447" cy="3135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A6790" w14:textId="457EB3D1" w:rsidR="005F5AC2" w:rsidRDefault="00667F8C" w:rsidP="00111CC2">
      <w:pPr>
        <w:spacing w:line="480" w:lineRule="auto"/>
        <w:jc w:val="center"/>
        <w:rPr>
          <w:sz w:val="24"/>
          <w:lang w:val="en-AU"/>
        </w:rPr>
      </w:pPr>
      <w:r>
        <w:rPr>
          <w:sz w:val="24"/>
          <w:lang w:val="en-AU"/>
        </w:rPr>
        <w:t>Figure 2: Structure of Project-B</w:t>
      </w:r>
    </w:p>
    <w:p w14:paraId="29C3EC8F" w14:textId="77777777" w:rsidR="00282F3E" w:rsidRDefault="00282F3E" w:rsidP="0051084D">
      <w:pPr>
        <w:spacing w:line="480" w:lineRule="auto"/>
        <w:rPr>
          <w:sz w:val="24"/>
          <w:lang w:val="en-AU"/>
        </w:rPr>
      </w:pPr>
    </w:p>
    <w:p w14:paraId="5C56FD58" w14:textId="77777777" w:rsidR="00B35876" w:rsidRDefault="00860923" w:rsidP="0051084D">
      <w:pPr>
        <w:spacing w:line="480" w:lineRule="auto"/>
        <w:rPr>
          <w:sz w:val="24"/>
          <w:lang w:val="en-AU"/>
        </w:rPr>
      </w:pPr>
      <w:r w:rsidRPr="003D1E5E">
        <w:rPr>
          <w:sz w:val="24"/>
          <w:lang w:val="en-AU"/>
        </w:rPr>
        <w:t xml:space="preserve">Both </w:t>
      </w:r>
      <w:r w:rsidR="00172B72" w:rsidRPr="003D1E5E">
        <w:rPr>
          <w:sz w:val="24"/>
          <w:lang w:val="en-AU"/>
        </w:rPr>
        <w:t>projects have a similar delivery process</w:t>
      </w:r>
      <w:r w:rsidR="00C55890" w:rsidRPr="003D1E5E">
        <w:rPr>
          <w:sz w:val="24"/>
          <w:lang w:val="en-AU"/>
        </w:rPr>
        <w:t>, involving</w:t>
      </w:r>
      <w:r w:rsidR="00EA3537">
        <w:rPr>
          <w:sz w:val="24"/>
          <w:lang w:val="en-AU"/>
        </w:rPr>
        <w:t xml:space="preserve">: (1) </w:t>
      </w:r>
      <w:r w:rsidR="00183931" w:rsidRPr="003D1E5E">
        <w:rPr>
          <w:i/>
          <w:sz w:val="24"/>
          <w:lang w:val="en-AU"/>
        </w:rPr>
        <w:t xml:space="preserve">Initiation </w:t>
      </w:r>
      <w:r w:rsidR="00DE0204" w:rsidRPr="003D1E5E">
        <w:rPr>
          <w:i/>
          <w:sz w:val="24"/>
          <w:lang w:val="en-AU"/>
        </w:rPr>
        <w:t>&amp;</w:t>
      </w:r>
      <w:r w:rsidR="00183931" w:rsidRPr="003D1E5E">
        <w:rPr>
          <w:i/>
          <w:sz w:val="24"/>
          <w:lang w:val="en-AU"/>
        </w:rPr>
        <w:t xml:space="preserve"> Planning</w:t>
      </w:r>
      <w:r w:rsidR="00387B04" w:rsidRPr="003D1E5E">
        <w:rPr>
          <w:sz w:val="24"/>
          <w:lang w:val="en-AU"/>
        </w:rPr>
        <w:t xml:space="preserve"> (e.g., business case</w:t>
      </w:r>
      <w:r w:rsidR="00EA3537">
        <w:rPr>
          <w:sz w:val="24"/>
          <w:lang w:val="en-AU"/>
        </w:rPr>
        <w:t xml:space="preserve"> study</w:t>
      </w:r>
      <w:r w:rsidR="00387B04" w:rsidRPr="003D1E5E">
        <w:rPr>
          <w:sz w:val="24"/>
          <w:lang w:val="en-AU"/>
        </w:rPr>
        <w:t>, i</w:t>
      </w:r>
      <w:r w:rsidR="00183931" w:rsidRPr="003D1E5E">
        <w:rPr>
          <w:sz w:val="24"/>
          <w:lang w:val="en-AU"/>
        </w:rPr>
        <w:t xml:space="preserve">nvitation for </w:t>
      </w:r>
      <w:r w:rsidR="00EA3537">
        <w:rPr>
          <w:sz w:val="24"/>
          <w:lang w:val="en-AU"/>
        </w:rPr>
        <w:t xml:space="preserve">the </w:t>
      </w:r>
      <w:r w:rsidR="00183931" w:rsidRPr="003D1E5E">
        <w:rPr>
          <w:sz w:val="24"/>
          <w:lang w:val="en-AU"/>
        </w:rPr>
        <w:t>Expression of Interest and evaluation of submitted</w:t>
      </w:r>
      <w:r w:rsidR="00005B59">
        <w:rPr>
          <w:sz w:val="24"/>
          <w:lang w:val="en-AU"/>
        </w:rPr>
        <w:t xml:space="preserve"> proposals</w:t>
      </w:r>
      <w:r w:rsidR="00183931" w:rsidRPr="003D1E5E">
        <w:rPr>
          <w:sz w:val="24"/>
          <w:lang w:val="en-AU"/>
        </w:rPr>
        <w:t xml:space="preserve">), </w:t>
      </w:r>
      <w:r w:rsidR="00183931" w:rsidRPr="003D1E5E">
        <w:rPr>
          <w:i/>
          <w:sz w:val="24"/>
          <w:lang w:val="en-AU"/>
        </w:rPr>
        <w:t>Procurement</w:t>
      </w:r>
      <w:r w:rsidR="00387B04" w:rsidRPr="003D1E5E">
        <w:rPr>
          <w:sz w:val="24"/>
          <w:lang w:val="en-AU"/>
        </w:rPr>
        <w:t xml:space="preserve"> (e.g., </w:t>
      </w:r>
      <w:r w:rsidR="00EA3537">
        <w:rPr>
          <w:sz w:val="24"/>
          <w:lang w:val="en-AU"/>
        </w:rPr>
        <w:t>request for p</w:t>
      </w:r>
      <w:r w:rsidR="00183931" w:rsidRPr="003D1E5E">
        <w:rPr>
          <w:sz w:val="24"/>
          <w:lang w:val="en-AU"/>
        </w:rPr>
        <w:t xml:space="preserve">roposal, </w:t>
      </w:r>
      <w:r w:rsidR="00387B04" w:rsidRPr="003D1E5E">
        <w:rPr>
          <w:sz w:val="24"/>
          <w:lang w:val="en-AU"/>
        </w:rPr>
        <w:t>tendering</w:t>
      </w:r>
      <w:r w:rsidR="00C55890" w:rsidRPr="003D1E5E">
        <w:rPr>
          <w:sz w:val="24"/>
          <w:lang w:val="en-AU"/>
        </w:rPr>
        <w:t>/</w:t>
      </w:r>
      <w:r w:rsidR="00387B04" w:rsidRPr="003D1E5E">
        <w:rPr>
          <w:sz w:val="24"/>
          <w:lang w:val="en-AU"/>
        </w:rPr>
        <w:t>bidding</w:t>
      </w:r>
      <w:r w:rsidR="00DE0204" w:rsidRPr="003D1E5E">
        <w:rPr>
          <w:sz w:val="24"/>
          <w:lang w:val="en-AU"/>
        </w:rPr>
        <w:t xml:space="preserve"> and </w:t>
      </w:r>
      <w:r w:rsidR="00183931" w:rsidRPr="003D1E5E">
        <w:rPr>
          <w:sz w:val="24"/>
          <w:lang w:val="en-AU"/>
        </w:rPr>
        <w:t xml:space="preserve">financial close) and </w:t>
      </w:r>
      <w:r w:rsidR="00183931" w:rsidRPr="003D1E5E">
        <w:rPr>
          <w:i/>
          <w:sz w:val="24"/>
          <w:lang w:val="en-AU"/>
        </w:rPr>
        <w:t>Partnership</w:t>
      </w:r>
      <w:r w:rsidR="00AA2BA8" w:rsidRPr="003D1E5E">
        <w:rPr>
          <w:sz w:val="24"/>
          <w:lang w:val="en-AU"/>
        </w:rPr>
        <w:t xml:space="preserve"> (</w:t>
      </w:r>
      <w:r w:rsidR="00E739AC" w:rsidRPr="003D1E5E">
        <w:rPr>
          <w:sz w:val="24"/>
          <w:lang w:val="en-AU"/>
        </w:rPr>
        <w:t>e.g.</w:t>
      </w:r>
      <w:r w:rsidR="00AA2BA8" w:rsidRPr="003D1E5E">
        <w:rPr>
          <w:sz w:val="24"/>
          <w:lang w:val="en-AU"/>
        </w:rPr>
        <w:t>,</w:t>
      </w:r>
      <w:r w:rsidR="00183931" w:rsidRPr="003D1E5E">
        <w:rPr>
          <w:sz w:val="24"/>
          <w:lang w:val="en-AU"/>
        </w:rPr>
        <w:t xml:space="preserve"> design, construction and/or operation and maintenance).</w:t>
      </w:r>
    </w:p>
    <w:p w14:paraId="1041F92E" w14:textId="77777777" w:rsidR="00717196" w:rsidRDefault="00717196" w:rsidP="0051084D">
      <w:pPr>
        <w:spacing w:line="480" w:lineRule="auto"/>
        <w:rPr>
          <w:sz w:val="24"/>
          <w:lang w:val="en-AU"/>
        </w:rPr>
      </w:pPr>
    </w:p>
    <w:p w14:paraId="4E0115E1" w14:textId="77777777" w:rsidR="00016836" w:rsidRPr="003D1E5E" w:rsidRDefault="006C063E" w:rsidP="00016836">
      <w:pPr>
        <w:spacing w:line="480" w:lineRule="auto"/>
        <w:rPr>
          <w:rFonts w:ascii="Arial" w:hAnsi="Arial" w:cs="Arial"/>
          <w:b/>
          <w:sz w:val="24"/>
          <w:lang w:val="en-AU"/>
        </w:rPr>
      </w:pPr>
      <w:r w:rsidRPr="003D1E5E">
        <w:rPr>
          <w:rFonts w:ascii="Arial" w:hAnsi="Arial" w:cs="Arial"/>
          <w:b/>
          <w:sz w:val="24"/>
          <w:lang w:val="en-AU"/>
        </w:rPr>
        <w:t>Performance Evaluations</w:t>
      </w:r>
      <w:r w:rsidR="004F60B5" w:rsidRPr="003D1E5E">
        <w:rPr>
          <w:rFonts w:ascii="Arial" w:hAnsi="Arial" w:cs="Arial"/>
          <w:b/>
          <w:sz w:val="24"/>
          <w:lang w:val="en-AU"/>
        </w:rPr>
        <w:t xml:space="preserve"> </w:t>
      </w:r>
      <w:r w:rsidRPr="003D1E5E">
        <w:rPr>
          <w:rFonts w:ascii="Arial" w:hAnsi="Arial" w:cs="Arial"/>
          <w:b/>
          <w:sz w:val="24"/>
          <w:lang w:val="en-AU"/>
        </w:rPr>
        <w:t>of Case Projects</w:t>
      </w:r>
    </w:p>
    <w:p w14:paraId="1AB12D1C" w14:textId="77777777" w:rsidR="007104C5" w:rsidRDefault="00183BCD" w:rsidP="00045701">
      <w:pPr>
        <w:spacing w:line="480" w:lineRule="auto"/>
        <w:rPr>
          <w:sz w:val="24"/>
          <w:lang w:val="en-AU"/>
        </w:rPr>
      </w:pPr>
      <w:r w:rsidRPr="003D1E5E">
        <w:rPr>
          <w:sz w:val="24"/>
          <w:lang w:val="en-AU"/>
        </w:rPr>
        <w:t xml:space="preserve">The performance </w:t>
      </w:r>
      <w:r w:rsidR="00005B59">
        <w:rPr>
          <w:sz w:val="24"/>
          <w:lang w:val="en-AU"/>
        </w:rPr>
        <w:t>evaluation</w:t>
      </w:r>
      <w:r w:rsidRPr="003D1E5E">
        <w:rPr>
          <w:sz w:val="24"/>
          <w:lang w:val="en-AU"/>
        </w:rPr>
        <w:t xml:space="preserve"> systems of </w:t>
      </w:r>
      <w:r w:rsidR="00C842D5" w:rsidRPr="003D1E5E">
        <w:rPr>
          <w:sz w:val="24"/>
          <w:lang w:val="en-AU"/>
        </w:rPr>
        <w:t>Projects A and B</w:t>
      </w:r>
      <w:r w:rsidR="00F631B2" w:rsidRPr="003D1E5E">
        <w:rPr>
          <w:sz w:val="24"/>
          <w:lang w:val="en-AU"/>
        </w:rPr>
        <w:t xml:space="preserve"> </w:t>
      </w:r>
      <w:r w:rsidRPr="003D1E5E">
        <w:rPr>
          <w:sz w:val="24"/>
          <w:lang w:val="en-AU"/>
        </w:rPr>
        <w:t xml:space="preserve">contain two separate </w:t>
      </w:r>
      <w:r w:rsidR="00C842D5" w:rsidRPr="003D1E5E">
        <w:rPr>
          <w:sz w:val="24"/>
          <w:lang w:val="en-AU"/>
        </w:rPr>
        <w:t>parts</w:t>
      </w:r>
      <w:r w:rsidRPr="003D1E5E">
        <w:rPr>
          <w:sz w:val="24"/>
          <w:lang w:val="en-AU"/>
        </w:rPr>
        <w:t xml:space="preserve"> </w:t>
      </w:r>
      <w:r w:rsidR="004D3DE6">
        <w:rPr>
          <w:sz w:val="24"/>
          <w:lang w:val="en-AU"/>
        </w:rPr>
        <w:t>that were</w:t>
      </w:r>
      <w:r w:rsidRPr="003D1E5E">
        <w:rPr>
          <w:sz w:val="24"/>
          <w:lang w:val="en-AU"/>
        </w:rPr>
        <w:t xml:space="preserve"> handled by the public authorities and </w:t>
      </w:r>
      <w:r w:rsidR="00C842D5" w:rsidRPr="003D1E5E">
        <w:rPr>
          <w:sz w:val="24"/>
          <w:lang w:val="en-AU"/>
        </w:rPr>
        <w:t xml:space="preserve">the </w:t>
      </w:r>
      <w:r w:rsidRPr="003D1E5E">
        <w:rPr>
          <w:sz w:val="24"/>
          <w:lang w:val="en-AU"/>
        </w:rPr>
        <w:t>private-sector SPVs</w:t>
      </w:r>
      <w:r w:rsidR="004D3DE6">
        <w:rPr>
          <w:sz w:val="24"/>
          <w:lang w:val="en-AU"/>
        </w:rPr>
        <w:t>,</w:t>
      </w:r>
      <w:r w:rsidRPr="003D1E5E">
        <w:rPr>
          <w:sz w:val="24"/>
          <w:lang w:val="en-AU"/>
        </w:rPr>
        <w:t xml:space="preserve"> respectively. </w:t>
      </w:r>
      <w:r w:rsidR="004A533E">
        <w:rPr>
          <w:sz w:val="24"/>
          <w:lang w:val="en-AU"/>
        </w:rPr>
        <w:t xml:space="preserve">The </w:t>
      </w:r>
      <w:r w:rsidRPr="003D1E5E">
        <w:rPr>
          <w:sz w:val="24"/>
          <w:lang w:val="en-AU"/>
        </w:rPr>
        <w:t>evaluation</w:t>
      </w:r>
      <w:r w:rsidR="004F6231" w:rsidRPr="003D1E5E">
        <w:rPr>
          <w:sz w:val="24"/>
          <w:lang w:val="en-AU"/>
        </w:rPr>
        <w:t xml:space="preserve">s </w:t>
      </w:r>
      <w:r w:rsidRPr="003D1E5E">
        <w:rPr>
          <w:sz w:val="24"/>
          <w:lang w:val="en-AU"/>
        </w:rPr>
        <w:t>undertaken by the government focused on the</w:t>
      </w:r>
      <w:r w:rsidR="00E57C0E" w:rsidRPr="003D1E5E">
        <w:rPr>
          <w:sz w:val="24"/>
          <w:lang w:val="en-AU"/>
        </w:rPr>
        <w:t xml:space="preserve"> </w:t>
      </w:r>
      <w:r w:rsidR="00017FC7" w:rsidRPr="003D1E5E">
        <w:rPr>
          <w:sz w:val="24"/>
          <w:lang w:val="en-AU"/>
        </w:rPr>
        <w:t xml:space="preserve">assessment for </w:t>
      </w:r>
      <w:proofErr w:type="spellStart"/>
      <w:r w:rsidR="00E57C0E" w:rsidRPr="003D1E5E">
        <w:rPr>
          <w:sz w:val="24"/>
          <w:lang w:val="en-AU"/>
        </w:rPr>
        <w:t>V</w:t>
      </w:r>
      <w:r w:rsidR="00E57C0E" w:rsidRPr="003D1E5E">
        <w:rPr>
          <w:i/>
          <w:sz w:val="24"/>
          <w:lang w:val="en-AU"/>
        </w:rPr>
        <w:t>f</w:t>
      </w:r>
      <w:r w:rsidR="00E57C0E" w:rsidRPr="003D1E5E">
        <w:rPr>
          <w:sz w:val="24"/>
          <w:lang w:val="en-AU"/>
        </w:rPr>
        <w:t>M</w:t>
      </w:r>
      <w:proofErr w:type="spellEnd"/>
      <w:r w:rsidR="00E57C0E" w:rsidRPr="003D1E5E">
        <w:rPr>
          <w:sz w:val="24"/>
          <w:lang w:val="en-AU"/>
        </w:rPr>
        <w:t xml:space="preserve"> as well as</w:t>
      </w:r>
      <w:r w:rsidRPr="003D1E5E">
        <w:rPr>
          <w:sz w:val="24"/>
          <w:lang w:val="en-AU"/>
        </w:rPr>
        <w:t xml:space="preserve"> business case </w:t>
      </w:r>
      <w:r w:rsidR="00017FC7" w:rsidRPr="003D1E5E">
        <w:rPr>
          <w:sz w:val="24"/>
          <w:lang w:val="en-AU"/>
        </w:rPr>
        <w:t xml:space="preserve">development </w:t>
      </w:r>
      <w:r w:rsidRPr="003D1E5E">
        <w:rPr>
          <w:sz w:val="24"/>
          <w:lang w:val="en-AU"/>
        </w:rPr>
        <w:t>and</w:t>
      </w:r>
      <w:r w:rsidR="004A533E">
        <w:rPr>
          <w:sz w:val="24"/>
          <w:lang w:val="en-AU"/>
        </w:rPr>
        <w:t xml:space="preserve"> the effectiveness of the</w:t>
      </w:r>
      <w:r w:rsidRPr="003D1E5E">
        <w:rPr>
          <w:sz w:val="24"/>
          <w:lang w:val="en-AU"/>
        </w:rPr>
        <w:t xml:space="preserve"> tendering decision</w:t>
      </w:r>
      <w:r w:rsidR="004A533E">
        <w:rPr>
          <w:sz w:val="24"/>
          <w:lang w:val="en-AU"/>
        </w:rPr>
        <w:t>.</w:t>
      </w:r>
      <w:r w:rsidR="004A533E" w:rsidRPr="003D1E5E">
        <w:rPr>
          <w:sz w:val="24"/>
          <w:lang w:val="en-AU"/>
        </w:rPr>
        <w:t xml:space="preserve"> </w:t>
      </w:r>
      <w:r w:rsidR="004A533E">
        <w:rPr>
          <w:sz w:val="24"/>
          <w:lang w:val="en-AU"/>
        </w:rPr>
        <w:t>Conversely, t</w:t>
      </w:r>
      <w:r w:rsidR="004A533E" w:rsidRPr="003D1E5E">
        <w:rPr>
          <w:sz w:val="24"/>
          <w:lang w:val="en-AU"/>
        </w:rPr>
        <w:t xml:space="preserve">he </w:t>
      </w:r>
      <w:r w:rsidRPr="003D1E5E">
        <w:rPr>
          <w:sz w:val="24"/>
          <w:lang w:val="en-AU"/>
        </w:rPr>
        <w:t xml:space="preserve">measurements </w:t>
      </w:r>
      <w:r w:rsidR="00017FC7" w:rsidRPr="003D1E5E">
        <w:rPr>
          <w:sz w:val="24"/>
          <w:lang w:val="en-AU"/>
        </w:rPr>
        <w:t>initiated</w:t>
      </w:r>
      <w:r w:rsidRPr="003D1E5E">
        <w:rPr>
          <w:sz w:val="24"/>
          <w:lang w:val="en-AU"/>
        </w:rPr>
        <w:t xml:space="preserve"> </w:t>
      </w:r>
      <w:r w:rsidR="00017FC7" w:rsidRPr="003D1E5E">
        <w:rPr>
          <w:sz w:val="24"/>
          <w:lang w:val="en-AU"/>
        </w:rPr>
        <w:t xml:space="preserve">by </w:t>
      </w:r>
      <w:r w:rsidRPr="003D1E5E">
        <w:rPr>
          <w:sz w:val="24"/>
          <w:lang w:val="en-AU"/>
        </w:rPr>
        <w:t>the private</w:t>
      </w:r>
      <w:r w:rsidR="004F6231" w:rsidRPr="003D1E5E">
        <w:rPr>
          <w:sz w:val="24"/>
          <w:lang w:val="en-AU"/>
        </w:rPr>
        <w:t>-sector</w:t>
      </w:r>
      <w:r w:rsidRPr="003D1E5E">
        <w:rPr>
          <w:sz w:val="24"/>
          <w:lang w:val="en-AU"/>
        </w:rPr>
        <w:t xml:space="preserve"> entities concentrated </w:t>
      </w:r>
      <w:r w:rsidR="004A533E">
        <w:rPr>
          <w:sz w:val="24"/>
          <w:lang w:val="en-AU"/>
        </w:rPr>
        <w:t>adhering to</w:t>
      </w:r>
      <w:r w:rsidR="00E57C0E" w:rsidRPr="003D1E5E">
        <w:rPr>
          <w:sz w:val="24"/>
          <w:lang w:val="en-AU"/>
        </w:rPr>
        <w:t xml:space="preserve"> </w:t>
      </w:r>
      <w:r w:rsidR="004F6231" w:rsidRPr="003D1E5E">
        <w:rPr>
          <w:sz w:val="24"/>
          <w:lang w:val="en-AU"/>
        </w:rPr>
        <w:t>the predetermined</w:t>
      </w:r>
      <w:r w:rsidR="00DC3B28" w:rsidRPr="003D1E5E">
        <w:rPr>
          <w:sz w:val="24"/>
          <w:lang w:val="en-AU"/>
        </w:rPr>
        <w:t xml:space="preserve"> deliverables of</w:t>
      </w:r>
      <w:r w:rsidR="004F6231" w:rsidRPr="003D1E5E">
        <w:rPr>
          <w:sz w:val="24"/>
          <w:lang w:val="en-AU"/>
        </w:rPr>
        <w:t xml:space="preserve"> schedule, budget</w:t>
      </w:r>
      <w:r w:rsidR="00E57C0E" w:rsidRPr="003D1E5E">
        <w:rPr>
          <w:sz w:val="24"/>
          <w:lang w:val="en-AU"/>
        </w:rPr>
        <w:t xml:space="preserve"> and </w:t>
      </w:r>
      <w:r w:rsidR="00DC3B28" w:rsidRPr="003D1E5E">
        <w:rPr>
          <w:sz w:val="24"/>
          <w:lang w:val="en-AU"/>
        </w:rPr>
        <w:t>service</w:t>
      </w:r>
      <w:r w:rsidR="00017FC7" w:rsidRPr="003D1E5E">
        <w:rPr>
          <w:sz w:val="24"/>
          <w:lang w:val="en-AU"/>
        </w:rPr>
        <w:t xml:space="preserve"> (i.e.,</w:t>
      </w:r>
      <w:r w:rsidR="00E57C0E" w:rsidRPr="003D1E5E">
        <w:rPr>
          <w:sz w:val="24"/>
          <w:lang w:val="en-AU"/>
        </w:rPr>
        <w:t xml:space="preserve"> </w:t>
      </w:r>
      <w:r w:rsidR="004F6231" w:rsidRPr="003D1E5E">
        <w:rPr>
          <w:sz w:val="24"/>
          <w:lang w:val="en-AU"/>
        </w:rPr>
        <w:t>asset quality and/or operational outputs</w:t>
      </w:r>
      <w:r w:rsidR="00017FC7" w:rsidRPr="003D1E5E">
        <w:rPr>
          <w:sz w:val="24"/>
          <w:lang w:val="en-AU"/>
        </w:rPr>
        <w:t>)</w:t>
      </w:r>
      <w:r w:rsidR="004F6231" w:rsidRPr="003D1E5E">
        <w:rPr>
          <w:sz w:val="24"/>
          <w:lang w:val="en-AU"/>
        </w:rPr>
        <w:t xml:space="preserve">. </w:t>
      </w:r>
      <w:r w:rsidR="00DC3B28" w:rsidRPr="003D1E5E">
        <w:rPr>
          <w:sz w:val="24"/>
          <w:lang w:val="en-AU"/>
        </w:rPr>
        <w:t>For example</w:t>
      </w:r>
      <w:r w:rsidR="00BC2E8D" w:rsidRPr="003D1E5E">
        <w:rPr>
          <w:sz w:val="24"/>
          <w:lang w:val="en-AU"/>
        </w:rPr>
        <w:t>,</w:t>
      </w:r>
      <w:r w:rsidR="00E57C0E" w:rsidRPr="003D1E5E">
        <w:rPr>
          <w:sz w:val="24"/>
          <w:lang w:val="en-AU"/>
        </w:rPr>
        <w:t xml:space="preserve"> </w:t>
      </w:r>
      <w:r w:rsidR="00BC2E8D" w:rsidRPr="003D1E5E">
        <w:rPr>
          <w:sz w:val="24"/>
          <w:lang w:val="en-AU"/>
        </w:rPr>
        <w:t xml:space="preserve">the </w:t>
      </w:r>
      <w:r w:rsidR="00E57C0E" w:rsidRPr="003D1E5E">
        <w:rPr>
          <w:sz w:val="24"/>
          <w:lang w:val="en-AU"/>
        </w:rPr>
        <w:t>P</w:t>
      </w:r>
      <w:r w:rsidR="004F6231" w:rsidRPr="003D1E5E">
        <w:rPr>
          <w:sz w:val="24"/>
          <w:lang w:val="en-AU"/>
        </w:rPr>
        <w:t>r</w:t>
      </w:r>
      <w:r w:rsidR="00E57C0E" w:rsidRPr="003D1E5E">
        <w:rPr>
          <w:sz w:val="24"/>
          <w:lang w:val="en-AU"/>
        </w:rPr>
        <w:t xml:space="preserve">ocurement Director </w:t>
      </w:r>
      <w:r w:rsidR="00C842D5" w:rsidRPr="003D1E5E">
        <w:rPr>
          <w:sz w:val="24"/>
          <w:lang w:val="en-AU"/>
        </w:rPr>
        <w:t>stated:</w:t>
      </w:r>
    </w:p>
    <w:p w14:paraId="4BA4550F" w14:textId="77777777" w:rsidR="00C842D5" w:rsidRPr="003D1E5E" w:rsidRDefault="000B435B" w:rsidP="00F06815">
      <w:pPr>
        <w:spacing w:line="480" w:lineRule="auto"/>
        <w:ind w:left="454" w:right="454"/>
        <w:rPr>
          <w:sz w:val="24"/>
          <w:lang w:val="en-AU"/>
        </w:rPr>
      </w:pPr>
      <w:r w:rsidRPr="003D1E5E">
        <w:rPr>
          <w:sz w:val="24"/>
          <w:lang w:val="en-AU"/>
        </w:rPr>
        <w:lastRenderedPageBreak/>
        <w:t xml:space="preserve">“There are two parts of performance evaluation in the projects. For the government, we used </w:t>
      </w:r>
      <w:r w:rsidR="00C35439" w:rsidRPr="003D1E5E">
        <w:rPr>
          <w:sz w:val="24"/>
          <w:lang w:val="en-AU"/>
        </w:rPr>
        <w:t>the concept of ‘Gateway Review’ to control the performance of the project. So, during the inception stage, strategic evaluation for feasibility, such as value for money assessment unde</w:t>
      </w:r>
      <w:r w:rsidR="00005B59">
        <w:rPr>
          <w:sz w:val="24"/>
          <w:lang w:val="en-AU"/>
        </w:rPr>
        <w:t xml:space="preserve">r the Public Sector Comparator </w:t>
      </w:r>
      <w:r w:rsidR="00C35439" w:rsidRPr="003D1E5E">
        <w:rPr>
          <w:sz w:val="24"/>
          <w:lang w:val="en-AU"/>
        </w:rPr>
        <w:t>and a number of q</w:t>
      </w:r>
      <w:r w:rsidR="00096982" w:rsidRPr="003D1E5E">
        <w:rPr>
          <w:sz w:val="24"/>
          <w:lang w:val="en-AU"/>
        </w:rPr>
        <w:t>ualitative issues (for Project-A</w:t>
      </w:r>
      <w:r w:rsidR="00C35439" w:rsidRPr="003D1E5E">
        <w:rPr>
          <w:sz w:val="24"/>
          <w:lang w:val="en-AU"/>
        </w:rPr>
        <w:t>), and then an evaluative review for business case development were conducted, followed by assessments for confirming the defined outputs and checking the tender decision.</w:t>
      </w:r>
      <w:r w:rsidR="00C60D44" w:rsidRPr="003D1E5E">
        <w:rPr>
          <w:sz w:val="24"/>
          <w:lang w:val="en-AU"/>
        </w:rPr>
        <w:t xml:space="preserve"> For the private consortia, </w:t>
      </w:r>
      <w:r w:rsidR="00735A67" w:rsidRPr="003D1E5E">
        <w:rPr>
          <w:sz w:val="24"/>
          <w:lang w:val="en-AU"/>
        </w:rPr>
        <w:t>they checked if the projects were</w:t>
      </w:r>
      <w:r w:rsidR="00C60D44" w:rsidRPr="003D1E5E">
        <w:rPr>
          <w:sz w:val="24"/>
          <w:lang w:val="en-AU"/>
        </w:rPr>
        <w:t xml:space="preserve"> delivered on time and on budget or assessed if the operation can mee</w:t>
      </w:r>
      <w:r w:rsidR="00E81506">
        <w:rPr>
          <w:sz w:val="24"/>
          <w:lang w:val="en-AU"/>
        </w:rPr>
        <w:t>t our devised key performance indicators (KPIs)</w:t>
      </w:r>
      <w:r w:rsidR="00C60D44" w:rsidRPr="003D1E5E">
        <w:rPr>
          <w:sz w:val="24"/>
          <w:lang w:val="en-AU"/>
        </w:rPr>
        <w:t xml:space="preserve"> </w:t>
      </w:r>
      <w:r w:rsidR="00735A67" w:rsidRPr="003D1E5E">
        <w:rPr>
          <w:sz w:val="24"/>
          <w:lang w:val="en-AU"/>
        </w:rPr>
        <w:t>(Project-A)</w:t>
      </w:r>
      <w:r w:rsidR="00446193" w:rsidRPr="003D1E5E">
        <w:rPr>
          <w:sz w:val="24"/>
          <w:lang w:val="en-AU"/>
        </w:rPr>
        <w:t xml:space="preserve"> </w:t>
      </w:r>
      <w:r w:rsidR="00C60D44" w:rsidRPr="003D1E5E">
        <w:rPr>
          <w:sz w:val="24"/>
          <w:lang w:val="en-AU"/>
        </w:rPr>
        <w:t>…</w:t>
      </w:r>
      <w:r w:rsidR="00C35439" w:rsidRPr="003D1E5E">
        <w:rPr>
          <w:sz w:val="24"/>
          <w:lang w:val="en-AU"/>
        </w:rPr>
        <w:t>”</w:t>
      </w:r>
    </w:p>
    <w:p w14:paraId="7A5FF9B0" w14:textId="77777777" w:rsidR="000E7B6A" w:rsidRPr="003D1E5E" w:rsidRDefault="000E7B6A" w:rsidP="00045701">
      <w:pPr>
        <w:spacing w:line="480" w:lineRule="auto"/>
        <w:rPr>
          <w:sz w:val="24"/>
          <w:lang w:val="en-AU"/>
        </w:rPr>
      </w:pPr>
    </w:p>
    <w:p w14:paraId="4EFABB97" w14:textId="77777777" w:rsidR="00565D78" w:rsidRDefault="00535B0D" w:rsidP="00147478">
      <w:pPr>
        <w:spacing w:line="480" w:lineRule="auto"/>
        <w:rPr>
          <w:sz w:val="24"/>
          <w:lang w:val="en-AU"/>
        </w:rPr>
      </w:pPr>
      <w:r w:rsidRPr="003D1E5E">
        <w:rPr>
          <w:sz w:val="24"/>
          <w:lang w:val="en-AU"/>
        </w:rPr>
        <w:t xml:space="preserve">The objective information </w:t>
      </w:r>
      <w:r w:rsidR="00096982" w:rsidRPr="003D1E5E">
        <w:rPr>
          <w:sz w:val="24"/>
          <w:lang w:val="en-AU"/>
        </w:rPr>
        <w:t>obtained from documentary sources</w:t>
      </w:r>
      <w:r w:rsidRPr="003D1E5E">
        <w:rPr>
          <w:sz w:val="24"/>
          <w:lang w:val="en-AU"/>
        </w:rPr>
        <w:t xml:space="preserve"> provided </w:t>
      </w:r>
      <w:r w:rsidR="00396E79" w:rsidRPr="003D1E5E">
        <w:rPr>
          <w:sz w:val="24"/>
          <w:lang w:val="en-AU"/>
        </w:rPr>
        <w:t>an</w:t>
      </w:r>
      <w:r w:rsidRPr="003D1E5E">
        <w:rPr>
          <w:sz w:val="24"/>
          <w:lang w:val="en-AU"/>
        </w:rPr>
        <w:t xml:space="preserve"> understanding </w:t>
      </w:r>
      <w:r w:rsidR="000C101D" w:rsidRPr="003D1E5E">
        <w:rPr>
          <w:sz w:val="24"/>
          <w:lang w:val="en-AU"/>
        </w:rPr>
        <w:t xml:space="preserve">of </w:t>
      </w:r>
      <w:r w:rsidR="00396E79" w:rsidRPr="003D1E5E">
        <w:rPr>
          <w:sz w:val="24"/>
          <w:lang w:val="en-AU"/>
        </w:rPr>
        <w:t>the</w:t>
      </w:r>
      <w:r w:rsidR="00096982" w:rsidRPr="003D1E5E">
        <w:rPr>
          <w:sz w:val="24"/>
          <w:lang w:val="en-AU"/>
        </w:rPr>
        <w:t xml:space="preserve"> practice</w:t>
      </w:r>
      <w:r w:rsidR="00396E79" w:rsidRPr="003D1E5E">
        <w:rPr>
          <w:sz w:val="24"/>
          <w:lang w:val="en-AU"/>
        </w:rPr>
        <w:t xml:space="preserve"> of evaluation being implemented in</w:t>
      </w:r>
      <w:r w:rsidR="00096982" w:rsidRPr="003D1E5E">
        <w:rPr>
          <w:sz w:val="24"/>
          <w:lang w:val="en-AU"/>
        </w:rPr>
        <w:t xml:space="preserve"> </w:t>
      </w:r>
      <w:r w:rsidR="008410B0" w:rsidRPr="003D1E5E">
        <w:rPr>
          <w:sz w:val="24"/>
          <w:lang w:val="en-AU"/>
        </w:rPr>
        <w:t xml:space="preserve">the </w:t>
      </w:r>
      <w:r w:rsidR="00096982" w:rsidRPr="003D1E5E">
        <w:rPr>
          <w:sz w:val="24"/>
          <w:lang w:val="en-AU"/>
        </w:rPr>
        <w:t>cas</w:t>
      </w:r>
      <w:r w:rsidR="00396E79" w:rsidRPr="003D1E5E">
        <w:rPr>
          <w:sz w:val="24"/>
          <w:lang w:val="en-AU"/>
        </w:rPr>
        <w:t>e projects</w:t>
      </w:r>
      <w:r w:rsidR="00096982" w:rsidRPr="003D1E5E">
        <w:rPr>
          <w:sz w:val="24"/>
          <w:lang w:val="en-AU"/>
        </w:rPr>
        <w:t xml:space="preserve">. According to the ‘Project Summary’ </w:t>
      </w:r>
      <w:r w:rsidR="000E2AF9" w:rsidRPr="003D1E5E">
        <w:rPr>
          <w:sz w:val="24"/>
          <w:lang w:val="en-AU"/>
        </w:rPr>
        <w:t>of each case project</w:t>
      </w:r>
      <w:r w:rsidR="00096982" w:rsidRPr="003D1E5E">
        <w:rPr>
          <w:sz w:val="24"/>
          <w:lang w:val="en-AU"/>
        </w:rPr>
        <w:t xml:space="preserve">, </w:t>
      </w:r>
      <w:r w:rsidR="00005B59">
        <w:rPr>
          <w:sz w:val="24"/>
          <w:lang w:val="en-AU"/>
        </w:rPr>
        <w:t>Project-B used only the Public Sector Comparator (PSC)</w:t>
      </w:r>
      <w:r w:rsidR="00F06815">
        <w:rPr>
          <w:sz w:val="24"/>
          <w:lang w:val="en-AU"/>
        </w:rPr>
        <w:t xml:space="preserve"> for assessing </w:t>
      </w:r>
      <w:proofErr w:type="spellStart"/>
      <w:r w:rsidR="00F06815">
        <w:rPr>
          <w:sz w:val="24"/>
          <w:lang w:val="en-AU"/>
        </w:rPr>
        <w:t>V</w:t>
      </w:r>
      <w:r w:rsidR="00F06815" w:rsidRPr="00F06815">
        <w:rPr>
          <w:i/>
          <w:sz w:val="24"/>
          <w:lang w:val="en-AU"/>
        </w:rPr>
        <w:t>f</w:t>
      </w:r>
      <w:r w:rsidR="00F06815">
        <w:rPr>
          <w:sz w:val="24"/>
          <w:lang w:val="en-AU"/>
        </w:rPr>
        <w:t>M</w:t>
      </w:r>
      <w:proofErr w:type="spellEnd"/>
      <w:r w:rsidR="004A533E">
        <w:rPr>
          <w:sz w:val="24"/>
          <w:lang w:val="en-AU"/>
        </w:rPr>
        <w:t>. In the case of Project-A</w:t>
      </w:r>
      <w:r w:rsidR="00F06815">
        <w:rPr>
          <w:sz w:val="24"/>
          <w:lang w:val="en-AU"/>
        </w:rPr>
        <w:t xml:space="preserve"> </w:t>
      </w:r>
      <w:proofErr w:type="spellStart"/>
      <w:r w:rsidR="00F06815">
        <w:rPr>
          <w:sz w:val="24"/>
          <w:lang w:val="en-AU"/>
        </w:rPr>
        <w:t>V</w:t>
      </w:r>
      <w:r w:rsidR="00F06815" w:rsidRPr="00F06815">
        <w:rPr>
          <w:i/>
          <w:sz w:val="24"/>
          <w:lang w:val="en-AU"/>
        </w:rPr>
        <w:t>f</w:t>
      </w:r>
      <w:r w:rsidR="00F06815">
        <w:rPr>
          <w:sz w:val="24"/>
          <w:lang w:val="en-AU"/>
        </w:rPr>
        <w:t>M</w:t>
      </w:r>
      <w:proofErr w:type="spellEnd"/>
      <w:r w:rsidR="00F06815">
        <w:rPr>
          <w:sz w:val="24"/>
          <w:lang w:val="en-AU"/>
        </w:rPr>
        <w:t xml:space="preserve"> assessment depended upon the PSC and </w:t>
      </w:r>
      <w:r w:rsidR="004A533E">
        <w:rPr>
          <w:sz w:val="24"/>
          <w:lang w:val="en-AU"/>
        </w:rPr>
        <w:t xml:space="preserve">several </w:t>
      </w:r>
      <w:r w:rsidR="00F06815">
        <w:rPr>
          <w:sz w:val="24"/>
          <w:lang w:val="en-AU"/>
        </w:rPr>
        <w:t xml:space="preserve">non-quantitative </w:t>
      </w:r>
      <w:r w:rsidR="004A533E">
        <w:rPr>
          <w:sz w:val="24"/>
          <w:lang w:val="en-AU"/>
        </w:rPr>
        <w:t xml:space="preserve">measures </w:t>
      </w:r>
      <w:r w:rsidR="00F06815">
        <w:rPr>
          <w:sz w:val="24"/>
          <w:lang w:val="en-AU"/>
        </w:rPr>
        <w:t>(e.g., quality of services, range of services and ad</w:t>
      </w:r>
      <w:r w:rsidR="00A07819">
        <w:rPr>
          <w:sz w:val="24"/>
          <w:lang w:val="en-AU"/>
        </w:rPr>
        <w:t>ditional services) (Tables 3 and 4</w:t>
      </w:r>
      <w:r w:rsidR="00F06815">
        <w:rPr>
          <w:sz w:val="24"/>
          <w:lang w:val="en-AU"/>
        </w:rPr>
        <w:t xml:space="preserve">). </w:t>
      </w:r>
      <w:r w:rsidR="00735A67" w:rsidRPr="003D1E5E">
        <w:rPr>
          <w:sz w:val="24"/>
          <w:lang w:val="en-AU"/>
        </w:rPr>
        <w:t>The ‘Service Agreement’ of Project-A also indicated that a total of 159 KPIs determined by the relevant public auth</w:t>
      </w:r>
      <w:r w:rsidR="000E2AF9" w:rsidRPr="003D1E5E">
        <w:rPr>
          <w:sz w:val="24"/>
          <w:lang w:val="en-AU"/>
        </w:rPr>
        <w:t>ority of the State Government</w:t>
      </w:r>
      <w:r w:rsidR="004A533E">
        <w:rPr>
          <w:sz w:val="24"/>
          <w:lang w:val="en-AU"/>
        </w:rPr>
        <w:t xml:space="preserve"> were</w:t>
      </w:r>
      <w:r w:rsidR="000E2AF9" w:rsidRPr="003D1E5E">
        <w:rPr>
          <w:sz w:val="24"/>
          <w:lang w:val="en-AU"/>
        </w:rPr>
        <w:t xml:space="preserve"> being used to</w:t>
      </w:r>
      <w:r w:rsidR="00735A67" w:rsidRPr="003D1E5E">
        <w:rPr>
          <w:sz w:val="24"/>
          <w:lang w:val="en-AU"/>
        </w:rPr>
        <w:t xml:space="preserve"> monitor the service quality of the </w:t>
      </w:r>
      <w:r w:rsidR="006A4811">
        <w:rPr>
          <w:sz w:val="24"/>
          <w:lang w:val="en-AU"/>
        </w:rPr>
        <w:t>built facility</w:t>
      </w:r>
      <w:r w:rsidR="000D6E1C">
        <w:rPr>
          <w:sz w:val="24"/>
          <w:lang w:val="en-AU"/>
        </w:rPr>
        <w:t>.</w:t>
      </w:r>
    </w:p>
    <w:p w14:paraId="03FB6401" w14:textId="027F8F6E" w:rsidR="006E1011" w:rsidRDefault="006E1011" w:rsidP="00147478">
      <w:pPr>
        <w:spacing w:line="480" w:lineRule="auto"/>
        <w:rPr>
          <w:sz w:val="24"/>
          <w:lang w:val="en-AU"/>
        </w:rPr>
      </w:pPr>
    </w:p>
    <w:p w14:paraId="72AE0F54" w14:textId="572AE2AA" w:rsidR="009267C3" w:rsidRDefault="009267C3" w:rsidP="00147478">
      <w:pPr>
        <w:spacing w:line="480" w:lineRule="auto"/>
        <w:rPr>
          <w:sz w:val="24"/>
          <w:lang w:val="en-AU"/>
        </w:rPr>
      </w:pPr>
    </w:p>
    <w:p w14:paraId="23467338" w14:textId="305D8B35" w:rsidR="009267C3" w:rsidRDefault="009267C3" w:rsidP="00147478">
      <w:pPr>
        <w:spacing w:line="480" w:lineRule="auto"/>
        <w:rPr>
          <w:sz w:val="24"/>
          <w:lang w:val="en-AU"/>
        </w:rPr>
      </w:pPr>
    </w:p>
    <w:p w14:paraId="0FB23125" w14:textId="3619D5D5" w:rsidR="009267C3" w:rsidRDefault="009267C3" w:rsidP="00147478">
      <w:pPr>
        <w:spacing w:line="480" w:lineRule="auto"/>
        <w:rPr>
          <w:sz w:val="24"/>
          <w:lang w:val="en-AU"/>
        </w:rPr>
      </w:pPr>
    </w:p>
    <w:p w14:paraId="182D1909" w14:textId="31B284C2" w:rsidR="009267C3" w:rsidRDefault="009267C3" w:rsidP="00147478">
      <w:pPr>
        <w:spacing w:line="480" w:lineRule="auto"/>
        <w:rPr>
          <w:sz w:val="24"/>
          <w:lang w:val="en-AU"/>
        </w:rPr>
      </w:pPr>
    </w:p>
    <w:p w14:paraId="289BC485" w14:textId="77777777" w:rsidR="009267C3" w:rsidRDefault="009267C3" w:rsidP="00147478">
      <w:pPr>
        <w:spacing w:line="480" w:lineRule="auto"/>
        <w:rPr>
          <w:sz w:val="24"/>
          <w:lang w:val="en-AU"/>
        </w:rPr>
      </w:pPr>
    </w:p>
    <w:p w14:paraId="2A1B0406" w14:textId="77777777" w:rsidR="009267C3" w:rsidRDefault="009267C3" w:rsidP="009267C3">
      <w:pPr>
        <w:spacing w:line="480" w:lineRule="auto"/>
        <w:jc w:val="center"/>
        <w:rPr>
          <w:sz w:val="24"/>
          <w:lang w:val="en-AU"/>
        </w:rPr>
      </w:pPr>
      <w:r>
        <w:rPr>
          <w:sz w:val="24"/>
          <w:lang w:val="en-AU"/>
        </w:rPr>
        <w:lastRenderedPageBreak/>
        <w:t xml:space="preserve">Table 3: </w:t>
      </w:r>
      <w:proofErr w:type="spellStart"/>
      <w:r>
        <w:rPr>
          <w:sz w:val="24"/>
          <w:lang w:val="en-AU"/>
        </w:rPr>
        <w:t>V</w:t>
      </w:r>
      <w:r w:rsidRPr="000E7B6A">
        <w:rPr>
          <w:i/>
          <w:sz w:val="24"/>
          <w:lang w:val="en-AU"/>
        </w:rPr>
        <w:t>f</w:t>
      </w:r>
      <w:r>
        <w:rPr>
          <w:sz w:val="24"/>
          <w:lang w:val="en-AU"/>
        </w:rPr>
        <w:t>M</w:t>
      </w:r>
      <w:proofErr w:type="spellEnd"/>
      <w:r>
        <w:rPr>
          <w:sz w:val="24"/>
          <w:lang w:val="en-AU"/>
        </w:rPr>
        <w:t xml:space="preserve"> assessment of Project-A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634"/>
      </w:tblGrid>
      <w:tr w:rsidR="009267C3" w:rsidRPr="000E7B6A" w14:paraId="3345CFFD" w14:textId="77777777" w:rsidTr="00FF13E0">
        <w:trPr>
          <w:trHeight w:val="513"/>
          <w:jc w:val="center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63285" w14:textId="77777777" w:rsidR="009267C3" w:rsidRPr="000E7B6A" w:rsidRDefault="009267C3" w:rsidP="00FF13E0">
            <w:pPr>
              <w:rPr>
                <w:b/>
                <w:sz w:val="22"/>
                <w:szCs w:val="22"/>
                <w:lang w:val="en-AU"/>
              </w:rPr>
            </w:pPr>
            <w:r w:rsidRPr="000E7B6A">
              <w:rPr>
                <w:b/>
                <w:sz w:val="22"/>
                <w:szCs w:val="22"/>
                <w:lang w:val="en-AU"/>
              </w:rPr>
              <w:t>Methods</w:t>
            </w:r>
          </w:p>
        </w:tc>
        <w:tc>
          <w:tcPr>
            <w:tcW w:w="5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F812" w14:textId="77777777" w:rsidR="009267C3" w:rsidRPr="000E7B6A" w:rsidRDefault="009267C3" w:rsidP="00FF13E0">
            <w:pPr>
              <w:rPr>
                <w:b/>
                <w:sz w:val="22"/>
                <w:szCs w:val="22"/>
                <w:lang w:val="en-AU"/>
              </w:rPr>
            </w:pPr>
            <w:r w:rsidRPr="000E7B6A">
              <w:rPr>
                <w:b/>
                <w:sz w:val="22"/>
                <w:szCs w:val="22"/>
                <w:lang w:val="en-AU"/>
              </w:rPr>
              <w:t>Main Contents</w:t>
            </w:r>
          </w:p>
        </w:tc>
      </w:tr>
      <w:tr w:rsidR="009267C3" w:rsidRPr="000E7B6A" w14:paraId="34ACF965" w14:textId="77777777" w:rsidTr="00FF13E0">
        <w:trPr>
          <w:trHeight w:val="340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48E3B8" w14:textId="77777777" w:rsidR="009267C3" w:rsidRPr="000E7B6A" w:rsidRDefault="009267C3" w:rsidP="00FF13E0">
            <w:pPr>
              <w:rPr>
                <w:sz w:val="20"/>
                <w:szCs w:val="20"/>
                <w:lang w:val="en-AU"/>
              </w:rPr>
            </w:pPr>
            <w:r w:rsidRPr="000E7B6A">
              <w:rPr>
                <w:sz w:val="20"/>
                <w:szCs w:val="20"/>
                <w:lang w:val="en-AU"/>
              </w:rPr>
              <w:t>Quantitative comparison</w:t>
            </w:r>
          </w:p>
        </w:tc>
        <w:tc>
          <w:tcPr>
            <w:tcW w:w="56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54D645" w14:textId="77777777" w:rsidR="009267C3" w:rsidRPr="000E7B6A" w:rsidRDefault="009267C3" w:rsidP="00FF13E0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PSC: (,</w:t>
            </w:r>
            <w:r w:rsidRPr="000E7B6A">
              <w:rPr>
                <w:sz w:val="20"/>
                <w:szCs w:val="20"/>
                <w:lang w:val="en-AU"/>
              </w:rPr>
              <w:t>000): AU$6,268,756</w:t>
            </w:r>
          </w:p>
        </w:tc>
      </w:tr>
      <w:tr w:rsidR="009267C3" w:rsidRPr="000E7B6A" w14:paraId="0F270299" w14:textId="77777777" w:rsidTr="00FF13E0">
        <w:trPr>
          <w:trHeight w:val="340"/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14:paraId="6AE879D8" w14:textId="77777777" w:rsidR="009267C3" w:rsidRPr="000E7B6A" w:rsidRDefault="009267C3" w:rsidP="00FF13E0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634" w:type="dxa"/>
            <w:shd w:val="clear" w:color="auto" w:fill="auto"/>
            <w:vAlign w:val="center"/>
          </w:tcPr>
          <w:p w14:paraId="739751B8" w14:textId="77777777" w:rsidR="009267C3" w:rsidRPr="000E7B6A" w:rsidRDefault="009267C3" w:rsidP="00FF13E0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Private-Sector Delivery (,</w:t>
            </w:r>
            <w:r w:rsidRPr="000E7B6A">
              <w:rPr>
                <w:sz w:val="20"/>
                <w:szCs w:val="20"/>
                <w:lang w:val="en-AU"/>
              </w:rPr>
              <w:t>000): AU$4,960,040</w:t>
            </w:r>
          </w:p>
        </w:tc>
      </w:tr>
      <w:tr w:rsidR="009267C3" w:rsidRPr="000E7B6A" w14:paraId="1246AC9F" w14:textId="77777777" w:rsidTr="00FF13E0">
        <w:trPr>
          <w:trHeight w:val="340"/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14:paraId="669B59B5" w14:textId="77777777" w:rsidR="009267C3" w:rsidRPr="000E7B6A" w:rsidRDefault="009267C3" w:rsidP="00FF13E0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634" w:type="dxa"/>
            <w:shd w:val="clear" w:color="auto" w:fill="auto"/>
            <w:vAlign w:val="center"/>
          </w:tcPr>
          <w:p w14:paraId="70CD6272" w14:textId="77777777" w:rsidR="009267C3" w:rsidRPr="000E7B6A" w:rsidRDefault="009267C3" w:rsidP="00FF13E0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Saving (,</w:t>
            </w:r>
            <w:r w:rsidRPr="000E7B6A">
              <w:rPr>
                <w:sz w:val="20"/>
                <w:szCs w:val="20"/>
                <w:lang w:val="en-AU"/>
              </w:rPr>
              <w:t>000): AU$1,308,715</w:t>
            </w:r>
          </w:p>
        </w:tc>
      </w:tr>
      <w:tr w:rsidR="009267C3" w:rsidRPr="000E7B6A" w14:paraId="7C55FB76" w14:textId="77777777" w:rsidTr="00FF13E0">
        <w:trPr>
          <w:trHeight w:val="340"/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14:paraId="3C591752" w14:textId="77777777" w:rsidR="009267C3" w:rsidRPr="000E7B6A" w:rsidRDefault="009267C3" w:rsidP="00FF13E0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634" w:type="dxa"/>
            <w:shd w:val="clear" w:color="auto" w:fill="auto"/>
            <w:vAlign w:val="center"/>
          </w:tcPr>
          <w:p w14:paraId="40E06A2C" w14:textId="77777777" w:rsidR="009267C3" w:rsidRPr="000E7B6A" w:rsidRDefault="009267C3" w:rsidP="00FF13E0">
            <w:pPr>
              <w:rPr>
                <w:sz w:val="20"/>
                <w:szCs w:val="20"/>
                <w:lang w:val="en-AU"/>
              </w:rPr>
            </w:pPr>
            <w:r w:rsidRPr="000E7B6A">
              <w:rPr>
                <w:sz w:val="20"/>
                <w:szCs w:val="20"/>
                <w:lang w:val="en-AU"/>
              </w:rPr>
              <w:t>Saving (%): 20.9%</w:t>
            </w:r>
          </w:p>
        </w:tc>
      </w:tr>
      <w:tr w:rsidR="009267C3" w:rsidRPr="000E7B6A" w14:paraId="15A8CB68" w14:textId="77777777" w:rsidTr="00FF13E0">
        <w:trPr>
          <w:trHeight w:val="454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099CEA23" w14:textId="77777777" w:rsidR="009267C3" w:rsidRPr="000E7B6A" w:rsidRDefault="009267C3" w:rsidP="00FF13E0">
            <w:pPr>
              <w:rPr>
                <w:sz w:val="20"/>
                <w:szCs w:val="20"/>
                <w:lang w:val="en-AU"/>
              </w:rPr>
            </w:pPr>
            <w:r w:rsidRPr="000E7B6A">
              <w:rPr>
                <w:sz w:val="20"/>
                <w:szCs w:val="20"/>
                <w:lang w:val="en-AU"/>
              </w:rPr>
              <w:t>Qualitative consideration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3CEF563" w14:textId="77777777" w:rsidR="009267C3" w:rsidRPr="000E7B6A" w:rsidRDefault="009267C3" w:rsidP="00FF13E0">
            <w:pPr>
              <w:rPr>
                <w:sz w:val="20"/>
                <w:szCs w:val="20"/>
                <w:lang w:val="en-AU"/>
              </w:rPr>
            </w:pPr>
            <w:r w:rsidRPr="000E7B6A">
              <w:rPr>
                <w:sz w:val="20"/>
                <w:szCs w:val="20"/>
                <w:lang w:val="en-AU"/>
              </w:rPr>
              <w:t>Quality of Services, Range of Services and Additional Services</w:t>
            </w:r>
          </w:p>
        </w:tc>
      </w:tr>
    </w:tbl>
    <w:p w14:paraId="0790129A" w14:textId="77777777" w:rsidR="009267C3" w:rsidRDefault="009267C3" w:rsidP="009267C3">
      <w:pPr>
        <w:spacing w:after="120" w:line="480" w:lineRule="auto"/>
        <w:rPr>
          <w:sz w:val="24"/>
          <w:lang w:val="en-AU"/>
        </w:rPr>
      </w:pPr>
    </w:p>
    <w:p w14:paraId="627208CD" w14:textId="77777777" w:rsidR="009267C3" w:rsidRDefault="009267C3" w:rsidP="009267C3">
      <w:pPr>
        <w:spacing w:line="480" w:lineRule="auto"/>
        <w:jc w:val="center"/>
        <w:rPr>
          <w:sz w:val="24"/>
          <w:lang w:val="en-AU"/>
        </w:rPr>
      </w:pPr>
      <w:r>
        <w:rPr>
          <w:sz w:val="24"/>
          <w:lang w:val="en-AU"/>
        </w:rPr>
        <w:t xml:space="preserve">Table 4: </w:t>
      </w:r>
      <w:proofErr w:type="spellStart"/>
      <w:r>
        <w:rPr>
          <w:sz w:val="24"/>
          <w:lang w:val="en-AU"/>
        </w:rPr>
        <w:t>V</w:t>
      </w:r>
      <w:r w:rsidRPr="000E7B6A">
        <w:rPr>
          <w:i/>
          <w:sz w:val="24"/>
          <w:lang w:val="en-AU"/>
        </w:rPr>
        <w:t>f</w:t>
      </w:r>
      <w:r>
        <w:rPr>
          <w:sz w:val="24"/>
          <w:lang w:val="en-AU"/>
        </w:rPr>
        <w:t>M</w:t>
      </w:r>
      <w:proofErr w:type="spellEnd"/>
      <w:r>
        <w:rPr>
          <w:sz w:val="24"/>
          <w:lang w:val="en-AU"/>
        </w:rPr>
        <w:t xml:space="preserve"> assessment of Project-B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1949"/>
      </w:tblGrid>
      <w:tr w:rsidR="009267C3" w:rsidRPr="00464155" w14:paraId="1E7A5703" w14:textId="77777777" w:rsidTr="00FF13E0">
        <w:trPr>
          <w:trHeight w:val="446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4BC88E9E" w14:textId="77777777" w:rsidR="009267C3" w:rsidRPr="00464155" w:rsidRDefault="009267C3" w:rsidP="00FF13E0">
            <w:pPr>
              <w:jc w:val="left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State’s Risk Adjusted PSC (AU$,</w:t>
            </w:r>
            <w:r w:rsidRPr="00464155">
              <w:rPr>
                <w:b/>
                <w:sz w:val="20"/>
                <w:szCs w:val="20"/>
                <w:lang w:val="en-AU"/>
              </w:rPr>
              <w:t>000)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141DAF" w14:textId="77777777" w:rsidR="009267C3" w:rsidRPr="00464155" w:rsidRDefault="009267C3" w:rsidP="00FF13E0">
            <w:pPr>
              <w:jc w:val="left"/>
              <w:rPr>
                <w:b/>
                <w:sz w:val="20"/>
                <w:szCs w:val="20"/>
                <w:lang w:val="en-AU"/>
              </w:rPr>
            </w:pPr>
            <w:r w:rsidRPr="00464155">
              <w:rPr>
                <w:b/>
                <w:sz w:val="20"/>
                <w:szCs w:val="20"/>
                <w:lang w:val="en-AU"/>
              </w:rPr>
              <w:t>SP</w:t>
            </w:r>
            <w:r>
              <w:rPr>
                <w:b/>
                <w:sz w:val="20"/>
                <w:szCs w:val="20"/>
                <w:lang w:val="en-AU"/>
              </w:rPr>
              <w:t>V’s Risk Adjusted Proposal (AU$,</w:t>
            </w:r>
            <w:r w:rsidRPr="00464155">
              <w:rPr>
                <w:b/>
                <w:sz w:val="20"/>
                <w:szCs w:val="20"/>
                <w:lang w:val="en-AU"/>
              </w:rPr>
              <w:t>000)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C3BE0E" w14:textId="77777777" w:rsidR="009267C3" w:rsidRPr="00464155" w:rsidRDefault="009267C3" w:rsidP="00FF13E0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Savings (AU$,</w:t>
            </w:r>
            <w:r w:rsidRPr="00464155">
              <w:rPr>
                <w:b/>
                <w:sz w:val="20"/>
                <w:szCs w:val="20"/>
                <w:lang w:val="en-AU"/>
              </w:rPr>
              <w:t>000)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E5F061C" w14:textId="77777777" w:rsidR="009267C3" w:rsidRPr="00464155" w:rsidRDefault="009267C3" w:rsidP="00FF13E0">
            <w:pPr>
              <w:rPr>
                <w:b/>
                <w:sz w:val="20"/>
                <w:szCs w:val="20"/>
                <w:lang w:val="en-AU"/>
              </w:rPr>
            </w:pPr>
            <w:r w:rsidRPr="00464155">
              <w:rPr>
                <w:b/>
                <w:sz w:val="20"/>
                <w:szCs w:val="20"/>
                <w:lang w:val="en-AU"/>
              </w:rPr>
              <w:t>Saving Percentage</w:t>
            </w:r>
          </w:p>
        </w:tc>
      </w:tr>
      <w:tr w:rsidR="009267C3" w:rsidRPr="00464155" w14:paraId="0800B151" w14:textId="77777777" w:rsidTr="00FF13E0">
        <w:trPr>
          <w:trHeight w:val="4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668C4DD" w14:textId="77777777" w:rsidR="009267C3" w:rsidRPr="00464155" w:rsidRDefault="009267C3" w:rsidP="00FF13E0">
            <w:pPr>
              <w:rPr>
                <w:sz w:val="20"/>
                <w:szCs w:val="20"/>
                <w:lang w:val="en-AU"/>
              </w:rPr>
            </w:pPr>
            <w:r w:rsidRPr="00464155">
              <w:rPr>
                <w:sz w:val="20"/>
                <w:szCs w:val="20"/>
                <w:lang w:val="en-AU"/>
              </w:rPr>
              <w:t>$452,590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5523A9" w14:textId="77777777" w:rsidR="009267C3" w:rsidRPr="00464155" w:rsidRDefault="009267C3" w:rsidP="00FF13E0">
            <w:pPr>
              <w:rPr>
                <w:sz w:val="20"/>
                <w:szCs w:val="20"/>
                <w:lang w:val="en-AU"/>
              </w:rPr>
            </w:pPr>
            <w:r w:rsidRPr="00464155">
              <w:rPr>
                <w:sz w:val="20"/>
                <w:szCs w:val="20"/>
                <w:lang w:val="en-AU"/>
              </w:rPr>
              <w:t>$372,312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45C7E9" w14:textId="77777777" w:rsidR="009267C3" w:rsidRPr="00464155" w:rsidRDefault="009267C3" w:rsidP="00FF13E0">
            <w:pPr>
              <w:rPr>
                <w:sz w:val="20"/>
                <w:szCs w:val="20"/>
                <w:lang w:val="en-AU"/>
              </w:rPr>
            </w:pPr>
            <w:r w:rsidRPr="00464155">
              <w:rPr>
                <w:sz w:val="20"/>
                <w:szCs w:val="20"/>
                <w:lang w:val="en-AU"/>
              </w:rPr>
              <w:t>$80,278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513145B" w14:textId="77777777" w:rsidR="009267C3" w:rsidRPr="00464155" w:rsidRDefault="009267C3" w:rsidP="00FF13E0">
            <w:pPr>
              <w:rPr>
                <w:sz w:val="20"/>
                <w:szCs w:val="20"/>
                <w:lang w:val="en-AU"/>
              </w:rPr>
            </w:pPr>
            <w:r w:rsidRPr="00464155">
              <w:rPr>
                <w:sz w:val="20"/>
                <w:szCs w:val="20"/>
                <w:lang w:val="en-AU"/>
              </w:rPr>
              <w:t>17.7%</w:t>
            </w:r>
          </w:p>
        </w:tc>
      </w:tr>
    </w:tbl>
    <w:p w14:paraId="4F9C46F9" w14:textId="77777777" w:rsidR="00111CC2" w:rsidRDefault="00111CC2" w:rsidP="00147478">
      <w:pPr>
        <w:spacing w:line="480" w:lineRule="auto"/>
        <w:rPr>
          <w:sz w:val="24"/>
          <w:lang w:val="en-AU"/>
        </w:rPr>
      </w:pPr>
    </w:p>
    <w:p w14:paraId="395BA9E8" w14:textId="77777777" w:rsidR="007104C5" w:rsidRPr="003D1E5E" w:rsidRDefault="00E57C0E" w:rsidP="00045701">
      <w:pPr>
        <w:spacing w:line="480" w:lineRule="auto"/>
        <w:rPr>
          <w:sz w:val="24"/>
          <w:lang w:val="en-AU"/>
        </w:rPr>
      </w:pPr>
      <w:r w:rsidRPr="003D1E5E">
        <w:rPr>
          <w:sz w:val="24"/>
          <w:lang w:val="en-AU"/>
        </w:rPr>
        <w:t>The interview</w:t>
      </w:r>
      <w:r w:rsidR="00396E79" w:rsidRPr="003D1E5E">
        <w:rPr>
          <w:sz w:val="24"/>
          <w:lang w:val="en-AU"/>
        </w:rPr>
        <w:t>ees</w:t>
      </w:r>
      <w:r w:rsidRPr="003D1E5E">
        <w:rPr>
          <w:sz w:val="24"/>
          <w:lang w:val="en-AU"/>
        </w:rPr>
        <w:t xml:space="preserve"> from the private SPVs </w:t>
      </w:r>
      <w:r w:rsidR="000E2AF9" w:rsidRPr="003D1E5E">
        <w:rPr>
          <w:sz w:val="24"/>
          <w:lang w:val="en-AU"/>
        </w:rPr>
        <w:t>of both PPPs further explained the evaluation systems of the projects</w:t>
      </w:r>
      <w:r w:rsidRPr="003D1E5E">
        <w:rPr>
          <w:sz w:val="24"/>
          <w:lang w:val="en-AU"/>
        </w:rPr>
        <w:t xml:space="preserve">. </w:t>
      </w:r>
      <w:r w:rsidR="000E2AF9" w:rsidRPr="003D1E5E">
        <w:rPr>
          <w:sz w:val="24"/>
          <w:lang w:val="en-AU"/>
        </w:rPr>
        <w:t xml:space="preserve">For </w:t>
      </w:r>
      <w:r w:rsidR="005F71AF">
        <w:rPr>
          <w:sz w:val="24"/>
          <w:lang w:val="en-AU"/>
        </w:rPr>
        <w:t>instance</w:t>
      </w:r>
      <w:r w:rsidR="000E2AF9" w:rsidRPr="003D1E5E">
        <w:rPr>
          <w:sz w:val="24"/>
          <w:lang w:val="en-AU"/>
        </w:rPr>
        <w:t>, t</w:t>
      </w:r>
      <w:r w:rsidRPr="003D1E5E">
        <w:rPr>
          <w:sz w:val="24"/>
          <w:lang w:val="en-AU"/>
        </w:rPr>
        <w:t xml:space="preserve">he Service Director, who oversaw the subcontractors </w:t>
      </w:r>
      <w:r w:rsidR="005F71AF">
        <w:rPr>
          <w:sz w:val="24"/>
          <w:lang w:val="en-AU"/>
        </w:rPr>
        <w:t>and</w:t>
      </w:r>
      <w:r w:rsidRPr="003D1E5E">
        <w:rPr>
          <w:sz w:val="24"/>
          <w:lang w:val="en-AU"/>
        </w:rPr>
        <w:t xml:space="preserve"> the operati</w:t>
      </w:r>
      <w:r w:rsidR="000E2AF9" w:rsidRPr="003D1E5E">
        <w:rPr>
          <w:sz w:val="24"/>
          <w:lang w:val="en-AU"/>
        </w:rPr>
        <w:t xml:space="preserve">on and maintenance of Project-A, </w:t>
      </w:r>
      <w:r w:rsidR="00396E79" w:rsidRPr="003D1E5E">
        <w:rPr>
          <w:sz w:val="24"/>
          <w:lang w:val="en-AU"/>
        </w:rPr>
        <w:t>made the following comment</w:t>
      </w:r>
      <w:r w:rsidRPr="003D1E5E">
        <w:rPr>
          <w:sz w:val="24"/>
          <w:lang w:val="en-AU"/>
        </w:rPr>
        <w:t>:</w:t>
      </w:r>
    </w:p>
    <w:p w14:paraId="0C91EEE5" w14:textId="77777777" w:rsidR="00E2246A" w:rsidRPr="003D1E5E" w:rsidRDefault="00E2246A" w:rsidP="00045701">
      <w:pPr>
        <w:spacing w:line="480" w:lineRule="auto"/>
        <w:rPr>
          <w:sz w:val="24"/>
          <w:lang w:val="en-AU"/>
        </w:rPr>
      </w:pPr>
    </w:p>
    <w:p w14:paraId="558670DA" w14:textId="77777777" w:rsidR="007104C5" w:rsidRPr="003D1E5E" w:rsidRDefault="00E57C0E" w:rsidP="00F06815">
      <w:pPr>
        <w:tabs>
          <w:tab w:val="left" w:pos="7938"/>
        </w:tabs>
        <w:spacing w:line="480" w:lineRule="auto"/>
        <w:ind w:left="454" w:right="454"/>
        <w:rPr>
          <w:sz w:val="24"/>
          <w:lang w:val="en-AU"/>
        </w:rPr>
      </w:pPr>
      <w:r w:rsidRPr="003D1E5E">
        <w:rPr>
          <w:sz w:val="24"/>
          <w:lang w:val="en-AU"/>
        </w:rPr>
        <w:t xml:space="preserve">“We are </w:t>
      </w:r>
      <w:r w:rsidR="00005B59">
        <w:rPr>
          <w:sz w:val="24"/>
          <w:lang w:val="en-AU"/>
        </w:rPr>
        <w:t>evaluating</w:t>
      </w:r>
      <w:r w:rsidRPr="003D1E5E">
        <w:rPr>
          <w:sz w:val="24"/>
          <w:lang w:val="en-AU"/>
        </w:rPr>
        <w:t xml:space="preserve"> each component in the design and construction by examining financial and time performance, and we employed external e</w:t>
      </w:r>
      <w:r w:rsidR="00D0326C" w:rsidRPr="003D1E5E">
        <w:rPr>
          <w:sz w:val="24"/>
          <w:lang w:val="en-AU"/>
        </w:rPr>
        <w:t>ngineering specialists to inspect the quality regularly, to e</w:t>
      </w:r>
      <w:r w:rsidR="00A05B4E">
        <w:rPr>
          <w:sz w:val="24"/>
          <w:lang w:val="en-AU"/>
        </w:rPr>
        <w:t xml:space="preserve">nsure the quality of the asset. </w:t>
      </w:r>
      <w:r w:rsidR="00005B59">
        <w:rPr>
          <w:sz w:val="24"/>
          <w:lang w:val="en-AU"/>
        </w:rPr>
        <w:t>W</w:t>
      </w:r>
      <w:r w:rsidR="008100A5" w:rsidRPr="003D1E5E">
        <w:rPr>
          <w:sz w:val="24"/>
          <w:lang w:val="en-AU"/>
        </w:rPr>
        <w:t xml:space="preserve">e have key performance indicators (KPIs) determined by the government to control </w:t>
      </w:r>
      <w:r w:rsidR="008C748B" w:rsidRPr="003D1E5E">
        <w:rPr>
          <w:sz w:val="24"/>
          <w:lang w:val="en-AU"/>
        </w:rPr>
        <w:t xml:space="preserve">operational </w:t>
      </w:r>
      <w:r w:rsidR="00017FC7" w:rsidRPr="003D1E5E">
        <w:rPr>
          <w:sz w:val="24"/>
          <w:lang w:val="en-AU"/>
        </w:rPr>
        <w:t>outputs</w:t>
      </w:r>
      <w:r w:rsidR="00A05B4E">
        <w:rPr>
          <w:sz w:val="24"/>
          <w:lang w:val="en-AU"/>
        </w:rPr>
        <w:t>. I</w:t>
      </w:r>
      <w:r w:rsidR="00C60D44" w:rsidRPr="003D1E5E">
        <w:rPr>
          <w:sz w:val="24"/>
          <w:lang w:val="en-AU"/>
        </w:rPr>
        <w:t>f we cannot meet those KPIs, we will get abatement</w:t>
      </w:r>
      <w:r w:rsidR="008C748B" w:rsidRPr="003D1E5E">
        <w:rPr>
          <w:sz w:val="24"/>
          <w:lang w:val="en-AU"/>
        </w:rPr>
        <w:t>.</w:t>
      </w:r>
      <w:r w:rsidR="00D0326C" w:rsidRPr="003D1E5E">
        <w:rPr>
          <w:sz w:val="24"/>
          <w:lang w:val="en-AU"/>
        </w:rPr>
        <w:t>”</w:t>
      </w:r>
    </w:p>
    <w:p w14:paraId="21A434BD" w14:textId="77777777" w:rsidR="006A4811" w:rsidRPr="00A05B4E" w:rsidRDefault="006A4811" w:rsidP="009A3DAA">
      <w:pPr>
        <w:spacing w:line="480" w:lineRule="auto"/>
        <w:rPr>
          <w:sz w:val="24"/>
          <w:lang w:val="en-AU"/>
        </w:rPr>
      </w:pPr>
    </w:p>
    <w:p w14:paraId="3387EC76" w14:textId="1E6E0C54" w:rsidR="00D0326C" w:rsidRDefault="007C1EAE" w:rsidP="009A3DAA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>Like</w:t>
      </w:r>
      <w:r w:rsidR="00D0326C" w:rsidRPr="003D1E5E">
        <w:rPr>
          <w:sz w:val="24"/>
          <w:lang w:val="en-GB"/>
        </w:rPr>
        <w:t xml:space="preserve"> Project-A, the performance evaluation that was undertaken by the SPV </w:t>
      </w:r>
      <w:r w:rsidR="008100A5" w:rsidRPr="003D1E5E">
        <w:rPr>
          <w:sz w:val="24"/>
          <w:lang w:val="en-GB"/>
        </w:rPr>
        <w:t xml:space="preserve">of Project-B </w:t>
      </w:r>
      <w:r w:rsidR="00396E79" w:rsidRPr="003D1E5E">
        <w:rPr>
          <w:sz w:val="24"/>
          <w:lang w:val="en-GB"/>
        </w:rPr>
        <w:t>focused</w:t>
      </w:r>
      <w:r w:rsidR="008100A5" w:rsidRPr="003D1E5E">
        <w:rPr>
          <w:sz w:val="24"/>
          <w:lang w:val="en-GB"/>
        </w:rPr>
        <w:t xml:space="preserve"> </w:t>
      </w:r>
      <w:r w:rsidR="004A533E">
        <w:rPr>
          <w:sz w:val="24"/>
          <w:lang w:val="en-GB"/>
        </w:rPr>
        <w:t>on traditional</w:t>
      </w:r>
      <w:r w:rsidR="004A533E" w:rsidRPr="003D1E5E">
        <w:rPr>
          <w:sz w:val="24"/>
          <w:lang w:val="en-GB"/>
        </w:rPr>
        <w:t xml:space="preserve"> </w:t>
      </w:r>
      <w:r w:rsidR="00396E79" w:rsidRPr="003D1E5E">
        <w:rPr>
          <w:sz w:val="24"/>
          <w:lang w:val="en-GB"/>
        </w:rPr>
        <w:t>measures of</w:t>
      </w:r>
      <w:r w:rsidR="008100A5" w:rsidRPr="003D1E5E">
        <w:rPr>
          <w:sz w:val="24"/>
          <w:lang w:val="en-GB"/>
        </w:rPr>
        <w:t xml:space="preserve"> </w:t>
      </w:r>
      <w:r w:rsidR="00D275AD" w:rsidRPr="003D1E5E">
        <w:rPr>
          <w:sz w:val="24"/>
          <w:lang w:val="en-GB"/>
        </w:rPr>
        <w:t>TCQ</w:t>
      </w:r>
      <w:r w:rsidR="008100A5" w:rsidRPr="003D1E5E">
        <w:rPr>
          <w:sz w:val="24"/>
          <w:lang w:val="en-GB"/>
        </w:rPr>
        <w:t>. The Project Manager</w:t>
      </w:r>
      <w:r w:rsidR="00017FC7" w:rsidRPr="003D1E5E">
        <w:rPr>
          <w:sz w:val="24"/>
          <w:lang w:val="en-GB"/>
        </w:rPr>
        <w:t xml:space="preserve"> (PM-B), for example, introduced that:</w:t>
      </w:r>
    </w:p>
    <w:p w14:paraId="7EDBB7AC" w14:textId="77777777" w:rsidR="009267C3" w:rsidRDefault="009267C3" w:rsidP="009A3DAA">
      <w:pPr>
        <w:spacing w:line="480" w:lineRule="auto"/>
        <w:rPr>
          <w:sz w:val="24"/>
          <w:lang w:val="en-GB"/>
        </w:rPr>
      </w:pPr>
    </w:p>
    <w:p w14:paraId="00872E62" w14:textId="77777777" w:rsidR="008100A5" w:rsidRPr="003D1E5E" w:rsidRDefault="00A05B4E" w:rsidP="00F06815">
      <w:pPr>
        <w:tabs>
          <w:tab w:val="left" w:pos="7938"/>
        </w:tabs>
        <w:spacing w:line="480" w:lineRule="auto"/>
        <w:ind w:left="454" w:right="454"/>
        <w:rPr>
          <w:sz w:val="24"/>
          <w:lang w:val="en-GB"/>
        </w:rPr>
      </w:pPr>
      <w:r>
        <w:rPr>
          <w:sz w:val="24"/>
          <w:lang w:val="en-GB"/>
        </w:rPr>
        <w:t>“A</w:t>
      </w:r>
      <w:r w:rsidR="008C748B" w:rsidRPr="003D1E5E">
        <w:rPr>
          <w:sz w:val="24"/>
          <w:lang w:val="en-GB"/>
        </w:rPr>
        <w:t xml:space="preserve">s a private contractor, we talk about time, cost and quality in the evaluation. </w:t>
      </w:r>
      <w:r w:rsidR="008C748B" w:rsidRPr="003D1E5E">
        <w:rPr>
          <w:sz w:val="24"/>
          <w:lang w:val="en-GB"/>
        </w:rPr>
        <w:lastRenderedPageBreak/>
        <w:t xml:space="preserve">They are the only performance measures we have for this project. </w:t>
      </w:r>
      <w:r w:rsidR="00EA3537">
        <w:rPr>
          <w:sz w:val="24"/>
          <w:lang w:val="en-GB"/>
        </w:rPr>
        <w:t>T</w:t>
      </w:r>
      <w:r>
        <w:rPr>
          <w:sz w:val="24"/>
          <w:lang w:val="en-GB"/>
        </w:rPr>
        <w:t xml:space="preserve">ime is </w:t>
      </w:r>
      <w:r w:rsidR="00EA3537">
        <w:rPr>
          <w:sz w:val="24"/>
          <w:lang w:val="en-GB"/>
        </w:rPr>
        <w:t xml:space="preserve">now </w:t>
      </w:r>
      <w:r>
        <w:rPr>
          <w:sz w:val="24"/>
          <w:lang w:val="en-GB"/>
        </w:rPr>
        <w:t xml:space="preserve">our premium, </w:t>
      </w:r>
      <w:r w:rsidR="008C748B" w:rsidRPr="003D1E5E">
        <w:rPr>
          <w:sz w:val="24"/>
          <w:lang w:val="en-GB"/>
        </w:rPr>
        <w:t xml:space="preserve">and in terms of costs, we are running within the budget. </w:t>
      </w:r>
      <w:r w:rsidR="00EA3537">
        <w:rPr>
          <w:sz w:val="24"/>
          <w:lang w:val="en-GB"/>
        </w:rPr>
        <w:t>Q</w:t>
      </w:r>
      <w:r w:rsidR="008C748B" w:rsidRPr="003D1E5E">
        <w:rPr>
          <w:sz w:val="24"/>
          <w:lang w:val="en-GB"/>
        </w:rPr>
        <w:t xml:space="preserve">uality – </w:t>
      </w:r>
      <w:r w:rsidR="00EA3537">
        <w:rPr>
          <w:sz w:val="24"/>
          <w:lang w:val="en-GB"/>
        </w:rPr>
        <w:t>this</w:t>
      </w:r>
      <w:r w:rsidR="008C748B" w:rsidRPr="003D1E5E">
        <w:rPr>
          <w:sz w:val="24"/>
          <w:lang w:val="en-GB"/>
        </w:rPr>
        <w:t xml:space="preserve"> measure is about once we start building – the quality of t</w:t>
      </w:r>
      <w:r w:rsidR="00EA3537">
        <w:rPr>
          <w:sz w:val="24"/>
          <w:lang w:val="en-GB"/>
        </w:rPr>
        <w:t>he product that we put forward.</w:t>
      </w:r>
      <w:r w:rsidR="008C748B" w:rsidRPr="003D1E5E">
        <w:rPr>
          <w:sz w:val="24"/>
          <w:lang w:val="en-GB"/>
        </w:rPr>
        <w:t>”</w:t>
      </w:r>
    </w:p>
    <w:p w14:paraId="5D0B0BF7" w14:textId="77777777" w:rsidR="00ED40A5" w:rsidRDefault="00ED40A5" w:rsidP="009A3DAA">
      <w:pPr>
        <w:spacing w:line="480" w:lineRule="auto"/>
        <w:rPr>
          <w:sz w:val="24"/>
          <w:lang w:val="en-GB"/>
        </w:rPr>
      </w:pPr>
    </w:p>
    <w:p w14:paraId="0BD6DC93" w14:textId="77777777" w:rsidR="00D0326C" w:rsidRPr="003D1E5E" w:rsidRDefault="004A533E" w:rsidP="009A3DAA">
      <w:pPr>
        <w:spacing w:line="480" w:lineRule="auto"/>
        <w:rPr>
          <w:sz w:val="24"/>
          <w:lang w:val="en-GB"/>
        </w:rPr>
      </w:pPr>
      <w:r>
        <w:rPr>
          <w:sz w:val="24"/>
          <w:lang w:val="en-GB"/>
        </w:rPr>
        <w:t>T</w:t>
      </w:r>
      <w:r w:rsidR="008C748B" w:rsidRPr="003D1E5E">
        <w:rPr>
          <w:sz w:val="24"/>
          <w:lang w:val="en-GB"/>
        </w:rPr>
        <w:t xml:space="preserve">he performance evaluation systems </w:t>
      </w:r>
      <w:r>
        <w:rPr>
          <w:sz w:val="24"/>
          <w:lang w:val="en-GB"/>
        </w:rPr>
        <w:t xml:space="preserve">for </w:t>
      </w:r>
      <w:r w:rsidR="008C748B" w:rsidRPr="003D1E5E">
        <w:rPr>
          <w:sz w:val="24"/>
          <w:lang w:val="en-GB"/>
        </w:rPr>
        <w:t xml:space="preserve">Projects A and B </w:t>
      </w:r>
      <w:r w:rsidR="000445B0" w:rsidRPr="003D1E5E">
        <w:rPr>
          <w:sz w:val="24"/>
          <w:lang w:val="en-GB"/>
        </w:rPr>
        <w:t>are</w:t>
      </w:r>
      <w:r w:rsidR="00A15947" w:rsidRPr="003D1E5E">
        <w:rPr>
          <w:sz w:val="24"/>
          <w:lang w:val="en-GB"/>
        </w:rPr>
        <w:t xml:space="preserve"> illustrated </w:t>
      </w:r>
      <w:r w:rsidR="000445B0" w:rsidRPr="003D1E5E">
        <w:rPr>
          <w:sz w:val="24"/>
          <w:lang w:val="en-GB"/>
        </w:rPr>
        <w:t>in</w:t>
      </w:r>
      <w:r w:rsidR="00A15947" w:rsidRPr="003D1E5E">
        <w:rPr>
          <w:sz w:val="24"/>
          <w:lang w:val="en-GB"/>
        </w:rPr>
        <w:t xml:space="preserve"> Figures </w:t>
      </w:r>
      <w:r w:rsidR="00D275AD" w:rsidRPr="003D1E5E">
        <w:rPr>
          <w:sz w:val="24"/>
          <w:lang w:val="en-GB"/>
        </w:rPr>
        <w:t xml:space="preserve">3 and 4, </w:t>
      </w:r>
      <w:r w:rsidR="000445B0" w:rsidRPr="003D1E5E">
        <w:rPr>
          <w:sz w:val="24"/>
          <w:lang w:val="en-GB"/>
        </w:rPr>
        <w:t>with attention being placed</w:t>
      </w:r>
      <w:r w:rsidR="00D275AD" w:rsidRPr="003D1E5E">
        <w:rPr>
          <w:sz w:val="24"/>
          <w:lang w:val="en-GB"/>
        </w:rPr>
        <w:t xml:space="preserve"> </w:t>
      </w:r>
      <w:r w:rsidR="000445B0" w:rsidRPr="003D1E5E">
        <w:rPr>
          <w:sz w:val="24"/>
          <w:lang w:val="en-GB"/>
        </w:rPr>
        <w:t>on</w:t>
      </w:r>
      <w:r w:rsidR="00D275AD" w:rsidRPr="003D1E5E">
        <w:rPr>
          <w:sz w:val="24"/>
          <w:lang w:val="en-GB"/>
        </w:rPr>
        <w:t xml:space="preserve"> a quantitative </w:t>
      </w:r>
      <w:proofErr w:type="spellStart"/>
      <w:r w:rsidR="00D275AD" w:rsidRPr="003D1E5E">
        <w:rPr>
          <w:sz w:val="24"/>
          <w:lang w:val="en-GB"/>
        </w:rPr>
        <w:t>V</w:t>
      </w:r>
      <w:r w:rsidR="00D275AD" w:rsidRPr="003D1E5E">
        <w:rPr>
          <w:i/>
          <w:sz w:val="24"/>
          <w:lang w:val="en-GB"/>
        </w:rPr>
        <w:t>f</w:t>
      </w:r>
      <w:r w:rsidR="00D275AD" w:rsidRPr="003D1E5E">
        <w:rPr>
          <w:sz w:val="24"/>
          <w:lang w:val="en-GB"/>
        </w:rPr>
        <w:t>M</w:t>
      </w:r>
      <w:proofErr w:type="spellEnd"/>
      <w:r w:rsidR="00D275AD" w:rsidRPr="003D1E5E">
        <w:rPr>
          <w:sz w:val="24"/>
          <w:lang w:val="en-GB"/>
        </w:rPr>
        <w:t xml:space="preserve"> assessment, reviews of business case development and tendering decision</w:t>
      </w:r>
      <w:r w:rsidR="004F686C">
        <w:rPr>
          <w:sz w:val="24"/>
          <w:lang w:val="en-GB"/>
        </w:rPr>
        <w:t>s</w:t>
      </w:r>
      <w:r w:rsidR="00D275AD" w:rsidRPr="003D1E5E">
        <w:rPr>
          <w:sz w:val="24"/>
          <w:lang w:val="en-GB"/>
        </w:rPr>
        <w:t xml:space="preserve">, examinations of TCQ </w:t>
      </w:r>
      <w:r w:rsidR="006A4811">
        <w:rPr>
          <w:sz w:val="24"/>
          <w:lang w:val="en-GB"/>
        </w:rPr>
        <w:t xml:space="preserve">or </w:t>
      </w:r>
      <w:r w:rsidR="00D275AD" w:rsidRPr="003D1E5E">
        <w:rPr>
          <w:sz w:val="24"/>
          <w:lang w:val="en-GB"/>
        </w:rPr>
        <w:t xml:space="preserve">operational measurement </w:t>
      </w:r>
      <w:r w:rsidR="00C66433" w:rsidRPr="003D1E5E">
        <w:rPr>
          <w:sz w:val="24"/>
          <w:lang w:val="en-GB"/>
        </w:rPr>
        <w:t>that relied</w:t>
      </w:r>
      <w:r w:rsidR="00D275AD" w:rsidRPr="003D1E5E">
        <w:rPr>
          <w:sz w:val="24"/>
          <w:lang w:val="en-GB"/>
        </w:rPr>
        <w:t xml:space="preserve"> on KPIs.</w:t>
      </w:r>
      <w:r w:rsidR="00C66433" w:rsidRPr="003D1E5E">
        <w:rPr>
          <w:sz w:val="24"/>
          <w:lang w:val="en-GB"/>
        </w:rPr>
        <w:t xml:space="preserve"> </w:t>
      </w:r>
      <w:r w:rsidR="000445B0" w:rsidRPr="003D1E5E">
        <w:rPr>
          <w:sz w:val="24"/>
          <w:lang w:val="en-GB"/>
        </w:rPr>
        <w:t>All</w:t>
      </w:r>
      <w:r w:rsidR="00017FC7" w:rsidRPr="003D1E5E">
        <w:rPr>
          <w:sz w:val="24"/>
          <w:lang w:val="en-GB"/>
        </w:rPr>
        <w:t xml:space="preserve"> interview</w:t>
      </w:r>
      <w:r w:rsidR="000445B0" w:rsidRPr="003D1E5E">
        <w:rPr>
          <w:sz w:val="24"/>
          <w:lang w:val="en-GB"/>
        </w:rPr>
        <w:t>ees</w:t>
      </w:r>
      <w:r w:rsidR="00017FC7" w:rsidRPr="003D1E5E">
        <w:rPr>
          <w:sz w:val="24"/>
          <w:lang w:val="en-GB"/>
        </w:rPr>
        <w:t xml:space="preserve"> </w:t>
      </w:r>
      <w:r w:rsidR="000E2AF9" w:rsidRPr="003D1E5E">
        <w:rPr>
          <w:sz w:val="24"/>
          <w:lang w:val="en-GB"/>
        </w:rPr>
        <w:t xml:space="preserve">(Projects A and B) </w:t>
      </w:r>
      <w:r w:rsidR="00017FC7" w:rsidRPr="003D1E5E">
        <w:rPr>
          <w:sz w:val="24"/>
          <w:lang w:val="en-GB"/>
        </w:rPr>
        <w:t xml:space="preserve">maintained that the approaches </w:t>
      </w:r>
      <w:r>
        <w:rPr>
          <w:sz w:val="24"/>
          <w:lang w:val="en-GB"/>
        </w:rPr>
        <w:t>that were applied</w:t>
      </w:r>
      <w:r w:rsidR="00017FC7" w:rsidRPr="003D1E5E">
        <w:rPr>
          <w:sz w:val="24"/>
          <w:lang w:val="en-GB"/>
        </w:rPr>
        <w:t xml:space="preserve"> to </w:t>
      </w:r>
      <w:r w:rsidR="004C2E91">
        <w:rPr>
          <w:sz w:val="24"/>
          <w:lang w:val="en-GB"/>
        </w:rPr>
        <w:t>evaluate</w:t>
      </w:r>
      <w:r w:rsidR="00017FC7" w:rsidRPr="003D1E5E">
        <w:rPr>
          <w:sz w:val="24"/>
          <w:lang w:val="en-GB"/>
        </w:rPr>
        <w:t xml:space="preserve"> PPPs need</w:t>
      </w:r>
      <w:r>
        <w:rPr>
          <w:sz w:val="24"/>
          <w:lang w:val="en-GB"/>
        </w:rPr>
        <w:t>ed</w:t>
      </w:r>
      <w:r w:rsidR="00017FC7" w:rsidRPr="003D1E5E">
        <w:rPr>
          <w:sz w:val="24"/>
          <w:lang w:val="en-GB"/>
        </w:rPr>
        <w:t xml:space="preserve"> to </w:t>
      </w:r>
      <w:r w:rsidR="00735A67" w:rsidRPr="003D1E5E">
        <w:rPr>
          <w:sz w:val="24"/>
          <w:lang w:val="en-GB"/>
        </w:rPr>
        <w:t xml:space="preserve">be </w:t>
      </w:r>
      <w:r w:rsidR="000445B0" w:rsidRPr="003D1E5E">
        <w:rPr>
          <w:sz w:val="24"/>
          <w:lang w:val="en-GB"/>
        </w:rPr>
        <w:t>improved</w:t>
      </w:r>
      <w:r w:rsidR="00735A67" w:rsidRPr="003D1E5E">
        <w:rPr>
          <w:sz w:val="24"/>
          <w:lang w:val="en-GB"/>
        </w:rPr>
        <w:t xml:space="preserve"> owing to a series of shortcoming</w:t>
      </w:r>
      <w:r w:rsidR="000C101D" w:rsidRPr="003D1E5E">
        <w:rPr>
          <w:sz w:val="24"/>
          <w:lang w:val="en-GB"/>
        </w:rPr>
        <w:t>s</w:t>
      </w:r>
      <w:r w:rsidR="000E2AF9" w:rsidRPr="003D1E5E">
        <w:rPr>
          <w:sz w:val="24"/>
          <w:lang w:val="en-GB"/>
        </w:rPr>
        <w:t xml:space="preserve">, which </w:t>
      </w:r>
      <w:r>
        <w:rPr>
          <w:sz w:val="24"/>
          <w:lang w:val="en-GB"/>
        </w:rPr>
        <w:t>are</w:t>
      </w:r>
      <w:r w:rsidR="000E2AF9" w:rsidRPr="003D1E5E">
        <w:rPr>
          <w:sz w:val="24"/>
          <w:lang w:val="en-GB"/>
        </w:rPr>
        <w:t xml:space="preserve"> presented and discussed </w:t>
      </w:r>
      <w:r>
        <w:rPr>
          <w:sz w:val="24"/>
          <w:lang w:val="en-GB"/>
        </w:rPr>
        <w:t>below</w:t>
      </w:r>
      <w:r w:rsidR="00E2246A" w:rsidRPr="003D1E5E">
        <w:rPr>
          <w:sz w:val="24"/>
          <w:lang w:val="en-GB"/>
        </w:rPr>
        <w:t>.</w:t>
      </w:r>
    </w:p>
    <w:p w14:paraId="4CD8AA2D" w14:textId="34CEAF53" w:rsidR="00E2246A" w:rsidRDefault="00E2246A" w:rsidP="009A3DAA">
      <w:pPr>
        <w:spacing w:line="480" w:lineRule="auto"/>
        <w:rPr>
          <w:sz w:val="24"/>
          <w:lang w:val="en-GB"/>
        </w:rPr>
      </w:pPr>
    </w:p>
    <w:p w14:paraId="7828D5CC" w14:textId="177E8DC3" w:rsidR="002E5F4E" w:rsidRDefault="002E5F4E" w:rsidP="002E5F4E">
      <w:pPr>
        <w:spacing w:line="480" w:lineRule="auto"/>
        <w:jc w:val="center"/>
        <w:rPr>
          <w:sz w:val="24"/>
          <w:lang w:val="en-GB"/>
        </w:rPr>
      </w:pPr>
      <w:r>
        <w:rPr>
          <w:noProof/>
          <w:sz w:val="24"/>
          <w:lang w:val="en-GB" w:eastAsia="en-GB"/>
        </w:rPr>
        <w:drawing>
          <wp:inline distT="0" distB="0" distL="0" distR="0" wp14:anchorId="16E368FE" wp14:editId="17F728F8">
            <wp:extent cx="6188013" cy="202882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20" cy="2031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551B9" w14:textId="72115092" w:rsidR="005F5AC2" w:rsidRDefault="00667F8C" w:rsidP="00111CC2">
      <w:pPr>
        <w:spacing w:line="480" w:lineRule="auto"/>
        <w:jc w:val="center"/>
        <w:rPr>
          <w:sz w:val="24"/>
          <w:lang w:val="en-GB"/>
        </w:rPr>
      </w:pPr>
      <w:r>
        <w:rPr>
          <w:sz w:val="24"/>
          <w:lang w:val="en-GB"/>
        </w:rPr>
        <w:t>Figure 3: Performance Evaluation System of Project-A</w:t>
      </w:r>
    </w:p>
    <w:p w14:paraId="7A1CE3B8" w14:textId="2A6C8F98" w:rsidR="005F5AC2" w:rsidRDefault="005F5AC2" w:rsidP="009A3DAA">
      <w:pPr>
        <w:spacing w:line="480" w:lineRule="auto"/>
        <w:rPr>
          <w:sz w:val="24"/>
          <w:lang w:val="en-GB"/>
        </w:rPr>
      </w:pPr>
    </w:p>
    <w:p w14:paraId="21CD80E1" w14:textId="77777777" w:rsidR="002E5F4E" w:rsidRDefault="002E5F4E" w:rsidP="009A3DAA">
      <w:pPr>
        <w:spacing w:line="480" w:lineRule="auto"/>
        <w:rPr>
          <w:sz w:val="24"/>
          <w:lang w:val="en-GB"/>
        </w:rPr>
      </w:pPr>
    </w:p>
    <w:p w14:paraId="06977D17" w14:textId="189CC951" w:rsidR="009267C3" w:rsidRDefault="002E5F4E" w:rsidP="002E5F4E">
      <w:pPr>
        <w:spacing w:line="480" w:lineRule="auto"/>
        <w:jc w:val="center"/>
        <w:rPr>
          <w:sz w:val="24"/>
          <w:lang w:val="en-GB"/>
        </w:rPr>
      </w:pPr>
      <w:r>
        <w:rPr>
          <w:noProof/>
          <w:sz w:val="24"/>
          <w:lang w:val="en-GB" w:eastAsia="en-GB"/>
        </w:rPr>
        <w:lastRenderedPageBreak/>
        <w:drawing>
          <wp:inline distT="0" distB="0" distL="0" distR="0" wp14:anchorId="44336D87" wp14:editId="4310B494">
            <wp:extent cx="5955665" cy="1923400"/>
            <wp:effectExtent l="0" t="0" r="698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18" cy="1932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90EEB" w14:textId="76DA0A0B" w:rsidR="005F5AC2" w:rsidRDefault="00667F8C" w:rsidP="00111CC2">
      <w:pPr>
        <w:spacing w:line="480" w:lineRule="auto"/>
        <w:jc w:val="center"/>
        <w:rPr>
          <w:sz w:val="24"/>
          <w:lang w:val="en-GB"/>
        </w:rPr>
      </w:pPr>
      <w:r>
        <w:rPr>
          <w:sz w:val="24"/>
          <w:lang w:val="en-GB"/>
        </w:rPr>
        <w:t>Figure 4: Performance Evaluation System of Project-B</w:t>
      </w:r>
    </w:p>
    <w:p w14:paraId="109E17A1" w14:textId="77777777" w:rsidR="005F5AC2" w:rsidRDefault="005F5AC2" w:rsidP="009A3DAA">
      <w:pPr>
        <w:spacing w:line="480" w:lineRule="auto"/>
        <w:rPr>
          <w:sz w:val="24"/>
          <w:lang w:val="en-GB"/>
        </w:rPr>
      </w:pPr>
    </w:p>
    <w:p w14:paraId="1BFD2F31" w14:textId="77777777" w:rsidR="002A1BA3" w:rsidRPr="003D1E5E" w:rsidRDefault="002A1BA3" w:rsidP="009A3DAA">
      <w:pPr>
        <w:spacing w:line="480" w:lineRule="auto"/>
        <w:rPr>
          <w:rFonts w:ascii="Arial" w:hAnsi="Arial" w:cs="Arial"/>
          <w:b/>
          <w:sz w:val="24"/>
          <w:lang w:val="en-GB"/>
        </w:rPr>
      </w:pPr>
      <w:r w:rsidRPr="003D1E5E">
        <w:rPr>
          <w:rFonts w:ascii="Arial" w:hAnsi="Arial" w:cs="Arial"/>
          <w:b/>
          <w:sz w:val="24"/>
          <w:lang w:val="en-GB"/>
        </w:rPr>
        <w:t>Shortcomings of Existin</w:t>
      </w:r>
      <w:r w:rsidR="000445B0" w:rsidRPr="003D1E5E">
        <w:rPr>
          <w:rFonts w:ascii="Arial" w:hAnsi="Arial" w:cs="Arial"/>
          <w:b/>
          <w:sz w:val="24"/>
          <w:lang w:val="en-GB"/>
        </w:rPr>
        <w:t>g Performance Evaluations</w:t>
      </w:r>
    </w:p>
    <w:p w14:paraId="5B082B03" w14:textId="02396382" w:rsidR="00282F3E" w:rsidRDefault="00D3674A" w:rsidP="00446193">
      <w:pPr>
        <w:spacing w:line="480" w:lineRule="auto"/>
        <w:rPr>
          <w:sz w:val="24"/>
          <w:lang w:val="en-GB"/>
        </w:rPr>
      </w:pPr>
      <w:r>
        <w:rPr>
          <w:sz w:val="24"/>
          <w:lang w:val="en-GB"/>
        </w:rPr>
        <w:t xml:space="preserve">There was </w:t>
      </w:r>
      <w:r w:rsidR="004F686C">
        <w:rPr>
          <w:sz w:val="24"/>
          <w:lang w:val="en-GB"/>
        </w:rPr>
        <w:t>consensus</w:t>
      </w:r>
      <w:r>
        <w:rPr>
          <w:sz w:val="24"/>
          <w:lang w:val="en-GB"/>
        </w:rPr>
        <w:t xml:space="preserve"> amongst i</w:t>
      </w:r>
      <w:r w:rsidR="000445B0" w:rsidRPr="003D1E5E">
        <w:rPr>
          <w:sz w:val="24"/>
          <w:lang w:val="en-GB"/>
        </w:rPr>
        <w:t>nterviewees from the</w:t>
      </w:r>
      <w:r w:rsidR="00C44238" w:rsidRPr="003D1E5E">
        <w:rPr>
          <w:sz w:val="24"/>
          <w:lang w:val="en-GB"/>
        </w:rPr>
        <w:t xml:space="preserve"> public </w:t>
      </w:r>
      <w:r>
        <w:rPr>
          <w:sz w:val="24"/>
          <w:lang w:val="en-GB"/>
        </w:rPr>
        <w:t>sector</w:t>
      </w:r>
      <w:r w:rsidRPr="003D1E5E">
        <w:rPr>
          <w:sz w:val="24"/>
          <w:lang w:val="en-GB"/>
        </w:rPr>
        <w:t xml:space="preserve"> </w:t>
      </w:r>
      <w:r w:rsidR="00B6723E" w:rsidRPr="003D1E5E">
        <w:rPr>
          <w:sz w:val="24"/>
          <w:lang w:val="en-GB"/>
        </w:rPr>
        <w:t>(i.e., PD-A&amp;B and CM</w:t>
      </w:r>
      <w:r w:rsidR="00EC5BA2" w:rsidRPr="003D1E5E">
        <w:rPr>
          <w:sz w:val="24"/>
          <w:lang w:val="en-GB"/>
        </w:rPr>
        <w:t>/PA</w:t>
      </w:r>
      <w:r w:rsidR="00B6723E" w:rsidRPr="003D1E5E">
        <w:rPr>
          <w:sz w:val="24"/>
          <w:lang w:val="en-GB"/>
        </w:rPr>
        <w:t>-B</w:t>
      </w:r>
      <w:r w:rsidR="0051674F" w:rsidRPr="003D1E5E">
        <w:rPr>
          <w:sz w:val="24"/>
          <w:lang w:val="en-GB"/>
        </w:rPr>
        <w:t xml:space="preserve"> in Table 1</w:t>
      </w:r>
      <w:r w:rsidR="00B6723E" w:rsidRPr="003D1E5E">
        <w:rPr>
          <w:sz w:val="24"/>
          <w:lang w:val="en-GB"/>
        </w:rPr>
        <w:t xml:space="preserve">) </w:t>
      </w:r>
      <w:r>
        <w:rPr>
          <w:sz w:val="24"/>
          <w:lang w:val="en-GB"/>
        </w:rPr>
        <w:t>that there was a need to</w:t>
      </w:r>
      <w:r w:rsidR="00B05D35" w:rsidRPr="003D1E5E">
        <w:rPr>
          <w:sz w:val="24"/>
          <w:lang w:val="en-GB"/>
        </w:rPr>
        <w:t xml:space="preserve"> </w:t>
      </w:r>
      <w:r w:rsidRPr="003D1E5E">
        <w:rPr>
          <w:sz w:val="24"/>
          <w:lang w:val="en-GB"/>
        </w:rPr>
        <w:t>improv</w:t>
      </w:r>
      <w:r>
        <w:rPr>
          <w:sz w:val="24"/>
          <w:lang w:val="en-GB"/>
        </w:rPr>
        <w:t>e</w:t>
      </w:r>
      <w:r w:rsidRPr="003D1E5E">
        <w:rPr>
          <w:sz w:val="24"/>
          <w:lang w:val="en-GB"/>
        </w:rPr>
        <w:t xml:space="preserve"> </w:t>
      </w:r>
      <w:r w:rsidR="0051674F" w:rsidRPr="003D1E5E">
        <w:rPr>
          <w:sz w:val="24"/>
          <w:lang w:val="en-GB"/>
        </w:rPr>
        <w:t xml:space="preserve">the </w:t>
      </w:r>
      <w:r w:rsidR="00354F7C" w:rsidRPr="003D1E5E">
        <w:rPr>
          <w:sz w:val="24"/>
          <w:lang w:val="en-GB"/>
        </w:rPr>
        <w:t xml:space="preserve">existing performance </w:t>
      </w:r>
      <w:r w:rsidR="0051674F" w:rsidRPr="003D1E5E">
        <w:rPr>
          <w:sz w:val="24"/>
          <w:lang w:val="en-GB"/>
        </w:rPr>
        <w:t xml:space="preserve">evaluations </w:t>
      </w:r>
      <w:r>
        <w:rPr>
          <w:sz w:val="24"/>
          <w:lang w:val="en-GB"/>
        </w:rPr>
        <w:t>as</w:t>
      </w:r>
      <w:r w:rsidR="00354F7C" w:rsidRPr="003D1E5E">
        <w:rPr>
          <w:sz w:val="24"/>
          <w:lang w:val="en-GB"/>
        </w:rPr>
        <w:t xml:space="preserve"> they </w:t>
      </w:r>
      <w:r w:rsidR="00B407E5" w:rsidRPr="003D1E5E">
        <w:rPr>
          <w:sz w:val="24"/>
          <w:lang w:val="en-GB"/>
        </w:rPr>
        <w:t>wer</w:t>
      </w:r>
      <w:r w:rsidR="000E2AF9" w:rsidRPr="003D1E5E">
        <w:rPr>
          <w:sz w:val="24"/>
          <w:lang w:val="en-GB"/>
        </w:rPr>
        <w:t xml:space="preserve">e not robust enough to </w:t>
      </w:r>
      <w:r>
        <w:rPr>
          <w:sz w:val="24"/>
          <w:lang w:val="en-GB"/>
        </w:rPr>
        <w:t>accommodate the</w:t>
      </w:r>
      <w:r w:rsidR="002C6926" w:rsidRPr="003D1E5E">
        <w:rPr>
          <w:sz w:val="24"/>
          <w:lang w:val="en-GB"/>
        </w:rPr>
        <w:t xml:space="preserve"> deliverables </w:t>
      </w:r>
      <w:r>
        <w:rPr>
          <w:sz w:val="24"/>
          <w:lang w:val="en-GB"/>
        </w:rPr>
        <w:t>to ensure the</w:t>
      </w:r>
      <w:r w:rsidR="002C6926" w:rsidRPr="003D1E5E">
        <w:rPr>
          <w:sz w:val="24"/>
          <w:lang w:val="en-GB"/>
        </w:rPr>
        <w:t xml:space="preserve"> long-term success of the</w:t>
      </w:r>
      <w:r>
        <w:rPr>
          <w:sz w:val="24"/>
          <w:lang w:val="en-GB"/>
        </w:rPr>
        <w:t>ir</w:t>
      </w:r>
      <w:r w:rsidR="002C6926" w:rsidRPr="003D1E5E">
        <w:rPr>
          <w:sz w:val="24"/>
          <w:lang w:val="en-GB"/>
        </w:rPr>
        <w:t xml:space="preserve"> projects</w:t>
      </w:r>
      <w:r w:rsidR="00446193" w:rsidRPr="003D1E5E">
        <w:rPr>
          <w:sz w:val="24"/>
          <w:lang w:val="en-GB"/>
        </w:rPr>
        <w:t>.</w:t>
      </w:r>
      <w:r w:rsidR="002C6926" w:rsidRPr="003D1E5E">
        <w:rPr>
          <w:sz w:val="24"/>
          <w:lang w:val="en-GB"/>
        </w:rPr>
        <w:t xml:space="preserve"> </w:t>
      </w:r>
      <w:r w:rsidR="00446193" w:rsidRPr="003D1E5E">
        <w:rPr>
          <w:sz w:val="24"/>
          <w:lang w:val="en-GB"/>
        </w:rPr>
        <w:t>These include</w:t>
      </w:r>
      <w:r w:rsidR="00B407E5" w:rsidRPr="003D1E5E">
        <w:rPr>
          <w:sz w:val="24"/>
          <w:lang w:val="en-GB"/>
        </w:rPr>
        <w:t>d</w:t>
      </w:r>
      <w:r w:rsidR="00446193" w:rsidRPr="003D1E5E">
        <w:rPr>
          <w:sz w:val="24"/>
          <w:lang w:val="en-GB"/>
        </w:rPr>
        <w:t xml:space="preserve">, </w:t>
      </w:r>
      <w:r w:rsidR="002C6926" w:rsidRPr="003D1E5E">
        <w:rPr>
          <w:sz w:val="24"/>
          <w:lang w:val="en-GB"/>
        </w:rPr>
        <w:t xml:space="preserve">for example, </w:t>
      </w:r>
      <w:r>
        <w:rPr>
          <w:sz w:val="24"/>
          <w:lang w:val="en-GB"/>
        </w:rPr>
        <w:t>a mechanism to engender and enact continuous improvement</w:t>
      </w:r>
      <w:r w:rsidR="002C6926" w:rsidRPr="003D1E5E">
        <w:rPr>
          <w:sz w:val="24"/>
          <w:lang w:val="en-GB"/>
        </w:rPr>
        <w:t xml:space="preserve">, efficiency and competitiveness of the tendering/bidding procedures and non-financial benefits in </w:t>
      </w:r>
      <w:proofErr w:type="spellStart"/>
      <w:r w:rsidR="002C6926" w:rsidRPr="003D1E5E">
        <w:rPr>
          <w:sz w:val="24"/>
          <w:lang w:val="en-GB"/>
        </w:rPr>
        <w:t>V</w:t>
      </w:r>
      <w:r w:rsidR="002C6926" w:rsidRPr="003D1E5E">
        <w:rPr>
          <w:i/>
          <w:sz w:val="24"/>
          <w:lang w:val="en-GB"/>
        </w:rPr>
        <w:t>f</w:t>
      </w:r>
      <w:r w:rsidR="002C6926" w:rsidRPr="003D1E5E">
        <w:rPr>
          <w:sz w:val="24"/>
          <w:lang w:val="en-GB"/>
        </w:rPr>
        <w:t>M</w:t>
      </w:r>
      <w:proofErr w:type="spellEnd"/>
      <w:r w:rsidR="002C6926" w:rsidRPr="003D1E5E">
        <w:rPr>
          <w:sz w:val="24"/>
          <w:lang w:val="en-GB"/>
        </w:rPr>
        <w:t xml:space="preserve"> assessment. </w:t>
      </w:r>
      <w:r w:rsidR="00C44238" w:rsidRPr="003D1E5E">
        <w:rPr>
          <w:sz w:val="24"/>
          <w:lang w:val="en-GB"/>
        </w:rPr>
        <w:t>The Procurem</w:t>
      </w:r>
      <w:r w:rsidR="00B6723E" w:rsidRPr="003D1E5E">
        <w:rPr>
          <w:sz w:val="24"/>
          <w:lang w:val="en-GB"/>
        </w:rPr>
        <w:t xml:space="preserve">ent Director </w:t>
      </w:r>
      <w:r>
        <w:rPr>
          <w:sz w:val="24"/>
          <w:lang w:val="en-GB"/>
        </w:rPr>
        <w:t>stated</w:t>
      </w:r>
      <w:r w:rsidRPr="003D1E5E">
        <w:rPr>
          <w:sz w:val="24"/>
          <w:lang w:val="en-GB"/>
        </w:rPr>
        <w:t xml:space="preserve"> </w:t>
      </w:r>
      <w:r w:rsidR="0051674F" w:rsidRPr="003D1E5E">
        <w:rPr>
          <w:sz w:val="24"/>
          <w:lang w:val="en-GB"/>
        </w:rPr>
        <w:t>that</w:t>
      </w:r>
      <w:r w:rsidR="00B6723E" w:rsidRPr="003D1E5E">
        <w:rPr>
          <w:sz w:val="24"/>
          <w:lang w:val="en-GB"/>
        </w:rPr>
        <w:t>:</w:t>
      </w:r>
    </w:p>
    <w:p w14:paraId="6EAB2686" w14:textId="77777777" w:rsidR="009267C3" w:rsidRDefault="009267C3" w:rsidP="00446193">
      <w:pPr>
        <w:spacing w:line="480" w:lineRule="auto"/>
        <w:rPr>
          <w:sz w:val="24"/>
          <w:lang w:val="en-GB"/>
        </w:rPr>
      </w:pPr>
    </w:p>
    <w:p w14:paraId="6367057A" w14:textId="77777777" w:rsidR="009F2499" w:rsidRPr="003D1E5E" w:rsidRDefault="00C44238" w:rsidP="00D234B7">
      <w:pPr>
        <w:spacing w:line="480" w:lineRule="auto"/>
        <w:ind w:left="454" w:right="454"/>
        <w:rPr>
          <w:sz w:val="24"/>
          <w:lang w:val="en-GB"/>
        </w:rPr>
      </w:pPr>
      <w:r w:rsidRPr="003D1E5E">
        <w:rPr>
          <w:sz w:val="24"/>
          <w:lang w:val="en-GB"/>
        </w:rPr>
        <w:t>“</w:t>
      </w:r>
      <w:r w:rsidR="00B6723E" w:rsidRPr="003D1E5E">
        <w:rPr>
          <w:sz w:val="24"/>
          <w:lang w:val="en-GB"/>
        </w:rPr>
        <w:t xml:space="preserve">The track record of our </w:t>
      </w:r>
      <w:r w:rsidR="008130A0" w:rsidRPr="003D1E5E">
        <w:rPr>
          <w:sz w:val="24"/>
          <w:lang w:val="en-GB"/>
        </w:rPr>
        <w:t>approach</w:t>
      </w:r>
      <w:r w:rsidR="00B6723E" w:rsidRPr="003D1E5E">
        <w:rPr>
          <w:sz w:val="24"/>
          <w:lang w:val="en-GB"/>
        </w:rPr>
        <w:t xml:space="preserve"> used for</w:t>
      </w:r>
      <w:r w:rsidR="0051674F" w:rsidRPr="003D1E5E">
        <w:rPr>
          <w:sz w:val="24"/>
          <w:lang w:val="en-GB"/>
        </w:rPr>
        <w:t xml:space="preserve"> performance evaluation is good, but w</w:t>
      </w:r>
      <w:r w:rsidR="00B6723E" w:rsidRPr="003D1E5E">
        <w:rPr>
          <w:sz w:val="24"/>
          <w:lang w:val="en-GB"/>
        </w:rPr>
        <w:t xml:space="preserve">e will have to refine it. In particular, there is a need </w:t>
      </w:r>
      <w:r w:rsidR="00BA4AD7" w:rsidRPr="003D1E5E">
        <w:rPr>
          <w:sz w:val="24"/>
          <w:lang w:val="en-GB"/>
        </w:rPr>
        <w:t>to</w:t>
      </w:r>
      <w:r w:rsidR="00B6723E" w:rsidRPr="003D1E5E">
        <w:rPr>
          <w:sz w:val="24"/>
          <w:lang w:val="en-GB"/>
        </w:rPr>
        <w:t xml:space="preserve"> ensur</w:t>
      </w:r>
      <w:r w:rsidR="00BA4AD7" w:rsidRPr="003D1E5E">
        <w:rPr>
          <w:sz w:val="24"/>
          <w:lang w:val="en-GB"/>
        </w:rPr>
        <w:t>e</w:t>
      </w:r>
      <w:r w:rsidR="00B6723E" w:rsidRPr="003D1E5E">
        <w:rPr>
          <w:sz w:val="24"/>
          <w:lang w:val="en-GB"/>
        </w:rPr>
        <w:t xml:space="preserve"> that lessons learned are properly captured. </w:t>
      </w:r>
      <w:r w:rsidR="00A05B4E">
        <w:rPr>
          <w:sz w:val="24"/>
          <w:lang w:val="en-GB"/>
        </w:rPr>
        <w:t>But</w:t>
      </w:r>
      <w:r w:rsidR="008130A0" w:rsidRPr="003D1E5E">
        <w:rPr>
          <w:sz w:val="24"/>
          <w:lang w:val="en-GB"/>
        </w:rPr>
        <w:t xml:space="preserve"> this internal process </w:t>
      </w:r>
      <w:r w:rsidR="00BA4AD7" w:rsidRPr="003D1E5E">
        <w:rPr>
          <w:sz w:val="24"/>
          <w:lang w:val="en-GB"/>
        </w:rPr>
        <w:t>with</w:t>
      </w:r>
      <w:r w:rsidR="008130A0" w:rsidRPr="003D1E5E">
        <w:rPr>
          <w:sz w:val="24"/>
          <w:lang w:val="en-GB"/>
        </w:rPr>
        <w:t xml:space="preserve"> the projects was not robust enough and we are constantly </w:t>
      </w:r>
      <w:r w:rsidR="0051674F" w:rsidRPr="003D1E5E">
        <w:rPr>
          <w:sz w:val="24"/>
          <w:lang w:val="en-GB"/>
        </w:rPr>
        <w:t>improving</w:t>
      </w:r>
      <w:r w:rsidR="00A05B4E">
        <w:rPr>
          <w:sz w:val="24"/>
          <w:lang w:val="en-GB"/>
        </w:rPr>
        <w:t xml:space="preserve"> it. </w:t>
      </w:r>
      <w:r w:rsidR="00751513">
        <w:rPr>
          <w:sz w:val="24"/>
          <w:lang w:val="en-GB"/>
        </w:rPr>
        <w:t xml:space="preserve">And, </w:t>
      </w:r>
      <w:r w:rsidR="008130A0" w:rsidRPr="003D1E5E">
        <w:rPr>
          <w:sz w:val="24"/>
          <w:lang w:val="en-GB"/>
        </w:rPr>
        <w:t xml:space="preserve">PPP approval process within the government in the Procurement phase sometimes has been protracted. Although we </w:t>
      </w:r>
      <w:r w:rsidR="00751513">
        <w:rPr>
          <w:sz w:val="24"/>
          <w:lang w:val="en-GB"/>
        </w:rPr>
        <w:t>can</w:t>
      </w:r>
      <w:r w:rsidR="008130A0" w:rsidRPr="003D1E5E">
        <w:rPr>
          <w:sz w:val="24"/>
          <w:lang w:val="en-GB"/>
        </w:rPr>
        <w:t xml:space="preserve"> get through that quickly, focusing more on the approval procedure in evaluation can increase its efficiency. Moreover, competition of tendering/bidding is important but this was missed </w:t>
      </w:r>
      <w:r w:rsidR="003B723E" w:rsidRPr="003D1E5E">
        <w:rPr>
          <w:sz w:val="24"/>
          <w:lang w:val="en-GB"/>
        </w:rPr>
        <w:t>when</w:t>
      </w:r>
      <w:r w:rsidR="008130A0" w:rsidRPr="003D1E5E">
        <w:rPr>
          <w:sz w:val="24"/>
          <w:lang w:val="en-GB"/>
        </w:rPr>
        <w:t xml:space="preserve"> </w:t>
      </w:r>
      <w:r w:rsidR="00751513">
        <w:rPr>
          <w:sz w:val="24"/>
          <w:lang w:val="en-GB"/>
        </w:rPr>
        <w:t xml:space="preserve">we measured our </w:t>
      </w:r>
      <w:r w:rsidR="00751513">
        <w:rPr>
          <w:sz w:val="24"/>
          <w:lang w:val="en-GB"/>
        </w:rPr>
        <w:lastRenderedPageBreak/>
        <w:t xml:space="preserve">projects, </w:t>
      </w:r>
      <w:r w:rsidR="0051674F" w:rsidRPr="003D1E5E">
        <w:rPr>
          <w:sz w:val="24"/>
          <w:lang w:val="en-GB"/>
        </w:rPr>
        <w:t>a</w:t>
      </w:r>
      <w:r w:rsidR="008130A0" w:rsidRPr="003D1E5E">
        <w:rPr>
          <w:sz w:val="24"/>
          <w:lang w:val="en-GB"/>
        </w:rPr>
        <w:t xml:space="preserve">nd, </w:t>
      </w:r>
      <w:r w:rsidR="003B723E" w:rsidRPr="003D1E5E">
        <w:rPr>
          <w:sz w:val="24"/>
          <w:lang w:val="en-GB"/>
        </w:rPr>
        <w:t xml:space="preserve">the </w:t>
      </w:r>
      <w:r w:rsidR="008130A0" w:rsidRPr="003D1E5E">
        <w:rPr>
          <w:sz w:val="24"/>
          <w:lang w:val="en-GB"/>
        </w:rPr>
        <w:t xml:space="preserve">PSC for assessing </w:t>
      </w:r>
      <w:proofErr w:type="spellStart"/>
      <w:r w:rsidR="008130A0" w:rsidRPr="003D1E5E">
        <w:rPr>
          <w:sz w:val="24"/>
          <w:lang w:val="en-GB"/>
        </w:rPr>
        <w:t>V</w:t>
      </w:r>
      <w:r w:rsidR="008130A0" w:rsidRPr="003D1E5E">
        <w:rPr>
          <w:i/>
          <w:sz w:val="24"/>
          <w:lang w:val="en-GB"/>
        </w:rPr>
        <w:t>f</w:t>
      </w:r>
      <w:r w:rsidR="008130A0" w:rsidRPr="003D1E5E">
        <w:rPr>
          <w:sz w:val="24"/>
          <w:lang w:val="en-GB"/>
        </w:rPr>
        <w:t>M</w:t>
      </w:r>
      <w:proofErr w:type="spellEnd"/>
      <w:r w:rsidR="008130A0" w:rsidRPr="003D1E5E">
        <w:rPr>
          <w:sz w:val="24"/>
          <w:lang w:val="en-GB"/>
        </w:rPr>
        <w:t xml:space="preserve"> is not perfect though it </w:t>
      </w:r>
      <w:r w:rsidR="003B723E" w:rsidRPr="003D1E5E">
        <w:rPr>
          <w:sz w:val="24"/>
          <w:lang w:val="en-GB"/>
        </w:rPr>
        <w:t xml:space="preserve">has </w:t>
      </w:r>
      <w:r w:rsidR="008130A0" w:rsidRPr="003D1E5E">
        <w:rPr>
          <w:sz w:val="24"/>
          <w:lang w:val="en-GB"/>
        </w:rPr>
        <w:t>worked well</w:t>
      </w:r>
      <w:r w:rsidR="00751513">
        <w:rPr>
          <w:sz w:val="24"/>
          <w:lang w:val="en-GB"/>
        </w:rPr>
        <w:t xml:space="preserve"> with us</w:t>
      </w:r>
      <w:r w:rsidR="008130A0" w:rsidRPr="003D1E5E">
        <w:rPr>
          <w:sz w:val="24"/>
          <w:lang w:val="en-GB"/>
        </w:rPr>
        <w:t xml:space="preserve">. </w:t>
      </w:r>
      <w:proofErr w:type="spellStart"/>
      <w:r w:rsidR="00B126B8" w:rsidRPr="003D1E5E">
        <w:rPr>
          <w:sz w:val="24"/>
          <w:lang w:val="en-GB"/>
        </w:rPr>
        <w:t>V</w:t>
      </w:r>
      <w:r w:rsidR="00B126B8" w:rsidRPr="003D1E5E">
        <w:rPr>
          <w:i/>
          <w:sz w:val="24"/>
          <w:lang w:val="en-GB"/>
        </w:rPr>
        <w:t>f</w:t>
      </w:r>
      <w:r w:rsidR="00B126B8" w:rsidRPr="003D1E5E">
        <w:rPr>
          <w:sz w:val="24"/>
          <w:lang w:val="en-GB"/>
        </w:rPr>
        <w:t>M</w:t>
      </w:r>
      <w:proofErr w:type="spellEnd"/>
      <w:r w:rsidR="00B126B8" w:rsidRPr="003D1E5E">
        <w:rPr>
          <w:sz w:val="24"/>
          <w:lang w:val="en-GB"/>
        </w:rPr>
        <w:t xml:space="preserve"> </w:t>
      </w:r>
      <w:r w:rsidR="00751513">
        <w:rPr>
          <w:sz w:val="24"/>
          <w:lang w:val="en-GB"/>
        </w:rPr>
        <w:t>is</w:t>
      </w:r>
      <w:r w:rsidR="00B126B8" w:rsidRPr="003D1E5E">
        <w:rPr>
          <w:sz w:val="24"/>
          <w:lang w:val="en-GB"/>
        </w:rPr>
        <w:t xml:space="preserve"> a holistic consideration of project benefits, not just delivering the required scope at the cheapest cost. It is related to a wide range of benefits to the public, such as economic and social.”</w:t>
      </w:r>
    </w:p>
    <w:p w14:paraId="024A0F09" w14:textId="77777777" w:rsidR="009F2499" w:rsidRPr="003D1E5E" w:rsidRDefault="009F2499" w:rsidP="009A3DAA">
      <w:pPr>
        <w:spacing w:line="480" w:lineRule="auto"/>
        <w:rPr>
          <w:sz w:val="24"/>
          <w:lang w:val="en-GB"/>
        </w:rPr>
      </w:pPr>
    </w:p>
    <w:p w14:paraId="6E2F8D74" w14:textId="072924CB" w:rsidR="00717FE2" w:rsidRPr="003D1E5E" w:rsidRDefault="00717FE2" w:rsidP="009A3DAA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>In addition to the</w:t>
      </w:r>
      <w:r w:rsidR="004F686C">
        <w:rPr>
          <w:sz w:val="24"/>
          <w:lang w:val="en-GB"/>
        </w:rPr>
        <w:t>se</w:t>
      </w:r>
      <w:r w:rsidRPr="003D1E5E">
        <w:rPr>
          <w:sz w:val="24"/>
          <w:lang w:val="en-GB"/>
        </w:rPr>
        <w:t xml:space="preserve"> </w:t>
      </w:r>
      <w:r w:rsidR="004F686C" w:rsidRPr="003D1E5E">
        <w:rPr>
          <w:sz w:val="24"/>
          <w:lang w:val="en-GB"/>
        </w:rPr>
        <w:t>issues</w:t>
      </w:r>
      <w:r w:rsidRPr="003D1E5E">
        <w:rPr>
          <w:sz w:val="24"/>
          <w:lang w:val="en-GB"/>
        </w:rPr>
        <w:t>, the Contract Manager of Project-A identified the deficiency of the KPIs that were designed and implemented with an aim of controlling the operational outputs of the private-sector SPVs. This experienced PPP practitioner stated:</w:t>
      </w:r>
    </w:p>
    <w:p w14:paraId="31529C65" w14:textId="77777777" w:rsidR="00717FE2" w:rsidRPr="003D1E5E" w:rsidRDefault="00717FE2" w:rsidP="009A3DAA">
      <w:pPr>
        <w:spacing w:line="480" w:lineRule="auto"/>
        <w:rPr>
          <w:sz w:val="24"/>
          <w:lang w:val="en-GB"/>
        </w:rPr>
      </w:pPr>
    </w:p>
    <w:p w14:paraId="4946A5D5" w14:textId="77777777" w:rsidR="00717FE2" w:rsidRPr="003D1E5E" w:rsidRDefault="006A4811" w:rsidP="00D234B7">
      <w:pPr>
        <w:spacing w:line="480" w:lineRule="auto"/>
        <w:ind w:left="454" w:right="454"/>
        <w:rPr>
          <w:sz w:val="24"/>
          <w:lang w:val="en-AU"/>
        </w:rPr>
      </w:pPr>
      <w:r>
        <w:rPr>
          <w:sz w:val="24"/>
          <w:lang w:val="en-GB"/>
        </w:rPr>
        <w:t>“</w:t>
      </w:r>
      <w:r w:rsidR="0041693A" w:rsidRPr="003D1E5E">
        <w:rPr>
          <w:sz w:val="24"/>
          <w:lang w:val="en-AU"/>
        </w:rPr>
        <w:t xml:space="preserve">KPIs for the operation of the facility will be used for next a couple of years, but we are in an intensively changing business environment and there is no doubt the indicators designed today will not be suitable for the </w:t>
      </w:r>
      <w:r>
        <w:rPr>
          <w:sz w:val="24"/>
          <w:lang w:val="en-AU"/>
        </w:rPr>
        <w:t>whole contractual period.</w:t>
      </w:r>
      <w:r w:rsidR="00717FE2" w:rsidRPr="003D1E5E">
        <w:rPr>
          <w:sz w:val="24"/>
          <w:lang w:val="en-GB"/>
        </w:rPr>
        <w:t>”</w:t>
      </w:r>
    </w:p>
    <w:p w14:paraId="3654BFBC" w14:textId="77777777" w:rsidR="008E7AAE" w:rsidRDefault="008E7AAE" w:rsidP="009A3DAA">
      <w:pPr>
        <w:spacing w:line="480" w:lineRule="auto"/>
        <w:rPr>
          <w:sz w:val="24"/>
          <w:lang w:val="en-GB"/>
        </w:rPr>
      </w:pPr>
    </w:p>
    <w:p w14:paraId="6C4C6397" w14:textId="77777777" w:rsidR="00D62425" w:rsidRDefault="007E6A74" w:rsidP="009A3DAA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 xml:space="preserve">The information derived from the interviews with the key managerial practitioners of </w:t>
      </w:r>
      <w:r w:rsidR="003B723E" w:rsidRPr="003D1E5E">
        <w:rPr>
          <w:sz w:val="24"/>
          <w:lang w:val="en-GB"/>
        </w:rPr>
        <w:t xml:space="preserve">the </w:t>
      </w:r>
      <w:r w:rsidR="000F16A7" w:rsidRPr="003D1E5E">
        <w:rPr>
          <w:sz w:val="24"/>
          <w:lang w:val="en-GB"/>
        </w:rPr>
        <w:t xml:space="preserve">private </w:t>
      </w:r>
      <w:r w:rsidR="003B723E" w:rsidRPr="003D1E5E">
        <w:rPr>
          <w:sz w:val="24"/>
          <w:lang w:val="en-GB"/>
        </w:rPr>
        <w:t xml:space="preserve">SPVs of </w:t>
      </w:r>
      <w:r w:rsidR="0051674F" w:rsidRPr="003D1E5E">
        <w:rPr>
          <w:sz w:val="24"/>
          <w:lang w:val="en-GB"/>
        </w:rPr>
        <w:t>Projects A and B</w:t>
      </w:r>
      <w:r w:rsidR="003B723E" w:rsidRPr="003D1E5E">
        <w:rPr>
          <w:sz w:val="24"/>
          <w:lang w:val="en-GB"/>
        </w:rPr>
        <w:t xml:space="preserve"> </w:t>
      </w:r>
      <w:r w:rsidR="002C6926" w:rsidRPr="003D1E5E">
        <w:rPr>
          <w:sz w:val="24"/>
          <w:lang w:val="en-GB"/>
        </w:rPr>
        <w:t xml:space="preserve">(e.g., Corporate Service Director, Project Manager and Design Manager) </w:t>
      </w:r>
      <w:r w:rsidRPr="003D1E5E">
        <w:rPr>
          <w:sz w:val="24"/>
          <w:lang w:val="en-GB"/>
        </w:rPr>
        <w:t xml:space="preserve">indicated that </w:t>
      </w:r>
      <w:r w:rsidR="003B723E" w:rsidRPr="003D1E5E">
        <w:rPr>
          <w:sz w:val="24"/>
          <w:lang w:val="en-GB"/>
        </w:rPr>
        <w:t xml:space="preserve">the project measurements conducted by the private-sector entities were confronted with </w:t>
      </w:r>
      <w:r w:rsidR="0051483B" w:rsidRPr="003D1E5E">
        <w:rPr>
          <w:sz w:val="24"/>
          <w:lang w:val="en-GB"/>
        </w:rPr>
        <w:t>challenges</w:t>
      </w:r>
      <w:r w:rsidR="003B723E" w:rsidRPr="003D1E5E">
        <w:rPr>
          <w:sz w:val="24"/>
          <w:lang w:val="en-GB"/>
        </w:rPr>
        <w:t xml:space="preserve">. As mentioned above, the approaches </w:t>
      </w:r>
      <w:r w:rsidR="0051674F" w:rsidRPr="003D1E5E">
        <w:rPr>
          <w:sz w:val="24"/>
          <w:lang w:val="en-GB"/>
        </w:rPr>
        <w:t>adopted</w:t>
      </w:r>
      <w:r w:rsidR="003B723E" w:rsidRPr="003D1E5E">
        <w:rPr>
          <w:sz w:val="24"/>
          <w:lang w:val="en-GB"/>
        </w:rPr>
        <w:t xml:space="preserve"> by the </w:t>
      </w:r>
      <w:r w:rsidR="002C6926" w:rsidRPr="003D1E5E">
        <w:rPr>
          <w:sz w:val="24"/>
          <w:lang w:val="en-GB"/>
        </w:rPr>
        <w:t>SPVs</w:t>
      </w:r>
      <w:r w:rsidR="003B723E" w:rsidRPr="003D1E5E">
        <w:rPr>
          <w:sz w:val="24"/>
          <w:lang w:val="en-GB"/>
        </w:rPr>
        <w:t xml:space="preserve"> </w:t>
      </w:r>
      <w:r w:rsidR="002C6926" w:rsidRPr="003D1E5E">
        <w:rPr>
          <w:sz w:val="24"/>
          <w:lang w:val="en-GB"/>
        </w:rPr>
        <w:t xml:space="preserve">to the performance measurement of the case projects are </w:t>
      </w:r>
      <w:r w:rsidR="003B723E" w:rsidRPr="003D1E5E">
        <w:rPr>
          <w:sz w:val="24"/>
          <w:lang w:val="en-GB"/>
        </w:rPr>
        <w:t xml:space="preserve">referred to as </w:t>
      </w:r>
      <w:r w:rsidR="003B723E" w:rsidRPr="003D1E5E">
        <w:rPr>
          <w:i/>
          <w:sz w:val="24"/>
          <w:lang w:val="en-GB"/>
        </w:rPr>
        <w:t>ex-post</w:t>
      </w:r>
      <w:r w:rsidR="003B723E" w:rsidRPr="003D1E5E">
        <w:rPr>
          <w:sz w:val="24"/>
          <w:lang w:val="en-GB"/>
        </w:rPr>
        <w:t xml:space="preserve"> evaluation, which were concerned with</w:t>
      </w:r>
      <w:r w:rsidR="0051483B" w:rsidRPr="003D1E5E">
        <w:rPr>
          <w:sz w:val="24"/>
          <w:lang w:val="en-GB"/>
        </w:rPr>
        <w:t xml:space="preserve"> TCQ. The use of TCQ in an evaluation of PPPs has been criticised by both academia and practitioners as it cannot capture such issues as </w:t>
      </w:r>
      <w:r w:rsidR="00D71DC4" w:rsidRPr="003D1E5E">
        <w:rPr>
          <w:sz w:val="24"/>
          <w:lang w:val="en-GB"/>
        </w:rPr>
        <w:t xml:space="preserve">design innovation, asset sustainability and </w:t>
      </w:r>
      <w:r w:rsidR="0051674F" w:rsidRPr="003D1E5E">
        <w:rPr>
          <w:sz w:val="24"/>
          <w:lang w:val="en-GB"/>
        </w:rPr>
        <w:t>stakeholders’ satisfaction, all of which are expected by the governments from</w:t>
      </w:r>
      <w:r w:rsidR="002C6926" w:rsidRPr="003D1E5E">
        <w:rPr>
          <w:sz w:val="24"/>
          <w:lang w:val="en-GB"/>
        </w:rPr>
        <w:t xml:space="preserve"> SPVs</w:t>
      </w:r>
      <w:r w:rsidR="0051674F" w:rsidRPr="003D1E5E">
        <w:rPr>
          <w:sz w:val="24"/>
          <w:lang w:val="en-GB"/>
        </w:rPr>
        <w:t xml:space="preserve">. </w:t>
      </w:r>
      <w:r w:rsidR="00093BA6" w:rsidRPr="003D1E5E">
        <w:rPr>
          <w:sz w:val="24"/>
          <w:lang w:val="en-GB"/>
        </w:rPr>
        <w:t>This</w:t>
      </w:r>
      <w:r w:rsidR="0051674F" w:rsidRPr="003D1E5E">
        <w:rPr>
          <w:sz w:val="24"/>
          <w:lang w:val="en-GB"/>
        </w:rPr>
        <w:t xml:space="preserve"> was re-stated by </w:t>
      </w:r>
      <w:r w:rsidR="00093BA6" w:rsidRPr="003D1E5E">
        <w:rPr>
          <w:sz w:val="24"/>
          <w:lang w:val="en-GB"/>
        </w:rPr>
        <w:t xml:space="preserve">the Procurement Director (PD-A&amp;B) </w:t>
      </w:r>
      <w:r w:rsidR="00D62425" w:rsidRPr="003D1E5E">
        <w:rPr>
          <w:sz w:val="24"/>
          <w:lang w:val="en-GB"/>
        </w:rPr>
        <w:t>for the</w:t>
      </w:r>
      <w:r w:rsidR="00093BA6" w:rsidRPr="003D1E5E">
        <w:rPr>
          <w:sz w:val="24"/>
          <w:lang w:val="en-GB"/>
        </w:rPr>
        <w:t xml:space="preserve"> two case projects </w:t>
      </w:r>
      <w:r w:rsidR="00D62425" w:rsidRPr="003D1E5E">
        <w:rPr>
          <w:sz w:val="24"/>
          <w:lang w:val="en-GB"/>
        </w:rPr>
        <w:t>as the following comment:</w:t>
      </w:r>
    </w:p>
    <w:p w14:paraId="49957EF5" w14:textId="77777777" w:rsidR="00CE6AF9" w:rsidRPr="003D1E5E" w:rsidRDefault="00CE6AF9" w:rsidP="009A3DAA">
      <w:pPr>
        <w:spacing w:line="480" w:lineRule="auto"/>
        <w:rPr>
          <w:sz w:val="24"/>
          <w:lang w:val="en-GB"/>
        </w:rPr>
      </w:pPr>
    </w:p>
    <w:p w14:paraId="07345473" w14:textId="77777777" w:rsidR="00093BA6" w:rsidRPr="003D1E5E" w:rsidRDefault="00093BA6" w:rsidP="00D234B7">
      <w:pPr>
        <w:spacing w:line="480" w:lineRule="auto"/>
        <w:ind w:left="454" w:right="454"/>
        <w:rPr>
          <w:sz w:val="24"/>
          <w:lang w:val="en-GB"/>
        </w:rPr>
      </w:pPr>
      <w:r w:rsidRPr="003D1E5E">
        <w:rPr>
          <w:sz w:val="24"/>
          <w:lang w:val="en-GB"/>
        </w:rPr>
        <w:t>“</w:t>
      </w:r>
      <w:r w:rsidRPr="003D1E5E">
        <w:rPr>
          <w:sz w:val="24"/>
          <w:lang w:val="en-AU"/>
        </w:rPr>
        <w:t xml:space="preserve">We expected an introduction of private consortia would be an opportunity to </w:t>
      </w:r>
      <w:r w:rsidRPr="003D1E5E">
        <w:rPr>
          <w:sz w:val="24"/>
          <w:lang w:val="en-AU"/>
        </w:rPr>
        <w:lastRenderedPageBreak/>
        <w:t>drive innovation in design through the whole of life perspective and enhance the sustainability of the facilities and end-users’ satisfaction.”</w:t>
      </w:r>
    </w:p>
    <w:p w14:paraId="7D987247" w14:textId="77777777" w:rsidR="004C2E91" w:rsidRDefault="004C2E91" w:rsidP="009A3DAA">
      <w:pPr>
        <w:spacing w:line="480" w:lineRule="auto"/>
        <w:rPr>
          <w:sz w:val="24"/>
          <w:lang w:val="en-GB"/>
        </w:rPr>
      </w:pPr>
    </w:p>
    <w:p w14:paraId="5C64F7F7" w14:textId="77777777" w:rsidR="00093BA6" w:rsidRDefault="00093BA6" w:rsidP="009A3DAA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 xml:space="preserve">The current performance evaluation of the projects, however, failed </w:t>
      </w:r>
      <w:r w:rsidR="00BA4AD7" w:rsidRPr="003D1E5E">
        <w:rPr>
          <w:sz w:val="24"/>
          <w:lang w:val="en-GB"/>
        </w:rPr>
        <w:t>to</w:t>
      </w:r>
      <w:r w:rsidRPr="003D1E5E">
        <w:rPr>
          <w:sz w:val="24"/>
          <w:lang w:val="en-GB"/>
        </w:rPr>
        <w:t xml:space="preserve"> </w:t>
      </w:r>
      <w:r w:rsidR="002C6926" w:rsidRPr="003D1E5E">
        <w:rPr>
          <w:sz w:val="24"/>
          <w:lang w:val="en-GB"/>
        </w:rPr>
        <w:t>indicat</w:t>
      </w:r>
      <w:r w:rsidR="00BA4AD7" w:rsidRPr="003D1E5E">
        <w:rPr>
          <w:sz w:val="24"/>
          <w:lang w:val="en-GB"/>
        </w:rPr>
        <w:t>e</w:t>
      </w:r>
      <w:r w:rsidR="002C6926" w:rsidRPr="003D1E5E">
        <w:rPr>
          <w:sz w:val="24"/>
          <w:lang w:val="en-GB"/>
        </w:rPr>
        <w:t xml:space="preserve"> whether the public client’s expectations </w:t>
      </w:r>
      <w:r w:rsidR="009D6C45" w:rsidRPr="003D1E5E">
        <w:rPr>
          <w:sz w:val="24"/>
          <w:lang w:val="en-GB"/>
        </w:rPr>
        <w:t>ha</w:t>
      </w:r>
      <w:r w:rsidR="009D6C45">
        <w:rPr>
          <w:sz w:val="24"/>
          <w:lang w:val="en-GB"/>
        </w:rPr>
        <w:t>d</w:t>
      </w:r>
      <w:r w:rsidR="009D6C45" w:rsidRPr="003D1E5E">
        <w:rPr>
          <w:sz w:val="24"/>
          <w:lang w:val="en-GB"/>
        </w:rPr>
        <w:t xml:space="preserve"> </w:t>
      </w:r>
      <w:r w:rsidR="002C6926" w:rsidRPr="003D1E5E">
        <w:rPr>
          <w:sz w:val="24"/>
          <w:lang w:val="en-GB"/>
        </w:rPr>
        <w:t>been met</w:t>
      </w:r>
      <w:r w:rsidRPr="003D1E5E">
        <w:rPr>
          <w:sz w:val="24"/>
          <w:lang w:val="en-GB"/>
        </w:rPr>
        <w:t xml:space="preserve">. For instance, the Construction Manager of Project-A identified that traditional TCQ assessment </w:t>
      </w:r>
      <w:r w:rsidR="002C6926" w:rsidRPr="003D1E5E">
        <w:rPr>
          <w:sz w:val="24"/>
          <w:lang w:val="en-GB"/>
        </w:rPr>
        <w:t xml:space="preserve">is too simplistic to capture inherent </w:t>
      </w:r>
      <w:r w:rsidRPr="003D1E5E">
        <w:rPr>
          <w:sz w:val="24"/>
          <w:lang w:val="en-GB"/>
        </w:rPr>
        <w:t>complexities and uncertainties of PPPs</w:t>
      </w:r>
      <w:r w:rsidR="00D62425" w:rsidRPr="003D1E5E">
        <w:rPr>
          <w:sz w:val="24"/>
          <w:lang w:val="en-GB"/>
        </w:rPr>
        <w:t xml:space="preserve"> and stated</w:t>
      </w:r>
      <w:r w:rsidRPr="003D1E5E">
        <w:rPr>
          <w:sz w:val="24"/>
          <w:lang w:val="en-GB"/>
        </w:rPr>
        <w:t>:</w:t>
      </w:r>
    </w:p>
    <w:p w14:paraId="2889A768" w14:textId="77777777" w:rsidR="000D6E1C" w:rsidRPr="003D1E5E" w:rsidRDefault="000D6E1C" w:rsidP="009A3DAA">
      <w:pPr>
        <w:spacing w:line="480" w:lineRule="auto"/>
        <w:rPr>
          <w:sz w:val="24"/>
          <w:lang w:val="en-GB"/>
        </w:rPr>
      </w:pPr>
    </w:p>
    <w:p w14:paraId="43E8111B" w14:textId="352DFF1D" w:rsidR="002A1BA3" w:rsidRPr="003D1E5E" w:rsidRDefault="00093BA6" w:rsidP="00D234B7">
      <w:pPr>
        <w:spacing w:line="480" w:lineRule="auto"/>
        <w:ind w:left="454" w:right="454"/>
        <w:rPr>
          <w:sz w:val="24"/>
          <w:lang w:val="en-GB"/>
        </w:rPr>
      </w:pPr>
      <w:r w:rsidRPr="003D1E5E">
        <w:rPr>
          <w:sz w:val="24"/>
          <w:lang w:val="en-GB"/>
        </w:rPr>
        <w:t>“</w:t>
      </w:r>
      <w:r w:rsidRPr="003D1E5E">
        <w:rPr>
          <w:sz w:val="24"/>
          <w:lang w:val="en-AU"/>
        </w:rPr>
        <w:t xml:space="preserve">An effective measurement should reflect </w:t>
      </w:r>
      <w:r w:rsidR="00CF1C50" w:rsidRPr="003D1E5E">
        <w:rPr>
          <w:sz w:val="24"/>
          <w:lang w:val="en-AU"/>
        </w:rPr>
        <w:t>not only tangible but also</w:t>
      </w:r>
      <w:r w:rsidRPr="003D1E5E">
        <w:rPr>
          <w:sz w:val="24"/>
          <w:lang w:val="en-AU"/>
        </w:rPr>
        <w:t xml:space="preserve"> intangible issues. </w:t>
      </w:r>
      <w:r w:rsidR="00751513">
        <w:rPr>
          <w:sz w:val="24"/>
          <w:lang w:val="en-AU"/>
        </w:rPr>
        <w:t>But</w:t>
      </w:r>
      <w:r w:rsidRPr="003D1E5E">
        <w:rPr>
          <w:sz w:val="24"/>
          <w:lang w:val="en-AU"/>
        </w:rPr>
        <w:t xml:space="preserve"> the TCQ-focused assessment failed in doing so because it is not a complete measurement. For example, the state government </w:t>
      </w:r>
      <w:r w:rsidR="00CF1C50" w:rsidRPr="003D1E5E">
        <w:rPr>
          <w:sz w:val="24"/>
          <w:lang w:val="en-AU"/>
        </w:rPr>
        <w:t>would like to</w:t>
      </w:r>
      <w:r w:rsidRPr="003D1E5E">
        <w:rPr>
          <w:sz w:val="24"/>
          <w:lang w:val="en-AU"/>
        </w:rPr>
        <w:t xml:space="preserve"> expand the hospital</w:t>
      </w:r>
      <w:r w:rsidR="00CF1C50" w:rsidRPr="003D1E5E">
        <w:rPr>
          <w:sz w:val="24"/>
          <w:lang w:val="en-AU"/>
        </w:rPr>
        <w:t xml:space="preserve"> in the future</w:t>
      </w:r>
      <w:r w:rsidRPr="003D1E5E">
        <w:rPr>
          <w:sz w:val="24"/>
          <w:lang w:val="en-AU"/>
        </w:rPr>
        <w:t xml:space="preserve">. Under the long-term planning by 2020, they </w:t>
      </w:r>
      <w:r w:rsidR="00CF1C50" w:rsidRPr="003D1E5E">
        <w:rPr>
          <w:sz w:val="24"/>
          <w:lang w:val="en-AU"/>
        </w:rPr>
        <w:t>will</w:t>
      </w:r>
      <w:r w:rsidRPr="003D1E5E">
        <w:rPr>
          <w:sz w:val="24"/>
          <w:lang w:val="en-AU"/>
        </w:rPr>
        <w:t xml:space="preserve"> expand the hospital by another 100 beds. So, what</w:t>
      </w:r>
      <w:r w:rsidR="00CF1C50" w:rsidRPr="003D1E5E">
        <w:rPr>
          <w:sz w:val="24"/>
          <w:lang w:val="en-AU"/>
        </w:rPr>
        <w:t xml:space="preserve"> we did was</w:t>
      </w:r>
      <w:r w:rsidRPr="003D1E5E">
        <w:rPr>
          <w:sz w:val="24"/>
          <w:lang w:val="en-AU"/>
        </w:rPr>
        <w:t xml:space="preserve"> we came up with a design which allowed, effectively, half of the ward to be replicated and then built with minimal interruption to the existing facility, and then </w:t>
      </w:r>
      <w:r w:rsidR="00902D3B" w:rsidRPr="003D1E5E">
        <w:rPr>
          <w:sz w:val="24"/>
          <w:lang w:val="en-AU"/>
        </w:rPr>
        <w:t>all</w:t>
      </w:r>
      <w:r w:rsidRPr="003D1E5E">
        <w:rPr>
          <w:sz w:val="24"/>
          <w:lang w:val="en-AU"/>
        </w:rPr>
        <w:t xml:space="preserve"> the services which are involved for the hospital are able to be added on - hooked into - to supplement the additional hundred beds. In the existing evaluation, how are these innovative works being reflected?</w:t>
      </w:r>
      <w:r w:rsidR="00CF1C50" w:rsidRPr="003D1E5E">
        <w:rPr>
          <w:sz w:val="24"/>
          <w:lang w:val="en-AU"/>
        </w:rPr>
        <w:t>”</w:t>
      </w:r>
    </w:p>
    <w:p w14:paraId="38E507DC" w14:textId="77777777" w:rsidR="00147478" w:rsidRDefault="00147478" w:rsidP="009A3DAA">
      <w:pPr>
        <w:spacing w:line="480" w:lineRule="auto"/>
        <w:rPr>
          <w:sz w:val="24"/>
          <w:lang w:val="en-GB"/>
        </w:rPr>
      </w:pPr>
    </w:p>
    <w:p w14:paraId="456B4E99" w14:textId="582CD5EA" w:rsidR="009F2499" w:rsidRDefault="00CF1C50" w:rsidP="009A3DAA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 xml:space="preserve">The Project Manager and Design Manager of Project-B </w:t>
      </w:r>
      <w:r w:rsidR="00D62425" w:rsidRPr="003D1E5E">
        <w:rPr>
          <w:sz w:val="24"/>
          <w:lang w:val="en-GB"/>
        </w:rPr>
        <w:t>possessed</w:t>
      </w:r>
      <w:r w:rsidRPr="003D1E5E">
        <w:rPr>
          <w:sz w:val="24"/>
          <w:lang w:val="en-GB"/>
        </w:rPr>
        <w:t xml:space="preserve"> </w:t>
      </w:r>
      <w:r w:rsidR="00D62425" w:rsidRPr="003D1E5E">
        <w:rPr>
          <w:sz w:val="24"/>
          <w:lang w:val="en-GB"/>
        </w:rPr>
        <w:t xml:space="preserve">a </w:t>
      </w:r>
      <w:r w:rsidRPr="003D1E5E">
        <w:rPr>
          <w:sz w:val="24"/>
          <w:lang w:val="en-GB"/>
        </w:rPr>
        <w:t>similar</w:t>
      </w:r>
      <w:r w:rsidR="00D62425" w:rsidRPr="003D1E5E">
        <w:rPr>
          <w:sz w:val="24"/>
          <w:lang w:val="en-GB"/>
        </w:rPr>
        <w:t xml:space="preserve"> view</w:t>
      </w:r>
      <w:r w:rsidRPr="003D1E5E">
        <w:rPr>
          <w:sz w:val="24"/>
          <w:lang w:val="en-GB"/>
        </w:rPr>
        <w:t xml:space="preserve"> </w:t>
      </w:r>
      <w:r w:rsidR="00D62425" w:rsidRPr="003D1E5E">
        <w:rPr>
          <w:sz w:val="24"/>
          <w:lang w:val="en-GB"/>
        </w:rPr>
        <w:t xml:space="preserve">as they </w:t>
      </w:r>
      <w:r w:rsidRPr="003D1E5E">
        <w:rPr>
          <w:sz w:val="24"/>
          <w:lang w:val="en-GB"/>
        </w:rPr>
        <w:t>considered that more</w:t>
      </w:r>
      <w:r w:rsidR="0078321F" w:rsidRPr="003D1E5E">
        <w:rPr>
          <w:sz w:val="24"/>
          <w:lang w:val="en-GB"/>
        </w:rPr>
        <w:t xml:space="preserve"> </w:t>
      </w:r>
      <w:r w:rsidR="00D62425" w:rsidRPr="003D1E5E">
        <w:rPr>
          <w:sz w:val="24"/>
          <w:lang w:val="en-GB"/>
        </w:rPr>
        <w:t>intangible</w:t>
      </w:r>
      <w:r w:rsidRPr="003D1E5E">
        <w:rPr>
          <w:sz w:val="24"/>
          <w:lang w:val="en-GB"/>
        </w:rPr>
        <w:t xml:space="preserve"> performance measures </w:t>
      </w:r>
      <w:r w:rsidR="007202CE" w:rsidRPr="003D1E5E">
        <w:rPr>
          <w:sz w:val="24"/>
          <w:lang w:val="en-GB"/>
        </w:rPr>
        <w:t xml:space="preserve">should </w:t>
      </w:r>
      <w:r w:rsidR="009D6C45">
        <w:rPr>
          <w:sz w:val="24"/>
          <w:lang w:val="en-GB"/>
        </w:rPr>
        <w:t>have been</w:t>
      </w:r>
      <w:r w:rsidR="009D6C45" w:rsidRPr="003D1E5E">
        <w:rPr>
          <w:sz w:val="24"/>
          <w:lang w:val="en-GB"/>
        </w:rPr>
        <w:t xml:space="preserve"> </w:t>
      </w:r>
      <w:r w:rsidR="007202CE" w:rsidRPr="003D1E5E">
        <w:rPr>
          <w:sz w:val="24"/>
          <w:lang w:val="en-GB"/>
        </w:rPr>
        <w:t xml:space="preserve">implemented </w:t>
      </w:r>
      <w:r w:rsidR="006A3DCB" w:rsidRPr="003D1E5E">
        <w:rPr>
          <w:sz w:val="24"/>
          <w:lang w:val="en-GB"/>
        </w:rPr>
        <w:t xml:space="preserve">to </w:t>
      </w:r>
      <w:r w:rsidR="00D609E5">
        <w:rPr>
          <w:sz w:val="24"/>
          <w:lang w:val="en-GB"/>
        </w:rPr>
        <w:t>evaluate</w:t>
      </w:r>
      <w:r w:rsidR="006A3DCB" w:rsidRPr="003D1E5E">
        <w:rPr>
          <w:sz w:val="24"/>
          <w:lang w:val="en-GB"/>
        </w:rPr>
        <w:t xml:space="preserve"> the design and </w:t>
      </w:r>
      <w:r w:rsidR="00D62425" w:rsidRPr="003D1E5E">
        <w:rPr>
          <w:sz w:val="24"/>
          <w:lang w:val="en-GB"/>
        </w:rPr>
        <w:t xml:space="preserve">construction </w:t>
      </w:r>
      <w:r w:rsidR="006A3DCB" w:rsidRPr="003D1E5E">
        <w:rPr>
          <w:sz w:val="24"/>
          <w:lang w:val="en-GB"/>
        </w:rPr>
        <w:t>of the PPP project</w:t>
      </w:r>
      <w:r w:rsidR="007202CE" w:rsidRPr="003D1E5E">
        <w:rPr>
          <w:sz w:val="24"/>
          <w:lang w:val="en-GB"/>
        </w:rPr>
        <w:t>,</w:t>
      </w:r>
      <w:r w:rsidR="00D62425" w:rsidRPr="003D1E5E">
        <w:rPr>
          <w:sz w:val="24"/>
          <w:lang w:val="en-GB"/>
        </w:rPr>
        <w:t xml:space="preserve"> with </w:t>
      </w:r>
      <w:r w:rsidR="00902D3B" w:rsidRPr="003D1E5E">
        <w:rPr>
          <w:sz w:val="24"/>
          <w:lang w:val="en-GB"/>
        </w:rPr>
        <w:t>emphasis</w:t>
      </w:r>
      <w:r w:rsidR="00D62425" w:rsidRPr="003D1E5E">
        <w:rPr>
          <w:sz w:val="24"/>
          <w:lang w:val="en-GB"/>
        </w:rPr>
        <w:t xml:space="preserve"> being placed on</w:t>
      </w:r>
      <w:r w:rsidR="007202CE" w:rsidRPr="003D1E5E">
        <w:rPr>
          <w:sz w:val="24"/>
          <w:lang w:val="en-GB"/>
        </w:rPr>
        <w:t xml:space="preserve"> </w:t>
      </w:r>
      <w:r w:rsidR="006A3DCB" w:rsidRPr="003D1E5E">
        <w:rPr>
          <w:sz w:val="24"/>
          <w:lang w:val="en-GB"/>
        </w:rPr>
        <w:t>innovation</w:t>
      </w:r>
      <w:r w:rsidR="007202CE" w:rsidRPr="003D1E5E">
        <w:rPr>
          <w:sz w:val="24"/>
          <w:lang w:val="en-GB"/>
        </w:rPr>
        <w:t xml:space="preserve"> and </w:t>
      </w:r>
      <w:r w:rsidR="006A3DCB" w:rsidRPr="003D1E5E">
        <w:rPr>
          <w:sz w:val="24"/>
          <w:lang w:val="en-GB"/>
        </w:rPr>
        <w:t xml:space="preserve">asset </w:t>
      </w:r>
      <w:r w:rsidR="007202CE" w:rsidRPr="003D1E5E">
        <w:rPr>
          <w:sz w:val="24"/>
          <w:lang w:val="en-GB"/>
        </w:rPr>
        <w:t xml:space="preserve">sustainability. </w:t>
      </w:r>
      <w:r w:rsidR="00D62425" w:rsidRPr="003D1E5E">
        <w:rPr>
          <w:sz w:val="24"/>
          <w:lang w:val="en-GB"/>
        </w:rPr>
        <w:t>Such intangibles</w:t>
      </w:r>
      <w:r w:rsidR="007202CE" w:rsidRPr="003D1E5E">
        <w:rPr>
          <w:sz w:val="24"/>
          <w:lang w:val="en-GB"/>
        </w:rPr>
        <w:t xml:space="preserve"> </w:t>
      </w:r>
      <w:r w:rsidR="00D62425" w:rsidRPr="003D1E5E">
        <w:rPr>
          <w:sz w:val="24"/>
          <w:lang w:val="en-GB"/>
        </w:rPr>
        <w:t>ar</w:t>
      </w:r>
      <w:r w:rsidR="00A17C14" w:rsidRPr="003D1E5E">
        <w:rPr>
          <w:sz w:val="24"/>
          <w:lang w:val="en-GB"/>
        </w:rPr>
        <w:t>e</w:t>
      </w:r>
      <w:r w:rsidR="007202CE" w:rsidRPr="003D1E5E">
        <w:rPr>
          <w:sz w:val="24"/>
          <w:lang w:val="en-GB"/>
        </w:rPr>
        <w:t xml:space="preserve"> critical to the satisfaction levels of the owner and end-users of </w:t>
      </w:r>
      <w:r w:rsidR="009D6C45">
        <w:rPr>
          <w:sz w:val="24"/>
          <w:lang w:val="en-GB"/>
        </w:rPr>
        <w:t>an</w:t>
      </w:r>
      <w:r w:rsidR="009D6C45" w:rsidRPr="003D1E5E">
        <w:rPr>
          <w:sz w:val="24"/>
          <w:lang w:val="en-GB"/>
        </w:rPr>
        <w:t xml:space="preserve"> </w:t>
      </w:r>
      <w:r w:rsidR="007202CE" w:rsidRPr="003D1E5E">
        <w:rPr>
          <w:sz w:val="24"/>
          <w:lang w:val="en-GB"/>
        </w:rPr>
        <w:t xml:space="preserve">asset. </w:t>
      </w:r>
      <w:r w:rsidR="00A17C14" w:rsidRPr="003D1E5E">
        <w:rPr>
          <w:sz w:val="24"/>
          <w:lang w:val="en-GB"/>
        </w:rPr>
        <w:t>T</w:t>
      </w:r>
      <w:r w:rsidR="006A3DCB" w:rsidRPr="003D1E5E">
        <w:rPr>
          <w:sz w:val="24"/>
          <w:lang w:val="en-GB"/>
        </w:rPr>
        <w:t xml:space="preserve">he Service Director of Project-A supported </w:t>
      </w:r>
      <w:r w:rsidR="00D62425" w:rsidRPr="003D1E5E">
        <w:rPr>
          <w:sz w:val="24"/>
          <w:lang w:val="en-GB"/>
        </w:rPr>
        <w:t>this view as well</w:t>
      </w:r>
      <w:r w:rsidR="006A3DCB" w:rsidRPr="003D1E5E">
        <w:rPr>
          <w:sz w:val="24"/>
          <w:lang w:val="en-GB"/>
        </w:rPr>
        <w:t>,</w:t>
      </w:r>
      <w:r w:rsidR="0078321F" w:rsidRPr="003D1E5E">
        <w:rPr>
          <w:sz w:val="24"/>
          <w:lang w:val="en-GB"/>
        </w:rPr>
        <w:t xml:space="preserve"> </w:t>
      </w:r>
      <w:r w:rsidR="006A3DCB" w:rsidRPr="003D1E5E">
        <w:rPr>
          <w:sz w:val="24"/>
          <w:lang w:val="en-GB"/>
        </w:rPr>
        <w:t>not only</w:t>
      </w:r>
      <w:r w:rsidR="00D62425" w:rsidRPr="003D1E5E">
        <w:rPr>
          <w:sz w:val="24"/>
          <w:lang w:val="en-GB"/>
        </w:rPr>
        <w:t xml:space="preserve"> of the</w:t>
      </w:r>
      <w:r w:rsidR="006A3DCB" w:rsidRPr="003D1E5E">
        <w:rPr>
          <w:sz w:val="24"/>
          <w:lang w:val="en-GB"/>
        </w:rPr>
        <w:t xml:space="preserve"> TCQ </w:t>
      </w:r>
      <w:r w:rsidR="00D62425" w:rsidRPr="003D1E5E">
        <w:rPr>
          <w:sz w:val="24"/>
          <w:lang w:val="en-GB"/>
        </w:rPr>
        <w:t xml:space="preserve">measures </w:t>
      </w:r>
      <w:r w:rsidR="006A3DCB" w:rsidRPr="003D1E5E">
        <w:rPr>
          <w:sz w:val="24"/>
          <w:lang w:val="en-GB"/>
        </w:rPr>
        <w:t xml:space="preserve">adopted for </w:t>
      </w:r>
      <w:r w:rsidR="00D62425" w:rsidRPr="003D1E5E">
        <w:rPr>
          <w:sz w:val="24"/>
          <w:lang w:val="en-GB"/>
        </w:rPr>
        <w:t>design and construction,</w:t>
      </w:r>
      <w:r w:rsidR="006A3DCB" w:rsidRPr="003D1E5E">
        <w:rPr>
          <w:sz w:val="24"/>
          <w:lang w:val="en-GB"/>
        </w:rPr>
        <w:t xml:space="preserve"> but also the </w:t>
      </w:r>
      <w:r w:rsidR="006A3DCB" w:rsidRPr="003D1E5E">
        <w:rPr>
          <w:sz w:val="24"/>
          <w:lang w:val="en-GB"/>
        </w:rPr>
        <w:lastRenderedPageBreak/>
        <w:t xml:space="preserve">KPIs </w:t>
      </w:r>
      <w:r w:rsidR="0078321F" w:rsidRPr="003D1E5E">
        <w:rPr>
          <w:sz w:val="24"/>
          <w:lang w:val="en-GB"/>
        </w:rPr>
        <w:t>devised</w:t>
      </w:r>
      <w:r w:rsidR="006A3DCB" w:rsidRPr="003D1E5E">
        <w:rPr>
          <w:sz w:val="24"/>
          <w:lang w:val="en-GB"/>
        </w:rPr>
        <w:t xml:space="preserve"> for </w:t>
      </w:r>
      <w:r w:rsidR="00391615" w:rsidRPr="003D1E5E">
        <w:rPr>
          <w:sz w:val="24"/>
          <w:lang w:val="en-GB"/>
        </w:rPr>
        <w:t>asset operation and facility maintenance</w:t>
      </w:r>
      <w:r w:rsidR="006A3DCB" w:rsidRPr="003D1E5E">
        <w:rPr>
          <w:sz w:val="24"/>
          <w:lang w:val="en-GB"/>
        </w:rPr>
        <w:t xml:space="preserve">. </w:t>
      </w:r>
      <w:r w:rsidR="00D62425" w:rsidRPr="003D1E5E">
        <w:rPr>
          <w:sz w:val="24"/>
          <w:lang w:val="en-GB"/>
        </w:rPr>
        <w:t>The Service Director stated:</w:t>
      </w:r>
    </w:p>
    <w:p w14:paraId="4B175A4F" w14:textId="77777777" w:rsidR="002E5F4E" w:rsidRDefault="002E5F4E" w:rsidP="009A3DAA">
      <w:pPr>
        <w:spacing w:line="480" w:lineRule="auto"/>
        <w:rPr>
          <w:sz w:val="24"/>
          <w:lang w:val="en-GB"/>
        </w:rPr>
      </w:pPr>
    </w:p>
    <w:p w14:paraId="351D2BA5" w14:textId="73695D22" w:rsidR="006A3DCB" w:rsidRPr="003D1E5E" w:rsidRDefault="006A3DCB" w:rsidP="00D234B7">
      <w:pPr>
        <w:spacing w:line="480" w:lineRule="auto"/>
        <w:ind w:left="454" w:right="454"/>
        <w:rPr>
          <w:sz w:val="24"/>
          <w:lang w:val="en-AU"/>
        </w:rPr>
      </w:pPr>
      <w:r w:rsidRPr="003D1E5E">
        <w:rPr>
          <w:sz w:val="24"/>
          <w:lang w:val="en-GB"/>
        </w:rPr>
        <w:t>“</w:t>
      </w:r>
      <w:r w:rsidRPr="003D1E5E">
        <w:rPr>
          <w:sz w:val="24"/>
          <w:lang w:val="en-AU"/>
        </w:rPr>
        <w:t xml:space="preserve">If I were the director of the </w:t>
      </w:r>
      <w:r w:rsidR="00D62425" w:rsidRPr="003D1E5E">
        <w:rPr>
          <w:sz w:val="24"/>
          <w:lang w:val="en-AU"/>
        </w:rPr>
        <w:t>S</w:t>
      </w:r>
      <w:r w:rsidRPr="003D1E5E">
        <w:rPr>
          <w:sz w:val="24"/>
          <w:lang w:val="en-AU"/>
        </w:rPr>
        <w:t>tate government responsible for setting up this contract, I would devise far more engineering KPIs.</w:t>
      </w:r>
      <w:r w:rsidR="00D609E5">
        <w:rPr>
          <w:sz w:val="24"/>
          <w:lang w:val="en-AU"/>
        </w:rPr>
        <w:t xml:space="preserve"> I would like to make sure </w:t>
      </w:r>
      <w:r w:rsidRPr="003D1E5E">
        <w:rPr>
          <w:sz w:val="24"/>
          <w:lang w:val="en-AU"/>
        </w:rPr>
        <w:t xml:space="preserve">the hospital is well maintained and </w:t>
      </w:r>
      <w:r w:rsidR="00D609E5">
        <w:rPr>
          <w:sz w:val="24"/>
          <w:lang w:val="en-AU"/>
        </w:rPr>
        <w:t>there was proper asset planning or condition reporting etc</w:t>
      </w:r>
      <w:r w:rsidRPr="003D1E5E">
        <w:rPr>
          <w:sz w:val="24"/>
          <w:lang w:val="en-AU"/>
        </w:rPr>
        <w:t xml:space="preserve">. The government now is focusing too much on clinical care and </w:t>
      </w:r>
      <w:r w:rsidR="00D609E5">
        <w:rPr>
          <w:sz w:val="24"/>
          <w:lang w:val="en-AU"/>
        </w:rPr>
        <w:t>has</w:t>
      </w:r>
      <w:r w:rsidRPr="003D1E5E">
        <w:rPr>
          <w:sz w:val="24"/>
          <w:lang w:val="en-AU"/>
        </w:rPr>
        <w:t xml:space="preserve"> got their clinical care covered, but they don’t have th</w:t>
      </w:r>
      <w:r w:rsidR="00391615" w:rsidRPr="003D1E5E">
        <w:rPr>
          <w:sz w:val="24"/>
          <w:lang w:val="en-AU"/>
        </w:rPr>
        <w:t xml:space="preserve">e building measurement covered and the performance indicators for FM have not been documented well. </w:t>
      </w:r>
      <w:r w:rsidRPr="003D1E5E">
        <w:rPr>
          <w:sz w:val="24"/>
          <w:lang w:val="en-AU"/>
        </w:rPr>
        <w:t xml:space="preserve">This is not good for ensuring </w:t>
      </w:r>
      <w:proofErr w:type="spellStart"/>
      <w:r w:rsidRPr="003D1E5E">
        <w:rPr>
          <w:sz w:val="24"/>
          <w:lang w:val="en-AU"/>
        </w:rPr>
        <w:t>V</w:t>
      </w:r>
      <w:r w:rsidRPr="003D1E5E">
        <w:rPr>
          <w:i/>
          <w:sz w:val="24"/>
          <w:lang w:val="en-AU"/>
        </w:rPr>
        <w:t>f</w:t>
      </w:r>
      <w:r w:rsidRPr="003D1E5E">
        <w:rPr>
          <w:sz w:val="24"/>
          <w:lang w:val="en-AU"/>
        </w:rPr>
        <w:t>M</w:t>
      </w:r>
      <w:proofErr w:type="spellEnd"/>
      <w:r w:rsidRPr="003D1E5E">
        <w:rPr>
          <w:sz w:val="24"/>
          <w:lang w:val="en-AU"/>
        </w:rPr>
        <w:t>.”</w:t>
      </w:r>
    </w:p>
    <w:p w14:paraId="3B202D16" w14:textId="77777777" w:rsidR="006A3DCB" w:rsidRPr="003D1E5E" w:rsidRDefault="006A3DCB" w:rsidP="00274914">
      <w:pPr>
        <w:spacing w:line="480" w:lineRule="auto"/>
        <w:ind w:right="454"/>
        <w:rPr>
          <w:sz w:val="24"/>
          <w:lang w:val="en-GB"/>
        </w:rPr>
      </w:pPr>
    </w:p>
    <w:p w14:paraId="5C6E7E28" w14:textId="77777777" w:rsidR="00282F3E" w:rsidRDefault="00274914" w:rsidP="001255C3">
      <w:pPr>
        <w:spacing w:line="480" w:lineRule="auto"/>
        <w:rPr>
          <w:sz w:val="24"/>
          <w:lang w:val="en-AU"/>
        </w:rPr>
      </w:pPr>
      <w:r w:rsidRPr="003D1E5E">
        <w:rPr>
          <w:sz w:val="24"/>
          <w:lang w:val="en-GB"/>
        </w:rPr>
        <w:t xml:space="preserve">This </w:t>
      </w:r>
      <w:r w:rsidR="003B5F75" w:rsidRPr="003D1E5E">
        <w:rPr>
          <w:sz w:val="24"/>
          <w:lang w:val="en-GB"/>
        </w:rPr>
        <w:t>was confirmed by the</w:t>
      </w:r>
      <w:r w:rsidRPr="003D1E5E">
        <w:rPr>
          <w:sz w:val="24"/>
          <w:lang w:val="en-GB"/>
        </w:rPr>
        <w:t xml:space="preserve"> Asse</w:t>
      </w:r>
      <w:r w:rsidR="003B5F75" w:rsidRPr="003D1E5E">
        <w:rPr>
          <w:sz w:val="24"/>
          <w:lang w:val="en-GB"/>
        </w:rPr>
        <w:t>t Manager of Project-B</w:t>
      </w:r>
      <w:r w:rsidRPr="003D1E5E">
        <w:rPr>
          <w:sz w:val="24"/>
          <w:lang w:val="en-GB"/>
        </w:rPr>
        <w:t xml:space="preserve">, </w:t>
      </w:r>
      <w:r w:rsidR="003B5F75" w:rsidRPr="003D1E5E">
        <w:rPr>
          <w:sz w:val="24"/>
          <w:lang w:val="en-GB"/>
        </w:rPr>
        <w:t>who suggested that as the</w:t>
      </w:r>
      <w:r w:rsidR="00391615" w:rsidRPr="003D1E5E">
        <w:rPr>
          <w:sz w:val="24"/>
          <w:lang w:val="en-GB"/>
        </w:rPr>
        <w:t xml:space="preserve"> project </w:t>
      </w:r>
      <w:r w:rsidR="009D6C45">
        <w:rPr>
          <w:sz w:val="24"/>
          <w:lang w:val="en-GB"/>
        </w:rPr>
        <w:t>had</w:t>
      </w:r>
      <w:r w:rsidR="009D6C45" w:rsidRPr="003D1E5E">
        <w:rPr>
          <w:sz w:val="24"/>
          <w:lang w:val="en-GB"/>
        </w:rPr>
        <w:t xml:space="preserve"> </w:t>
      </w:r>
      <w:r w:rsidR="003B5F75" w:rsidRPr="003D1E5E">
        <w:rPr>
          <w:sz w:val="24"/>
          <w:lang w:val="en-GB"/>
        </w:rPr>
        <w:t>be</w:t>
      </w:r>
      <w:r w:rsidR="009D6C45">
        <w:rPr>
          <w:sz w:val="24"/>
          <w:lang w:val="en-GB"/>
        </w:rPr>
        <w:t>en</w:t>
      </w:r>
      <w:r w:rsidR="003B5F75" w:rsidRPr="003D1E5E">
        <w:rPr>
          <w:sz w:val="24"/>
          <w:lang w:val="en-GB"/>
        </w:rPr>
        <w:t xml:space="preserve"> delivered using a</w:t>
      </w:r>
      <w:r w:rsidR="00391615" w:rsidRPr="003D1E5E">
        <w:rPr>
          <w:sz w:val="24"/>
          <w:lang w:val="en-GB"/>
        </w:rPr>
        <w:t xml:space="preserve"> </w:t>
      </w:r>
      <w:r w:rsidR="003B5F75" w:rsidRPr="003D1E5E">
        <w:rPr>
          <w:sz w:val="24"/>
          <w:lang w:val="en-GB"/>
        </w:rPr>
        <w:t>DBFM</w:t>
      </w:r>
      <w:r w:rsidR="00A17C14" w:rsidRPr="003D1E5E">
        <w:rPr>
          <w:sz w:val="24"/>
          <w:lang w:val="en-GB"/>
        </w:rPr>
        <w:t>,</w:t>
      </w:r>
      <w:r w:rsidR="003B5F75" w:rsidRPr="003D1E5E">
        <w:rPr>
          <w:sz w:val="24"/>
          <w:lang w:val="en-GB"/>
        </w:rPr>
        <w:t xml:space="preserve"> the S</w:t>
      </w:r>
      <w:r w:rsidR="00391615" w:rsidRPr="003D1E5E">
        <w:rPr>
          <w:sz w:val="24"/>
          <w:lang w:val="en-GB"/>
        </w:rPr>
        <w:t xml:space="preserve">tate government and </w:t>
      </w:r>
      <w:r w:rsidR="002C6926" w:rsidRPr="003D1E5E">
        <w:rPr>
          <w:sz w:val="24"/>
          <w:lang w:val="en-GB"/>
        </w:rPr>
        <w:t>SPV</w:t>
      </w:r>
      <w:r w:rsidR="00391615" w:rsidRPr="003D1E5E">
        <w:rPr>
          <w:sz w:val="24"/>
          <w:lang w:val="en-GB"/>
        </w:rPr>
        <w:t xml:space="preserve"> should </w:t>
      </w:r>
      <w:r w:rsidR="003B5F75" w:rsidRPr="003D1E5E">
        <w:rPr>
          <w:sz w:val="24"/>
          <w:lang w:val="en-GB"/>
        </w:rPr>
        <w:t>have made explicit</w:t>
      </w:r>
      <w:r w:rsidR="00391615" w:rsidRPr="003D1E5E">
        <w:rPr>
          <w:sz w:val="24"/>
          <w:lang w:val="en-GB"/>
        </w:rPr>
        <w:t xml:space="preserve"> </w:t>
      </w:r>
      <w:r w:rsidR="003B5F75" w:rsidRPr="003D1E5E">
        <w:rPr>
          <w:sz w:val="24"/>
          <w:lang w:val="en-GB"/>
        </w:rPr>
        <w:t>the</w:t>
      </w:r>
      <w:r w:rsidR="001255C3" w:rsidRPr="003D1E5E">
        <w:rPr>
          <w:sz w:val="24"/>
          <w:lang w:val="en-GB"/>
        </w:rPr>
        <w:t xml:space="preserve"> measures for controlling the quality of the FM work. </w:t>
      </w:r>
      <w:r w:rsidR="008C1463" w:rsidRPr="003D1E5E">
        <w:rPr>
          <w:sz w:val="24"/>
          <w:lang w:val="en-GB"/>
        </w:rPr>
        <w:t>After all</w:t>
      </w:r>
      <w:r w:rsidR="00A17C14" w:rsidRPr="003D1E5E">
        <w:rPr>
          <w:sz w:val="24"/>
          <w:lang w:val="en-GB"/>
        </w:rPr>
        <w:t>,</w:t>
      </w:r>
      <w:r w:rsidR="008C1463" w:rsidRPr="003D1E5E">
        <w:rPr>
          <w:sz w:val="24"/>
          <w:lang w:val="en-GB"/>
        </w:rPr>
        <w:t xml:space="preserve"> operational expenditure far outweighs capital costs when the life of an asset is taken into consideration. Stressing the importan</w:t>
      </w:r>
      <w:r w:rsidR="00A17C14" w:rsidRPr="003D1E5E">
        <w:rPr>
          <w:sz w:val="24"/>
          <w:lang w:val="en-GB"/>
        </w:rPr>
        <w:t>ce</w:t>
      </w:r>
      <w:r w:rsidR="008C1463" w:rsidRPr="003D1E5E">
        <w:rPr>
          <w:sz w:val="24"/>
          <w:lang w:val="en-GB"/>
        </w:rPr>
        <w:t xml:space="preserve"> of measuring the performance of operations and maintenance t</w:t>
      </w:r>
      <w:r w:rsidR="008C1463" w:rsidRPr="003D1E5E">
        <w:rPr>
          <w:sz w:val="24"/>
          <w:lang w:val="en-AU"/>
        </w:rPr>
        <w:t>he Director stated:</w:t>
      </w:r>
    </w:p>
    <w:p w14:paraId="00D23B81" w14:textId="77777777" w:rsidR="008F1865" w:rsidRPr="003D1E5E" w:rsidRDefault="008F1865" w:rsidP="001255C3">
      <w:pPr>
        <w:spacing w:line="480" w:lineRule="auto"/>
        <w:rPr>
          <w:sz w:val="24"/>
          <w:lang w:val="en-AU"/>
        </w:rPr>
      </w:pPr>
    </w:p>
    <w:p w14:paraId="15EAA438" w14:textId="77777777" w:rsidR="001255C3" w:rsidRPr="003D1E5E" w:rsidRDefault="008C1463" w:rsidP="00D234B7">
      <w:pPr>
        <w:spacing w:line="480" w:lineRule="auto"/>
        <w:ind w:left="454" w:right="454"/>
        <w:rPr>
          <w:sz w:val="24"/>
          <w:lang w:val="en-AU"/>
        </w:rPr>
      </w:pPr>
      <w:r w:rsidRPr="003D1E5E">
        <w:rPr>
          <w:sz w:val="24"/>
          <w:lang w:val="en-AU"/>
        </w:rPr>
        <w:t>“M</w:t>
      </w:r>
      <w:r w:rsidR="001255C3" w:rsidRPr="003D1E5E">
        <w:rPr>
          <w:sz w:val="24"/>
          <w:lang w:val="en-AU"/>
        </w:rPr>
        <w:t>aintenance is a key thing</w:t>
      </w:r>
      <w:r w:rsidR="00D609E5">
        <w:rPr>
          <w:sz w:val="24"/>
          <w:lang w:val="en-AU"/>
        </w:rPr>
        <w:t xml:space="preserve">. You </w:t>
      </w:r>
      <w:r w:rsidR="001255C3" w:rsidRPr="003D1E5E">
        <w:rPr>
          <w:sz w:val="24"/>
          <w:lang w:val="en-AU"/>
        </w:rPr>
        <w:t>cannot improve or repair somethin</w:t>
      </w:r>
      <w:r w:rsidR="00D609E5">
        <w:rPr>
          <w:sz w:val="24"/>
          <w:lang w:val="en-AU"/>
        </w:rPr>
        <w:t>g until you know what is wrong. You need to</w:t>
      </w:r>
      <w:r w:rsidR="001255C3" w:rsidRPr="003D1E5E">
        <w:rPr>
          <w:sz w:val="24"/>
          <w:lang w:val="en-AU"/>
        </w:rPr>
        <w:t xml:space="preserve"> measure it to find out, </w:t>
      </w:r>
      <w:r w:rsidR="00D609E5">
        <w:rPr>
          <w:sz w:val="24"/>
          <w:lang w:val="en-AU"/>
        </w:rPr>
        <w:t>so</w:t>
      </w:r>
      <w:r w:rsidR="001255C3" w:rsidRPr="003D1E5E">
        <w:rPr>
          <w:sz w:val="24"/>
          <w:lang w:val="en-AU"/>
        </w:rPr>
        <w:t xml:space="preserve"> eff</w:t>
      </w:r>
      <w:r w:rsidR="002C6926" w:rsidRPr="003D1E5E">
        <w:rPr>
          <w:sz w:val="24"/>
          <w:lang w:val="en-AU"/>
        </w:rPr>
        <w:t xml:space="preserve">ective indicators are </w:t>
      </w:r>
      <w:r w:rsidR="0078321F" w:rsidRPr="003D1E5E">
        <w:rPr>
          <w:sz w:val="24"/>
          <w:lang w:val="en-AU"/>
        </w:rPr>
        <w:t>required</w:t>
      </w:r>
      <w:r w:rsidR="001255C3" w:rsidRPr="003D1E5E">
        <w:rPr>
          <w:sz w:val="24"/>
          <w:lang w:val="en-AU"/>
        </w:rPr>
        <w:t>.</w:t>
      </w:r>
      <w:r w:rsidR="002C6926" w:rsidRPr="003D1E5E">
        <w:rPr>
          <w:sz w:val="24"/>
          <w:lang w:val="en-AU"/>
        </w:rPr>
        <w:t>”</w:t>
      </w:r>
      <w:r w:rsidR="00372D83" w:rsidRPr="003D1E5E">
        <w:rPr>
          <w:sz w:val="24"/>
          <w:lang w:val="en-AU"/>
        </w:rPr>
        <w:t xml:space="preserve"> </w:t>
      </w:r>
    </w:p>
    <w:p w14:paraId="65AAAA18" w14:textId="77777777" w:rsidR="00DF3C4B" w:rsidRPr="003D1E5E" w:rsidRDefault="00DF3C4B" w:rsidP="00D00AB9">
      <w:pPr>
        <w:spacing w:line="480" w:lineRule="auto"/>
        <w:rPr>
          <w:sz w:val="24"/>
          <w:lang w:val="en-AU"/>
        </w:rPr>
      </w:pPr>
    </w:p>
    <w:p w14:paraId="5F4C4BEF" w14:textId="64BB968D" w:rsidR="00A26E09" w:rsidRDefault="003355B3" w:rsidP="00D00AB9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AU"/>
        </w:rPr>
        <w:t>The key emergent themes</w:t>
      </w:r>
      <w:r w:rsidR="00A26E09" w:rsidRPr="003D1E5E">
        <w:rPr>
          <w:sz w:val="24"/>
          <w:lang w:val="en-AU"/>
        </w:rPr>
        <w:t xml:space="preserve"> and issues arising from the second part</w:t>
      </w:r>
      <w:r w:rsidR="0078321F" w:rsidRPr="003D1E5E">
        <w:rPr>
          <w:sz w:val="24"/>
          <w:lang w:val="en-AU"/>
        </w:rPr>
        <w:t xml:space="preserve"> of the</w:t>
      </w:r>
      <w:r w:rsidR="00A26E09" w:rsidRPr="003D1E5E">
        <w:rPr>
          <w:sz w:val="24"/>
          <w:lang w:val="en-AU"/>
        </w:rPr>
        <w:t xml:space="preserve"> interviews regarding</w:t>
      </w:r>
      <w:r w:rsidR="009D6C45">
        <w:rPr>
          <w:sz w:val="24"/>
          <w:lang w:val="en-AU"/>
        </w:rPr>
        <w:t xml:space="preserve"> the</w:t>
      </w:r>
      <w:r w:rsidR="00A26E09" w:rsidRPr="003D1E5E">
        <w:rPr>
          <w:sz w:val="24"/>
          <w:lang w:val="en-AU"/>
        </w:rPr>
        <w:t xml:space="preserve"> shortcomings of </w:t>
      </w:r>
      <w:r w:rsidR="009D6C45">
        <w:rPr>
          <w:sz w:val="24"/>
          <w:lang w:val="en-AU"/>
        </w:rPr>
        <w:t>traditional</w:t>
      </w:r>
      <w:r w:rsidR="009D6C45" w:rsidRPr="003D1E5E">
        <w:rPr>
          <w:sz w:val="24"/>
          <w:lang w:val="en-AU"/>
        </w:rPr>
        <w:t xml:space="preserve"> </w:t>
      </w:r>
      <w:r w:rsidR="00A26E09" w:rsidRPr="003D1E5E">
        <w:rPr>
          <w:sz w:val="24"/>
          <w:lang w:val="en-AU"/>
        </w:rPr>
        <w:t xml:space="preserve">performance measurement </w:t>
      </w:r>
      <w:r w:rsidR="00590A0B" w:rsidRPr="003D1E5E">
        <w:rPr>
          <w:sz w:val="24"/>
          <w:lang w:val="en-AU"/>
        </w:rPr>
        <w:t>in</w:t>
      </w:r>
      <w:r w:rsidR="00A26E09" w:rsidRPr="003D1E5E">
        <w:rPr>
          <w:sz w:val="24"/>
          <w:lang w:val="en-AU"/>
        </w:rPr>
        <w:t xml:space="preserve"> PPPs </w:t>
      </w:r>
      <w:r w:rsidR="00902D3B">
        <w:rPr>
          <w:sz w:val="24"/>
          <w:lang w:val="en-AU"/>
        </w:rPr>
        <w:t>are</w:t>
      </w:r>
      <w:r w:rsidR="009D6C45" w:rsidRPr="003D1E5E">
        <w:rPr>
          <w:sz w:val="24"/>
          <w:lang w:val="en-AU"/>
        </w:rPr>
        <w:t xml:space="preserve"> </w:t>
      </w:r>
      <w:r w:rsidR="00A26E09" w:rsidRPr="003D1E5E">
        <w:rPr>
          <w:sz w:val="24"/>
          <w:lang w:val="en-AU"/>
        </w:rPr>
        <w:t xml:space="preserve">presented in Figure 5. </w:t>
      </w:r>
      <w:r w:rsidR="009D6C45">
        <w:rPr>
          <w:sz w:val="24"/>
          <w:lang w:val="en-AU"/>
        </w:rPr>
        <w:t>T</w:t>
      </w:r>
      <w:r w:rsidR="00DD5B7E" w:rsidRPr="003D1E5E">
        <w:rPr>
          <w:sz w:val="24"/>
          <w:lang w:val="en-AU"/>
        </w:rPr>
        <w:t xml:space="preserve">here </w:t>
      </w:r>
      <w:r w:rsidR="009D6C45">
        <w:rPr>
          <w:sz w:val="24"/>
          <w:lang w:val="en-AU"/>
        </w:rPr>
        <w:t>were</w:t>
      </w:r>
      <w:r w:rsidR="00DD5B7E" w:rsidRPr="003D1E5E">
        <w:rPr>
          <w:sz w:val="24"/>
          <w:lang w:val="en-AU"/>
        </w:rPr>
        <w:t xml:space="preserve"> a series of deficiencies </w:t>
      </w:r>
      <w:r w:rsidR="00590A0B" w:rsidRPr="003D1E5E">
        <w:rPr>
          <w:sz w:val="24"/>
          <w:lang w:val="en-AU"/>
        </w:rPr>
        <w:t>in</w:t>
      </w:r>
      <w:r w:rsidR="009D6C45">
        <w:rPr>
          <w:sz w:val="24"/>
          <w:lang w:val="en-AU"/>
        </w:rPr>
        <w:t xml:space="preserve"> the</w:t>
      </w:r>
      <w:r w:rsidR="00DD5B7E" w:rsidRPr="003D1E5E">
        <w:rPr>
          <w:sz w:val="24"/>
          <w:lang w:val="en-AU"/>
        </w:rPr>
        <w:t xml:space="preserve"> performance evaluation systems of Projects A and B, </w:t>
      </w:r>
      <w:r w:rsidR="009D6C45">
        <w:rPr>
          <w:sz w:val="24"/>
          <w:lang w:val="en-AU"/>
        </w:rPr>
        <w:t>which</w:t>
      </w:r>
      <w:r w:rsidR="00DD5B7E" w:rsidRPr="003D1E5E">
        <w:rPr>
          <w:sz w:val="24"/>
          <w:lang w:val="en-AU"/>
        </w:rPr>
        <w:t xml:space="preserve"> included: </w:t>
      </w:r>
      <w:r w:rsidR="00DD5B7E" w:rsidRPr="002E5F4E">
        <w:rPr>
          <w:sz w:val="24"/>
          <w:lang w:val="en-AU"/>
        </w:rPr>
        <w:t xml:space="preserve">(1) </w:t>
      </w:r>
      <w:r w:rsidR="00DD5B7E" w:rsidRPr="002E5F4E">
        <w:rPr>
          <w:sz w:val="24"/>
          <w:lang w:val="en-GB"/>
        </w:rPr>
        <w:t xml:space="preserve">a cost-based </w:t>
      </w:r>
      <w:proofErr w:type="spellStart"/>
      <w:r w:rsidR="00DD5B7E" w:rsidRPr="002E5F4E">
        <w:rPr>
          <w:sz w:val="24"/>
          <w:lang w:val="en-GB"/>
        </w:rPr>
        <w:t>V</w:t>
      </w:r>
      <w:r w:rsidR="00DD5B7E" w:rsidRPr="002E5F4E">
        <w:rPr>
          <w:i/>
          <w:sz w:val="24"/>
          <w:lang w:val="en-GB"/>
        </w:rPr>
        <w:t>f</w:t>
      </w:r>
      <w:r w:rsidR="00DD5B7E" w:rsidRPr="002E5F4E">
        <w:rPr>
          <w:sz w:val="24"/>
          <w:lang w:val="en-GB"/>
        </w:rPr>
        <w:t>M</w:t>
      </w:r>
      <w:proofErr w:type="spellEnd"/>
      <w:r w:rsidR="00DD5B7E" w:rsidRPr="002E5F4E">
        <w:rPr>
          <w:sz w:val="24"/>
          <w:lang w:val="en-GB"/>
        </w:rPr>
        <w:t xml:space="preserve"> assessment rather than a complete </w:t>
      </w:r>
      <w:r w:rsidR="00DD5B7E" w:rsidRPr="002E5F4E">
        <w:rPr>
          <w:sz w:val="24"/>
          <w:lang w:val="en-GB"/>
        </w:rPr>
        <w:lastRenderedPageBreak/>
        <w:t xml:space="preserve">evaluation for both financial and non-financial benefits; (2) an ineffective and inefficient internal process for absorbing the lessons learned from project evaluation; (3) neglect of critical issues relating to the </w:t>
      </w:r>
      <w:r w:rsidR="009D6C45" w:rsidRPr="002E5F4E">
        <w:rPr>
          <w:sz w:val="24"/>
          <w:lang w:val="en-GB"/>
        </w:rPr>
        <w:t xml:space="preserve">procurement </w:t>
      </w:r>
      <w:r w:rsidR="00DD5B7E" w:rsidRPr="002E5F4E">
        <w:rPr>
          <w:sz w:val="24"/>
          <w:lang w:val="en-GB"/>
        </w:rPr>
        <w:t xml:space="preserve">of the projects (i.e., tendering/bidding); (4) a simplistic TCQ assessment for design and construction; (5) the lack of performance measures for the outputs of FM works; and (6) </w:t>
      </w:r>
      <w:r w:rsidR="00590A0B" w:rsidRPr="002E5F4E">
        <w:rPr>
          <w:sz w:val="24"/>
          <w:lang w:val="en-GB"/>
        </w:rPr>
        <w:t>the</w:t>
      </w:r>
      <w:r w:rsidR="00DD5B7E" w:rsidRPr="002E5F4E">
        <w:rPr>
          <w:sz w:val="24"/>
          <w:lang w:val="en-GB"/>
        </w:rPr>
        <w:t xml:space="preserve"> weak ability of operational KPIs in accommodating business environment changes.</w:t>
      </w:r>
    </w:p>
    <w:p w14:paraId="0D09FB46" w14:textId="7B03B39E" w:rsidR="009D6C45" w:rsidRDefault="009D6C45" w:rsidP="00D00AB9">
      <w:pPr>
        <w:spacing w:line="480" w:lineRule="auto"/>
        <w:rPr>
          <w:sz w:val="24"/>
          <w:lang w:val="en-GB"/>
        </w:rPr>
      </w:pPr>
    </w:p>
    <w:p w14:paraId="580EB247" w14:textId="18FF3065" w:rsidR="002E5F4E" w:rsidRDefault="002E5F4E" w:rsidP="002E5F4E">
      <w:pPr>
        <w:spacing w:line="480" w:lineRule="auto"/>
        <w:jc w:val="center"/>
        <w:rPr>
          <w:sz w:val="24"/>
          <w:lang w:val="en-GB"/>
        </w:rPr>
      </w:pPr>
      <w:r>
        <w:rPr>
          <w:noProof/>
          <w:sz w:val="24"/>
          <w:lang w:val="en-GB" w:eastAsia="en-GB"/>
        </w:rPr>
        <w:drawing>
          <wp:inline distT="0" distB="0" distL="0" distR="0" wp14:anchorId="3AA441B7" wp14:editId="02BF3A1F">
            <wp:extent cx="5913640" cy="3114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441" cy="3122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9720A" w14:textId="47649626" w:rsidR="00D67E8C" w:rsidRDefault="00667F8C" w:rsidP="008E7AAE">
      <w:pPr>
        <w:tabs>
          <w:tab w:val="left" w:pos="2070"/>
        </w:tabs>
        <w:spacing w:line="480" w:lineRule="auto"/>
        <w:jc w:val="center"/>
        <w:rPr>
          <w:sz w:val="24"/>
          <w:lang w:val="en-AU"/>
        </w:rPr>
      </w:pPr>
      <w:r>
        <w:rPr>
          <w:sz w:val="24"/>
          <w:lang w:val="en-AU"/>
        </w:rPr>
        <w:t>Figure 5:</w:t>
      </w:r>
      <w:r w:rsidRPr="00667F8C">
        <w:rPr>
          <w:kern w:val="0"/>
          <w:sz w:val="24"/>
          <w:lang w:val="en-AU"/>
        </w:rPr>
        <w:t xml:space="preserve"> </w:t>
      </w:r>
      <w:r w:rsidRPr="00667F8C">
        <w:rPr>
          <w:sz w:val="24"/>
          <w:lang w:val="en-AU"/>
        </w:rPr>
        <w:t>Key emergent themes from the case studies</w:t>
      </w:r>
    </w:p>
    <w:p w14:paraId="4698B9A8" w14:textId="77777777" w:rsidR="00D67E8C" w:rsidRDefault="00D67E8C" w:rsidP="00D67E8C">
      <w:pPr>
        <w:tabs>
          <w:tab w:val="left" w:pos="2070"/>
        </w:tabs>
        <w:spacing w:line="480" w:lineRule="auto"/>
        <w:rPr>
          <w:sz w:val="24"/>
          <w:lang w:val="en-AU"/>
        </w:rPr>
      </w:pPr>
    </w:p>
    <w:p w14:paraId="6C173B91" w14:textId="77777777" w:rsidR="00901DA1" w:rsidRPr="003D1E5E" w:rsidRDefault="00901DA1" w:rsidP="009A3DAA">
      <w:pPr>
        <w:spacing w:line="480" w:lineRule="auto"/>
        <w:rPr>
          <w:rFonts w:ascii="Arial" w:hAnsi="Arial"/>
          <w:b/>
          <w:sz w:val="24"/>
          <w:lang w:val="en-GB"/>
        </w:rPr>
      </w:pPr>
      <w:r w:rsidRPr="003D1E5E">
        <w:rPr>
          <w:rFonts w:ascii="Arial" w:hAnsi="Arial"/>
          <w:b/>
          <w:sz w:val="24"/>
          <w:lang w:val="en-GB"/>
        </w:rPr>
        <w:t>Recommendations for Improvements</w:t>
      </w:r>
    </w:p>
    <w:p w14:paraId="52552C33" w14:textId="2EE00516" w:rsidR="00791AE1" w:rsidRDefault="00772958" w:rsidP="006452E5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 xml:space="preserve">The case studies undertaken have </w:t>
      </w:r>
      <w:r w:rsidR="00D0003D" w:rsidRPr="003D1E5E">
        <w:rPr>
          <w:sz w:val="24"/>
          <w:lang w:val="en-GB"/>
        </w:rPr>
        <w:t>identified</w:t>
      </w:r>
      <w:r w:rsidRPr="003D1E5E">
        <w:rPr>
          <w:sz w:val="24"/>
          <w:lang w:val="en-GB"/>
        </w:rPr>
        <w:t xml:space="preserve"> shortcomings </w:t>
      </w:r>
      <w:r w:rsidR="009D6C45">
        <w:rPr>
          <w:sz w:val="24"/>
          <w:lang w:val="en-GB"/>
        </w:rPr>
        <w:t>with</w:t>
      </w:r>
      <w:r w:rsidR="009D6C45" w:rsidRPr="003D1E5E">
        <w:rPr>
          <w:sz w:val="24"/>
          <w:lang w:val="en-GB"/>
        </w:rPr>
        <w:t xml:space="preserve"> </w:t>
      </w:r>
      <w:r w:rsidR="00DD5B7E" w:rsidRPr="003D1E5E">
        <w:rPr>
          <w:sz w:val="24"/>
          <w:lang w:val="en-GB"/>
        </w:rPr>
        <w:t xml:space="preserve">the </w:t>
      </w:r>
      <w:r w:rsidR="009D6C45">
        <w:rPr>
          <w:sz w:val="24"/>
          <w:lang w:val="en-GB"/>
        </w:rPr>
        <w:t xml:space="preserve">performance </w:t>
      </w:r>
      <w:r w:rsidR="00DD5B7E" w:rsidRPr="003D1E5E">
        <w:rPr>
          <w:sz w:val="24"/>
          <w:lang w:val="en-GB"/>
        </w:rPr>
        <w:t xml:space="preserve">evaluation </w:t>
      </w:r>
      <w:r w:rsidR="009D6C45">
        <w:rPr>
          <w:sz w:val="24"/>
          <w:lang w:val="en-GB"/>
        </w:rPr>
        <w:t xml:space="preserve">that </w:t>
      </w:r>
      <w:r w:rsidR="00902D3B">
        <w:rPr>
          <w:sz w:val="24"/>
          <w:lang w:val="en-GB"/>
        </w:rPr>
        <w:t>was</w:t>
      </w:r>
      <w:r w:rsidRPr="003D1E5E">
        <w:rPr>
          <w:sz w:val="24"/>
          <w:lang w:val="en-GB"/>
        </w:rPr>
        <w:t xml:space="preserve"> used to </w:t>
      </w:r>
      <w:r w:rsidR="00DD5B7E" w:rsidRPr="003D1E5E">
        <w:rPr>
          <w:sz w:val="24"/>
          <w:lang w:val="en-GB"/>
        </w:rPr>
        <w:t xml:space="preserve">measure </w:t>
      </w:r>
      <w:r w:rsidRPr="003D1E5E">
        <w:rPr>
          <w:sz w:val="24"/>
          <w:lang w:val="en-GB"/>
        </w:rPr>
        <w:t>PPPs</w:t>
      </w:r>
      <w:r w:rsidR="006452E5" w:rsidRPr="003D1E5E">
        <w:rPr>
          <w:sz w:val="24"/>
          <w:lang w:val="en-GB"/>
        </w:rPr>
        <w:t xml:space="preserve">. </w:t>
      </w:r>
      <w:r w:rsidR="005F71AF">
        <w:rPr>
          <w:sz w:val="24"/>
          <w:lang w:val="en-GB"/>
        </w:rPr>
        <w:t>Based on</w:t>
      </w:r>
      <w:r w:rsidR="00D0003D" w:rsidRPr="003D1E5E">
        <w:rPr>
          <w:sz w:val="24"/>
          <w:lang w:val="en-GB"/>
        </w:rPr>
        <w:t xml:space="preserve"> </w:t>
      </w:r>
      <w:r w:rsidR="006452E5" w:rsidRPr="003D1E5E">
        <w:rPr>
          <w:sz w:val="24"/>
          <w:lang w:val="en-GB"/>
        </w:rPr>
        <w:t xml:space="preserve">these </w:t>
      </w:r>
      <w:r w:rsidRPr="003D1E5E">
        <w:rPr>
          <w:sz w:val="24"/>
          <w:lang w:val="en-GB"/>
        </w:rPr>
        <w:t>findings</w:t>
      </w:r>
      <w:r w:rsidR="006452E5" w:rsidRPr="003D1E5E">
        <w:rPr>
          <w:sz w:val="24"/>
          <w:lang w:val="en-GB"/>
        </w:rPr>
        <w:t>, a</w:t>
      </w:r>
      <w:r w:rsidR="00BC4B47" w:rsidRPr="003D1E5E">
        <w:rPr>
          <w:sz w:val="24"/>
          <w:lang w:val="en-GB"/>
        </w:rPr>
        <w:t xml:space="preserve"> process-based and stakeholder-oriented perspective should be addressed in the performance evaluation of PPPs</w:t>
      </w:r>
      <w:r w:rsidRPr="003D1E5E">
        <w:rPr>
          <w:sz w:val="24"/>
          <w:lang w:val="en-GB"/>
        </w:rPr>
        <w:t>.</w:t>
      </w:r>
      <w:r w:rsidR="00BC4B47" w:rsidRPr="003D1E5E">
        <w:rPr>
          <w:sz w:val="24"/>
          <w:lang w:val="en-GB"/>
        </w:rPr>
        <w:t xml:space="preserve"> </w:t>
      </w:r>
      <w:r w:rsidR="00354FA2" w:rsidRPr="003D1E5E">
        <w:rPr>
          <w:sz w:val="24"/>
          <w:lang w:val="en-GB"/>
        </w:rPr>
        <w:t xml:space="preserve">If, for example, KPIs </w:t>
      </w:r>
      <w:r w:rsidR="00901DA1" w:rsidRPr="003D1E5E">
        <w:rPr>
          <w:sz w:val="24"/>
          <w:lang w:val="en-GB"/>
        </w:rPr>
        <w:t>focus</w:t>
      </w:r>
      <w:r w:rsidR="00BC4B47" w:rsidRPr="003D1E5E">
        <w:rPr>
          <w:sz w:val="24"/>
          <w:lang w:val="en-GB"/>
        </w:rPr>
        <w:t xml:space="preserve"> on process and key stakeholders’ expectations</w:t>
      </w:r>
      <w:r w:rsidR="00354FA2" w:rsidRPr="003D1E5E">
        <w:rPr>
          <w:sz w:val="24"/>
          <w:lang w:val="en-GB"/>
        </w:rPr>
        <w:t>, they can reflect</w:t>
      </w:r>
      <w:r w:rsidR="00A2755F" w:rsidRPr="003D1E5E">
        <w:rPr>
          <w:sz w:val="24"/>
          <w:lang w:val="en-GB"/>
        </w:rPr>
        <w:t xml:space="preserve"> the distinct feature of PPPs related to a unique delivery process and sophisticated </w:t>
      </w:r>
      <w:r w:rsidR="00A2755F" w:rsidRPr="003D1E5E">
        <w:rPr>
          <w:sz w:val="24"/>
          <w:lang w:val="en-GB"/>
        </w:rPr>
        <w:lastRenderedPageBreak/>
        <w:t xml:space="preserve">stakeholder networks. In fact, </w:t>
      </w:r>
      <w:r w:rsidR="00252088" w:rsidRPr="003D1E5E">
        <w:rPr>
          <w:sz w:val="24"/>
          <w:lang w:val="en-GB"/>
        </w:rPr>
        <w:t>most of</w:t>
      </w:r>
      <w:r w:rsidR="00A2755F" w:rsidRPr="003D1E5E">
        <w:rPr>
          <w:sz w:val="24"/>
          <w:lang w:val="en-GB"/>
        </w:rPr>
        <w:t xml:space="preserve"> the interviewees considered that a life-cycle</w:t>
      </w:r>
      <w:r w:rsidR="00E64EDD" w:rsidRPr="003D1E5E">
        <w:rPr>
          <w:sz w:val="24"/>
          <w:lang w:val="en-GB"/>
        </w:rPr>
        <w:t>/process-based</w:t>
      </w:r>
      <w:r w:rsidR="00A2755F" w:rsidRPr="003D1E5E">
        <w:rPr>
          <w:sz w:val="24"/>
          <w:lang w:val="en-GB"/>
        </w:rPr>
        <w:t xml:space="preserve"> measurement approach is ideal for PPPs and can </w:t>
      </w:r>
      <w:r w:rsidR="00354FA2" w:rsidRPr="003D1E5E">
        <w:rPr>
          <w:sz w:val="24"/>
          <w:lang w:val="en-GB"/>
        </w:rPr>
        <w:t>super</w:t>
      </w:r>
      <w:r w:rsidR="00B67F82" w:rsidRPr="003D1E5E">
        <w:rPr>
          <w:sz w:val="24"/>
          <w:lang w:val="en-GB"/>
        </w:rPr>
        <w:t>s</w:t>
      </w:r>
      <w:r w:rsidR="00354FA2" w:rsidRPr="003D1E5E">
        <w:rPr>
          <w:sz w:val="24"/>
          <w:lang w:val="en-GB"/>
        </w:rPr>
        <w:t xml:space="preserve">ede </w:t>
      </w:r>
      <w:r w:rsidR="00A2755F" w:rsidRPr="003D1E5E">
        <w:rPr>
          <w:sz w:val="24"/>
          <w:lang w:val="en-GB"/>
        </w:rPr>
        <w:t xml:space="preserve">traditional </w:t>
      </w:r>
      <w:r w:rsidR="00A2755F" w:rsidRPr="003D1E5E">
        <w:rPr>
          <w:i/>
          <w:sz w:val="24"/>
          <w:lang w:val="en-GB"/>
        </w:rPr>
        <w:t>ex-post</w:t>
      </w:r>
      <w:r w:rsidR="00A2755F" w:rsidRPr="003D1E5E">
        <w:rPr>
          <w:sz w:val="24"/>
          <w:lang w:val="en-GB"/>
        </w:rPr>
        <w:t xml:space="preserve"> evaluation </w:t>
      </w:r>
      <w:r w:rsidR="009D6C45">
        <w:rPr>
          <w:sz w:val="24"/>
          <w:lang w:val="en-GB"/>
        </w:rPr>
        <w:t>due to</w:t>
      </w:r>
      <w:r w:rsidR="00A2755F" w:rsidRPr="003D1E5E">
        <w:rPr>
          <w:sz w:val="24"/>
          <w:lang w:val="en-GB"/>
        </w:rPr>
        <w:t xml:space="preserve"> its </w:t>
      </w:r>
      <w:r w:rsidR="00E64EDD" w:rsidRPr="003D1E5E">
        <w:rPr>
          <w:sz w:val="24"/>
          <w:lang w:val="en-GB"/>
        </w:rPr>
        <w:t>robust</w:t>
      </w:r>
      <w:r w:rsidR="009D6C45">
        <w:rPr>
          <w:sz w:val="24"/>
          <w:lang w:val="en-GB"/>
        </w:rPr>
        <w:t>ness</w:t>
      </w:r>
      <w:r w:rsidR="00E64EDD" w:rsidRPr="003D1E5E">
        <w:rPr>
          <w:sz w:val="24"/>
          <w:lang w:val="en-GB"/>
        </w:rPr>
        <w:t xml:space="preserve"> </w:t>
      </w:r>
      <w:r w:rsidR="009D6C45">
        <w:rPr>
          <w:sz w:val="24"/>
          <w:lang w:val="en-GB"/>
        </w:rPr>
        <w:t>in being able to</w:t>
      </w:r>
      <w:r w:rsidR="00A2755F" w:rsidRPr="003D1E5E">
        <w:rPr>
          <w:sz w:val="24"/>
          <w:lang w:val="en-GB"/>
        </w:rPr>
        <w:t xml:space="preserve"> </w:t>
      </w:r>
      <w:r w:rsidR="009D6C45" w:rsidRPr="003D1E5E">
        <w:rPr>
          <w:sz w:val="24"/>
          <w:lang w:val="en-GB"/>
        </w:rPr>
        <w:t>captur</w:t>
      </w:r>
      <w:r w:rsidR="009D6C45">
        <w:rPr>
          <w:sz w:val="24"/>
          <w:lang w:val="en-GB"/>
        </w:rPr>
        <w:t>e</w:t>
      </w:r>
      <w:r w:rsidR="009D6C45" w:rsidRPr="003D1E5E">
        <w:rPr>
          <w:sz w:val="24"/>
          <w:lang w:val="en-GB"/>
        </w:rPr>
        <w:t xml:space="preserve"> </w:t>
      </w:r>
      <w:r w:rsidR="00A2755F" w:rsidRPr="003D1E5E">
        <w:rPr>
          <w:sz w:val="24"/>
          <w:lang w:val="en-GB"/>
        </w:rPr>
        <w:t>all</w:t>
      </w:r>
      <w:r w:rsidR="009D6C45">
        <w:rPr>
          <w:sz w:val="24"/>
          <w:lang w:val="en-GB"/>
        </w:rPr>
        <w:t xml:space="preserve"> the</w:t>
      </w:r>
      <w:r w:rsidR="00A2755F" w:rsidRPr="003D1E5E">
        <w:rPr>
          <w:sz w:val="24"/>
          <w:lang w:val="en-GB"/>
        </w:rPr>
        <w:t xml:space="preserve"> deliverables of PPPs (i.e., tangible and intangible) </w:t>
      </w:r>
      <w:r w:rsidR="009D6C45">
        <w:rPr>
          <w:sz w:val="24"/>
          <w:lang w:val="en-GB"/>
        </w:rPr>
        <w:t xml:space="preserve">that </w:t>
      </w:r>
      <w:r w:rsidR="00A2755F" w:rsidRPr="003D1E5E">
        <w:rPr>
          <w:sz w:val="24"/>
          <w:lang w:val="en-GB"/>
        </w:rPr>
        <w:t>cascad</w:t>
      </w:r>
      <w:r w:rsidR="009D6C45">
        <w:rPr>
          <w:sz w:val="24"/>
          <w:lang w:val="en-GB"/>
        </w:rPr>
        <w:t>e</w:t>
      </w:r>
      <w:r w:rsidR="00A2755F" w:rsidRPr="003D1E5E">
        <w:rPr>
          <w:sz w:val="24"/>
          <w:lang w:val="en-GB"/>
        </w:rPr>
        <w:t xml:space="preserve"> from the initiation and plannin</w:t>
      </w:r>
      <w:r w:rsidR="00E64EDD" w:rsidRPr="003D1E5E">
        <w:rPr>
          <w:sz w:val="24"/>
          <w:lang w:val="en-GB"/>
        </w:rPr>
        <w:t>g to operation and maintenance</w:t>
      </w:r>
      <w:r w:rsidR="009D6C45">
        <w:rPr>
          <w:sz w:val="24"/>
          <w:lang w:val="en-GB"/>
        </w:rPr>
        <w:t xml:space="preserve"> phases</w:t>
      </w:r>
      <w:r w:rsidR="00E64EDD" w:rsidRPr="003D1E5E">
        <w:rPr>
          <w:sz w:val="24"/>
          <w:lang w:val="en-GB"/>
        </w:rPr>
        <w:t xml:space="preserve">. </w:t>
      </w:r>
      <w:r w:rsidR="00D0003D" w:rsidRPr="003D1E5E">
        <w:rPr>
          <w:sz w:val="24"/>
          <w:lang w:val="en-GB"/>
        </w:rPr>
        <w:t>For example, the Contract Manager of Project-A from the public authority explicitly proffered that:</w:t>
      </w:r>
    </w:p>
    <w:p w14:paraId="288D8A8D" w14:textId="77777777" w:rsidR="00ED40A5" w:rsidRDefault="00ED40A5" w:rsidP="006452E5">
      <w:pPr>
        <w:spacing w:line="480" w:lineRule="auto"/>
        <w:rPr>
          <w:sz w:val="24"/>
          <w:lang w:val="en-GB"/>
        </w:rPr>
      </w:pPr>
    </w:p>
    <w:p w14:paraId="59091DE2" w14:textId="77777777" w:rsidR="006452E5" w:rsidRPr="003D1E5E" w:rsidRDefault="00F05577" w:rsidP="00D234B7">
      <w:pPr>
        <w:spacing w:line="480" w:lineRule="auto"/>
        <w:ind w:left="454" w:right="454"/>
        <w:rPr>
          <w:sz w:val="24"/>
          <w:lang w:val="en-AU"/>
        </w:rPr>
      </w:pPr>
      <w:r w:rsidRPr="003D1E5E">
        <w:rPr>
          <w:sz w:val="24"/>
          <w:lang w:val="en-GB"/>
        </w:rPr>
        <w:t>“</w:t>
      </w:r>
      <w:r w:rsidR="00B27D18" w:rsidRPr="003D1E5E">
        <w:rPr>
          <w:sz w:val="24"/>
          <w:lang w:val="en-AU"/>
        </w:rPr>
        <w:t>A</w:t>
      </w:r>
      <w:r w:rsidR="006452E5" w:rsidRPr="003D1E5E">
        <w:rPr>
          <w:sz w:val="24"/>
          <w:lang w:val="en-AU"/>
        </w:rPr>
        <w:t>s a consultant, I care about delivery process and key stakeholders, especially in a social infrastr</w:t>
      </w:r>
      <w:r w:rsidR="00AA6DFA" w:rsidRPr="003D1E5E">
        <w:rPr>
          <w:sz w:val="24"/>
          <w:lang w:val="en-AU"/>
        </w:rPr>
        <w:t>ucture project, like a hospital. This is</w:t>
      </w:r>
      <w:r w:rsidR="006452E5" w:rsidRPr="003D1E5E">
        <w:rPr>
          <w:sz w:val="24"/>
          <w:lang w:val="en-AU"/>
        </w:rPr>
        <w:t xml:space="preserve"> because PPPs are unique for their life-cycle with </w:t>
      </w:r>
      <w:r w:rsidR="00FC1CBE" w:rsidRPr="003D1E5E">
        <w:rPr>
          <w:sz w:val="24"/>
          <w:lang w:val="en-AU"/>
        </w:rPr>
        <w:t xml:space="preserve">a </w:t>
      </w:r>
      <w:r w:rsidR="006452E5" w:rsidRPr="003D1E5E">
        <w:rPr>
          <w:sz w:val="24"/>
          <w:lang w:val="en-AU"/>
        </w:rPr>
        <w:t xml:space="preserve">long-term contractual arrangement between public and private sectors and </w:t>
      </w:r>
      <w:r w:rsidR="00FC1CBE" w:rsidRPr="003D1E5E">
        <w:rPr>
          <w:sz w:val="24"/>
          <w:lang w:val="en-AU"/>
        </w:rPr>
        <w:t xml:space="preserve">a </w:t>
      </w:r>
      <w:r w:rsidR="006452E5" w:rsidRPr="003D1E5E">
        <w:rPr>
          <w:sz w:val="24"/>
          <w:lang w:val="en-AU"/>
        </w:rPr>
        <w:t>sophisticated stakehold</w:t>
      </w:r>
      <w:r w:rsidR="00AA6DFA" w:rsidRPr="003D1E5E">
        <w:rPr>
          <w:sz w:val="24"/>
          <w:lang w:val="en-AU"/>
        </w:rPr>
        <w:t>er network … So, addressing process and stakeholders’ needs</w:t>
      </w:r>
      <w:r w:rsidR="006452E5" w:rsidRPr="003D1E5E">
        <w:rPr>
          <w:sz w:val="24"/>
          <w:lang w:val="en-AU"/>
        </w:rPr>
        <w:t xml:space="preserve"> can </w:t>
      </w:r>
      <w:r w:rsidR="00AA6DFA" w:rsidRPr="003D1E5E">
        <w:rPr>
          <w:sz w:val="24"/>
          <w:lang w:val="en-AU"/>
        </w:rPr>
        <w:t>reveal</w:t>
      </w:r>
      <w:r w:rsidR="006452E5" w:rsidRPr="003D1E5E">
        <w:rPr>
          <w:sz w:val="24"/>
          <w:lang w:val="en-AU"/>
        </w:rPr>
        <w:t xml:space="preserve"> all important</w:t>
      </w:r>
      <w:r w:rsidR="00AA6DFA" w:rsidRPr="003D1E5E">
        <w:rPr>
          <w:sz w:val="24"/>
          <w:lang w:val="en-AU"/>
        </w:rPr>
        <w:t xml:space="preserve"> deliverables and then improve</w:t>
      </w:r>
      <w:r w:rsidR="006452E5" w:rsidRPr="003D1E5E">
        <w:rPr>
          <w:sz w:val="24"/>
          <w:lang w:val="en-AU"/>
        </w:rPr>
        <w:t xml:space="preserve"> the effectiveness of the performance ev</w:t>
      </w:r>
      <w:r w:rsidRPr="003D1E5E">
        <w:rPr>
          <w:sz w:val="24"/>
          <w:lang w:val="en-AU"/>
        </w:rPr>
        <w:t>aluation system of the project.</w:t>
      </w:r>
      <w:r w:rsidR="006452E5" w:rsidRPr="003D1E5E">
        <w:rPr>
          <w:sz w:val="24"/>
          <w:lang w:val="en-AU"/>
        </w:rPr>
        <w:t>”</w:t>
      </w:r>
    </w:p>
    <w:p w14:paraId="4DCC5F10" w14:textId="77777777" w:rsidR="004C2E91" w:rsidRDefault="004C2E91" w:rsidP="00794D1E">
      <w:pPr>
        <w:spacing w:line="480" w:lineRule="auto"/>
        <w:rPr>
          <w:sz w:val="24"/>
          <w:lang w:val="en-GB"/>
        </w:rPr>
      </w:pPr>
    </w:p>
    <w:p w14:paraId="3467BB3C" w14:textId="342E30F7" w:rsidR="00282F3E" w:rsidRDefault="006452E5" w:rsidP="00794D1E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>The Project Mana</w:t>
      </w:r>
      <w:r w:rsidR="00CC2A2F" w:rsidRPr="003D1E5E">
        <w:rPr>
          <w:sz w:val="24"/>
          <w:lang w:val="en-GB"/>
        </w:rPr>
        <w:t xml:space="preserve">ger and Design Manager </w:t>
      </w:r>
      <w:r w:rsidRPr="003D1E5E">
        <w:rPr>
          <w:sz w:val="24"/>
          <w:lang w:val="en-GB"/>
        </w:rPr>
        <w:t xml:space="preserve">of Project-B </w:t>
      </w:r>
      <w:r w:rsidR="00DB55F4" w:rsidRPr="003D1E5E">
        <w:rPr>
          <w:sz w:val="24"/>
          <w:lang w:val="en-GB"/>
        </w:rPr>
        <w:t>supported</w:t>
      </w:r>
      <w:r w:rsidRPr="003D1E5E">
        <w:rPr>
          <w:sz w:val="24"/>
          <w:lang w:val="en-GB"/>
        </w:rPr>
        <w:t xml:space="preserve"> </w:t>
      </w:r>
      <w:r w:rsidR="00BF5DE6" w:rsidRPr="003D1E5E">
        <w:rPr>
          <w:sz w:val="24"/>
          <w:lang w:val="en-GB"/>
        </w:rPr>
        <w:t xml:space="preserve">the </w:t>
      </w:r>
      <w:r w:rsidR="005F567B" w:rsidRPr="003D1E5E">
        <w:rPr>
          <w:sz w:val="24"/>
          <w:lang w:val="en-GB"/>
        </w:rPr>
        <w:t>view</w:t>
      </w:r>
      <w:r w:rsidR="009D6C45">
        <w:rPr>
          <w:sz w:val="24"/>
          <w:lang w:val="en-GB"/>
        </w:rPr>
        <w:t xml:space="preserve"> </w:t>
      </w:r>
      <w:r w:rsidR="00E64CEF">
        <w:rPr>
          <w:sz w:val="24"/>
          <w:lang w:val="en-GB"/>
        </w:rPr>
        <w:t>expressed</w:t>
      </w:r>
      <w:r w:rsidR="00E64CEF" w:rsidRPr="003D1E5E">
        <w:rPr>
          <w:sz w:val="24"/>
          <w:lang w:val="en-GB"/>
        </w:rPr>
        <w:t xml:space="preserve"> </w:t>
      </w:r>
      <w:r w:rsidR="005F567B" w:rsidRPr="003D1E5E">
        <w:rPr>
          <w:sz w:val="24"/>
          <w:lang w:val="en-GB"/>
        </w:rPr>
        <w:t>above</w:t>
      </w:r>
      <w:r w:rsidRPr="003D1E5E">
        <w:rPr>
          <w:sz w:val="24"/>
          <w:lang w:val="en-GB"/>
        </w:rPr>
        <w:t xml:space="preserve">. They </w:t>
      </w:r>
      <w:r w:rsidR="00B407E5" w:rsidRPr="003D1E5E">
        <w:rPr>
          <w:sz w:val="24"/>
          <w:lang w:val="en-GB"/>
        </w:rPr>
        <w:t>also</w:t>
      </w:r>
      <w:r w:rsidR="00DB55F4" w:rsidRPr="003D1E5E">
        <w:rPr>
          <w:sz w:val="24"/>
          <w:lang w:val="en-GB"/>
        </w:rPr>
        <w:t xml:space="preserve"> </w:t>
      </w:r>
      <w:r w:rsidR="00FC1CBE" w:rsidRPr="003D1E5E">
        <w:rPr>
          <w:sz w:val="24"/>
          <w:lang w:val="en-GB"/>
        </w:rPr>
        <w:t>argued</w:t>
      </w:r>
      <w:r w:rsidRPr="003D1E5E">
        <w:rPr>
          <w:sz w:val="24"/>
          <w:lang w:val="en-GB"/>
        </w:rPr>
        <w:t xml:space="preserve"> that </w:t>
      </w:r>
      <w:r w:rsidR="00FC1CBE" w:rsidRPr="003D1E5E">
        <w:rPr>
          <w:sz w:val="24"/>
          <w:lang w:val="en-GB"/>
        </w:rPr>
        <w:t xml:space="preserve">future </w:t>
      </w:r>
      <w:r w:rsidRPr="003D1E5E">
        <w:rPr>
          <w:sz w:val="24"/>
          <w:lang w:val="en-GB"/>
        </w:rPr>
        <w:t>PMS</w:t>
      </w:r>
      <w:r w:rsidR="00AA6DFA" w:rsidRPr="003D1E5E">
        <w:rPr>
          <w:sz w:val="24"/>
          <w:lang w:val="en-GB"/>
        </w:rPr>
        <w:t>s</w:t>
      </w:r>
      <w:r w:rsidRPr="003D1E5E">
        <w:rPr>
          <w:sz w:val="24"/>
          <w:lang w:val="en-GB"/>
        </w:rPr>
        <w:t xml:space="preserve"> devised for PPPs </w:t>
      </w:r>
      <w:r w:rsidR="00FC1CBE" w:rsidRPr="003D1E5E">
        <w:rPr>
          <w:sz w:val="24"/>
          <w:lang w:val="en-GB"/>
        </w:rPr>
        <w:t>must be</w:t>
      </w:r>
      <w:r w:rsidRPr="003D1E5E">
        <w:rPr>
          <w:sz w:val="24"/>
          <w:lang w:val="en-GB"/>
        </w:rPr>
        <w:t xml:space="preserve"> ‘life-cycle’ </w:t>
      </w:r>
      <w:r w:rsidR="00B67F82" w:rsidRPr="003D1E5E">
        <w:rPr>
          <w:sz w:val="24"/>
          <w:lang w:val="en-GB"/>
        </w:rPr>
        <w:t xml:space="preserve">oriented </w:t>
      </w:r>
      <w:r w:rsidRPr="003D1E5E">
        <w:rPr>
          <w:sz w:val="24"/>
          <w:lang w:val="en-GB"/>
        </w:rPr>
        <w:t xml:space="preserve">and designed </w:t>
      </w:r>
      <w:r w:rsidR="00252088" w:rsidRPr="003D1E5E">
        <w:rPr>
          <w:sz w:val="24"/>
          <w:lang w:val="en-GB"/>
        </w:rPr>
        <w:t>for</w:t>
      </w:r>
      <w:r w:rsidRPr="003D1E5E">
        <w:rPr>
          <w:sz w:val="24"/>
          <w:lang w:val="en-GB"/>
        </w:rPr>
        <w:t xml:space="preserve"> reflecting whether </w:t>
      </w:r>
      <w:r w:rsidR="00603EFA" w:rsidRPr="003D1E5E">
        <w:rPr>
          <w:sz w:val="24"/>
          <w:lang w:val="en-GB"/>
        </w:rPr>
        <w:t xml:space="preserve">or not </w:t>
      </w:r>
      <w:r w:rsidR="00FC1CBE" w:rsidRPr="003D1E5E">
        <w:rPr>
          <w:sz w:val="24"/>
          <w:lang w:val="en-GB"/>
        </w:rPr>
        <w:t>the key project</w:t>
      </w:r>
      <w:r w:rsidRPr="003D1E5E">
        <w:rPr>
          <w:sz w:val="24"/>
          <w:lang w:val="en-GB"/>
        </w:rPr>
        <w:t xml:space="preserve"> stakeholders’ </w:t>
      </w:r>
      <w:r w:rsidR="00AA6DFA" w:rsidRPr="003D1E5E">
        <w:rPr>
          <w:sz w:val="24"/>
          <w:lang w:val="en-GB"/>
        </w:rPr>
        <w:t>expectations</w:t>
      </w:r>
      <w:r w:rsidRPr="003D1E5E">
        <w:rPr>
          <w:sz w:val="24"/>
          <w:lang w:val="en-GB"/>
        </w:rPr>
        <w:t xml:space="preserve"> have been satisfied, rather than </w:t>
      </w:r>
      <w:r w:rsidR="00FC1CBE" w:rsidRPr="003D1E5E">
        <w:rPr>
          <w:sz w:val="24"/>
          <w:lang w:val="en-GB"/>
        </w:rPr>
        <w:t xml:space="preserve">just </w:t>
      </w:r>
      <w:r w:rsidRPr="003D1E5E">
        <w:rPr>
          <w:sz w:val="24"/>
          <w:lang w:val="en-GB"/>
        </w:rPr>
        <w:t xml:space="preserve">simply indicating if the projects were delivered </w:t>
      </w:r>
      <w:r w:rsidR="00115A2F" w:rsidRPr="003D1E5E">
        <w:rPr>
          <w:sz w:val="24"/>
          <w:lang w:val="en-GB"/>
        </w:rPr>
        <w:t>on ‘time’ and/or on budget.</w:t>
      </w:r>
      <w:r w:rsidR="00B27D18" w:rsidRPr="003D1E5E">
        <w:rPr>
          <w:sz w:val="24"/>
          <w:lang w:val="en-GB"/>
        </w:rPr>
        <w:t xml:space="preserve"> </w:t>
      </w:r>
      <w:r w:rsidR="00603EFA" w:rsidRPr="003D1E5E">
        <w:rPr>
          <w:sz w:val="24"/>
          <w:lang w:val="en-GB"/>
        </w:rPr>
        <w:t>Further</w:t>
      </w:r>
      <w:r w:rsidR="009D6C45">
        <w:rPr>
          <w:sz w:val="24"/>
          <w:lang w:val="en-GB"/>
        </w:rPr>
        <w:t>more</w:t>
      </w:r>
      <w:r w:rsidR="00603EFA" w:rsidRPr="003D1E5E">
        <w:rPr>
          <w:sz w:val="24"/>
          <w:lang w:val="en-GB"/>
        </w:rPr>
        <w:t xml:space="preserve">, some of the interviewees </w:t>
      </w:r>
      <w:r w:rsidR="009D6C45">
        <w:rPr>
          <w:sz w:val="24"/>
          <w:lang w:val="en-GB"/>
        </w:rPr>
        <w:t>suggested</w:t>
      </w:r>
      <w:r w:rsidR="009D6C45" w:rsidRPr="003D1E5E">
        <w:rPr>
          <w:sz w:val="24"/>
          <w:lang w:val="en-GB"/>
        </w:rPr>
        <w:t xml:space="preserve"> </w:t>
      </w:r>
      <w:r w:rsidR="00603EFA" w:rsidRPr="003D1E5E">
        <w:rPr>
          <w:sz w:val="24"/>
          <w:lang w:val="en-GB"/>
        </w:rPr>
        <w:t xml:space="preserve">that a life-cycle/process-based and stakeholder-oriented measurement </w:t>
      </w:r>
      <w:r w:rsidR="009D6C45" w:rsidRPr="003D1E5E">
        <w:rPr>
          <w:sz w:val="24"/>
          <w:lang w:val="en-GB"/>
        </w:rPr>
        <w:t>c</w:t>
      </w:r>
      <w:r w:rsidR="009D6C45">
        <w:rPr>
          <w:sz w:val="24"/>
          <w:lang w:val="en-GB"/>
        </w:rPr>
        <w:t>ould</w:t>
      </w:r>
      <w:r w:rsidR="009D6C45" w:rsidRPr="003D1E5E">
        <w:rPr>
          <w:sz w:val="24"/>
          <w:lang w:val="en-GB"/>
        </w:rPr>
        <w:t xml:space="preserve"> </w:t>
      </w:r>
      <w:r w:rsidR="00603EFA" w:rsidRPr="003D1E5E">
        <w:rPr>
          <w:sz w:val="24"/>
          <w:lang w:val="en-GB"/>
        </w:rPr>
        <w:t xml:space="preserve">be achieved by deriving and using a sequence of project-phase-based KPIs </w:t>
      </w:r>
      <w:r w:rsidR="009D6C45">
        <w:rPr>
          <w:sz w:val="24"/>
          <w:lang w:val="en-GB"/>
        </w:rPr>
        <w:t>(</w:t>
      </w:r>
      <w:r w:rsidR="006A4811">
        <w:rPr>
          <w:sz w:val="24"/>
          <w:lang w:val="en-GB"/>
        </w:rPr>
        <w:t>e.g.</w:t>
      </w:r>
      <w:r w:rsidR="00603EFA" w:rsidRPr="003D1E5E">
        <w:rPr>
          <w:sz w:val="24"/>
          <w:lang w:val="en-GB"/>
        </w:rPr>
        <w:t xml:space="preserve">, indicators </w:t>
      </w:r>
      <w:r w:rsidR="000818C4" w:rsidRPr="003D1E5E">
        <w:rPr>
          <w:sz w:val="24"/>
          <w:lang w:val="en-GB"/>
        </w:rPr>
        <w:t>of</w:t>
      </w:r>
      <w:r w:rsidR="00603EFA" w:rsidRPr="003D1E5E">
        <w:rPr>
          <w:sz w:val="24"/>
          <w:lang w:val="en-GB"/>
        </w:rPr>
        <w:t xml:space="preserve"> </w:t>
      </w:r>
      <w:r w:rsidR="0090038E" w:rsidRPr="003D1E5E">
        <w:rPr>
          <w:sz w:val="24"/>
          <w:lang w:val="en-GB"/>
        </w:rPr>
        <w:t>PPP</w:t>
      </w:r>
      <w:r w:rsidR="00603EFA" w:rsidRPr="003D1E5E">
        <w:rPr>
          <w:sz w:val="24"/>
          <w:lang w:val="en-GB"/>
        </w:rPr>
        <w:t xml:space="preserve"> initiat</w:t>
      </w:r>
      <w:r w:rsidR="000818C4" w:rsidRPr="003D1E5E">
        <w:rPr>
          <w:sz w:val="24"/>
          <w:lang w:val="en-GB"/>
        </w:rPr>
        <w:t xml:space="preserve">ion, procurement, construction, </w:t>
      </w:r>
      <w:r w:rsidR="00603EFA" w:rsidRPr="003D1E5E">
        <w:rPr>
          <w:sz w:val="24"/>
          <w:lang w:val="en-GB"/>
        </w:rPr>
        <w:t>operation and facility maintenance as well as those</w:t>
      </w:r>
      <w:r w:rsidR="0090038E" w:rsidRPr="003D1E5E">
        <w:rPr>
          <w:sz w:val="24"/>
          <w:lang w:val="en-GB"/>
        </w:rPr>
        <w:t xml:space="preserve"> indicators</w:t>
      </w:r>
      <w:r w:rsidR="00603EFA" w:rsidRPr="003D1E5E">
        <w:rPr>
          <w:sz w:val="24"/>
          <w:lang w:val="en-GB"/>
        </w:rPr>
        <w:t xml:space="preserve"> in respect of client’s and</w:t>
      </w:r>
      <w:r w:rsidR="0090038E" w:rsidRPr="003D1E5E">
        <w:rPr>
          <w:sz w:val="24"/>
          <w:lang w:val="en-GB"/>
        </w:rPr>
        <w:t>/or</w:t>
      </w:r>
      <w:r w:rsidR="00603EFA" w:rsidRPr="003D1E5E">
        <w:rPr>
          <w:sz w:val="24"/>
          <w:lang w:val="en-GB"/>
        </w:rPr>
        <w:t xml:space="preserve"> end-users’</w:t>
      </w:r>
      <w:r w:rsidR="0090038E" w:rsidRPr="003D1E5E">
        <w:rPr>
          <w:sz w:val="24"/>
          <w:lang w:val="en-GB"/>
        </w:rPr>
        <w:t xml:space="preserve"> satisfaction</w:t>
      </w:r>
      <w:r w:rsidR="009D6C45">
        <w:rPr>
          <w:sz w:val="24"/>
          <w:lang w:val="en-GB"/>
        </w:rPr>
        <w:t>)</w:t>
      </w:r>
      <w:r w:rsidR="0090038E" w:rsidRPr="003D1E5E">
        <w:rPr>
          <w:sz w:val="24"/>
          <w:lang w:val="en-GB"/>
        </w:rPr>
        <w:t>.</w:t>
      </w:r>
      <w:r w:rsidR="000B7A2D">
        <w:rPr>
          <w:sz w:val="24"/>
          <w:lang w:val="en-GB"/>
        </w:rPr>
        <w:t xml:space="preserve"> </w:t>
      </w:r>
      <w:r w:rsidR="0090038E" w:rsidRPr="003D1E5E">
        <w:rPr>
          <w:sz w:val="24"/>
          <w:lang w:val="en-GB"/>
        </w:rPr>
        <w:t>Additionally</w:t>
      </w:r>
      <w:r w:rsidR="002D27D7" w:rsidRPr="003D1E5E">
        <w:rPr>
          <w:sz w:val="24"/>
          <w:lang w:val="en-GB"/>
        </w:rPr>
        <w:t xml:space="preserve">, it </w:t>
      </w:r>
      <w:r w:rsidR="00252088">
        <w:rPr>
          <w:sz w:val="24"/>
          <w:lang w:val="en-GB"/>
        </w:rPr>
        <w:t>was</w:t>
      </w:r>
      <w:r w:rsidR="002D27D7" w:rsidRPr="003D1E5E">
        <w:rPr>
          <w:sz w:val="24"/>
          <w:lang w:val="en-GB"/>
        </w:rPr>
        <w:t xml:space="preserve"> identified </w:t>
      </w:r>
      <w:r w:rsidR="0090038E" w:rsidRPr="003D1E5E">
        <w:rPr>
          <w:sz w:val="24"/>
          <w:lang w:val="en-GB"/>
        </w:rPr>
        <w:t xml:space="preserve">during the case studies that KPIs for </w:t>
      </w:r>
      <w:r w:rsidR="002D27D7" w:rsidRPr="003D1E5E">
        <w:rPr>
          <w:sz w:val="24"/>
          <w:lang w:val="en-GB"/>
        </w:rPr>
        <w:t xml:space="preserve">assets’ operations are not </w:t>
      </w:r>
      <w:r w:rsidR="00FC5FC6" w:rsidRPr="003D1E5E">
        <w:rPr>
          <w:sz w:val="24"/>
          <w:lang w:val="en-GB"/>
        </w:rPr>
        <w:t xml:space="preserve">capable of </w:t>
      </w:r>
      <w:r w:rsidR="002D27D7" w:rsidRPr="003D1E5E">
        <w:rPr>
          <w:sz w:val="24"/>
          <w:lang w:val="en-GB"/>
        </w:rPr>
        <w:t xml:space="preserve">accommodating </w:t>
      </w:r>
      <w:r w:rsidR="00FC5FC6" w:rsidRPr="003D1E5E">
        <w:rPr>
          <w:sz w:val="24"/>
          <w:lang w:val="en-GB"/>
        </w:rPr>
        <w:t xml:space="preserve">intensive </w:t>
      </w:r>
      <w:r w:rsidR="002D27D7" w:rsidRPr="003D1E5E">
        <w:rPr>
          <w:sz w:val="24"/>
          <w:lang w:val="en-GB"/>
        </w:rPr>
        <w:t xml:space="preserve">changes </w:t>
      </w:r>
      <w:r w:rsidR="00FC5FC6" w:rsidRPr="003D1E5E">
        <w:rPr>
          <w:sz w:val="24"/>
          <w:lang w:val="en-GB"/>
        </w:rPr>
        <w:t xml:space="preserve">throughout </w:t>
      </w:r>
      <w:r w:rsidR="002D27D7" w:rsidRPr="003D1E5E">
        <w:rPr>
          <w:sz w:val="24"/>
          <w:lang w:val="en-GB"/>
        </w:rPr>
        <w:t xml:space="preserve">a long-term contractual period. </w:t>
      </w:r>
      <w:r w:rsidR="009D6C45">
        <w:rPr>
          <w:sz w:val="24"/>
          <w:lang w:val="en-GB"/>
        </w:rPr>
        <w:t>Thus</w:t>
      </w:r>
      <w:r w:rsidR="002D27D7" w:rsidRPr="003D1E5E">
        <w:rPr>
          <w:sz w:val="24"/>
          <w:lang w:val="en-GB"/>
        </w:rPr>
        <w:t xml:space="preserve">, as </w:t>
      </w:r>
      <w:r w:rsidR="002D27D7" w:rsidRPr="003D1E5E">
        <w:rPr>
          <w:sz w:val="24"/>
          <w:lang w:val="en-GB"/>
        </w:rPr>
        <w:lastRenderedPageBreak/>
        <w:t>proposed by the Contract Manager of Project-A, a review mechanism needs to be launched into PPP projects to update the operational KPIs</w:t>
      </w:r>
      <w:r w:rsidR="00252088">
        <w:rPr>
          <w:sz w:val="24"/>
          <w:lang w:val="en-GB"/>
        </w:rPr>
        <w:t>:</w:t>
      </w:r>
    </w:p>
    <w:p w14:paraId="6B194613" w14:textId="77777777" w:rsidR="002E5F4E" w:rsidRDefault="002E5F4E" w:rsidP="00794D1E">
      <w:pPr>
        <w:spacing w:line="480" w:lineRule="auto"/>
        <w:rPr>
          <w:sz w:val="24"/>
          <w:lang w:val="en-GB"/>
        </w:rPr>
      </w:pPr>
    </w:p>
    <w:p w14:paraId="6E5FB9D1" w14:textId="77777777" w:rsidR="005F567B" w:rsidRPr="003D1E5E" w:rsidRDefault="002D27D7" w:rsidP="00D234B7">
      <w:pPr>
        <w:spacing w:line="480" w:lineRule="auto"/>
        <w:ind w:left="454" w:right="454"/>
        <w:rPr>
          <w:sz w:val="24"/>
          <w:lang w:val="en-GB"/>
        </w:rPr>
      </w:pPr>
      <w:r w:rsidRPr="003D1E5E">
        <w:rPr>
          <w:sz w:val="24"/>
          <w:lang w:val="en-GB"/>
        </w:rPr>
        <w:t>“</w:t>
      </w:r>
      <w:r w:rsidR="0041693A" w:rsidRPr="003D1E5E">
        <w:rPr>
          <w:sz w:val="24"/>
          <w:lang w:val="en-GB"/>
        </w:rPr>
        <w:t>The</w:t>
      </w:r>
      <w:r w:rsidRPr="003D1E5E">
        <w:rPr>
          <w:sz w:val="24"/>
          <w:lang w:val="en-GB"/>
        </w:rPr>
        <w:t xml:space="preserve"> contractual arrangement </w:t>
      </w:r>
      <w:r w:rsidR="0041693A" w:rsidRPr="003D1E5E">
        <w:rPr>
          <w:sz w:val="24"/>
          <w:lang w:val="en-GB"/>
        </w:rPr>
        <w:t>of our PPP project is</w:t>
      </w:r>
      <w:r w:rsidRPr="003D1E5E">
        <w:rPr>
          <w:sz w:val="24"/>
          <w:lang w:val="en-GB"/>
        </w:rPr>
        <w:t xml:space="preserve"> up to 25 years. </w:t>
      </w:r>
      <w:r w:rsidR="0041693A" w:rsidRPr="003D1E5E">
        <w:rPr>
          <w:sz w:val="24"/>
          <w:lang w:val="en-GB"/>
        </w:rPr>
        <w:t xml:space="preserve">So, a review mechanism is useful </w:t>
      </w:r>
      <w:r w:rsidRPr="003D1E5E">
        <w:rPr>
          <w:sz w:val="24"/>
          <w:lang w:val="en-GB"/>
        </w:rPr>
        <w:t>for the operational KPIs in order to ensure they will be able to accommodate fut</w:t>
      </w:r>
      <w:r w:rsidR="0041693A" w:rsidRPr="003D1E5E">
        <w:rPr>
          <w:sz w:val="24"/>
          <w:lang w:val="en-GB"/>
        </w:rPr>
        <w:t>ure social and economic changes. But</w:t>
      </w:r>
      <w:r w:rsidR="0041693A" w:rsidRPr="003D1E5E">
        <w:rPr>
          <w:sz w:val="24"/>
          <w:lang w:val="en-AU"/>
        </w:rPr>
        <w:t xml:space="preserve"> the state government obviously does not have such a robust mechanism to update them.”</w:t>
      </w:r>
    </w:p>
    <w:p w14:paraId="69687CC9" w14:textId="77777777" w:rsidR="00717145" w:rsidRDefault="00717145" w:rsidP="00794D1E">
      <w:pPr>
        <w:spacing w:line="480" w:lineRule="auto"/>
        <w:rPr>
          <w:sz w:val="24"/>
          <w:lang w:val="en-GB"/>
        </w:rPr>
      </w:pPr>
    </w:p>
    <w:p w14:paraId="68882094" w14:textId="116CFEA9" w:rsidR="00F05577" w:rsidRPr="003D1E5E" w:rsidRDefault="00EE465A" w:rsidP="00794D1E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 xml:space="preserve">A review mechanism for </w:t>
      </w:r>
      <w:r w:rsidR="00F05577" w:rsidRPr="003D1E5E">
        <w:rPr>
          <w:sz w:val="24"/>
          <w:lang w:val="en-GB"/>
        </w:rPr>
        <w:t>KPIs</w:t>
      </w:r>
      <w:r w:rsidR="00223BB9" w:rsidRPr="003D1E5E">
        <w:rPr>
          <w:sz w:val="24"/>
          <w:lang w:val="en-GB"/>
        </w:rPr>
        <w:t xml:space="preserve">, theoretically, </w:t>
      </w:r>
      <w:r w:rsidR="00FA30CD" w:rsidRPr="003D1E5E">
        <w:rPr>
          <w:sz w:val="24"/>
          <w:lang w:val="en-GB"/>
        </w:rPr>
        <w:t xml:space="preserve">can underpin </w:t>
      </w:r>
      <w:r w:rsidR="00354FA2" w:rsidRPr="003D1E5E">
        <w:rPr>
          <w:sz w:val="24"/>
          <w:lang w:val="en-GB"/>
        </w:rPr>
        <w:t>the</w:t>
      </w:r>
      <w:r w:rsidR="00FA30CD" w:rsidRPr="003D1E5E">
        <w:rPr>
          <w:sz w:val="24"/>
          <w:lang w:val="en-GB"/>
        </w:rPr>
        <w:t xml:space="preserve"> implementation</w:t>
      </w:r>
      <w:r w:rsidR="00354FA2" w:rsidRPr="003D1E5E">
        <w:rPr>
          <w:sz w:val="24"/>
          <w:lang w:val="en-GB"/>
        </w:rPr>
        <w:t xml:space="preserve"> of</w:t>
      </w:r>
      <w:r w:rsidR="00F05577" w:rsidRPr="003D1E5E">
        <w:rPr>
          <w:sz w:val="24"/>
          <w:lang w:val="en-GB"/>
        </w:rPr>
        <w:t xml:space="preserve"> a</w:t>
      </w:r>
      <w:r w:rsidR="00223BB9" w:rsidRPr="003D1E5E">
        <w:rPr>
          <w:sz w:val="24"/>
          <w:lang w:val="en-GB"/>
        </w:rPr>
        <w:t xml:space="preserve"> process-based PMS. This is because</w:t>
      </w:r>
      <w:r w:rsidR="00F05577" w:rsidRPr="003D1E5E">
        <w:rPr>
          <w:sz w:val="24"/>
          <w:lang w:val="en-GB"/>
        </w:rPr>
        <w:t xml:space="preserve"> the performance measures</w:t>
      </w:r>
      <w:r w:rsidR="00223BB9" w:rsidRPr="003D1E5E">
        <w:rPr>
          <w:sz w:val="24"/>
          <w:lang w:val="en-GB"/>
        </w:rPr>
        <w:t xml:space="preserve"> of the process-based PMSs </w:t>
      </w:r>
      <w:r w:rsidR="009F023C" w:rsidRPr="003D1E5E">
        <w:rPr>
          <w:sz w:val="24"/>
          <w:lang w:val="en-GB"/>
        </w:rPr>
        <w:t xml:space="preserve">are required to reflect the </w:t>
      </w:r>
      <w:r w:rsidR="00FA30CD" w:rsidRPr="003D1E5E">
        <w:rPr>
          <w:sz w:val="24"/>
          <w:lang w:val="en-GB"/>
        </w:rPr>
        <w:t>long-term business environment</w:t>
      </w:r>
      <w:r w:rsidR="009F023C" w:rsidRPr="003D1E5E">
        <w:rPr>
          <w:sz w:val="24"/>
          <w:lang w:val="en-GB"/>
        </w:rPr>
        <w:t xml:space="preserve"> </w:t>
      </w:r>
      <w:r w:rsidR="00223BB9" w:rsidRPr="003D1E5E">
        <w:rPr>
          <w:sz w:val="24"/>
          <w:lang w:val="en-GB"/>
        </w:rPr>
        <w:t xml:space="preserve">in which </w:t>
      </w:r>
      <w:r w:rsidR="009F023C" w:rsidRPr="003D1E5E">
        <w:rPr>
          <w:sz w:val="24"/>
          <w:lang w:val="en-GB"/>
        </w:rPr>
        <w:t>the organisation operate</w:t>
      </w:r>
      <w:r w:rsidR="009D6C45">
        <w:rPr>
          <w:sz w:val="24"/>
          <w:lang w:val="en-GB"/>
        </w:rPr>
        <w:t>s</w:t>
      </w:r>
      <w:r w:rsidR="009F023C" w:rsidRPr="003D1E5E">
        <w:rPr>
          <w:sz w:val="24"/>
          <w:lang w:val="en-GB"/>
        </w:rPr>
        <w:t xml:space="preserve"> (Neely, 1999).</w:t>
      </w:r>
      <w:r w:rsidR="00223BB9" w:rsidRPr="003D1E5E">
        <w:rPr>
          <w:sz w:val="24"/>
          <w:lang w:val="en-GB"/>
        </w:rPr>
        <w:t xml:space="preserve"> With this principle, </w:t>
      </w:r>
      <w:r w:rsidR="00FA30CD" w:rsidRPr="003D1E5E">
        <w:rPr>
          <w:sz w:val="24"/>
          <w:lang w:val="en-GB"/>
        </w:rPr>
        <w:t xml:space="preserve">a review mechanism </w:t>
      </w:r>
      <w:r w:rsidR="00252088">
        <w:rPr>
          <w:sz w:val="24"/>
          <w:lang w:val="en-GB"/>
        </w:rPr>
        <w:t>of life-cycle PMSs (in PPPs)</w:t>
      </w:r>
      <w:r w:rsidR="0080563E">
        <w:rPr>
          <w:sz w:val="24"/>
          <w:lang w:val="en-GB"/>
        </w:rPr>
        <w:t xml:space="preserve"> will help to ensure</w:t>
      </w:r>
      <w:r w:rsidR="00FA30CD" w:rsidRPr="003D1E5E">
        <w:rPr>
          <w:sz w:val="24"/>
          <w:lang w:val="en-GB"/>
        </w:rPr>
        <w:t xml:space="preserve"> </w:t>
      </w:r>
      <w:proofErr w:type="spellStart"/>
      <w:r w:rsidR="00FA30CD" w:rsidRPr="003D1E5E">
        <w:rPr>
          <w:sz w:val="24"/>
          <w:lang w:val="en-GB"/>
        </w:rPr>
        <w:t>V</w:t>
      </w:r>
      <w:r w:rsidR="00FA30CD" w:rsidRPr="003D1E5E">
        <w:rPr>
          <w:i/>
          <w:sz w:val="24"/>
          <w:lang w:val="en-GB"/>
        </w:rPr>
        <w:t>f</w:t>
      </w:r>
      <w:r w:rsidR="00FA30CD" w:rsidRPr="003D1E5E">
        <w:rPr>
          <w:sz w:val="24"/>
          <w:lang w:val="en-GB"/>
        </w:rPr>
        <w:t>M</w:t>
      </w:r>
      <w:proofErr w:type="spellEnd"/>
      <w:r w:rsidR="00FA30CD" w:rsidRPr="003D1E5E">
        <w:rPr>
          <w:sz w:val="24"/>
          <w:lang w:val="en-GB"/>
        </w:rPr>
        <w:t xml:space="preserve"> and success of the projects.</w:t>
      </w:r>
    </w:p>
    <w:p w14:paraId="4956CDBE" w14:textId="77777777" w:rsidR="006C063E" w:rsidRPr="003D1E5E" w:rsidRDefault="006C063E" w:rsidP="00AC203E">
      <w:pPr>
        <w:spacing w:line="480" w:lineRule="auto"/>
        <w:rPr>
          <w:sz w:val="24"/>
          <w:lang w:val="en-GB"/>
        </w:rPr>
      </w:pPr>
    </w:p>
    <w:p w14:paraId="221FD528" w14:textId="079C7470" w:rsidR="00C707D7" w:rsidRPr="003D1E5E" w:rsidRDefault="002C3CFF" w:rsidP="00AC203E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>A</w:t>
      </w:r>
      <w:r w:rsidR="00115A2F" w:rsidRPr="003D1E5E">
        <w:rPr>
          <w:sz w:val="24"/>
          <w:lang w:val="en-GB"/>
        </w:rPr>
        <w:t xml:space="preserve">ssessment for </w:t>
      </w:r>
      <w:proofErr w:type="spellStart"/>
      <w:r w:rsidR="00115A2F" w:rsidRPr="003D1E5E">
        <w:rPr>
          <w:sz w:val="24"/>
          <w:lang w:val="en-GB"/>
        </w:rPr>
        <w:t>V</w:t>
      </w:r>
      <w:r w:rsidR="00115A2F" w:rsidRPr="003D1E5E">
        <w:rPr>
          <w:i/>
          <w:sz w:val="24"/>
          <w:lang w:val="en-GB"/>
        </w:rPr>
        <w:t>f</w:t>
      </w:r>
      <w:r w:rsidR="00115A2F" w:rsidRPr="003D1E5E">
        <w:rPr>
          <w:sz w:val="24"/>
          <w:lang w:val="en-GB"/>
        </w:rPr>
        <w:t>M</w:t>
      </w:r>
      <w:proofErr w:type="spellEnd"/>
      <w:r w:rsidR="00115A2F" w:rsidRPr="003D1E5E">
        <w:rPr>
          <w:sz w:val="24"/>
          <w:lang w:val="en-GB"/>
        </w:rPr>
        <w:t xml:space="preserve">, as </w:t>
      </w:r>
      <w:r w:rsidRPr="003D1E5E">
        <w:rPr>
          <w:sz w:val="24"/>
          <w:lang w:val="en-GB"/>
        </w:rPr>
        <w:t>discussed</w:t>
      </w:r>
      <w:r w:rsidR="00115A2F" w:rsidRPr="003D1E5E">
        <w:rPr>
          <w:sz w:val="24"/>
          <w:lang w:val="en-GB"/>
        </w:rPr>
        <w:t xml:space="preserve"> </w:t>
      </w:r>
      <w:r w:rsidR="00AA6DFA" w:rsidRPr="003D1E5E">
        <w:rPr>
          <w:sz w:val="24"/>
          <w:lang w:val="en-GB"/>
        </w:rPr>
        <w:t>above</w:t>
      </w:r>
      <w:r w:rsidR="00115A2F" w:rsidRPr="003D1E5E">
        <w:rPr>
          <w:sz w:val="24"/>
          <w:lang w:val="en-GB"/>
        </w:rPr>
        <w:t xml:space="preserve">, is a pivotal component of </w:t>
      </w:r>
      <w:r w:rsidR="003C0D38" w:rsidRPr="003D1E5E">
        <w:rPr>
          <w:sz w:val="24"/>
          <w:lang w:val="en-GB"/>
        </w:rPr>
        <w:t xml:space="preserve">the </w:t>
      </w:r>
      <w:r w:rsidR="00115A2F" w:rsidRPr="003D1E5E">
        <w:rPr>
          <w:sz w:val="24"/>
          <w:lang w:val="en-GB"/>
        </w:rPr>
        <w:t>perform</w:t>
      </w:r>
      <w:r w:rsidR="00AC203E" w:rsidRPr="003D1E5E">
        <w:rPr>
          <w:sz w:val="24"/>
          <w:lang w:val="en-GB"/>
        </w:rPr>
        <w:t xml:space="preserve">ance evaluation system of PPPs. The Office of Government Commerce in the UK (2002) defines </w:t>
      </w:r>
      <w:proofErr w:type="spellStart"/>
      <w:r w:rsidR="00AC203E" w:rsidRPr="003D1E5E">
        <w:rPr>
          <w:sz w:val="24"/>
          <w:lang w:val="en-GB"/>
        </w:rPr>
        <w:t>V</w:t>
      </w:r>
      <w:r w:rsidR="00AC203E" w:rsidRPr="003D1E5E">
        <w:rPr>
          <w:i/>
          <w:sz w:val="24"/>
          <w:lang w:val="en-GB"/>
        </w:rPr>
        <w:t>f</w:t>
      </w:r>
      <w:r w:rsidR="00AC203E" w:rsidRPr="003D1E5E">
        <w:rPr>
          <w:sz w:val="24"/>
          <w:lang w:val="en-GB"/>
        </w:rPr>
        <w:t>M</w:t>
      </w:r>
      <w:proofErr w:type="spellEnd"/>
      <w:r w:rsidR="00AC203E" w:rsidRPr="003D1E5E">
        <w:rPr>
          <w:sz w:val="24"/>
          <w:lang w:val="en-GB"/>
        </w:rPr>
        <w:t xml:space="preserve"> as “the optimum combination of whole life cost and quality to meet the user’s requirement.” </w:t>
      </w:r>
      <w:r w:rsidR="0080563E" w:rsidRPr="003D1E5E">
        <w:rPr>
          <w:sz w:val="24"/>
          <w:lang w:val="en-GB"/>
        </w:rPr>
        <w:t>It</w:t>
      </w:r>
      <w:r w:rsidR="00AC203E" w:rsidRPr="003D1E5E">
        <w:rPr>
          <w:sz w:val="24"/>
          <w:lang w:val="en-GB"/>
        </w:rPr>
        <w:t xml:space="preserve"> is a concept relating to overall outcomes achieved, covering a wide range of issues</w:t>
      </w:r>
      <w:r w:rsidR="00C707D7" w:rsidRPr="003D1E5E">
        <w:rPr>
          <w:sz w:val="24"/>
          <w:lang w:val="en-GB"/>
        </w:rPr>
        <w:t xml:space="preserve"> involving </w:t>
      </w:r>
      <w:r w:rsidR="00AC203E" w:rsidRPr="003D1E5E">
        <w:rPr>
          <w:sz w:val="24"/>
          <w:lang w:val="en-GB"/>
        </w:rPr>
        <w:t xml:space="preserve">life-cycle costs, </w:t>
      </w:r>
      <w:r w:rsidR="00C707D7" w:rsidRPr="003D1E5E">
        <w:rPr>
          <w:sz w:val="24"/>
          <w:lang w:val="en-GB"/>
        </w:rPr>
        <w:t>physical and service quality</w:t>
      </w:r>
      <w:r w:rsidR="00AC203E" w:rsidRPr="003D1E5E">
        <w:rPr>
          <w:sz w:val="24"/>
          <w:lang w:val="en-GB"/>
        </w:rPr>
        <w:t>, maintainability, social benefits and sustainability (Department of Treasury and Finance</w:t>
      </w:r>
      <w:r w:rsidR="00593660" w:rsidRPr="003D1E5E">
        <w:rPr>
          <w:sz w:val="24"/>
          <w:lang w:val="en-GB"/>
        </w:rPr>
        <w:t xml:space="preserve"> Victoria</w:t>
      </w:r>
      <w:r w:rsidR="00AC203E" w:rsidRPr="003D1E5E">
        <w:rPr>
          <w:sz w:val="24"/>
          <w:lang w:val="en-GB"/>
        </w:rPr>
        <w:t xml:space="preserve">, 2007). </w:t>
      </w:r>
      <w:r w:rsidRPr="003D1E5E">
        <w:rPr>
          <w:sz w:val="24"/>
          <w:lang w:val="en-GB"/>
        </w:rPr>
        <w:t>Nonetheless</w:t>
      </w:r>
      <w:r w:rsidR="00AC203E" w:rsidRPr="003D1E5E">
        <w:rPr>
          <w:sz w:val="24"/>
          <w:lang w:val="en-GB"/>
        </w:rPr>
        <w:t xml:space="preserve">, </w:t>
      </w:r>
      <w:r w:rsidR="00B67F82" w:rsidRPr="003D1E5E">
        <w:rPr>
          <w:sz w:val="24"/>
          <w:lang w:val="en-GB"/>
        </w:rPr>
        <w:t xml:space="preserve">the </w:t>
      </w:r>
      <w:r w:rsidR="00AC203E" w:rsidRPr="003D1E5E">
        <w:rPr>
          <w:sz w:val="24"/>
          <w:lang w:val="en-GB"/>
        </w:rPr>
        <w:t>PSC</w:t>
      </w:r>
      <w:r w:rsidR="003C0D38" w:rsidRPr="003D1E5E">
        <w:rPr>
          <w:sz w:val="24"/>
          <w:lang w:val="en-GB"/>
        </w:rPr>
        <w:t>,</w:t>
      </w:r>
      <w:r w:rsidR="00AC203E" w:rsidRPr="003D1E5E">
        <w:rPr>
          <w:sz w:val="24"/>
          <w:lang w:val="en-GB"/>
        </w:rPr>
        <w:t xml:space="preserve"> </w:t>
      </w:r>
      <w:r w:rsidR="003C0D38" w:rsidRPr="003D1E5E">
        <w:rPr>
          <w:sz w:val="24"/>
          <w:lang w:val="en-GB"/>
        </w:rPr>
        <w:t>which is</w:t>
      </w:r>
      <w:r w:rsidR="00AC203E" w:rsidRPr="003D1E5E">
        <w:rPr>
          <w:sz w:val="24"/>
          <w:lang w:val="en-GB"/>
        </w:rPr>
        <w:t xml:space="preserve"> widely applied to P</w:t>
      </w:r>
      <w:r w:rsidR="00742A0A" w:rsidRPr="003D1E5E">
        <w:rPr>
          <w:sz w:val="24"/>
          <w:lang w:val="en-GB"/>
        </w:rPr>
        <w:t>PPs</w:t>
      </w:r>
      <w:r w:rsidR="003C0D38" w:rsidRPr="003D1E5E">
        <w:rPr>
          <w:sz w:val="24"/>
          <w:lang w:val="en-GB"/>
        </w:rPr>
        <w:t>,</w:t>
      </w:r>
      <w:r w:rsidR="00742A0A" w:rsidRPr="003D1E5E">
        <w:rPr>
          <w:sz w:val="24"/>
          <w:lang w:val="en-GB"/>
        </w:rPr>
        <w:t xml:space="preserve"> </w:t>
      </w:r>
      <w:r w:rsidR="003C0D38" w:rsidRPr="003D1E5E">
        <w:rPr>
          <w:sz w:val="24"/>
          <w:lang w:val="en-GB"/>
        </w:rPr>
        <w:t>is</w:t>
      </w:r>
      <w:r w:rsidR="00AC203E" w:rsidRPr="003D1E5E">
        <w:rPr>
          <w:sz w:val="24"/>
          <w:lang w:val="en-GB"/>
        </w:rPr>
        <w:t xml:space="preserve"> </w:t>
      </w:r>
      <w:r w:rsidR="00B67F82" w:rsidRPr="003D1E5E">
        <w:rPr>
          <w:sz w:val="24"/>
          <w:lang w:val="en-GB"/>
        </w:rPr>
        <w:t xml:space="preserve">a </w:t>
      </w:r>
      <w:r w:rsidR="00AC203E" w:rsidRPr="003D1E5E">
        <w:rPr>
          <w:sz w:val="24"/>
          <w:lang w:val="en-GB"/>
        </w:rPr>
        <w:t>purely cost-based assessment, and</w:t>
      </w:r>
      <w:r w:rsidR="00C707D7" w:rsidRPr="003D1E5E">
        <w:rPr>
          <w:sz w:val="24"/>
          <w:lang w:val="en-GB"/>
        </w:rPr>
        <w:t xml:space="preserve"> </w:t>
      </w:r>
      <w:r w:rsidR="00DF3C4B" w:rsidRPr="003D1E5E">
        <w:rPr>
          <w:sz w:val="24"/>
          <w:lang w:val="en-GB"/>
        </w:rPr>
        <w:t>thus</w:t>
      </w:r>
      <w:r w:rsidR="00AC203E" w:rsidRPr="003D1E5E">
        <w:rPr>
          <w:sz w:val="24"/>
          <w:lang w:val="en-GB"/>
        </w:rPr>
        <w:t xml:space="preserve"> it </w:t>
      </w:r>
      <w:r w:rsidR="00DF3C4B" w:rsidRPr="003D1E5E">
        <w:rPr>
          <w:sz w:val="24"/>
          <w:lang w:val="en-GB"/>
        </w:rPr>
        <w:t>largely</w:t>
      </w:r>
      <w:r w:rsidR="00AC203E" w:rsidRPr="003D1E5E">
        <w:rPr>
          <w:sz w:val="24"/>
          <w:lang w:val="en-GB"/>
        </w:rPr>
        <w:t xml:space="preserve"> ignores </w:t>
      </w:r>
      <w:r w:rsidR="00C707D7" w:rsidRPr="003D1E5E">
        <w:rPr>
          <w:sz w:val="24"/>
          <w:lang w:val="en-GB"/>
        </w:rPr>
        <w:t xml:space="preserve">non-quantitative </w:t>
      </w:r>
      <w:r w:rsidR="0080563E" w:rsidRPr="003D1E5E">
        <w:rPr>
          <w:sz w:val="24"/>
          <w:lang w:val="en-GB"/>
        </w:rPr>
        <w:t>issues</w:t>
      </w:r>
      <w:r w:rsidR="00C707D7" w:rsidRPr="003D1E5E">
        <w:rPr>
          <w:sz w:val="24"/>
          <w:lang w:val="en-GB"/>
        </w:rPr>
        <w:t xml:space="preserve">. </w:t>
      </w:r>
      <w:r w:rsidR="00742A0A" w:rsidRPr="003D1E5E">
        <w:rPr>
          <w:sz w:val="24"/>
          <w:lang w:val="en-GB"/>
        </w:rPr>
        <w:t xml:space="preserve">For instance, in the case projects, net present values (NPVs) of the projects </w:t>
      </w:r>
      <w:r w:rsidR="003C0D38" w:rsidRPr="003D1E5E">
        <w:rPr>
          <w:sz w:val="24"/>
          <w:lang w:val="en-GB"/>
        </w:rPr>
        <w:t>were</w:t>
      </w:r>
      <w:r w:rsidR="00742A0A" w:rsidRPr="003D1E5E">
        <w:rPr>
          <w:sz w:val="24"/>
          <w:lang w:val="en-GB"/>
        </w:rPr>
        <w:t xml:space="preserve"> adopted as the key criteria by decision makers in state government to determine whether</w:t>
      </w:r>
      <w:r w:rsidR="003C0D38" w:rsidRPr="003D1E5E">
        <w:rPr>
          <w:sz w:val="24"/>
          <w:lang w:val="en-GB"/>
        </w:rPr>
        <w:t xml:space="preserve"> a</w:t>
      </w:r>
      <w:r w:rsidR="00742A0A" w:rsidRPr="003D1E5E">
        <w:rPr>
          <w:sz w:val="24"/>
          <w:lang w:val="en-GB"/>
        </w:rPr>
        <w:t xml:space="preserve"> PPP would be a feasible way for procuring the public assets, though limited non-financial benefits of services (quality and range) had </w:t>
      </w:r>
      <w:r w:rsidR="00742A0A" w:rsidRPr="003D1E5E">
        <w:rPr>
          <w:sz w:val="24"/>
          <w:lang w:val="en-GB"/>
        </w:rPr>
        <w:lastRenderedPageBreak/>
        <w:t>been considered</w:t>
      </w:r>
      <w:r w:rsidR="00057E08" w:rsidRPr="003D1E5E">
        <w:rPr>
          <w:sz w:val="24"/>
          <w:lang w:val="en-GB"/>
        </w:rPr>
        <w:t xml:space="preserve"> in Project-B</w:t>
      </w:r>
      <w:r w:rsidR="00742A0A" w:rsidRPr="003D1E5E">
        <w:rPr>
          <w:sz w:val="24"/>
          <w:lang w:val="en-GB"/>
        </w:rPr>
        <w:t xml:space="preserve">. </w:t>
      </w:r>
      <w:r w:rsidR="003C0D38" w:rsidRPr="002E5F4E">
        <w:rPr>
          <w:sz w:val="24"/>
          <w:lang w:val="en-GB"/>
        </w:rPr>
        <w:t>A</w:t>
      </w:r>
      <w:r w:rsidR="00AA6104" w:rsidRPr="002E5F4E">
        <w:rPr>
          <w:sz w:val="24"/>
          <w:lang w:val="en-GB"/>
        </w:rPr>
        <w:t xml:space="preserve"> </w:t>
      </w:r>
      <w:r w:rsidR="00057E08" w:rsidRPr="002E5F4E">
        <w:rPr>
          <w:sz w:val="24"/>
          <w:lang w:val="en-GB"/>
        </w:rPr>
        <w:t>broad</w:t>
      </w:r>
      <w:r w:rsidR="00AA6104" w:rsidRPr="002E5F4E">
        <w:rPr>
          <w:sz w:val="24"/>
          <w:lang w:val="en-GB"/>
        </w:rPr>
        <w:t xml:space="preserve"> life-cycle </w:t>
      </w:r>
      <w:proofErr w:type="spellStart"/>
      <w:r w:rsidR="00AA6104" w:rsidRPr="002E5F4E">
        <w:rPr>
          <w:sz w:val="24"/>
          <w:lang w:val="en-GB"/>
        </w:rPr>
        <w:t>V</w:t>
      </w:r>
      <w:r w:rsidR="00AA6104" w:rsidRPr="002E5F4E">
        <w:rPr>
          <w:i/>
          <w:sz w:val="24"/>
          <w:lang w:val="en-GB"/>
        </w:rPr>
        <w:t>f</w:t>
      </w:r>
      <w:r w:rsidR="00AA6104" w:rsidRPr="002E5F4E">
        <w:rPr>
          <w:sz w:val="24"/>
          <w:lang w:val="en-GB"/>
        </w:rPr>
        <w:t>M</w:t>
      </w:r>
      <w:proofErr w:type="spellEnd"/>
      <w:r w:rsidR="00AA6104" w:rsidRPr="002E5F4E">
        <w:rPr>
          <w:sz w:val="24"/>
          <w:lang w:val="en-GB"/>
        </w:rPr>
        <w:t xml:space="preserve"> assessment with consideration of both qualitative and quantita</w:t>
      </w:r>
      <w:r w:rsidR="00057E08" w:rsidRPr="002E5F4E">
        <w:rPr>
          <w:sz w:val="24"/>
          <w:lang w:val="en-GB"/>
        </w:rPr>
        <w:t xml:space="preserve">tive </w:t>
      </w:r>
      <w:r w:rsidR="009F108A" w:rsidRPr="002E5F4E">
        <w:rPr>
          <w:sz w:val="24"/>
          <w:lang w:val="en-GB"/>
        </w:rPr>
        <w:t>issues</w:t>
      </w:r>
      <w:r w:rsidR="00922AC9" w:rsidRPr="002E5F4E">
        <w:rPr>
          <w:sz w:val="24"/>
          <w:lang w:val="en-GB"/>
        </w:rPr>
        <w:t xml:space="preserve"> should be proposed and developed for PPPs. </w:t>
      </w:r>
      <w:r w:rsidR="004B52D7" w:rsidRPr="002E5F4E">
        <w:rPr>
          <w:sz w:val="24"/>
          <w:lang w:val="en-GB"/>
        </w:rPr>
        <w:t xml:space="preserve">Such issues </w:t>
      </w:r>
      <w:r w:rsidR="00922AC9" w:rsidRPr="002E5F4E">
        <w:rPr>
          <w:sz w:val="24"/>
          <w:lang w:val="en-GB"/>
        </w:rPr>
        <w:t xml:space="preserve">include </w:t>
      </w:r>
      <w:r w:rsidR="00057E08" w:rsidRPr="002E5F4E">
        <w:rPr>
          <w:sz w:val="24"/>
          <w:lang w:val="en-GB"/>
        </w:rPr>
        <w:t>whole-</w:t>
      </w:r>
      <w:r w:rsidR="00AA6104" w:rsidRPr="002E5F4E">
        <w:rPr>
          <w:sz w:val="24"/>
          <w:lang w:val="en-GB"/>
        </w:rPr>
        <w:t>life cost, physical quality, service quality and range, asset’s conditions (e.g., maintainability</w:t>
      </w:r>
      <w:r w:rsidR="00DF3C4B" w:rsidRPr="002E5F4E">
        <w:rPr>
          <w:sz w:val="24"/>
          <w:lang w:val="en-GB"/>
        </w:rPr>
        <w:t xml:space="preserve"> and sustainability) and social or </w:t>
      </w:r>
      <w:r w:rsidR="00AA6104" w:rsidRPr="002E5F4E">
        <w:rPr>
          <w:sz w:val="24"/>
          <w:lang w:val="en-GB"/>
        </w:rPr>
        <w:t>economic impacts on</w:t>
      </w:r>
      <w:r w:rsidR="00922AC9" w:rsidRPr="002E5F4E">
        <w:rPr>
          <w:sz w:val="24"/>
          <w:lang w:val="en-GB"/>
        </w:rPr>
        <w:t xml:space="preserve"> local community and the public</w:t>
      </w:r>
      <w:r w:rsidR="00AA6104" w:rsidRPr="002E5F4E">
        <w:rPr>
          <w:sz w:val="24"/>
          <w:lang w:val="en-GB"/>
        </w:rPr>
        <w:t>.</w:t>
      </w:r>
      <w:r w:rsidR="00D00AB9" w:rsidRPr="003D1E5E">
        <w:rPr>
          <w:sz w:val="24"/>
          <w:lang w:val="en-GB"/>
        </w:rPr>
        <w:t xml:space="preserve"> This view </w:t>
      </w:r>
      <w:r w:rsidR="009E6288">
        <w:rPr>
          <w:sz w:val="24"/>
          <w:lang w:val="en-GB"/>
        </w:rPr>
        <w:t>was</w:t>
      </w:r>
      <w:r w:rsidR="009E6288" w:rsidRPr="003D1E5E">
        <w:rPr>
          <w:sz w:val="24"/>
          <w:lang w:val="en-GB"/>
        </w:rPr>
        <w:t xml:space="preserve"> </w:t>
      </w:r>
      <w:r w:rsidR="009E6288">
        <w:rPr>
          <w:sz w:val="24"/>
          <w:lang w:val="en-GB"/>
        </w:rPr>
        <w:t>confirmed</w:t>
      </w:r>
      <w:r w:rsidR="009E6288" w:rsidRPr="003D1E5E">
        <w:rPr>
          <w:sz w:val="24"/>
          <w:lang w:val="en-GB"/>
        </w:rPr>
        <w:t xml:space="preserve"> </w:t>
      </w:r>
      <w:r w:rsidR="00D00AB9" w:rsidRPr="003D1E5E">
        <w:rPr>
          <w:sz w:val="24"/>
          <w:lang w:val="en-GB"/>
        </w:rPr>
        <w:t xml:space="preserve">by the two interviewees </w:t>
      </w:r>
      <w:r w:rsidR="0080563E">
        <w:rPr>
          <w:sz w:val="24"/>
          <w:lang w:val="en-GB"/>
        </w:rPr>
        <w:t>who</w:t>
      </w:r>
      <w:r w:rsidR="009E6288">
        <w:rPr>
          <w:sz w:val="24"/>
          <w:lang w:val="en-GB"/>
        </w:rPr>
        <w:t xml:space="preserve"> </w:t>
      </w:r>
      <w:r w:rsidR="00AA6DFA" w:rsidRPr="003D1E5E">
        <w:rPr>
          <w:sz w:val="24"/>
          <w:lang w:val="en-GB"/>
        </w:rPr>
        <w:t xml:space="preserve">claimed that it is necessary </w:t>
      </w:r>
      <w:r w:rsidR="00DF3C4B" w:rsidRPr="003D1E5E">
        <w:rPr>
          <w:sz w:val="24"/>
          <w:lang w:val="en-GB"/>
        </w:rPr>
        <w:t xml:space="preserve">to shift </w:t>
      </w:r>
      <w:proofErr w:type="spellStart"/>
      <w:r w:rsidR="00DF3C4B" w:rsidRPr="003D1E5E">
        <w:rPr>
          <w:sz w:val="24"/>
          <w:lang w:val="en-GB"/>
        </w:rPr>
        <w:t>V</w:t>
      </w:r>
      <w:r w:rsidR="00DF3C4B" w:rsidRPr="003D1E5E">
        <w:rPr>
          <w:i/>
          <w:sz w:val="24"/>
          <w:lang w:val="en-GB"/>
        </w:rPr>
        <w:t>f</w:t>
      </w:r>
      <w:r w:rsidR="00DF3C4B" w:rsidRPr="003D1E5E">
        <w:rPr>
          <w:sz w:val="24"/>
          <w:lang w:val="en-GB"/>
        </w:rPr>
        <w:t>M</w:t>
      </w:r>
      <w:proofErr w:type="spellEnd"/>
      <w:r w:rsidR="00DF3C4B" w:rsidRPr="003D1E5E">
        <w:rPr>
          <w:sz w:val="24"/>
          <w:lang w:val="en-GB"/>
        </w:rPr>
        <w:t xml:space="preserve"> assessment of PPPs from a cost-</w:t>
      </w:r>
      <w:r w:rsidR="00AA6DFA" w:rsidRPr="003D1E5E">
        <w:rPr>
          <w:sz w:val="24"/>
          <w:lang w:val="en-GB"/>
        </w:rPr>
        <w:t>based</w:t>
      </w:r>
      <w:r w:rsidR="00057E08" w:rsidRPr="003D1E5E">
        <w:rPr>
          <w:sz w:val="24"/>
          <w:lang w:val="en-GB"/>
        </w:rPr>
        <w:t xml:space="preserve"> evaluation to a whole-</w:t>
      </w:r>
      <w:r w:rsidR="00DF3C4B" w:rsidRPr="003D1E5E">
        <w:rPr>
          <w:sz w:val="24"/>
          <w:lang w:val="en-GB"/>
        </w:rPr>
        <w:t>life measurement conducted within both quantitative and qualitative contexts.</w:t>
      </w:r>
    </w:p>
    <w:p w14:paraId="3A411EEC" w14:textId="77777777" w:rsidR="00E739AC" w:rsidRPr="003D1E5E" w:rsidRDefault="00E739AC" w:rsidP="00B67F82">
      <w:pPr>
        <w:spacing w:line="480" w:lineRule="auto"/>
        <w:rPr>
          <w:sz w:val="24"/>
          <w:lang w:val="en-GB"/>
        </w:rPr>
      </w:pPr>
    </w:p>
    <w:p w14:paraId="6F4C10D5" w14:textId="63653D18" w:rsidR="004B52D7" w:rsidRDefault="00537E88" w:rsidP="00B67F82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 xml:space="preserve">It is </w:t>
      </w:r>
      <w:r w:rsidR="00AA6DFA" w:rsidRPr="003D1E5E">
        <w:rPr>
          <w:sz w:val="24"/>
          <w:lang w:val="en-GB"/>
        </w:rPr>
        <w:t xml:space="preserve">also </w:t>
      </w:r>
      <w:r w:rsidRPr="003D1E5E">
        <w:rPr>
          <w:sz w:val="24"/>
          <w:lang w:val="en-GB"/>
        </w:rPr>
        <w:t xml:space="preserve">noted </w:t>
      </w:r>
      <w:r w:rsidR="00C34B15" w:rsidRPr="003D1E5E">
        <w:rPr>
          <w:sz w:val="24"/>
          <w:lang w:val="en-GB"/>
        </w:rPr>
        <w:t xml:space="preserve">from the empirical findings </w:t>
      </w:r>
      <w:r w:rsidRPr="003D1E5E">
        <w:rPr>
          <w:sz w:val="24"/>
          <w:lang w:val="en-GB"/>
        </w:rPr>
        <w:t xml:space="preserve">that </w:t>
      </w:r>
      <w:r w:rsidR="00C34B15" w:rsidRPr="003D1E5E">
        <w:rPr>
          <w:sz w:val="24"/>
          <w:lang w:val="en-GB"/>
        </w:rPr>
        <w:t>ineffective and inefficient</w:t>
      </w:r>
      <w:r w:rsidR="00AA6DFA" w:rsidRPr="003D1E5E">
        <w:rPr>
          <w:sz w:val="24"/>
          <w:lang w:val="en-GB"/>
        </w:rPr>
        <w:t xml:space="preserve"> internal</w:t>
      </w:r>
      <w:r w:rsidR="00C34B15" w:rsidRPr="003D1E5E">
        <w:rPr>
          <w:sz w:val="24"/>
          <w:lang w:val="en-GB"/>
        </w:rPr>
        <w:t xml:space="preserve"> learning is a weakness of </w:t>
      </w:r>
      <w:r w:rsidR="000E53F7" w:rsidRPr="003D1E5E">
        <w:rPr>
          <w:sz w:val="24"/>
          <w:lang w:val="en-GB"/>
        </w:rPr>
        <w:t xml:space="preserve">the </w:t>
      </w:r>
      <w:r w:rsidR="00C34B15" w:rsidRPr="003D1E5E">
        <w:rPr>
          <w:sz w:val="24"/>
          <w:lang w:val="en-GB"/>
        </w:rPr>
        <w:t xml:space="preserve">performance evaluation systems of the case projects. </w:t>
      </w:r>
      <w:r w:rsidR="000E53F7" w:rsidRPr="003D1E5E">
        <w:rPr>
          <w:sz w:val="24"/>
          <w:lang w:val="en-GB"/>
        </w:rPr>
        <w:t xml:space="preserve">Theoretically, </w:t>
      </w:r>
      <w:r w:rsidR="000E53F7" w:rsidRPr="00E64CEF">
        <w:rPr>
          <w:color w:val="000000" w:themeColor="text1"/>
          <w:sz w:val="24"/>
          <w:lang w:val="en-GB"/>
        </w:rPr>
        <w:t>organisational learning is an enabler for bu</w:t>
      </w:r>
      <w:r w:rsidR="006E1011" w:rsidRPr="00E64CEF">
        <w:rPr>
          <w:color w:val="000000" w:themeColor="text1"/>
          <w:sz w:val="24"/>
          <w:lang w:val="en-GB"/>
        </w:rPr>
        <w:t>siness growth and success and</w:t>
      </w:r>
      <w:r w:rsidR="000E53F7" w:rsidRPr="00E64CEF">
        <w:rPr>
          <w:color w:val="000000" w:themeColor="text1"/>
          <w:sz w:val="24"/>
          <w:lang w:val="en-GB"/>
        </w:rPr>
        <w:t xml:space="preserve"> maintains a vital role in the</w:t>
      </w:r>
      <w:r w:rsidR="00A05F6C" w:rsidRPr="00E64CEF">
        <w:rPr>
          <w:color w:val="000000" w:themeColor="text1"/>
          <w:sz w:val="24"/>
          <w:lang w:val="en-GB"/>
        </w:rPr>
        <w:t xml:space="preserve"> process-based</w:t>
      </w:r>
      <w:r w:rsidR="000E53F7" w:rsidRPr="00E64CEF">
        <w:rPr>
          <w:color w:val="000000" w:themeColor="text1"/>
          <w:sz w:val="24"/>
          <w:lang w:val="en-GB"/>
        </w:rPr>
        <w:t xml:space="preserve"> performance measurement of the organisation</w:t>
      </w:r>
      <w:r w:rsidR="006E1011" w:rsidRPr="00E64CEF">
        <w:rPr>
          <w:color w:val="000000" w:themeColor="text1"/>
          <w:sz w:val="24"/>
          <w:lang w:val="en-GB"/>
        </w:rPr>
        <w:t xml:space="preserve"> (Love </w:t>
      </w:r>
      <w:r w:rsidR="006E1011" w:rsidRPr="00E64CEF">
        <w:rPr>
          <w:i/>
          <w:color w:val="000000" w:themeColor="text1"/>
          <w:sz w:val="24"/>
          <w:lang w:val="en-GB"/>
        </w:rPr>
        <w:t>et al.</w:t>
      </w:r>
      <w:r w:rsidR="006E1011" w:rsidRPr="00E64CEF">
        <w:rPr>
          <w:color w:val="000000" w:themeColor="text1"/>
          <w:sz w:val="24"/>
          <w:lang w:val="en-GB"/>
        </w:rPr>
        <w:t>, 200</w:t>
      </w:r>
      <w:r w:rsidR="00595AA6" w:rsidRPr="00E64CEF">
        <w:rPr>
          <w:color w:val="000000" w:themeColor="text1"/>
          <w:sz w:val="24"/>
          <w:lang w:val="en-GB"/>
        </w:rPr>
        <w:t>4</w:t>
      </w:r>
      <w:r w:rsidR="006E1011" w:rsidRPr="00E64CEF">
        <w:rPr>
          <w:color w:val="000000" w:themeColor="text1"/>
          <w:sz w:val="24"/>
          <w:lang w:val="en-GB"/>
        </w:rPr>
        <w:t xml:space="preserve">). </w:t>
      </w:r>
      <w:proofErr w:type="spellStart"/>
      <w:r w:rsidR="006E1011" w:rsidRPr="00E64CEF">
        <w:rPr>
          <w:color w:val="000000" w:themeColor="text1"/>
          <w:sz w:val="24"/>
          <w:lang w:val="en-GB"/>
        </w:rPr>
        <w:t>Kululanga</w:t>
      </w:r>
      <w:proofErr w:type="spellEnd"/>
      <w:r w:rsidR="006E1011" w:rsidRPr="00E64CEF">
        <w:rPr>
          <w:color w:val="000000" w:themeColor="text1"/>
          <w:sz w:val="24"/>
          <w:lang w:val="en-GB"/>
        </w:rPr>
        <w:t xml:space="preserve"> </w:t>
      </w:r>
      <w:r w:rsidR="006E1011" w:rsidRPr="00E64CEF">
        <w:rPr>
          <w:i/>
          <w:color w:val="000000" w:themeColor="text1"/>
          <w:sz w:val="24"/>
          <w:lang w:val="en-GB"/>
        </w:rPr>
        <w:t>et al.</w:t>
      </w:r>
      <w:r w:rsidR="006E1011" w:rsidRPr="00E64CEF">
        <w:rPr>
          <w:color w:val="000000" w:themeColor="text1"/>
          <w:sz w:val="24"/>
          <w:lang w:val="en-GB"/>
        </w:rPr>
        <w:t xml:space="preserve"> (2001) </w:t>
      </w:r>
      <w:r w:rsidR="00595AA6" w:rsidRPr="00E64CEF">
        <w:rPr>
          <w:color w:val="000000" w:themeColor="text1"/>
          <w:sz w:val="24"/>
          <w:lang w:val="en-GB"/>
        </w:rPr>
        <w:t>also claim</w:t>
      </w:r>
      <w:r w:rsidR="006E1011" w:rsidRPr="00E64CEF">
        <w:rPr>
          <w:color w:val="000000" w:themeColor="text1"/>
          <w:sz w:val="24"/>
          <w:lang w:val="en-GB"/>
        </w:rPr>
        <w:t xml:space="preserve"> that organisational learning </w:t>
      </w:r>
      <w:r w:rsidR="009E6288" w:rsidRPr="00E64CEF">
        <w:rPr>
          <w:color w:val="000000" w:themeColor="text1"/>
          <w:sz w:val="24"/>
          <w:lang w:val="en-GB"/>
        </w:rPr>
        <w:t>provides</w:t>
      </w:r>
      <w:r w:rsidR="00A05F6C" w:rsidRPr="00E64CEF">
        <w:rPr>
          <w:color w:val="000000" w:themeColor="text1"/>
          <w:sz w:val="24"/>
          <w:lang w:val="en-GB"/>
        </w:rPr>
        <w:t xml:space="preserve"> a vehicle</w:t>
      </w:r>
      <w:r w:rsidR="004B52D7">
        <w:rPr>
          <w:color w:val="000000" w:themeColor="text1"/>
          <w:sz w:val="24"/>
          <w:lang w:val="en-GB"/>
        </w:rPr>
        <w:t xml:space="preserve">” </w:t>
      </w:r>
      <w:r w:rsidR="00A05F6C" w:rsidRPr="00E64CEF">
        <w:rPr>
          <w:color w:val="000000" w:themeColor="text1"/>
          <w:sz w:val="24"/>
          <w:lang w:val="en-GB"/>
        </w:rPr>
        <w:t xml:space="preserve">for delivering continuous improvement and incremental innovation. </w:t>
      </w:r>
      <w:r w:rsidR="00A05F6C" w:rsidRPr="003D1E5E">
        <w:rPr>
          <w:sz w:val="24"/>
          <w:lang w:val="en-GB"/>
        </w:rPr>
        <w:t xml:space="preserve">This implies that the </w:t>
      </w:r>
      <w:r w:rsidR="004B52D7">
        <w:rPr>
          <w:sz w:val="24"/>
          <w:lang w:val="en-GB"/>
        </w:rPr>
        <w:t>“</w:t>
      </w:r>
      <w:r w:rsidR="00A05F6C" w:rsidRPr="003D1E5E">
        <w:rPr>
          <w:sz w:val="24"/>
          <w:lang w:val="en-GB"/>
        </w:rPr>
        <w:t>mechanisms</w:t>
      </w:r>
      <w:r w:rsidR="004B52D7">
        <w:rPr>
          <w:sz w:val="24"/>
          <w:lang w:val="en-GB"/>
        </w:rPr>
        <w:t xml:space="preserve">” </w:t>
      </w:r>
      <w:r w:rsidR="00A05F6C" w:rsidRPr="003D1E5E">
        <w:rPr>
          <w:sz w:val="24"/>
          <w:lang w:val="en-GB"/>
        </w:rPr>
        <w:t xml:space="preserve">that stimulate effective and efficient learning must be integrated into the entire business process of the organisation to enhance </w:t>
      </w:r>
      <w:r w:rsidR="009E6288">
        <w:rPr>
          <w:sz w:val="24"/>
          <w:lang w:val="en-GB"/>
        </w:rPr>
        <w:t>their</w:t>
      </w:r>
      <w:r w:rsidR="00A05F6C" w:rsidRPr="003D1E5E">
        <w:rPr>
          <w:sz w:val="24"/>
          <w:lang w:val="en-GB"/>
        </w:rPr>
        <w:t xml:space="preserve"> ability </w:t>
      </w:r>
      <w:r w:rsidR="009E6288">
        <w:rPr>
          <w:sz w:val="24"/>
          <w:lang w:val="en-GB"/>
        </w:rPr>
        <w:t>to</w:t>
      </w:r>
      <w:r w:rsidR="009E6288" w:rsidRPr="003D1E5E">
        <w:rPr>
          <w:sz w:val="24"/>
          <w:lang w:val="en-GB"/>
        </w:rPr>
        <w:t xml:space="preserve"> captur</w:t>
      </w:r>
      <w:r w:rsidR="009E6288">
        <w:rPr>
          <w:sz w:val="24"/>
          <w:lang w:val="en-GB"/>
        </w:rPr>
        <w:t>e</w:t>
      </w:r>
      <w:r w:rsidR="009E6288" w:rsidRPr="003D1E5E">
        <w:rPr>
          <w:sz w:val="24"/>
          <w:lang w:val="en-GB"/>
        </w:rPr>
        <w:t xml:space="preserve"> </w:t>
      </w:r>
      <w:r w:rsidR="00A05F6C" w:rsidRPr="003D1E5E">
        <w:rPr>
          <w:sz w:val="24"/>
          <w:lang w:val="en-GB"/>
        </w:rPr>
        <w:t xml:space="preserve">and absorb </w:t>
      </w:r>
      <w:r w:rsidR="004B52D7">
        <w:rPr>
          <w:sz w:val="24"/>
          <w:lang w:val="en-GB"/>
        </w:rPr>
        <w:t>“</w:t>
      </w:r>
      <w:r w:rsidR="00A05F6C" w:rsidRPr="003D1E5E">
        <w:rPr>
          <w:sz w:val="24"/>
          <w:lang w:val="en-GB"/>
        </w:rPr>
        <w:t>lessons</w:t>
      </w:r>
      <w:r w:rsidR="004B52D7">
        <w:rPr>
          <w:sz w:val="24"/>
          <w:lang w:val="en-GB"/>
        </w:rPr>
        <w:t xml:space="preserve">” </w:t>
      </w:r>
      <w:r w:rsidR="00A05F6C" w:rsidRPr="003D1E5E">
        <w:rPr>
          <w:sz w:val="24"/>
          <w:lang w:val="en-GB"/>
        </w:rPr>
        <w:t xml:space="preserve">learned. </w:t>
      </w:r>
      <w:r w:rsidR="009F108A" w:rsidRPr="002E5F4E">
        <w:rPr>
          <w:sz w:val="24"/>
          <w:lang w:val="en-GB"/>
        </w:rPr>
        <w:t>A</w:t>
      </w:r>
      <w:r w:rsidR="00A05F6C" w:rsidRPr="002E5F4E">
        <w:rPr>
          <w:sz w:val="24"/>
          <w:lang w:val="en-GB"/>
        </w:rPr>
        <w:t xml:space="preserve">s stated by the Procurement Director (PD-A&amp;B), the public authority that </w:t>
      </w:r>
      <w:r w:rsidR="009E6288" w:rsidRPr="002E5F4E">
        <w:rPr>
          <w:sz w:val="24"/>
          <w:lang w:val="en-GB"/>
        </w:rPr>
        <w:t xml:space="preserve">oversaw </w:t>
      </w:r>
      <w:r w:rsidR="00A05F6C" w:rsidRPr="002E5F4E">
        <w:rPr>
          <w:sz w:val="24"/>
          <w:lang w:val="en-GB"/>
        </w:rPr>
        <w:t xml:space="preserve">the delivery progress of Projects A and B </w:t>
      </w:r>
      <w:r w:rsidR="009E6288" w:rsidRPr="002E5F4E">
        <w:rPr>
          <w:sz w:val="24"/>
          <w:lang w:val="en-GB"/>
        </w:rPr>
        <w:t xml:space="preserve">had </w:t>
      </w:r>
      <w:r w:rsidR="00A05F6C" w:rsidRPr="002E5F4E">
        <w:rPr>
          <w:sz w:val="24"/>
          <w:lang w:val="en-GB"/>
        </w:rPr>
        <w:t>already initiated actions to improve and accelerat</w:t>
      </w:r>
      <w:r w:rsidR="000818C4" w:rsidRPr="002E5F4E">
        <w:rPr>
          <w:sz w:val="24"/>
          <w:lang w:val="en-GB"/>
        </w:rPr>
        <w:t>e its in</w:t>
      </w:r>
      <w:r w:rsidR="004B52D7" w:rsidRPr="002E5F4E">
        <w:rPr>
          <w:sz w:val="24"/>
          <w:lang w:val="en-GB"/>
        </w:rPr>
        <w:t xml:space="preserve">ternal learning process of PPPs. </w:t>
      </w:r>
      <w:r w:rsidR="0080563E" w:rsidRPr="002E5F4E">
        <w:rPr>
          <w:sz w:val="24"/>
          <w:lang w:val="en-GB"/>
        </w:rPr>
        <w:t>The</w:t>
      </w:r>
      <w:r w:rsidR="000818C4" w:rsidRPr="002E5F4E">
        <w:rPr>
          <w:sz w:val="24"/>
          <w:lang w:val="en-GB"/>
        </w:rPr>
        <w:t xml:space="preserve"> State Government is currently implementing a new system to absorb the information that was derived from the projects.</w:t>
      </w:r>
      <w:r w:rsidR="000818C4" w:rsidRPr="003D1E5E">
        <w:rPr>
          <w:sz w:val="24"/>
          <w:lang w:val="en-GB"/>
        </w:rPr>
        <w:t xml:space="preserve"> </w:t>
      </w:r>
      <w:r w:rsidR="009E6288">
        <w:rPr>
          <w:sz w:val="24"/>
          <w:lang w:val="en-GB"/>
        </w:rPr>
        <w:t xml:space="preserve">Therefore, </w:t>
      </w:r>
      <w:r w:rsidR="00A05F6C" w:rsidRPr="003D1E5E">
        <w:rPr>
          <w:sz w:val="24"/>
          <w:lang w:val="en-GB"/>
        </w:rPr>
        <w:t xml:space="preserve">a learning mechanism should </w:t>
      </w:r>
      <w:r w:rsidR="009E6288">
        <w:rPr>
          <w:sz w:val="24"/>
          <w:lang w:val="en-GB"/>
        </w:rPr>
        <w:t xml:space="preserve">be incorporated into the PPP life-cycle to </w:t>
      </w:r>
      <w:r w:rsidR="00A05F6C" w:rsidRPr="003D1E5E">
        <w:rPr>
          <w:sz w:val="24"/>
          <w:lang w:val="en-GB"/>
        </w:rPr>
        <w:t xml:space="preserve">serve as a key </w:t>
      </w:r>
      <w:r w:rsidR="009E6288">
        <w:rPr>
          <w:sz w:val="24"/>
          <w:lang w:val="en-GB"/>
        </w:rPr>
        <w:t>function of their</w:t>
      </w:r>
      <w:r w:rsidR="00A05F6C" w:rsidRPr="003D1E5E">
        <w:rPr>
          <w:sz w:val="24"/>
          <w:lang w:val="en-GB"/>
        </w:rPr>
        <w:t xml:space="preserve"> future performance evaluat</w:t>
      </w:r>
      <w:r w:rsidR="0085761D" w:rsidRPr="003D1E5E">
        <w:rPr>
          <w:sz w:val="24"/>
          <w:lang w:val="en-GB"/>
        </w:rPr>
        <w:t>ion</w:t>
      </w:r>
      <w:r w:rsidR="00E64CEF">
        <w:rPr>
          <w:sz w:val="24"/>
          <w:lang w:val="en-GB"/>
        </w:rPr>
        <w:t>.</w:t>
      </w:r>
    </w:p>
    <w:p w14:paraId="542EB80F" w14:textId="77777777" w:rsidR="00197CA1" w:rsidRDefault="00197CA1" w:rsidP="00B67F82">
      <w:pPr>
        <w:spacing w:line="480" w:lineRule="auto"/>
        <w:rPr>
          <w:sz w:val="24"/>
          <w:lang w:val="en-GB"/>
        </w:rPr>
      </w:pPr>
    </w:p>
    <w:p w14:paraId="1F57FAE2" w14:textId="77777777" w:rsidR="00115A2F" w:rsidRPr="003D1E5E" w:rsidRDefault="00E128E3" w:rsidP="00794D1E">
      <w:pPr>
        <w:spacing w:line="480" w:lineRule="auto"/>
        <w:rPr>
          <w:rFonts w:ascii="Arial" w:hAnsi="Arial"/>
          <w:b/>
          <w:sz w:val="24"/>
          <w:lang w:val="en-GB"/>
        </w:rPr>
      </w:pPr>
      <w:r w:rsidRPr="003D1E5E">
        <w:rPr>
          <w:rFonts w:ascii="Arial" w:hAnsi="Arial"/>
          <w:b/>
          <w:sz w:val="24"/>
          <w:lang w:val="en-GB"/>
        </w:rPr>
        <w:t>Life-</w:t>
      </w:r>
      <w:r w:rsidR="00CC2A2F" w:rsidRPr="003D1E5E">
        <w:rPr>
          <w:rFonts w:ascii="Arial" w:hAnsi="Arial"/>
          <w:b/>
          <w:sz w:val="24"/>
          <w:lang w:val="en-GB"/>
        </w:rPr>
        <w:t>Cycle Performance Prism</w:t>
      </w:r>
    </w:p>
    <w:p w14:paraId="0D406501" w14:textId="7C0DC4D1" w:rsidR="004F42A7" w:rsidRPr="003D1E5E" w:rsidRDefault="001C604E" w:rsidP="00794D1E">
      <w:pPr>
        <w:spacing w:line="480" w:lineRule="auto"/>
        <w:rPr>
          <w:sz w:val="24"/>
          <w:lang w:val="en-GB"/>
        </w:rPr>
      </w:pPr>
      <w:r w:rsidRPr="002E5F4E">
        <w:rPr>
          <w:sz w:val="24"/>
          <w:lang w:val="en-GB"/>
        </w:rPr>
        <w:t>Emerging from the case studies is the</w:t>
      </w:r>
      <w:r w:rsidR="009E6288" w:rsidRPr="002E5F4E">
        <w:rPr>
          <w:sz w:val="24"/>
          <w:lang w:val="en-GB"/>
        </w:rPr>
        <w:t xml:space="preserve"> </w:t>
      </w:r>
      <w:r w:rsidRPr="002E5F4E">
        <w:rPr>
          <w:sz w:val="24"/>
          <w:lang w:val="en-GB"/>
        </w:rPr>
        <w:t>recommendation for a</w:t>
      </w:r>
      <w:r w:rsidR="004F42A7" w:rsidRPr="002E5F4E">
        <w:rPr>
          <w:sz w:val="24"/>
          <w:lang w:val="en-GB"/>
        </w:rPr>
        <w:t xml:space="preserve"> process-based and </w:t>
      </w:r>
      <w:r w:rsidR="004F42A7" w:rsidRPr="002E5F4E">
        <w:rPr>
          <w:sz w:val="24"/>
          <w:lang w:val="en-GB"/>
        </w:rPr>
        <w:lastRenderedPageBreak/>
        <w:t>stakeholder-oriented measurement</w:t>
      </w:r>
      <w:r w:rsidRPr="002E5F4E">
        <w:rPr>
          <w:sz w:val="24"/>
          <w:lang w:val="en-GB"/>
        </w:rPr>
        <w:t xml:space="preserve"> to be developed</w:t>
      </w:r>
      <w:r w:rsidR="004F42A7" w:rsidRPr="002E5F4E">
        <w:rPr>
          <w:sz w:val="24"/>
          <w:lang w:val="en-GB"/>
        </w:rPr>
        <w:t xml:space="preserve"> </w:t>
      </w:r>
      <w:r w:rsidRPr="002E5F4E">
        <w:rPr>
          <w:sz w:val="24"/>
          <w:lang w:val="en-GB"/>
        </w:rPr>
        <w:t xml:space="preserve">with consideration of </w:t>
      </w:r>
      <w:proofErr w:type="spellStart"/>
      <w:r w:rsidR="004F42A7" w:rsidRPr="002E5F4E">
        <w:rPr>
          <w:sz w:val="24"/>
          <w:lang w:val="en-GB"/>
        </w:rPr>
        <w:t>V</w:t>
      </w:r>
      <w:r w:rsidR="004F42A7" w:rsidRPr="002E5F4E">
        <w:rPr>
          <w:i/>
          <w:sz w:val="24"/>
          <w:lang w:val="en-GB"/>
        </w:rPr>
        <w:t>f</w:t>
      </w:r>
      <w:r w:rsidR="004F42A7" w:rsidRPr="002E5F4E">
        <w:rPr>
          <w:sz w:val="24"/>
          <w:lang w:val="en-GB"/>
        </w:rPr>
        <w:t>M</w:t>
      </w:r>
      <w:proofErr w:type="spellEnd"/>
      <w:r w:rsidR="004F42A7" w:rsidRPr="002E5F4E">
        <w:rPr>
          <w:sz w:val="24"/>
          <w:lang w:val="en-GB"/>
        </w:rPr>
        <w:t xml:space="preserve"> assessment and </w:t>
      </w:r>
      <w:r w:rsidRPr="002E5F4E">
        <w:rPr>
          <w:sz w:val="24"/>
          <w:lang w:val="en-GB"/>
        </w:rPr>
        <w:t>continuous improvement that engenders learning</w:t>
      </w:r>
      <w:r w:rsidR="004F42A7" w:rsidRPr="002E5F4E">
        <w:rPr>
          <w:sz w:val="24"/>
          <w:lang w:val="en-GB"/>
        </w:rPr>
        <w:t>.</w:t>
      </w:r>
      <w:r w:rsidR="00204A1D" w:rsidRPr="003D1E5E">
        <w:rPr>
          <w:sz w:val="24"/>
          <w:lang w:val="en-GB"/>
        </w:rPr>
        <w:t xml:space="preserve"> </w:t>
      </w:r>
      <w:r w:rsidR="00931416" w:rsidRPr="003D1E5E">
        <w:rPr>
          <w:sz w:val="24"/>
          <w:lang w:val="en-GB"/>
        </w:rPr>
        <w:t xml:space="preserve">Neely </w:t>
      </w:r>
      <w:r w:rsidR="00931416" w:rsidRPr="003D1E5E">
        <w:rPr>
          <w:i/>
          <w:sz w:val="24"/>
          <w:lang w:val="en-GB"/>
        </w:rPr>
        <w:t>et al.</w:t>
      </w:r>
      <w:r w:rsidR="00931416" w:rsidRPr="003D1E5E">
        <w:rPr>
          <w:sz w:val="24"/>
          <w:lang w:val="en-GB"/>
        </w:rPr>
        <w:t xml:space="preserve"> (2001) </w:t>
      </w:r>
      <w:r w:rsidR="009E6288">
        <w:rPr>
          <w:sz w:val="24"/>
          <w:lang w:val="en-GB"/>
        </w:rPr>
        <w:t>have suggested</w:t>
      </w:r>
      <w:r w:rsidR="006B146F" w:rsidRPr="003D1E5E">
        <w:rPr>
          <w:sz w:val="24"/>
          <w:lang w:val="en-GB"/>
        </w:rPr>
        <w:t xml:space="preserve"> that </w:t>
      </w:r>
      <w:r w:rsidR="00D577E0" w:rsidRPr="003D1E5E">
        <w:rPr>
          <w:sz w:val="24"/>
          <w:lang w:val="en-GB"/>
        </w:rPr>
        <w:t>the measurement for what stakeholders’ need and how they contribute to the organisation should be conducted simultaneously in a PMS. At this juncture</w:t>
      </w:r>
      <w:r w:rsidR="002563E4" w:rsidRPr="003D1E5E">
        <w:rPr>
          <w:sz w:val="24"/>
          <w:lang w:val="en-GB"/>
        </w:rPr>
        <w:t>, a</w:t>
      </w:r>
      <w:r w:rsidR="00A05F6C" w:rsidRPr="003D1E5E">
        <w:rPr>
          <w:sz w:val="24"/>
          <w:lang w:val="en-GB"/>
        </w:rPr>
        <w:t xml:space="preserve"> new</w:t>
      </w:r>
      <w:r w:rsidR="002563E4" w:rsidRPr="003D1E5E">
        <w:rPr>
          <w:sz w:val="24"/>
          <w:lang w:val="en-GB"/>
        </w:rPr>
        <w:t xml:space="preserve"> </w:t>
      </w:r>
      <w:r w:rsidR="002563E4" w:rsidRPr="003D1E5E">
        <w:rPr>
          <w:i/>
          <w:sz w:val="24"/>
          <w:lang w:val="en-GB"/>
        </w:rPr>
        <w:t>Performance Prism</w:t>
      </w:r>
      <w:r w:rsidR="00E6272F" w:rsidRPr="003D1E5E">
        <w:rPr>
          <w:sz w:val="24"/>
          <w:lang w:val="en-GB"/>
        </w:rPr>
        <w:t xml:space="preserve">, which </w:t>
      </w:r>
      <w:r w:rsidR="00483546" w:rsidRPr="003D1E5E">
        <w:rPr>
          <w:sz w:val="24"/>
          <w:lang w:val="en-GB"/>
        </w:rPr>
        <w:t xml:space="preserve">is different from that one </w:t>
      </w:r>
      <w:r w:rsidR="00E6272F" w:rsidRPr="003D1E5E">
        <w:rPr>
          <w:sz w:val="24"/>
          <w:lang w:val="en-GB"/>
        </w:rPr>
        <w:t xml:space="preserve">originally proposed by Neely </w:t>
      </w:r>
      <w:r w:rsidR="00E6272F" w:rsidRPr="003D1E5E">
        <w:rPr>
          <w:i/>
          <w:sz w:val="24"/>
          <w:lang w:val="en-GB"/>
        </w:rPr>
        <w:t>et al.</w:t>
      </w:r>
      <w:r w:rsidR="00E6272F" w:rsidRPr="003D1E5E">
        <w:rPr>
          <w:sz w:val="24"/>
          <w:lang w:val="en-GB"/>
        </w:rPr>
        <w:t xml:space="preserve"> (2001), </w:t>
      </w:r>
      <w:r w:rsidR="002563E4" w:rsidRPr="003D1E5E">
        <w:rPr>
          <w:sz w:val="24"/>
          <w:lang w:val="en-GB"/>
        </w:rPr>
        <w:t xml:space="preserve">can be </w:t>
      </w:r>
      <w:r w:rsidR="00053ABF" w:rsidRPr="003D1E5E">
        <w:rPr>
          <w:sz w:val="24"/>
          <w:lang w:val="en-GB"/>
        </w:rPr>
        <w:t xml:space="preserve">developed </w:t>
      </w:r>
      <w:r w:rsidR="00931416" w:rsidRPr="003D1E5E">
        <w:rPr>
          <w:sz w:val="24"/>
          <w:lang w:val="en-GB"/>
        </w:rPr>
        <w:t>as a ‘step</w:t>
      </w:r>
      <w:r w:rsidR="00FC2948" w:rsidRPr="003D1E5E">
        <w:rPr>
          <w:sz w:val="24"/>
          <w:lang w:val="en-GB"/>
        </w:rPr>
        <w:t>ping</w:t>
      </w:r>
      <w:r w:rsidR="00931416" w:rsidRPr="003D1E5E">
        <w:rPr>
          <w:sz w:val="24"/>
          <w:lang w:val="en-GB"/>
        </w:rPr>
        <w:t xml:space="preserve"> stone’ </w:t>
      </w:r>
      <w:r w:rsidR="00BF6A17" w:rsidRPr="003D1E5E">
        <w:rPr>
          <w:sz w:val="24"/>
          <w:lang w:val="en-GB"/>
        </w:rPr>
        <w:t>for</w:t>
      </w:r>
      <w:r w:rsidR="00931416" w:rsidRPr="003D1E5E">
        <w:rPr>
          <w:sz w:val="24"/>
          <w:lang w:val="en-GB"/>
        </w:rPr>
        <w:t xml:space="preserve"> ameliorating performance evaluation of future PPPs (Figure 6).</w:t>
      </w:r>
    </w:p>
    <w:p w14:paraId="7A6F93FA" w14:textId="7E3BC5A2" w:rsidR="004F42A7" w:rsidRDefault="004F42A7" w:rsidP="00794D1E">
      <w:pPr>
        <w:spacing w:line="480" w:lineRule="auto"/>
        <w:rPr>
          <w:sz w:val="24"/>
          <w:lang w:val="en-GB"/>
        </w:rPr>
      </w:pPr>
    </w:p>
    <w:p w14:paraId="5619DC79" w14:textId="25CCCD10" w:rsidR="002E5F4E" w:rsidRDefault="002E5F4E" w:rsidP="00794D1E">
      <w:pPr>
        <w:spacing w:line="480" w:lineRule="auto"/>
        <w:rPr>
          <w:sz w:val="24"/>
          <w:lang w:val="en-GB"/>
        </w:rPr>
      </w:pPr>
      <w:r>
        <w:rPr>
          <w:noProof/>
          <w:sz w:val="24"/>
          <w:lang w:val="en-GB" w:eastAsia="en-GB"/>
        </w:rPr>
        <w:drawing>
          <wp:inline distT="0" distB="0" distL="0" distR="0" wp14:anchorId="2A4E2E0C" wp14:editId="330F7FD1">
            <wp:extent cx="5941060" cy="2958411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42" cy="29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8CDC00" w14:textId="4DBEED1B" w:rsidR="00D67E8C" w:rsidRDefault="00D67E8C" w:rsidP="00111CC2">
      <w:pPr>
        <w:spacing w:line="480" w:lineRule="auto"/>
        <w:jc w:val="center"/>
        <w:rPr>
          <w:sz w:val="24"/>
          <w:lang w:val="en-GB"/>
        </w:rPr>
      </w:pPr>
      <w:r>
        <w:rPr>
          <w:sz w:val="24"/>
          <w:lang w:val="en-GB"/>
        </w:rPr>
        <w:t>Figure 6</w:t>
      </w:r>
      <w:r w:rsidR="00667F8C">
        <w:rPr>
          <w:sz w:val="24"/>
          <w:lang w:val="en-GB"/>
        </w:rPr>
        <w:t xml:space="preserve">: </w:t>
      </w:r>
      <w:r w:rsidR="00667F8C" w:rsidRPr="00667F8C">
        <w:rPr>
          <w:sz w:val="24"/>
          <w:lang w:val="en-AU"/>
        </w:rPr>
        <w:t>Life-</w:t>
      </w:r>
      <w:r w:rsidR="00667F8C">
        <w:rPr>
          <w:sz w:val="24"/>
          <w:lang w:val="en-AU"/>
        </w:rPr>
        <w:t xml:space="preserve">cycle Performance Prism for PPP Evaluation </w:t>
      </w:r>
      <w:r w:rsidR="00667F8C" w:rsidRPr="00667F8C">
        <w:rPr>
          <w:sz w:val="24"/>
          <w:lang w:val="en-AU"/>
        </w:rPr>
        <w:t xml:space="preserve">(Adapted from Neely </w:t>
      </w:r>
      <w:r w:rsidR="00667F8C" w:rsidRPr="00667F8C">
        <w:rPr>
          <w:i/>
          <w:sz w:val="24"/>
          <w:lang w:val="en-AU"/>
        </w:rPr>
        <w:t>et al.</w:t>
      </w:r>
      <w:r w:rsidR="00667F8C" w:rsidRPr="00667F8C">
        <w:rPr>
          <w:sz w:val="24"/>
          <w:lang w:val="en-AU"/>
        </w:rPr>
        <w:t xml:space="preserve"> 2001</w:t>
      </w:r>
      <w:r w:rsidR="00667F8C">
        <w:rPr>
          <w:sz w:val="24"/>
          <w:lang w:val="en-GB"/>
        </w:rPr>
        <w:t>)</w:t>
      </w:r>
    </w:p>
    <w:p w14:paraId="27E0C158" w14:textId="77777777" w:rsidR="00BD4957" w:rsidRDefault="00BD4957" w:rsidP="00794D1E">
      <w:pPr>
        <w:spacing w:line="480" w:lineRule="auto"/>
        <w:rPr>
          <w:sz w:val="24"/>
          <w:lang w:val="en-GB"/>
        </w:rPr>
      </w:pPr>
    </w:p>
    <w:p w14:paraId="74662289" w14:textId="42F633AD" w:rsidR="009F108A" w:rsidRDefault="00057E08" w:rsidP="00794D1E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 xml:space="preserve">Figure </w:t>
      </w:r>
      <w:r w:rsidR="00931416" w:rsidRPr="003D1E5E">
        <w:rPr>
          <w:sz w:val="24"/>
          <w:lang w:val="en-GB"/>
        </w:rPr>
        <w:t>6</w:t>
      </w:r>
      <w:r w:rsidRPr="003D1E5E">
        <w:rPr>
          <w:sz w:val="24"/>
          <w:lang w:val="en-GB"/>
        </w:rPr>
        <w:t xml:space="preserve"> illustrates how the proposed </w:t>
      </w:r>
      <w:r w:rsidR="001C604E">
        <w:rPr>
          <w:sz w:val="24"/>
          <w:lang w:val="en-GB"/>
        </w:rPr>
        <w:t>framework</w:t>
      </w:r>
      <w:r w:rsidR="001C604E" w:rsidRPr="003D1E5E">
        <w:rPr>
          <w:sz w:val="24"/>
          <w:lang w:val="en-GB"/>
        </w:rPr>
        <w:t xml:space="preserve"> </w:t>
      </w:r>
      <w:r w:rsidR="00BF6A17" w:rsidRPr="003D1E5E">
        <w:rPr>
          <w:sz w:val="24"/>
          <w:lang w:val="en-GB"/>
        </w:rPr>
        <w:t>can deal</w:t>
      </w:r>
      <w:r w:rsidR="00A41553" w:rsidRPr="003D1E5E">
        <w:rPr>
          <w:sz w:val="24"/>
          <w:lang w:val="en-GB"/>
        </w:rPr>
        <w:t xml:space="preserve"> with the </w:t>
      </w:r>
      <w:r w:rsidR="001C604E">
        <w:rPr>
          <w:sz w:val="24"/>
          <w:lang w:val="en-GB"/>
        </w:rPr>
        <w:t>prevailing</w:t>
      </w:r>
      <w:r w:rsidR="001C604E" w:rsidRPr="003D1E5E">
        <w:rPr>
          <w:sz w:val="24"/>
          <w:lang w:val="en-GB"/>
        </w:rPr>
        <w:t xml:space="preserve"> </w:t>
      </w:r>
      <w:r w:rsidR="00481B63" w:rsidRPr="003D1E5E">
        <w:rPr>
          <w:sz w:val="24"/>
          <w:lang w:val="en-GB"/>
        </w:rPr>
        <w:t>issues</w:t>
      </w:r>
      <w:r w:rsidRPr="003D1E5E">
        <w:rPr>
          <w:sz w:val="24"/>
          <w:lang w:val="en-GB"/>
        </w:rPr>
        <w:t xml:space="preserve"> </w:t>
      </w:r>
      <w:r w:rsidR="001C604E">
        <w:rPr>
          <w:sz w:val="24"/>
          <w:lang w:val="en-GB"/>
        </w:rPr>
        <w:t>confronting</w:t>
      </w:r>
      <w:r w:rsidR="00481B63" w:rsidRPr="003D1E5E">
        <w:rPr>
          <w:sz w:val="24"/>
          <w:lang w:val="en-GB"/>
        </w:rPr>
        <w:t xml:space="preserve"> </w:t>
      </w:r>
      <w:r w:rsidRPr="003D1E5E">
        <w:rPr>
          <w:sz w:val="24"/>
          <w:lang w:val="en-GB"/>
        </w:rPr>
        <w:t xml:space="preserve">PPP performance </w:t>
      </w:r>
      <w:r w:rsidR="001031DB" w:rsidRPr="003D1E5E">
        <w:rPr>
          <w:sz w:val="24"/>
          <w:lang w:val="en-GB"/>
        </w:rPr>
        <w:t xml:space="preserve">evaluation. Specifically, </w:t>
      </w:r>
      <w:r w:rsidR="002C3CFF" w:rsidRPr="003D1E5E">
        <w:rPr>
          <w:sz w:val="24"/>
          <w:lang w:val="en-GB"/>
        </w:rPr>
        <w:t xml:space="preserve">the </w:t>
      </w:r>
      <w:r w:rsidR="001031DB" w:rsidRPr="003D1E5E">
        <w:rPr>
          <w:sz w:val="24"/>
          <w:lang w:val="en-GB"/>
        </w:rPr>
        <w:t>process-based and stakeholder-oriented measurement</w:t>
      </w:r>
      <w:r w:rsidR="007D6A77" w:rsidRPr="003D1E5E">
        <w:rPr>
          <w:sz w:val="24"/>
          <w:lang w:val="en-GB"/>
        </w:rPr>
        <w:t>s</w:t>
      </w:r>
      <w:r w:rsidR="001031DB" w:rsidRPr="003D1E5E">
        <w:rPr>
          <w:sz w:val="24"/>
          <w:lang w:val="en-GB"/>
        </w:rPr>
        <w:t>, as demonstrated above, focus on evaluating the deliverables of each project phase of a PP</w:t>
      </w:r>
      <w:r w:rsidR="000464A0">
        <w:rPr>
          <w:sz w:val="24"/>
          <w:lang w:val="en-GB"/>
        </w:rPr>
        <w:t xml:space="preserve">P (e.g., </w:t>
      </w:r>
      <w:r w:rsidR="004B52D7">
        <w:rPr>
          <w:sz w:val="24"/>
          <w:lang w:val="en-GB"/>
        </w:rPr>
        <w:t xml:space="preserve">the </w:t>
      </w:r>
      <w:r w:rsidR="00BF6A17" w:rsidRPr="003D1E5E">
        <w:rPr>
          <w:sz w:val="24"/>
          <w:lang w:val="en-GB"/>
        </w:rPr>
        <w:t>suitability</w:t>
      </w:r>
      <w:r w:rsidR="001031DB" w:rsidRPr="003D1E5E">
        <w:rPr>
          <w:sz w:val="24"/>
          <w:lang w:val="en-GB"/>
        </w:rPr>
        <w:t xml:space="preserve"> of business case development, completeness of macro-environmental study, competitiveness of tendering </w:t>
      </w:r>
      <w:r w:rsidR="001031DB" w:rsidRPr="003D1E5E">
        <w:rPr>
          <w:sz w:val="24"/>
          <w:lang w:val="en-GB"/>
        </w:rPr>
        <w:lastRenderedPageBreak/>
        <w:t>procedure</w:t>
      </w:r>
      <w:r w:rsidR="000464A0">
        <w:rPr>
          <w:sz w:val="24"/>
          <w:lang w:val="en-GB"/>
        </w:rPr>
        <w:t xml:space="preserve"> and innovation in design). </w:t>
      </w:r>
      <w:r w:rsidR="00BF6A17">
        <w:rPr>
          <w:sz w:val="24"/>
          <w:lang w:val="en-GB"/>
        </w:rPr>
        <w:t>Consequently</w:t>
      </w:r>
      <w:r w:rsidR="000464A0" w:rsidRPr="000464A0">
        <w:rPr>
          <w:sz w:val="24"/>
          <w:lang w:val="en-GB"/>
        </w:rPr>
        <w:t xml:space="preserve">, the problematic issues </w:t>
      </w:r>
      <w:r w:rsidR="009F108A">
        <w:rPr>
          <w:sz w:val="24"/>
          <w:lang w:val="en-GB"/>
        </w:rPr>
        <w:t>in the existing performance evaluation system of a PPP, for example, incomplete and ineffective measurements for the project’s procurement, design and construction, operations and maintenance, would be resolved by applying the Performance Prism framework.</w:t>
      </w:r>
    </w:p>
    <w:p w14:paraId="0D47CC3F" w14:textId="77777777" w:rsidR="0079040C" w:rsidRDefault="0079040C" w:rsidP="00794D1E">
      <w:pPr>
        <w:spacing w:line="480" w:lineRule="auto"/>
        <w:rPr>
          <w:sz w:val="24"/>
          <w:lang w:val="en-GB"/>
        </w:rPr>
      </w:pPr>
    </w:p>
    <w:p w14:paraId="167344B6" w14:textId="1F0421AA" w:rsidR="006C063E" w:rsidRDefault="000464A0" w:rsidP="00794D1E">
      <w:pPr>
        <w:spacing w:line="480" w:lineRule="auto"/>
        <w:rPr>
          <w:sz w:val="24"/>
          <w:lang w:val="en-GB"/>
        </w:rPr>
      </w:pPr>
      <w:r>
        <w:rPr>
          <w:sz w:val="24"/>
          <w:lang w:val="en-GB"/>
        </w:rPr>
        <w:t>B</w:t>
      </w:r>
      <w:r w:rsidR="002C3CFF" w:rsidRPr="003D1E5E">
        <w:rPr>
          <w:sz w:val="24"/>
          <w:lang w:val="en-GB"/>
        </w:rPr>
        <w:t>enefit</w:t>
      </w:r>
      <w:r w:rsidR="00B67F82" w:rsidRPr="003D1E5E">
        <w:rPr>
          <w:sz w:val="24"/>
          <w:lang w:val="en-GB"/>
        </w:rPr>
        <w:t>ing from</w:t>
      </w:r>
      <w:r w:rsidR="002C3CFF" w:rsidRPr="003D1E5E">
        <w:rPr>
          <w:sz w:val="24"/>
          <w:lang w:val="en-GB"/>
        </w:rPr>
        <w:t xml:space="preserve"> a KPI review mechanism, </w:t>
      </w:r>
      <w:r w:rsidR="00483546" w:rsidRPr="003D1E5E">
        <w:rPr>
          <w:sz w:val="24"/>
          <w:lang w:val="en-GB"/>
        </w:rPr>
        <w:t xml:space="preserve">the </w:t>
      </w:r>
      <w:r w:rsidR="00C71D8F" w:rsidRPr="003D1E5E">
        <w:rPr>
          <w:sz w:val="24"/>
          <w:lang w:val="en-GB"/>
        </w:rPr>
        <w:t xml:space="preserve">performance measures developed with the process and stakeholder-oriented measurement will be equipped with a robust capability in accommodating demographic and environmental changes (i.e., political, economic, social and legal). </w:t>
      </w:r>
      <w:r w:rsidR="0079040C">
        <w:rPr>
          <w:sz w:val="24"/>
          <w:lang w:val="en-GB"/>
        </w:rPr>
        <w:t>In addition</w:t>
      </w:r>
      <w:r w:rsidR="00C71D8F" w:rsidRPr="003D1E5E">
        <w:rPr>
          <w:sz w:val="24"/>
          <w:lang w:val="en-GB"/>
        </w:rPr>
        <w:t xml:space="preserve">, the </w:t>
      </w:r>
      <w:r w:rsidR="001C604E">
        <w:rPr>
          <w:sz w:val="24"/>
          <w:lang w:val="en-GB"/>
        </w:rPr>
        <w:t>proposed</w:t>
      </w:r>
      <w:r w:rsidR="001C604E" w:rsidRPr="003D1E5E">
        <w:rPr>
          <w:sz w:val="24"/>
          <w:lang w:val="en-GB"/>
        </w:rPr>
        <w:t xml:space="preserve"> </w:t>
      </w:r>
      <w:r w:rsidR="007D6A77" w:rsidRPr="003D1E5E">
        <w:rPr>
          <w:sz w:val="24"/>
          <w:lang w:val="en-GB"/>
        </w:rPr>
        <w:t>life-cycle Performance Prism</w:t>
      </w:r>
      <w:r w:rsidR="00C71D8F" w:rsidRPr="003D1E5E">
        <w:rPr>
          <w:sz w:val="24"/>
          <w:lang w:val="en-GB"/>
        </w:rPr>
        <w:t xml:space="preserve"> possesses </w:t>
      </w:r>
      <w:r w:rsidR="00BF6A17">
        <w:rPr>
          <w:sz w:val="24"/>
          <w:lang w:val="en-GB"/>
        </w:rPr>
        <w:t>can improve</w:t>
      </w:r>
      <w:r w:rsidR="00F5137C" w:rsidRPr="003D1E5E">
        <w:rPr>
          <w:sz w:val="24"/>
          <w:lang w:val="en-GB"/>
        </w:rPr>
        <w:t xml:space="preserve"> the derived paucities, such as </w:t>
      </w:r>
      <w:r w:rsidR="00B5321E" w:rsidRPr="003D1E5E">
        <w:rPr>
          <w:sz w:val="24"/>
          <w:lang w:val="en-GB"/>
        </w:rPr>
        <w:t xml:space="preserve">the myopia of </w:t>
      </w:r>
      <w:proofErr w:type="spellStart"/>
      <w:r w:rsidR="00B5321E" w:rsidRPr="003D1E5E">
        <w:rPr>
          <w:sz w:val="24"/>
          <w:lang w:val="en-GB"/>
        </w:rPr>
        <w:t>V</w:t>
      </w:r>
      <w:r w:rsidR="00B5321E" w:rsidRPr="003D1E5E">
        <w:rPr>
          <w:i/>
          <w:sz w:val="24"/>
          <w:lang w:val="en-GB"/>
        </w:rPr>
        <w:t>f</w:t>
      </w:r>
      <w:r w:rsidR="00B5321E" w:rsidRPr="003D1E5E">
        <w:rPr>
          <w:sz w:val="24"/>
          <w:lang w:val="en-GB"/>
        </w:rPr>
        <w:t>M</w:t>
      </w:r>
      <w:proofErr w:type="spellEnd"/>
      <w:r w:rsidR="00B5321E" w:rsidRPr="003D1E5E">
        <w:rPr>
          <w:sz w:val="24"/>
          <w:lang w:val="en-GB"/>
        </w:rPr>
        <w:t xml:space="preserve"> assessment and weak </w:t>
      </w:r>
      <w:r w:rsidR="00F5137C" w:rsidRPr="003D1E5E">
        <w:rPr>
          <w:sz w:val="24"/>
          <w:lang w:val="en-GB"/>
        </w:rPr>
        <w:t xml:space="preserve">internal learning. </w:t>
      </w:r>
      <w:r w:rsidR="007D2637">
        <w:rPr>
          <w:sz w:val="24"/>
          <w:lang w:val="en-GB"/>
        </w:rPr>
        <w:t>This is because it emphas</w:t>
      </w:r>
      <w:r w:rsidR="00BF6A17">
        <w:rPr>
          <w:sz w:val="24"/>
          <w:lang w:val="en-GB"/>
        </w:rPr>
        <w:t>is</w:t>
      </w:r>
      <w:r w:rsidR="007D2637">
        <w:rPr>
          <w:sz w:val="24"/>
          <w:lang w:val="en-GB"/>
        </w:rPr>
        <w:t>es:</w:t>
      </w:r>
      <w:r w:rsidR="00B5321E" w:rsidRPr="003D1E5E">
        <w:rPr>
          <w:sz w:val="24"/>
          <w:lang w:val="en-GB"/>
        </w:rPr>
        <w:t xml:space="preserve"> (1) </w:t>
      </w:r>
      <w:r w:rsidR="00F5137C" w:rsidRPr="003D1E5E">
        <w:rPr>
          <w:sz w:val="24"/>
          <w:lang w:val="en-GB"/>
        </w:rPr>
        <w:t xml:space="preserve">a comprehensive evaluation for </w:t>
      </w:r>
      <w:proofErr w:type="spellStart"/>
      <w:r w:rsidR="00F5137C" w:rsidRPr="003D1E5E">
        <w:rPr>
          <w:sz w:val="24"/>
          <w:lang w:val="en-GB"/>
        </w:rPr>
        <w:t>V</w:t>
      </w:r>
      <w:r w:rsidR="00F5137C" w:rsidRPr="003D1E5E">
        <w:rPr>
          <w:i/>
          <w:sz w:val="24"/>
          <w:lang w:val="en-GB"/>
        </w:rPr>
        <w:t>f</w:t>
      </w:r>
      <w:r w:rsidR="00F5137C" w:rsidRPr="003D1E5E">
        <w:rPr>
          <w:sz w:val="24"/>
          <w:lang w:val="en-GB"/>
        </w:rPr>
        <w:t>M</w:t>
      </w:r>
      <w:proofErr w:type="spellEnd"/>
      <w:r w:rsidR="00F5137C" w:rsidRPr="003D1E5E">
        <w:rPr>
          <w:sz w:val="24"/>
          <w:lang w:val="en-GB"/>
        </w:rPr>
        <w:t xml:space="preserve"> that considers financial benefits </w:t>
      </w:r>
      <w:r w:rsidR="00BF6A17">
        <w:rPr>
          <w:sz w:val="24"/>
          <w:lang w:val="en-GB"/>
        </w:rPr>
        <w:t>as well as</w:t>
      </w:r>
      <w:r w:rsidR="00F5137C" w:rsidRPr="003D1E5E">
        <w:rPr>
          <w:sz w:val="24"/>
          <w:lang w:val="en-GB"/>
        </w:rPr>
        <w:t xml:space="preserve"> mac</w:t>
      </w:r>
      <w:r w:rsidR="006A4811">
        <w:rPr>
          <w:sz w:val="24"/>
          <w:lang w:val="en-GB"/>
        </w:rPr>
        <w:t xml:space="preserve">ro-impacts on local communities and </w:t>
      </w:r>
      <w:r w:rsidR="00F5137C" w:rsidRPr="003D1E5E">
        <w:rPr>
          <w:sz w:val="24"/>
          <w:lang w:val="en-GB"/>
        </w:rPr>
        <w:t>the public (e.g., social benefits and economic development</w:t>
      </w:r>
      <w:r w:rsidR="00B5321E" w:rsidRPr="003D1E5E">
        <w:rPr>
          <w:sz w:val="24"/>
          <w:lang w:val="en-GB"/>
        </w:rPr>
        <w:t xml:space="preserve">); and (2) effective and efficient organisational learning to absorb the </w:t>
      </w:r>
      <w:r w:rsidR="007D2637">
        <w:rPr>
          <w:sz w:val="24"/>
          <w:lang w:val="en-GB"/>
        </w:rPr>
        <w:t>“</w:t>
      </w:r>
      <w:r w:rsidR="00B5321E" w:rsidRPr="003D1E5E">
        <w:rPr>
          <w:sz w:val="24"/>
          <w:lang w:val="en-GB"/>
        </w:rPr>
        <w:t>lessons</w:t>
      </w:r>
      <w:r w:rsidR="007D2637">
        <w:rPr>
          <w:sz w:val="24"/>
          <w:lang w:val="en-GB"/>
        </w:rPr>
        <w:t xml:space="preserve">” </w:t>
      </w:r>
      <w:r w:rsidR="00B5321E" w:rsidRPr="003D1E5E">
        <w:rPr>
          <w:sz w:val="24"/>
          <w:lang w:val="en-GB"/>
        </w:rPr>
        <w:t>emerg</w:t>
      </w:r>
      <w:r w:rsidR="00BF6A17">
        <w:rPr>
          <w:sz w:val="24"/>
          <w:lang w:val="en-GB"/>
        </w:rPr>
        <w:t>ing</w:t>
      </w:r>
      <w:r w:rsidR="00B5321E" w:rsidRPr="003D1E5E">
        <w:rPr>
          <w:sz w:val="24"/>
          <w:lang w:val="en-GB"/>
        </w:rPr>
        <w:t xml:space="preserve"> from the projects.</w:t>
      </w:r>
    </w:p>
    <w:p w14:paraId="7CE9E98D" w14:textId="77777777" w:rsidR="008B2252" w:rsidRPr="003D1E5E" w:rsidRDefault="008B2252" w:rsidP="00794D1E">
      <w:pPr>
        <w:spacing w:line="480" w:lineRule="auto"/>
        <w:rPr>
          <w:sz w:val="24"/>
          <w:lang w:val="en-GB"/>
        </w:rPr>
      </w:pPr>
    </w:p>
    <w:p w14:paraId="5F2DBC8D" w14:textId="77777777" w:rsidR="001C3362" w:rsidRPr="003D1E5E" w:rsidRDefault="007D0E26" w:rsidP="00794D1E">
      <w:pPr>
        <w:spacing w:line="480" w:lineRule="auto"/>
        <w:rPr>
          <w:rFonts w:ascii="Arial" w:hAnsi="Arial"/>
          <w:b/>
          <w:sz w:val="24"/>
          <w:lang w:val="en-GB"/>
        </w:rPr>
      </w:pPr>
      <w:r w:rsidRPr="003D1E5E">
        <w:rPr>
          <w:rFonts w:ascii="Arial" w:hAnsi="Arial"/>
          <w:b/>
          <w:sz w:val="24"/>
          <w:lang w:val="en-GB"/>
        </w:rPr>
        <w:t xml:space="preserve">Implications </w:t>
      </w:r>
      <w:r w:rsidR="00FE152D" w:rsidRPr="003D1E5E">
        <w:rPr>
          <w:rFonts w:ascii="Arial" w:hAnsi="Arial"/>
          <w:b/>
          <w:sz w:val="24"/>
          <w:lang w:val="en-GB"/>
        </w:rPr>
        <w:t>for Practice</w:t>
      </w:r>
    </w:p>
    <w:p w14:paraId="78A7512D" w14:textId="5D47F6CA" w:rsidR="00701337" w:rsidRDefault="00B73E46" w:rsidP="00F039C6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 xml:space="preserve">The </w:t>
      </w:r>
      <w:r w:rsidR="001C604E">
        <w:rPr>
          <w:sz w:val="24"/>
          <w:lang w:val="en-GB"/>
        </w:rPr>
        <w:t>proposed</w:t>
      </w:r>
      <w:r w:rsidR="001C604E" w:rsidRPr="003D1E5E">
        <w:rPr>
          <w:sz w:val="24"/>
          <w:lang w:val="en-GB"/>
        </w:rPr>
        <w:t xml:space="preserve"> </w:t>
      </w:r>
      <w:r w:rsidRPr="003D1E5E">
        <w:rPr>
          <w:sz w:val="24"/>
          <w:lang w:val="en-GB"/>
        </w:rPr>
        <w:t>life-cycle Performance Prism provide</w:t>
      </w:r>
      <w:r w:rsidR="001C604E">
        <w:rPr>
          <w:sz w:val="24"/>
          <w:lang w:val="en-GB"/>
        </w:rPr>
        <w:t>s</w:t>
      </w:r>
      <w:r w:rsidRPr="003D1E5E">
        <w:rPr>
          <w:sz w:val="24"/>
          <w:lang w:val="en-GB"/>
        </w:rPr>
        <w:t xml:space="preserve"> stakeholders of a PPP (e.g., public governor, designer, builder, operator and facility maintainer) with an explicit and reliable direction </w:t>
      </w:r>
      <w:r w:rsidR="00826C70">
        <w:rPr>
          <w:sz w:val="24"/>
          <w:lang w:val="en-GB"/>
        </w:rPr>
        <w:t>of</w:t>
      </w:r>
      <w:r w:rsidR="00BD4957">
        <w:rPr>
          <w:sz w:val="24"/>
          <w:lang w:val="en-GB"/>
        </w:rPr>
        <w:t xml:space="preserve"> how </w:t>
      </w:r>
      <w:r w:rsidRPr="003D1E5E">
        <w:rPr>
          <w:sz w:val="24"/>
          <w:lang w:val="en-GB"/>
        </w:rPr>
        <w:t xml:space="preserve">to </w:t>
      </w:r>
      <w:r w:rsidR="001C604E">
        <w:rPr>
          <w:sz w:val="24"/>
          <w:lang w:val="en-GB"/>
        </w:rPr>
        <w:t>improve</w:t>
      </w:r>
      <w:r w:rsidR="001C604E" w:rsidRPr="003D1E5E">
        <w:rPr>
          <w:sz w:val="24"/>
          <w:lang w:val="en-GB"/>
        </w:rPr>
        <w:t xml:space="preserve"> </w:t>
      </w:r>
      <w:r w:rsidRPr="003D1E5E">
        <w:rPr>
          <w:sz w:val="24"/>
          <w:lang w:val="en-GB"/>
        </w:rPr>
        <w:t xml:space="preserve">the systems or approaches applied to </w:t>
      </w:r>
      <w:r w:rsidR="00A07819">
        <w:rPr>
          <w:sz w:val="24"/>
          <w:lang w:val="en-GB"/>
        </w:rPr>
        <w:t>measure</w:t>
      </w:r>
      <w:r w:rsidRPr="003D1E5E">
        <w:rPr>
          <w:sz w:val="24"/>
          <w:lang w:val="en-GB"/>
        </w:rPr>
        <w:t xml:space="preserve"> the performance of the</w:t>
      </w:r>
      <w:r w:rsidR="006B48EA">
        <w:rPr>
          <w:sz w:val="24"/>
          <w:lang w:val="en-GB"/>
        </w:rPr>
        <w:t>ir</w:t>
      </w:r>
      <w:r w:rsidRPr="003D1E5E">
        <w:rPr>
          <w:sz w:val="24"/>
          <w:lang w:val="en-GB"/>
        </w:rPr>
        <w:t xml:space="preserve"> project</w:t>
      </w:r>
      <w:r w:rsidR="00BD4957">
        <w:rPr>
          <w:sz w:val="24"/>
          <w:lang w:val="en-GB"/>
        </w:rPr>
        <w:t>s</w:t>
      </w:r>
      <w:r w:rsidRPr="003D1E5E">
        <w:rPr>
          <w:sz w:val="24"/>
          <w:lang w:val="en-GB"/>
        </w:rPr>
        <w:t xml:space="preserve">. </w:t>
      </w:r>
      <w:r w:rsidR="000833C0">
        <w:rPr>
          <w:sz w:val="24"/>
          <w:lang w:val="en-GB"/>
        </w:rPr>
        <w:t>The application of the Performance Prism has the potential to provide</w:t>
      </w:r>
      <w:r w:rsidRPr="003D1E5E">
        <w:rPr>
          <w:sz w:val="24"/>
          <w:lang w:val="en-GB"/>
        </w:rPr>
        <w:t xml:space="preserve"> the public</w:t>
      </w:r>
      <w:r w:rsidR="001C604E">
        <w:rPr>
          <w:sz w:val="24"/>
          <w:lang w:val="en-GB"/>
        </w:rPr>
        <w:t xml:space="preserve"> </w:t>
      </w:r>
      <w:r w:rsidRPr="003D1E5E">
        <w:rPr>
          <w:sz w:val="24"/>
          <w:lang w:val="en-GB"/>
        </w:rPr>
        <w:t xml:space="preserve">and private-sector </w:t>
      </w:r>
      <w:r w:rsidR="000833C0">
        <w:rPr>
          <w:sz w:val="24"/>
          <w:lang w:val="en-GB"/>
        </w:rPr>
        <w:t>with the ability to</w:t>
      </w:r>
      <w:r w:rsidR="00A07819">
        <w:rPr>
          <w:sz w:val="24"/>
          <w:lang w:val="en-GB"/>
        </w:rPr>
        <w:t xml:space="preserve">: (1) evaluate their </w:t>
      </w:r>
      <w:r w:rsidR="00751513" w:rsidRPr="00A07819">
        <w:rPr>
          <w:sz w:val="24"/>
          <w:lang w:val="en-GB"/>
        </w:rPr>
        <w:t>projects by concentrating on the process-based deliverables (e.g., business case, planning, decision on tenderin</w:t>
      </w:r>
      <w:r w:rsidR="00A07819">
        <w:rPr>
          <w:sz w:val="24"/>
          <w:lang w:val="en-GB"/>
        </w:rPr>
        <w:t xml:space="preserve">g or </w:t>
      </w:r>
      <w:r w:rsidR="00751513" w:rsidRPr="00A07819">
        <w:rPr>
          <w:sz w:val="24"/>
          <w:lang w:val="en-GB"/>
        </w:rPr>
        <w:t>bidding, asset design, construction and operation a</w:t>
      </w:r>
      <w:r w:rsidR="00F039C6" w:rsidRPr="00A07819">
        <w:rPr>
          <w:sz w:val="24"/>
          <w:lang w:val="en-GB"/>
        </w:rPr>
        <w:t>nd/or facility maintenance);</w:t>
      </w:r>
      <w:r w:rsidR="00751513" w:rsidRPr="00A07819">
        <w:rPr>
          <w:sz w:val="24"/>
          <w:lang w:val="en-GB"/>
        </w:rPr>
        <w:t xml:space="preserve"> </w:t>
      </w:r>
      <w:r w:rsidR="00A07819">
        <w:rPr>
          <w:sz w:val="24"/>
          <w:lang w:val="en-GB"/>
        </w:rPr>
        <w:t xml:space="preserve">(2) </w:t>
      </w:r>
      <w:r w:rsidR="000833C0">
        <w:rPr>
          <w:sz w:val="24"/>
          <w:lang w:val="en-GB"/>
        </w:rPr>
        <w:t>undertake</w:t>
      </w:r>
      <w:r w:rsidR="000833C0" w:rsidRPr="00A07819">
        <w:rPr>
          <w:sz w:val="24"/>
          <w:lang w:val="en-GB"/>
        </w:rPr>
        <w:t xml:space="preserve"> </w:t>
      </w:r>
      <w:r w:rsidR="00751513" w:rsidRPr="00A07819">
        <w:rPr>
          <w:sz w:val="24"/>
          <w:lang w:val="en-GB"/>
        </w:rPr>
        <w:t xml:space="preserve">an examination of </w:t>
      </w:r>
      <w:proofErr w:type="spellStart"/>
      <w:r w:rsidR="00751513" w:rsidRPr="00A07819">
        <w:rPr>
          <w:sz w:val="24"/>
          <w:lang w:val="en-GB"/>
        </w:rPr>
        <w:t>V</w:t>
      </w:r>
      <w:r w:rsidR="00751513" w:rsidRPr="00A07819">
        <w:rPr>
          <w:i/>
          <w:sz w:val="24"/>
          <w:lang w:val="en-GB"/>
        </w:rPr>
        <w:t>f</w:t>
      </w:r>
      <w:r w:rsidR="00F039C6" w:rsidRPr="00A07819">
        <w:rPr>
          <w:sz w:val="24"/>
          <w:lang w:val="en-GB"/>
        </w:rPr>
        <w:t>M</w:t>
      </w:r>
      <w:proofErr w:type="spellEnd"/>
      <w:r w:rsidR="00F039C6" w:rsidRPr="00A07819">
        <w:rPr>
          <w:sz w:val="24"/>
          <w:lang w:val="en-GB"/>
        </w:rPr>
        <w:t xml:space="preserve">; and </w:t>
      </w:r>
      <w:r w:rsidR="00A07819">
        <w:rPr>
          <w:sz w:val="24"/>
          <w:lang w:val="en-GB"/>
        </w:rPr>
        <w:t xml:space="preserve">(3) </w:t>
      </w:r>
      <w:r w:rsidR="00751513" w:rsidRPr="00A07819">
        <w:rPr>
          <w:sz w:val="24"/>
          <w:lang w:val="en-GB"/>
        </w:rPr>
        <w:t>examine the effectiveness/ef</w:t>
      </w:r>
      <w:r w:rsidR="00F039C6" w:rsidRPr="00A07819">
        <w:rPr>
          <w:sz w:val="24"/>
          <w:lang w:val="en-GB"/>
        </w:rPr>
        <w:t>ficiency of learning mechanisms</w:t>
      </w:r>
      <w:r w:rsidR="000833C0">
        <w:rPr>
          <w:sz w:val="24"/>
          <w:lang w:val="en-GB"/>
        </w:rPr>
        <w:t xml:space="preserve"> to be employed</w:t>
      </w:r>
      <w:r w:rsidR="00A07819">
        <w:rPr>
          <w:sz w:val="24"/>
          <w:lang w:val="en-GB"/>
        </w:rPr>
        <w:t>.</w:t>
      </w:r>
      <w:r w:rsidR="00751513" w:rsidRPr="00A07819">
        <w:rPr>
          <w:sz w:val="24"/>
          <w:lang w:val="en-GB"/>
        </w:rPr>
        <w:t xml:space="preserve"> </w:t>
      </w:r>
      <w:r w:rsidR="000833C0">
        <w:rPr>
          <w:sz w:val="24"/>
          <w:lang w:val="en-GB"/>
        </w:rPr>
        <w:t>T</w:t>
      </w:r>
      <w:r w:rsidR="00A07819">
        <w:rPr>
          <w:sz w:val="24"/>
          <w:lang w:val="en-GB"/>
        </w:rPr>
        <w:t>hese</w:t>
      </w:r>
      <w:r w:rsidR="000833C0">
        <w:rPr>
          <w:sz w:val="24"/>
          <w:lang w:val="en-GB"/>
        </w:rPr>
        <w:t xml:space="preserve"> immediate</w:t>
      </w:r>
      <w:r w:rsidR="00A07819">
        <w:rPr>
          <w:sz w:val="24"/>
          <w:lang w:val="en-GB"/>
        </w:rPr>
        <w:t xml:space="preserve"> benefits</w:t>
      </w:r>
      <w:r w:rsidRPr="00F039C6">
        <w:rPr>
          <w:sz w:val="24"/>
          <w:lang w:val="en-GB"/>
        </w:rPr>
        <w:t xml:space="preserve"> will </w:t>
      </w:r>
      <w:r w:rsidR="000833C0">
        <w:rPr>
          <w:sz w:val="24"/>
          <w:lang w:val="en-GB"/>
        </w:rPr>
        <w:t xml:space="preserve">provide the basis for ensuring </w:t>
      </w:r>
      <w:r w:rsidR="000833C0">
        <w:rPr>
          <w:sz w:val="24"/>
          <w:lang w:val="en-GB"/>
        </w:rPr>
        <w:lastRenderedPageBreak/>
        <w:t>projects processes and product are deliver</w:t>
      </w:r>
      <w:r w:rsidR="006B48EA">
        <w:rPr>
          <w:sz w:val="24"/>
          <w:lang w:val="en-GB"/>
        </w:rPr>
        <w:t>ed</w:t>
      </w:r>
      <w:r w:rsidR="000833C0">
        <w:rPr>
          <w:sz w:val="24"/>
          <w:lang w:val="en-GB"/>
        </w:rPr>
        <w:t xml:space="preserve"> successfully</w:t>
      </w:r>
      <w:r w:rsidR="000833C0" w:rsidRPr="00C479A5">
        <w:rPr>
          <w:sz w:val="24"/>
          <w:lang w:val="en-GB"/>
        </w:rPr>
        <w:t xml:space="preserve">. </w:t>
      </w:r>
      <w:r w:rsidRPr="00C479A5">
        <w:rPr>
          <w:sz w:val="24"/>
          <w:lang w:val="en-GB"/>
        </w:rPr>
        <w:t xml:space="preserve">Figure 7 depicts </w:t>
      </w:r>
      <w:r w:rsidR="00A07819" w:rsidRPr="00C479A5">
        <w:rPr>
          <w:sz w:val="24"/>
          <w:lang w:val="en-GB"/>
        </w:rPr>
        <w:t xml:space="preserve">how a shift from conventional </w:t>
      </w:r>
      <w:r w:rsidR="00A07819" w:rsidRPr="00C479A5">
        <w:rPr>
          <w:i/>
          <w:sz w:val="24"/>
          <w:lang w:val="en-GB"/>
        </w:rPr>
        <w:t>ex-ante</w:t>
      </w:r>
      <w:r w:rsidR="00A07819" w:rsidRPr="00C479A5">
        <w:rPr>
          <w:sz w:val="24"/>
          <w:lang w:val="en-GB"/>
        </w:rPr>
        <w:t>/</w:t>
      </w:r>
      <w:r w:rsidR="00A07819" w:rsidRPr="00C479A5">
        <w:rPr>
          <w:i/>
          <w:sz w:val="24"/>
          <w:lang w:val="en-GB"/>
        </w:rPr>
        <w:t>ex-post</w:t>
      </w:r>
      <w:r w:rsidR="00A07819" w:rsidRPr="00C479A5">
        <w:rPr>
          <w:sz w:val="24"/>
          <w:lang w:val="en-GB"/>
        </w:rPr>
        <w:t xml:space="preserve"> evaluations to a life-cycle measurement that addresses the perspectives of the developed </w:t>
      </w:r>
      <w:r w:rsidR="000833C0" w:rsidRPr="00C479A5">
        <w:rPr>
          <w:sz w:val="24"/>
          <w:lang w:val="en-GB"/>
        </w:rPr>
        <w:t xml:space="preserve">Performance </w:t>
      </w:r>
      <w:r w:rsidR="00A07819" w:rsidRPr="00C479A5">
        <w:rPr>
          <w:sz w:val="24"/>
          <w:lang w:val="en-GB"/>
        </w:rPr>
        <w:t xml:space="preserve">Prism </w:t>
      </w:r>
      <w:r w:rsidR="007270EE" w:rsidRPr="00C479A5">
        <w:rPr>
          <w:sz w:val="24"/>
          <w:lang w:val="en-GB"/>
        </w:rPr>
        <w:t xml:space="preserve">will be </w:t>
      </w:r>
      <w:r w:rsidR="00701337" w:rsidRPr="00C479A5">
        <w:rPr>
          <w:sz w:val="24"/>
          <w:lang w:val="en-GB"/>
        </w:rPr>
        <w:t xml:space="preserve">future-proofing PPPs, for example, </w:t>
      </w:r>
      <w:r w:rsidR="00293B05" w:rsidRPr="00C479A5">
        <w:rPr>
          <w:sz w:val="24"/>
          <w:lang w:val="en-GB"/>
        </w:rPr>
        <w:t>enabling</w:t>
      </w:r>
      <w:r w:rsidR="00701337" w:rsidRPr="00C479A5">
        <w:rPr>
          <w:sz w:val="24"/>
          <w:lang w:val="en-GB"/>
        </w:rPr>
        <w:t xml:space="preserve"> </w:t>
      </w:r>
      <w:r w:rsidR="006B48EA" w:rsidRPr="00C479A5">
        <w:rPr>
          <w:sz w:val="24"/>
          <w:lang w:val="en-GB"/>
        </w:rPr>
        <w:t xml:space="preserve">an </w:t>
      </w:r>
      <w:r w:rsidR="00701337" w:rsidRPr="00C479A5">
        <w:rPr>
          <w:sz w:val="24"/>
          <w:lang w:val="en-GB"/>
        </w:rPr>
        <w:t>asset’</w:t>
      </w:r>
      <w:r w:rsidR="00293B05" w:rsidRPr="00C479A5">
        <w:rPr>
          <w:sz w:val="24"/>
          <w:lang w:val="en-GB"/>
        </w:rPr>
        <w:t>s</w:t>
      </w:r>
      <w:r w:rsidR="00F16F9F" w:rsidRPr="00C479A5">
        <w:rPr>
          <w:sz w:val="24"/>
          <w:lang w:val="en-GB"/>
        </w:rPr>
        <w:t xml:space="preserve"> sustainability and ensuring </w:t>
      </w:r>
      <w:r w:rsidR="006B48EA" w:rsidRPr="00C479A5">
        <w:rPr>
          <w:sz w:val="24"/>
          <w:lang w:val="en-GB"/>
        </w:rPr>
        <w:t xml:space="preserve">a </w:t>
      </w:r>
      <w:r w:rsidR="00F16F9F" w:rsidRPr="00C479A5">
        <w:rPr>
          <w:sz w:val="24"/>
          <w:lang w:val="en-GB"/>
        </w:rPr>
        <w:t>continuous value to meet key stakeholders’ expectations.</w:t>
      </w:r>
    </w:p>
    <w:p w14:paraId="45E21106" w14:textId="3BE5EA02" w:rsidR="00667F8C" w:rsidRDefault="00667F8C" w:rsidP="00A07819">
      <w:pPr>
        <w:spacing w:line="480" w:lineRule="auto"/>
        <w:rPr>
          <w:sz w:val="24"/>
          <w:lang w:val="en-GB"/>
        </w:rPr>
      </w:pPr>
    </w:p>
    <w:p w14:paraId="7E4F159B" w14:textId="635C6D66" w:rsidR="00C479A5" w:rsidRDefault="00C479A5" w:rsidP="00A07819">
      <w:pPr>
        <w:spacing w:line="480" w:lineRule="auto"/>
        <w:rPr>
          <w:sz w:val="24"/>
          <w:lang w:val="en-GB"/>
        </w:rPr>
      </w:pPr>
      <w:r>
        <w:rPr>
          <w:noProof/>
          <w:sz w:val="24"/>
          <w:lang w:val="en-GB" w:eastAsia="en-GB"/>
        </w:rPr>
        <w:drawing>
          <wp:inline distT="0" distB="0" distL="0" distR="0" wp14:anchorId="13869041" wp14:editId="4146BC75">
            <wp:extent cx="5874385" cy="34687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23" cy="347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B3FFC1" w14:textId="017F0B50" w:rsidR="00D67E8C" w:rsidRDefault="00667F8C" w:rsidP="00111CC2">
      <w:pPr>
        <w:spacing w:line="480" w:lineRule="auto"/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Figure 7: </w:t>
      </w:r>
      <w:r w:rsidR="00D46A2A" w:rsidRPr="00D46A2A">
        <w:rPr>
          <w:sz w:val="24"/>
          <w:lang w:val="en-GB"/>
        </w:rPr>
        <w:t xml:space="preserve">Performance </w:t>
      </w:r>
      <w:r w:rsidRPr="00D46A2A">
        <w:rPr>
          <w:sz w:val="24"/>
          <w:lang w:val="en-AU"/>
        </w:rPr>
        <w:t>Pri</w:t>
      </w:r>
      <w:r w:rsidR="00DB0D7F" w:rsidRPr="00D46A2A">
        <w:rPr>
          <w:sz w:val="24"/>
          <w:lang w:val="en-AU"/>
        </w:rPr>
        <w:t>s</w:t>
      </w:r>
      <w:r w:rsidRPr="00D46A2A">
        <w:rPr>
          <w:sz w:val="24"/>
          <w:lang w:val="en-AU"/>
        </w:rPr>
        <w:t>m</w:t>
      </w:r>
      <w:r w:rsidRPr="00667F8C">
        <w:rPr>
          <w:sz w:val="24"/>
          <w:lang w:val="en-AU"/>
        </w:rPr>
        <w:t xml:space="preserve"> framework in benefiting PPPs</w:t>
      </w:r>
    </w:p>
    <w:p w14:paraId="70674A27" w14:textId="77777777" w:rsidR="00CE6AF9" w:rsidRPr="00A07819" w:rsidRDefault="00A07819" w:rsidP="00B73E46">
      <w:pPr>
        <w:spacing w:line="480" w:lineRule="auto"/>
        <w:rPr>
          <w:i/>
          <w:sz w:val="24"/>
          <w:lang w:val="en-GB"/>
        </w:rPr>
      </w:pPr>
      <w:r w:rsidRPr="00A07819">
        <w:rPr>
          <w:i/>
          <w:sz w:val="22"/>
          <w:lang w:val="en-GB"/>
        </w:rPr>
        <w:t>Note: “+” denotes the positive effects generated by the framework on PPPs</w:t>
      </w:r>
    </w:p>
    <w:p w14:paraId="4594BF77" w14:textId="77777777" w:rsidR="00A07819" w:rsidRDefault="00A07819" w:rsidP="00B73E46">
      <w:pPr>
        <w:spacing w:line="480" w:lineRule="auto"/>
        <w:rPr>
          <w:sz w:val="24"/>
          <w:lang w:val="en-GB"/>
        </w:rPr>
      </w:pPr>
    </w:p>
    <w:p w14:paraId="76821776" w14:textId="77777777" w:rsidR="000833C0" w:rsidRDefault="000279D6" w:rsidP="00794D1E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 xml:space="preserve">As noted </w:t>
      </w:r>
      <w:r w:rsidR="00BF6AC1">
        <w:rPr>
          <w:sz w:val="24"/>
          <w:lang w:val="en-GB"/>
        </w:rPr>
        <w:t>from</w:t>
      </w:r>
      <w:r w:rsidRPr="003D1E5E">
        <w:rPr>
          <w:sz w:val="24"/>
          <w:lang w:val="en-GB"/>
        </w:rPr>
        <w:t xml:space="preserve"> Figure 7, changing</w:t>
      </w:r>
      <w:r w:rsidR="000833C0">
        <w:rPr>
          <w:sz w:val="24"/>
          <w:lang w:val="en-GB"/>
        </w:rPr>
        <w:t xml:space="preserve"> a</w:t>
      </w:r>
      <w:r w:rsidRPr="003D1E5E">
        <w:rPr>
          <w:sz w:val="24"/>
          <w:lang w:val="en-GB"/>
        </w:rPr>
        <w:t xml:space="preserve"> </w:t>
      </w:r>
      <w:proofErr w:type="spellStart"/>
      <w:r w:rsidRPr="003D1E5E">
        <w:rPr>
          <w:sz w:val="24"/>
          <w:lang w:val="en-GB"/>
        </w:rPr>
        <w:t>V</w:t>
      </w:r>
      <w:r w:rsidRPr="003D1E5E">
        <w:rPr>
          <w:i/>
          <w:sz w:val="24"/>
          <w:lang w:val="en-GB"/>
        </w:rPr>
        <w:t>f</w:t>
      </w:r>
      <w:r w:rsidRPr="003D1E5E">
        <w:rPr>
          <w:sz w:val="24"/>
          <w:lang w:val="en-GB"/>
        </w:rPr>
        <w:t>M</w:t>
      </w:r>
      <w:proofErr w:type="spellEnd"/>
      <w:r w:rsidRPr="003D1E5E">
        <w:rPr>
          <w:sz w:val="24"/>
          <w:lang w:val="en-GB"/>
        </w:rPr>
        <w:t xml:space="preserve"> assessment from a finance-focused </w:t>
      </w:r>
      <w:r w:rsidR="008B606A" w:rsidRPr="003D1E5E">
        <w:rPr>
          <w:sz w:val="24"/>
          <w:lang w:val="en-GB"/>
        </w:rPr>
        <w:t>evaluation</w:t>
      </w:r>
      <w:r w:rsidRPr="003D1E5E">
        <w:rPr>
          <w:sz w:val="24"/>
          <w:lang w:val="en-GB"/>
        </w:rPr>
        <w:t xml:space="preserve"> to a comprehensive life-cycle </w:t>
      </w:r>
      <w:r w:rsidR="008B606A" w:rsidRPr="003D1E5E">
        <w:rPr>
          <w:sz w:val="24"/>
          <w:lang w:val="en-GB"/>
        </w:rPr>
        <w:t xml:space="preserve">examination </w:t>
      </w:r>
      <w:r w:rsidR="000833C0">
        <w:rPr>
          <w:sz w:val="24"/>
          <w:lang w:val="en-GB"/>
        </w:rPr>
        <w:t>may</w:t>
      </w:r>
      <w:r w:rsidR="000833C0" w:rsidRPr="003D1E5E">
        <w:rPr>
          <w:sz w:val="24"/>
          <w:lang w:val="en-GB"/>
        </w:rPr>
        <w:t xml:space="preserve"> </w:t>
      </w:r>
      <w:r w:rsidR="008B606A" w:rsidRPr="003D1E5E">
        <w:rPr>
          <w:sz w:val="24"/>
          <w:lang w:val="en-GB"/>
        </w:rPr>
        <w:t xml:space="preserve">significantly </w:t>
      </w:r>
      <w:r w:rsidR="00EE2A10" w:rsidRPr="003D1E5E">
        <w:rPr>
          <w:sz w:val="24"/>
          <w:lang w:val="en-GB"/>
        </w:rPr>
        <w:t>improve</w:t>
      </w:r>
      <w:r w:rsidR="008B606A" w:rsidRPr="003D1E5E">
        <w:rPr>
          <w:sz w:val="24"/>
          <w:lang w:val="en-GB"/>
        </w:rPr>
        <w:t xml:space="preserve"> the veracity of the business cases of PPPs. </w:t>
      </w:r>
      <w:r w:rsidR="00EE2A10" w:rsidRPr="003D1E5E">
        <w:rPr>
          <w:sz w:val="24"/>
          <w:lang w:val="en-GB"/>
        </w:rPr>
        <w:t>In turn, t</w:t>
      </w:r>
      <w:r w:rsidR="008B606A" w:rsidRPr="003D1E5E">
        <w:rPr>
          <w:sz w:val="24"/>
          <w:lang w:val="en-GB"/>
        </w:rPr>
        <w:t xml:space="preserve">his </w:t>
      </w:r>
      <w:r w:rsidR="000833C0">
        <w:rPr>
          <w:sz w:val="24"/>
          <w:lang w:val="en-GB"/>
        </w:rPr>
        <w:t>may</w:t>
      </w:r>
      <w:r w:rsidR="000833C0" w:rsidRPr="003D1E5E">
        <w:rPr>
          <w:sz w:val="24"/>
          <w:lang w:val="en-GB"/>
        </w:rPr>
        <w:t xml:space="preserve"> </w:t>
      </w:r>
      <w:r w:rsidR="008B606A" w:rsidRPr="003D1E5E">
        <w:rPr>
          <w:sz w:val="24"/>
          <w:lang w:val="en-GB"/>
        </w:rPr>
        <w:t xml:space="preserve">provide the government with a broader concept of </w:t>
      </w:r>
      <w:proofErr w:type="spellStart"/>
      <w:r w:rsidR="008B606A" w:rsidRPr="003D1E5E">
        <w:rPr>
          <w:sz w:val="24"/>
          <w:lang w:val="en-GB"/>
        </w:rPr>
        <w:t>V</w:t>
      </w:r>
      <w:r w:rsidR="008B606A" w:rsidRPr="003D1E5E">
        <w:rPr>
          <w:i/>
          <w:sz w:val="24"/>
          <w:lang w:val="en-GB"/>
        </w:rPr>
        <w:t>f</w:t>
      </w:r>
      <w:r w:rsidR="008B606A" w:rsidRPr="003D1E5E">
        <w:rPr>
          <w:sz w:val="24"/>
          <w:lang w:val="en-GB"/>
        </w:rPr>
        <w:t>M</w:t>
      </w:r>
      <w:proofErr w:type="spellEnd"/>
      <w:r w:rsidR="008B606A" w:rsidRPr="003D1E5E">
        <w:rPr>
          <w:sz w:val="24"/>
          <w:lang w:val="en-GB"/>
        </w:rPr>
        <w:t xml:space="preserve"> and </w:t>
      </w:r>
      <w:r w:rsidR="000833C0">
        <w:rPr>
          <w:sz w:val="24"/>
          <w:lang w:val="en-GB"/>
        </w:rPr>
        <w:t>provide guidance</w:t>
      </w:r>
      <w:r w:rsidR="008B606A" w:rsidRPr="003D1E5E">
        <w:rPr>
          <w:sz w:val="24"/>
          <w:lang w:val="en-GB"/>
        </w:rPr>
        <w:t xml:space="preserve"> to pursue a complete </w:t>
      </w:r>
      <w:r w:rsidR="00EE2A10" w:rsidRPr="003D1E5E">
        <w:rPr>
          <w:sz w:val="24"/>
          <w:lang w:val="en-GB"/>
        </w:rPr>
        <w:t>realization</w:t>
      </w:r>
      <w:r w:rsidR="008B606A" w:rsidRPr="003D1E5E">
        <w:rPr>
          <w:sz w:val="24"/>
          <w:lang w:val="en-GB"/>
        </w:rPr>
        <w:t xml:space="preserve"> of project success</w:t>
      </w:r>
      <w:r w:rsidR="000833C0">
        <w:rPr>
          <w:sz w:val="24"/>
          <w:lang w:val="en-GB"/>
        </w:rPr>
        <w:t>.</w:t>
      </w:r>
      <w:r w:rsidR="00A16A13">
        <w:rPr>
          <w:sz w:val="24"/>
          <w:lang w:val="en-GB"/>
        </w:rPr>
        <w:t xml:space="preserve"> T</w:t>
      </w:r>
      <w:r w:rsidR="00B73E46" w:rsidRPr="003D1E5E">
        <w:rPr>
          <w:sz w:val="24"/>
          <w:lang w:val="en-GB"/>
        </w:rPr>
        <w:t xml:space="preserve">he </w:t>
      </w:r>
      <w:r w:rsidR="00BF6AC1">
        <w:rPr>
          <w:sz w:val="24"/>
          <w:lang w:val="en-GB"/>
        </w:rPr>
        <w:t>process-</w:t>
      </w:r>
      <w:r w:rsidR="00A16A13">
        <w:rPr>
          <w:sz w:val="24"/>
          <w:lang w:val="en-GB"/>
        </w:rPr>
        <w:t xml:space="preserve"> and </w:t>
      </w:r>
      <w:r w:rsidR="008B606A" w:rsidRPr="003D1E5E">
        <w:rPr>
          <w:sz w:val="24"/>
          <w:lang w:val="en-GB"/>
        </w:rPr>
        <w:t>stakeholder-oriented measurement</w:t>
      </w:r>
      <w:r w:rsidR="00133957" w:rsidRPr="003D1E5E">
        <w:rPr>
          <w:sz w:val="24"/>
          <w:lang w:val="en-GB"/>
        </w:rPr>
        <w:t>, which is underpinned by a life-cycle learning mechanism,</w:t>
      </w:r>
      <w:r w:rsidR="008B606A" w:rsidRPr="003D1E5E">
        <w:rPr>
          <w:sz w:val="24"/>
          <w:lang w:val="en-GB"/>
        </w:rPr>
        <w:t xml:space="preserve"> </w:t>
      </w:r>
      <w:r w:rsidR="0068164D" w:rsidRPr="003D1E5E">
        <w:rPr>
          <w:sz w:val="24"/>
          <w:lang w:val="en-GB"/>
        </w:rPr>
        <w:t>is capable of effectively capturing</w:t>
      </w:r>
      <w:r w:rsidR="008B606A" w:rsidRPr="003D1E5E">
        <w:rPr>
          <w:sz w:val="24"/>
          <w:lang w:val="en-GB"/>
        </w:rPr>
        <w:t xml:space="preserve"> the </w:t>
      </w:r>
      <w:r w:rsidR="002D4824" w:rsidRPr="003D1E5E">
        <w:rPr>
          <w:sz w:val="24"/>
          <w:lang w:val="en-GB"/>
        </w:rPr>
        <w:t>conditions</w:t>
      </w:r>
      <w:r w:rsidR="008B606A" w:rsidRPr="003D1E5E">
        <w:rPr>
          <w:sz w:val="24"/>
          <w:lang w:val="en-GB"/>
        </w:rPr>
        <w:t xml:space="preserve"> of </w:t>
      </w:r>
      <w:r w:rsidR="006B48EA">
        <w:rPr>
          <w:sz w:val="24"/>
          <w:lang w:val="en-GB"/>
        </w:rPr>
        <w:t xml:space="preserve">a </w:t>
      </w:r>
      <w:r w:rsidR="008B606A" w:rsidRPr="003D1E5E">
        <w:rPr>
          <w:sz w:val="24"/>
          <w:lang w:val="en-GB"/>
        </w:rPr>
        <w:t>PPP</w:t>
      </w:r>
      <w:r w:rsidR="00A16A13">
        <w:rPr>
          <w:sz w:val="24"/>
          <w:lang w:val="en-GB"/>
        </w:rPr>
        <w:t xml:space="preserve"> project’s </w:t>
      </w:r>
      <w:r w:rsidR="00A16A13">
        <w:rPr>
          <w:sz w:val="24"/>
          <w:lang w:val="en-GB"/>
        </w:rPr>
        <w:lastRenderedPageBreak/>
        <w:t xml:space="preserve">initiation and planning, procurement, construction, </w:t>
      </w:r>
      <w:r w:rsidR="008B606A" w:rsidRPr="003D1E5E">
        <w:rPr>
          <w:sz w:val="24"/>
          <w:lang w:val="en-GB"/>
        </w:rPr>
        <w:t xml:space="preserve">operation and facility management. </w:t>
      </w:r>
    </w:p>
    <w:p w14:paraId="77CB04E5" w14:textId="77777777" w:rsidR="000833C0" w:rsidRDefault="000833C0" w:rsidP="00794D1E">
      <w:pPr>
        <w:spacing w:line="480" w:lineRule="auto"/>
        <w:rPr>
          <w:sz w:val="24"/>
          <w:lang w:val="en-GB"/>
        </w:rPr>
      </w:pPr>
    </w:p>
    <w:p w14:paraId="4287CF49" w14:textId="0F0589EF" w:rsidR="0018622E" w:rsidRPr="003D1E5E" w:rsidRDefault="0068164D" w:rsidP="00794D1E">
      <w:pPr>
        <w:spacing w:line="480" w:lineRule="auto"/>
        <w:rPr>
          <w:sz w:val="24"/>
          <w:lang w:val="en-GB"/>
        </w:rPr>
      </w:pPr>
      <w:r w:rsidRPr="00C479A5">
        <w:rPr>
          <w:sz w:val="24"/>
          <w:lang w:val="en-GB"/>
        </w:rPr>
        <w:t>T</w:t>
      </w:r>
      <w:r w:rsidR="008B606A" w:rsidRPr="00C479A5">
        <w:rPr>
          <w:sz w:val="24"/>
          <w:lang w:val="en-GB"/>
        </w:rPr>
        <w:t xml:space="preserve">his type of measurement </w:t>
      </w:r>
      <w:r w:rsidR="00A16A13" w:rsidRPr="00C479A5">
        <w:rPr>
          <w:sz w:val="24"/>
          <w:lang w:val="en-GB"/>
        </w:rPr>
        <w:t xml:space="preserve">can </w:t>
      </w:r>
      <w:r w:rsidR="008B606A" w:rsidRPr="00C479A5">
        <w:rPr>
          <w:sz w:val="24"/>
          <w:lang w:val="en-GB"/>
        </w:rPr>
        <w:t xml:space="preserve">benefit </w:t>
      </w:r>
      <w:r w:rsidR="006B48EA" w:rsidRPr="00C479A5">
        <w:rPr>
          <w:sz w:val="24"/>
          <w:lang w:val="en-GB"/>
        </w:rPr>
        <w:t xml:space="preserve">the </w:t>
      </w:r>
      <w:r w:rsidR="008B606A" w:rsidRPr="00C479A5">
        <w:rPr>
          <w:sz w:val="24"/>
          <w:lang w:val="en-GB"/>
        </w:rPr>
        <w:t xml:space="preserve">government by improving their </w:t>
      </w:r>
      <w:r w:rsidRPr="00C479A5">
        <w:rPr>
          <w:sz w:val="24"/>
          <w:lang w:val="en-GB"/>
        </w:rPr>
        <w:t xml:space="preserve">efficiency in decision making </w:t>
      </w:r>
      <w:r w:rsidR="00A16A13" w:rsidRPr="00C479A5">
        <w:rPr>
          <w:sz w:val="24"/>
          <w:lang w:val="en-GB"/>
        </w:rPr>
        <w:t xml:space="preserve">in terms of </w:t>
      </w:r>
      <w:r w:rsidR="008B606A" w:rsidRPr="00C479A5">
        <w:rPr>
          <w:sz w:val="24"/>
          <w:lang w:val="en-GB"/>
        </w:rPr>
        <w:t>the opti</w:t>
      </w:r>
      <w:r w:rsidR="00A16A13" w:rsidRPr="00C479A5">
        <w:rPr>
          <w:sz w:val="24"/>
          <w:lang w:val="en-GB"/>
        </w:rPr>
        <w:t>ons for infrastructure delivery. At the same time, it can assist</w:t>
      </w:r>
      <w:r w:rsidR="008B606A" w:rsidRPr="00C479A5">
        <w:rPr>
          <w:sz w:val="24"/>
          <w:lang w:val="en-GB"/>
        </w:rPr>
        <w:t xml:space="preserve"> the private</w:t>
      </w:r>
      <w:r w:rsidRPr="00C479A5">
        <w:rPr>
          <w:sz w:val="24"/>
          <w:lang w:val="en-GB"/>
        </w:rPr>
        <w:t>-sector</w:t>
      </w:r>
      <w:r w:rsidR="008B606A" w:rsidRPr="00C479A5">
        <w:rPr>
          <w:sz w:val="24"/>
          <w:lang w:val="en-GB"/>
        </w:rPr>
        <w:t xml:space="preserve"> entity to effectively and efficiently monitor their deliverables and completely meet the key stakeholders’ expectations over the project life-cycle.</w:t>
      </w:r>
      <w:r w:rsidR="008B606A" w:rsidRPr="003D1E5E">
        <w:rPr>
          <w:sz w:val="24"/>
          <w:lang w:val="en-GB"/>
        </w:rPr>
        <w:t xml:space="preserve"> </w:t>
      </w:r>
      <w:r w:rsidR="0018622E" w:rsidRPr="003D1E5E">
        <w:rPr>
          <w:sz w:val="24"/>
          <w:lang w:val="en-GB"/>
        </w:rPr>
        <w:t xml:space="preserve">For instance, while the government </w:t>
      </w:r>
      <w:r w:rsidR="006B48EA">
        <w:rPr>
          <w:sz w:val="24"/>
          <w:lang w:val="en-GB"/>
        </w:rPr>
        <w:t>can</w:t>
      </w:r>
      <w:r w:rsidR="0018622E" w:rsidRPr="003D1E5E">
        <w:rPr>
          <w:sz w:val="24"/>
          <w:lang w:val="en-GB"/>
        </w:rPr>
        <w:t xml:space="preserve"> oversee the performance of its PPP project by screening th</w:t>
      </w:r>
      <w:r w:rsidR="00267C79" w:rsidRPr="003D1E5E">
        <w:rPr>
          <w:sz w:val="24"/>
          <w:lang w:val="en-GB"/>
        </w:rPr>
        <w:t xml:space="preserve">e design KPIs or FM KPIs, </w:t>
      </w:r>
      <w:r w:rsidRPr="003D1E5E">
        <w:rPr>
          <w:sz w:val="24"/>
          <w:lang w:val="en-GB"/>
        </w:rPr>
        <w:t xml:space="preserve">the </w:t>
      </w:r>
      <w:r w:rsidR="00267C79" w:rsidRPr="003D1E5E">
        <w:rPr>
          <w:sz w:val="24"/>
          <w:lang w:val="en-GB"/>
        </w:rPr>
        <w:t xml:space="preserve">private SPV can also examine such KPIs to understand whether </w:t>
      </w:r>
      <w:r w:rsidRPr="003D1E5E">
        <w:rPr>
          <w:sz w:val="24"/>
          <w:lang w:val="en-GB"/>
        </w:rPr>
        <w:t>the public client/end-users are satisfied with the operational outputs.</w:t>
      </w:r>
    </w:p>
    <w:p w14:paraId="6F27F45D" w14:textId="77777777" w:rsidR="0018622E" w:rsidRPr="003D1E5E" w:rsidRDefault="0018622E" w:rsidP="00794D1E">
      <w:pPr>
        <w:spacing w:line="480" w:lineRule="auto"/>
        <w:rPr>
          <w:sz w:val="24"/>
          <w:lang w:val="en-GB"/>
        </w:rPr>
      </w:pPr>
    </w:p>
    <w:p w14:paraId="6AD6939C" w14:textId="697A3A9B" w:rsidR="00B73E46" w:rsidRPr="003D1E5E" w:rsidRDefault="008B606A" w:rsidP="00794D1E">
      <w:pPr>
        <w:spacing w:line="480" w:lineRule="auto"/>
        <w:rPr>
          <w:sz w:val="24"/>
          <w:lang w:val="en-GB"/>
        </w:rPr>
      </w:pPr>
      <w:r w:rsidRPr="00C479A5">
        <w:rPr>
          <w:sz w:val="24"/>
          <w:lang w:val="en-GB"/>
        </w:rPr>
        <w:t xml:space="preserve">As a </w:t>
      </w:r>
      <w:r w:rsidR="00E86B0D" w:rsidRPr="00C479A5">
        <w:rPr>
          <w:sz w:val="24"/>
          <w:lang w:val="en-GB"/>
        </w:rPr>
        <w:t>consequence</w:t>
      </w:r>
      <w:r w:rsidR="00267C79" w:rsidRPr="00C479A5">
        <w:rPr>
          <w:sz w:val="24"/>
          <w:lang w:val="en-GB"/>
        </w:rPr>
        <w:t xml:space="preserve"> of </w:t>
      </w:r>
      <w:r w:rsidR="00A16A13" w:rsidRPr="00C479A5">
        <w:rPr>
          <w:sz w:val="24"/>
          <w:lang w:val="en-GB"/>
        </w:rPr>
        <w:t xml:space="preserve">embedding a learning mechanism into the KPIs, </w:t>
      </w:r>
      <w:r w:rsidR="00267C79" w:rsidRPr="00C479A5">
        <w:rPr>
          <w:sz w:val="24"/>
          <w:lang w:val="en-GB"/>
        </w:rPr>
        <w:t>the quality (e.g.,</w:t>
      </w:r>
      <w:r w:rsidR="00E86B0D" w:rsidRPr="00C479A5">
        <w:rPr>
          <w:sz w:val="24"/>
          <w:lang w:val="en-GB"/>
        </w:rPr>
        <w:t xml:space="preserve"> physical </w:t>
      </w:r>
      <w:r w:rsidR="00267C79" w:rsidRPr="00C479A5">
        <w:rPr>
          <w:sz w:val="24"/>
          <w:lang w:val="en-GB"/>
        </w:rPr>
        <w:t>quality and service quality) as well as the</w:t>
      </w:r>
      <w:r w:rsidR="00E86B0D" w:rsidRPr="00C479A5">
        <w:rPr>
          <w:sz w:val="24"/>
          <w:lang w:val="en-GB"/>
        </w:rPr>
        <w:t xml:space="preserve"> sustainability of the built asset</w:t>
      </w:r>
      <w:r w:rsidR="00A16A13" w:rsidRPr="00C479A5">
        <w:rPr>
          <w:sz w:val="24"/>
          <w:lang w:val="en-GB"/>
        </w:rPr>
        <w:t xml:space="preserve"> will be enhanced. This leads</w:t>
      </w:r>
      <w:r w:rsidR="00E86B0D" w:rsidRPr="00C479A5">
        <w:rPr>
          <w:sz w:val="24"/>
          <w:lang w:val="en-GB"/>
        </w:rPr>
        <w:t xml:space="preserve"> to an increase in end user satisfaction and a decrease in risks that can result in the underachievement of </w:t>
      </w:r>
      <w:proofErr w:type="spellStart"/>
      <w:r w:rsidR="00E86B0D" w:rsidRPr="00C479A5">
        <w:rPr>
          <w:sz w:val="24"/>
          <w:lang w:val="en-GB"/>
        </w:rPr>
        <w:t>V</w:t>
      </w:r>
      <w:r w:rsidR="00E86B0D" w:rsidRPr="00C479A5">
        <w:rPr>
          <w:i/>
          <w:sz w:val="24"/>
          <w:lang w:val="en-GB"/>
        </w:rPr>
        <w:t>f</w:t>
      </w:r>
      <w:r w:rsidR="00E86B0D" w:rsidRPr="00C479A5">
        <w:rPr>
          <w:sz w:val="24"/>
          <w:lang w:val="en-GB"/>
        </w:rPr>
        <w:t>M</w:t>
      </w:r>
      <w:proofErr w:type="spellEnd"/>
      <w:r w:rsidR="00E86B0D" w:rsidRPr="00C479A5">
        <w:rPr>
          <w:sz w:val="24"/>
          <w:lang w:val="en-GB"/>
        </w:rPr>
        <w:t xml:space="preserve"> and project long-term success.</w:t>
      </w:r>
      <w:r w:rsidR="00E86B0D" w:rsidRPr="003D1E5E">
        <w:rPr>
          <w:sz w:val="24"/>
          <w:lang w:val="en-GB"/>
        </w:rPr>
        <w:t xml:space="preserve"> </w:t>
      </w:r>
      <w:r w:rsidR="00A16A13">
        <w:rPr>
          <w:sz w:val="24"/>
          <w:lang w:val="en-GB"/>
        </w:rPr>
        <w:t xml:space="preserve">Moreover, </w:t>
      </w:r>
      <w:r w:rsidR="00897F12">
        <w:rPr>
          <w:sz w:val="24"/>
          <w:lang w:val="en-GB"/>
        </w:rPr>
        <w:t xml:space="preserve">the systematic mechanism for reviewing/updating the implemented KPIs can </w:t>
      </w:r>
      <w:r w:rsidR="0068164D" w:rsidRPr="003D1E5E">
        <w:rPr>
          <w:sz w:val="24"/>
          <w:lang w:val="en-GB"/>
        </w:rPr>
        <w:t>facilitate</w:t>
      </w:r>
      <w:r w:rsidR="00897F12">
        <w:rPr>
          <w:sz w:val="24"/>
          <w:lang w:val="en-GB"/>
        </w:rPr>
        <w:t xml:space="preserve"> PPPs in accommodating </w:t>
      </w:r>
      <w:r w:rsidR="00E86B0D" w:rsidRPr="003D1E5E">
        <w:rPr>
          <w:sz w:val="24"/>
          <w:lang w:val="en-GB"/>
        </w:rPr>
        <w:t xml:space="preserve">changes </w:t>
      </w:r>
      <w:r w:rsidR="006B48EA">
        <w:rPr>
          <w:sz w:val="24"/>
          <w:lang w:val="en-GB"/>
        </w:rPr>
        <w:t>to the</w:t>
      </w:r>
      <w:r w:rsidR="00E86B0D" w:rsidRPr="003D1E5E">
        <w:rPr>
          <w:sz w:val="24"/>
          <w:lang w:val="en-GB"/>
        </w:rPr>
        <w:t xml:space="preserve"> internal and external enviro</w:t>
      </w:r>
      <w:r w:rsidR="008E32D4" w:rsidRPr="003D1E5E">
        <w:rPr>
          <w:sz w:val="24"/>
          <w:lang w:val="en-GB"/>
        </w:rPr>
        <w:t>nment, there</w:t>
      </w:r>
      <w:r w:rsidR="002D4824" w:rsidRPr="003D1E5E">
        <w:rPr>
          <w:sz w:val="24"/>
          <w:lang w:val="en-GB"/>
        </w:rPr>
        <w:t>by</w:t>
      </w:r>
      <w:r w:rsidR="00E86B0D" w:rsidRPr="003D1E5E">
        <w:rPr>
          <w:sz w:val="24"/>
          <w:lang w:val="en-GB"/>
        </w:rPr>
        <w:t xml:space="preserve"> enhancing the whole-o</w:t>
      </w:r>
      <w:r w:rsidR="00897F12">
        <w:rPr>
          <w:sz w:val="24"/>
          <w:lang w:val="en-GB"/>
        </w:rPr>
        <w:t>f-life suitability of the asset</w:t>
      </w:r>
      <w:r w:rsidR="00E86B0D" w:rsidRPr="003D1E5E">
        <w:rPr>
          <w:sz w:val="24"/>
          <w:lang w:val="en-GB"/>
        </w:rPr>
        <w:t>. From this stance,</w:t>
      </w:r>
      <w:r w:rsidR="00897F12">
        <w:rPr>
          <w:sz w:val="24"/>
          <w:lang w:val="en-GB"/>
        </w:rPr>
        <w:t xml:space="preserve"> </w:t>
      </w:r>
      <w:r w:rsidR="00E86B0D" w:rsidRPr="003D1E5E">
        <w:rPr>
          <w:sz w:val="24"/>
          <w:lang w:val="en-GB"/>
        </w:rPr>
        <w:t xml:space="preserve">increased end-user satisfaction may occur, which in turn will be significant to </w:t>
      </w:r>
      <w:r w:rsidR="002D4824" w:rsidRPr="003D1E5E">
        <w:rPr>
          <w:sz w:val="24"/>
          <w:lang w:val="en-GB"/>
        </w:rPr>
        <w:t>the</w:t>
      </w:r>
      <w:r w:rsidR="00E86B0D" w:rsidRPr="003D1E5E">
        <w:rPr>
          <w:sz w:val="24"/>
          <w:lang w:val="en-GB"/>
        </w:rPr>
        <w:t xml:space="preserve"> realisation of </w:t>
      </w:r>
      <w:proofErr w:type="spellStart"/>
      <w:r w:rsidR="00E86B0D" w:rsidRPr="003D1E5E">
        <w:rPr>
          <w:sz w:val="24"/>
          <w:lang w:val="en-GB"/>
        </w:rPr>
        <w:t>V</w:t>
      </w:r>
      <w:r w:rsidR="00E86B0D" w:rsidRPr="003D1E5E">
        <w:rPr>
          <w:i/>
          <w:sz w:val="24"/>
          <w:lang w:val="en-GB"/>
        </w:rPr>
        <w:t>f</w:t>
      </w:r>
      <w:r w:rsidR="00E86B0D" w:rsidRPr="003D1E5E">
        <w:rPr>
          <w:sz w:val="24"/>
          <w:lang w:val="en-GB"/>
        </w:rPr>
        <w:t>M</w:t>
      </w:r>
      <w:proofErr w:type="spellEnd"/>
      <w:r w:rsidR="00E86B0D" w:rsidRPr="003D1E5E">
        <w:rPr>
          <w:sz w:val="24"/>
          <w:lang w:val="en-GB"/>
        </w:rPr>
        <w:t xml:space="preserve"> </w:t>
      </w:r>
      <w:r w:rsidR="005F71AF">
        <w:rPr>
          <w:sz w:val="24"/>
          <w:lang w:val="en-GB"/>
        </w:rPr>
        <w:t>and the project</w:t>
      </w:r>
      <w:r w:rsidR="00E86B0D" w:rsidRPr="003D1E5E">
        <w:rPr>
          <w:sz w:val="24"/>
          <w:lang w:val="en-GB"/>
        </w:rPr>
        <w:t xml:space="preserve"> success. </w:t>
      </w:r>
      <w:r w:rsidR="00B73E46" w:rsidRPr="003D1E5E">
        <w:rPr>
          <w:sz w:val="24"/>
          <w:lang w:val="en-GB"/>
        </w:rPr>
        <w:t xml:space="preserve">In summary, </w:t>
      </w:r>
      <w:r w:rsidR="00267C79" w:rsidRPr="003D1E5E">
        <w:rPr>
          <w:sz w:val="24"/>
          <w:lang w:val="en-GB"/>
        </w:rPr>
        <w:t xml:space="preserve">the </w:t>
      </w:r>
      <w:r w:rsidR="00897F12">
        <w:rPr>
          <w:sz w:val="24"/>
          <w:lang w:val="en-GB"/>
        </w:rPr>
        <w:t xml:space="preserve">Performance </w:t>
      </w:r>
      <w:r w:rsidR="00267C79" w:rsidRPr="003D1E5E">
        <w:rPr>
          <w:sz w:val="24"/>
          <w:lang w:val="en-GB"/>
        </w:rPr>
        <w:t xml:space="preserve">Prism </w:t>
      </w:r>
      <w:r w:rsidR="005010B4">
        <w:rPr>
          <w:sz w:val="24"/>
          <w:lang w:val="en-GB"/>
        </w:rPr>
        <w:t xml:space="preserve">framework </w:t>
      </w:r>
      <w:r w:rsidR="006B48EA">
        <w:rPr>
          <w:sz w:val="24"/>
          <w:lang w:val="en-GB"/>
        </w:rPr>
        <w:t>can</w:t>
      </w:r>
      <w:r w:rsidR="00E86B0D" w:rsidRPr="003D1E5E">
        <w:rPr>
          <w:sz w:val="24"/>
          <w:lang w:val="en-GB"/>
        </w:rPr>
        <w:t xml:space="preserve"> </w:t>
      </w:r>
      <w:r w:rsidR="005010B4">
        <w:rPr>
          <w:sz w:val="24"/>
          <w:lang w:val="en-GB"/>
        </w:rPr>
        <w:t>enable the</w:t>
      </w:r>
      <w:r w:rsidR="00B73E46" w:rsidRPr="003D1E5E">
        <w:rPr>
          <w:sz w:val="24"/>
          <w:lang w:val="en-GB"/>
        </w:rPr>
        <w:t xml:space="preserve"> continuous v</w:t>
      </w:r>
      <w:r w:rsidR="005010B4">
        <w:rPr>
          <w:sz w:val="24"/>
          <w:lang w:val="en-GB"/>
        </w:rPr>
        <w:t>alue of the asset throughout the</w:t>
      </w:r>
      <w:r w:rsidR="00B73E46" w:rsidRPr="003D1E5E">
        <w:rPr>
          <w:sz w:val="24"/>
          <w:lang w:val="en-GB"/>
        </w:rPr>
        <w:t xml:space="preserve"> life-cycle</w:t>
      </w:r>
      <w:r w:rsidR="005010B4">
        <w:rPr>
          <w:sz w:val="24"/>
          <w:lang w:val="en-GB"/>
        </w:rPr>
        <w:t xml:space="preserve"> of a PPP.</w:t>
      </w:r>
    </w:p>
    <w:p w14:paraId="44E9C361" w14:textId="77777777" w:rsidR="00B73E46" w:rsidRDefault="00B73E46" w:rsidP="00794D1E">
      <w:pPr>
        <w:spacing w:line="480" w:lineRule="auto"/>
        <w:rPr>
          <w:sz w:val="24"/>
          <w:lang w:val="en-GB"/>
        </w:rPr>
      </w:pPr>
    </w:p>
    <w:p w14:paraId="56F935E1" w14:textId="77777777" w:rsidR="00066632" w:rsidRPr="003D1E5E" w:rsidRDefault="00224525" w:rsidP="009A3DAA">
      <w:pPr>
        <w:spacing w:line="480" w:lineRule="auto"/>
        <w:rPr>
          <w:rFonts w:ascii="Arial" w:hAnsi="Arial" w:cs="Arial"/>
          <w:b/>
          <w:sz w:val="24"/>
          <w:lang w:val="en-GB"/>
        </w:rPr>
      </w:pPr>
      <w:r w:rsidRPr="003D1E5E">
        <w:rPr>
          <w:rFonts w:ascii="Arial" w:hAnsi="Arial" w:cs="Arial"/>
          <w:b/>
          <w:sz w:val="24"/>
          <w:lang w:val="en-GB"/>
        </w:rPr>
        <w:t>Conclusion</w:t>
      </w:r>
    </w:p>
    <w:p w14:paraId="3194EA2E" w14:textId="77777777" w:rsidR="005010B4" w:rsidRDefault="007D0E26" w:rsidP="009A3DAA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>PPPs have been widely</w:t>
      </w:r>
      <w:r w:rsidR="00637909" w:rsidRPr="003D1E5E">
        <w:rPr>
          <w:sz w:val="24"/>
          <w:lang w:val="en-GB"/>
        </w:rPr>
        <w:t xml:space="preserve"> </w:t>
      </w:r>
      <w:r w:rsidR="00E17B35">
        <w:rPr>
          <w:sz w:val="24"/>
          <w:lang w:val="en-GB"/>
        </w:rPr>
        <w:t>used</w:t>
      </w:r>
      <w:r w:rsidRPr="003D1E5E">
        <w:rPr>
          <w:sz w:val="24"/>
          <w:lang w:val="en-GB"/>
        </w:rPr>
        <w:t xml:space="preserve"> to deliver </w:t>
      </w:r>
      <w:r w:rsidR="009E7160" w:rsidRPr="003D1E5E">
        <w:rPr>
          <w:sz w:val="24"/>
          <w:lang w:val="en-GB"/>
        </w:rPr>
        <w:t xml:space="preserve">public </w:t>
      </w:r>
      <w:r w:rsidRPr="003D1E5E">
        <w:rPr>
          <w:sz w:val="24"/>
          <w:lang w:val="en-GB"/>
        </w:rPr>
        <w:t>infrastructure projects</w:t>
      </w:r>
      <w:r w:rsidR="00637909" w:rsidRPr="003D1E5E">
        <w:rPr>
          <w:sz w:val="24"/>
          <w:lang w:val="en-GB"/>
        </w:rPr>
        <w:t>.</w:t>
      </w:r>
      <w:r w:rsidRPr="003D1E5E">
        <w:rPr>
          <w:sz w:val="24"/>
          <w:lang w:val="en-GB"/>
        </w:rPr>
        <w:t xml:space="preserve"> </w:t>
      </w:r>
      <w:r w:rsidR="00483546" w:rsidRPr="003D1E5E">
        <w:rPr>
          <w:sz w:val="24"/>
          <w:lang w:val="en-GB"/>
        </w:rPr>
        <w:t>Nevertheless,</w:t>
      </w:r>
      <w:r w:rsidRPr="003D1E5E">
        <w:rPr>
          <w:sz w:val="24"/>
          <w:lang w:val="en-GB"/>
        </w:rPr>
        <w:t xml:space="preserve"> the question </w:t>
      </w:r>
      <w:r w:rsidR="00637909" w:rsidRPr="003D1E5E">
        <w:rPr>
          <w:sz w:val="24"/>
          <w:lang w:val="en-GB"/>
        </w:rPr>
        <w:t xml:space="preserve">remains </w:t>
      </w:r>
      <w:r w:rsidRPr="003D1E5E">
        <w:rPr>
          <w:sz w:val="24"/>
          <w:lang w:val="en-GB"/>
        </w:rPr>
        <w:t xml:space="preserve">about how to comprehensively and effectively evaluate </w:t>
      </w:r>
      <w:r w:rsidR="00637909" w:rsidRPr="003D1E5E">
        <w:rPr>
          <w:sz w:val="24"/>
          <w:lang w:val="en-GB"/>
        </w:rPr>
        <w:t>the</w:t>
      </w:r>
      <w:r w:rsidR="00E17B35">
        <w:rPr>
          <w:sz w:val="24"/>
          <w:lang w:val="en-GB"/>
        </w:rPr>
        <w:t>ir</w:t>
      </w:r>
      <w:r w:rsidR="00637909" w:rsidRPr="003D1E5E">
        <w:rPr>
          <w:sz w:val="24"/>
          <w:lang w:val="en-GB"/>
        </w:rPr>
        <w:t xml:space="preserve"> </w:t>
      </w:r>
      <w:r w:rsidRPr="003D1E5E">
        <w:rPr>
          <w:sz w:val="24"/>
          <w:lang w:val="en-GB"/>
        </w:rPr>
        <w:t xml:space="preserve">performance. </w:t>
      </w:r>
      <w:r w:rsidR="00E17B35">
        <w:rPr>
          <w:sz w:val="24"/>
          <w:lang w:val="en-GB"/>
        </w:rPr>
        <w:t>Previous research</w:t>
      </w:r>
      <w:r w:rsidRPr="003D1E5E">
        <w:rPr>
          <w:sz w:val="24"/>
          <w:lang w:val="en-GB"/>
        </w:rPr>
        <w:t xml:space="preserve"> has identified</w:t>
      </w:r>
      <w:r w:rsidR="00637909" w:rsidRPr="003D1E5E">
        <w:rPr>
          <w:sz w:val="24"/>
          <w:lang w:val="en-GB"/>
        </w:rPr>
        <w:t xml:space="preserve"> that</w:t>
      </w:r>
      <w:r w:rsidRPr="003D1E5E">
        <w:rPr>
          <w:sz w:val="24"/>
          <w:lang w:val="en-GB"/>
        </w:rPr>
        <w:t xml:space="preserve"> an </w:t>
      </w:r>
      <w:r w:rsidR="00CF0193" w:rsidRPr="003D1E5E">
        <w:rPr>
          <w:sz w:val="24"/>
          <w:lang w:val="en-GB"/>
        </w:rPr>
        <w:t>understanding</w:t>
      </w:r>
      <w:r w:rsidRPr="003D1E5E">
        <w:rPr>
          <w:sz w:val="24"/>
          <w:lang w:val="en-GB"/>
        </w:rPr>
        <w:t xml:space="preserve"> of the practice </w:t>
      </w:r>
      <w:r w:rsidR="00637909" w:rsidRPr="003D1E5E">
        <w:rPr>
          <w:sz w:val="24"/>
          <w:lang w:val="en-GB"/>
        </w:rPr>
        <w:t>of</w:t>
      </w:r>
      <w:r w:rsidRPr="003D1E5E">
        <w:rPr>
          <w:sz w:val="24"/>
          <w:lang w:val="en-GB"/>
        </w:rPr>
        <w:t xml:space="preserve"> performance </w:t>
      </w:r>
      <w:r w:rsidR="00483546" w:rsidRPr="003D1E5E">
        <w:rPr>
          <w:sz w:val="24"/>
          <w:lang w:val="en-GB"/>
        </w:rPr>
        <w:lastRenderedPageBreak/>
        <w:t>evaluation/</w:t>
      </w:r>
      <w:r w:rsidRPr="003D1E5E">
        <w:rPr>
          <w:sz w:val="24"/>
          <w:lang w:val="en-GB"/>
        </w:rPr>
        <w:t xml:space="preserve">measurement is a prerequisite for </w:t>
      </w:r>
      <w:r w:rsidR="00637909" w:rsidRPr="003D1E5E">
        <w:rPr>
          <w:sz w:val="24"/>
          <w:lang w:val="en-GB"/>
        </w:rPr>
        <w:t>the</w:t>
      </w:r>
      <w:r w:rsidR="00750739" w:rsidRPr="003D1E5E">
        <w:rPr>
          <w:sz w:val="24"/>
          <w:lang w:val="en-GB"/>
        </w:rPr>
        <w:t xml:space="preserve"> successful design and implementation of a new PMS in the organisation. </w:t>
      </w:r>
      <w:r w:rsidR="005010B4">
        <w:rPr>
          <w:sz w:val="24"/>
          <w:lang w:val="en-GB"/>
        </w:rPr>
        <w:t>Therefore, case studies of the Australian social infrastructure PPPs, which relied on semi-structure interviews and documentary reviews, were conducted and have been presented in this paper.</w:t>
      </w:r>
    </w:p>
    <w:p w14:paraId="38E8C0B3" w14:textId="77777777" w:rsidR="00E17B35" w:rsidRPr="003D1E5E" w:rsidRDefault="00E17B35" w:rsidP="009A3DAA">
      <w:pPr>
        <w:spacing w:line="480" w:lineRule="auto"/>
        <w:rPr>
          <w:sz w:val="24"/>
          <w:lang w:val="en-GB"/>
        </w:rPr>
      </w:pPr>
    </w:p>
    <w:p w14:paraId="543572A3" w14:textId="37AF8CDB" w:rsidR="003A14BE" w:rsidRDefault="00E17B35" w:rsidP="009A3DAA">
      <w:pPr>
        <w:spacing w:line="480" w:lineRule="auto"/>
        <w:rPr>
          <w:sz w:val="24"/>
          <w:lang w:val="en-GB"/>
        </w:rPr>
      </w:pPr>
      <w:r>
        <w:rPr>
          <w:sz w:val="24"/>
          <w:lang w:val="en-GB"/>
        </w:rPr>
        <w:t>The empirical examination of a prison and hospital projects delivered using a form of PPP</w:t>
      </w:r>
      <w:r w:rsidR="0095546E">
        <w:rPr>
          <w:sz w:val="24"/>
          <w:lang w:val="en-GB"/>
        </w:rPr>
        <w:t>s</w:t>
      </w:r>
      <w:r w:rsidR="00750739" w:rsidRPr="003D1E5E">
        <w:rPr>
          <w:sz w:val="24"/>
          <w:lang w:val="en-GB"/>
        </w:rPr>
        <w:t xml:space="preserve"> </w:t>
      </w:r>
      <w:r>
        <w:rPr>
          <w:sz w:val="24"/>
          <w:lang w:val="en-GB"/>
        </w:rPr>
        <w:t>has provided the basis</w:t>
      </w:r>
      <w:r w:rsidR="00750739" w:rsidRPr="003D1E5E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to </w:t>
      </w:r>
      <w:r w:rsidR="00750739" w:rsidRPr="003D1E5E">
        <w:rPr>
          <w:sz w:val="24"/>
          <w:lang w:val="en-GB"/>
        </w:rPr>
        <w:t>identif</w:t>
      </w:r>
      <w:r w:rsidR="00637909" w:rsidRPr="003D1E5E">
        <w:rPr>
          <w:sz w:val="24"/>
          <w:lang w:val="en-GB"/>
        </w:rPr>
        <w:t>y</w:t>
      </w:r>
      <w:r w:rsidR="00750739" w:rsidRPr="003D1E5E">
        <w:rPr>
          <w:sz w:val="24"/>
          <w:lang w:val="en-GB"/>
        </w:rPr>
        <w:t xml:space="preserve"> that there are paucities and “gaps” existing in </w:t>
      </w:r>
      <w:r w:rsidR="00FC0B2D" w:rsidRPr="003D1E5E">
        <w:rPr>
          <w:sz w:val="24"/>
          <w:lang w:val="en-GB"/>
        </w:rPr>
        <w:t xml:space="preserve">the projects’ </w:t>
      </w:r>
      <w:r w:rsidR="00750739" w:rsidRPr="003D1E5E">
        <w:rPr>
          <w:sz w:val="24"/>
          <w:lang w:val="en-GB"/>
        </w:rPr>
        <w:t>performance evaluations. These included a narrow assessment</w:t>
      </w:r>
      <w:r w:rsidR="000D6E1C">
        <w:rPr>
          <w:sz w:val="24"/>
          <w:lang w:val="en-GB"/>
        </w:rPr>
        <w:t xml:space="preserve"> for </w:t>
      </w:r>
      <w:proofErr w:type="spellStart"/>
      <w:r w:rsidR="000D6E1C">
        <w:rPr>
          <w:sz w:val="24"/>
          <w:lang w:val="en-GB"/>
        </w:rPr>
        <w:t>V</w:t>
      </w:r>
      <w:r w:rsidR="000D6E1C" w:rsidRPr="000D6E1C">
        <w:rPr>
          <w:i/>
          <w:sz w:val="24"/>
          <w:lang w:val="en-GB"/>
        </w:rPr>
        <w:t>f</w:t>
      </w:r>
      <w:r w:rsidR="000D6E1C">
        <w:rPr>
          <w:sz w:val="24"/>
          <w:lang w:val="en-GB"/>
        </w:rPr>
        <w:t>M</w:t>
      </w:r>
      <w:proofErr w:type="spellEnd"/>
      <w:r w:rsidR="007A4DF2">
        <w:rPr>
          <w:sz w:val="24"/>
          <w:lang w:val="en-GB"/>
        </w:rPr>
        <w:t>, an incomplete</w:t>
      </w:r>
      <w:r w:rsidR="00750739" w:rsidRPr="003D1E5E">
        <w:rPr>
          <w:sz w:val="24"/>
          <w:lang w:val="en-GB"/>
        </w:rPr>
        <w:t xml:space="preserve"> evaluation from procurement phase to post-implementation stages (e.g., design, construction, operation and maintenance) and ineffective and inefficient internal learning. </w:t>
      </w:r>
      <w:r w:rsidR="006B48EA" w:rsidRPr="003D1E5E">
        <w:rPr>
          <w:sz w:val="24"/>
          <w:lang w:val="en-GB"/>
        </w:rPr>
        <w:t>Because of</w:t>
      </w:r>
      <w:r w:rsidR="00FC0B2D" w:rsidRPr="003D1E5E">
        <w:rPr>
          <w:sz w:val="24"/>
          <w:lang w:val="en-GB"/>
        </w:rPr>
        <w:t xml:space="preserve"> these findings, </w:t>
      </w:r>
      <w:r w:rsidR="00BE4940" w:rsidRPr="003D1E5E">
        <w:rPr>
          <w:sz w:val="24"/>
          <w:lang w:val="en-GB"/>
        </w:rPr>
        <w:t>a</w:t>
      </w:r>
      <w:r w:rsidR="00483546" w:rsidRPr="003D1E5E">
        <w:rPr>
          <w:sz w:val="24"/>
          <w:lang w:val="en-GB"/>
        </w:rPr>
        <w:t>n innovative</w:t>
      </w:r>
      <w:r w:rsidR="00BE4940" w:rsidRPr="003D1E5E">
        <w:rPr>
          <w:sz w:val="24"/>
          <w:lang w:val="en-GB"/>
        </w:rPr>
        <w:t xml:space="preserve"> life-cycle Performance Prism </w:t>
      </w:r>
      <w:r w:rsidR="00FC0B2D" w:rsidRPr="003D1E5E">
        <w:rPr>
          <w:sz w:val="24"/>
          <w:lang w:val="en-GB"/>
        </w:rPr>
        <w:t xml:space="preserve">was proposed and </w:t>
      </w:r>
      <w:r w:rsidR="00637909" w:rsidRPr="003D1E5E">
        <w:rPr>
          <w:sz w:val="24"/>
          <w:lang w:val="en-GB"/>
        </w:rPr>
        <w:t xml:space="preserve">it was </w:t>
      </w:r>
      <w:r w:rsidR="00FC0B2D" w:rsidRPr="003D1E5E">
        <w:rPr>
          <w:sz w:val="24"/>
          <w:lang w:val="en-GB"/>
        </w:rPr>
        <w:t xml:space="preserve">demonstrated how it can contribute to effectively </w:t>
      </w:r>
      <w:r w:rsidR="00637909" w:rsidRPr="003D1E5E">
        <w:rPr>
          <w:sz w:val="24"/>
          <w:lang w:val="en-GB"/>
        </w:rPr>
        <w:t>address</w:t>
      </w:r>
      <w:r w:rsidR="00FC0B2D" w:rsidRPr="003D1E5E">
        <w:rPr>
          <w:sz w:val="24"/>
          <w:lang w:val="en-GB"/>
        </w:rPr>
        <w:t xml:space="preserve"> the </w:t>
      </w:r>
      <w:r w:rsidR="006B48EA">
        <w:rPr>
          <w:sz w:val="24"/>
          <w:lang w:val="en-GB"/>
        </w:rPr>
        <w:t>current</w:t>
      </w:r>
      <w:r w:rsidR="00FC0B2D" w:rsidRPr="003D1E5E">
        <w:rPr>
          <w:sz w:val="24"/>
          <w:lang w:val="en-GB"/>
        </w:rPr>
        <w:t xml:space="preserve"> problematic issues in </w:t>
      </w:r>
      <w:r w:rsidR="006B48EA">
        <w:rPr>
          <w:sz w:val="24"/>
          <w:lang w:val="en-GB"/>
        </w:rPr>
        <w:t xml:space="preserve">the </w:t>
      </w:r>
      <w:r w:rsidR="00DB0D7F">
        <w:rPr>
          <w:sz w:val="24"/>
          <w:lang w:val="en-GB"/>
        </w:rPr>
        <w:t>performance evaluation of PPPs.</w:t>
      </w:r>
    </w:p>
    <w:p w14:paraId="217BA85D" w14:textId="77777777" w:rsidR="00DB0D7F" w:rsidRPr="003D1E5E" w:rsidRDefault="00DB0D7F" w:rsidP="009A3DAA">
      <w:pPr>
        <w:spacing w:line="480" w:lineRule="auto"/>
        <w:rPr>
          <w:sz w:val="24"/>
          <w:lang w:val="en-GB"/>
        </w:rPr>
      </w:pPr>
    </w:p>
    <w:p w14:paraId="1FF6C6C3" w14:textId="74C8A03F" w:rsidR="00FA66C1" w:rsidRPr="00A876C2" w:rsidRDefault="00CF0193" w:rsidP="00FA66C1">
      <w:pPr>
        <w:spacing w:line="480" w:lineRule="auto"/>
        <w:rPr>
          <w:sz w:val="24"/>
          <w:highlight w:val="yellow"/>
          <w:lang w:val="en-GB"/>
        </w:rPr>
      </w:pPr>
      <w:r w:rsidRPr="003D1E5E">
        <w:rPr>
          <w:sz w:val="24"/>
          <w:lang w:val="en-GB"/>
        </w:rPr>
        <w:t xml:space="preserve">The outcome of this paper is </w:t>
      </w:r>
      <w:r w:rsidR="007A4DF2">
        <w:rPr>
          <w:sz w:val="24"/>
          <w:lang w:val="en-GB"/>
        </w:rPr>
        <w:t xml:space="preserve">theoretically significant, </w:t>
      </w:r>
      <w:r w:rsidR="00045EA4">
        <w:rPr>
          <w:sz w:val="24"/>
          <w:lang w:val="en-GB"/>
        </w:rPr>
        <w:t>and a new</w:t>
      </w:r>
      <w:r w:rsidR="00282F3E">
        <w:rPr>
          <w:sz w:val="24"/>
          <w:lang w:val="en-GB"/>
        </w:rPr>
        <w:t xml:space="preserve"> </w:t>
      </w:r>
      <w:r w:rsidR="004929F6">
        <w:rPr>
          <w:sz w:val="24"/>
          <w:lang w:val="en-GB"/>
        </w:rPr>
        <w:t xml:space="preserve">approach for measuring PPPs throughout </w:t>
      </w:r>
      <w:r w:rsidR="00045EA4">
        <w:rPr>
          <w:sz w:val="24"/>
          <w:lang w:val="en-GB"/>
        </w:rPr>
        <w:t>a</w:t>
      </w:r>
      <w:r w:rsidR="004929F6">
        <w:rPr>
          <w:sz w:val="24"/>
          <w:lang w:val="en-GB"/>
        </w:rPr>
        <w:t xml:space="preserve"> project’s lifecycle </w:t>
      </w:r>
      <w:r w:rsidR="00282F3E">
        <w:rPr>
          <w:sz w:val="24"/>
          <w:lang w:val="en-GB"/>
        </w:rPr>
        <w:t xml:space="preserve">has </w:t>
      </w:r>
      <w:r w:rsidR="004929F6">
        <w:rPr>
          <w:sz w:val="24"/>
          <w:lang w:val="en-GB"/>
        </w:rPr>
        <w:t xml:space="preserve">been proposed. </w:t>
      </w:r>
      <w:r w:rsidR="00A248D7">
        <w:rPr>
          <w:sz w:val="24"/>
          <w:lang w:val="en-GB"/>
        </w:rPr>
        <w:t>It</w:t>
      </w:r>
      <w:r w:rsidR="004929F6">
        <w:rPr>
          <w:sz w:val="24"/>
          <w:lang w:val="en-GB"/>
        </w:rPr>
        <w:t xml:space="preserve"> </w:t>
      </w:r>
      <w:r w:rsidR="007A4DF2">
        <w:rPr>
          <w:sz w:val="24"/>
          <w:lang w:val="en-GB"/>
        </w:rPr>
        <w:t xml:space="preserve">contributes to </w:t>
      </w:r>
      <w:r w:rsidR="00045EA4">
        <w:rPr>
          <w:sz w:val="24"/>
          <w:lang w:val="en-GB"/>
        </w:rPr>
        <w:t xml:space="preserve">the </w:t>
      </w:r>
      <w:r w:rsidR="007A4DF2">
        <w:rPr>
          <w:sz w:val="24"/>
          <w:lang w:val="en-GB"/>
        </w:rPr>
        <w:t xml:space="preserve">body of knowledge of public project governance and evaluation within the context of PPPs. </w:t>
      </w:r>
      <w:r w:rsidR="00A248D7">
        <w:rPr>
          <w:sz w:val="24"/>
          <w:lang w:val="en-GB"/>
        </w:rPr>
        <w:t>Additionally</w:t>
      </w:r>
      <w:r w:rsidR="004929F6">
        <w:rPr>
          <w:sz w:val="24"/>
          <w:lang w:val="en-GB"/>
        </w:rPr>
        <w:t xml:space="preserve">, </w:t>
      </w:r>
      <w:r w:rsidR="0011095B">
        <w:rPr>
          <w:sz w:val="24"/>
          <w:lang w:val="en-GB"/>
        </w:rPr>
        <w:t xml:space="preserve">this paper is practical, </w:t>
      </w:r>
      <w:r w:rsidR="00282F3E">
        <w:rPr>
          <w:sz w:val="24"/>
          <w:lang w:val="en-GB"/>
        </w:rPr>
        <w:t xml:space="preserve">as </w:t>
      </w:r>
      <w:r w:rsidR="007A4DF2">
        <w:rPr>
          <w:sz w:val="24"/>
          <w:lang w:val="en-GB"/>
        </w:rPr>
        <w:t xml:space="preserve">the developed framework was empirically derived from an interpretation of </w:t>
      </w:r>
      <w:r w:rsidR="00282F3E">
        <w:rPr>
          <w:sz w:val="24"/>
          <w:lang w:val="en-GB"/>
        </w:rPr>
        <w:t>‘</w:t>
      </w:r>
      <w:r w:rsidR="007A4DF2">
        <w:rPr>
          <w:sz w:val="24"/>
          <w:lang w:val="en-GB"/>
        </w:rPr>
        <w:t>real</w:t>
      </w:r>
      <w:r w:rsidR="0011095B">
        <w:rPr>
          <w:sz w:val="24"/>
          <w:lang w:val="en-GB"/>
        </w:rPr>
        <w:t>-</w:t>
      </w:r>
      <w:r w:rsidR="00282F3E">
        <w:rPr>
          <w:sz w:val="24"/>
          <w:lang w:val="en-GB"/>
        </w:rPr>
        <w:t xml:space="preserve">world’ </w:t>
      </w:r>
      <w:r w:rsidR="007A4DF2">
        <w:rPr>
          <w:sz w:val="24"/>
          <w:lang w:val="en-GB"/>
        </w:rPr>
        <w:t>projects</w:t>
      </w:r>
      <w:r w:rsidR="00282F3E">
        <w:rPr>
          <w:sz w:val="24"/>
          <w:lang w:val="en-GB"/>
        </w:rPr>
        <w:t>.</w:t>
      </w:r>
      <w:r w:rsidR="007A4DF2">
        <w:rPr>
          <w:sz w:val="24"/>
          <w:lang w:val="en-GB"/>
        </w:rPr>
        <w:t xml:space="preserve"> </w:t>
      </w:r>
      <w:r w:rsidR="00282F3E">
        <w:rPr>
          <w:sz w:val="24"/>
          <w:lang w:val="en-GB"/>
        </w:rPr>
        <w:t>It can therefore</w:t>
      </w:r>
      <w:r w:rsidR="00D603FC">
        <w:rPr>
          <w:sz w:val="24"/>
          <w:lang w:val="en-GB"/>
        </w:rPr>
        <w:t xml:space="preserve"> ensure</w:t>
      </w:r>
      <w:r w:rsidR="007A4DF2">
        <w:rPr>
          <w:sz w:val="24"/>
          <w:lang w:val="en-GB"/>
        </w:rPr>
        <w:t xml:space="preserve"> </w:t>
      </w:r>
      <w:proofErr w:type="spellStart"/>
      <w:r w:rsidR="00282F3E">
        <w:rPr>
          <w:sz w:val="24"/>
          <w:lang w:val="en-GB"/>
        </w:rPr>
        <w:t>V</w:t>
      </w:r>
      <w:r w:rsidR="00282F3E" w:rsidRPr="00197CA1">
        <w:rPr>
          <w:i/>
          <w:sz w:val="24"/>
          <w:lang w:val="en-GB"/>
        </w:rPr>
        <w:t>f</w:t>
      </w:r>
      <w:r w:rsidR="00282F3E">
        <w:rPr>
          <w:sz w:val="24"/>
          <w:lang w:val="en-GB"/>
        </w:rPr>
        <w:t>M</w:t>
      </w:r>
      <w:proofErr w:type="spellEnd"/>
      <w:r w:rsidR="00282F3E">
        <w:rPr>
          <w:sz w:val="24"/>
          <w:lang w:val="en-GB"/>
        </w:rPr>
        <w:t xml:space="preserve"> is achieved as an </w:t>
      </w:r>
      <w:r w:rsidR="007A4DF2">
        <w:rPr>
          <w:sz w:val="24"/>
          <w:lang w:val="en-GB"/>
        </w:rPr>
        <w:t>effective</w:t>
      </w:r>
      <w:r w:rsidR="00EE03A5">
        <w:rPr>
          <w:sz w:val="24"/>
          <w:lang w:val="en-GB"/>
        </w:rPr>
        <w:t xml:space="preserve"> and </w:t>
      </w:r>
      <w:r w:rsidR="00282F3E">
        <w:rPr>
          <w:sz w:val="24"/>
          <w:lang w:val="en-GB"/>
        </w:rPr>
        <w:t xml:space="preserve">efficient </w:t>
      </w:r>
      <w:r w:rsidR="00EE03A5">
        <w:rPr>
          <w:sz w:val="24"/>
          <w:lang w:val="en-GB"/>
        </w:rPr>
        <w:t xml:space="preserve">evaluation </w:t>
      </w:r>
      <w:r w:rsidR="00D603FC">
        <w:rPr>
          <w:sz w:val="24"/>
          <w:lang w:val="en-GB"/>
        </w:rPr>
        <w:t>and</w:t>
      </w:r>
      <w:r w:rsidR="00EE03A5">
        <w:rPr>
          <w:sz w:val="24"/>
          <w:lang w:val="en-GB"/>
        </w:rPr>
        <w:t xml:space="preserve"> </w:t>
      </w:r>
      <w:r w:rsidR="007A4DF2">
        <w:rPr>
          <w:sz w:val="24"/>
          <w:lang w:val="en-GB"/>
        </w:rPr>
        <w:t xml:space="preserve">governance </w:t>
      </w:r>
      <w:r w:rsidR="00282F3E">
        <w:rPr>
          <w:sz w:val="24"/>
          <w:lang w:val="en-GB"/>
        </w:rPr>
        <w:t xml:space="preserve">for </w:t>
      </w:r>
      <w:r w:rsidR="007A4DF2">
        <w:rPr>
          <w:sz w:val="24"/>
          <w:lang w:val="en-GB"/>
        </w:rPr>
        <w:t xml:space="preserve">PPP </w:t>
      </w:r>
      <w:r w:rsidR="00282F3E">
        <w:rPr>
          <w:sz w:val="24"/>
          <w:lang w:val="en-GB"/>
        </w:rPr>
        <w:t>is established</w:t>
      </w:r>
      <w:r w:rsidR="007A4DF2">
        <w:rPr>
          <w:sz w:val="24"/>
          <w:lang w:val="en-GB"/>
        </w:rPr>
        <w:t xml:space="preserve">. </w:t>
      </w:r>
      <w:r w:rsidR="00D94802" w:rsidRPr="00C479A5">
        <w:rPr>
          <w:sz w:val="24"/>
          <w:lang w:val="en-GB"/>
        </w:rPr>
        <w:t xml:space="preserve">However, future research is required to </w:t>
      </w:r>
      <w:r w:rsidR="00EE03A5" w:rsidRPr="00C479A5">
        <w:rPr>
          <w:sz w:val="24"/>
          <w:lang w:val="en-GB"/>
        </w:rPr>
        <w:t>develop a balanced abatement mechanism</w:t>
      </w:r>
      <w:r w:rsidR="00D656D1" w:rsidRPr="00C479A5">
        <w:rPr>
          <w:sz w:val="24"/>
          <w:lang w:val="en-GB"/>
        </w:rPr>
        <w:t xml:space="preserve">, which </w:t>
      </w:r>
      <w:r w:rsidR="00282F3E" w:rsidRPr="00C479A5">
        <w:rPr>
          <w:sz w:val="24"/>
          <w:lang w:val="en-GB"/>
        </w:rPr>
        <w:t>can</w:t>
      </w:r>
      <w:r w:rsidR="00D656D1" w:rsidRPr="00C479A5">
        <w:rPr>
          <w:sz w:val="24"/>
          <w:lang w:val="en-GB"/>
        </w:rPr>
        <w:t xml:space="preserve"> </w:t>
      </w:r>
      <w:r w:rsidR="00A248D7" w:rsidRPr="00C479A5">
        <w:rPr>
          <w:sz w:val="24"/>
          <w:lang w:val="en-GB"/>
        </w:rPr>
        <w:t xml:space="preserve">form </w:t>
      </w:r>
      <w:r w:rsidR="00045EA4" w:rsidRPr="00C479A5">
        <w:rPr>
          <w:sz w:val="24"/>
          <w:lang w:val="en-GB"/>
        </w:rPr>
        <w:t>the</w:t>
      </w:r>
      <w:r w:rsidR="00A248D7" w:rsidRPr="00C479A5">
        <w:rPr>
          <w:sz w:val="24"/>
          <w:lang w:val="en-GB"/>
        </w:rPr>
        <w:t xml:space="preserve"> foundation </w:t>
      </w:r>
      <w:r w:rsidR="00D603FC" w:rsidRPr="00C479A5">
        <w:rPr>
          <w:sz w:val="24"/>
          <w:lang w:val="en-GB"/>
        </w:rPr>
        <w:t>for an application of the</w:t>
      </w:r>
      <w:r w:rsidR="00A248D7" w:rsidRPr="00C479A5">
        <w:rPr>
          <w:sz w:val="24"/>
          <w:lang w:val="en-GB"/>
        </w:rPr>
        <w:t xml:space="preserve"> </w:t>
      </w:r>
      <w:r w:rsidR="00D603FC" w:rsidRPr="00C479A5">
        <w:rPr>
          <w:sz w:val="24"/>
          <w:lang w:val="en-GB"/>
        </w:rPr>
        <w:t xml:space="preserve">proposed </w:t>
      </w:r>
      <w:r w:rsidR="00D656D1" w:rsidRPr="00C479A5">
        <w:rPr>
          <w:sz w:val="24"/>
          <w:lang w:val="en-GB"/>
        </w:rPr>
        <w:t xml:space="preserve">Performance Prism framework. </w:t>
      </w:r>
      <w:r w:rsidR="00282F3E" w:rsidRPr="00C479A5">
        <w:rPr>
          <w:sz w:val="24"/>
          <w:lang w:val="en-GB"/>
        </w:rPr>
        <w:t>T</w:t>
      </w:r>
      <w:r w:rsidR="00E35083" w:rsidRPr="00C479A5">
        <w:rPr>
          <w:sz w:val="24"/>
          <w:lang w:val="en-GB"/>
        </w:rPr>
        <w:t xml:space="preserve">his will be useful for </w:t>
      </w:r>
      <w:r w:rsidR="00282F3E" w:rsidRPr="00C479A5">
        <w:rPr>
          <w:sz w:val="24"/>
          <w:lang w:val="en-GB"/>
        </w:rPr>
        <w:t xml:space="preserve">PPP </w:t>
      </w:r>
      <w:r w:rsidR="00E35083" w:rsidRPr="00C479A5">
        <w:rPr>
          <w:sz w:val="24"/>
          <w:lang w:val="en-GB"/>
        </w:rPr>
        <w:t xml:space="preserve">performance measurement practice, </w:t>
      </w:r>
      <w:r w:rsidR="00045EA4" w:rsidRPr="00C479A5">
        <w:rPr>
          <w:sz w:val="24"/>
          <w:lang w:val="en-GB"/>
        </w:rPr>
        <w:t xml:space="preserve">which is </w:t>
      </w:r>
      <w:r w:rsidR="00D603FC" w:rsidRPr="00C479A5">
        <w:rPr>
          <w:sz w:val="24"/>
          <w:lang w:val="en-GB"/>
        </w:rPr>
        <w:t>particularly</w:t>
      </w:r>
      <w:r w:rsidR="00E35083" w:rsidRPr="00C479A5">
        <w:rPr>
          <w:sz w:val="24"/>
          <w:lang w:val="en-GB"/>
        </w:rPr>
        <w:t xml:space="preserve"> </w:t>
      </w:r>
      <w:r w:rsidR="00D603FC" w:rsidRPr="00C479A5">
        <w:rPr>
          <w:sz w:val="24"/>
          <w:lang w:val="en-GB"/>
        </w:rPr>
        <w:t>significant</w:t>
      </w:r>
      <w:r w:rsidR="00E35083" w:rsidRPr="00C479A5">
        <w:rPr>
          <w:sz w:val="24"/>
          <w:lang w:val="en-GB"/>
        </w:rPr>
        <w:t xml:space="preserve"> for </w:t>
      </w:r>
      <w:r w:rsidR="00D603FC" w:rsidRPr="00C479A5">
        <w:rPr>
          <w:sz w:val="24"/>
          <w:lang w:val="en-GB"/>
        </w:rPr>
        <w:t>the public authority to govern</w:t>
      </w:r>
      <w:r w:rsidR="00E35083" w:rsidRPr="00C479A5">
        <w:rPr>
          <w:sz w:val="24"/>
          <w:lang w:val="en-GB"/>
        </w:rPr>
        <w:t xml:space="preserve"> </w:t>
      </w:r>
      <w:r w:rsidR="00045EA4" w:rsidRPr="00C479A5">
        <w:rPr>
          <w:sz w:val="24"/>
          <w:lang w:val="en-GB"/>
        </w:rPr>
        <w:t>a</w:t>
      </w:r>
      <w:r w:rsidR="00E35083" w:rsidRPr="00C479A5">
        <w:rPr>
          <w:sz w:val="24"/>
          <w:lang w:val="en-GB"/>
        </w:rPr>
        <w:t xml:space="preserve"> project’s outputs</w:t>
      </w:r>
      <w:r w:rsidR="00A248D7" w:rsidRPr="00C479A5">
        <w:rPr>
          <w:sz w:val="24"/>
          <w:lang w:val="en-GB"/>
        </w:rPr>
        <w:t xml:space="preserve"> and outcomes</w:t>
      </w:r>
      <w:r w:rsidR="00E35083" w:rsidRPr="00C479A5">
        <w:rPr>
          <w:sz w:val="24"/>
          <w:lang w:val="en-GB"/>
        </w:rPr>
        <w:t xml:space="preserve">. In addressing this issue, emphasis </w:t>
      </w:r>
      <w:r w:rsidR="00D603FC" w:rsidRPr="00C479A5">
        <w:rPr>
          <w:sz w:val="24"/>
          <w:lang w:val="en-GB"/>
        </w:rPr>
        <w:t>needs to</w:t>
      </w:r>
      <w:r w:rsidR="00E35083" w:rsidRPr="00C479A5">
        <w:rPr>
          <w:sz w:val="24"/>
          <w:lang w:val="en-GB"/>
        </w:rPr>
        <w:t xml:space="preserve"> be placed on </w:t>
      </w:r>
      <w:r w:rsidR="00045EA4" w:rsidRPr="00C479A5">
        <w:rPr>
          <w:sz w:val="24"/>
          <w:lang w:val="en-GB"/>
        </w:rPr>
        <w:t>the</w:t>
      </w:r>
      <w:r w:rsidR="00E568B6" w:rsidRPr="00C479A5">
        <w:rPr>
          <w:sz w:val="24"/>
          <w:lang w:val="en-GB"/>
        </w:rPr>
        <w:t xml:space="preserve"> development of incentives and guidance </w:t>
      </w:r>
      <w:r w:rsidR="00E35083" w:rsidRPr="00C479A5">
        <w:rPr>
          <w:sz w:val="24"/>
          <w:lang w:val="en-GB"/>
        </w:rPr>
        <w:t xml:space="preserve">so that SPVs </w:t>
      </w:r>
      <w:r w:rsidR="00E35083" w:rsidRPr="00C479A5">
        <w:rPr>
          <w:sz w:val="24"/>
          <w:lang w:val="en-GB"/>
        </w:rPr>
        <w:lastRenderedPageBreak/>
        <w:t xml:space="preserve">can </w:t>
      </w:r>
      <w:r w:rsidR="000069D6" w:rsidRPr="00C479A5">
        <w:rPr>
          <w:sz w:val="24"/>
          <w:lang w:val="en-GB"/>
        </w:rPr>
        <w:t xml:space="preserve">understand and </w:t>
      </w:r>
      <w:r w:rsidR="002A42B5" w:rsidRPr="00C479A5">
        <w:rPr>
          <w:sz w:val="24"/>
          <w:lang w:val="en-GB"/>
        </w:rPr>
        <w:t>accommodate an asset’s</w:t>
      </w:r>
      <w:r w:rsidR="00A248D7" w:rsidRPr="00C479A5">
        <w:rPr>
          <w:sz w:val="24"/>
          <w:lang w:val="en-GB"/>
        </w:rPr>
        <w:t xml:space="preserve"> performance risks</w:t>
      </w:r>
      <w:r w:rsidR="000069D6" w:rsidRPr="00C479A5">
        <w:rPr>
          <w:sz w:val="24"/>
          <w:lang w:val="en-GB"/>
        </w:rPr>
        <w:t xml:space="preserve">. </w:t>
      </w:r>
      <w:r w:rsidR="00E568B6" w:rsidRPr="00C479A5">
        <w:rPr>
          <w:sz w:val="24"/>
          <w:lang w:val="en-GB"/>
        </w:rPr>
        <w:t>Therefore</w:t>
      </w:r>
      <w:r w:rsidR="000069D6" w:rsidRPr="00C479A5">
        <w:rPr>
          <w:sz w:val="24"/>
          <w:lang w:val="en-GB"/>
        </w:rPr>
        <w:t>, an appropriate payment mechanism</w:t>
      </w:r>
      <w:r w:rsidR="002A42B5" w:rsidRPr="00C479A5">
        <w:rPr>
          <w:sz w:val="24"/>
          <w:lang w:val="en-GB"/>
        </w:rPr>
        <w:t xml:space="preserve"> that is</w:t>
      </w:r>
      <w:r w:rsidR="000069D6" w:rsidRPr="00C479A5">
        <w:rPr>
          <w:sz w:val="24"/>
          <w:lang w:val="en-GB"/>
        </w:rPr>
        <w:t xml:space="preserve"> calibrated </w:t>
      </w:r>
      <w:r w:rsidR="002A42B5" w:rsidRPr="00C479A5">
        <w:rPr>
          <w:sz w:val="24"/>
          <w:lang w:val="en-GB"/>
        </w:rPr>
        <w:t xml:space="preserve">to </w:t>
      </w:r>
      <w:r w:rsidR="000069D6" w:rsidRPr="00C479A5">
        <w:rPr>
          <w:sz w:val="24"/>
          <w:lang w:val="en-GB"/>
        </w:rPr>
        <w:t xml:space="preserve">monitor and </w:t>
      </w:r>
      <w:r w:rsidR="002A42B5" w:rsidRPr="00C479A5">
        <w:rPr>
          <w:sz w:val="24"/>
          <w:lang w:val="en-GB"/>
        </w:rPr>
        <w:t xml:space="preserve">measure </w:t>
      </w:r>
      <w:r w:rsidR="00A76D37" w:rsidRPr="00C479A5">
        <w:rPr>
          <w:sz w:val="24"/>
          <w:lang w:val="en-GB"/>
        </w:rPr>
        <w:t>PPPs needs to be designed to engender a contract capable of providing long-term value to key stakeholders.</w:t>
      </w:r>
    </w:p>
    <w:p w14:paraId="5933EB8C" w14:textId="77777777" w:rsidR="00FA66C1" w:rsidRDefault="00FA66C1" w:rsidP="00FA66C1">
      <w:pPr>
        <w:spacing w:line="480" w:lineRule="auto"/>
        <w:rPr>
          <w:sz w:val="24"/>
          <w:lang w:val="en-GB"/>
        </w:rPr>
      </w:pPr>
    </w:p>
    <w:p w14:paraId="37E0495A" w14:textId="77777777" w:rsidR="00B95FAB" w:rsidRPr="003D1E5E" w:rsidRDefault="00B95FAB" w:rsidP="009A3DAA">
      <w:pPr>
        <w:spacing w:line="480" w:lineRule="auto"/>
        <w:rPr>
          <w:rFonts w:ascii="Arial" w:hAnsi="Arial" w:cs="Arial"/>
          <w:b/>
          <w:sz w:val="24"/>
          <w:lang w:val="en-GB"/>
        </w:rPr>
      </w:pPr>
      <w:r w:rsidRPr="003D1E5E">
        <w:rPr>
          <w:rFonts w:ascii="Arial" w:hAnsi="Arial" w:cs="Arial"/>
          <w:b/>
          <w:sz w:val="24"/>
          <w:lang w:val="en-GB"/>
        </w:rPr>
        <w:t>Acknowledgments</w:t>
      </w:r>
    </w:p>
    <w:p w14:paraId="326AE653" w14:textId="77777777" w:rsidR="00B95FAB" w:rsidRDefault="00B95FAB" w:rsidP="009A3DAA">
      <w:pPr>
        <w:spacing w:line="480" w:lineRule="auto"/>
        <w:rPr>
          <w:sz w:val="24"/>
          <w:lang w:val="en-GB"/>
        </w:rPr>
      </w:pPr>
      <w:r w:rsidRPr="003D1E5E">
        <w:rPr>
          <w:sz w:val="24"/>
          <w:lang w:val="en-GB"/>
        </w:rPr>
        <w:t xml:space="preserve">The authors </w:t>
      </w:r>
      <w:r w:rsidR="000B7A2D">
        <w:rPr>
          <w:sz w:val="24"/>
          <w:lang w:val="en-GB"/>
        </w:rPr>
        <w:t xml:space="preserve">would like to </w:t>
      </w:r>
      <w:r w:rsidR="000D6E1C">
        <w:rPr>
          <w:sz w:val="24"/>
          <w:lang w:val="en-GB"/>
        </w:rPr>
        <w:t>thank the</w:t>
      </w:r>
      <w:r w:rsidR="00BB2ADB" w:rsidRPr="003D1E5E">
        <w:rPr>
          <w:sz w:val="24"/>
          <w:lang w:val="en-GB"/>
        </w:rPr>
        <w:t xml:space="preserve"> </w:t>
      </w:r>
      <w:r w:rsidR="000D6E1C">
        <w:rPr>
          <w:sz w:val="24"/>
          <w:lang w:val="en-GB"/>
        </w:rPr>
        <w:t xml:space="preserve">PPP </w:t>
      </w:r>
      <w:r w:rsidR="00BB2ADB" w:rsidRPr="003D1E5E">
        <w:rPr>
          <w:sz w:val="24"/>
          <w:lang w:val="en-GB"/>
        </w:rPr>
        <w:t>practitioners</w:t>
      </w:r>
      <w:r w:rsidRPr="003D1E5E">
        <w:rPr>
          <w:sz w:val="24"/>
          <w:lang w:val="en-GB"/>
        </w:rPr>
        <w:t xml:space="preserve"> who participated in this </w:t>
      </w:r>
      <w:r w:rsidR="00BB2ADB" w:rsidRPr="003D1E5E">
        <w:rPr>
          <w:sz w:val="24"/>
          <w:lang w:val="en-GB"/>
        </w:rPr>
        <w:t>study</w:t>
      </w:r>
      <w:r w:rsidRPr="003D1E5E">
        <w:rPr>
          <w:sz w:val="24"/>
          <w:lang w:val="en-GB"/>
        </w:rPr>
        <w:t>. The authors</w:t>
      </w:r>
      <w:r w:rsidR="000D6E1C">
        <w:rPr>
          <w:sz w:val="24"/>
          <w:lang w:val="en-GB"/>
        </w:rPr>
        <w:t xml:space="preserve"> also</w:t>
      </w:r>
      <w:r w:rsidRPr="003D1E5E">
        <w:rPr>
          <w:sz w:val="24"/>
          <w:lang w:val="en-GB"/>
        </w:rPr>
        <w:t xml:space="preserve"> </w:t>
      </w:r>
      <w:r w:rsidR="000B7A2D">
        <w:rPr>
          <w:sz w:val="24"/>
          <w:lang w:val="en-GB"/>
        </w:rPr>
        <w:t xml:space="preserve">would like to </w:t>
      </w:r>
      <w:r w:rsidRPr="003D1E5E">
        <w:rPr>
          <w:sz w:val="24"/>
          <w:lang w:val="en-GB"/>
        </w:rPr>
        <w:t xml:space="preserve">acknowledge the financial support </w:t>
      </w:r>
      <w:r w:rsidR="000B7A2D">
        <w:rPr>
          <w:sz w:val="24"/>
          <w:lang w:val="en-GB"/>
        </w:rPr>
        <w:t>provided by</w:t>
      </w:r>
      <w:r w:rsidRPr="003D1E5E">
        <w:rPr>
          <w:sz w:val="24"/>
          <w:lang w:val="en-GB"/>
        </w:rPr>
        <w:t xml:space="preserve"> the Australian Research Council (</w:t>
      </w:r>
      <w:r w:rsidR="00BF4EAA" w:rsidRPr="003D1E5E">
        <w:rPr>
          <w:sz w:val="24"/>
          <w:lang w:val="en-GB"/>
        </w:rPr>
        <w:t>LP120100347).</w:t>
      </w:r>
    </w:p>
    <w:p w14:paraId="4A12D5D1" w14:textId="77777777" w:rsidR="001D2D0A" w:rsidRDefault="001D2D0A" w:rsidP="009A3DAA">
      <w:pPr>
        <w:spacing w:line="480" w:lineRule="auto"/>
        <w:rPr>
          <w:sz w:val="24"/>
          <w:lang w:val="en-GB"/>
        </w:rPr>
      </w:pPr>
    </w:p>
    <w:p w14:paraId="4FA1A0B2" w14:textId="77777777" w:rsidR="00E65F0A" w:rsidRPr="006D1530" w:rsidRDefault="00631D13" w:rsidP="009A3DAA">
      <w:pPr>
        <w:spacing w:line="480" w:lineRule="auto"/>
        <w:rPr>
          <w:rFonts w:ascii="Arial" w:hAnsi="Arial" w:cs="Arial"/>
          <w:b/>
          <w:sz w:val="24"/>
          <w:lang w:val="en-GB"/>
        </w:rPr>
      </w:pPr>
      <w:r w:rsidRPr="006D1530">
        <w:rPr>
          <w:rFonts w:ascii="Arial" w:hAnsi="Arial" w:cs="Arial"/>
          <w:b/>
          <w:sz w:val="24"/>
          <w:lang w:val="en-GB"/>
        </w:rPr>
        <w:t>References</w:t>
      </w:r>
    </w:p>
    <w:p w14:paraId="64C4BB92" w14:textId="77777777" w:rsidR="00836564" w:rsidRPr="00836564" w:rsidRDefault="00836564" w:rsidP="00836564">
      <w:pPr>
        <w:ind w:left="454" w:hanging="454"/>
        <w:rPr>
          <w:sz w:val="24"/>
          <w:lang w:val="en-GB"/>
        </w:rPr>
      </w:pPr>
      <w:proofErr w:type="spellStart"/>
      <w:r w:rsidRPr="00836564">
        <w:rPr>
          <w:sz w:val="24"/>
          <w:lang w:val="en-GB"/>
        </w:rPr>
        <w:t>Baccarini</w:t>
      </w:r>
      <w:proofErr w:type="spellEnd"/>
      <w:r w:rsidRPr="00836564">
        <w:rPr>
          <w:sz w:val="24"/>
          <w:lang w:val="en-GB"/>
        </w:rPr>
        <w:t xml:space="preserve">, D. (1999). “The logical framework method for defining project success.” </w:t>
      </w:r>
      <w:r w:rsidRPr="00836564">
        <w:rPr>
          <w:i/>
          <w:sz w:val="24"/>
          <w:lang w:val="en-GB"/>
        </w:rPr>
        <w:t>Project Management Journal</w:t>
      </w:r>
      <w:r w:rsidRPr="00836564">
        <w:rPr>
          <w:sz w:val="24"/>
          <w:lang w:val="en-GB"/>
        </w:rPr>
        <w:t>, 30(4), 26-32.</w:t>
      </w:r>
    </w:p>
    <w:p w14:paraId="6A5CB078" w14:textId="77777777" w:rsidR="00836564" w:rsidRDefault="00836564" w:rsidP="00874F4C">
      <w:pPr>
        <w:ind w:left="454" w:hanging="454"/>
        <w:rPr>
          <w:sz w:val="24"/>
          <w:lang w:val="en-GB"/>
        </w:rPr>
      </w:pPr>
    </w:p>
    <w:p w14:paraId="00EAE309" w14:textId="77777777" w:rsidR="00453805" w:rsidRDefault="00453805" w:rsidP="00874F4C">
      <w:pPr>
        <w:ind w:left="454" w:hanging="454"/>
        <w:rPr>
          <w:sz w:val="24"/>
          <w:lang w:val="en-GB"/>
        </w:rPr>
      </w:pPr>
      <w:proofErr w:type="spellStart"/>
      <w:r>
        <w:rPr>
          <w:sz w:val="24"/>
          <w:lang w:val="en-GB"/>
        </w:rPr>
        <w:t>Beisheim</w:t>
      </w:r>
      <w:proofErr w:type="spellEnd"/>
      <w:r>
        <w:rPr>
          <w:sz w:val="24"/>
          <w:lang w:val="en-GB"/>
        </w:rPr>
        <w:t xml:space="preserve">, M. and </w:t>
      </w:r>
      <w:proofErr w:type="spellStart"/>
      <w:r>
        <w:rPr>
          <w:sz w:val="24"/>
          <w:lang w:val="en-GB"/>
        </w:rPr>
        <w:t>Campe</w:t>
      </w:r>
      <w:proofErr w:type="spellEnd"/>
      <w:r>
        <w:rPr>
          <w:sz w:val="24"/>
          <w:lang w:val="en-GB"/>
        </w:rPr>
        <w:t xml:space="preserve">, S. (2012). “Transnational Public-Private Partnerships’ performance in water governance: Institutional design matters.” </w:t>
      </w:r>
      <w:r w:rsidRPr="00453805">
        <w:rPr>
          <w:i/>
          <w:sz w:val="24"/>
          <w:lang w:val="en-GB"/>
        </w:rPr>
        <w:t>Environment and Planning C: Government and Policy</w:t>
      </w:r>
      <w:r>
        <w:rPr>
          <w:sz w:val="24"/>
          <w:lang w:val="en-GB"/>
        </w:rPr>
        <w:t>, 30(4), 627-642.</w:t>
      </w:r>
    </w:p>
    <w:p w14:paraId="4E1471E9" w14:textId="77777777" w:rsidR="00453805" w:rsidRDefault="00453805" w:rsidP="00874F4C">
      <w:pPr>
        <w:ind w:left="454" w:hanging="454"/>
        <w:rPr>
          <w:sz w:val="24"/>
          <w:lang w:val="en-GB"/>
        </w:rPr>
      </w:pPr>
    </w:p>
    <w:p w14:paraId="0162E6D8" w14:textId="77777777" w:rsidR="003C5472" w:rsidRPr="003C5472" w:rsidRDefault="003C5472" w:rsidP="00874F4C">
      <w:pPr>
        <w:ind w:left="454" w:hanging="454"/>
        <w:rPr>
          <w:sz w:val="24"/>
          <w:lang w:val="en-GB"/>
        </w:rPr>
      </w:pPr>
      <w:r>
        <w:rPr>
          <w:sz w:val="24"/>
          <w:lang w:val="en-GB"/>
        </w:rPr>
        <w:t>Chan, A.P.C., Yeung, J.F.Y., Yu, C.C.P., Wang, S.</w:t>
      </w:r>
      <w:r w:rsidRPr="003C5472">
        <w:rPr>
          <w:sz w:val="24"/>
          <w:lang w:val="en-GB"/>
        </w:rPr>
        <w:t xml:space="preserve">Q. and </w:t>
      </w:r>
      <w:proofErr w:type="spellStart"/>
      <w:r w:rsidRPr="003C5472">
        <w:rPr>
          <w:sz w:val="24"/>
          <w:lang w:val="en-GB"/>
        </w:rPr>
        <w:t>Ke</w:t>
      </w:r>
      <w:proofErr w:type="spellEnd"/>
      <w:r w:rsidRPr="003C5472">
        <w:rPr>
          <w:sz w:val="24"/>
          <w:lang w:val="en-GB"/>
        </w:rPr>
        <w:t xml:space="preserve">, Y. (2011). “Empirical study of risk assessment and allocation of public-private partnership projects in China.” </w:t>
      </w:r>
      <w:r w:rsidRPr="003C5472">
        <w:rPr>
          <w:i/>
          <w:sz w:val="24"/>
          <w:lang w:val="en-GB"/>
        </w:rPr>
        <w:t xml:space="preserve">Journal of Management </w:t>
      </w:r>
      <w:r>
        <w:rPr>
          <w:i/>
          <w:sz w:val="24"/>
          <w:lang w:val="en-GB"/>
        </w:rPr>
        <w:t xml:space="preserve">in </w:t>
      </w:r>
      <w:r w:rsidRPr="003C5472">
        <w:rPr>
          <w:i/>
          <w:sz w:val="24"/>
          <w:lang w:val="en-GB"/>
        </w:rPr>
        <w:t>Engineering</w:t>
      </w:r>
      <w:r w:rsidRPr="003C5472">
        <w:rPr>
          <w:sz w:val="24"/>
          <w:lang w:val="en-GB"/>
        </w:rPr>
        <w:t>, 27(3), 136-148.</w:t>
      </w:r>
    </w:p>
    <w:p w14:paraId="4A3E9A53" w14:textId="77777777" w:rsidR="003C5472" w:rsidRDefault="003C5472" w:rsidP="00874F4C">
      <w:pPr>
        <w:ind w:left="454" w:hanging="454"/>
        <w:rPr>
          <w:sz w:val="24"/>
          <w:lang w:val="en-GB"/>
        </w:rPr>
      </w:pPr>
    </w:p>
    <w:p w14:paraId="5EB34249" w14:textId="6AAC7F50" w:rsidR="00CF35F3" w:rsidRDefault="00CF35F3" w:rsidP="00874F4C">
      <w:pPr>
        <w:ind w:left="454" w:hanging="454"/>
        <w:rPr>
          <w:sz w:val="24"/>
          <w:lang w:val="en-GB"/>
        </w:rPr>
      </w:pPr>
      <w:r w:rsidRPr="00CF35F3">
        <w:rPr>
          <w:sz w:val="24"/>
          <w:lang w:val="en-GB"/>
        </w:rPr>
        <w:t xml:space="preserve">da Cruz, N.F., </w:t>
      </w:r>
      <w:proofErr w:type="spellStart"/>
      <w:r w:rsidRPr="00CF35F3">
        <w:rPr>
          <w:sz w:val="24"/>
          <w:lang w:val="en-GB"/>
        </w:rPr>
        <w:t>Simões</w:t>
      </w:r>
      <w:proofErr w:type="spellEnd"/>
      <w:r w:rsidRPr="00CF35F3">
        <w:rPr>
          <w:sz w:val="24"/>
          <w:lang w:val="en-GB"/>
        </w:rPr>
        <w:t>, P. and Marques, R.C. (</w:t>
      </w:r>
      <w:r>
        <w:rPr>
          <w:sz w:val="24"/>
          <w:lang w:val="en-GB"/>
        </w:rPr>
        <w:t>2013). “The hurdles of local government with PPP contracts in the waste sector</w:t>
      </w:r>
      <w:r w:rsidR="00210111">
        <w:rPr>
          <w:sz w:val="24"/>
          <w:lang w:val="en-GB"/>
        </w:rPr>
        <w:t xml:space="preserve">.” </w:t>
      </w:r>
      <w:r w:rsidR="00210111" w:rsidRPr="00210111">
        <w:rPr>
          <w:i/>
          <w:sz w:val="24"/>
          <w:lang w:val="en-GB"/>
        </w:rPr>
        <w:t>Environment and Planning C: Government and Policy</w:t>
      </w:r>
      <w:r w:rsidR="00210111">
        <w:rPr>
          <w:sz w:val="24"/>
          <w:lang w:val="en-GB"/>
        </w:rPr>
        <w:t>, 31(2), 292-307.</w:t>
      </w:r>
    </w:p>
    <w:p w14:paraId="769D048A" w14:textId="77777777" w:rsidR="00C479A5" w:rsidRPr="00CF35F3" w:rsidRDefault="00C479A5" w:rsidP="00874F4C">
      <w:pPr>
        <w:ind w:left="454" w:hanging="454"/>
        <w:rPr>
          <w:sz w:val="24"/>
          <w:lang w:val="en-GB"/>
        </w:rPr>
      </w:pPr>
    </w:p>
    <w:p w14:paraId="6D2DB854" w14:textId="77777777" w:rsidR="00593660" w:rsidRDefault="00593660" w:rsidP="00874F4C">
      <w:pPr>
        <w:ind w:left="454" w:hanging="454"/>
        <w:rPr>
          <w:sz w:val="24"/>
          <w:lang w:val="en-GB"/>
        </w:rPr>
      </w:pPr>
      <w:r w:rsidRPr="00F039C6">
        <w:rPr>
          <w:sz w:val="24"/>
          <w:lang w:val="en-GB"/>
        </w:rPr>
        <w:t>Department of Treasury and Finance Victoria (2007). “Facts and fictions about public private partnerships.”, &lt;http://www.partnerships.vic.gov.au</w:t>
      </w:r>
      <w:r w:rsidR="00684BD7" w:rsidRPr="00F039C6">
        <w:rPr>
          <w:sz w:val="24"/>
          <w:lang w:val="en-GB"/>
        </w:rPr>
        <w:t>&gt; (08 March 2016</w:t>
      </w:r>
      <w:r w:rsidRPr="00F039C6">
        <w:rPr>
          <w:sz w:val="24"/>
          <w:lang w:val="en-GB"/>
        </w:rPr>
        <w:t>).</w:t>
      </w:r>
    </w:p>
    <w:p w14:paraId="0E0571DE" w14:textId="77777777" w:rsidR="00CF35F3" w:rsidRDefault="00CF35F3" w:rsidP="00874F4C">
      <w:pPr>
        <w:ind w:left="454" w:hanging="454"/>
        <w:rPr>
          <w:sz w:val="24"/>
          <w:lang w:val="en-GB"/>
        </w:rPr>
      </w:pPr>
    </w:p>
    <w:p w14:paraId="01EE152A" w14:textId="77777777" w:rsidR="00210111" w:rsidRPr="00210111" w:rsidRDefault="00210111" w:rsidP="00874F4C">
      <w:pPr>
        <w:ind w:left="454" w:hanging="454"/>
        <w:rPr>
          <w:sz w:val="24"/>
          <w:lang w:val="en-GB"/>
        </w:rPr>
      </w:pPr>
      <w:proofErr w:type="spellStart"/>
      <w:r w:rsidRPr="00210111">
        <w:rPr>
          <w:rFonts w:hint="eastAsia"/>
          <w:sz w:val="24"/>
          <w:lang w:val="en-GB"/>
        </w:rPr>
        <w:t>Devapriya</w:t>
      </w:r>
      <w:proofErr w:type="spellEnd"/>
      <w:r w:rsidRPr="00210111">
        <w:rPr>
          <w:rFonts w:hint="eastAsia"/>
          <w:sz w:val="24"/>
          <w:lang w:val="en-GB"/>
        </w:rPr>
        <w:t xml:space="preserve">, K.A.K. (2006). </w:t>
      </w:r>
      <w:r w:rsidRPr="00210111">
        <w:rPr>
          <w:sz w:val="24"/>
          <w:lang w:val="en-GB"/>
        </w:rPr>
        <w:t>“</w:t>
      </w:r>
      <w:r w:rsidRPr="00210111">
        <w:rPr>
          <w:rFonts w:hint="eastAsia"/>
          <w:sz w:val="24"/>
          <w:lang w:val="en-GB"/>
        </w:rPr>
        <w:t>Governance issues in financing of public private partnership organizations in network infrastructure industries.</w:t>
      </w:r>
      <w:r w:rsidRPr="00210111">
        <w:rPr>
          <w:sz w:val="24"/>
          <w:lang w:val="en-GB"/>
        </w:rPr>
        <w:t>”</w:t>
      </w:r>
      <w:r w:rsidRPr="00210111">
        <w:rPr>
          <w:rFonts w:hint="eastAsia"/>
          <w:sz w:val="24"/>
          <w:lang w:val="en-GB"/>
        </w:rPr>
        <w:t xml:space="preserve"> </w:t>
      </w:r>
      <w:r w:rsidRPr="00210111">
        <w:rPr>
          <w:i/>
          <w:iCs/>
          <w:sz w:val="24"/>
          <w:lang w:val="en-GB"/>
        </w:rPr>
        <w:t>International Journal of Project Management</w:t>
      </w:r>
      <w:r w:rsidRPr="00210111">
        <w:rPr>
          <w:sz w:val="24"/>
          <w:lang w:val="en-GB"/>
        </w:rPr>
        <w:t>,</w:t>
      </w:r>
      <w:r w:rsidRPr="00210111">
        <w:rPr>
          <w:rFonts w:hint="eastAsia"/>
          <w:sz w:val="24"/>
          <w:lang w:val="en-GB"/>
        </w:rPr>
        <w:t xml:space="preserve"> 24(7) 557-565.</w:t>
      </w:r>
    </w:p>
    <w:p w14:paraId="25AE929F" w14:textId="77777777" w:rsidR="00210111" w:rsidRPr="00210111" w:rsidRDefault="00210111" w:rsidP="00874F4C">
      <w:pPr>
        <w:ind w:left="454" w:hanging="454"/>
        <w:rPr>
          <w:sz w:val="24"/>
          <w:lang w:val="en-GB"/>
        </w:rPr>
      </w:pPr>
    </w:p>
    <w:p w14:paraId="353BB79B" w14:textId="77777777" w:rsidR="0047706A" w:rsidRDefault="0047706A" w:rsidP="00874F4C">
      <w:pPr>
        <w:ind w:left="454" w:hanging="454"/>
        <w:rPr>
          <w:sz w:val="24"/>
          <w:lang w:val="en-AU"/>
        </w:rPr>
      </w:pPr>
      <w:r w:rsidRPr="00F039C6">
        <w:rPr>
          <w:sz w:val="24"/>
          <w:lang w:val="en-AU"/>
        </w:rPr>
        <w:t xml:space="preserve">Duffield, C.F. and Clifton, C.J. (2008). </w:t>
      </w:r>
      <w:r w:rsidR="00D80E4A" w:rsidRPr="00F039C6">
        <w:rPr>
          <w:sz w:val="24"/>
          <w:lang w:val="en-AU"/>
        </w:rPr>
        <w:t>“</w:t>
      </w:r>
      <w:r w:rsidRPr="00F039C6">
        <w:rPr>
          <w:sz w:val="24"/>
          <w:lang w:val="en-AU"/>
        </w:rPr>
        <w:t>Combining finance and design innovation to develop winning proposals.</w:t>
      </w:r>
      <w:r w:rsidR="00D80E4A" w:rsidRPr="00F039C6">
        <w:rPr>
          <w:sz w:val="24"/>
          <w:lang w:val="en-AU"/>
        </w:rPr>
        <w:t>”</w:t>
      </w:r>
      <w:r w:rsidR="00F508A9" w:rsidRPr="00F039C6">
        <w:rPr>
          <w:sz w:val="24"/>
          <w:lang w:val="en-AU"/>
        </w:rPr>
        <w:t xml:space="preserve"> In </w:t>
      </w:r>
      <w:r w:rsidRPr="00F039C6">
        <w:rPr>
          <w:sz w:val="24"/>
          <w:lang w:val="en-AU"/>
        </w:rPr>
        <w:t xml:space="preserve">Beck, M. and </w:t>
      </w:r>
      <w:proofErr w:type="spellStart"/>
      <w:r w:rsidRPr="00F039C6">
        <w:rPr>
          <w:sz w:val="24"/>
          <w:lang w:val="en-AU"/>
        </w:rPr>
        <w:t>Akintoye</w:t>
      </w:r>
      <w:proofErr w:type="spellEnd"/>
      <w:r w:rsidRPr="00F039C6">
        <w:rPr>
          <w:sz w:val="24"/>
          <w:lang w:val="en-AU"/>
        </w:rPr>
        <w:t>, A. (</w:t>
      </w:r>
      <w:proofErr w:type="spellStart"/>
      <w:r w:rsidRPr="00F039C6">
        <w:rPr>
          <w:sz w:val="24"/>
          <w:lang w:val="en-AU"/>
        </w:rPr>
        <w:t>eds</w:t>
      </w:r>
      <w:proofErr w:type="spellEnd"/>
      <w:r w:rsidRPr="00F039C6">
        <w:rPr>
          <w:sz w:val="24"/>
          <w:lang w:val="en-AU"/>
        </w:rPr>
        <w:t xml:space="preserve">), </w:t>
      </w:r>
      <w:r w:rsidRPr="00F039C6">
        <w:rPr>
          <w:i/>
          <w:sz w:val="24"/>
          <w:lang w:val="en-AU"/>
        </w:rPr>
        <w:t>Policy, Finance &amp; Management for Public-Private Partnership</w:t>
      </w:r>
      <w:r w:rsidRPr="00F039C6">
        <w:rPr>
          <w:sz w:val="24"/>
          <w:lang w:val="en-AU"/>
        </w:rPr>
        <w:t>, Wiley Blackwell, Chichester,</w:t>
      </w:r>
      <w:r w:rsidR="00751513" w:rsidRPr="00F039C6">
        <w:rPr>
          <w:sz w:val="24"/>
          <w:lang w:val="en-AU"/>
        </w:rPr>
        <w:t xml:space="preserve"> </w:t>
      </w:r>
      <w:r w:rsidRPr="00F039C6">
        <w:rPr>
          <w:sz w:val="24"/>
          <w:lang w:val="en-AU"/>
        </w:rPr>
        <w:t>327-345.</w:t>
      </w:r>
    </w:p>
    <w:p w14:paraId="4EFF779F" w14:textId="77777777" w:rsidR="00453805" w:rsidRDefault="00453805" w:rsidP="00874F4C">
      <w:pPr>
        <w:ind w:left="454" w:hanging="454"/>
        <w:rPr>
          <w:sz w:val="24"/>
          <w:lang w:val="en-AU"/>
        </w:rPr>
      </w:pPr>
    </w:p>
    <w:p w14:paraId="399CDF16" w14:textId="77777777" w:rsidR="00453805" w:rsidRDefault="00453805" w:rsidP="00874F4C">
      <w:pPr>
        <w:ind w:left="454" w:hanging="454"/>
        <w:rPr>
          <w:sz w:val="24"/>
          <w:lang w:val="en-AU"/>
        </w:rPr>
      </w:pPr>
      <w:proofErr w:type="spellStart"/>
      <w:r w:rsidRPr="00453805">
        <w:rPr>
          <w:sz w:val="24"/>
          <w:lang w:val="en-GB"/>
        </w:rPr>
        <w:t>Edelenbos</w:t>
      </w:r>
      <w:proofErr w:type="spellEnd"/>
      <w:r>
        <w:rPr>
          <w:sz w:val="24"/>
          <w:lang w:val="en-GB"/>
        </w:rPr>
        <w:t>, J.</w:t>
      </w:r>
      <w:r w:rsidRPr="00453805">
        <w:rPr>
          <w:sz w:val="24"/>
          <w:lang w:val="en-GB"/>
        </w:rPr>
        <w:t xml:space="preserve"> and </w:t>
      </w:r>
      <w:proofErr w:type="spellStart"/>
      <w:r w:rsidRPr="00453805">
        <w:rPr>
          <w:sz w:val="24"/>
          <w:lang w:val="en-GB"/>
        </w:rPr>
        <w:t>Teisman</w:t>
      </w:r>
      <w:proofErr w:type="spellEnd"/>
      <w:r>
        <w:rPr>
          <w:sz w:val="24"/>
          <w:lang w:val="en-GB"/>
        </w:rPr>
        <w:t xml:space="preserve">, G.R. (2008). “Public-Private Partnerships: On the edge of project and process management insights from Dutch practice: The </w:t>
      </w:r>
      <w:proofErr w:type="spellStart"/>
      <w:r>
        <w:rPr>
          <w:sz w:val="24"/>
          <w:lang w:val="en-GB"/>
        </w:rPr>
        <w:t>Sijtwende</w:t>
      </w:r>
      <w:proofErr w:type="spellEnd"/>
      <w:r>
        <w:rPr>
          <w:sz w:val="24"/>
          <w:lang w:val="en-GB"/>
        </w:rPr>
        <w:t xml:space="preserve"> spatial development project.” </w:t>
      </w:r>
      <w:r w:rsidRPr="00453805">
        <w:rPr>
          <w:i/>
          <w:sz w:val="24"/>
          <w:lang w:val="en-GB"/>
        </w:rPr>
        <w:t>Environment and Planning C: Government and Policy</w:t>
      </w:r>
      <w:r>
        <w:rPr>
          <w:sz w:val="24"/>
          <w:lang w:val="en-GB"/>
        </w:rPr>
        <w:t xml:space="preserve">, 26(3), </w:t>
      </w:r>
      <w:r>
        <w:rPr>
          <w:sz w:val="24"/>
          <w:lang w:val="en-GB"/>
        </w:rPr>
        <w:lastRenderedPageBreak/>
        <w:t>614-626.</w:t>
      </w:r>
    </w:p>
    <w:p w14:paraId="52271E0A" w14:textId="77777777" w:rsidR="00453805" w:rsidRDefault="00453805" w:rsidP="00874F4C">
      <w:pPr>
        <w:ind w:left="454" w:hanging="454"/>
        <w:rPr>
          <w:sz w:val="24"/>
          <w:lang w:val="en-AU"/>
        </w:rPr>
      </w:pPr>
    </w:p>
    <w:p w14:paraId="41B857AD" w14:textId="77777777" w:rsidR="003C5472" w:rsidRDefault="003C5472" w:rsidP="00874F4C">
      <w:pPr>
        <w:ind w:left="454" w:hanging="454"/>
        <w:rPr>
          <w:sz w:val="24"/>
          <w:lang w:val="en-AU"/>
        </w:rPr>
      </w:pPr>
      <w:r w:rsidRPr="003C5472">
        <w:rPr>
          <w:sz w:val="24"/>
          <w:lang w:val="en-AU"/>
        </w:rPr>
        <w:t xml:space="preserve">Engel, E., Fischer, R. and </w:t>
      </w:r>
      <w:proofErr w:type="spellStart"/>
      <w:r w:rsidRPr="003C5472">
        <w:rPr>
          <w:sz w:val="24"/>
          <w:lang w:val="en-AU"/>
        </w:rPr>
        <w:t>Galetovic</w:t>
      </w:r>
      <w:proofErr w:type="spellEnd"/>
      <w:r w:rsidRPr="003C5472">
        <w:rPr>
          <w:sz w:val="24"/>
          <w:lang w:val="en-AU"/>
        </w:rPr>
        <w:t xml:space="preserve">, A. (2013). </w:t>
      </w:r>
      <w:r>
        <w:rPr>
          <w:sz w:val="24"/>
          <w:lang w:val="en-AU"/>
        </w:rPr>
        <w:t>“</w:t>
      </w:r>
      <w:r w:rsidRPr="003C5472">
        <w:rPr>
          <w:sz w:val="24"/>
          <w:lang w:val="en-AU"/>
        </w:rPr>
        <w:t>The basic public finance of</w:t>
      </w:r>
      <w:r>
        <w:rPr>
          <w:sz w:val="24"/>
          <w:lang w:val="en-AU"/>
        </w:rPr>
        <w:t xml:space="preserve"> </w:t>
      </w:r>
      <w:r w:rsidRPr="003C5472">
        <w:rPr>
          <w:sz w:val="24"/>
          <w:lang w:val="en-AU"/>
        </w:rPr>
        <w:t>public-private partnerships.</w:t>
      </w:r>
      <w:r>
        <w:rPr>
          <w:sz w:val="24"/>
          <w:lang w:val="en-AU"/>
        </w:rPr>
        <w:t>”</w:t>
      </w:r>
      <w:r w:rsidRPr="003C5472">
        <w:rPr>
          <w:sz w:val="24"/>
          <w:lang w:val="en-AU"/>
        </w:rPr>
        <w:t xml:space="preserve"> </w:t>
      </w:r>
      <w:r w:rsidRPr="003C5472">
        <w:rPr>
          <w:i/>
          <w:iCs/>
          <w:sz w:val="24"/>
          <w:lang w:val="en-AU"/>
        </w:rPr>
        <w:t>Journal of European Economic Association</w:t>
      </w:r>
      <w:r w:rsidRPr="003C5472">
        <w:rPr>
          <w:sz w:val="24"/>
          <w:lang w:val="en-AU"/>
        </w:rPr>
        <w:t>, 11(1),</w:t>
      </w:r>
      <w:r>
        <w:rPr>
          <w:sz w:val="24"/>
          <w:lang w:val="en-AU"/>
        </w:rPr>
        <w:t xml:space="preserve"> </w:t>
      </w:r>
      <w:r w:rsidRPr="003C5472">
        <w:rPr>
          <w:sz w:val="24"/>
          <w:lang w:val="en-AU"/>
        </w:rPr>
        <w:t>83-111.</w:t>
      </w:r>
    </w:p>
    <w:p w14:paraId="58084CDB" w14:textId="77777777" w:rsidR="003C5472" w:rsidRPr="00F039C6" w:rsidRDefault="003C5472" w:rsidP="00874F4C">
      <w:pPr>
        <w:ind w:left="454" w:hanging="454"/>
        <w:rPr>
          <w:sz w:val="24"/>
          <w:lang w:val="en-AU"/>
        </w:rPr>
      </w:pPr>
    </w:p>
    <w:p w14:paraId="51795290" w14:textId="77777777" w:rsidR="00F508A9" w:rsidRPr="00F039C6" w:rsidRDefault="00F508A9" w:rsidP="00874F4C">
      <w:pPr>
        <w:ind w:left="454" w:hanging="454"/>
        <w:rPr>
          <w:sz w:val="24"/>
          <w:lang w:val="en-GB"/>
        </w:rPr>
      </w:pPr>
      <w:r w:rsidRPr="00F039C6">
        <w:rPr>
          <w:sz w:val="24"/>
          <w:lang w:val="en-GB"/>
        </w:rPr>
        <w:t>European Commission (2003). “Guidelines for successful public-private partnerships.” European Commission, Brussels, Belgium.</w:t>
      </w:r>
    </w:p>
    <w:p w14:paraId="36613275" w14:textId="77777777" w:rsidR="002A3D52" w:rsidRPr="00F039C6" w:rsidRDefault="002A3D52" w:rsidP="00874F4C">
      <w:pPr>
        <w:ind w:left="454" w:hanging="454"/>
        <w:rPr>
          <w:sz w:val="24"/>
          <w:lang w:val="en-GB"/>
        </w:rPr>
      </w:pPr>
    </w:p>
    <w:p w14:paraId="49D98BAB" w14:textId="77777777" w:rsidR="00F508A9" w:rsidRPr="00F039C6" w:rsidRDefault="00F508A9" w:rsidP="00874F4C">
      <w:pPr>
        <w:ind w:left="454" w:hanging="454"/>
        <w:rPr>
          <w:sz w:val="24"/>
          <w:lang w:val="en-GB"/>
        </w:rPr>
      </w:pPr>
      <w:r w:rsidRPr="00F039C6">
        <w:rPr>
          <w:sz w:val="24"/>
          <w:lang w:val="en-GB"/>
        </w:rPr>
        <w:t>European Investment Bank (EIB) (2004). “The EIB’s role in public-private partnerships (PPPs).” European Investment Bank, Brussels, Luxembourg.</w:t>
      </w:r>
    </w:p>
    <w:p w14:paraId="39CFFECE" w14:textId="77777777" w:rsidR="00784829" w:rsidRPr="00F039C6" w:rsidRDefault="00784829" w:rsidP="00874F4C">
      <w:pPr>
        <w:ind w:left="454" w:hanging="454"/>
        <w:rPr>
          <w:sz w:val="24"/>
          <w:lang w:val="en-GB"/>
        </w:rPr>
      </w:pPr>
    </w:p>
    <w:p w14:paraId="7B6EFCF3" w14:textId="77777777" w:rsidR="001079F8" w:rsidRPr="00F039C6" w:rsidRDefault="001079F8" w:rsidP="00874F4C">
      <w:pPr>
        <w:ind w:left="284" w:hanging="284"/>
        <w:rPr>
          <w:sz w:val="24"/>
          <w:lang w:val="en-AU"/>
        </w:rPr>
      </w:pPr>
      <w:proofErr w:type="spellStart"/>
      <w:r w:rsidRPr="00F039C6">
        <w:rPr>
          <w:sz w:val="24"/>
          <w:lang w:val="en-AU"/>
        </w:rPr>
        <w:t>Flyvbjerg</w:t>
      </w:r>
      <w:proofErr w:type="spellEnd"/>
      <w:r w:rsidRPr="00F039C6">
        <w:rPr>
          <w:sz w:val="24"/>
          <w:lang w:val="en-AU"/>
        </w:rPr>
        <w:t xml:space="preserve">, B. (2006). “Five misunderstanding about case-study research.” </w:t>
      </w:r>
      <w:r w:rsidRPr="00F039C6">
        <w:rPr>
          <w:i/>
          <w:sz w:val="24"/>
          <w:lang w:val="en-AU"/>
        </w:rPr>
        <w:t>Qualitative Inquiry</w:t>
      </w:r>
      <w:r w:rsidRPr="00F039C6">
        <w:rPr>
          <w:sz w:val="24"/>
          <w:lang w:val="en-AU"/>
        </w:rPr>
        <w:t>, 12(2), 219-245</w:t>
      </w:r>
    </w:p>
    <w:p w14:paraId="6BEAE77E" w14:textId="77777777" w:rsidR="001079F8" w:rsidRPr="00F039C6" w:rsidRDefault="001079F8" w:rsidP="00874F4C">
      <w:pPr>
        <w:rPr>
          <w:sz w:val="24"/>
          <w:lang w:val="en-AU"/>
        </w:rPr>
      </w:pPr>
    </w:p>
    <w:p w14:paraId="2DBFB84C" w14:textId="77777777" w:rsidR="000F156B" w:rsidRDefault="000F156B" w:rsidP="00874F4C">
      <w:pPr>
        <w:ind w:left="454" w:hanging="454"/>
        <w:rPr>
          <w:sz w:val="24"/>
          <w:lang w:val="en-GB"/>
        </w:rPr>
      </w:pPr>
      <w:r w:rsidRPr="00F039C6">
        <w:rPr>
          <w:sz w:val="24"/>
          <w:lang w:val="en-GB"/>
        </w:rPr>
        <w:t xml:space="preserve">Garvin, M., </w:t>
      </w:r>
      <w:proofErr w:type="spellStart"/>
      <w:r w:rsidRPr="00F039C6">
        <w:rPr>
          <w:sz w:val="24"/>
          <w:lang w:val="en-GB"/>
        </w:rPr>
        <w:t>Molenaar</w:t>
      </w:r>
      <w:proofErr w:type="spellEnd"/>
      <w:r w:rsidRPr="00F039C6">
        <w:rPr>
          <w:sz w:val="24"/>
          <w:lang w:val="en-GB"/>
        </w:rPr>
        <w:t>, K., Navarro, D. and Proctor, G. (2011). “Key performance indicators in public-private partnerships.” Federal Highway Administration, Washington, D. C., USA.</w:t>
      </w:r>
    </w:p>
    <w:p w14:paraId="2F0E0843" w14:textId="77777777" w:rsidR="008E7AAE" w:rsidRDefault="008E7AAE" w:rsidP="00874F4C">
      <w:pPr>
        <w:ind w:left="454" w:hanging="454"/>
        <w:rPr>
          <w:sz w:val="24"/>
          <w:lang w:val="en-GB"/>
        </w:rPr>
      </w:pPr>
    </w:p>
    <w:p w14:paraId="485FC536" w14:textId="77777777" w:rsidR="003C5472" w:rsidRPr="003C5472" w:rsidRDefault="003C5472" w:rsidP="00874F4C">
      <w:pPr>
        <w:ind w:left="454" w:hanging="454"/>
        <w:rPr>
          <w:sz w:val="24"/>
          <w:lang w:val="en-GB"/>
        </w:rPr>
      </w:pPr>
      <w:r w:rsidRPr="003C5472">
        <w:rPr>
          <w:rFonts w:hint="eastAsia"/>
          <w:sz w:val="24"/>
          <w:lang w:val="en-GB"/>
        </w:rPr>
        <w:t xml:space="preserve">Grimsey, D. and Lewis, M. K. (2002). </w:t>
      </w:r>
      <w:r w:rsidRPr="003C5472">
        <w:rPr>
          <w:sz w:val="24"/>
          <w:lang w:val="en-GB"/>
        </w:rPr>
        <w:t>“</w:t>
      </w:r>
      <w:r w:rsidRPr="003C5472">
        <w:rPr>
          <w:rFonts w:hint="eastAsia"/>
          <w:sz w:val="24"/>
          <w:lang w:val="en-GB"/>
        </w:rPr>
        <w:t>Evaluating the risks of public private partnerships for infrastructure projects.</w:t>
      </w:r>
      <w:r w:rsidRPr="003C5472">
        <w:rPr>
          <w:sz w:val="24"/>
          <w:lang w:val="en-GB"/>
        </w:rPr>
        <w:t>”</w:t>
      </w:r>
      <w:r w:rsidRPr="003C5472">
        <w:rPr>
          <w:rFonts w:hint="eastAsia"/>
          <w:sz w:val="24"/>
          <w:lang w:val="en-GB"/>
        </w:rPr>
        <w:t xml:space="preserve"> </w:t>
      </w:r>
      <w:r w:rsidRPr="003C5472">
        <w:rPr>
          <w:i/>
          <w:iCs/>
          <w:sz w:val="24"/>
          <w:lang w:val="en-GB"/>
        </w:rPr>
        <w:t>International Journal of Project Management</w:t>
      </w:r>
      <w:r w:rsidRPr="003C5472">
        <w:rPr>
          <w:sz w:val="24"/>
          <w:lang w:val="en-GB"/>
        </w:rPr>
        <w:t xml:space="preserve">, </w:t>
      </w:r>
      <w:r w:rsidRPr="003C5472">
        <w:rPr>
          <w:rFonts w:hint="eastAsia"/>
          <w:sz w:val="24"/>
          <w:lang w:val="en-GB"/>
        </w:rPr>
        <w:t>20(2), 197-118.</w:t>
      </w:r>
    </w:p>
    <w:p w14:paraId="1D1D7E6A" w14:textId="77777777" w:rsidR="003C5472" w:rsidRPr="00F039C6" w:rsidRDefault="003C5472" w:rsidP="00874F4C">
      <w:pPr>
        <w:ind w:left="454" w:hanging="454"/>
        <w:rPr>
          <w:sz w:val="24"/>
          <w:lang w:val="en-GB"/>
        </w:rPr>
      </w:pPr>
    </w:p>
    <w:p w14:paraId="0F875B2A" w14:textId="77777777" w:rsidR="001079F8" w:rsidRDefault="001079F8" w:rsidP="00874F4C">
      <w:pPr>
        <w:ind w:left="454" w:hanging="454"/>
        <w:rPr>
          <w:sz w:val="24"/>
          <w:lang w:val="en-GB"/>
        </w:rPr>
      </w:pPr>
      <w:proofErr w:type="spellStart"/>
      <w:r w:rsidRPr="00F039C6">
        <w:rPr>
          <w:sz w:val="24"/>
          <w:lang w:val="en-GB"/>
        </w:rPr>
        <w:t>Haponava</w:t>
      </w:r>
      <w:proofErr w:type="spellEnd"/>
      <w:r w:rsidRPr="00F039C6">
        <w:rPr>
          <w:sz w:val="24"/>
          <w:lang w:val="en-GB"/>
        </w:rPr>
        <w:t>, T. and Al-</w:t>
      </w:r>
      <w:proofErr w:type="spellStart"/>
      <w:r w:rsidRPr="00F039C6">
        <w:rPr>
          <w:sz w:val="24"/>
          <w:lang w:val="en-GB"/>
        </w:rPr>
        <w:t>Jibouri</w:t>
      </w:r>
      <w:proofErr w:type="spellEnd"/>
      <w:r w:rsidRPr="00F039C6">
        <w:rPr>
          <w:sz w:val="24"/>
          <w:lang w:val="en-GB"/>
        </w:rPr>
        <w:t xml:space="preserve">, S. (2012). “Proposed system for measuring project performance using process-based key performance indicators.” </w:t>
      </w:r>
      <w:r w:rsidRPr="00F039C6">
        <w:rPr>
          <w:i/>
          <w:sz w:val="24"/>
          <w:lang w:val="en-GB"/>
        </w:rPr>
        <w:t>Journal of Management in Engineering</w:t>
      </w:r>
      <w:r w:rsidRPr="00F039C6">
        <w:rPr>
          <w:sz w:val="24"/>
          <w:lang w:val="en-GB"/>
        </w:rPr>
        <w:t>, 28(2), 140-149.</w:t>
      </w:r>
    </w:p>
    <w:p w14:paraId="56C105A4" w14:textId="77777777" w:rsidR="00CF35F3" w:rsidRPr="00F039C6" w:rsidRDefault="00CF35F3" w:rsidP="00874F4C">
      <w:pPr>
        <w:ind w:left="454" w:hanging="454"/>
        <w:rPr>
          <w:sz w:val="24"/>
          <w:lang w:val="en-GB"/>
        </w:rPr>
      </w:pPr>
    </w:p>
    <w:p w14:paraId="460244F0" w14:textId="5CD8E20C" w:rsidR="0047706A" w:rsidRPr="00F039C6" w:rsidRDefault="0047706A" w:rsidP="00874F4C">
      <w:pPr>
        <w:ind w:left="454" w:hanging="454"/>
        <w:rPr>
          <w:sz w:val="24"/>
          <w:lang w:val="en-AU"/>
        </w:rPr>
      </w:pPr>
      <w:r w:rsidRPr="00F039C6">
        <w:rPr>
          <w:sz w:val="24"/>
          <w:lang w:val="en-AU"/>
        </w:rPr>
        <w:t xml:space="preserve">Harris, P., Mundy, W. and </w:t>
      </w:r>
      <w:proofErr w:type="spellStart"/>
      <w:r w:rsidRPr="00F039C6">
        <w:rPr>
          <w:sz w:val="24"/>
          <w:lang w:val="en-AU"/>
        </w:rPr>
        <w:t>Lindwall</w:t>
      </w:r>
      <w:proofErr w:type="spellEnd"/>
      <w:r w:rsidRPr="00F039C6">
        <w:rPr>
          <w:sz w:val="24"/>
          <w:lang w:val="en-AU"/>
        </w:rPr>
        <w:t xml:space="preserve">, P. (2014). Public infrastructure. </w:t>
      </w:r>
      <w:r w:rsidRPr="00F039C6">
        <w:rPr>
          <w:i/>
          <w:sz w:val="24"/>
          <w:lang w:val="en-AU"/>
        </w:rPr>
        <w:t>Productivity Commission Inquiry Report</w:t>
      </w:r>
      <w:r w:rsidRPr="00F039C6">
        <w:rPr>
          <w:sz w:val="24"/>
          <w:lang w:val="en-AU"/>
        </w:rPr>
        <w:t xml:space="preserve">, 1(71), </w:t>
      </w:r>
      <w:r w:rsidR="00C479A5">
        <w:rPr>
          <w:sz w:val="24"/>
          <w:lang w:val="en-AU"/>
        </w:rPr>
        <w:t>1-138</w:t>
      </w:r>
      <w:r w:rsidRPr="00F039C6">
        <w:rPr>
          <w:sz w:val="24"/>
          <w:lang w:val="en-AU"/>
        </w:rPr>
        <w:t>.</w:t>
      </w:r>
    </w:p>
    <w:p w14:paraId="0A1C4D56" w14:textId="3A3D27E5" w:rsidR="00686F6C" w:rsidRPr="00F039C6" w:rsidRDefault="00686F6C" w:rsidP="00C479A5">
      <w:pPr>
        <w:rPr>
          <w:sz w:val="24"/>
          <w:lang w:val="en-GB"/>
        </w:rPr>
      </w:pPr>
    </w:p>
    <w:p w14:paraId="7ACF8227" w14:textId="77777777" w:rsidR="0047706A" w:rsidRDefault="0047706A" w:rsidP="00874F4C">
      <w:pPr>
        <w:ind w:left="454" w:hanging="454"/>
        <w:rPr>
          <w:sz w:val="24"/>
          <w:lang w:val="en-GB"/>
        </w:rPr>
      </w:pPr>
      <w:r w:rsidRPr="00F039C6">
        <w:rPr>
          <w:sz w:val="24"/>
          <w:lang w:val="en-GB"/>
        </w:rPr>
        <w:t xml:space="preserve">Hodge, G.A. (2004). “The risky business of public-private partnerships.” </w:t>
      </w:r>
      <w:r w:rsidRPr="00F039C6">
        <w:rPr>
          <w:i/>
          <w:sz w:val="24"/>
          <w:lang w:val="en-GB"/>
        </w:rPr>
        <w:t>Australian Journal of Public Administration</w:t>
      </w:r>
      <w:r w:rsidRPr="00F039C6">
        <w:rPr>
          <w:sz w:val="24"/>
          <w:lang w:val="en-GB"/>
        </w:rPr>
        <w:t>, 63(4), 37-49.</w:t>
      </w:r>
    </w:p>
    <w:p w14:paraId="05C10EED" w14:textId="77777777" w:rsidR="00453805" w:rsidRPr="00F039C6" w:rsidRDefault="00453805" w:rsidP="00874F4C">
      <w:pPr>
        <w:ind w:left="454" w:hanging="454"/>
        <w:rPr>
          <w:sz w:val="24"/>
          <w:lang w:val="en-GB"/>
        </w:rPr>
      </w:pPr>
    </w:p>
    <w:p w14:paraId="5A665E35" w14:textId="77777777" w:rsidR="00D26569" w:rsidRPr="00D26569" w:rsidRDefault="00D26569" w:rsidP="00874F4C">
      <w:pPr>
        <w:ind w:left="454" w:hanging="454"/>
        <w:rPr>
          <w:sz w:val="24"/>
          <w:lang w:val="en-GB"/>
        </w:rPr>
      </w:pPr>
      <w:r w:rsidRPr="00D26569">
        <w:rPr>
          <w:rFonts w:hint="eastAsia"/>
          <w:sz w:val="24"/>
          <w:lang w:val="en-GB"/>
        </w:rPr>
        <w:t>Hodge, G.</w:t>
      </w:r>
      <w:r w:rsidRPr="00D26569">
        <w:rPr>
          <w:sz w:val="24"/>
          <w:lang w:val="en-GB"/>
        </w:rPr>
        <w:t>A.</w:t>
      </w:r>
      <w:r w:rsidRPr="00D26569">
        <w:rPr>
          <w:rFonts w:hint="eastAsia"/>
          <w:sz w:val="24"/>
          <w:lang w:val="en-GB"/>
        </w:rPr>
        <w:t xml:space="preserve"> </w:t>
      </w:r>
      <w:r w:rsidRPr="00D26569">
        <w:rPr>
          <w:sz w:val="24"/>
          <w:lang w:val="en-GB"/>
        </w:rPr>
        <w:t xml:space="preserve">(2005). “Public private partnerships: the Australasian experience with physical infrastructure.” In: Hodge, G. A. and </w:t>
      </w:r>
      <w:proofErr w:type="spellStart"/>
      <w:r w:rsidRPr="00D26569">
        <w:rPr>
          <w:sz w:val="24"/>
          <w:lang w:val="en-GB"/>
        </w:rPr>
        <w:t>Greve</w:t>
      </w:r>
      <w:proofErr w:type="spellEnd"/>
      <w:r w:rsidRPr="00D26569">
        <w:rPr>
          <w:sz w:val="24"/>
          <w:lang w:val="en-GB"/>
        </w:rPr>
        <w:t>, C. (</w:t>
      </w:r>
      <w:proofErr w:type="spellStart"/>
      <w:r w:rsidRPr="00D26569">
        <w:rPr>
          <w:sz w:val="24"/>
          <w:lang w:val="en-GB"/>
        </w:rPr>
        <w:t>eds</w:t>
      </w:r>
      <w:proofErr w:type="spellEnd"/>
      <w:r w:rsidRPr="00D26569">
        <w:rPr>
          <w:sz w:val="24"/>
          <w:lang w:val="en-GB"/>
        </w:rPr>
        <w:t xml:space="preserve">) </w:t>
      </w:r>
      <w:r w:rsidRPr="00D26569">
        <w:rPr>
          <w:i/>
          <w:sz w:val="24"/>
          <w:lang w:val="en-GB"/>
        </w:rPr>
        <w:t>The challenge of public-private partnerships: Learning from international experience</w:t>
      </w:r>
      <w:r w:rsidRPr="00D26569">
        <w:rPr>
          <w:sz w:val="24"/>
          <w:lang w:val="en-GB"/>
        </w:rPr>
        <w:t>. Edward Elgar, Cheltenham, UK, 305-331.</w:t>
      </w:r>
    </w:p>
    <w:p w14:paraId="2438F55E" w14:textId="77777777" w:rsidR="00D26569" w:rsidRDefault="00D26569" w:rsidP="00874F4C">
      <w:pPr>
        <w:rPr>
          <w:sz w:val="24"/>
          <w:lang w:val="en-AU"/>
        </w:rPr>
      </w:pPr>
    </w:p>
    <w:p w14:paraId="3829D005" w14:textId="77777777" w:rsidR="007A4DF2" w:rsidRDefault="007A4DF2" w:rsidP="00874F4C">
      <w:pPr>
        <w:ind w:left="454" w:hanging="454"/>
        <w:rPr>
          <w:sz w:val="24"/>
          <w:lang w:val="en-GB"/>
        </w:rPr>
      </w:pPr>
      <w:r>
        <w:rPr>
          <w:sz w:val="24"/>
          <w:lang w:val="en-GB"/>
        </w:rPr>
        <w:t xml:space="preserve">Jang, S. (2011). “A concessionaire selection decision model development and application for the PPP project procurement.” </w:t>
      </w:r>
      <w:r w:rsidRPr="00290AD0">
        <w:rPr>
          <w:i/>
          <w:sz w:val="24"/>
          <w:lang w:val="en-GB"/>
        </w:rPr>
        <w:t>Unpublished Doctoral Thesis</w:t>
      </w:r>
      <w:r>
        <w:rPr>
          <w:sz w:val="24"/>
          <w:lang w:val="en-GB"/>
        </w:rPr>
        <w:t>, University of Southampton.</w:t>
      </w:r>
    </w:p>
    <w:p w14:paraId="5F767A11" w14:textId="77777777" w:rsidR="008B2252" w:rsidRDefault="008B2252" w:rsidP="00874F4C">
      <w:pPr>
        <w:ind w:left="454" w:hanging="454"/>
        <w:rPr>
          <w:sz w:val="24"/>
          <w:lang w:val="en-GB"/>
        </w:rPr>
      </w:pPr>
    </w:p>
    <w:p w14:paraId="1A6A8CA1" w14:textId="5B21E93D" w:rsidR="00CF35F3" w:rsidRDefault="00CF35F3" w:rsidP="00874F4C">
      <w:pPr>
        <w:ind w:left="454" w:hanging="454"/>
        <w:rPr>
          <w:sz w:val="24"/>
          <w:lang w:val="en-GB"/>
        </w:rPr>
      </w:pPr>
      <w:r w:rsidRPr="00CF35F3">
        <w:rPr>
          <w:rFonts w:hint="eastAsia"/>
          <w:sz w:val="24"/>
          <w:lang w:val="en-GB"/>
        </w:rPr>
        <w:t xml:space="preserve">Jefferies, M. (2006). </w:t>
      </w:r>
      <w:r w:rsidRPr="00CF35F3">
        <w:rPr>
          <w:sz w:val="24"/>
          <w:lang w:val="en-GB"/>
        </w:rPr>
        <w:t>“</w:t>
      </w:r>
      <w:r w:rsidRPr="00CF35F3">
        <w:rPr>
          <w:rFonts w:hint="eastAsia"/>
          <w:sz w:val="24"/>
          <w:lang w:val="en-GB"/>
        </w:rPr>
        <w:t xml:space="preserve">Critical success factors of public private sector partnerships: a case study on the Sydney </w:t>
      </w:r>
      <w:proofErr w:type="spellStart"/>
      <w:r w:rsidRPr="00CF35F3">
        <w:rPr>
          <w:rFonts w:hint="eastAsia"/>
          <w:sz w:val="24"/>
          <w:lang w:val="en-GB"/>
        </w:rPr>
        <w:t>SuperDome</w:t>
      </w:r>
      <w:proofErr w:type="spellEnd"/>
      <w:r w:rsidRPr="00CF35F3">
        <w:rPr>
          <w:rFonts w:hint="eastAsia"/>
          <w:sz w:val="24"/>
          <w:lang w:val="en-GB"/>
        </w:rPr>
        <w:t>.</w:t>
      </w:r>
      <w:r w:rsidRPr="00CF35F3">
        <w:rPr>
          <w:sz w:val="24"/>
          <w:lang w:val="en-GB"/>
        </w:rPr>
        <w:t>”</w:t>
      </w:r>
      <w:r w:rsidRPr="00CF35F3">
        <w:rPr>
          <w:rFonts w:hint="eastAsia"/>
          <w:sz w:val="24"/>
          <w:lang w:val="en-GB"/>
        </w:rPr>
        <w:t xml:space="preserve"> </w:t>
      </w:r>
      <w:r w:rsidRPr="00CF35F3">
        <w:rPr>
          <w:i/>
          <w:sz w:val="24"/>
          <w:lang w:val="en-GB"/>
        </w:rPr>
        <w:t>Engineering, Construction and Architectural Management</w:t>
      </w:r>
      <w:r w:rsidRPr="00CF35F3">
        <w:rPr>
          <w:rFonts w:hint="eastAsia"/>
          <w:sz w:val="24"/>
          <w:lang w:val="en-GB"/>
        </w:rPr>
        <w:t>,</w:t>
      </w:r>
      <w:r w:rsidRPr="00CF35F3">
        <w:rPr>
          <w:sz w:val="24"/>
          <w:lang w:val="en-GB"/>
        </w:rPr>
        <w:t xml:space="preserve"> </w:t>
      </w:r>
      <w:r w:rsidRPr="00CF35F3">
        <w:rPr>
          <w:rFonts w:hint="eastAsia"/>
          <w:sz w:val="24"/>
          <w:lang w:val="en-GB"/>
        </w:rPr>
        <w:t>13(5), 451-462.</w:t>
      </w:r>
    </w:p>
    <w:p w14:paraId="3EFDC1B8" w14:textId="77777777" w:rsidR="00426A4D" w:rsidRPr="00CF35F3" w:rsidRDefault="00426A4D" w:rsidP="00874F4C">
      <w:pPr>
        <w:ind w:left="454" w:hanging="454"/>
        <w:rPr>
          <w:sz w:val="24"/>
          <w:lang w:val="en-GB"/>
        </w:rPr>
      </w:pPr>
    </w:p>
    <w:p w14:paraId="04A1BF54" w14:textId="77777777" w:rsidR="00D45D2D" w:rsidRPr="00D45D2D" w:rsidRDefault="00D45D2D" w:rsidP="00874F4C">
      <w:pPr>
        <w:ind w:left="454" w:hanging="454"/>
        <w:rPr>
          <w:sz w:val="24"/>
          <w:lang w:val="en-GB"/>
        </w:rPr>
      </w:pPr>
      <w:r w:rsidRPr="00D45D2D">
        <w:rPr>
          <w:rFonts w:hint="eastAsia"/>
          <w:sz w:val="24"/>
          <w:lang w:val="en-GB"/>
        </w:rPr>
        <w:t xml:space="preserve">Jefferies, M., </w:t>
      </w:r>
      <w:proofErr w:type="spellStart"/>
      <w:r w:rsidRPr="00D45D2D">
        <w:rPr>
          <w:rFonts w:hint="eastAsia"/>
          <w:sz w:val="24"/>
          <w:lang w:val="en-GB"/>
        </w:rPr>
        <w:t>Gameson</w:t>
      </w:r>
      <w:proofErr w:type="spellEnd"/>
      <w:r w:rsidRPr="00D45D2D">
        <w:rPr>
          <w:rFonts w:hint="eastAsia"/>
          <w:sz w:val="24"/>
          <w:lang w:val="en-GB"/>
        </w:rPr>
        <w:t xml:space="preserve">, R. and </w:t>
      </w:r>
      <w:proofErr w:type="spellStart"/>
      <w:r w:rsidRPr="00D45D2D">
        <w:rPr>
          <w:rFonts w:hint="eastAsia"/>
          <w:sz w:val="24"/>
          <w:lang w:val="en-GB"/>
        </w:rPr>
        <w:t>Rowlinson</w:t>
      </w:r>
      <w:proofErr w:type="spellEnd"/>
      <w:r w:rsidRPr="00D45D2D">
        <w:rPr>
          <w:rFonts w:hint="eastAsia"/>
          <w:sz w:val="24"/>
          <w:lang w:val="en-GB"/>
        </w:rPr>
        <w:t xml:space="preserve">, S. (2002). </w:t>
      </w:r>
      <w:r w:rsidRPr="00D45D2D">
        <w:rPr>
          <w:sz w:val="24"/>
          <w:lang w:val="en-GB"/>
        </w:rPr>
        <w:t>“</w:t>
      </w:r>
      <w:r w:rsidRPr="00D45D2D">
        <w:rPr>
          <w:rFonts w:hint="eastAsia"/>
          <w:sz w:val="24"/>
          <w:lang w:val="en-GB"/>
        </w:rPr>
        <w:t>Critical success factors of the BOOT procurement system: reflection from the stadium Australia case study.</w:t>
      </w:r>
      <w:r w:rsidRPr="00D45D2D">
        <w:rPr>
          <w:sz w:val="24"/>
          <w:lang w:val="en-GB"/>
        </w:rPr>
        <w:t>”</w:t>
      </w:r>
      <w:r w:rsidRPr="00D45D2D">
        <w:rPr>
          <w:rFonts w:hint="eastAsia"/>
          <w:sz w:val="24"/>
          <w:lang w:val="en-GB"/>
        </w:rPr>
        <w:t xml:space="preserve"> </w:t>
      </w:r>
      <w:r w:rsidRPr="00D45D2D">
        <w:rPr>
          <w:i/>
          <w:sz w:val="24"/>
          <w:lang w:val="en-GB"/>
        </w:rPr>
        <w:t>Engineering, Construction and Architectural Management</w:t>
      </w:r>
      <w:r w:rsidRPr="00D45D2D">
        <w:rPr>
          <w:rFonts w:hint="eastAsia"/>
          <w:sz w:val="24"/>
          <w:lang w:val="en-GB"/>
        </w:rPr>
        <w:t>,</w:t>
      </w:r>
      <w:r w:rsidRPr="00D45D2D">
        <w:rPr>
          <w:sz w:val="24"/>
          <w:lang w:val="en-GB"/>
        </w:rPr>
        <w:t xml:space="preserve"> </w:t>
      </w:r>
      <w:r w:rsidRPr="00D45D2D">
        <w:rPr>
          <w:rFonts w:hint="eastAsia"/>
          <w:sz w:val="24"/>
          <w:lang w:val="en-GB"/>
        </w:rPr>
        <w:t>9(4), 352-361.</w:t>
      </w:r>
    </w:p>
    <w:p w14:paraId="4C35ADE4" w14:textId="77777777" w:rsidR="00D45D2D" w:rsidRDefault="00D45D2D" w:rsidP="00874F4C">
      <w:pPr>
        <w:rPr>
          <w:sz w:val="24"/>
          <w:lang w:val="en-AU"/>
        </w:rPr>
      </w:pPr>
    </w:p>
    <w:p w14:paraId="425CDC65" w14:textId="77777777" w:rsidR="003C5472" w:rsidRPr="003C5472" w:rsidRDefault="003C5472" w:rsidP="00874F4C">
      <w:pPr>
        <w:ind w:left="454" w:hanging="454"/>
        <w:rPr>
          <w:sz w:val="24"/>
          <w:lang w:val="en-GB"/>
        </w:rPr>
      </w:pPr>
      <w:proofErr w:type="spellStart"/>
      <w:r>
        <w:rPr>
          <w:sz w:val="24"/>
          <w:lang w:val="en-GB"/>
        </w:rPr>
        <w:lastRenderedPageBreak/>
        <w:t>Jin</w:t>
      </w:r>
      <w:proofErr w:type="spellEnd"/>
      <w:r>
        <w:rPr>
          <w:sz w:val="24"/>
          <w:lang w:val="en-GB"/>
        </w:rPr>
        <w:t>, X.</w:t>
      </w:r>
      <w:r w:rsidRPr="003C5472">
        <w:rPr>
          <w:sz w:val="24"/>
          <w:lang w:val="en-GB"/>
        </w:rPr>
        <w:t xml:space="preserve">H. (2011). “Model for efficient risk allocation in privately financed public infrastructure projects using neuro-fuzzy techniques.” </w:t>
      </w:r>
      <w:r w:rsidRPr="003C5472">
        <w:rPr>
          <w:rFonts w:hint="eastAsia"/>
          <w:i/>
          <w:sz w:val="24"/>
          <w:lang w:val="en-GB"/>
        </w:rPr>
        <w:t>J</w:t>
      </w:r>
      <w:r w:rsidRPr="003C5472">
        <w:rPr>
          <w:i/>
          <w:sz w:val="24"/>
          <w:lang w:val="en-GB"/>
        </w:rPr>
        <w:t>ournal of Construction Engineering and Management</w:t>
      </w:r>
      <w:r w:rsidRPr="003C5472">
        <w:rPr>
          <w:rFonts w:hint="eastAsia"/>
          <w:sz w:val="24"/>
          <w:lang w:val="en-GB"/>
        </w:rPr>
        <w:t>,</w:t>
      </w:r>
      <w:r w:rsidRPr="003C5472">
        <w:rPr>
          <w:sz w:val="24"/>
          <w:lang w:val="en-GB"/>
        </w:rPr>
        <w:t xml:space="preserve"> 137(11), 1003-1014.</w:t>
      </w:r>
    </w:p>
    <w:p w14:paraId="7F7FDCFD" w14:textId="77777777" w:rsidR="003C5472" w:rsidRDefault="003C5472" w:rsidP="00874F4C">
      <w:pPr>
        <w:rPr>
          <w:sz w:val="24"/>
          <w:lang w:val="en-AU"/>
        </w:rPr>
      </w:pPr>
    </w:p>
    <w:p w14:paraId="674DCEFE" w14:textId="77777777" w:rsidR="00D26569" w:rsidRDefault="00D26569" w:rsidP="00874F4C">
      <w:pPr>
        <w:ind w:left="454" w:hanging="454"/>
        <w:rPr>
          <w:sz w:val="24"/>
          <w:lang w:val="en-AU"/>
        </w:rPr>
      </w:pPr>
      <w:proofErr w:type="spellStart"/>
      <w:r w:rsidRPr="00D26569">
        <w:rPr>
          <w:rFonts w:hint="eastAsia"/>
          <w:sz w:val="24"/>
          <w:lang w:val="en-GB"/>
        </w:rPr>
        <w:t>Kagioglou</w:t>
      </w:r>
      <w:proofErr w:type="spellEnd"/>
      <w:r w:rsidRPr="00D26569">
        <w:rPr>
          <w:rFonts w:hint="eastAsia"/>
          <w:sz w:val="24"/>
          <w:lang w:val="en-GB"/>
        </w:rPr>
        <w:t xml:space="preserve">, M., Cooper, R. and </w:t>
      </w:r>
      <w:proofErr w:type="spellStart"/>
      <w:r w:rsidRPr="00D26569">
        <w:rPr>
          <w:rFonts w:hint="eastAsia"/>
          <w:sz w:val="24"/>
          <w:lang w:val="en-GB"/>
        </w:rPr>
        <w:t>Aouad</w:t>
      </w:r>
      <w:proofErr w:type="spellEnd"/>
      <w:r w:rsidRPr="00D26569">
        <w:rPr>
          <w:rFonts w:hint="eastAsia"/>
          <w:sz w:val="24"/>
          <w:lang w:val="en-GB"/>
        </w:rPr>
        <w:t xml:space="preserve">, G. (2001). </w:t>
      </w:r>
      <w:r w:rsidRPr="00D26569">
        <w:rPr>
          <w:sz w:val="24"/>
          <w:lang w:val="en-GB"/>
        </w:rPr>
        <w:t>“</w:t>
      </w:r>
      <w:r w:rsidRPr="00D26569">
        <w:rPr>
          <w:rFonts w:hint="eastAsia"/>
          <w:sz w:val="24"/>
          <w:lang w:val="en-GB"/>
        </w:rPr>
        <w:t>Performance management in construction: a conceptual model.</w:t>
      </w:r>
      <w:r w:rsidRPr="00D26569">
        <w:rPr>
          <w:sz w:val="24"/>
          <w:lang w:val="en-GB"/>
        </w:rPr>
        <w:t>”</w:t>
      </w:r>
      <w:r w:rsidRPr="00D26569">
        <w:rPr>
          <w:rFonts w:hint="eastAsia"/>
          <w:sz w:val="24"/>
          <w:lang w:val="en-GB"/>
        </w:rPr>
        <w:t xml:space="preserve"> </w:t>
      </w:r>
      <w:r w:rsidRPr="00D26569">
        <w:rPr>
          <w:i/>
          <w:sz w:val="24"/>
          <w:lang w:val="en-GB"/>
        </w:rPr>
        <w:t>Construction Management and Economics</w:t>
      </w:r>
      <w:r w:rsidRPr="00D26569">
        <w:rPr>
          <w:rFonts w:hint="eastAsia"/>
          <w:sz w:val="24"/>
          <w:lang w:val="en-GB"/>
        </w:rPr>
        <w:t>, 19(1), 85-95.</w:t>
      </w:r>
    </w:p>
    <w:p w14:paraId="2F0AD47F" w14:textId="77777777" w:rsidR="00D26569" w:rsidRDefault="00D26569" w:rsidP="00874F4C">
      <w:pPr>
        <w:rPr>
          <w:sz w:val="24"/>
          <w:lang w:val="en-AU"/>
        </w:rPr>
      </w:pPr>
    </w:p>
    <w:p w14:paraId="4D86C708" w14:textId="77777777" w:rsidR="00CF35F3" w:rsidRPr="00CF35F3" w:rsidRDefault="00CF35F3" w:rsidP="00874F4C">
      <w:pPr>
        <w:ind w:left="454" w:hanging="454"/>
        <w:rPr>
          <w:sz w:val="24"/>
          <w:lang w:val="en-GB"/>
        </w:rPr>
      </w:pPr>
      <w:r w:rsidRPr="00CF35F3">
        <w:rPr>
          <w:rFonts w:hint="eastAsia"/>
          <w:sz w:val="24"/>
          <w:lang w:val="en-GB"/>
        </w:rPr>
        <w:t xml:space="preserve">Koch, C. and </w:t>
      </w:r>
      <w:proofErr w:type="spellStart"/>
      <w:r w:rsidRPr="00CF35F3">
        <w:rPr>
          <w:rFonts w:hint="eastAsia"/>
          <w:sz w:val="24"/>
          <w:lang w:val="en-GB"/>
        </w:rPr>
        <w:t>Buser</w:t>
      </w:r>
      <w:proofErr w:type="spellEnd"/>
      <w:r w:rsidRPr="00CF35F3">
        <w:rPr>
          <w:rFonts w:hint="eastAsia"/>
          <w:sz w:val="24"/>
          <w:lang w:val="en-GB"/>
        </w:rPr>
        <w:t xml:space="preserve">, M. (2006). </w:t>
      </w:r>
      <w:r w:rsidRPr="00CF35F3">
        <w:rPr>
          <w:sz w:val="24"/>
          <w:lang w:val="en-GB"/>
        </w:rPr>
        <w:t>“</w:t>
      </w:r>
      <w:r w:rsidRPr="00CF35F3">
        <w:rPr>
          <w:rFonts w:hint="eastAsia"/>
          <w:sz w:val="24"/>
          <w:lang w:val="en-GB"/>
        </w:rPr>
        <w:t xml:space="preserve">Emerging </w:t>
      </w:r>
      <w:proofErr w:type="spellStart"/>
      <w:r w:rsidRPr="00CF35F3">
        <w:rPr>
          <w:rFonts w:hint="eastAsia"/>
          <w:sz w:val="24"/>
          <w:lang w:val="en-GB"/>
        </w:rPr>
        <w:t>metagovernance</w:t>
      </w:r>
      <w:proofErr w:type="spellEnd"/>
      <w:r w:rsidRPr="00CF35F3">
        <w:rPr>
          <w:rFonts w:hint="eastAsia"/>
          <w:sz w:val="24"/>
          <w:lang w:val="en-GB"/>
        </w:rPr>
        <w:t xml:space="preserve"> as an institutional framework for public private partnership networks in Denmark.</w:t>
      </w:r>
      <w:r w:rsidRPr="00CF35F3">
        <w:rPr>
          <w:sz w:val="24"/>
          <w:lang w:val="en-GB"/>
        </w:rPr>
        <w:t xml:space="preserve">” </w:t>
      </w:r>
      <w:r w:rsidRPr="00CF35F3">
        <w:rPr>
          <w:i/>
          <w:iCs/>
          <w:sz w:val="24"/>
          <w:lang w:val="en-GB"/>
        </w:rPr>
        <w:t>International Journal of Project Management</w:t>
      </w:r>
      <w:r w:rsidRPr="00CF35F3">
        <w:rPr>
          <w:rFonts w:hint="eastAsia"/>
          <w:sz w:val="24"/>
          <w:lang w:val="en-GB"/>
        </w:rPr>
        <w:t>, 24(7), 548-556.</w:t>
      </w:r>
    </w:p>
    <w:p w14:paraId="468E4EE7" w14:textId="77777777" w:rsidR="00CF35F3" w:rsidRDefault="00CF35F3" w:rsidP="00874F4C">
      <w:pPr>
        <w:rPr>
          <w:sz w:val="24"/>
          <w:lang w:val="en-AU"/>
        </w:rPr>
      </w:pPr>
    </w:p>
    <w:p w14:paraId="5C75DB51" w14:textId="77777777" w:rsidR="008518CE" w:rsidRDefault="008518CE" w:rsidP="00874F4C">
      <w:pPr>
        <w:ind w:left="454" w:hanging="454"/>
        <w:rPr>
          <w:sz w:val="24"/>
          <w:lang w:val="en-GB"/>
        </w:rPr>
      </w:pPr>
      <w:r>
        <w:rPr>
          <w:sz w:val="24"/>
          <w:lang w:val="en-GB"/>
        </w:rPr>
        <w:t xml:space="preserve">Koontz, T.M. and Thomas, C.W. (2012). “Measuring the performance of Public-Private Partnerships.” </w:t>
      </w:r>
      <w:r w:rsidRPr="008518CE">
        <w:rPr>
          <w:i/>
          <w:sz w:val="24"/>
          <w:lang w:val="en-GB"/>
        </w:rPr>
        <w:t>Public Performance &amp; Management Review</w:t>
      </w:r>
      <w:r>
        <w:rPr>
          <w:sz w:val="24"/>
          <w:lang w:val="en-GB"/>
        </w:rPr>
        <w:t xml:space="preserve">, 35(4), </w:t>
      </w:r>
      <w:r w:rsidR="00CE3E9A">
        <w:rPr>
          <w:sz w:val="24"/>
          <w:lang w:val="en-GB"/>
        </w:rPr>
        <w:t>769-786.</w:t>
      </w:r>
    </w:p>
    <w:p w14:paraId="306BA5BE" w14:textId="77777777" w:rsidR="008518CE" w:rsidRDefault="008518CE" w:rsidP="00874F4C">
      <w:pPr>
        <w:ind w:left="454" w:hanging="454"/>
        <w:rPr>
          <w:sz w:val="24"/>
          <w:lang w:val="en-GB"/>
        </w:rPr>
      </w:pPr>
    </w:p>
    <w:p w14:paraId="2CC23268" w14:textId="77777777" w:rsidR="00D865D1" w:rsidRDefault="00D865D1" w:rsidP="00874F4C">
      <w:pPr>
        <w:ind w:left="454" w:hanging="454"/>
        <w:rPr>
          <w:sz w:val="24"/>
          <w:lang w:val="en-GB"/>
        </w:rPr>
      </w:pPr>
      <w:proofErr w:type="spellStart"/>
      <w:r>
        <w:rPr>
          <w:sz w:val="24"/>
          <w:lang w:val="en-GB"/>
        </w:rPr>
        <w:t>Kort</w:t>
      </w:r>
      <w:proofErr w:type="spellEnd"/>
      <w:r>
        <w:rPr>
          <w:sz w:val="24"/>
          <w:lang w:val="en-GB"/>
        </w:rPr>
        <w:t xml:space="preserve">, M., </w:t>
      </w:r>
      <w:proofErr w:type="spellStart"/>
      <w:r>
        <w:rPr>
          <w:sz w:val="24"/>
          <w:lang w:val="en-GB"/>
        </w:rPr>
        <w:t>Verweij</w:t>
      </w:r>
      <w:proofErr w:type="spellEnd"/>
      <w:r>
        <w:rPr>
          <w:sz w:val="24"/>
          <w:lang w:val="en-GB"/>
        </w:rPr>
        <w:t xml:space="preserve">, S. and </w:t>
      </w:r>
      <w:proofErr w:type="spellStart"/>
      <w:r>
        <w:rPr>
          <w:sz w:val="24"/>
          <w:lang w:val="en-GB"/>
        </w:rPr>
        <w:t>Klijn</w:t>
      </w:r>
      <w:proofErr w:type="spellEnd"/>
      <w:r>
        <w:rPr>
          <w:sz w:val="24"/>
          <w:lang w:val="en-GB"/>
        </w:rPr>
        <w:t xml:space="preserve">, E. (2015). “In search for effective public-private partnerships: An assessment of the impact of organizational form and managerial strategies in urban regeneration partnerships using </w:t>
      </w:r>
      <w:proofErr w:type="spellStart"/>
      <w:r>
        <w:rPr>
          <w:sz w:val="24"/>
          <w:lang w:val="en-GB"/>
        </w:rPr>
        <w:t>fsQCA</w:t>
      </w:r>
      <w:proofErr w:type="spellEnd"/>
      <w:r>
        <w:rPr>
          <w:sz w:val="24"/>
          <w:lang w:val="en-GB"/>
        </w:rPr>
        <w:t xml:space="preserve">.” </w:t>
      </w:r>
      <w:r w:rsidRPr="00D865D1">
        <w:rPr>
          <w:i/>
          <w:sz w:val="24"/>
          <w:lang w:val="en-GB"/>
        </w:rPr>
        <w:t>Environment and Planning C: Government and Policy</w:t>
      </w:r>
      <w:r>
        <w:rPr>
          <w:sz w:val="24"/>
          <w:lang w:val="en-GB"/>
        </w:rPr>
        <w:t>, 34(5), 777-794.</w:t>
      </w:r>
    </w:p>
    <w:p w14:paraId="31148517" w14:textId="77777777" w:rsidR="00CF35F3" w:rsidRDefault="00CF35F3" w:rsidP="00874F4C">
      <w:pPr>
        <w:ind w:left="454" w:hanging="454"/>
        <w:rPr>
          <w:sz w:val="24"/>
          <w:lang w:val="en-GB"/>
        </w:rPr>
      </w:pPr>
    </w:p>
    <w:p w14:paraId="7B429DDE" w14:textId="77777777" w:rsidR="00593660" w:rsidRDefault="00593660" w:rsidP="00874F4C">
      <w:pPr>
        <w:ind w:left="454" w:hanging="454"/>
        <w:rPr>
          <w:sz w:val="24"/>
          <w:lang w:val="en-GB"/>
        </w:rPr>
      </w:pPr>
      <w:proofErr w:type="spellStart"/>
      <w:r w:rsidRPr="00F039C6">
        <w:rPr>
          <w:sz w:val="24"/>
          <w:lang w:val="en-GB"/>
        </w:rPr>
        <w:t>Kululanga</w:t>
      </w:r>
      <w:proofErr w:type="spellEnd"/>
      <w:r w:rsidRPr="00F039C6">
        <w:rPr>
          <w:sz w:val="24"/>
          <w:lang w:val="en-GB"/>
        </w:rPr>
        <w:t xml:space="preserve">, G.K., </w:t>
      </w:r>
      <w:proofErr w:type="spellStart"/>
      <w:r w:rsidRPr="00F039C6">
        <w:rPr>
          <w:sz w:val="24"/>
          <w:lang w:val="en-GB"/>
        </w:rPr>
        <w:t>Edum-Fotwe</w:t>
      </w:r>
      <w:proofErr w:type="spellEnd"/>
      <w:r w:rsidRPr="00F039C6">
        <w:rPr>
          <w:sz w:val="24"/>
          <w:lang w:val="en-GB"/>
        </w:rPr>
        <w:t xml:space="preserve">, F. and </w:t>
      </w:r>
      <w:proofErr w:type="spellStart"/>
      <w:r w:rsidRPr="00F039C6">
        <w:rPr>
          <w:sz w:val="24"/>
          <w:lang w:val="en-GB"/>
        </w:rPr>
        <w:t>McCaffer</w:t>
      </w:r>
      <w:proofErr w:type="spellEnd"/>
      <w:r w:rsidRPr="00F039C6">
        <w:rPr>
          <w:sz w:val="24"/>
          <w:lang w:val="en-GB"/>
        </w:rPr>
        <w:t xml:space="preserve">, R. (2001). “Measuring construction contractors’ organisational learning.” </w:t>
      </w:r>
      <w:r w:rsidRPr="00F039C6">
        <w:rPr>
          <w:i/>
          <w:sz w:val="24"/>
          <w:lang w:val="en-GB"/>
        </w:rPr>
        <w:t>Building Research and Information</w:t>
      </w:r>
      <w:r w:rsidRPr="00F039C6">
        <w:rPr>
          <w:sz w:val="24"/>
          <w:lang w:val="en-GB"/>
        </w:rPr>
        <w:t>, 29(1), 21-29.</w:t>
      </w:r>
    </w:p>
    <w:p w14:paraId="45AF37AC" w14:textId="77777777" w:rsidR="00453805" w:rsidRDefault="00453805" w:rsidP="00874F4C">
      <w:pPr>
        <w:ind w:left="454" w:hanging="454"/>
        <w:rPr>
          <w:sz w:val="24"/>
          <w:lang w:val="en-GB"/>
        </w:rPr>
      </w:pPr>
    </w:p>
    <w:p w14:paraId="6DF79C38" w14:textId="77777777" w:rsidR="00CF35F3" w:rsidRPr="00CF35F3" w:rsidRDefault="00CF35F3" w:rsidP="00874F4C">
      <w:pPr>
        <w:ind w:left="454" w:hanging="454"/>
        <w:rPr>
          <w:sz w:val="24"/>
          <w:lang w:val="en-GB"/>
        </w:rPr>
      </w:pPr>
      <w:proofErr w:type="spellStart"/>
      <w:r w:rsidRPr="00CF35F3">
        <w:rPr>
          <w:rFonts w:hint="eastAsia"/>
          <w:sz w:val="24"/>
          <w:lang w:val="en-GB"/>
        </w:rPr>
        <w:t>Kumaraswamy</w:t>
      </w:r>
      <w:proofErr w:type="spellEnd"/>
      <w:r w:rsidRPr="00CF35F3">
        <w:rPr>
          <w:rFonts w:hint="eastAsia"/>
          <w:sz w:val="24"/>
          <w:lang w:val="en-GB"/>
        </w:rPr>
        <w:t>, M.M. and Zhang, X.Q. (2001)</w:t>
      </w:r>
      <w:r w:rsidRPr="00CF35F3">
        <w:rPr>
          <w:sz w:val="24"/>
          <w:lang w:val="en-GB"/>
        </w:rPr>
        <w:t>.</w:t>
      </w:r>
      <w:r w:rsidRPr="00CF35F3">
        <w:rPr>
          <w:rFonts w:hint="eastAsia"/>
          <w:sz w:val="24"/>
          <w:lang w:val="en-GB"/>
        </w:rPr>
        <w:t xml:space="preserve"> </w:t>
      </w:r>
      <w:r w:rsidRPr="00CF35F3">
        <w:rPr>
          <w:sz w:val="24"/>
          <w:lang w:val="en-GB"/>
        </w:rPr>
        <w:t>“</w:t>
      </w:r>
      <w:r w:rsidRPr="00CF35F3">
        <w:rPr>
          <w:rFonts w:hint="eastAsia"/>
          <w:sz w:val="24"/>
          <w:lang w:val="en-GB"/>
        </w:rPr>
        <w:t>Governmental role in BOT-led infrastructure development.</w:t>
      </w:r>
      <w:r w:rsidRPr="00CF35F3">
        <w:rPr>
          <w:sz w:val="24"/>
          <w:lang w:val="en-GB"/>
        </w:rPr>
        <w:t>”</w:t>
      </w:r>
      <w:r w:rsidRPr="00CF35F3">
        <w:rPr>
          <w:rFonts w:hint="eastAsia"/>
          <w:sz w:val="24"/>
          <w:lang w:val="en-GB"/>
        </w:rPr>
        <w:t xml:space="preserve"> </w:t>
      </w:r>
      <w:r w:rsidRPr="00CF35F3">
        <w:rPr>
          <w:i/>
          <w:iCs/>
          <w:sz w:val="24"/>
          <w:lang w:val="en-GB"/>
        </w:rPr>
        <w:t>International Journal of Project Management</w:t>
      </w:r>
      <w:r w:rsidRPr="00CF35F3">
        <w:rPr>
          <w:rFonts w:hint="eastAsia"/>
          <w:sz w:val="24"/>
          <w:lang w:val="en-GB"/>
        </w:rPr>
        <w:t>, 19(4), 195-205.</w:t>
      </w:r>
    </w:p>
    <w:p w14:paraId="4F310F46" w14:textId="77777777" w:rsidR="00CF35F3" w:rsidRDefault="00CF35F3" w:rsidP="00874F4C">
      <w:pPr>
        <w:ind w:left="454" w:hanging="454"/>
        <w:rPr>
          <w:sz w:val="24"/>
          <w:lang w:val="en-GB"/>
        </w:rPr>
      </w:pPr>
    </w:p>
    <w:p w14:paraId="2823BEE2" w14:textId="77777777" w:rsidR="001079F8" w:rsidRDefault="001079F8" w:rsidP="00874F4C">
      <w:pPr>
        <w:ind w:left="454" w:hanging="454"/>
        <w:rPr>
          <w:sz w:val="24"/>
          <w:lang w:val="en-GB"/>
        </w:rPr>
      </w:pPr>
      <w:proofErr w:type="spellStart"/>
      <w:r w:rsidRPr="00F039C6">
        <w:rPr>
          <w:sz w:val="24"/>
          <w:lang w:val="en-GB"/>
        </w:rPr>
        <w:t>Kvale</w:t>
      </w:r>
      <w:proofErr w:type="spellEnd"/>
      <w:r w:rsidRPr="00F039C6">
        <w:rPr>
          <w:sz w:val="24"/>
          <w:lang w:val="en-GB"/>
        </w:rPr>
        <w:t xml:space="preserve">, S. (1996). </w:t>
      </w:r>
      <w:r w:rsidRPr="00F039C6">
        <w:rPr>
          <w:i/>
          <w:sz w:val="24"/>
          <w:lang w:val="en-GB"/>
        </w:rPr>
        <w:t>Interviews: An introduction to qualitative research interviewing</w:t>
      </w:r>
      <w:r w:rsidRPr="00F039C6">
        <w:rPr>
          <w:sz w:val="24"/>
          <w:lang w:val="en-GB"/>
        </w:rPr>
        <w:t>, Sage Publications, Thousand Oaks California, USA.</w:t>
      </w:r>
    </w:p>
    <w:p w14:paraId="7E5E9E64" w14:textId="70074731" w:rsidR="003C5472" w:rsidRDefault="003C5472" w:rsidP="00874F4C">
      <w:pPr>
        <w:ind w:left="454" w:hanging="454"/>
        <w:rPr>
          <w:sz w:val="24"/>
          <w:lang w:val="en-GB"/>
        </w:rPr>
      </w:pPr>
    </w:p>
    <w:p w14:paraId="1B118C0A" w14:textId="77777777" w:rsidR="00C479A5" w:rsidRPr="00C479A5" w:rsidRDefault="00C479A5" w:rsidP="00C479A5">
      <w:pPr>
        <w:ind w:left="454" w:hanging="454"/>
        <w:rPr>
          <w:sz w:val="24"/>
          <w:lang w:val="en-GB"/>
        </w:rPr>
      </w:pPr>
      <w:proofErr w:type="spellStart"/>
      <w:r w:rsidRPr="00C479A5">
        <w:rPr>
          <w:sz w:val="24"/>
          <w:lang w:val="en-GB"/>
        </w:rPr>
        <w:t>Lemos</w:t>
      </w:r>
      <w:proofErr w:type="spellEnd"/>
      <w:r w:rsidRPr="00C479A5">
        <w:rPr>
          <w:sz w:val="24"/>
          <w:lang w:val="en-GB"/>
        </w:rPr>
        <w:t xml:space="preserve">, M.C., Austin, D., </w:t>
      </w:r>
      <w:proofErr w:type="spellStart"/>
      <w:r w:rsidRPr="00C479A5">
        <w:rPr>
          <w:sz w:val="24"/>
          <w:lang w:val="en-GB"/>
        </w:rPr>
        <w:t>Merideth</w:t>
      </w:r>
      <w:proofErr w:type="spellEnd"/>
      <w:r w:rsidRPr="00C479A5">
        <w:rPr>
          <w:sz w:val="24"/>
          <w:lang w:val="en-GB"/>
        </w:rPr>
        <w:t xml:space="preserve">, R. and </w:t>
      </w:r>
      <w:proofErr w:type="spellStart"/>
      <w:r w:rsidRPr="00C479A5">
        <w:rPr>
          <w:sz w:val="24"/>
          <w:lang w:val="en-GB"/>
        </w:rPr>
        <w:t>Varady</w:t>
      </w:r>
      <w:proofErr w:type="spellEnd"/>
      <w:r w:rsidRPr="00C479A5">
        <w:rPr>
          <w:sz w:val="24"/>
          <w:lang w:val="en-GB"/>
        </w:rPr>
        <w:t xml:space="preserve">, R.G. (2002). “Public-Private Partnerships as catalysts for community-based water infrastructure development: The border waterworks program in Texas and New Mexico </w:t>
      </w:r>
      <w:proofErr w:type="spellStart"/>
      <w:r w:rsidRPr="00C479A5">
        <w:rPr>
          <w:sz w:val="24"/>
          <w:lang w:val="en-GB"/>
        </w:rPr>
        <w:t>colonias</w:t>
      </w:r>
      <w:proofErr w:type="spellEnd"/>
      <w:r w:rsidRPr="00C479A5">
        <w:rPr>
          <w:sz w:val="24"/>
          <w:lang w:val="en-GB"/>
        </w:rPr>
        <w:t xml:space="preserve">.” </w:t>
      </w:r>
      <w:r w:rsidRPr="00C479A5">
        <w:rPr>
          <w:i/>
          <w:sz w:val="24"/>
          <w:lang w:val="en-GB"/>
        </w:rPr>
        <w:t>Environment and Planning C: Government and Policy</w:t>
      </w:r>
      <w:r w:rsidRPr="00C479A5">
        <w:rPr>
          <w:sz w:val="24"/>
          <w:lang w:val="en-GB"/>
        </w:rPr>
        <w:t>, 20(2), 281-295.</w:t>
      </w:r>
    </w:p>
    <w:p w14:paraId="62430E52" w14:textId="7495F11A" w:rsidR="00C479A5" w:rsidRDefault="00C479A5" w:rsidP="00874F4C">
      <w:pPr>
        <w:ind w:left="454" w:hanging="454"/>
        <w:rPr>
          <w:sz w:val="24"/>
          <w:lang w:val="en-GB"/>
        </w:rPr>
      </w:pPr>
    </w:p>
    <w:p w14:paraId="042E31C5" w14:textId="77777777" w:rsidR="00C479A5" w:rsidRPr="00C479A5" w:rsidRDefault="00C479A5" w:rsidP="00C479A5">
      <w:pPr>
        <w:ind w:left="454" w:hanging="454"/>
        <w:rPr>
          <w:sz w:val="24"/>
          <w:lang w:val="en-GB"/>
        </w:rPr>
      </w:pPr>
      <w:r w:rsidRPr="00C479A5">
        <w:rPr>
          <w:rFonts w:hint="eastAsia"/>
          <w:sz w:val="24"/>
          <w:lang w:val="en-GB"/>
        </w:rPr>
        <w:t xml:space="preserve">Levy, S.M. (1996). </w:t>
      </w:r>
      <w:r w:rsidRPr="00C479A5">
        <w:rPr>
          <w:sz w:val="24"/>
          <w:lang w:val="en-GB"/>
        </w:rPr>
        <w:t>“</w:t>
      </w:r>
      <w:r w:rsidRPr="00C479A5">
        <w:rPr>
          <w:rFonts w:hint="eastAsia"/>
          <w:sz w:val="24"/>
          <w:lang w:val="en-GB"/>
        </w:rPr>
        <w:t>Build, operate, transfer: paving the way for tomorrow</w:t>
      </w:r>
      <w:r w:rsidRPr="00C479A5">
        <w:rPr>
          <w:sz w:val="24"/>
          <w:lang w:val="en-GB"/>
        </w:rPr>
        <w:t>’</w:t>
      </w:r>
      <w:r w:rsidRPr="00C479A5">
        <w:rPr>
          <w:rFonts w:hint="eastAsia"/>
          <w:sz w:val="24"/>
          <w:lang w:val="en-GB"/>
        </w:rPr>
        <w:t>s infrastructure.</w:t>
      </w:r>
      <w:r w:rsidRPr="00C479A5">
        <w:rPr>
          <w:sz w:val="24"/>
          <w:lang w:val="en-GB"/>
        </w:rPr>
        <w:t>”</w:t>
      </w:r>
      <w:r w:rsidRPr="00C479A5">
        <w:rPr>
          <w:rFonts w:hint="eastAsia"/>
          <w:sz w:val="24"/>
          <w:lang w:val="en-GB"/>
        </w:rPr>
        <w:t xml:space="preserve"> Wiley, New York, USA.</w:t>
      </w:r>
    </w:p>
    <w:p w14:paraId="73109F5F" w14:textId="77777777" w:rsidR="00C479A5" w:rsidRPr="00F039C6" w:rsidRDefault="00C479A5" w:rsidP="00874F4C">
      <w:pPr>
        <w:ind w:left="454" w:hanging="454"/>
        <w:rPr>
          <w:sz w:val="24"/>
          <w:lang w:val="en-GB"/>
        </w:rPr>
      </w:pPr>
    </w:p>
    <w:p w14:paraId="0EEF6EAC" w14:textId="0D3038FA" w:rsidR="00CF35F3" w:rsidRDefault="00CF35F3" w:rsidP="00874F4C">
      <w:pPr>
        <w:ind w:left="454" w:hanging="454"/>
        <w:rPr>
          <w:sz w:val="24"/>
          <w:lang w:val="en-GB"/>
        </w:rPr>
      </w:pPr>
      <w:r w:rsidRPr="00CF35F3">
        <w:rPr>
          <w:rFonts w:hint="eastAsia"/>
          <w:sz w:val="24"/>
          <w:lang w:val="en-GB"/>
        </w:rPr>
        <w:t xml:space="preserve">Li, B., </w:t>
      </w:r>
      <w:proofErr w:type="spellStart"/>
      <w:r w:rsidRPr="00CF35F3">
        <w:rPr>
          <w:rFonts w:hint="eastAsia"/>
          <w:sz w:val="24"/>
          <w:lang w:val="en-GB"/>
        </w:rPr>
        <w:t>Akintoye</w:t>
      </w:r>
      <w:proofErr w:type="spellEnd"/>
      <w:r w:rsidRPr="00CF35F3">
        <w:rPr>
          <w:rFonts w:hint="eastAsia"/>
          <w:sz w:val="24"/>
          <w:lang w:val="en-GB"/>
        </w:rPr>
        <w:t xml:space="preserve">, A., Edwards, P.J. and </w:t>
      </w:r>
      <w:proofErr w:type="spellStart"/>
      <w:r w:rsidRPr="00CF35F3">
        <w:rPr>
          <w:rFonts w:hint="eastAsia"/>
          <w:sz w:val="24"/>
          <w:lang w:val="en-GB"/>
        </w:rPr>
        <w:t>Hardcastle</w:t>
      </w:r>
      <w:proofErr w:type="spellEnd"/>
      <w:r w:rsidRPr="00CF35F3">
        <w:rPr>
          <w:rFonts w:hint="eastAsia"/>
          <w:sz w:val="24"/>
          <w:lang w:val="en-GB"/>
        </w:rPr>
        <w:t xml:space="preserve">, C. (2005a). </w:t>
      </w:r>
      <w:r w:rsidRPr="00CF35F3">
        <w:rPr>
          <w:sz w:val="24"/>
          <w:lang w:val="en-GB"/>
        </w:rPr>
        <w:t>“</w:t>
      </w:r>
      <w:r w:rsidRPr="00CF35F3">
        <w:rPr>
          <w:rFonts w:hint="eastAsia"/>
          <w:sz w:val="24"/>
          <w:lang w:val="en-GB"/>
        </w:rPr>
        <w:t>Critical success factors for PPP/PFI projects in the UK construction industry.</w:t>
      </w:r>
      <w:r w:rsidRPr="00CF35F3">
        <w:rPr>
          <w:sz w:val="24"/>
          <w:lang w:val="en-GB"/>
        </w:rPr>
        <w:t xml:space="preserve">” </w:t>
      </w:r>
      <w:r w:rsidRPr="00CF35F3">
        <w:rPr>
          <w:i/>
          <w:sz w:val="24"/>
          <w:lang w:val="en-GB"/>
        </w:rPr>
        <w:t>Construction Management and Economics</w:t>
      </w:r>
      <w:r w:rsidRPr="00CF35F3">
        <w:rPr>
          <w:rFonts w:hint="eastAsia"/>
          <w:sz w:val="24"/>
          <w:lang w:val="en-GB"/>
        </w:rPr>
        <w:t>, 23(5), 459-471.</w:t>
      </w:r>
    </w:p>
    <w:p w14:paraId="0E068153" w14:textId="77777777" w:rsidR="00C479A5" w:rsidRPr="00CF35F3" w:rsidRDefault="00C479A5" w:rsidP="00874F4C">
      <w:pPr>
        <w:ind w:left="454" w:hanging="454"/>
        <w:rPr>
          <w:sz w:val="24"/>
          <w:lang w:val="en-GB"/>
        </w:rPr>
      </w:pPr>
    </w:p>
    <w:p w14:paraId="3F9133D0" w14:textId="77777777" w:rsidR="00D80E4A" w:rsidRPr="00F039C6" w:rsidRDefault="00D80E4A" w:rsidP="00874F4C">
      <w:pPr>
        <w:ind w:left="454" w:hanging="454"/>
        <w:rPr>
          <w:sz w:val="24"/>
          <w:lang w:val="en-GB"/>
        </w:rPr>
      </w:pPr>
      <w:r w:rsidRPr="00F039C6">
        <w:rPr>
          <w:sz w:val="24"/>
          <w:lang w:val="en-GB"/>
        </w:rPr>
        <w:t>Liu, J., Love, P.E.D., Carey, B., Smith, J. and Regan, M. (2015a). “</w:t>
      </w:r>
      <w:r w:rsidRPr="00F039C6">
        <w:rPr>
          <w:i/>
          <w:sz w:val="24"/>
          <w:lang w:val="en-GB"/>
        </w:rPr>
        <w:t>Ex-ante</w:t>
      </w:r>
      <w:r w:rsidRPr="00F039C6">
        <w:rPr>
          <w:sz w:val="24"/>
          <w:lang w:val="en-GB"/>
        </w:rPr>
        <w:t xml:space="preserve"> evaluation of public-private partnerships: Macroeconomic analysis.” </w:t>
      </w:r>
      <w:r w:rsidRPr="00F039C6">
        <w:rPr>
          <w:i/>
          <w:sz w:val="24"/>
          <w:lang w:val="en-GB"/>
        </w:rPr>
        <w:t>Journal of Infrastructure Systems</w:t>
      </w:r>
      <w:r w:rsidRPr="00F039C6">
        <w:rPr>
          <w:sz w:val="24"/>
          <w:lang w:val="en-GB"/>
        </w:rPr>
        <w:t>, 21(2), 04014038.</w:t>
      </w:r>
    </w:p>
    <w:p w14:paraId="407D92FF" w14:textId="77777777" w:rsidR="00D609E5" w:rsidRDefault="00D609E5" w:rsidP="00874F4C">
      <w:pPr>
        <w:ind w:left="284" w:hanging="284"/>
        <w:rPr>
          <w:sz w:val="24"/>
          <w:lang w:val="en-GB"/>
        </w:rPr>
      </w:pPr>
    </w:p>
    <w:p w14:paraId="3CDB9421" w14:textId="77777777" w:rsidR="00D80E4A" w:rsidRPr="00F039C6" w:rsidRDefault="00D80E4A" w:rsidP="00874F4C">
      <w:pPr>
        <w:ind w:left="454" w:hanging="454"/>
        <w:rPr>
          <w:sz w:val="24"/>
          <w:lang w:val="en-GB"/>
        </w:rPr>
      </w:pPr>
      <w:r w:rsidRPr="00F039C6">
        <w:rPr>
          <w:sz w:val="24"/>
          <w:lang w:val="en-GB"/>
        </w:rPr>
        <w:t xml:space="preserve">Liu, J., Love, P. E. D., Davis, P. R., Smith, J. and Regan, M. (2015b). “Conceptual framework for the performance measurement of public-private partnerships.” </w:t>
      </w:r>
      <w:r w:rsidRPr="00F039C6">
        <w:rPr>
          <w:i/>
          <w:sz w:val="24"/>
          <w:lang w:val="en-GB"/>
        </w:rPr>
        <w:t xml:space="preserve">Journal </w:t>
      </w:r>
      <w:r w:rsidRPr="00F039C6">
        <w:rPr>
          <w:i/>
          <w:sz w:val="24"/>
          <w:lang w:val="en-GB"/>
        </w:rPr>
        <w:lastRenderedPageBreak/>
        <w:t>of Infrastructure Systems</w:t>
      </w:r>
      <w:r w:rsidRPr="00F039C6">
        <w:rPr>
          <w:sz w:val="24"/>
          <w:lang w:val="en-GB"/>
        </w:rPr>
        <w:t>, 21(1), 04014023.</w:t>
      </w:r>
    </w:p>
    <w:p w14:paraId="4ECE7C0C" w14:textId="77777777" w:rsidR="00D80E4A" w:rsidRPr="00F039C6" w:rsidRDefault="00D80E4A" w:rsidP="00874F4C">
      <w:pPr>
        <w:rPr>
          <w:sz w:val="24"/>
          <w:lang w:val="en-GB"/>
        </w:rPr>
      </w:pPr>
    </w:p>
    <w:p w14:paraId="6279ABD4" w14:textId="77777777" w:rsidR="000D59FA" w:rsidRPr="00F039C6" w:rsidRDefault="000D59FA" w:rsidP="00874F4C">
      <w:pPr>
        <w:ind w:left="454" w:hanging="454"/>
        <w:rPr>
          <w:sz w:val="24"/>
        </w:rPr>
      </w:pPr>
      <w:r w:rsidRPr="00F039C6">
        <w:rPr>
          <w:bCs/>
          <w:sz w:val="24"/>
        </w:rPr>
        <w:t>Liu, J.</w:t>
      </w:r>
      <w:r w:rsidRPr="00F039C6">
        <w:rPr>
          <w:sz w:val="24"/>
        </w:rPr>
        <w:t xml:space="preserve">, Love, P.E.D., Smith, J., Matthews, </w:t>
      </w:r>
      <w:r w:rsidR="006A37ED">
        <w:rPr>
          <w:sz w:val="24"/>
        </w:rPr>
        <w:t>J. and Sing, C.P. (2016). "P</w:t>
      </w:r>
      <w:r w:rsidRPr="00F039C6">
        <w:rPr>
          <w:sz w:val="24"/>
        </w:rPr>
        <w:t xml:space="preserve">raxis of performance measurement in Public-Private Partnerships: Moving beyond the Iron Triangle." </w:t>
      </w:r>
      <w:r w:rsidRPr="00F039C6">
        <w:rPr>
          <w:i/>
          <w:iCs/>
          <w:sz w:val="24"/>
        </w:rPr>
        <w:t>Journal of Management in Engineering</w:t>
      </w:r>
      <w:r w:rsidR="006A37ED">
        <w:rPr>
          <w:sz w:val="24"/>
        </w:rPr>
        <w:t xml:space="preserve">, </w:t>
      </w:r>
      <w:r w:rsidR="006A37ED" w:rsidRPr="006A37ED">
        <w:rPr>
          <w:sz w:val="24"/>
        </w:rPr>
        <w:t>10.1061/(ASCE)ME.1943-5479.0000433, 04016004</w:t>
      </w:r>
      <w:r w:rsidR="006A37ED">
        <w:rPr>
          <w:sz w:val="24"/>
        </w:rPr>
        <w:t>.</w:t>
      </w:r>
    </w:p>
    <w:p w14:paraId="70C1CB30" w14:textId="77777777" w:rsidR="000D6E1C" w:rsidRPr="00F039C6" w:rsidRDefault="000D6E1C" w:rsidP="00874F4C">
      <w:pPr>
        <w:ind w:left="284" w:hanging="284"/>
        <w:rPr>
          <w:sz w:val="24"/>
          <w:lang w:val="en-GB"/>
        </w:rPr>
      </w:pPr>
    </w:p>
    <w:p w14:paraId="559CF536" w14:textId="77777777" w:rsidR="00D80E4A" w:rsidRDefault="00D80E4A" w:rsidP="00874F4C">
      <w:pPr>
        <w:ind w:left="454" w:hanging="454"/>
        <w:rPr>
          <w:sz w:val="24"/>
          <w:lang w:val="en-AU"/>
        </w:rPr>
      </w:pPr>
      <w:r w:rsidRPr="00F039C6">
        <w:rPr>
          <w:sz w:val="24"/>
          <w:lang w:val="en-AU"/>
        </w:rPr>
        <w:t xml:space="preserve">Liu, J., Love, P.E.D., Smith, J., Regan, M. and Davis, P.R. (2015c). “Life cycle critical success factors for public-private partnership infrastructure projects.” </w:t>
      </w:r>
      <w:r w:rsidRPr="00F039C6">
        <w:rPr>
          <w:i/>
          <w:sz w:val="24"/>
          <w:lang w:val="en-AU"/>
        </w:rPr>
        <w:t>Journal of Management in Engineering</w:t>
      </w:r>
      <w:r w:rsidRPr="00F039C6">
        <w:rPr>
          <w:sz w:val="24"/>
          <w:lang w:val="en-AU"/>
        </w:rPr>
        <w:t>, 31(5), 04014073.</w:t>
      </w:r>
    </w:p>
    <w:p w14:paraId="0177ED5D" w14:textId="77777777" w:rsidR="00210111" w:rsidRPr="00F039C6" w:rsidRDefault="00210111" w:rsidP="00874F4C">
      <w:pPr>
        <w:ind w:left="454" w:hanging="454"/>
        <w:rPr>
          <w:sz w:val="24"/>
          <w:lang w:val="en-AU"/>
        </w:rPr>
      </w:pPr>
    </w:p>
    <w:p w14:paraId="70D9CCF8" w14:textId="77777777" w:rsidR="00D80E4A" w:rsidRDefault="00D80E4A" w:rsidP="00874F4C">
      <w:pPr>
        <w:ind w:left="454" w:hanging="454"/>
        <w:rPr>
          <w:sz w:val="24"/>
          <w:lang w:val="en-AU"/>
        </w:rPr>
      </w:pPr>
      <w:r w:rsidRPr="00F039C6">
        <w:rPr>
          <w:sz w:val="24"/>
          <w:lang w:val="en-AU"/>
        </w:rPr>
        <w:t xml:space="preserve">Liu, J., Love, P.E.D., Smith, J., Regan, M. and </w:t>
      </w:r>
      <w:proofErr w:type="spellStart"/>
      <w:r w:rsidRPr="00F039C6">
        <w:rPr>
          <w:sz w:val="24"/>
          <w:lang w:val="en-AU"/>
        </w:rPr>
        <w:t>Palaneeswaran</w:t>
      </w:r>
      <w:proofErr w:type="spellEnd"/>
      <w:r w:rsidRPr="00F039C6">
        <w:rPr>
          <w:sz w:val="24"/>
          <w:lang w:val="en-AU"/>
        </w:rPr>
        <w:t xml:space="preserve">, E. (2015d). “Review of performance measurement: Implications for public-private partnerships.” </w:t>
      </w:r>
      <w:r w:rsidRPr="00F039C6">
        <w:rPr>
          <w:i/>
          <w:sz w:val="24"/>
          <w:lang w:val="en-AU"/>
        </w:rPr>
        <w:t>Built Environment Project and Asset Management</w:t>
      </w:r>
      <w:r w:rsidRPr="00F039C6">
        <w:rPr>
          <w:sz w:val="24"/>
          <w:lang w:val="en-AU"/>
        </w:rPr>
        <w:t>, 5(1), 35-51.</w:t>
      </w:r>
    </w:p>
    <w:p w14:paraId="6E992B2C" w14:textId="77777777" w:rsidR="00D26569" w:rsidRPr="00F039C6" w:rsidRDefault="00D26569" w:rsidP="00874F4C">
      <w:pPr>
        <w:ind w:left="284" w:hanging="284"/>
        <w:rPr>
          <w:sz w:val="24"/>
          <w:lang w:val="en-GB"/>
        </w:rPr>
      </w:pPr>
    </w:p>
    <w:p w14:paraId="59768E9B" w14:textId="77777777" w:rsidR="00D80E4A" w:rsidRPr="00F039C6" w:rsidRDefault="00D80E4A" w:rsidP="00874F4C">
      <w:pPr>
        <w:pStyle w:val="Footer"/>
        <w:tabs>
          <w:tab w:val="num" w:pos="567"/>
        </w:tabs>
        <w:ind w:left="454" w:hanging="454"/>
        <w:jc w:val="both"/>
        <w:rPr>
          <w:rFonts w:eastAsia="Times New Roman"/>
          <w:kern w:val="0"/>
          <w:sz w:val="24"/>
          <w:szCs w:val="24"/>
          <w:lang w:eastAsia="en-US"/>
        </w:rPr>
      </w:pPr>
      <w:r w:rsidRPr="00F039C6">
        <w:rPr>
          <w:sz w:val="24"/>
          <w:szCs w:val="24"/>
          <w:lang w:val="en-GB"/>
        </w:rPr>
        <w:t>Love, P.E.D. and Holt, G.</w:t>
      </w:r>
      <w:r w:rsidRPr="00F039C6">
        <w:rPr>
          <w:rFonts w:eastAsia="Times New Roman"/>
          <w:kern w:val="0"/>
          <w:sz w:val="24"/>
          <w:szCs w:val="24"/>
          <w:lang w:eastAsia="en-US"/>
        </w:rPr>
        <w:t xml:space="preserve"> (2000)</w:t>
      </w:r>
      <w:r w:rsidRPr="00F039C6">
        <w:rPr>
          <w:kern w:val="0"/>
          <w:sz w:val="24"/>
          <w:szCs w:val="24"/>
        </w:rPr>
        <w:t>.</w:t>
      </w:r>
      <w:r w:rsidRPr="00F039C6">
        <w:rPr>
          <w:rFonts w:eastAsia="Times New Roman"/>
          <w:kern w:val="0"/>
          <w:sz w:val="24"/>
          <w:szCs w:val="24"/>
          <w:lang w:eastAsia="en-US"/>
        </w:rPr>
        <w:t xml:space="preserve"> </w:t>
      </w:r>
      <w:r w:rsidRPr="00F039C6">
        <w:rPr>
          <w:kern w:val="0"/>
          <w:sz w:val="24"/>
          <w:szCs w:val="24"/>
        </w:rPr>
        <w:t>“</w:t>
      </w:r>
      <w:r w:rsidRPr="00F039C6">
        <w:rPr>
          <w:rFonts w:eastAsia="Times New Roman"/>
          <w:kern w:val="0"/>
          <w:sz w:val="24"/>
          <w:szCs w:val="24"/>
          <w:lang w:eastAsia="en-US"/>
        </w:rPr>
        <w:t xml:space="preserve">Construction </w:t>
      </w:r>
      <w:r w:rsidRPr="00F039C6">
        <w:rPr>
          <w:kern w:val="0"/>
          <w:sz w:val="24"/>
          <w:szCs w:val="24"/>
        </w:rPr>
        <w:t>b</w:t>
      </w:r>
      <w:r w:rsidRPr="00F039C6">
        <w:rPr>
          <w:rFonts w:eastAsia="Times New Roman"/>
          <w:kern w:val="0"/>
          <w:sz w:val="24"/>
          <w:szCs w:val="24"/>
          <w:lang w:eastAsia="en-US"/>
        </w:rPr>
        <w:t xml:space="preserve">usiness </w:t>
      </w:r>
      <w:r w:rsidRPr="00F039C6">
        <w:rPr>
          <w:kern w:val="0"/>
          <w:sz w:val="24"/>
          <w:szCs w:val="24"/>
        </w:rPr>
        <w:t>p</w:t>
      </w:r>
      <w:r w:rsidRPr="00F039C6">
        <w:rPr>
          <w:rFonts w:eastAsia="Times New Roman"/>
          <w:kern w:val="0"/>
          <w:sz w:val="24"/>
          <w:szCs w:val="24"/>
          <w:lang w:eastAsia="en-US"/>
        </w:rPr>
        <w:t xml:space="preserve">erformance </w:t>
      </w:r>
      <w:r w:rsidRPr="00F039C6">
        <w:rPr>
          <w:kern w:val="0"/>
          <w:sz w:val="24"/>
          <w:szCs w:val="24"/>
        </w:rPr>
        <w:t>m</w:t>
      </w:r>
      <w:r w:rsidRPr="00F039C6">
        <w:rPr>
          <w:rFonts w:eastAsia="Times New Roman"/>
          <w:kern w:val="0"/>
          <w:sz w:val="24"/>
          <w:szCs w:val="24"/>
          <w:lang w:eastAsia="en-US"/>
        </w:rPr>
        <w:t xml:space="preserve">easurement: </w:t>
      </w:r>
      <w:r w:rsidRPr="00F039C6">
        <w:rPr>
          <w:kern w:val="0"/>
          <w:sz w:val="24"/>
          <w:szCs w:val="24"/>
        </w:rPr>
        <w:t>t</w:t>
      </w:r>
      <w:r w:rsidRPr="00F039C6">
        <w:rPr>
          <w:rFonts w:eastAsia="Times New Roman"/>
          <w:kern w:val="0"/>
          <w:sz w:val="24"/>
          <w:szCs w:val="24"/>
          <w:lang w:eastAsia="en-US"/>
        </w:rPr>
        <w:t xml:space="preserve">he SPM </w:t>
      </w:r>
      <w:r w:rsidRPr="00F039C6">
        <w:rPr>
          <w:kern w:val="0"/>
          <w:sz w:val="24"/>
          <w:szCs w:val="24"/>
        </w:rPr>
        <w:t>a</w:t>
      </w:r>
      <w:r w:rsidRPr="00F039C6">
        <w:rPr>
          <w:rFonts w:eastAsia="Times New Roman"/>
          <w:kern w:val="0"/>
          <w:sz w:val="24"/>
          <w:szCs w:val="24"/>
          <w:lang w:eastAsia="en-US"/>
        </w:rPr>
        <w:t>lternative</w:t>
      </w:r>
      <w:r w:rsidRPr="00F039C6">
        <w:rPr>
          <w:kern w:val="0"/>
          <w:sz w:val="24"/>
          <w:szCs w:val="24"/>
        </w:rPr>
        <w:t>.”</w:t>
      </w:r>
      <w:r w:rsidRPr="00F039C6">
        <w:rPr>
          <w:rFonts w:eastAsia="Times New Roman"/>
          <w:kern w:val="0"/>
          <w:sz w:val="24"/>
          <w:szCs w:val="24"/>
          <w:lang w:eastAsia="en-US"/>
        </w:rPr>
        <w:t xml:space="preserve"> </w:t>
      </w:r>
      <w:r w:rsidRPr="00F039C6">
        <w:rPr>
          <w:rFonts w:eastAsia="Times New Roman"/>
          <w:i/>
          <w:kern w:val="0"/>
          <w:sz w:val="24"/>
          <w:szCs w:val="24"/>
          <w:lang w:eastAsia="en-US"/>
        </w:rPr>
        <w:t>Business Process Management Journal</w:t>
      </w:r>
      <w:r w:rsidRPr="00F039C6">
        <w:rPr>
          <w:kern w:val="0"/>
          <w:sz w:val="24"/>
          <w:szCs w:val="24"/>
        </w:rPr>
        <w:t xml:space="preserve">, </w:t>
      </w:r>
      <w:r w:rsidRPr="00F039C6">
        <w:rPr>
          <w:rFonts w:eastAsia="Times New Roman"/>
          <w:kern w:val="0"/>
          <w:sz w:val="24"/>
          <w:szCs w:val="24"/>
          <w:lang w:eastAsia="en-US"/>
        </w:rPr>
        <w:t>6(5), 408-416.</w:t>
      </w:r>
    </w:p>
    <w:p w14:paraId="3449B47D" w14:textId="77777777" w:rsidR="00D80E4A" w:rsidRPr="00F039C6" w:rsidRDefault="00D80E4A" w:rsidP="00874F4C">
      <w:pPr>
        <w:rPr>
          <w:sz w:val="24"/>
          <w:lang w:val="en-AU"/>
        </w:rPr>
      </w:pPr>
    </w:p>
    <w:p w14:paraId="0A9DF3A2" w14:textId="77777777" w:rsidR="000F156B" w:rsidRPr="00F039C6" w:rsidRDefault="000F156B" w:rsidP="00874F4C">
      <w:pPr>
        <w:widowControl/>
        <w:ind w:left="454" w:hanging="454"/>
        <w:rPr>
          <w:kern w:val="0"/>
          <w:sz w:val="24"/>
          <w:lang w:val="en-AU"/>
        </w:rPr>
      </w:pPr>
      <w:r w:rsidRPr="00F039C6">
        <w:rPr>
          <w:kern w:val="0"/>
          <w:sz w:val="24"/>
          <w:lang w:val="en-AU"/>
        </w:rPr>
        <w:t xml:space="preserve">Love, P.E.D., Holt, G.D., and Li, H. (2002). “Triangulation in construction management research.” </w:t>
      </w:r>
      <w:r w:rsidRPr="00F039C6">
        <w:rPr>
          <w:i/>
          <w:kern w:val="0"/>
          <w:sz w:val="24"/>
          <w:lang w:val="en-AU"/>
        </w:rPr>
        <w:t>Engineering, Construction and Architectural Management</w:t>
      </w:r>
      <w:r w:rsidRPr="00F039C6">
        <w:rPr>
          <w:kern w:val="0"/>
          <w:sz w:val="24"/>
          <w:lang w:val="en-AU"/>
        </w:rPr>
        <w:t>, 9(4), 294-303.</w:t>
      </w:r>
    </w:p>
    <w:p w14:paraId="6898479E" w14:textId="77777777" w:rsidR="005F71AF" w:rsidRDefault="005F71AF" w:rsidP="00874F4C">
      <w:pPr>
        <w:widowControl/>
        <w:ind w:left="284" w:hanging="284"/>
        <w:rPr>
          <w:kern w:val="0"/>
          <w:sz w:val="24"/>
          <w:lang w:val="en-AU"/>
        </w:rPr>
      </w:pPr>
    </w:p>
    <w:p w14:paraId="35007A53" w14:textId="77777777" w:rsidR="00595AA6" w:rsidRPr="00595AA6" w:rsidRDefault="00595AA6" w:rsidP="00595AA6">
      <w:pPr>
        <w:widowControl/>
        <w:ind w:left="284" w:hanging="284"/>
        <w:rPr>
          <w:kern w:val="0"/>
          <w:sz w:val="24"/>
          <w:lang w:val="en-GB"/>
        </w:rPr>
      </w:pPr>
      <w:r w:rsidRPr="00595AA6">
        <w:rPr>
          <w:kern w:val="0"/>
          <w:sz w:val="24"/>
          <w:lang w:val="en-GB"/>
        </w:rPr>
        <w:t xml:space="preserve">Love, P. E. D., Huang, J. C., Edwards, D. J. and </w:t>
      </w:r>
      <w:proofErr w:type="spellStart"/>
      <w:r w:rsidRPr="00595AA6">
        <w:rPr>
          <w:kern w:val="0"/>
          <w:sz w:val="24"/>
          <w:lang w:val="en-GB"/>
        </w:rPr>
        <w:t>Irani</w:t>
      </w:r>
      <w:proofErr w:type="spellEnd"/>
      <w:r w:rsidRPr="00595AA6">
        <w:rPr>
          <w:kern w:val="0"/>
          <w:sz w:val="24"/>
          <w:lang w:val="en-GB"/>
        </w:rPr>
        <w:t xml:space="preserve">, Z. (2004). “Nurturing a learning organization in construction: a focus on strategic shift, organizational transformation, customer orientation and quality </w:t>
      </w:r>
      <w:proofErr w:type="spellStart"/>
      <w:r w:rsidRPr="00595AA6">
        <w:rPr>
          <w:kern w:val="0"/>
          <w:sz w:val="24"/>
          <w:lang w:val="en-GB"/>
        </w:rPr>
        <w:t>centered</w:t>
      </w:r>
      <w:proofErr w:type="spellEnd"/>
      <w:r w:rsidRPr="00595AA6">
        <w:rPr>
          <w:kern w:val="0"/>
          <w:sz w:val="24"/>
          <w:lang w:val="en-GB"/>
        </w:rPr>
        <w:t xml:space="preserve"> learning.” </w:t>
      </w:r>
      <w:r w:rsidRPr="00595AA6">
        <w:rPr>
          <w:i/>
          <w:kern w:val="0"/>
          <w:sz w:val="24"/>
          <w:lang w:val="en-GB"/>
        </w:rPr>
        <w:t>Construction Innovation</w:t>
      </w:r>
      <w:r w:rsidRPr="00595AA6">
        <w:rPr>
          <w:kern w:val="0"/>
          <w:sz w:val="24"/>
          <w:lang w:val="en-GB"/>
        </w:rPr>
        <w:t>, 4, 113-126.</w:t>
      </w:r>
    </w:p>
    <w:p w14:paraId="6E619AA4" w14:textId="77777777" w:rsidR="00595AA6" w:rsidRPr="00F039C6" w:rsidRDefault="00595AA6" w:rsidP="00874F4C">
      <w:pPr>
        <w:widowControl/>
        <w:ind w:left="284" w:hanging="284"/>
        <w:rPr>
          <w:kern w:val="0"/>
          <w:sz w:val="24"/>
          <w:lang w:val="en-AU"/>
        </w:rPr>
      </w:pPr>
    </w:p>
    <w:p w14:paraId="31767346" w14:textId="77777777" w:rsidR="00D80E4A" w:rsidRPr="00F039C6" w:rsidRDefault="00D80E4A" w:rsidP="00874F4C">
      <w:pPr>
        <w:widowControl/>
        <w:ind w:left="454" w:hanging="454"/>
        <w:rPr>
          <w:kern w:val="0"/>
          <w:sz w:val="24"/>
          <w:lang w:val="en-AU"/>
        </w:rPr>
      </w:pPr>
      <w:r w:rsidRPr="00F039C6">
        <w:rPr>
          <w:sz w:val="24"/>
        </w:rPr>
        <w:t xml:space="preserve">Love, P.E.D., Liu, J., Matthews, J., Sing, C.P., Smith, J. and Regan, M. (2015). “Future proofing public-private partnerships: Life-cycle performance measurement and building information modelling.” </w:t>
      </w:r>
      <w:r w:rsidRPr="00F039C6">
        <w:rPr>
          <w:i/>
          <w:sz w:val="24"/>
        </w:rPr>
        <w:t>Automation in Construction</w:t>
      </w:r>
      <w:r w:rsidRPr="00F039C6">
        <w:rPr>
          <w:sz w:val="24"/>
        </w:rPr>
        <w:t>, 56, 26-35.</w:t>
      </w:r>
    </w:p>
    <w:p w14:paraId="28311B46" w14:textId="77777777" w:rsidR="0047706A" w:rsidRPr="00F039C6" w:rsidRDefault="0047706A" w:rsidP="00874F4C">
      <w:pPr>
        <w:rPr>
          <w:sz w:val="24"/>
          <w:lang w:val="en-AU"/>
        </w:rPr>
      </w:pPr>
    </w:p>
    <w:p w14:paraId="7EF013E8" w14:textId="77777777" w:rsidR="000F156B" w:rsidRDefault="000F156B" w:rsidP="00874F4C">
      <w:pPr>
        <w:widowControl/>
        <w:ind w:left="454" w:hanging="454"/>
        <w:rPr>
          <w:kern w:val="0"/>
          <w:sz w:val="24"/>
          <w:lang w:val="en-AU"/>
        </w:rPr>
      </w:pPr>
      <w:r w:rsidRPr="00F039C6">
        <w:rPr>
          <w:kern w:val="0"/>
          <w:sz w:val="24"/>
          <w:lang w:val="en-AU"/>
        </w:rPr>
        <w:t xml:space="preserve">Mladenovic, G., </w:t>
      </w:r>
      <w:proofErr w:type="spellStart"/>
      <w:r w:rsidRPr="00F039C6">
        <w:rPr>
          <w:kern w:val="0"/>
          <w:sz w:val="24"/>
          <w:lang w:val="en-AU"/>
        </w:rPr>
        <w:t>Vajdic</w:t>
      </w:r>
      <w:proofErr w:type="spellEnd"/>
      <w:r w:rsidRPr="00F039C6">
        <w:rPr>
          <w:kern w:val="0"/>
          <w:sz w:val="24"/>
          <w:lang w:val="en-AU"/>
        </w:rPr>
        <w:t xml:space="preserve">, N., </w:t>
      </w:r>
      <w:proofErr w:type="spellStart"/>
      <w:r w:rsidRPr="00F039C6">
        <w:rPr>
          <w:kern w:val="0"/>
          <w:sz w:val="24"/>
          <w:lang w:val="en-AU"/>
        </w:rPr>
        <w:t>Wündsch</w:t>
      </w:r>
      <w:proofErr w:type="spellEnd"/>
      <w:r w:rsidRPr="00F039C6">
        <w:rPr>
          <w:kern w:val="0"/>
          <w:sz w:val="24"/>
          <w:lang w:val="en-AU"/>
        </w:rPr>
        <w:t xml:space="preserve">, B. and </w:t>
      </w:r>
      <w:proofErr w:type="spellStart"/>
      <w:r w:rsidRPr="00F039C6">
        <w:rPr>
          <w:kern w:val="0"/>
          <w:sz w:val="24"/>
          <w:lang w:val="en-AU"/>
        </w:rPr>
        <w:t>Temeljotov-Salaj</w:t>
      </w:r>
      <w:proofErr w:type="spellEnd"/>
      <w:r w:rsidRPr="00F039C6">
        <w:rPr>
          <w:kern w:val="0"/>
          <w:sz w:val="24"/>
          <w:lang w:val="en-AU"/>
        </w:rPr>
        <w:t xml:space="preserve">, A. (2013). “Use of key performance indicators for PPP transport projects to meet stakeholders’ performance objectives.” </w:t>
      </w:r>
      <w:r w:rsidRPr="00F039C6">
        <w:rPr>
          <w:i/>
          <w:kern w:val="0"/>
          <w:sz w:val="24"/>
          <w:lang w:val="en-AU"/>
        </w:rPr>
        <w:t>Built Environment Project and Asset Management</w:t>
      </w:r>
      <w:r w:rsidRPr="00F039C6">
        <w:rPr>
          <w:kern w:val="0"/>
          <w:sz w:val="24"/>
          <w:lang w:val="en-AU"/>
        </w:rPr>
        <w:t>, 3(2), 228-249.</w:t>
      </w:r>
    </w:p>
    <w:p w14:paraId="5B38B66C" w14:textId="77777777" w:rsidR="00874F4C" w:rsidRPr="00F039C6" w:rsidRDefault="00874F4C" w:rsidP="00874F4C">
      <w:pPr>
        <w:widowControl/>
        <w:ind w:left="454" w:hanging="454"/>
        <w:rPr>
          <w:kern w:val="0"/>
          <w:sz w:val="24"/>
          <w:lang w:val="en-AU"/>
        </w:rPr>
      </w:pPr>
    </w:p>
    <w:p w14:paraId="29BB32EA" w14:textId="77777777" w:rsidR="001079F8" w:rsidRPr="00F039C6" w:rsidRDefault="001079F8" w:rsidP="00874F4C">
      <w:pPr>
        <w:ind w:left="454" w:hanging="454"/>
        <w:rPr>
          <w:sz w:val="24"/>
          <w:lang w:val="en-GB"/>
        </w:rPr>
      </w:pPr>
      <w:r w:rsidRPr="00F039C6">
        <w:rPr>
          <w:sz w:val="24"/>
          <w:lang w:val="en-GB"/>
        </w:rPr>
        <w:t xml:space="preserve">Neely, A. (1999). “The performance measurement revolution: why now and what next?.” </w:t>
      </w:r>
      <w:r w:rsidRPr="00F039C6">
        <w:rPr>
          <w:i/>
          <w:sz w:val="24"/>
          <w:lang w:val="en-GB"/>
        </w:rPr>
        <w:t>International Journal of Operations &amp; Production Management</w:t>
      </w:r>
      <w:r w:rsidRPr="00F039C6">
        <w:rPr>
          <w:sz w:val="24"/>
          <w:lang w:val="en-GB"/>
        </w:rPr>
        <w:t>, 19(2), 205-228.</w:t>
      </w:r>
    </w:p>
    <w:p w14:paraId="0D9D0125" w14:textId="77777777" w:rsidR="000D6E1C" w:rsidRPr="00F039C6" w:rsidRDefault="000D6E1C" w:rsidP="00874F4C">
      <w:pPr>
        <w:ind w:left="340" w:hanging="340"/>
        <w:rPr>
          <w:sz w:val="24"/>
          <w:lang w:val="en-GB"/>
        </w:rPr>
      </w:pPr>
    </w:p>
    <w:p w14:paraId="5B419C84" w14:textId="77777777" w:rsidR="00E739AC" w:rsidRPr="00F039C6" w:rsidRDefault="00E739AC" w:rsidP="00874F4C">
      <w:pPr>
        <w:ind w:left="454" w:hanging="454"/>
        <w:rPr>
          <w:sz w:val="24"/>
          <w:lang w:val="en-AU"/>
        </w:rPr>
      </w:pPr>
      <w:r w:rsidRPr="00F039C6">
        <w:rPr>
          <w:sz w:val="24"/>
          <w:lang w:val="en-AU"/>
        </w:rPr>
        <w:t xml:space="preserve">Neely, A., Adams, C. and Crowe, P. (2001). “The performance prism in practice.” </w:t>
      </w:r>
      <w:r w:rsidRPr="00F039C6">
        <w:rPr>
          <w:i/>
          <w:sz w:val="24"/>
          <w:lang w:val="en-AU"/>
        </w:rPr>
        <w:t>Measuring Business Excellence</w:t>
      </w:r>
      <w:r w:rsidRPr="00F039C6">
        <w:rPr>
          <w:sz w:val="24"/>
          <w:lang w:val="en-AU"/>
        </w:rPr>
        <w:t>, 5(2), 6-12.</w:t>
      </w:r>
    </w:p>
    <w:p w14:paraId="7F1E5701" w14:textId="77777777" w:rsidR="00147478" w:rsidRDefault="00147478" w:rsidP="00874F4C">
      <w:pPr>
        <w:ind w:left="454" w:hanging="454"/>
        <w:rPr>
          <w:sz w:val="24"/>
          <w:lang w:val="en-GB"/>
        </w:rPr>
      </w:pPr>
    </w:p>
    <w:p w14:paraId="49FCC683" w14:textId="77777777" w:rsidR="000F156B" w:rsidRDefault="000F156B" w:rsidP="00874F4C">
      <w:pPr>
        <w:ind w:left="454" w:hanging="454"/>
        <w:rPr>
          <w:sz w:val="24"/>
          <w:lang w:val="en-GB"/>
        </w:rPr>
      </w:pPr>
      <w:r w:rsidRPr="00F039C6">
        <w:rPr>
          <w:sz w:val="24"/>
          <w:lang w:val="en-GB"/>
        </w:rPr>
        <w:t xml:space="preserve">Neely, A., Mills, J., </w:t>
      </w:r>
      <w:proofErr w:type="spellStart"/>
      <w:r w:rsidRPr="00F039C6">
        <w:rPr>
          <w:sz w:val="24"/>
          <w:lang w:val="en-GB"/>
        </w:rPr>
        <w:t>Platts</w:t>
      </w:r>
      <w:proofErr w:type="spellEnd"/>
      <w:r w:rsidRPr="00F039C6">
        <w:rPr>
          <w:sz w:val="24"/>
          <w:lang w:val="en-GB"/>
        </w:rPr>
        <w:t xml:space="preserve">, K., Richards, H., Gregory, M., Bourne, M. and </w:t>
      </w:r>
      <w:proofErr w:type="spellStart"/>
      <w:r w:rsidRPr="00F039C6">
        <w:rPr>
          <w:sz w:val="24"/>
          <w:lang w:val="en-GB"/>
        </w:rPr>
        <w:t>Kennerley</w:t>
      </w:r>
      <w:proofErr w:type="spellEnd"/>
      <w:r w:rsidRPr="00F039C6">
        <w:rPr>
          <w:sz w:val="24"/>
          <w:lang w:val="en-GB"/>
        </w:rPr>
        <w:t xml:space="preserve">, M. (2000). “Performance measurement system design: developing and testing a process-based approach.” </w:t>
      </w:r>
      <w:r w:rsidRPr="00F039C6">
        <w:rPr>
          <w:i/>
          <w:sz w:val="24"/>
          <w:lang w:val="en-GB"/>
        </w:rPr>
        <w:t>International Journal of Operations &amp; Production Management</w:t>
      </w:r>
      <w:r w:rsidRPr="00F039C6">
        <w:rPr>
          <w:sz w:val="24"/>
          <w:lang w:val="en-GB"/>
        </w:rPr>
        <w:t>, 20(10), 1119-1145.</w:t>
      </w:r>
    </w:p>
    <w:p w14:paraId="015860E4" w14:textId="77777777" w:rsidR="00CE6AF9" w:rsidRPr="00F039C6" w:rsidRDefault="00CE6AF9" w:rsidP="00874F4C">
      <w:pPr>
        <w:ind w:left="454" w:hanging="454"/>
        <w:rPr>
          <w:sz w:val="24"/>
          <w:lang w:val="en-GB"/>
        </w:rPr>
      </w:pPr>
    </w:p>
    <w:p w14:paraId="3689C160" w14:textId="77777777" w:rsidR="00593660" w:rsidRPr="00F039C6" w:rsidRDefault="00593660" w:rsidP="00874F4C">
      <w:pPr>
        <w:ind w:left="284" w:hanging="284"/>
        <w:rPr>
          <w:sz w:val="24"/>
          <w:lang w:val="en-GB"/>
        </w:rPr>
      </w:pPr>
      <w:r w:rsidRPr="00F039C6">
        <w:rPr>
          <w:sz w:val="24"/>
          <w:lang w:val="en-GB"/>
        </w:rPr>
        <w:t>Office of Government Commerce (2002). “Green public private partnerships.”</w:t>
      </w:r>
      <w:r w:rsidR="00D609E5" w:rsidRPr="00F039C6">
        <w:rPr>
          <w:sz w:val="24"/>
          <w:lang w:val="en-GB"/>
        </w:rPr>
        <w:t xml:space="preserve"> UK.</w:t>
      </w:r>
    </w:p>
    <w:p w14:paraId="5DCC62B5" w14:textId="77777777" w:rsidR="00593660" w:rsidRPr="00F039C6" w:rsidRDefault="00593660" w:rsidP="00874F4C">
      <w:pPr>
        <w:ind w:left="454" w:hanging="454"/>
        <w:rPr>
          <w:sz w:val="24"/>
          <w:lang w:val="en-GB"/>
        </w:rPr>
      </w:pPr>
    </w:p>
    <w:p w14:paraId="4AF1D5C7" w14:textId="77777777" w:rsidR="00CF35F3" w:rsidRPr="00CF35F3" w:rsidRDefault="00CF35F3" w:rsidP="00874F4C">
      <w:pPr>
        <w:ind w:left="454" w:hanging="454"/>
        <w:rPr>
          <w:sz w:val="24"/>
          <w:lang w:val="en-GB"/>
        </w:rPr>
      </w:pPr>
      <w:proofErr w:type="spellStart"/>
      <w:r w:rsidRPr="00CF35F3">
        <w:rPr>
          <w:rFonts w:hint="eastAsia"/>
          <w:sz w:val="24"/>
          <w:lang w:val="en-GB"/>
        </w:rPr>
        <w:t>Pongsiri</w:t>
      </w:r>
      <w:proofErr w:type="spellEnd"/>
      <w:r w:rsidRPr="00CF35F3">
        <w:rPr>
          <w:rFonts w:hint="eastAsia"/>
          <w:sz w:val="24"/>
          <w:lang w:val="en-GB"/>
        </w:rPr>
        <w:t xml:space="preserve">, N. (2002). </w:t>
      </w:r>
      <w:r w:rsidRPr="00CF35F3">
        <w:rPr>
          <w:sz w:val="24"/>
          <w:lang w:val="en-GB"/>
        </w:rPr>
        <w:t>“</w:t>
      </w:r>
      <w:r w:rsidRPr="00CF35F3">
        <w:rPr>
          <w:rFonts w:hint="eastAsia"/>
          <w:sz w:val="24"/>
          <w:lang w:val="en-GB"/>
        </w:rPr>
        <w:t>Regulations and public-private partnerships.</w:t>
      </w:r>
      <w:r w:rsidRPr="00CF35F3">
        <w:rPr>
          <w:sz w:val="24"/>
          <w:lang w:val="en-GB"/>
        </w:rPr>
        <w:t>”</w:t>
      </w:r>
      <w:r w:rsidRPr="00CF35F3">
        <w:rPr>
          <w:rFonts w:hint="eastAsia"/>
          <w:sz w:val="24"/>
          <w:lang w:val="en-GB"/>
        </w:rPr>
        <w:t xml:space="preserve"> </w:t>
      </w:r>
      <w:r w:rsidRPr="00CF35F3">
        <w:rPr>
          <w:i/>
          <w:sz w:val="24"/>
          <w:lang w:val="en-GB"/>
        </w:rPr>
        <w:t>International Journal Of Public Sector Management</w:t>
      </w:r>
      <w:r w:rsidRPr="00CF35F3">
        <w:rPr>
          <w:rFonts w:hint="eastAsia"/>
          <w:sz w:val="24"/>
          <w:lang w:val="en-GB"/>
        </w:rPr>
        <w:t>, 15(6), 487-495.</w:t>
      </w:r>
    </w:p>
    <w:p w14:paraId="1CDF7BA8" w14:textId="77777777" w:rsidR="00D45D2D" w:rsidRPr="00D45D2D" w:rsidRDefault="00D45D2D" w:rsidP="00874F4C">
      <w:pPr>
        <w:ind w:left="454" w:hanging="454"/>
        <w:rPr>
          <w:sz w:val="24"/>
          <w:lang w:val="en-GB"/>
        </w:rPr>
      </w:pPr>
      <w:proofErr w:type="spellStart"/>
      <w:r w:rsidRPr="00D45D2D">
        <w:rPr>
          <w:rFonts w:hint="eastAsia"/>
          <w:sz w:val="24"/>
          <w:lang w:val="en-GB"/>
        </w:rPr>
        <w:lastRenderedPageBreak/>
        <w:t>Qiao</w:t>
      </w:r>
      <w:proofErr w:type="spellEnd"/>
      <w:r w:rsidRPr="00D45D2D">
        <w:rPr>
          <w:rFonts w:hint="eastAsia"/>
          <w:sz w:val="24"/>
          <w:lang w:val="en-GB"/>
        </w:rPr>
        <w:t xml:space="preserve">, L., Wang, S. Q., </w:t>
      </w:r>
      <w:proofErr w:type="spellStart"/>
      <w:r w:rsidRPr="00D45D2D">
        <w:rPr>
          <w:rFonts w:hint="eastAsia"/>
          <w:sz w:val="24"/>
          <w:lang w:val="en-GB"/>
        </w:rPr>
        <w:t>Tiong</w:t>
      </w:r>
      <w:proofErr w:type="spellEnd"/>
      <w:r w:rsidRPr="00D45D2D">
        <w:rPr>
          <w:rFonts w:hint="eastAsia"/>
          <w:sz w:val="24"/>
          <w:lang w:val="en-GB"/>
        </w:rPr>
        <w:t xml:space="preserve">, R.L.K. and Chan, T.S. (2001). </w:t>
      </w:r>
      <w:r w:rsidRPr="00D45D2D">
        <w:rPr>
          <w:sz w:val="24"/>
          <w:lang w:val="en-GB"/>
        </w:rPr>
        <w:t>“</w:t>
      </w:r>
      <w:r w:rsidRPr="00D45D2D">
        <w:rPr>
          <w:rFonts w:hint="eastAsia"/>
          <w:sz w:val="24"/>
          <w:lang w:val="en-GB"/>
        </w:rPr>
        <w:t>Framework for critical success factors of BOT project in China.</w:t>
      </w:r>
      <w:r w:rsidRPr="00D45D2D">
        <w:rPr>
          <w:sz w:val="24"/>
          <w:lang w:val="en-GB"/>
        </w:rPr>
        <w:t>”</w:t>
      </w:r>
      <w:r w:rsidRPr="00D45D2D">
        <w:rPr>
          <w:rFonts w:hint="eastAsia"/>
          <w:sz w:val="24"/>
          <w:lang w:val="en-GB"/>
        </w:rPr>
        <w:t xml:space="preserve"> </w:t>
      </w:r>
      <w:r w:rsidRPr="00D45D2D">
        <w:rPr>
          <w:i/>
          <w:sz w:val="24"/>
          <w:lang w:val="en-GB"/>
        </w:rPr>
        <w:t>Journal of Project Finance</w:t>
      </w:r>
      <w:r w:rsidRPr="00D45D2D">
        <w:rPr>
          <w:rFonts w:hint="eastAsia"/>
          <w:sz w:val="24"/>
          <w:lang w:val="en-GB"/>
        </w:rPr>
        <w:t>, 7(1), 53-61.</w:t>
      </w:r>
    </w:p>
    <w:p w14:paraId="44978A56" w14:textId="77777777" w:rsidR="00D45D2D" w:rsidRPr="00F039C6" w:rsidRDefault="00D45D2D" w:rsidP="00874F4C">
      <w:pPr>
        <w:ind w:left="454" w:hanging="454"/>
        <w:rPr>
          <w:sz w:val="24"/>
          <w:lang w:val="en-GB"/>
        </w:rPr>
      </w:pPr>
    </w:p>
    <w:p w14:paraId="04A2E8D3" w14:textId="77777777" w:rsidR="00F508A9" w:rsidRPr="00F039C6" w:rsidRDefault="00F508A9" w:rsidP="00874F4C">
      <w:pPr>
        <w:ind w:left="454" w:hanging="454"/>
        <w:rPr>
          <w:sz w:val="24"/>
          <w:lang w:val="en-GB"/>
        </w:rPr>
      </w:pPr>
      <w:r w:rsidRPr="00F039C6">
        <w:rPr>
          <w:sz w:val="24"/>
          <w:lang w:val="en-GB"/>
        </w:rPr>
        <w:t xml:space="preserve">Regan, M., Smith, J. and Love, P.E.D. (2011). “Infrastructure procurement: learning from private-public experiences ‘down under.” </w:t>
      </w:r>
      <w:r w:rsidRPr="00F039C6">
        <w:rPr>
          <w:i/>
          <w:sz w:val="24"/>
          <w:lang w:val="en-GB"/>
        </w:rPr>
        <w:t>Environment and Planning C: Government</w:t>
      </w:r>
      <w:r w:rsidR="00D865D1">
        <w:rPr>
          <w:i/>
          <w:sz w:val="24"/>
          <w:lang w:val="en-GB"/>
        </w:rPr>
        <w:t xml:space="preserve"> and</w:t>
      </w:r>
      <w:r w:rsidRPr="00F039C6">
        <w:rPr>
          <w:i/>
          <w:sz w:val="24"/>
          <w:lang w:val="en-GB"/>
        </w:rPr>
        <w:t xml:space="preserve"> Policy</w:t>
      </w:r>
      <w:r w:rsidRPr="00F039C6">
        <w:rPr>
          <w:sz w:val="24"/>
          <w:lang w:val="en-GB"/>
        </w:rPr>
        <w:t>, 29(2), 363-378.</w:t>
      </w:r>
    </w:p>
    <w:p w14:paraId="78CAA97C" w14:textId="77777777" w:rsidR="00F508A9" w:rsidRDefault="00F508A9" w:rsidP="00874F4C">
      <w:pPr>
        <w:rPr>
          <w:sz w:val="24"/>
          <w:lang w:val="en-AU"/>
        </w:rPr>
      </w:pPr>
    </w:p>
    <w:p w14:paraId="11D4FB27" w14:textId="77777777" w:rsidR="00D865D1" w:rsidRDefault="00D865D1" w:rsidP="00874F4C">
      <w:pPr>
        <w:ind w:left="454" w:hanging="454"/>
        <w:rPr>
          <w:sz w:val="24"/>
          <w:lang w:val="en-AU"/>
        </w:rPr>
      </w:pPr>
      <w:r>
        <w:rPr>
          <w:sz w:val="24"/>
          <w:lang w:val="en-AU"/>
        </w:rPr>
        <w:t xml:space="preserve">Roberts, D.J. and </w:t>
      </w:r>
      <w:proofErr w:type="spellStart"/>
      <w:r>
        <w:rPr>
          <w:sz w:val="24"/>
          <w:lang w:val="en-AU"/>
        </w:rPr>
        <w:t>Siemiatycki</w:t>
      </w:r>
      <w:proofErr w:type="spellEnd"/>
      <w:r>
        <w:rPr>
          <w:sz w:val="24"/>
          <w:lang w:val="en-AU"/>
        </w:rPr>
        <w:t xml:space="preserve">, M. (2015). “Fostering meaningful partnerships in public-private partnerships: innovations in partnership design and process management to create value.” </w:t>
      </w:r>
      <w:r w:rsidRPr="00D865D1">
        <w:rPr>
          <w:i/>
          <w:sz w:val="24"/>
          <w:lang w:val="en-AU"/>
        </w:rPr>
        <w:t>Environment and Planning C: Government and Policy</w:t>
      </w:r>
      <w:r>
        <w:rPr>
          <w:sz w:val="24"/>
          <w:lang w:val="en-AU"/>
        </w:rPr>
        <w:t>, 33(4), 780-793.</w:t>
      </w:r>
    </w:p>
    <w:p w14:paraId="32B3B972" w14:textId="77777777" w:rsidR="00D865D1" w:rsidRPr="00F039C6" w:rsidRDefault="00D865D1" w:rsidP="00874F4C">
      <w:pPr>
        <w:rPr>
          <w:sz w:val="24"/>
          <w:lang w:val="en-AU"/>
        </w:rPr>
      </w:pPr>
    </w:p>
    <w:p w14:paraId="33DE1FAF" w14:textId="77777777" w:rsidR="001079F8" w:rsidRPr="00F039C6" w:rsidRDefault="001079F8" w:rsidP="00874F4C">
      <w:pPr>
        <w:rPr>
          <w:sz w:val="24"/>
          <w:lang w:val="en-GB"/>
        </w:rPr>
      </w:pPr>
      <w:r w:rsidRPr="00F039C6">
        <w:rPr>
          <w:sz w:val="24"/>
          <w:lang w:val="en-GB"/>
        </w:rPr>
        <w:t xml:space="preserve">Silverman, D. (2006). </w:t>
      </w:r>
      <w:r w:rsidRPr="00F039C6">
        <w:rPr>
          <w:i/>
          <w:sz w:val="24"/>
          <w:lang w:val="en-GB"/>
        </w:rPr>
        <w:t>Interpreting qualitative data</w:t>
      </w:r>
      <w:r w:rsidR="00BE4940" w:rsidRPr="00F039C6">
        <w:rPr>
          <w:sz w:val="24"/>
          <w:lang w:val="en-GB"/>
        </w:rPr>
        <w:t>, 3rd ed., London: Sage Publications</w:t>
      </w:r>
      <w:r w:rsidR="0054065A" w:rsidRPr="00F039C6">
        <w:rPr>
          <w:sz w:val="24"/>
          <w:lang w:val="en-GB"/>
        </w:rPr>
        <w:t>.</w:t>
      </w:r>
    </w:p>
    <w:p w14:paraId="6B724B2C" w14:textId="77777777" w:rsidR="0054065A" w:rsidRPr="00F039C6" w:rsidRDefault="0054065A" w:rsidP="00874F4C">
      <w:pPr>
        <w:rPr>
          <w:sz w:val="24"/>
          <w:lang w:val="en-GB"/>
        </w:rPr>
      </w:pPr>
    </w:p>
    <w:p w14:paraId="1ABAC595" w14:textId="77777777" w:rsidR="00684BD7" w:rsidRPr="00F039C6" w:rsidRDefault="00684BD7" w:rsidP="00874F4C">
      <w:pPr>
        <w:rPr>
          <w:sz w:val="24"/>
          <w:lang w:val="en-GB"/>
        </w:rPr>
      </w:pPr>
      <w:bookmarkStart w:id="0" w:name="stake"/>
      <w:r w:rsidRPr="00F039C6">
        <w:rPr>
          <w:sz w:val="24"/>
        </w:rPr>
        <w:t xml:space="preserve">Stake, R. (1995). </w:t>
      </w:r>
      <w:r w:rsidRPr="00F039C6">
        <w:rPr>
          <w:i/>
          <w:iCs/>
          <w:sz w:val="24"/>
        </w:rPr>
        <w:t>The art of case research</w:t>
      </w:r>
      <w:r w:rsidRPr="00F039C6">
        <w:rPr>
          <w:sz w:val="24"/>
        </w:rPr>
        <w:t>. Newbury Park, CA: Sage Publications.</w:t>
      </w:r>
      <w:bookmarkEnd w:id="0"/>
    </w:p>
    <w:p w14:paraId="0A3A9C81" w14:textId="77777777" w:rsidR="00E128E3" w:rsidRDefault="00E128E3" w:rsidP="00874F4C">
      <w:pPr>
        <w:rPr>
          <w:sz w:val="24"/>
          <w:lang w:val="en-GB"/>
        </w:rPr>
      </w:pPr>
    </w:p>
    <w:p w14:paraId="0592BD42" w14:textId="77777777" w:rsidR="00D865D1" w:rsidRDefault="00D865D1" w:rsidP="00874F4C">
      <w:pPr>
        <w:ind w:left="454" w:hanging="454"/>
        <w:rPr>
          <w:sz w:val="24"/>
          <w:lang w:val="en-GB"/>
        </w:rPr>
      </w:pPr>
      <w:r>
        <w:rPr>
          <w:sz w:val="24"/>
          <w:lang w:val="en-GB"/>
        </w:rPr>
        <w:t xml:space="preserve">Taylor, B.M. and Harman, B.P. (2015). “Governing urban development for climate risk: What role for public-private partnerships.” </w:t>
      </w:r>
      <w:r w:rsidRPr="00D865D1">
        <w:rPr>
          <w:i/>
          <w:sz w:val="24"/>
          <w:lang w:val="en-GB"/>
        </w:rPr>
        <w:t>Environment and Planning C: Government and Policy</w:t>
      </w:r>
      <w:r>
        <w:rPr>
          <w:sz w:val="24"/>
          <w:lang w:val="en-GB"/>
        </w:rPr>
        <w:t>, 34(5), 927-944.</w:t>
      </w:r>
    </w:p>
    <w:p w14:paraId="69734FE3" w14:textId="77777777" w:rsidR="00290AD0" w:rsidRDefault="00290AD0" w:rsidP="00874F4C">
      <w:pPr>
        <w:ind w:left="454" w:hanging="454"/>
        <w:rPr>
          <w:sz w:val="24"/>
          <w:lang w:val="en-GB"/>
        </w:rPr>
      </w:pPr>
    </w:p>
    <w:p w14:paraId="07CC992D" w14:textId="77777777" w:rsidR="00D45D2D" w:rsidRPr="00D45D2D" w:rsidRDefault="00D45D2D" w:rsidP="00874F4C">
      <w:pPr>
        <w:ind w:left="454" w:hanging="454"/>
        <w:rPr>
          <w:sz w:val="24"/>
          <w:lang w:val="en-GB"/>
        </w:rPr>
      </w:pPr>
      <w:proofErr w:type="spellStart"/>
      <w:r>
        <w:rPr>
          <w:rFonts w:hint="eastAsia"/>
          <w:sz w:val="24"/>
          <w:lang w:val="en-GB"/>
        </w:rPr>
        <w:t>Tiong</w:t>
      </w:r>
      <w:proofErr w:type="spellEnd"/>
      <w:r>
        <w:rPr>
          <w:rFonts w:hint="eastAsia"/>
          <w:sz w:val="24"/>
          <w:lang w:val="en-GB"/>
        </w:rPr>
        <w:t>, R.L.</w:t>
      </w:r>
      <w:r w:rsidRPr="00D45D2D">
        <w:rPr>
          <w:rFonts w:hint="eastAsia"/>
          <w:sz w:val="24"/>
          <w:lang w:val="en-GB"/>
        </w:rPr>
        <w:t xml:space="preserve">K. (1996). </w:t>
      </w:r>
      <w:r w:rsidRPr="00D45D2D">
        <w:rPr>
          <w:sz w:val="24"/>
          <w:lang w:val="en-GB"/>
        </w:rPr>
        <w:t>“</w:t>
      </w:r>
      <w:r w:rsidRPr="00D45D2D">
        <w:rPr>
          <w:rFonts w:hint="eastAsia"/>
          <w:sz w:val="24"/>
          <w:lang w:val="en-GB"/>
        </w:rPr>
        <w:t>CSFs in competitive tendering and negotiation model for BOT projects.</w:t>
      </w:r>
      <w:r w:rsidRPr="00D45D2D">
        <w:rPr>
          <w:sz w:val="24"/>
          <w:lang w:val="en-GB"/>
        </w:rPr>
        <w:t>”</w:t>
      </w:r>
      <w:r w:rsidRPr="00D45D2D">
        <w:rPr>
          <w:rFonts w:hint="eastAsia"/>
          <w:sz w:val="24"/>
          <w:lang w:val="en-GB"/>
        </w:rPr>
        <w:t xml:space="preserve"> </w:t>
      </w:r>
      <w:r w:rsidRPr="00D45D2D">
        <w:rPr>
          <w:rFonts w:hint="eastAsia"/>
          <w:i/>
          <w:sz w:val="24"/>
          <w:lang w:val="en-GB"/>
        </w:rPr>
        <w:t>J</w:t>
      </w:r>
      <w:r w:rsidRPr="00D45D2D">
        <w:rPr>
          <w:i/>
          <w:sz w:val="24"/>
          <w:lang w:val="en-GB"/>
        </w:rPr>
        <w:t>ournal of Construction Engineering and Management</w:t>
      </w:r>
      <w:r w:rsidRPr="00D45D2D">
        <w:rPr>
          <w:rFonts w:hint="eastAsia"/>
          <w:sz w:val="24"/>
          <w:lang w:val="en-GB"/>
        </w:rPr>
        <w:t>, 122(3), 205-211.</w:t>
      </w:r>
    </w:p>
    <w:p w14:paraId="4F1D016E" w14:textId="77777777" w:rsidR="00D45D2D" w:rsidRDefault="00D45D2D" w:rsidP="00874F4C">
      <w:pPr>
        <w:rPr>
          <w:sz w:val="24"/>
          <w:lang w:val="en-GB"/>
        </w:rPr>
      </w:pPr>
    </w:p>
    <w:p w14:paraId="26CCA7A3" w14:textId="77777777" w:rsidR="003C5472" w:rsidRPr="003C5472" w:rsidRDefault="003C5472" w:rsidP="00874F4C">
      <w:pPr>
        <w:ind w:left="454" w:hanging="454"/>
        <w:rPr>
          <w:sz w:val="24"/>
          <w:lang w:val="en-GB"/>
        </w:rPr>
      </w:pPr>
      <w:r w:rsidRPr="003C5472">
        <w:rPr>
          <w:rFonts w:hint="eastAsia"/>
          <w:sz w:val="24"/>
          <w:lang w:val="en-GB"/>
        </w:rPr>
        <w:t xml:space="preserve">Thomas, A.V., </w:t>
      </w:r>
      <w:proofErr w:type="spellStart"/>
      <w:r w:rsidRPr="003C5472">
        <w:rPr>
          <w:rFonts w:hint="eastAsia"/>
          <w:sz w:val="24"/>
          <w:lang w:val="en-GB"/>
        </w:rPr>
        <w:t>Kalidindi</w:t>
      </w:r>
      <w:proofErr w:type="spellEnd"/>
      <w:r w:rsidRPr="003C5472">
        <w:rPr>
          <w:rFonts w:hint="eastAsia"/>
          <w:sz w:val="24"/>
          <w:lang w:val="en-GB"/>
        </w:rPr>
        <w:t xml:space="preserve">, S.N. and </w:t>
      </w:r>
      <w:proofErr w:type="spellStart"/>
      <w:r w:rsidRPr="003C5472">
        <w:rPr>
          <w:rFonts w:hint="eastAsia"/>
          <w:sz w:val="24"/>
          <w:lang w:val="en-GB"/>
        </w:rPr>
        <w:t>Ananthanarayanan</w:t>
      </w:r>
      <w:proofErr w:type="spellEnd"/>
      <w:r w:rsidRPr="003C5472">
        <w:rPr>
          <w:rFonts w:hint="eastAsia"/>
          <w:sz w:val="24"/>
          <w:lang w:val="en-GB"/>
        </w:rPr>
        <w:t xml:space="preserve">, K. (2003). </w:t>
      </w:r>
      <w:r w:rsidRPr="003C5472">
        <w:rPr>
          <w:sz w:val="24"/>
          <w:lang w:val="en-GB"/>
        </w:rPr>
        <w:t>“</w:t>
      </w:r>
      <w:r w:rsidRPr="003C5472">
        <w:rPr>
          <w:rFonts w:hint="eastAsia"/>
          <w:sz w:val="24"/>
          <w:lang w:val="en-GB"/>
        </w:rPr>
        <w:t>Risk perception analysis of BOT road project participants in India.</w:t>
      </w:r>
      <w:r w:rsidRPr="003C5472">
        <w:rPr>
          <w:sz w:val="24"/>
          <w:lang w:val="en-GB"/>
        </w:rPr>
        <w:t>”</w:t>
      </w:r>
      <w:r w:rsidRPr="003C5472">
        <w:rPr>
          <w:rFonts w:hint="eastAsia"/>
          <w:sz w:val="24"/>
          <w:lang w:val="en-GB"/>
        </w:rPr>
        <w:t xml:space="preserve"> </w:t>
      </w:r>
      <w:r w:rsidRPr="003C5472">
        <w:rPr>
          <w:i/>
          <w:sz w:val="24"/>
          <w:lang w:val="en-GB"/>
        </w:rPr>
        <w:t>Construction Management and Economics</w:t>
      </w:r>
      <w:r w:rsidRPr="003C5472">
        <w:rPr>
          <w:rFonts w:hint="eastAsia"/>
          <w:sz w:val="24"/>
          <w:lang w:val="en-GB"/>
        </w:rPr>
        <w:t>, 21(4), 393-407.</w:t>
      </w:r>
    </w:p>
    <w:p w14:paraId="1447E76B" w14:textId="77777777" w:rsidR="003C5472" w:rsidRDefault="003C5472" w:rsidP="00874F4C">
      <w:pPr>
        <w:rPr>
          <w:sz w:val="24"/>
          <w:lang w:val="en-GB"/>
        </w:rPr>
      </w:pPr>
    </w:p>
    <w:p w14:paraId="2585A720" w14:textId="77777777" w:rsidR="000F156B" w:rsidRPr="00F039C6" w:rsidRDefault="000F156B" w:rsidP="00874F4C">
      <w:pPr>
        <w:ind w:left="454" w:hanging="454"/>
        <w:rPr>
          <w:sz w:val="24"/>
          <w:lang w:val="en-GB"/>
        </w:rPr>
      </w:pPr>
      <w:proofErr w:type="spellStart"/>
      <w:r w:rsidRPr="00F039C6">
        <w:rPr>
          <w:sz w:val="24"/>
          <w:lang w:val="en-GB"/>
        </w:rPr>
        <w:t>Toor</w:t>
      </w:r>
      <w:proofErr w:type="spellEnd"/>
      <w:r w:rsidRPr="00F039C6">
        <w:rPr>
          <w:sz w:val="24"/>
          <w:lang w:val="en-GB"/>
        </w:rPr>
        <w:t xml:space="preserve">, S.U.R. and </w:t>
      </w:r>
      <w:proofErr w:type="spellStart"/>
      <w:r w:rsidRPr="00F039C6">
        <w:rPr>
          <w:sz w:val="24"/>
          <w:lang w:val="en-GB"/>
        </w:rPr>
        <w:t>Ogunlana</w:t>
      </w:r>
      <w:proofErr w:type="spellEnd"/>
      <w:r w:rsidRPr="00F039C6">
        <w:rPr>
          <w:sz w:val="24"/>
          <w:lang w:val="en-GB"/>
        </w:rPr>
        <w:t xml:space="preserve">, S.O. (2010). “Beyond the ‘iron triangle’: stakeholder perception of key performance indicators (KPIs) for large-scale public sector development projects.” </w:t>
      </w:r>
      <w:r w:rsidRPr="00F039C6">
        <w:rPr>
          <w:i/>
          <w:sz w:val="24"/>
          <w:lang w:val="en-GB"/>
        </w:rPr>
        <w:t>International Journal of Project Management</w:t>
      </w:r>
      <w:r w:rsidRPr="00F039C6">
        <w:rPr>
          <w:sz w:val="24"/>
          <w:lang w:val="en-GB"/>
        </w:rPr>
        <w:t>, 28(3), 228-236.</w:t>
      </w:r>
    </w:p>
    <w:p w14:paraId="13693365" w14:textId="77777777" w:rsidR="000D6E1C" w:rsidRDefault="000D6E1C" w:rsidP="00874F4C">
      <w:pPr>
        <w:ind w:left="284" w:hanging="284"/>
        <w:rPr>
          <w:sz w:val="24"/>
          <w:lang w:val="en-GB"/>
        </w:rPr>
      </w:pPr>
    </w:p>
    <w:p w14:paraId="45E56915" w14:textId="77777777" w:rsidR="00453805" w:rsidRDefault="00453805" w:rsidP="00874F4C">
      <w:pPr>
        <w:ind w:left="284" w:hanging="284"/>
        <w:rPr>
          <w:sz w:val="24"/>
          <w:lang w:val="en-GB"/>
        </w:rPr>
      </w:pPr>
      <w:r>
        <w:rPr>
          <w:sz w:val="24"/>
          <w:lang w:val="en-GB"/>
        </w:rPr>
        <w:t xml:space="preserve">Trumbull, N. (2009). “Fostering Public-Private Partnerships in the transition economies: </w:t>
      </w:r>
      <w:proofErr w:type="spellStart"/>
      <w:r>
        <w:rPr>
          <w:sz w:val="24"/>
          <w:lang w:val="en-GB"/>
        </w:rPr>
        <w:t>Helcom</w:t>
      </w:r>
      <w:proofErr w:type="spellEnd"/>
      <w:r>
        <w:rPr>
          <w:sz w:val="24"/>
          <w:lang w:val="en-GB"/>
        </w:rPr>
        <w:t xml:space="preserve"> as a system of implementation review.” </w:t>
      </w:r>
      <w:r w:rsidRPr="00453805">
        <w:rPr>
          <w:i/>
          <w:sz w:val="24"/>
          <w:lang w:val="en-GB"/>
        </w:rPr>
        <w:t>Environment and Planning C: Government and Policy</w:t>
      </w:r>
      <w:r>
        <w:rPr>
          <w:sz w:val="24"/>
          <w:lang w:val="en-GB"/>
        </w:rPr>
        <w:t>, 27(5), 858-875.</w:t>
      </w:r>
    </w:p>
    <w:p w14:paraId="0CFD17BC" w14:textId="77777777" w:rsidR="00453805" w:rsidRDefault="00453805" w:rsidP="00874F4C">
      <w:pPr>
        <w:ind w:left="284" w:hanging="284"/>
        <w:rPr>
          <w:sz w:val="24"/>
          <w:lang w:val="en-GB"/>
        </w:rPr>
      </w:pPr>
    </w:p>
    <w:p w14:paraId="64843740" w14:textId="77777777" w:rsidR="00210111" w:rsidRDefault="00210111" w:rsidP="00874F4C">
      <w:pPr>
        <w:ind w:left="284" w:hanging="284"/>
        <w:rPr>
          <w:iCs/>
          <w:sz w:val="24"/>
        </w:rPr>
      </w:pPr>
      <w:r w:rsidRPr="00210111">
        <w:rPr>
          <w:sz w:val="24"/>
          <w:lang w:val="en-GB"/>
        </w:rPr>
        <w:t xml:space="preserve">Van den </w:t>
      </w:r>
      <w:proofErr w:type="spellStart"/>
      <w:r w:rsidRPr="00210111">
        <w:rPr>
          <w:sz w:val="24"/>
          <w:lang w:val="en-GB"/>
        </w:rPr>
        <w:t>Hurk</w:t>
      </w:r>
      <w:proofErr w:type="spellEnd"/>
      <w:r w:rsidRPr="00210111">
        <w:rPr>
          <w:sz w:val="24"/>
          <w:lang w:val="en-GB"/>
        </w:rPr>
        <w:t xml:space="preserve">, M. (2015). “Bundling the procurement of sports in infrastructure projects: How neither public nor private actors really benefit.” </w:t>
      </w:r>
      <w:r w:rsidRPr="00210111">
        <w:rPr>
          <w:i/>
          <w:sz w:val="24"/>
          <w:lang w:val="en-GB"/>
        </w:rPr>
        <w:t>Environment and Planning C: Government and Policy</w:t>
      </w:r>
      <w:r w:rsidRPr="00210111">
        <w:rPr>
          <w:sz w:val="24"/>
          <w:lang w:val="en-GB"/>
        </w:rPr>
        <w:t xml:space="preserve">, </w:t>
      </w:r>
      <w:r w:rsidRPr="00210111">
        <w:rPr>
          <w:iCs/>
          <w:sz w:val="24"/>
        </w:rPr>
        <w:t>0263774X15614672.</w:t>
      </w:r>
    </w:p>
    <w:p w14:paraId="5010A293" w14:textId="77777777" w:rsidR="00E568B6" w:rsidRPr="00210111" w:rsidRDefault="00E568B6" w:rsidP="00874F4C">
      <w:pPr>
        <w:ind w:left="284" w:hanging="284"/>
        <w:rPr>
          <w:sz w:val="24"/>
          <w:lang w:val="en-GB"/>
        </w:rPr>
      </w:pPr>
    </w:p>
    <w:p w14:paraId="59D76F79" w14:textId="596E613F" w:rsidR="00210111" w:rsidRPr="00210111" w:rsidRDefault="00210111" w:rsidP="00874F4C">
      <w:pPr>
        <w:ind w:left="284" w:hanging="284"/>
        <w:rPr>
          <w:sz w:val="24"/>
          <w:lang w:val="en-GB"/>
        </w:rPr>
      </w:pPr>
      <w:r w:rsidRPr="00210111">
        <w:rPr>
          <w:rFonts w:hint="eastAsia"/>
          <w:sz w:val="24"/>
          <w:lang w:val="en-GB"/>
        </w:rPr>
        <w:t xml:space="preserve">Wang, S.Q., </w:t>
      </w:r>
      <w:proofErr w:type="spellStart"/>
      <w:r w:rsidRPr="00210111">
        <w:rPr>
          <w:rFonts w:hint="eastAsia"/>
          <w:sz w:val="24"/>
          <w:lang w:val="en-GB"/>
        </w:rPr>
        <w:t>Tiong</w:t>
      </w:r>
      <w:proofErr w:type="spellEnd"/>
      <w:r w:rsidRPr="00210111">
        <w:rPr>
          <w:rFonts w:hint="eastAsia"/>
          <w:sz w:val="24"/>
          <w:lang w:val="en-GB"/>
        </w:rPr>
        <w:t>, R.L.K., Ting, S.K. and Ashley, D. (</w:t>
      </w:r>
      <w:r w:rsidR="00D147D5">
        <w:rPr>
          <w:rFonts w:hint="eastAsia"/>
          <w:sz w:val="24"/>
          <w:lang w:val="en-GB"/>
        </w:rPr>
        <w:t>2000</w:t>
      </w:r>
      <w:r w:rsidRPr="00210111">
        <w:rPr>
          <w:rFonts w:hint="eastAsia"/>
          <w:sz w:val="24"/>
          <w:lang w:val="en-GB"/>
        </w:rPr>
        <w:t xml:space="preserve">). </w:t>
      </w:r>
      <w:r w:rsidRPr="00210111">
        <w:rPr>
          <w:sz w:val="24"/>
          <w:lang w:val="en-GB"/>
        </w:rPr>
        <w:t>“</w:t>
      </w:r>
      <w:r w:rsidRPr="00210111">
        <w:rPr>
          <w:rFonts w:hint="eastAsia"/>
          <w:sz w:val="24"/>
          <w:lang w:val="en-GB"/>
        </w:rPr>
        <w:t>Evaluation and management of foreign exchange and revenue risks in China</w:t>
      </w:r>
      <w:r w:rsidRPr="00210111">
        <w:rPr>
          <w:sz w:val="24"/>
          <w:lang w:val="en-GB"/>
        </w:rPr>
        <w:t>’</w:t>
      </w:r>
      <w:r w:rsidRPr="00210111">
        <w:rPr>
          <w:rFonts w:hint="eastAsia"/>
          <w:sz w:val="24"/>
          <w:lang w:val="en-GB"/>
        </w:rPr>
        <w:t>s BOT projects.</w:t>
      </w:r>
      <w:r w:rsidRPr="00210111">
        <w:rPr>
          <w:sz w:val="24"/>
          <w:lang w:val="en-GB"/>
        </w:rPr>
        <w:t>”</w:t>
      </w:r>
      <w:r w:rsidRPr="00210111">
        <w:rPr>
          <w:rFonts w:hint="eastAsia"/>
          <w:sz w:val="24"/>
          <w:lang w:val="en-GB"/>
        </w:rPr>
        <w:t xml:space="preserve"> </w:t>
      </w:r>
      <w:r w:rsidRPr="00210111">
        <w:rPr>
          <w:i/>
          <w:sz w:val="24"/>
          <w:lang w:val="en-GB"/>
        </w:rPr>
        <w:t>Construction Management and Economics</w:t>
      </w:r>
      <w:r w:rsidRPr="00210111">
        <w:rPr>
          <w:rFonts w:hint="eastAsia"/>
          <w:sz w:val="24"/>
          <w:lang w:val="en-GB"/>
        </w:rPr>
        <w:t>, 18(2), 197-207.</w:t>
      </w:r>
    </w:p>
    <w:p w14:paraId="38DC57F0" w14:textId="77777777" w:rsidR="00210111" w:rsidRDefault="00210111" w:rsidP="00874F4C">
      <w:pPr>
        <w:ind w:left="284" w:hanging="284"/>
        <w:rPr>
          <w:sz w:val="24"/>
          <w:lang w:val="en-GB"/>
        </w:rPr>
      </w:pPr>
    </w:p>
    <w:p w14:paraId="78266A00" w14:textId="77777777" w:rsidR="00D45D2D" w:rsidRDefault="00D45D2D" w:rsidP="00874F4C">
      <w:pPr>
        <w:ind w:left="284" w:hanging="284"/>
        <w:rPr>
          <w:sz w:val="24"/>
          <w:lang w:val="en-GB"/>
        </w:rPr>
      </w:pPr>
      <w:r>
        <w:rPr>
          <w:sz w:val="24"/>
          <w:lang w:val="en-GB"/>
        </w:rPr>
        <w:t xml:space="preserve">Wu, J., Liu, J., </w:t>
      </w:r>
      <w:proofErr w:type="spellStart"/>
      <w:r>
        <w:rPr>
          <w:sz w:val="24"/>
          <w:lang w:val="en-GB"/>
        </w:rPr>
        <w:t>Jin</w:t>
      </w:r>
      <w:proofErr w:type="spellEnd"/>
      <w:r>
        <w:rPr>
          <w:sz w:val="24"/>
          <w:lang w:val="en-GB"/>
        </w:rPr>
        <w:t xml:space="preserve">, X. and Sing, M.C.P. (2016). “Government accountability within infrastructure Public-Private Partnerships.” </w:t>
      </w:r>
      <w:r w:rsidRPr="00D45D2D">
        <w:rPr>
          <w:i/>
          <w:sz w:val="24"/>
          <w:lang w:val="en-GB"/>
        </w:rPr>
        <w:t>International Journal of Project Management</w:t>
      </w:r>
      <w:r>
        <w:rPr>
          <w:sz w:val="24"/>
          <w:lang w:val="en-GB"/>
        </w:rPr>
        <w:t>, 34(8), 1471-1478.</w:t>
      </w:r>
    </w:p>
    <w:p w14:paraId="74BD7DB4" w14:textId="77777777" w:rsidR="00D45D2D" w:rsidRDefault="00D45D2D" w:rsidP="00874F4C">
      <w:pPr>
        <w:ind w:left="284" w:hanging="284"/>
        <w:rPr>
          <w:sz w:val="24"/>
          <w:lang w:val="en-GB"/>
        </w:rPr>
      </w:pPr>
    </w:p>
    <w:p w14:paraId="248C5E66" w14:textId="77777777" w:rsidR="00210111" w:rsidRPr="00210111" w:rsidRDefault="00210111" w:rsidP="00874F4C">
      <w:pPr>
        <w:ind w:left="284" w:hanging="284"/>
        <w:rPr>
          <w:sz w:val="24"/>
          <w:lang w:val="en-GB"/>
        </w:rPr>
      </w:pPr>
      <w:r w:rsidRPr="00210111">
        <w:rPr>
          <w:rFonts w:hint="eastAsia"/>
          <w:sz w:val="24"/>
          <w:lang w:val="en-GB"/>
        </w:rPr>
        <w:t xml:space="preserve">Ye, S. and </w:t>
      </w:r>
      <w:proofErr w:type="spellStart"/>
      <w:r w:rsidRPr="00210111">
        <w:rPr>
          <w:rFonts w:hint="eastAsia"/>
          <w:sz w:val="24"/>
          <w:lang w:val="en-GB"/>
        </w:rPr>
        <w:t>Tiong</w:t>
      </w:r>
      <w:proofErr w:type="spellEnd"/>
      <w:r w:rsidRPr="00210111">
        <w:rPr>
          <w:rFonts w:hint="eastAsia"/>
          <w:sz w:val="24"/>
          <w:lang w:val="en-GB"/>
        </w:rPr>
        <w:t xml:space="preserve">, R.K.L. (2000). </w:t>
      </w:r>
      <w:r w:rsidRPr="00210111">
        <w:rPr>
          <w:sz w:val="24"/>
          <w:lang w:val="en-GB"/>
        </w:rPr>
        <w:t>“</w:t>
      </w:r>
      <w:r w:rsidRPr="00210111">
        <w:rPr>
          <w:rFonts w:hint="eastAsia"/>
          <w:sz w:val="24"/>
          <w:lang w:val="en-GB"/>
        </w:rPr>
        <w:t>Government support and risk-return trade-off in China</w:t>
      </w:r>
      <w:r w:rsidRPr="00210111">
        <w:rPr>
          <w:sz w:val="24"/>
          <w:lang w:val="en-GB"/>
        </w:rPr>
        <w:t>’</w:t>
      </w:r>
      <w:r w:rsidRPr="00210111">
        <w:rPr>
          <w:rFonts w:hint="eastAsia"/>
          <w:sz w:val="24"/>
          <w:lang w:val="en-GB"/>
        </w:rPr>
        <w:t>s BOT power projects</w:t>
      </w:r>
      <w:r w:rsidRPr="00210111">
        <w:rPr>
          <w:sz w:val="24"/>
          <w:lang w:val="en-GB"/>
        </w:rPr>
        <w:t>.”</w:t>
      </w:r>
      <w:r w:rsidRPr="00210111">
        <w:rPr>
          <w:rFonts w:hint="eastAsia"/>
          <w:sz w:val="24"/>
          <w:lang w:val="en-GB"/>
        </w:rPr>
        <w:t xml:space="preserve"> </w:t>
      </w:r>
      <w:r w:rsidRPr="00210111">
        <w:rPr>
          <w:i/>
          <w:sz w:val="24"/>
          <w:lang w:val="en-GB"/>
        </w:rPr>
        <w:t>Engineering, Construction and Architectural Management</w:t>
      </w:r>
      <w:r w:rsidRPr="00210111">
        <w:rPr>
          <w:rFonts w:hint="eastAsia"/>
          <w:sz w:val="24"/>
          <w:lang w:val="en-GB"/>
        </w:rPr>
        <w:t xml:space="preserve">, 7(4), </w:t>
      </w:r>
      <w:r w:rsidRPr="00210111">
        <w:rPr>
          <w:rFonts w:hint="eastAsia"/>
          <w:sz w:val="24"/>
          <w:lang w:val="en-GB"/>
        </w:rPr>
        <w:lastRenderedPageBreak/>
        <w:t>412-422.</w:t>
      </w:r>
    </w:p>
    <w:p w14:paraId="380E3A35" w14:textId="77777777" w:rsidR="00453805" w:rsidRPr="00F039C6" w:rsidRDefault="00453805" w:rsidP="00874F4C">
      <w:pPr>
        <w:ind w:left="284" w:hanging="284"/>
        <w:rPr>
          <w:sz w:val="24"/>
          <w:lang w:val="en-GB"/>
        </w:rPr>
      </w:pPr>
    </w:p>
    <w:p w14:paraId="14DBE437" w14:textId="77777777" w:rsidR="00684BD7" w:rsidRPr="00F039C6" w:rsidRDefault="00684BD7" w:rsidP="00874F4C">
      <w:pPr>
        <w:ind w:left="454" w:hanging="454"/>
        <w:rPr>
          <w:sz w:val="24"/>
        </w:rPr>
      </w:pPr>
      <w:bookmarkStart w:id="1" w:name="yin84"/>
      <w:r w:rsidRPr="00F039C6">
        <w:rPr>
          <w:sz w:val="24"/>
        </w:rPr>
        <w:t xml:space="preserve">Yin, R. (1984). </w:t>
      </w:r>
      <w:r w:rsidRPr="00F039C6">
        <w:rPr>
          <w:i/>
          <w:iCs/>
          <w:sz w:val="24"/>
        </w:rPr>
        <w:t xml:space="preserve">Case study research: Design </w:t>
      </w:r>
      <w:r w:rsidR="00EA3537" w:rsidRPr="00F039C6">
        <w:rPr>
          <w:i/>
          <w:iCs/>
          <w:sz w:val="24"/>
        </w:rPr>
        <w:t>&amp;</w:t>
      </w:r>
      <w:r w:rsidRPr="00F039C6">
        <w:rPr>
          <w:i/>
          <w:iCs/>
          <w:sz w:val="24"/>
        </w:rPr>
        <w:t xml:space="preserve"> methods</w:t>
      </w:r>
      <w:r w:rsidRPr="00F039C6">
        <w:rPr>
          <w:sz w:val="24"/>
        </w:rPr>
        <w:t xml:space="preserve">, 1st ed., </w:t>
      </w:r>
      <w:r w:rsidR="00E87409">
        <w:rPr>
          <w:sz w:val="24"/>
        </w:rPr>
        <w:t xml:space="preserve">Sage Publishing, </w:t>
      </w:r>
      <w:r w:rsidRPr="00F039C6">
        <w:rPr>
          <w:sz w:val="24"/>
        </w:rPr>
        <w:t>Beverly Hills, CA</w:t>
      </w:r>
      <w:bookmarkEnd w:id="1"/>
      <w:r w:rsidR="00E87409">
        <w:rPr>
          <w:sz w:val="24"/>
        </w:rPr>
        <w:t>, USA.</w:t>
      </w:r>
    </w:p>
    <w:p w14:paraId="52CEC71B" w14:textId="77777777" w:rsidR="000D6E1C" w:rsidRDefault="000D6E1C" w:rsidP="00874F4C">
      <w:pPr>
        <w:ind w:left="454" w:hanging="454"/>
        <w:rPr>
          <w:sz w:val="24"/>
        </w:rPr>
      </w:pPr>
    </w:p>
    <w:p w14:paraId="61B92854" w14:textId="77777777" w:rsidR="00874F4C" w:rsidRPr="00874F4C" w:rsidRDefault="00874F4C" w:rsidP="00874F4C">
      <w:pPr>
        <w:ind w:left="454" w:hanging="454"/>
        <w:rPr>
          <w:sz w:val="24"/>
          <w:lang w:val="en-GB"/>
        </w:rPr>
      </w:pPr>
      <w:r w:rsidRPr="00874F4C">
        <w:rPr>
          <w:rFonts w:hint="eastAsia"/>
          <w:sz w:val="24"/>
          <w:lang w:val="en-GB"/>
        </w:rPr>
        <w:t xml:space="preserve">Yong, H.K. (2010). </w:t>
      </w:r>
      <w:r w:rsidRPr="00874F4C">
        <w:rPr>
          <w:sz w:val="24"/>
          <w:lang w:val="en-GB"/>
        </w:rPr>
        <w:t>“</w:t>
      </w:r>
      <w:r w:rsidRPr="00874F4C">
        <w:rPr>
          <w:rFonts w:hint="eastAsia"/>
          <w:sz w:val="24"/>
          <w:lang w:val="en-GB"/>
        </w:rPr>
        <w:t>Public-private partnerships policy and practice.</w:t>
      </w:r>
      <w:r w:rsidRPr="00874F4C">
        <w:rPr>
          <w:sz w:val="24"/>
          <w:lang w:val="en-GB"/>
        </w:rPr>
        <w:t>”</w:t>
      </w:r>
      <w:r w:rsidRPr="00874F4C">
        <w:rPr>
          <w:rFonts w:hint="eastAsia"/>
          <w:sz w:val="24"/>
          <w:lang w:val="en-GB"/>
        </w:rPr>
        <w:t xml:space="preserve"> Commonwealth Secretariat, London, UK.</w:t>
      </w:r>
    </w:p>
    <w:p w14:paraId="174D1056" w14:textId="77777777" w:rsidR="00874F4C" w:rsidRPr="00F039C6" w:rsidRDefault="00874F4C" w:rsidP="00874F4C">
      <w:pPr>
        <w:ind w:left="454" w:hanging="454"/>
        <w:rPr>
          <w:sz w:val="24"/>
        </w:rPr>
      </w:pPr>
    </w:p>
    <w:p w14:paraId="0278635A" w14:textId="77777777" w:rsidR="00D80E4A" w:rsidRDefault="00D80E4A" w:rsidP="00874F4C">
      <w:pPr>
        <w:ind w:left="454" w:hanging="454"/>
        <w:rPr>
          <w:sz w:val="24"/>
          <w:lang w:val="en-AU"/>
        </w:rPr>
      </w:pPr>
      <w:r w:rsidRPr="00F039C6">
        <w:rPr>
          <w:sz w:val="24"/>
          <w:lang w:val="en-AU"/>
        </w:rPr>
        <w:t xml:space="preserve">Yuan, J., Wang, C., </w:t>
      </w:r>
      <w:proofErr w:type="spellStart"/>
      <w:r w:rsidRPr="00F039C6">
        <w:rPr>
          <w:sz w:val="24"/>
          <w:lang w:val="en-AU"/>
        </w:rPr>
        <w:t>Skibniewski</w:t>
      </w:r>
      <w:proofErr w:type="spellEnd"/>
      <w:r w:rsidRPr="00F039C6">
        <w:rPr>
          <w:sz w:val="24"/>
          <w:lang w:val="en-AU"/>
        </w:rPr>
        <w:t xml:space="preserve">, M.J. and Li, Q. (2012). “Developing key performance indicators for Public-Private Partnership projects: Questionnaire survey and analysis.” </w:t>
      </w:r>
      <w:r w:rsidRPr="00F039C6">
        <w:rPr>
          <w:i/>
          <w:sz w:val="24"/>
          <w:lang w:val="en-AU"/>
        </w:rPr>
        <w:t>Journal of Management in Engineering</w:t>
      </w:r>
      <w:r w:rsidRPr="00F039C6">
        <w:rPr>
          <w:sz w:val="24"/>
          <w:lang w:val="en-AU"/>
        </w:rPr>
        <w:t>, 28(3), 252-264.</w:t>
      </w:r>
    </w:p>
    <w:p w14:paraId="5F881855" w14:textId="77777777" w:rsidR="00D26569" w:rsidRDefault="00D26569" w:rsidP="00874F4C">
      <w:pPr>
        <w:ind w:left="454" w:hanging="454"/>
        <w:rPr>
          <w:sz w:val="24"/>
          <w:lang w:val="en-AU"/>
        </w:rPr>
      </w:pPr>
    </w:p>
    <w:p w14:paraId="031A6E45" w14:textId="77777777" w:rsidR="00D26569" w:rsidRDefault="00D26569" w:rsidP="00874F4C">
      <w:pPr>
        <w:ind w:left="454" w:hanging="454"/>
        <w:rPr>
          <w:sz w:val="24"/>
          <w:lang w:val="en-GB"/>
        </w:rPr>
      </w:pPr>
      <w:r w:rsidRPr="00D26569">
        <w:rPr>
          <w:rFonts w:hint="eastAsia"/>
          <w:sz w:val="24"/>
          <w:lang w:val="en-GB"/>
        </w:rPr>
        <w:t xml:space="preserve">Yuan, J., Zeng, A. Y., </w:t>
      </w:r>
      <w:proofErr w:type="spellStart"/>
      <w:r w:rsidRPr="00D26569">
        <w:rPr>
          <w:rFonts w:hint="eastAsia"/>
          <w:sz w:val="24"/>
          <w:lang w:val="en-GB"/>
        </w:rPr>
        <w:t>Skibniewski</w:t>
      </w:r>
      <w:proofErr w:type="spellEnd"/>
      <w:r w:rsidRPr="00D26569">
        <w:rPr>
          <w:rFonts w:hint="eastAsia"/>
          <w:sz w:val="24"/>
          <w:lang w:val="en-GB"/>
        </w:rPr>
        <w:t xml:space="preserve">, M. J. and Li, Q. (2009). </w:t>
      </w:r>
      <w:r w:rsidRPr="00D26569">
        <w:rPr>
          <w:sz w:val="24"/>
          <w:lang w:val="en-GB"/>
        </w:rPr>
        <w:t>“</w:t>
      </w:r>
      <w:r w:rsidRPr="00D26569">
        <w:rPr>
          <w:rFonts w:hint="eastAsia"/>
          <w:sz w:val="24"/>
          <w:lang w:val="en-GB"/>
        </w:rPr>
        <w:t>Selection of performance objectives and key performance indicators in public-private partnership projects to achieve value for money.</w:t>
      </w:r>
      <w:r w:rsidRPr="00D26569">
        <w:rPr>
          <w:sz w:val="24"/>
          <w:lang w:val="en-GB"/>
        </w:rPr>
        <w:t>”</w:t>
      </w:r>
      <w:r w:rsidRPr="00D26569">
        <w:rPr>
          <w:rFonts w:hint="eastAsia"/>
          <w:sz w:val="24"/>
          <w:lang w:val="en-GB"/>
        </w:rPr>
        <w:t xml:space="preserve"> </w:t>
      </w:r>
      <w:r w:rsidRPr="00D26569">
        <w:rPr>
          <w:i/>
          <w:sz w:val="24"/>
          <w:lang w:val="en-GB"/>
        </w:rPr>
        <w:t>Construction Management and Economics</w:t>
      </w:r>
      <w:r w:rsidRPr="00D26569">
        <w:rPr>
          <w:rFonts w:hint="eastAsia"/>
          <w:sz w:val="24"/>
          <w:lang w:val="en-GB"/>
        </w:rPr>
        <w:t>, 27(3), 253-270.</w:t>
      </w:r>
    </w:p>
    <w:p w14:paraId="2804FB13" w14:textId="77777777" w:rsidR="00210111" w:rsidRDefault="00210111" w:rsidP="00874F4C">
      <w:pPr>
        <w:ind w:left="454" w:hanging="454"/>
        <w:rPr>
          <w:sz w:val="24"/>
          <w:lang w:val="en-GB"/>
        </w:rPr>
      </w:pPr>
      <w:bookmarkStart w:id="2" w:name="_GoBack"/>
      <w:bookmarkEnd w:id="2"/>
    </w:p>
    <w:p w14:paraId="6220CF9C" w14:textId="77777777" w:rsidR="00210111" w:rsidRPr="00210111" w:rsidRDefault="00210111" w:rsidP="00874F4C">
      <w:pPr>
        <w:ind w:left="454" w:hanging="454"/>
        <w:rPr>
          <w:sz w:val="24"/>
          <w:lang w:val="en-GB"/>
        </w:rPr>
      </w:pPr>
      <w:r w:rsidRPr="00210111">
        <w:rPr>
          <w:rFonts w:hint="eastAsia"/>
          <w:sz w:val="24"/>
          <w:lang w:val="en-GB"/>
        </w:rPr>
        <w:t xml:space="preserve">Zhang, X.Q. (2004). </w:t>
      </w:r>
      <w:r w:rsidRPr="00210111">
        <w:rPr>
          <w:sz w:val="24"/>
          <w:lang w:val="en-GB"/>
        </w:rPr>
        <w:t>“</w:t>
      </w:r>
      <w:r w:rsidRPr="00210111">
        <w:rPr>
          <w:rFonts w:hint="eastAsia"/>
          <w:sz w:val="24"/>
          <w:lang w:val="en-GB"/>
        </w:rPr>
        <w:t>Improving concessionaire selection protocols in public/private partnered infrastructure projects.</w:t>
      </w:r>
      <w:r w:rsidRPr="00210111">
        <w:rPr>
          <w:sz w:val="24"/>
          <w:lang w:val="en-GB"/>
        </w:rPr>
        <w:t>”</w:t>
      </w:r>
      <w:r w:rsidRPr="00210111">
        <w:rPr>
          <w:rFonts w:hint="eastAsia"/>
          <w:sz w:val="24"/>
          <w:lang w:val="en-GB"/>
        </w:rPr>
        <w:t xml:space="preserve"> </w:t>
      </w:r>
      <w:r w:rsidRPr="00210111">
        <w:rPr>
          <w:rFonts w:hint="eastAsia"/>
          <w:i/>
          <w:sz w:val="24"/>
          <w:lang w:val="en-GB"/>
        </w:rPr>
        <w:t>J</w:t>
      </w:r>
      <w:r w:rsidRPr="00210111">
        <w:rPr>
          <w:i/>
          <w:sz w:val="24"/>
          <w:lang w:val="en-GB"/>
        </w:rPr>
        <w:t>ournal of Construction Engineering and Management</w:t>
      </w:r>
      <w:r w:rsidRPr="00210111">
        <w:rPr>
          <w:rFonts w:hint="eastAsia"/>
          <w:sz w:val="24"/>
          <w:lang w:val="en-GB"/>
        </w:rPr>
        <w:t>, 130(5), 670-679.</w:t>
      </w:r>
    </w:p>
    <w:p w14:paraId="1FC97DFF" w14:textId="77777777" w:rsidR="00210111" w:rsidRPr="00210111" w:rsidRDefault="00210111" w:rsidP="00874F4C">
      <w:pPr>
        <w:ind w:left="454" w:hanging="454"/>
        <w:rPr>
          <w:sz w:val="24"/>
          <w:lang w:val="en-GB"/>
        </w:rPr>
      </w:pPr>
    </w:p>
    <w:p w14:paraId="0FF36FD0" w14:textId="77777777" w:rsidR="00210111" w:rsidRPr="00210111" w:rsidRDefault="00210111" w:rsidP="00874F4C">
      <w:pPr>
        <w:ind w:left="454" w:hanging="454"/>
        <w:rPr>
          <w:sz w:val="24"/>
          <w:lang w:val="en-GB"/>
        </w:rPr>
      </w:pPr>
      <w:r w:rsidRPr="00210111">
        <w:rPr>
          <w:rFonts w:hint="eastAsia"/>
          <w:sz w:val="24"/>
          <w:lang w:val="en-GB"/>
        </w:rPr>
        <w:t xml:space="preserve">Zhang, X.Q. (2005a). </w:t>
      </w:r>
      <w:r w:rsidRPr="00210111">
        <w:rPr>
          <w:sz w:val="24"/>
          <w:lang w:val="en-GB"/>
        </w:rPr>
        <w:t>“</w:t>
      </w:r>
      <w:r w:rsidRPr="00210111">
        <w:rPr>
          <w:rFonts w:hint="eastAsia"/>
          <w:sz w:val="24"/>
          <w:lang w:val="en-GB"/>
        </w:rPr>
        <w:t>Criteria for selecting the private-sector partner in public-private partnerships.</w:t>
      </w:r>
      <w:r w:rsidRPr="00210111">
        <w:rPr>
          <w:sz w:val="24"/>
          <w:lang w:val="en-GB"/>
        </w:rPr>
        <w:t>”</w:t>
      </w:r>
      <w:r w:rsidRPr="00210111">
        <w:rPr>
          <w:rFonts w:hint="eastAsia"/>
          <w:sz w:val="24"/>
          <w:lang w:val="en-GB"/>
        </w:rPr>
        <w:t xml:space="preserve"> </w:t>
      </w:r>
      <w:r w:rsidRPr="00210111">
        <w:rPr>
          <w:rFonts w:hint="eastAsia"/>
          <w:i/>
          <w:sz w:val="24"/>
          <w:lang w:val="en-GB"/>
        </w:rPr>
        <w:t>J</w:t>
      </w:r>
      <w:r w:rsidRPr="00210111">
        <w:rPr>
          <w:i/>
          <w:sz w:val="24"/>
          <w:lang w:val="en-GB"/>
        </w:rPr>
        <w:t>ournal of Construction Engineering and Management</w:t>
      </w:r>
      <w:r w:rsidRPr="00210111">
        <w:rPr>
          <w:rFonts w:hint="eastAsia"/>
          <w:sz w:val="24"/>
          <w:lang w:val="en-GB"/>
        </w:rPr>
        <w:t>, 131(6), 631-644.</w:t>
      </w:r>
    </w:p>
    <w:p w14:paraId="09153FAE" w14:textId="77777777" w:rsidR="00210111" w:rsidRDefault="00210111" w:rsidP="00874F4C">
      <w:pPr>
        <w:ind w:left="454" w:hanging="454"/>
        <w:rPr>
          <w:sz w:val="24"/>
          <w:lang w:val="en-GB"/>
        </w:rPr>
      </w:pPr>
    </w:p>
    <w:p w14:paraId="0F38A3C5" w14:textId="77777777" w:rsidR="00210111" w:rsidRPr="00210111" w:rsidRDefault="00210111" w:rsidP="00874F4C">
      <w:pPr>
        <w:ind w:left="454" w:hanging="454"/>
        <w:rPr>
          <w:sz w:val="24"/>
          <w:lang w:val="en-GB"/>
        </w:rPr>
      </w:pPr>
      <w:r w:rsidRPr="00210111">
        <w:rPr>
          <w:rFonts w:hint="eastAsia"/>
          <w:sz w:val="24"/>
          <w:lang w:val="en-GB"/>
        </w:rPr>
        <w:t>Zhang, X.</w:t>
      </w:r>
      <w:r>
        <w:rPr>
          <w:rFonts w:hint="eastAsia"/>
          <w:sz w:val="24"/>
          <w:lang w:val="en-GB"/>
        </w:rPr>
        <w:t>Q. (2005</w:t>
      </w:r>
      <w:r>
        <w:rPr>
          <w:sz w:val="24"/>
          <w:lang w:val="en-GB"/>
        </w:rPr>
        <w:t>b</w:t>
      </w:r>
      <w:r w:rsidRPr="00210111">
        <w:rPr>
          <w:rFonts w:hint="eastAsia"/>
          <w:sz w:val="24"/>
          <w:lang w:val="en-GB"/>
        </w:rPr>
        <w:t xml:space="preserve">). </w:t>
      </w:r>
      <w:r w:rsidRPr="00210111">
        <w:rPr>
          <w:sz w:val="24"/>
          <w:lang w:val="en-GB"/>
        </w:rPr>
        <w:t>“</w:t>
      </w:r>
      <w:r w:rsidRPr="00210111">
        <w:rPr>
          <w:rFonts w:hint="eastAsia"/>
          <w:sz w:val="24"/>
          <w:lang w:val="en-GB"/>
        </w:rPr>
        <w:t>Financial viability analysis and capital structure optimization in privatized public infrastructure projects.</w:t>
      </w:r>
      <w:r w:rsidRPr="00210111">
        <w:rPr>
          <w:sz w:val="24"/>
          <w:lang w:val="en-GB"/>
        </w:rPr>
        <w:t>”</w:t>
      </w:r>
      <w:r w:rsidRPr="00210111">
        <w:rPr>
          <w:rFonts w:hint="eastAsia"/>
          <w:sz w:val="24"/>
          <w:lang w:val="en-GB"/>
        </w:rPr>
        <w:t xml:space="preserve"> </w:t>
      </w:r>
      <w:r w:rsidRPr="00210111">
        <w:rPr>
          <w:rFonts w:hint="eastAsia"/>
          <w:i/>
          <w:sz w:val="24"/>
          <w:lang w:val="en-GB"/>
        </w:rPr>
        <w:t>J</w:t>
      </w:r>
      <w:r w:rsidRPr="00210111">
        <w:rPr>
          <w:i/>
          <w:sz w:val="24"/>
          <w:lang w:val="en-GB"/>
        </w:rPr>
        <w:t>ournal of Construction Engineering and Management</w:t>
      </w:r>
      <w:r w:rsidRPr="00210111">
        <w:rPr>
          <w:rFonts w:hint="eastAsia"/>
          <w:sz w:val="24"/>
          <w:lang w:val="en-GB"/>
        </w:rPr>
        <w:t>, 131(6), 656-668.</w:t>
      </w:r>
    </w:p>
    <w:p w14:paraId="0AEF80D4" w14:textId="77777777" w:rsidR="00210111" w:rsidRDefault="00210111" w:rsidP="00874F4C">
      <w:pPr>
        <w:ind w:left="454" w:hanging="454"/>
        <w:rPr>
          <w:sz w:val="24"/>
          <w:lang w:val="en-GB"/>
        </w:rPr>
      </w:pPr>
    </w:p>
    <w:p w14:paraId="212E0AB3" w14:textId="77777777" w:rsidR="00210111" w:rsidRPr="00210111" w:rsidRDefault="00210111" w:rsidP="00874F4C">
      <w:pPr>
        <w:ind w:left="454" w:hanging="454"/>
        <w:rPr>
          <w:sz w:val="24"/>
          <w:lang w:val="en-GB"/>
        </w:rPr>
      </w:pPr>
      <w:r w:rsidRPr="00210111">
        <w:rPr>
          <w:rFonts w:hint="eastAsia"/>
          <w:sz w:val="24"/>
          <w:lang w:val="en-GB"/>
        </w:rPr>
        <w:t xml:space="preserve">Zhang, X.Q. and </w:t>
      </w:r>
      <w:proofErr w:type="spellStart"/>
      <w:r w:rsidRPr="00210111">
        <w:rPr>
          <w:rFonts w:hint="eastAsia"/>
          <w:sz w:val="24"/>
          <w:lang w:val="en-GB"/>
        </w:rPr>
        <w:t>Kumaraswamy</w:t>
      </w:r>
      <w:proofErr w:type="spellEnd"/>
      <w:r w:rsidRPr="00210111">
        <w:rPr>
          <w:rFonts w:hint="eastAsia"/>
          <w:sz w:val="24"/>
          <w:lang w:val="en-GB"/>
        </w:rPr>
        <w:t xml:space="preserve">, M.M. (2001). </w:t>
      </w:r>
      <w:r w:rsidRPr="00210111">
        <w:rPr>
          <w:sz w:val="24"/>
          <w:lang w:val="en-GB"/>
        </w:rPr>
        <w:t>“</w:t>
      </w:r>
      <w:r w:rsidRPr="00210111">
        <w:rPr>
          <w:rFonts w:hint="eastAsia"/>
          <w:sz w:val="24"/>
          <w:lang w:val="en-GB"/>
        </w:rPr>
        <w:t>Hong Kong experience in managing BOT projects.</w:t>
      </w:r>
      <w:r w:rsidRPr="00210111">
        <w:rPr>
          <w:sz w:val="24"/>
          <w:lang w:val="en-GB"/>
        </w:rPr>
        <w:t>”</w:t>
      </w:r>
      <w:r w:rsidRPr="00210111">
        <w:rPr>
          <w:rFonts w:hint="eastAsia"/>
          <w:sz w:val="24"/>
          <w:lang w:val="en-GB"/>
        </w:rPr>
        <w:t xml:space="preserve"> </w:t>
      </w:r>
      <w:r w:rsidRPr="00210111">
        <w:rPr>
          <w:i/>
          <w:sz w:val="24"/>
          <w:lang w:val="en-GB"/>
        </w:rPr>
        <w:t>Journal of Construction Engineering and Management</w:t>
      </w:r>
      <w:r w:rsidRPr="00210111">
        <w:rPr>
          <w:rFonts w:hint="eastAsia"/>
          <w:sz w:val="24"/>
          <w:lang w:val="en-GB"/>
        </w:rPr>
        <w:t>, 127(2), 154-162.</w:t>
      </w:r>
    </w:p>
    <w:p w14:paraId="7E5D4C04" w14:textId="77777777" w:rsidR="00210111" w:rsidRDefault="00210111" w:rsidP="00874F4C">
      <w:pPr>
        <w:ind w:left="454" w:hanging="454"/>
        <w:rPr>
          <w:sz w:val="24"/>
          <w:lang w:val="en-AU"/>
        </w:rPr>
      </w:pPr>
    </w:p>
    <w:p w14:paraId="5C3A313C" w14:textId="77777777" w:rsidR="00210111" w:rsidRPr="00F039C6" w:rsidRDefault="00210111" w:rsidP="00874F4C">
      <w:pPr>
        <w:ind w:left="454" w:hanging="454"/>
        <w:rPr>
          <w:sz w:val="24"/>
          <w:lang w:val="en-AU"/>
        </w:rPr>
      </w:pPr>
      <w:r w:rsidRPr="00210111">
        <w:rPr>
          <w:sz w:val="24"/>
          <w:lang w:val="en-GB"/>
        </w:rPr>
        <w:t>Zh</w:t>
      </w:r>
      <w:r>
        <w:rPr>
          <w:sz w:val="24"/>
          <w:lang w:val="en-GB"/>
        </w:rPr>
        <w:t xml:space="preserve">ang, X.Q., </w:t>
      </w:r>
      <w:proofErr w:type="spellStart"/>
      <w:r>
        <w:rPr>
          <w:sz w:val="24"/>
          <w:lang w:val="en-GB"/>
        </w:rPr>
        <w:t>Kumaraswamy</w:t>
      </w:r>
      <w:proofErr w:type="spellEnd"/>
      <w:r>
        <w:rPr>
          <w:sz w:val="24"/>
          <w:lang w:val="en-GB"/>
        </w:rPr>
        <w:t>, M.</w:t>
      </w:r>
      <w:r w:rsidRPr="00210111">
        <w:rPr>
          <w:sz w:val="24"/>
          <w:lang w:val="en-GB"/>
        </w:rPr>
        <w:t xml:space="preserve">M., Zheng, W. and </w:t>
      </w:r>
      <w:proofErr w:type="spellStart"/>
      <w:r w:rsidRPr="00210111">
        <w:rPr>
          <w:sz w:val="24"/>
          <w:lang w:val="en-GB"/>
        </w:rPr>
        <w:t>Palaneeswaran</w:t>
      </w:r>
      <w:proofErr w:type="spellEnd"/>
      <w:r w:rsidRPr="00210111">
        <w:rPr>
          <w:sz w:val="24"/>
          <w:lang w:val="en-GB"/>
        </w:rPr>
        <w:t xml:space="preserve">, E. (2002). “Concessionaire selection for build-operate-transfer tunnel projects in Hong Kong.” </w:t>
      </w:r>
      <w:r w:rsidRPr="00210111">
        <w:rPr>
          <w:i/>
          <w:sz w:val="24"/>
          <w:lang w:val="en-GB"/>
        </w:rPr>
        <w:t>Journal of Construction Engineering and Management</w:t>
      </w:r>
      <w:r w:rsidRPr="00210111">
        <w:rPr>
          <w:sz w:val="24"/>
          <w:lang w:val="en-GB"/>
        </w:rPr>
        <w:t>, 128(2), 155-163</w:t>
      </w:r>
      <w:r>
        <w:rPr>
          <w:sz w:val="24"/>
          <w:lang w:val="en-GB"/>
        </w:rPr>
        <w:t>.</w:t>
      </w:r>
    </w:p>
    <w:sectPr w:rsidR="00210111" w:rsidRPr="00F039C6" w:rsidSect="00D62425">
      <w:footerReference w:type="even" r:id="rId15"/>
      <w:footerReference w:type="default" r:id="rId16"/>
      <w:pgSz w:w="11906" w:h="16838" w:code="9"/>
      <w:pgMar w:top="1440" w:right="1700" w:bottom="1440" w:left="1440" w:header="851" w:footer="992" w:gutter="0"/>
      <w:lnNumType w:countBy="1" w:restart="continuous"/>
      <w:pgNumType w:start="1"/>
      <w:cols w:space="425"/>
      <w:titlePg/>
      <w:docGrid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150A69" w16cid:durableId="1D2C60F7"/>
  <w16cid:commentId w16cid:paraId="42CDF4C9" w16cid:durableId="1D2C6239"/>
  <w16cid:commentId w16cid:paraId="49275D8F" w16cid:durableId="1D2C6153"/>
  <w16cid:commentId w16cid:paraId="08C1560E" w16cid:durableId="1D2C628F"/>
  <w16cid:commentId w16cid:paraId="3FEA34AC" w16cid:durableId="1D2C62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72B01" w14:textId="77777777" w:rsidR="000C0FBB" w:rsidRDefault="000C0FBB">
      <w:r>
        <w:separator/>
      </w:r>
    </w:p>
  </w:endnote>
  <w:endnote w:type="continuationSeparator" w:id="0">
    <w:p w14:paraId="66A483E2" w14:textId="77777777" w:rsidR="000C0FBB" w:rsidRDefault="000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CE709" w14:textId="77777777" w:rsidR="00451EF6" w:rsidRDefault="00451EF6" w:rsidP="000445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81770" w14:textId="77777777" w:rsidR="00451EF6" w:rsidRDefault="00451EF6">
    <w:pPr>
      <w:pStyle w:val="Footer"/>
    </w:pPr>
  </w:p>
  <w:p w14:paraId="26995917" w14:textId="77777777" w:rsidR="00000000" w:rsidRDefault="00962527"/>
  <w:p w14:paraId="711FFB8A" w14:textId="77777777" w:rsidR="00000000" w:rsidRDefault="009625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0C97" w14:textId="38AFC5E2" w:rsidR="00451EF6" w:rsidRPr="0024115D" w:rsidRDefault="00451EF6" w:rsidP="000445B0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24115D">
      <w:rPr>
        <w:rStyle w:val="PageNumber"/>
        <w:sz w:val="24"/>
        <w:szCs w:val="24"/>
      </w:rPr>
      <w:fldChar w:fldCharType="begin"/>
    </w:r>
    <w:r w:rsidRPr="0024115D">
      <w:rPr>
        <w:rStyle w:val="PageNumber"/>
        <w:sz w:val="24"/>
        <w:szCs w:val="24"/>
      </w:rPr>
      <w:instrText xml:space="preserve">PAGE  </w:instrText>
    </w:r>
    <w:r w:rsidRPr="0024115D">
      <w:rPr>
        <w:rStyle w:val="PageNumber"/>
        <w:sz w:val="24"/>
        <w:szCs w:val="24"/>
      </w:rPr>
      <w:fldChar w:fldCharType="separate"/>
    </w:r>
    <w:r w:rsidR="00962527">
      <w:rPr>
        <w:rStyle w:val="PageNumber"/>
        <w:noProof/>
        <w:sz w:val="24"/>
        <w:szCs w:val="24"/>
      </w:rPr>
      <w:t>11</w:t>
    </w:r>
    <w:r w:rsidRPr="0024115D">
      <w:rPr>
        <w:rStyle w:val="PageNumber"/>
        <w:sz w:val="24"/>
        <w:szCs w:val="24"/>
      </w:rPr>
      <w:fldChar w:fldCharType="end"/>
    </w:r>
  </w:p>
  <w:p w14:paraId="7EC7D019" w14:textId="77777777" w:rsidR="00451EF6" w:rsidRDefault="00451EF6">
    <w:pPr>
      <w:pStyle w:val="Footer"/>
    </w:pPr>
  </w:p>
  <w:p w14:paraId="21FB82A0" w14:textId="77777777" w:rsidR="00000000" w:rsidRDefault="00962527"/>
  <w:p w14:paraId="784AFDF9" w14:textId="77777777" w:rsidR="00000000" w:rsidRDefault="009625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4EEB4" w14:textId="77777777" w:rsidR="000C0FBB" w:rsidRDefault="000C0FBB">
      <w:r>
        <w:separator/>
      </w:r>
    </w:p>
  </w:footnote>
  <w:footnote w:type="continuationSeparator" w:id="0">
    <w:p w14:paraId="0E9C1107" w14:textId="77777777" w:rsidR="000C0FBB" w:rsidRDefault="000C0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689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AAC64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A3EAB"/>
    <w:multiLevelType w:val="hybridMultilevel"/>
    <w:tmpl w:val="DB9A3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B79FD"/>
    <w:multiLevelType w:val="hybridMultilevel"/>
    <w:tmpl w:val="54D8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741F7"/>
    <w:multiLevelType w:val="hybridMultilevel"/>
    <w:tmpl w:val="012C4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F1B93"/>
    <w:multiLevelType w:val="hybridMultilevel"/>
    <w:tmpl w:val="1CCC3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2605C"/>
    <w:multiLevelType w:val="hybridMultilevel"/>
    <w:tmpl w:val="FFC275E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E5572FA"/>
    <w:multiLevelType w:val="hybridMultilevel"/>
    <w:tmpl w:val="965A9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063DC"/>
    <w:multiLevelType w:val="hybridMultilevel"/>
    <w:tmpl w:val="69AA3D42"/>
    <w:lvl w:ilvl="0" w:tplc="99E46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34F61B1"/>
    <w:multiLevelType w:val="hybridMultilevel"/>
    <w:tmpl w:val="B1FA5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036AD"/>
    <w:multiLevelType w:val="hybridMultilevel"/>
    <w:tmpl w:val="146E30D2"/>
    <w:lvl w:ilvl="0" w:tplc="D71E217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E1502"/>
    <w:multiLevelType w:val="hybridMultilevel"/>
    <w:tmpl w:val="3A3A0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65A15"/>
    <w:multiLevelType w:val="hybridMultilevel"/>
    <w:tmpl w:val="B1745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26797"/>
    <w:multiLevelType w:val="hybridMultilevel"/>
    <w:tmpl w:val="122A1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13BC4"/>
    <w:multiLevelType w:val="hybridMultilevel"/>
    <w:tmpl w:val="CFACB250"/>
    <w:lvl w:ilvl="0" w:tplc="0876F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CF7C21"/>
    <w:multiLevelType w:val="hybridMultilevel"/>
    <w:tmpl w:val="8E66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C6DBF"/>
    <w:multiLevelType w:val="hybridMultilevel"/>
    <w:tmpl w:val="4B5ECC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65665"/>
    <w:multiLevelType w:val="hybridMultilevel"/>
    <w:tmpl w:val="3962B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C6583"/>
    <w:multiLevelType w:val="hybridMultilevel"/>
    <w:tmpl w:val="2FECC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531BD"/>
    <w:multiLevelType w:val="hybridMultilevel"/>
    <w:tmpl w:val="A022E650"/>
    <w:lvl w:ilvl="0" w:tplc="7A045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14569E"/>
    <w:multiLevelType w:val="hybridMultilevel"/>
    <w:tmpl w:val="87D438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76B63"/>
    <w:multiLevelType w:val="hybridMultilevel"/>
    <w:tmpl w:val="12905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A066C"/>
    <w:multiLevelType w:val="hybridMultilevel"/>
    <w:tmpl w:val="3B604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347BD"/>
    <w:multiLevelType w:val="hybridMultilevel"/>
    <w:tmpl w:val="C20CC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10116"/>
    <w:multiLevelType w:val="hybridMultilevel"/>
    <w:tmpl w:val="D138EB80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4C663B7D"/>
    <w:multiLevelType w:val="hybridMultilevel"/>
    <w:tmpl w:val="D6D8C204"/>
    <w:lvl w:ilvl="0" w:tplc="1288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4CB618BC"/>
    <w:multiLevelType w:val="hybridMultilevel"/>
    <w:tmpl w:val="296EA4A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4DEE5649"/>
    <w:multiLevelType w:val="hybridMultilevel"/>
    <w:tmpl w:val="D6643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52670"/>
    <w:multiLevelType w:val="hybridMultilevel"/>
    <w:tmpl w:val="A3C44024"/>
    <w:lvl w:ilvl="0" w:tplc="DDFE1B10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trike w:val="0"/>
        <w:dstrike w:val="0"/>
        <w:color w:val="00000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DF605A"/>
    <w:multiLevelType w:val="hybridMultilevel"/>
    <w:tmpl w:val="39FCE84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56B058B5"/>
    <w:multiLevelType w:val="hybridMultilevel"/>
    <w:tmpl w:val="1FCE86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E3369"/>
    <w:multiLevelType w:val="hybridMultilevel"/>
    <w:tmpl w:val="A6E2DC1A"/>
    <w:lvl w:ilvl="0" w:tplc="C8D8B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74E0B46"/>
    <w:multiLevelType w:val="hybridMultilevel"/>
    <w:tmpl w:val="68180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92A63"/>
    <w:multiLevelType w:val="hybridMultilevel"/>
    <w:tmpl w:val="614C2C2A"/>
    <w:lvl w:ilvl="0" w:tplc="BD48F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000784"/>
    <w:multiLevelType w:val="hybridMultilevel"/>
    <w:tmpl w:val="FC12C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F1989"/>
    <w:multiLevelType w:val="hybridMultilevel"/>
    <w:tmpl w:val="28581CF0"/>
    <w:lvl w:ilvl="0" w:tplc="DCB82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24B226E"/>
    <w:multiLevelType w:val="hybridMultilevel"/>
    <w:tmpl w:val="12CC9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A5418"/>
    <w:multiLevelType w:val="hybridMultilevel"/>
    <w:tmpl w:val="222C7722"/>
    <w:lvl w:ilvl="0" w:tplc="ED800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3591B73"/>
    <w:multiLevelType w:val="hybridMultilevel"/>
    <w:tmpl w:val="C6F68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813C6"/>
    <w:multiLevelType w:val="hybridMultilevel"/>
    <w:tmpl w:val="45D8D1E2"/>
    <w:lvl w:ilvl="0" w:tplc="1C96F59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B570B"/>
    <w:multiLevelType w:val="hybridMultilevel"/>
    <w:tmpl w:val="00CE298A"/>
    <w:lvl w:ilvl="0" w:tplc="029EE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E654F"/>
    <w:multiLevelType w:val="hybridMultilevel"/>
    <w:tmpl w:val="CDB2B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C3F57"/>
    <w:multiLevelType w:val="hybridMultilevel"/>
    <w:tmpl w:val="740E9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F7CB0"/>
    <w:multiLevelType w:val="hybridMultilevel"/>
    <w:tmpl w:val="721050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17EEB"/>
    <w:multiLevelType w:val="hybridMultilevel"/>
    <w:tmpl w:val="F6FE2B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95797"/>
    <w:multiLevelType w:val="hybridMultilevel"/>
    <w:tmpl w:val="E3282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777C9"/>
    <w:multiLevelType w:val="hybridMultilevel"/>
    <w:tmpl w:val="634257AC"/>
    <w:lvl w:ilvl="0" w:tplc="4A98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A527079"/>
    <w:multiLevelType w:val="hybridMultilevel"/>
    <w:tmpl w:val="498C0180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8" w15:restartNumberingAfterBreak="0">
    <w:nsid w:val="7D01588F"/>
    <w:multiLevelType w:val="hybridMultilevel"/>
    <w:tmpl w:val="53BCAD2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47"/>
  </w:num>
  <w:num w:numId="4">
    <w:abstractNumId w:val="37"/>
  </w:num>
  <w:num w:numId="5">
    <w:abstractNumId w:val="29"/>
  </w:num>
  <w:num w:numId="6">
    <w:abstractNumId w:val="6"/>
  </w:num>
  <w:num w:numId="7">
    <w:abstractNumId w:val="40"/>
  </w:num>
  <w:num w:numId="8">
    <w:abstractNumId w:val="8"/>
  </w:num>
  <w:num w:numId="9">
    <w:abstractNumId w:val="25"/>
  </w:num>
  <w:num w:numId="10">
    <w:abstractNumId w:val="28"/>
  </w:num>
  <w:num w:numId="11">
    <w:abstractNumId w:val="46"/>
  </w:num>
  <w:num w:numId="12">
    <w:abstractNumId w:val="35"/>
  </w:num>
  <w:num w:numId="13">
    <w:abstractNumId w:val="31"/>
  </w:num>
  <w:num w:numId="14">
    <w:abstractNumId w:val="19"/>
  </w:num>
  <w:num w:numId="15">
    <w:abstractNumId w:val="14"/>
  </w:num>
  <w:num w:numId="16">
    <w:abstractNumId w:val="16"/>
  </w:num>
  <w:num w:numId="17">
    <w:abstractNumId w:val="43"/>
  </w:num>
  <w:num w:numId="18">
    <w:abstractNumId w:val="44"/>
  </w:num>
  <w:num w:numId="19">
    <w:abstractNumId w:val="0"/>
  </w:num>
  <w:num w:numId="20">
    <w:abstractNumId w:val="48"/>
  </w:num>
  <w:num w:numId="21">
    <w:abstractNumId w:val="26"/>
  </w:num>
  <w:num w:numId="22">
    <w:abstractNumId w:val="9"/>
  </w:num>
  <w:num w:numId="23">
    <w:abstractNumId w:val="7"/>
  </w:num>
  <w:num w:numId="24">
    <w:abstractNumId w:val="23"/>
  </w:num>
  <w:num w:numId="25">
    <w:abstractNumId w:val="21"/>
  </w:num>
  <w:num w:numId="26">
    <w:abstractNumId w:val="22"/>
  </w:num>
  <w:num w:numId="27">
    <w:abstractNumId w:val="2"/>
  </w:num>
  <w:num w:numId="28">
    <w:abstractNumId w:val="4"/>
  </w:num>
  <w:num w:numId="29">
    <w:abstractNumId w:val="13"/>
  </w:num>
  <w:num w:numId="30">
    <w:abstractNumId w:val="1"/>
  </w:num>
  <w:num w:numId="31">
    <w:abstractNumId w:val="24"/>
  </w:num>
  <w:num w:numId="32">
    <w:abstractNumId w:val="41"/>
  </w:num>
  <w:num w:numId="33">
    <w:abstractNumId w:val="32"/>
  </w:num>
  <w:num w:numId="34">
    <w:abstractNumId w:val="11"/>
  </w:num>
  <w:num w:numId="35">
    <w:abstractNumId w:val="38"/>
  </w:num>
  <w:num w:numId="36">
    <w:abstractNumId w:val="18"/>
  </w:num>
  <w:num w:numId="37">
    <w:abstractNumId w:val="45"/>
  </w:num>
  <w:num w:numId="38">
    <w:abstractNumId w:val="27"/>
  </w:num>
  <w:num w:numId="39">
    <w:abstractNumId w:val="42"/>
  </w:num>
  <w:num w:numId="40">
    <w:abstractNumId w:val="20"/>
  </w:num>
  <w:num w:numId="41">
    <w:abstractNumId w:val="39"/>
  </w:num>
  <w:num w:numId="42">
    <w:abstractNumId w:val="30"/>
  </w:num>
  <w:num w:numId="43">
    <w:abstractNumId w:val="12"/>
  </w:num>
  <w:num w:numId="44">
    <w:abstractNumId w:val="3"/>
  </w:num>
  <w:num w:numId="45">
    <w:abstractNumId w:val="15"/>
  </w:num>
  <w:num w:numId="46">
    <w:abstractNumId w:val="36"/>
  </w:num>
  <w:num w:numId="47">
    <w:abstractNumId w:val="34"/>
  </w:num>
  <w:num w:numId="48">
    <w:abstractNumId w:val="1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zNLIwNjcyMzczNbdQ0lEKTi0uzszPAykwrAUAEzT0WCwAAAA="/>
  </w:docVars>
  <w:rsids>
    <w:rsidRoot w:val="00D74C1E"/>
    <w:rsid w:val="0000002F"/>
    <w:rsid w:val="00000357"/>
    <w:rsid w:val="000006C4"/>
    <w:rsid w:val="00000B51"/>
    <w:rsid w:val="00001288"/>
    <w:rsid w:val="000023A6"/>
    <w:rsid w:val="00002712"/>
    <w:rsid w:val="00002780"/>
    <w:rsid w:val="00002A7D"/>
    <w:rsid w:val="00002AF1"/>
    <w:rsid w:val="00002CDB"/>
    <w:rsid w:val="000037F3"/>
    <w:rsid w:val="00004109"/>
    <w:rsid w:val="00004297"/>
    <w:rsid w:val="000046D5"/>
    <w:rsid w:val="00004E66"/>
    <w:rsid w:val="000050BD"/>
    <w:rsid w:val="00005ABE"/>
    <w:rsid w:val="00005AFE"/>
    <w:rsid w:val="00005B59"/>
    <w:rsid w:val="000062E0"/>
    <w:rsid w:val="000066B9"/>
    <w:rsid w:val="000069D6"/>
    <w:rsid w:val="00006FF5"/>
    <w:rsid w:val="0000743B"/>
    <w:rsid w:val="0000750C"/>
    <w:rsid w:val="00007B62"/>
    <w:rsid w:val="000102A4"/>
    <w:rsid w:val="000108FE"/>
    <w:rsid w:val="00011046"/>
    <w:rsid w:val="000111BB"/>
    <w:rsid w:val="00011302"/>
    <w:rsid w:val="00011450"/>
    <w:rsid w:val="000119E0"/>
    <w:rsid w:val="00011A86"/>
    <w:rsid w:val="00011BC7"/>
    <w:rsid w:val="000121D8"/>
    <w:rsid w:val="000121E5"/>
    <w:rsid w:val="00012304"/>
    <w:rsid w:val="000129A3"/>
    <w:rsid w:val="0001376D"/>
    <w:rsid w:val="00013909"/>
    <w:rsid w:val="00013A08"/>
    <w:rsid w:val="00013C5F"/>
    <w:rsid w:val="000141FE"/>
    <w:rsid w:val="00014313"/>
    <w:rsid w:val="00014A1E"/>
    <w:rsid w:val="000150E0"/>
    <w:rsid w:val="0001533C"/>
    <w:rsid w:val="00015545"/>
    <w:rsid w:val="00015EC5"/>
    <w:rsid w:val="0001645A"/>
    <w:rsid w:val="00016836"/>
    <w:rsid w:val="00016A19"/>
    <w:rsid w:val="00016AC4"/>
    <w:rsid w:val="00016AD2"/>
    <w:rsid w:val="00016B15"/>
    <w:rsid w:val="00016DA5"/>
    <w:rsid w:val="00016F1C"/>
    <w:rsid w:val="000177B2"/>
    <w:rsid w:val="0001792B"/>
    <w:rsid w:val="00017E79"/>
    <w:rsid w:val="00017FC7"/>
    <w:rsid w:val="000205EF"/>
    <w:rsid w:val="000205F1"/>
    <w:rsid w:val="000207F4"/>
    <w:rsid w:val="00020A7D"/>
    <w:rsid w:val="00021255"/>
    <w:rsid w:val="00023095"/>
    <w:rsid w:val="000232D3"/>
    <w:rsid w:val="000235F9"/>
    <w:rsid w:val="00023672"/>
    <w:rsid w:val="00023C04"/>
    <w:rsid w:val="000240DC"/>
    <w:rsid w:val="00024265"/>
    <w:rsid w:val="000247F1"/>
    <w:rsid w:val="00024868"/>
    <w:rsid w:val="00024B84"/>
    <w:rsid w:val="00024D3A"/>
    <w:rsid w:val="00024DBC"/>
    <w:rsid w:val="0002507D"/>
    <w:rsid w:val="00025915"/>
    <w:rsid w:val="000260B0"/>
    <w:rsid w:val="000266C5"/>
    <w:rsid w:val="0002671F"/>
    <w:rsid w:val="0002673E"/>
    <w:rsid w:val="0002696A"/>
    <w:rsid w:val="00026B71"/>
    <w:rsid w:val="00027216"/>
    <w:rsid w:val="00027481"/>
    <w:rsid w:val="000277B1"/>
    <w:rsid w:val="000279D6"/>
    <w:rsid w:val="00027D30"/>
    <w:rsid w:val="00027EB1"/>
    <w:rsid w:val="00027FE0"/>
    <w:rsid w:val="000307E5"/>
    <w:rsid w:val="00030CE4"/>
    <w:rsid w:val="00030FE2"/>
    <w:rsid w:val="00031547"/>
    <w:rsid w:val="000317B1"/>
    <w:rsid w:val="000317DD"/>
    <w:rsid w:val="00031A2D"/>
    <w:rsid w:val="00031CBD"/>
    <w:rsid w:val="000328EA"/>
    <w:rsid w:val="00032F12"/>
    <w:rsid w:val="00033015"/>
    <w:rsid w:val="000331ED"/>
    <w:rsid w:val="0003386D"/>
    <w:rsid w:val="00033995"/>
    <w:rsid w:val="000339A1"/>
    <w:rsid w:val="00033D58"/>
    <w:rsid w:val="00033FAB"/>
    <w:rsid w:val="000341C8"/>
    <w:rsid w:val="000347B9"/>
    <w:rsid w:val="00034E41"/>
    <w:rsid w:val="00034FFF"/>
    <w:rsid w:val="00035444"/>
    <w:rsid w:val="00035735"/>
    <w:rsid w:val="00035808"/>
    <w:rsid w:val="0003583E"/>
    <w:rsid w:val="000361C9"/>
    <w:rsid w:val="00036842"/>
    <w:rsid w:val="0003761E"/>
    <w:rsid w:val="000377A5"/>
    <w:rsid w:val="00037F83"/>
    <w:rsid w:val="00040529"/>
    <w:rsid w:val="000405CC"/>
    <w:rsid w:val="00041546"/>
    <w:rsid w:val="00041803"/>
    <w:rsid w:val="0004233B"/>
    <w:rsid w:val="0004296B"/>
    <w:rsid w:val="00042CB1"/>
    <w:rsid w:val="00042F18"/>
    <w:rsid w:val="000437DE"/>
    <w:rsid w:val="00043F77"/>
    <w:rsid w:val="000443C9"/>
    <w:rsid w:val="00044456"/>
    <w:rsid w:val="00044573"/>
    <w:rsid w:val="000445B0"/>
    <w:rsid w:val="000446ED"/>
    <w:rsid w:val="00044BB5"/>
    <w:rsid w:val="00045101"/>
    <w:rsid w:val="00045701"/>
    <w:rsid w:val="000459A1"/>
    <w:rsid w:val="00045B97"/>
    <w:rsid w:val="00045BB3"/>
    <w:rsid w:val="00045EA4"/>
    <w:rsid w:val="000464A0"/>
    <w:rsid w:val="0004654C"/>
    <w:rsid w:val="00046C62"/>
    <w:rsid w:val="00046DE0"/>
    <w:rsid w:val="0004717C"/>
    <w:rsid w:val="000474C2"/>
    <w:rsid w:val="00047862"/>
    <w:rsid w:val="00047A12"/>
    <w:rsid w:val="00047BB1"/>
    <w:rsid w:val="00047C6B"/>
    <w:rsid w:val="00047D96"/>
    <w:rsid w:val="00047DA7"/>
    <w:rsid w:val="00050066"/>
    <w:rsid w:val="00050423"/>
    <w:rsid w:val="00050D4F"/>
    <w:rsid w:val="00050E12"/>
    <w:rsid w:val="000513A4"/>
    <w:rsid w:val="00051527"/>
    <w:rsid w:val="0005238A"/>
    <w:rsid w:val="00052522"/>
    <w:rsid w:val="00052567"/>
    <w:rsid w:val="00052B46"/>
    <w:rsid w:val="00053110"/>
    <w:rsid w:val="00053138"/>
    <w:rsid w:val="000532BE"/>
    <w:rsid w:val="000533F8"/>
    <w:rsid w:val="00053A05"/>
    <w:rsid w:val="00053A6C"/>
    <w:rsid w:val="00053AA7"/>
    <w:rsid w:val="00053ABF"/>
    <w:rsid w:val="0005402F"/>
    <w:rsid w:val="000541BA"/>
    <w:rsid w:val="00054221"/>
    <w:rsid w:val="00054494"/>
    <w:rsid w:val="00054811"/>
    <w:rsid w:val="00054874"/>
    <w:rsid w:val="000551C8"/>
    <w:rsid w:val="00055844"/>
    <w:rsid w:val="00055BA6"/>
    <w:rsid w:val="00055BEB"/>
    <w:rsid w:val="00055D33"/>
    <w:rsid w:val="00055E47"/>
    <w:rsid w:val="000562F4"/>
    <w:rsid w:val="00056B8C"/>
    <w:rsid w:val="00057E08"/>
    <w:rsid w:val="00060C8D"/>
    <w:rsid w:val="00060EF6"/>
    <w:rsid w:val="00060F0B"/>
    <w:rsid w:val="00060F57"/>
    <w:rsid w:val="000616F2"/>
    <w:rsid w:val="00061BFA"/>
    <w:rsid w:val="0006200B"/>
    <w:rsid w:val="00062486"/>
    <w:rsid w:val="0006290A"/>
    <w:rsid w:val="0006331F"/>
    <w:rsid w:val="000635FB"/>
    <w:rsid w:val="00063608"/>
    <w:rsid w:val="000644D2"/>
    <w:rsid w:val="00064550"/>
    <w:rsid w:val="00064783"/>
    <w:rsid w:val="000649C5"/>
    <w:rsid w:val="00064C59"/>
    <w:rsid w:val="0006625E"/>
    <w:rsid w:val="00066632"/>
    <w:rsid w:val="00066ADD"/>
    <w:rsid w:val="00066DF6"/>
    <w:rsid w:val="00067E0F"/>
    <w:rsid w:val="00067F2C"/>
    <w:rsid w:val="00070817"/>
    <w:rsid w:val="00070909"/>
    <w:rsid w:val="00070A20"/>
    <w:rsid w:val="000711B7"/>
    <w:rsid w:val="0007127C"/>
    <w:rsid w:val="000716DB"/>
    <w:rsid w:val="00072412"/>
    <w:rsid w:val="00072B74"/>
    <w:rsid w:val="00072D01"/>
    <w:rsid w:val="00072E6E"/>
    <w:rsid w:val="00072FDC"/>
    <w:rsid w:val="00073216"/>
    <w:rsid w:val="000739D6"/>
    <w:rsid w:val="00073DCA"/>
    <w:rsid w:val="00073F0E"/>
    <w:rsid w:val="00074004"/>
    <w:rsid w:val="000745A9"/>
    <w:rsid w:val="000749F2"/>
    <w:rsid w:val="00074A2D"/>
    <w:rsid w:val="00075114"/>
    <w:rsid w:val="0007540F"/>
    <w:rsid w:val="000754C3"/>
    <w:rsid w:val="000758F7"/>
    <w:rsid w:val="00075961"/>
    <w:rsid w:val="000759C4"/>
    <w:rsid w:val="00076976"/>
    <w:rsid w:val="00076FAE"/>
    <w:rsid w:val="000774C1"/>
    <w:rsid w:val="0007765C"/>
    <w:rsid w:val="000777D8"/>
    <w:rsid w:val="00077BAD"/>
    <w:rsid w:val="00077EE2"/>
    <w:rsid w:val="00077F69"/>
    <w:rsid w:val="00077FEB"/>
    <w:rsid w:val="0008015B"/>
    <w:rsid w:val="00080230"/>
    <w:rsid w:val="000805FF"/>
    <w:rsid w:val="00080D04"/>
    <w:rsid w:val="00081534"/>
    <w:rsid w:val="000818C4"/>
    <w:rsid w:val="000819BD"/>
    <w:rsid w:val="00081AEB"/>
    <w:rsid w:val="00081B06"/>
    <w:rsid w:val="0008204C"/>
    <w:rsid w:val="000825CB"/>
    <w:rsid w:val="00082683"/>
    <w:rsid w:val="00082687"/>
    <w:rsid w:val="00082950"/>
    <w:rsid w:val="00082DC0"/>
    <w:rsid w:val="00082E44"/>
    <w:rsid w:val="00083254"/>
    <w:rsid w:val="000833C0"/>
    <w:rsid w:val="00083E5C"/>
    <w:rsid w:val="00083FE1"/>
    <w:rsid w:val="00084621"/>
    <w:rsid w:val="00084E94"/>
    <w:rsid w:val="000853B1"/>
    <w:rsid w:val="0008579A"/>
    <w:rsid w:val="00085EA4"/>
    <w:rsid w:val="0008620A"/>
    <w:rsid w:val="00086BF6"/>
    <w:rsid w:val="000879D9"/>
    <w:rsid w:val="00090188"/>
    <w:rsid w:val="000905F4"/>
    <w:rsid w:val="00090AE5"/>
    <w:rsid w:val="00090CD7"/>
    <w:rsid w:val="0009117A"/>
    <w:rsid w:val="000921E5"/>
    <w:rsid w:val="000927ED"/>
    <w:rsid w:val="000928CE"/>
    <w:rsid w:val="00092BB7"/>
    <w:rsid w:val="000933D6"/>
    <w:rsid w:val="000933F0"/>
    <w:rsid w:val="000937D0"/>
    <w:rsid w:val="00093BA6"/>
    <w:rsid w:val="00093F6B"/>
    <w:rsid w:val="000940E7"/>
    <w:rsid w:val="00094A9D"/>
    <w:rsid w:val="000953B1"/>
    <w:rsid w:val="00095516"/>
    <w:rsid w:val="0009557B"/>
    <w:rsid w:val="0009608D"/>
    <w:rsid w:val="000960DF"/>
    <w:rsid w:val="0009646F"/>
    <w:rsid w:val="00096982"/>
    <w:rsid w:val="000969E9"/>
    <w:rsid w:val="00096ACD"/>
    <w:rsid w:val="00096D5A"/>
    <w:rsid w:val="00096F14"/>
    <w:rsid w:val="00096F35"/>
    <w:rsid w:val="00097153"/>
    <w:rsid w:val="000A017D"/>
    <w:rsid w:val="000A01A0"/>
    <w:rsid w:val="000A0377"/>
    <w:rsid w:val="000A0405"/>
    <w:rsid w:val="000A0B9B"/>
    <w:rsid w:val="000A0E07"/>
    <w:rsid w:val="000A209D"/>
    <w:rsid w:val="000A20F2"/>
    <w:rsid w:val="000A230F"/>
    <w:rsid w:val="000A24BC"/>
    <w:rsid w:val="000A323C"/>
    <w:rsid w:val="000A3FAA"/>
    <w:rsid w:val="000A43C9"/>
    <w:rsid w:val="000A46FF"/>
    <w:rsid w:val="000A4AC4"/>
    <w:rsid w:val="000A4DB3"/>
    <w:rsid w:val="000A52E9"/>
    <w:rsid w:val="000A5F4B"/>
    <w:rsid w:val="000A6ADC"/>
    <w:rsid w:val="000A71DA"/>
    <w:rsid w:val="000A71DE"/>
    <w:rsid w:val="000A71E0"/>
    <w:rsid w:val="000A7257"/>
    <w:rsid w:val="000A7344"/>
    <w:rsid w:val="000A7CA5"/>
    <w:rsid w:val="000A7E6D"/>
    <w:rsid w:val="000B1022"/>
    <w:rsid w:val="000B16CF"/>
    <w:rsid w:val="000B1A79"/>
    <w:rsid w:val="000B251A"/>
    <w:rsid w:val="000B2A6D"/>
    <w:rsid w:val="000B2B4B"/>
    <w:rsid w:val="000B2EAC"/>
    <w:rsid w:val="000B31F5"/>
    <w:rsid w:val="000B36CD"/>
    <w:rsid w:val="000B3F6B"/>
    <w:rsid w:val="000B40F1"/>
    <w:rsid w:val="000B435B"/>
    <w:rsid w:val="000B45F6"/>
    <w:rsid w:val="000B4C22"/>
    <w:rsid w:val="000B4C69"/>
    <w:rsid w:val="000B4CAA"/>
    <w:rsid w:val="000B4CE5"/>
    <w:rsid w:val="000B50F9"/>
    <w:rsid w:val="000B5288"/>
    <w:rsid w:val="000B5381"/>
    <w:rsid w:val="000B56EC"/>
    <w:rsid w:val="000B5BAC"/>
    <w:rsid w:val="000B5D63"/>
    <w:rsid w:val="000B625A"/>
    <w:rsid w:val="000B6523"/>
    <w:rsid w:val="000B6B9D"/>
    <w:rsid w:val="000B6BA0"/>
    <w:rsid w:val="000B7375"/>
    <w:rsid w:val="000B74B9"/>
    <w:rsid w:val="000B7A2D"/>
    <w:rsid w:val="000B7F40"/>
    <w:rsid w:val="000C01F0"/>
    <w:rsid w:val="000C044E"/>
    <w:rsid w:val="000C0694"/>
    <w:rsid w:val="000C0761"/>
    <w:rsid w:val="000C0A38"/>
    <w:rsid w:val="000C0FBB"/>
    <w:rsid w:val="000C0FFB"/>
    <w:rsid w:val="000C1012"/>
    <w:rsid w:val="000C101D"/>
    <w:rsid w:val="000C2402"/>
    <w:rsid w:val="000C276A"/>
    <w:rsid w:val="000C2B12"/>
    <w:rsid w:val="000C3664"/>
    <w:rsid w:val="000C36F4"/>
    <w:rsid w:val="000C372F"/>
    <w:rsid w:val="000C3B4A"/>
    <w:rsid w:val="000C3CCE"/>
    <w:rsid w:val="000C3E9E"/>
    <w:rsid w:val="000C4D73"/>
    <w:rsid w:val="000C5C7E"/>
    <w:rsid w:val="000C622C"/>
    <w:rsid w:val="000C6CDA"/>
    <w:rsid w:val="000C6EDA"/>
    <w:rsid w:val="000C7293"/>
    <w:rsid w:val="000C72FE"/>
    <w:rsid w:val="000C7CE2"/>
    <w:rsid w:val="000C7EE9"/>
    <w:rsid w:val="000D0250"/>
    <w:rsid w:val="000D112A"/>
    <w:rsid w:val="000D1352"/>
    <w:rsid w:val="000D1EC1"/>
    <w:rsid w:val="000D206D"/>
    <w:rsid w:val="000D21AE"/>
    <w:rsid w:val="000D22E2"/>
    <w:rsid w:val="000D3196"/>
    <w:rsid w:val="000D3294"/>
    <w:rsid w:val="000D3714"/>
    <w:rsid w:val="000D3825"/>
    <w:rsid w:val="000D393D"/>
    <w:rsid w:val="000D48D8"/>
    <w:rsid w:val="000D4B1B"/>
    <w:rsid w:val="000D4F3D"/>
    <w:rsid w:val="000D513D"/>
    <w:rsid w:val="000D5661"/>
    <w:rsid w:val="000D59FA"/>
    <w:rsid w:val="000D5DA0"/>
    <w:rsid w:val="000D5DFA"/>
    <w:rsid w:val="000D602A"/>
    <w:rsid w:val="000D6411"/>
    <w:rsid w:val="000D66DB"/>
    <w:rsid w:val="000D699B"/>
    <w:rsid w:val="000D6D2A"/>
    <w:rsid w:val="000D6E1C"/>
    <w:rsid w:val="000D72DE"/>
    <w:rsid w:val="000D7450"/>
    <w:rsid w:val="000D75B4"/>
    <w:rsid w:val="000D7C23"/>
    <w:rsid w:val="000E0C17"/>
    <w:rsid w:val="000E0DB7"/>
    <w:rsid w:val="000E25B9"/>
    <w:rsid w:val="000E2AF9"/>
    <w:rsid w:val="000E2C3F"/>
    <w:rsid w:val="000E324A"/>
    <w:rsid w:val="000E33E6"/>
    <w:rsid w:val="000E36B5"/>
    <w:rsid w:val="000E3E26"/>
    <w:rsid w:val="000E3F31"/>
    <w:rsid w:val="000E4153"/>
    <w:rsid w:val="000E450E"/>
    <w:rsid w:val="000E45B1"/>
    <w:rsid w:val="000E4788"/>
    <w:rsid w:val="000E4BCA"/>
    <w:rsid w:val="000E4EAB"/>
    <w:rsid w:val="000E50CF"/>
    <w:rsid w:val="000E53F7"/>
    <w:rsid w:val="000E5776"/>
    <w:rsid w:val="000E5ABF"/>
    <w:rsid w:val="000E5B32"/>
    <w:rsid w:val="000E5F7C"/>
    <w:rsid w:val="000E64C5"/>
    <w:rsid w:val="000E660B"/>
    <w:rsid w:val="000E70C1"/>
    <w:rsid w:val="000E7B6A"/>
    <w:rsid w:val="000F060F"/>
    <w:rsid w:val="000F0E10"/>
    <w:rsid w:val="000F127A"/>
    <w:rsid w:val="000F156B"/>
    <w:rsid w:val="000F16A7"/>
    <w:rsid w:val="000F2696"/>
    <w:rsid w:val="000F2B1B"/>
    <w:rsid w:val="000F364B"/>
    <w:rsid w:val="000F46E6"/>
    <w:rsid w:val="000F4888"/>
    <w:rsid w:val="000F4B05"/>
    <w:rsid w:val="000F5359"/>
    <w:rsid w:val="000F5674"/>
    <w:rsid w:val="000F6420"/>
    <w:rsid w:val="000F682F"/>
    <w:rsid w:val="000F7DE7"/>
    <w:rsid w:val="001009D4"/>
    <w:rsid w:val="00100D6A"/>
    <w:rsid w:val="0010105F"/>
    <w:rsid w:val="001017B0"/>
    <w:rsid w:val="00101AD4"/>
    <w:rsid w:val="00101C14"/>
    <w:rsid w:val="00101EC3"/>
    <w:rsid w:val="001020B1"/>
    <w:rsid w:val="001020F0"/>
    <w:rsid w:val="00102237"/>
    <w:rsid w:val="00102544"/>
    <w:rsid w:val="00102B9E"/>
    <w:rsid w:val="001031DB"/>
    <w:rsid w:val="00103F7D"/>
    <w:rsid w:val="00104FB9"/>
    <w:rsid w:val="0010525C"/>
    <w:rsid w:val="001055A3"/>
    <w:rsid w:val="00105DF9"/>
    <w:rsid w:val="00106072"/>
    <w:rsid w:val="00106C28"/>
    <w:rsid w:val="001073D7"/>
    <w:rsid w:val="001077E5"/>
    <w:rsid w:val="001079F8"/>
    <w:rsid w:val="00107ED1"/>
    <w:rsid w:val="0011046D"/>
    <w:rsid w:val="0011079D"/>
    <w:rsid w:val="00110860"/>
    <w:rsid w:val="001108C7"/>
    <w:rsid w:val="0011095B"/>
    <w:rsid w:val="0011107C"/>
    <w:rsid w:val="00111CC2"/>
    <w:rsid w:val="00112659"/>
    <w:rsid w:val="0011271C"/>
    <w:rsid w:val="00112BF9"/>
    <w:rsid w:val="00112CA3"/>
    <w:rsid w:val="00112E33"/>
    <w:rsid w:val="00112FEA"/>
    <w:rsid w:val="001131E6"/>
    <w:rsid w:val="001131ED"/>
    <w:rsid w:val="00113279"/>
    <w:rsid w:val="00113476"/>
    <w:rsid w:val="00114A0B"/>
    <w:rsid w:val="00114BEE"/>
    <w:rsid w:val="00114FBD"/>
    <w:rsid w:val="00115209"/>
    <w:rsid w:val="0011535D"/>
    <w:rsid w:val="00115A2F"/>
    <w:rsid w:val="00115C96"/>
    <w:rsid w:val="00115FC2"/>
    <w:rsid w:val="00115FED"/>
    <w:rsid w:val="0011632E"/>
    <w:rsid w:val="001166C3"/>
    <w:rsid w:val="00116733"/>
    <w:rsid w:val="00117877"/>
    <w:rsid w:val="001178D4"/>
    <w:rsid w:val="00117AE3"/>
    <w:rsid w:val="00117CE4"/>
    <w:rsid w:val="00117F35"/>
    <w:rsid w:val="0012030C"/>
    <w:rsid w:val="001203E7"/>
    <w:rsid w:val="00120574"/>
    <w:rsid w:val="001207F0"/>
    <w:rsid w:val="0012091C"/>
    <w:rsid w:val="001209A9"/>
    <w:rsid w:val="00120BC5"/>
    <w:rsid w:val="00121137"/>
    <w:rsid w:val="00121275"/>
    <w:rsid w:val="00121907"/>
    <w:rsid w:val="00121D50"/>
    <w:rsid w:val="00122720"/>
    <w:rsid w:val="00122ECD"/>
    <w:rsid w:val="0012312B"/>
    <w:rsid w:val="001234F2"/>
    <w:rsid w:val="0012390D"/>
    <w:rsid w:val="0012396D"/>
    <w:rsid w:val="00124352"/>
    <w:rsid w:val="00124381"/>
    <w:rsid w:val="0012440A"/>
    <w:rsid w:val="0012484B"/>
    <w:rsid w:val="00124C46"/>
    <w:rsid w:val="00124D07"/>
    <w:rsid w:val="0012535D"/>
    <w:rsid w:val="001255C3"/>
    <w:rsid w:val="00125F2A"/>
    <w:rsid w:val="00126A3F"/>
    <w:rsid w:val="00126D95"/>
    <w:rsid w:val="00127023"/>
    <w:rsid w:val="001274CE"/>
    <w:rsid w:val="001276F3"/>
    <w:rsid w:val="001303C8"/>
    <w:rsid w:val="001308CE"/>
    <w:rsid w:val="00130D1D"/>
    <w:rsid w:val="001311DC"/>
    <w:rsid w:val="00132039"/>
    <w:rsid w:val="00133292"/>
    <w:rsid w:val="001334A1"/>
    <w:rsid w:val="0013392E"/>
    <w:rsid w:val="00133957"/>
    <w:rsid w:val="00133E81"/>
    <w:rsid w:val="00134157"/>
    <w:rsid w:val="0013429A"/>
    <w:rsid w:val="001342E6"/>
    <w:rsid w:val="001350C3"/>
    <w:rsid w:val="00135FC3"/>
    <w:rsid w:val="0013631C"/>
    <w:rsid w:val="00136406"/>
    <w:rsid w:val="0013647F"/>
    <w:rsid w:val="00136C3F"/>
    <w:rsid w:val="00136C47"/>
    <w:rsid w:val="00136DDC"/>
    <w:rsid w:val="001372CE"/>
    <w:rsid w:val="001375AB"/>
    <w:rsid w:val="00137648"/>
    <w:rsid w:val="00137D7D"/>
    <w:rsid w:val="00137EC2"/>
    <w:rsid w:val="0014090B"/>
    <w:rsid w:val="00140E3F"/>
    <w:rsid w:val="00140FF2"/>
    <w:rsid w:val="0014216F"/>
    <w:rsid w:val="0014275C"/>
    <w:rsid w:val="00142DD8"/>
    <w:rsid w:val="001434E1"/>
    <w:rsid w:val="00143850"/>
    <w:rsid w:val="00143936"/>
    <w:rsid w:val="00143F17"/>
    <w:rsid w:val="00144361"/>
    <w:rsid w:val="001446BC"/>
    <w:rsid w:val="00144854"/>
    <w:rsid w:val="00144CE8"/>
    <w:rsid w:val="00145552"/>
    <w:rsid w:val="00145A74"/>
    <w:rsid w:val="00145ADA"/>
    <w:rsid w:val="00145B6F"/>
    <w:rsid w:val="00145ECB"/>
    <w:rsid w:val="0014605B"/>
    <w:rsid w:val="001462B5"/>
    <w:rsid w:val="00147478"/>
    <w:rsid w:val="00147882"/>
    <w:rsid w:val="00147E9F"/>
    <w:rsid w:val="00150306"/>
    <w:rsid w:val="00150640"/>
    <w:rsid w:val="00150AA9"/>
    <w:rsid w:val="00150ADD"/>
    <w:rsid w:val="00151403"/>
    <w:rsid w:val="001516A9"/>
    <w:rsid w:val="00151742"/>
    <w:rsid w:val="001520B2"/>
    <w:rsid w:val="001524C0"/>
    <w:rsid w:val="001526DE"/>
    <w:rsid w:val="001529F4"/>
    <w:rsid w:val="00153313"/>
    <w:rsid w:val="00153507"/>
    <w:rsid w:val="00153602"/>
    <w:rsid w:val="00153BC9"/>
    <w:rsid w:val="0015415C"/>
    <w:rsid w:val="00154849"/>
    <w:rsid w:val="00154934"/>
    <w:rsid w:val="00154BB1"/>
    <w:rsid w:val="00154D6C"/>
    <w:rsid w:val="00155E69"/>
    <w:rsid w:val="00155FAA"/>
    <w:rsid w:val="00155FB8"/>
    <w:rsid w:val="00156290"/>
    <w:rsid w:val="001564AF"/>
    <w:rsid w:val="0015657D"/>
    <w:rsid w:val="001567EC"/>
    <w:rsid w:val="00156B97"/>
    <w:rsid w:val="00156EF1"/>
    <w:rsid w:val="00157B16"/>
    <w:rsid w:val="00157B8D"/>
    <w:rsid w:val="00157DD2"/>
    <w:rsid w:val="0016005F"/>
    <w:rsid w:val="00160396"/>
    <w:rsid w:val="00160EA0"/>
    <w:rsid w:val="0016148B"/>
    <w:rsid w:val="0016164B"/>
    <w:rsid w:val="001623AB"/>
    <w:rsid w:val="00162623"/>
    <w:rsid w:val="001629F0"/>
    <w:rsid w:val="001632B5"/>
    <w:rsid w:val="0016379C"/>
    <w:rsid w:val="00163EF4"/>
    <w:rsid w:val="00164042"/>
    <w:rsid w:val="0016459C"/>
    <w:rsid w:val="0016479D"/>
    <w:rsid w:val="001647EF"/>
    <w:rsid w:val="00164E66"/>
    <w:rsid w:val="0016576A"/>
    <w:rsid w:val="001659E3"/>
    <w:rsid w:val="00165C75"/>
    <w:rsid w:val="0016627E"/>
    <w:rsid w:val="001666C1"/>
    <w:rsid w:val="0016680C"/>
    <w:rsid w:val="00166823"/>
    <w:rsid w:val="00166BC0"/>
    <w:rsid w:val="00166DCE"/>
    <w:rsid w:val="001670F6"/>
    <w:rsid w:val="001677AA"/>
    <w:rsid w:val="001677C5"/>
    <w:rsid w:val="00167E47"/>
    <w:rsid w:val="00167E56"/>
    <w:rsid w:val="00167EB4"/>
    <w:rsid w:val="00170A17"/>
    <w:rsid w:val="00170F2F"/>
    <w:rsid w:val="00170FD3"/>
    <w:rsid w:val="00171D23"/>
    <w:rsid w:val="00171ED6"/>
    <w:rsid w:val="001721C4"/>
    <w:rsid w:val="0017248F"/>
    <w:rsid w:val="0017293E"/>
    <w:rsid w:val="00172B72"/>
    <w:rsid w:val="001739F7"/>
    <w:rsid w:val="00173C84"/>
    <w:rsid w:val="00174046"/>
    <w:rsid w:val="00174256"/>
    <w:rsid w:val="00174288"/>
    <w:rsid w:val="0017461C"/>
    <w:rsid w:val="001749FD"/>
    <w:rsid w:val="00174A15"/>
    <w:rsid w:val="00174DAB"/>
    <w:rsid w:val="00175593"/>
    <w:rsid w:val="0017592F"/>
    <w:rsid w:val="0017646E"/>
    <w:rsid w:val="0017699A"/>
    <w:rsid w:val="00180878"/>
    <w:rsid w:val="001808CF"/>
    <w:rsid w:val="00180A0D"/>
    <w:rsid w:val="00180E9A"/>
    <w:rsid w:val="00180EB6"/>
    <w:rsid w:val="00180F88"/>
    <w:rsid w:val="0018177A"/>
    <w:rsid w:val="00181A3C"/>
    <w:rsid w:val="001820B5"/>
    <w:rsid w:val="00182179"/>
    <w:rsid w:val="00182A1A"/>
    <w:rsid w:val="00183323"/>
    <w:rsid w:val="001833C8"/>
    <w:rsid w:val="00183931"/>
    <w:rsid w:val="00183BCD"/>
    <w:rsid w:val="00183D38"/>
    <w:rsid w:val="001841E5"/>
    <w:rsid w:val="001843A0"/>
    <w:rsid w:val="0018447F"/>
    <w:rsid w:val="00185169"/>
    <w:rsid w:val="00185DEA"/>
    <w:rsid w:val="00185EDE"/>
    <w:rsid w:val="0018622E"/>
    <w:rsid w:val="001862BC"/>
    <w:rsid w:val="001862DA"/>
    <w:rsid w:val="0018656C"/>
    <w:rsid w:val="00186796"/>
    <w:rsid w:val="00187102"/>
    <w:rsid w:val="00187C36"/>
    <w:rsid w:val="00187C9A"/>
    <w:rsid w:val="00190C20"/>
    <w:rsid w:val="00190C48"/>
    <w:rsid w:val="00190DA0"/>
    <w:rsid w:val="00190E7F"/>
    <w:rsid w:val="00191F53"/>
    <w:rsid w:val="00193164"/>
    <w:rsid w:val="001931F7"/>
    <w:rsid w:val="001937FB"/>
    <w:rsid w:val="00193A6A"/>
    <w:rsid w:val="001940E1"/>
    <w:rsid w:val="00194823"/>
    <w:rsid w:val="00194E34"/>
    <w:rsid w:val="001953F5"/>
    <w:rsid w:val="0019553D"/>
    <w:rsid w:val="00195AAD"/>
    <w:rsid w:val="00195ECE"/>
    <w:rsid w:val="00195F19"/>
    <w:rsid w:val="00196021"/>
    <w:rsid w:val="0019617F"/>
    <w:rsid w:val="0019622D"/>
    <w:rsid w:val="001964DB"/>
    <w:rsid w:val="00196728"/>
    <w:rsid w:val="001979C9"/>
    <w:rsid w:val="00197C3B"/>
    <w:rsid w:val="00197CA1"/>
    <w:rsid w:val="00197F26"/>
    <w:rsid w:val="001A0260"/>
    <w:rsid w:val="001A027B"/>
    <w:rsid w:val="001A0512"/>
    <w:rsid w:val="001A051E"/>
    <w:rsid w:val="001A0719"/>
    <w:rsid w:val="001A0A29"/>
    <w:rsid w:val="001A0D9F"/>
    <w:rsid w:val="001A101D"/>
    <w:rsid w:val="001A1515"/>
    <w:rsid w:val="001A1887"/>
    <w:rsid w:val="001A1C90"/>
    <w:rsid w:val="001A1D6D"/>
    <w:rsid w:val="001A1E0F"/>
    <w:rsid w:val="001A25E5"/>
    <w:rsid w:val="001A2AE6"/>
    <w:rsid w:val="001A2B63"/>
    <w:rsid w:val="001A2C5B"/>
    <w:rsid w:val="001A2D80"/>
    <w:rsid w:val="001A34C4"/>
    <w:rsid w:val="001A3DD2"/>
    <w:rsid w:val="001A42CF"/>
    <w:rsid w:val="001A44F1"/>
    <w:rsid w:val="001A45CE"/>
    <w:rsid w:val="001A4727"/>
    <w:rsid w:val="001A550F"/>
    <w:rsid w:val="001A5AF2"/>
    <w:rsid w:val="001A5F82"/>
    <w:rsid w:val="001A64E2"/>
    <w:rsid w:val="001A64FB"/>
    <w:rsid w:val="001A67EF"/>
    <w:rsid w:val="001A6CAB"/>
    <w:rsid w:val="001A6CD7"/>
    <w:rsid w:val="001A6E96"/>
    <w:rsid w:val="001A76DB"/>
    <w:rsid w:val="001A7C9B"/>
    <w:rsid w:val="001B0449"/>
    <w:rsid w:val="001B0A0E"/>
    <w:rsid w:val="001B119E"/>
    <w:rsid w:val="001B124C"/>
    <w:rsid w:val="001B155C"/>
    <w:rsid w:val="001B1D62"/>
    <w:rsid w:val="001B1F6E"/>
    <w:rsid w:val="001B2917"/>
    <w:rsid w:val="001B296D"/>
    <w:rsid w:val="001B2C99"/>
    <w:rsid w:val="001B31E9"/>
    <w:rsid w:val="001B376E"/>
    <w:rsid w:val="001B3B8C"/>
    <w:rsid w:val="001B3FD8"/>
    <w:rsid w:val="001B4025"/>
    <w:rsid w:val="001B40DD"/>
    <w:rsid w:val="001B4814"/>
    <w:rsid w:val="001B48F3"/>
    <w:rsid w:val="001B4922"/>
    <w:rsid w:val="001B5630"/>
    <w:rsid w:val="001B5BF4"/>
    <w:rsid w:val="001B6559"/>
    <w:rsid w:val="001B6C4D"/>
    <w:rsid w:val="001B6F82"/>
    <w:rsid w:val="001B7314"/>
    <w:rsid w:val="001C0005"/>
    <w:rsid w:val="001C0782"/>
    <w:rsid w:val="001C0DE4"/>
    <w:rsid w:val="001C0FF6"/>
    <w:rsid w:val="001C18CB"/>
    <w:rsid w:val="001C194A"/>
    <w:rsid w:val="001C1C36"/>
    <w:rsid w:val="001C1FD2"/>
    <w:rsid w:val="001C3362"/>
    <w:rsid w:val="001C3E50"/>
    <w:rsid w:val="001C4354"/>
    <w:rsid w:val="001C48AA"/>
    <w:rsid w:val="001C4988"/>
    <w:rsid w:val="001C4CE0"/>
    <w:rsid w:val="001C5416"/>
    <w:rsid w:val="001C5A28"/>
    <w:rsid w:val="001C604E"/>
    <w:rsid w:val="001C62C7"/>
    <w:rsid w:val="001C67A9"/>
    <w:rsid w:val="001C6A97"/>
    <w:rsid w:val="001C7204"/>
    <w:rsid w:val="001C752E"/>
    <w:rsid w:val="001C7537"/>
    <w:rsid w:val="001C7C6A"/>
    <w:rsid w:val="001C7F16"/>
    <w:rsid w:val="001D02B4"/>
    <w:rsid w:val="001D0464"/>
    <w:rsid w:val="001D084A"/>
    <w:rsid w:val="001D08B9"/>
    <w:rsid w:val="001D0E7A"/>
    <w:rsid w:val="001D1C51"/>
    <w:rsid w:val="001D1C6D"/>
    <w:rsid w:val="001D2830"/>
    <w:rsid w:val="001D2D0A"/>
    <w:rsid w:val="001D2F79"/>
    <w:rsid w:val="001D32F3"/>
    <w:rsid w:val="001D33A7"/>
    <w:rsid w:val="001D3CC4"/>
    <w:rsid w:val="001D42E0"/>
    <w:rsid w:val="001D4342"/>
    <w:rsid w:val="001D484E"/>
    <w:rsid w:val="001D4991"/>
    <w:rsid w:val="001D4CCE"/>
    <w:rsid w:val="001D4D55"/>
    <w:rsid w:val="001D4EF9"/>
    <w:rsid w:val="001D5677"/>
    <w:rsid w:val="001D5ACE"/>
    <w:rsid w:val="001D6174"/>
    <w:rsid w:val="001D6660"/>
    <w:rsid w:val="001D67AA"/>
    <w:rsid w:val="001D694E"/>
    <w:rsid w:val="001D6CC6"/>
    <w:rsid w:val="001D7411"/>
    <w:rsid w:val="001D7584"/>
    <w:rsid w:val="001E0BA1"/>
    <w:rsid w:val="001E1488"/>
    <w:rsid w:val="001E1555"/>
    <w:rsid w:val="001E18F2"/>
    <w:rsid w:val="001E243A"/>
    <w:rsid w:val="001E2444"/>
    <w:rsid w:val="001E269F"/>
    <w:rsid w:val="001E2903"/>
    <w:rsid w:val="001E3803"/>
    <w:rsid w:val="001E3849"/>
    <w:rsid w:val="001E491A"/>
    <w:rsid w:val="001E49A1"/>
    <w:rsid w:val="001E49B0"/>
    <w:rsid w:val="001E4CB9"/>
    <w:rsid w:val="001E59E6"/>
    <w:rsid w:val="001E5F94"/>
    <w:rsid w:val="001E6077"/>
    <w:rsid w:val="001E6119"/>
    <w:rsid w:val="001E69A9"/>
    <w:rsid w:val="001E6A81"/>
    <w:rsid w:val="001E6B10"/>
    <w:rsid w:val="001E6BEA"/>
    <w:rsid w:val="001E6FBB"/>
    <w:rsid w:val="001E728F"/>
    <w:rsid w:val="001E73BE"/>
    <w:rsid w:val="001F0638"/>
    <w:rsid w:val="001F07D2"/>
    <w:rsid w:val="001F0B73"/>
    <w:rsid w:val="001F0E29"/>
    <w:rsid w:val="001F1922"/>
    <w:rsid w:val="001F1A9C"/>
    <w:rsid w:val="001F1ED9"/>
    <w:rsid w:val="001F1F30"/>
    <w:rsid w:val="001F208D"/>
    <w:rsid w:val="001F274A"/>
    <w:rsid w:val="001F37D2"/>
    <w:rsid w:val="001F3995"/>
    <w:rsid w:val="001F3B11"/>
    <w:rsid w:val="001F3BF3"/>
    <w:rsid w:val="001F42AC"/>
    <w:rsid w:val="001F463F"/>
    <w:rsid w:val="001F52E4"/>
    <w:rsid w:val="001F5BD8"/>
    <w:rsid w:val="001F62C9"/>
    <w:rsid w:val="001F6452"/>
    <w:rsid w:val="001F69E8"/>
    <w:rsid w:val="001F6AD4"/>
    <w:rsid w:val="001F723E"/>
    <w:rsid w:val="001F7254"/>
    <w:rsid w:val="001F75F4"/>
    <w:rsid w:val="001F77F3"/>
    <w:rsid w:val="001F7929"/>
    <w:rsid w:val="002001ED"/>
    <w:rsid w:val="00200889"/>
    <w:rsid w:val="00200CF6"/>
    <w:rsid w:val="00201C0B"/>
    <w:rsid w:val="00202745"/>
    <w:rsid w:val="00203C8D"/>
    <w:rsid w:val="00203F4B"/>
    <w:rsid w:val="00204210"/>
    <w:rsid w:val="00204275"/>
    <w:rsid w:val="00204628"/>
    <w:rsid w:val="002047D1"/>
    <w:rsid w:val="00204913"/>
    <w:rsid w:val="00204A1D"/>
    <w:rsid w:val="00204E6E"/>
    <w:rsid w:val="00204ED9"/>
    <w:rsid w:val="0020519F"/>
    <w:rsid w:val="002054C1"/>
    <w:rsid w:val="0020737C"/>
    <w:rsid w:val="0020744F"/>
    <w:rsid w:val="002074D3"/>
    <w:rsid w:val="002079DA"/>
    <w:rsid w:val="00207AEE"/>
    <w:rsid w:val="00207BFF"/>
    <w:rsid w:val="002100F8"/>
    <w:rsid w:val="00210111"/>
    <w:rsid w:val="002104A2"/>
    <w:rsid w:val="00210A61"/>
    <w:rsid w:val="00210BCB"/>
    <w:rsid w:val="00210FDD"/>
    <w:rsid w:val="00211A26"/>
    <w:rsid w:val="002120BE"/>
    <w:rsid w:val="002121D7"/>
    <w:rsid w:val="0021240F"/>
    <w:rsid w:val="00212AD9"/>
    <w:rsid w:val="00212F1A"/>
    <w:rsid w:val="0021324E"/>
    <w:rsid w:val="00213344"/>
    <w:rsid w:val="00213346"/>
    <w:rsid w:val="002134AF"/>
    <w:rsid w:val="002137C5"/>
    <w:rsid w:val="002138BA"/>
    <w:rsid w:val="00213C32"/>
    <w:rsid w:val="0021432A"/>
    <w:rsid w:val="002145BB"/>
    <w:rsid w:val="00214722"/>
    <w:rsid w:val="00214F88"/>
    <w:rsid w:val="002158F3"/>
    <w:rsid w:val="00216A10"/>
    <w:rsid w:val="00216DDC"/>
    <w:rsid w:val="00217167"/>
    <w:rsid w:val="002172FC"/>
    <w:rsid w:val="00217FC0"/>
    <w:rsid w:val="00220596"/>
    <w:rsid w:val="0022095E"/>
    <w:rsid w:val="00220EA7"/>
    <w:rsid w:val="002214E5"/>
    <w:rsid w:val="00221789"/>
    <w:rsid w:val="002217B7"/>
    <w:rsid w:val="00221843"/>
    <w:rsid w:val="00221E49"/>
    <w:rsid w:val="002228D4"/>
    <w:rsid w:val="00222A80"/>
    <w:rsid w:val="00222C82"/>
    <w:rsid w:val="00222E1B"/>
    <w:rsid w:val="00223613"/>
    <w:rsid w:val="00223BB9"/>
    <w:rsid w:val="00223E04"/>
    <w:rsid w:val="00223E51"/>
    <w:rsid w:val="00223F10"/>
    <w:rsid w:val="00224025"/>
    <w:rsid w:val="002244CF"/>
    <w:rsid w:val="00224525"/>
    <w:rsid w:val="00224579"/>
    <w:rsid w:val="00224A77"/>
    <w:rsid w:val="00224F84"/>
    <w:rsid w:val="00225A4E"/>
    <w:rsid w:val="00225F63"/>
    <w:rsid w:val="00226B0E"/>
    <w:rsid w:val="00226EBC"/>
    <w:rsid w:val="0022743A"/>
    <w:rsid w:val="00227954"/>
    <w:rsid w:val="00227979"/>
    <w:rsid w:val="00227B37"/>
    <w:rsid w:val="00230144"/>
    <w:rsid w:val="00230298"/>
    <w:rsid w:val="00230960"/>
    <w:rsid w:val="00230D4E"/>
    <w:rsid w:val="00230FEB"/>
    <w:rsid w:val="002312F2"/>
    <w:rsid w:val="002313D0"/>
    <w:rsid w:val="0023163D"/>
    <w:rsid w:val="00231755"/>
    <w:rsid w:val="002317A0"/>
    <w:rsid w:val="00231CC6"/>
    <w:rsid w:val="00231DE6"/>
    <w:rsid w:val="00231E20"/>
    <w:rsid w:val="00234747"/>
    <w:rsid w:val="00234781"/>
    <w:rsid w:val="00234DFF"/>
    <w:rsid w:val="00234E58"/>
    <w:rsid w:val="00235263"/>
    <w:rsid w:val="00235285"/>
    <w:rsid w:val="0023575A"/>
    <w:rsid w:val="00235B6F"/>
    <w:rsid w:val="0023602E"/>
    <w:rsid w:val="00236359"/>
    <w:rsid w:val="002365AF"/>
    <w:rsid w:val="002369B6"/>
    <w:rsid w:val="002369F9"/>
    <w:rsid w:val="00236E18"/>
    <w:rsid w:val="002375C4"/>
    <w:rsid w:val="002375F4"/>
    <w:rsid w:val="002376E0"/>
    <w:rsid w:val="00237AF0"/>
    <w:rsid w:val="00237F0F"/>
    <w:rsid w:val="002408D7"/>
    <w:rsid w:val="002409A9"/>
    <w:rsid w:val="00240A2A"/>
    <w:rsid w:val="00240BBE"/>
    <w:rsid w:val="0024115D"/>
    <w:rsid w:val="00241966"/>
    <w:rsid w:val="00241C31"/>
    <w:rsid w:val="00242043"/>
    <w:rsid w:val="00242770"/>
    <w:rsid w:val="00242BC4"/>
    <w:rsid w:val="002435DA"/>
    <w:rsid w:val="0024370D"/>
    <w:rsid w:val="0024425E"/>
    <w:rsid w:val="00245461"/>
    <w:rsid w:val="0024555A"/>
    <w:rsid w:val="00245727"/>
    <w:rsid w:val="0024607B"/>
    <w:rsid w:val="0024659B"/>
    <w:rsid w:val="00246B73"/>
    <w:rsid w:val="00246FF8"/>
    <w:rsid w:val="00250667"/>
    <w:rsid w:val="00250A8A"/>
    <w:rsid w:val="00250C0B"/>
    <w:rsid w:val="00250EF7"/>
    <w:rsid w:val="00251BBA"/>
    <w:rsid w:val="00252088"/>
    <w:rsid w:val="002529C6"/>
    <w:rsid w:val="00252CE5"/>
    <w:rsid w:val="0025301A"/>
    <w:rsid w:val="002530C0"/>
    <w:rsid w:val="00253938"/>
    <w:rsid w:val="00254205"/>
    <w:rsid w:val="002543FA"/>
    <w:rsid w:val="002546D9"/>
    <w:rsid w:val="002549F6"/>
    <w:rsid w:val="0025526D"/>
    <w:rsid w:val="00255865"/>
    <w:rsid w:val="00255ADD"/>
    <w:rsid w:val="00255BB0"/>
    <w:rsid w:val="00255BB4"/>
    <w:rsid w:val="00256248"/>
    <w:rsid w:val="002563E4"/>
    <w:rsid w:val="0025671F"/>
    <w:rsid w:val="00256999"/>
    <w:rsid w:val="00257474"/>
    <w:rsid w:val="002574EA"/>
    <w:rsid w:val="00257822"/>
    <w:rsid w:val="00257B80"/>
    <w:rsid w:val="00257DC6"/>
    <w:rsid w:val="002601D9"/>
    <w:rsid w:val="00260697"/>
    <w:rsid w:val="002606C1"/>
    <w:rsid w:val="0026083B"/>
    <w:rsid w:val="00260904"/>
    <w:rsid w:val="00260A1A"/>
    <w:rsid w:val="00260C4B"/>
    <w:rsid w:val="0026168F"/>
    <w:rsid w:val="00261738"/>
    <w:rsid w:val="0026208F"/>
    <w:rsid w:val="0026224E"/>
    <w:rsid w:val="002627F8"/>
    <w:rsid w:val="00262937"/>
    <w:rsid w:val="0026296C"/>
    <w:rsid w:val="00262E10"/>
    <w:rsid w:val="00263439"/>
    <w:rsid w:val="00263D3F"/>
    <w:rsid w:val="0026401C"/>
    <w:rsid w:val="00264242"/>
    <w:rsid w:val="002645C2"/>
    <w:rsid w:val="002648BE"/>
    <w:rsid w:val="00264A7C"/>
    <w:rsid w:val="00264C32"/>
    <w:rsid w:val="00265294"/>
    <w:rsid w:val="0026568C"/>
    <w:rsid w:val="00265E23"/>
    <w:rsid w:val="002663DB"/>
    <w:rsid w:val="00266513"/>
    <w:rsid w:val="00266617"/>
    <w:rsid w:val="002667DE"/>
    <w:rsid w:val="00267C79"/>
    <w:rsid w:val="00267CEB"/>
    <w:rsid w:val="00270321"/>
    <w:rsid w:val="00270B62"/>
    <w:rsid w:val="0027112E"/>
    <w:rsid w:val="00271785"/>
    <w:rsid w:val="00271EF9"/>
    <w:rsid w:val="002721B6"/>
    <w:rsid w:val="002726EE"/>
    <w:rsid w:val="00272C7D"/>
    <w:rsid w:val="00272D1C"/>
    <w:rsid w:val="0027317E"/>
    <w:rsid w:val="002731BF"/>
    <w:rsid w:val="002734AE"/>
    <w:rsid w:val="00273802"/>
    <w:rsid w:val="00273B3C"/>
    <w:rsid w:val="00273D09"/>
    <w:rsid w:val="00273D1C"/>
    <w:rsid w:val="0027479A"/>
    <w:rsid w:val="00274914"/>
    <w:rsid w:val="00274B03"/>
    <w:rsid w:val="00274C97"/>
    <w:rsid w:val="00274CF0"/>
    <w:rsid w:val="002751D3"/>
    <w:rsid w:val="0027598A"/>
    <w:rsid w:val="002763C7"/>
    <w:rsid w:val="002765BC"/>
    <w:rsid w:val="0027699F"/>
    <w:rsid w:val="00276E61"/>
    <w:rsid w:val="002771D8"/>
    <w:rsid w:val="00277218"/>
    <w:rsid w:val="00277368"/>
    <w:rsid w:val="00277840"/>
    <w:rsid w:val="00277DC7"/>
    <w:rsid w:val="002801C0"/>
    <w:rsid w:val="0028039E"/>
    <w:rsid w:val="002803EF"/>
    <w:rsid w:val="0028098C"/>
    <w:rsid w:val="00280D99"/>
    <w:rsid w:val="00280FA8"/>
    <w:rsid w:val="002815F6"/>
    <w:rsid w:val="00282080"/>
    <w:rsid w:val="00282B75"/>
    <w:rsid w:val="00282D2D"/>
    <w:rsid w:val="00282E4E"/>
    <w:rsid w:val="00282F3E"/>
    <w:rsid w:val="002834DA"/>
    <w:rsid w:val="002836EC"/>
    <w:rsid w:val="002838D5"/>
    <w:rsid w:val="00283D92"/>
    <w:rsid w:val="0028404E"/>
    <w:rsid w:val="002843D4"/>
    <w:rsid w:val="00284556"/>
    <w:rsid w:val="00284E19"/>
    <w:rsid w:val="00284E3D"/>
    <w:rsid w:val="002852A8"/>
    <w:rsid w:val="00285AAF"/>
    <w:rsid w:val="00285BF2"/>
    <w:rsid w:val="00286811"/>
    <w:rsid w:val="002869A0"/>
    <w:rsid w:val="00286B65"/>
    <w:rsid w:val="0028781F"/>
    <w:rsid w:val="00287DDA"/>
    <w:rsid w:val="002903CB"/>
    <w:rsid w:val="00290AD0"/>
    <w:rsid w:val="00290F16"/>
    <w:rsid w:val="00291424"/>
    <w:rsid w:val="00291990"/>
    <w:rsid w:val="00291D7F"/>
    <w:rsid w:val="00291EEE"/>
    <w:rsid w:val="00291F9B"/>
    <w:rsid w:val="00292116"/>
    <w:rsid w:val="002924CA"/>
    <w:rsid w:val="0029351A"/>
    <w:rsid w:val="00293680"/>
    <w:rsid w:val="00293B05"/>
    <w:rsid w:val="00294873"/>
    <w:rsid w:val="00295EE3"/>
    <w:rsid w:val="00296757"/>
    <w:rsid w:val="0029684E"/>
    <w:rsid w:val="00296A55"/>
    <w:rsid w:val="00296F11"/>
    <w:rsid w:val="00297C99"/>
    <w:rsid w:val="00297E02"/>
    <w:rsid w:val="00297EF7"/>
    <w:rsid w:val="002A0012"/>
    <w:rsid w:val="002A06D8"/>
    <w:rsid w:val="002A0EDA"/>
    <w:rsid w:val="002A17BF"/>
    <w:rsid w:val="002A19B5"/>
    <w:rsid w:val="002A1BA3"/>
    <w:rsid w:val="002A206A"/>
    <w:rsid w:val="002A265A"/>
    <w:rsid w:val="002A2763"/>
    <w:rsid w:val="002A28AB"/>
    <w:rsid w:val="002A2AB3"/>
    <w:rsid w:val="002A3332"/>
    <w:rsid w:val="002A3D52"/>
    <w:rsid w:val="002A3FA1"/>
    <w:rsid w:val="002A425B"/>
    <w:rsid w:val="002A42B5"/>
    <w:rsid w:val="002A4920"/>
    <w:rsid w:val="002A4DE1"/>
    <w:rsid w:val="002A501D"/>
    <w:rsid w:val="002A54BD"/>
    <w:rsid w:val="002A56C5"/>
    <w:rsid w:val="002A5879"/>
    <w:rsid w:val="002A5968"/>
    <w:rsid w:val="002A66BD"/>
    <w:rsid w:val="002A68A3"/>
    <w:rsid w:val="002A6C69"/>
    <w:rsid w:val="002A6D2D"/>
    <w:rsid w:val="002A7576"/>
    <w:rsid w:val="002A77C6"/>
    <w:rsid w:val="002A78B6"/>
    <w:rsid w:val="002A7A8D"/>
    <w:rsid w:val="002A7C94"/>
    <w:rsid w:val="002B0094"/>
    <w:rsid w:val="002B05B8"/>
    <w:rsid w:val="002B0CE6"/>
    <w:rsid w:val="002B0DF1"/>
    <w:rsid w:val="002B13EC"/>
    <w:rsid w:val="002B149D"/>
    <w:rsid w:val="002B1B32"/>
    <w:rsid w:val="002B1C05"/>
    <w:rsid w:val="002B2219"/>
    <w:rsid w:val="002B401B"/>
    <w:rsid w:val="002B405D"/>
    <w:rsid w:val="002B4795"/>
    <w:rsid w:val="002B47E1"/>
    <w:rsid w:val="002B4D4C"/>
    <w:rsid w:val="002B4E76"/>
    <w:rsid w:val="002B52A2"/>
    <w:rsid w:val="002B5453"/>
    <w:rsid w:val="002B5FFE"/>
    <w:rsid w:val="002B6FEF"/>
    <w:rsid w:val="002B77B2"/>
    <w:rsid w:val="002B7800"/>
    <w:rsid w:val="002B7C53"/>
    <w:rsid w:val="002B7ECB"/>
    <w:rsid w:val="002C0628"/>
    <w:rsid w:val="002C0771"/>
    <w:rsid w:val="002C10F6"/>
    <w:rsid w:val="002C17DB"/>
    <w:rsid w:val="002C1D8C"/>
    <w:rsid w:val="002C1F2B"/>
    <w:rsid w:val="002C2C07"/>
    <w:rsid w:val="002C2FB1"/>
    <w:rsid w:val="002C35FE"/>
    <w:rsid w:val="002C36B3"/>
    <w:rsid w:val="002C36F9"/>
    <w:rsid w:val="002C3CFF"/>
    <w:rsid w:val="002C4602"/>
    <w:rsid w:val="002C52A1"/>
    <w:rsid w:val="002C5777"/>
    <w:rsid w:val="002C5990"/>
    <w:rsid w:val="002C5FCF"/>
    <w:rsid w:val="002C642B"/>
    <w:rsid w:val="002C678F"/>
    <w:rsid w:val="002C6926"/>
    <w:rsid w:val="002C79E2"/>
    <w:rsid w:val="002C7C5B"/>
    <w:rsid w:val="002C7D09"/>
    <w:rsid w:val="002D0C41"/>
    <w:rsid w:val="002D1007"/>
    <w:rsid w:val="002D138C"/>
    <w:rsid w:val="002D168B"/>
    <w:rsid w:val="002D16EB"/>
    <w:rsid w:val="002D18D6"/>
    <w:rsid w:val="002D24AE"/>
    <w:rsid w:val="002D27D7"/>
    <w:rsid w:val="002D2A39"/>
    <w:rsid w:val="002D2A50"/>
    <w:rsid w:val="002D3066"/>
    <w:rsid w:val="002D3454"/>
    <w:rsid w:val="002D3990"/>
    <w:rsid w:val="002D3FE1"/>
    <w:rsid w:val="002D42B4"/>
    <w:rsid w:val="002D42D1"/>
    <w:rsid w:val="002D42EF"/>
    <w:rsid w:val="002D4748"/>
    <w:rsid w:val="002D4824"/>
    <w:rsid w:val="002D4961"/>
    <w:rsid w:val="002D50FD"/>
    <w:rsid w:val="002D5529"/>
    <w:rsid w:val="002D5983"/>
    <w:rsid w:val="002D59D5"/>
    <w:rsid w:val="002D59F3"/>
    <w:rsid w:val="002D5DBC"/>
    <w:rsid w:val="002D6815"/>
    <w:rsid w:val="002D69F8"/>
    <w:rsid w:val="002D6E67"/>
    <w:rsid w:val="002E0037"/>
    <w:rsid w:val="002E067F"/>
    <w:rsid w:val="002E0E7A"/>
    <w:rsid w:val="002E1297"/>
    <w:rsid w:val="002E150B"/>
    <w:rsid w:val="002E1F68"/>
    <w:rsid w:val="002E2AE5"/>
    <w:rsid w:val="002E2E11"/>
    <w:rsid w:val="002E3146"/>
    <w:rsid w:val="002E3362"/>
    <w:rsid w:val="002E3D6F"/>
    <w:rsid w:val="002E412C"/>
    <w:rsid w:val="002E41DC"/>
    <w:rsid w:val="002E4A8C"/>
    <w:rsid w:val="002E54BF"/>
    <w:rsid w:val="002E58CB"/>
    <w:rsid w:val="002E5F4E"/>
    <w:rsid w:val="002E6226"/>
    <w:rsid w:val="002E6991"/>
    <w:rsid w:val="002E719C"/>
    <w:rsid w:val="002E7A24"/>
    <w:rsid w:val="002F097C"/>
    <w:rsid w:val="002F0AF3"/>
    <w:rsid w:val="002F0D66"/>
    <w:rsid w:val="002F0F17"/>
    <w:rsid w:val="002F0F32"/>
    <w:rsid w:val="002F1B59"/>
    <w:rsid w:val="002F1DFC"/>
    <w:rsid w:val="002F23F3"/>
    <w:rsid w:val="002F2EB9"/>
    <w:rsid w:val="002F359B"/>
    <w:rsid w:val="002F3986"/>
    <w:rsid w:val="002F3C11"/>
    <w:rsid w:val="002F3E7E"/>
    <w:rsid w:val="002F40A0"/>
    <w:rsid w:val="002F4A8A"/>
    <w:rsid w:val="002F4C59"/>
    <w:rsid w:val="002F5355"/>
    <w:rsid w:val="002F567A"/>
    <w:rsid w:val="002F5E79"/>
    <w:rsid w:val="002F63C1"/>
    <w:rsid w:val="002F680E"/>
    <w:rsid w:val="002F6941"/>
    <w:rsid w:val="002F6A70"/>
    <w:rsid w:val="002F6EDC"/>
    <w:rsid w:val="002F6F6C"/>
    <w:rsid w:val="002F706E"/>
    <w:rsid w:val="002F7487"/>
    <w:rsid w:val="002F74CC"/>
    <w:rsid w:val="002F799B"/>
    <w:rsid w:val="002F7C01"/>
    <w:rsid w:val="002F7DBF"/>
    <w:rsid w:val="0030112E"/>
    <w:rsid w:val="00301230"/>
    <w:rsid w:val="003017D3"/>
    <w:rsid w:val="003019BF"/>
    <w:rsid w:val="00301D6C"/>
    <w:rsid w:val="00301F44"/>
    <w:rsid w:val="00304138"/>
    <w:rsid w:val="00304283"/>
    <w:rsid w:val="00304498"/>
    <w:rsid w:val="00304922"/>
    <w:rsid w:val="003051E3"/>
    <w:rsid w:val="0030531E"/>
    <w:rsid w:val="003056B2"/>
    <w:rsid w:val="003059CD"/>
    <w:rsid w:val="00306322"/>
    <w:rsid w:val="0030651C"/>
    <w:rsid w:val="003065BB"/>
    <w:rsid w:val="00306A29"/>
    <w:rsid w:val="00306E85"/>
    <w:rsid w:val="00307979"/>
    <w:rsid w:val="0031054A"/>
    <w:rsid w:val="003109C2"/>
    <w:rsid w:val="003110CF"/>
    <w:rsid w:val="00311210"/>
    <w:rsid w:val="003112FB"/>
    <w:rsid w:val="0031154C"/>
    <w:rsid w:val="00311A56"/>
    <w:rsid w:val="00312354"/>
    <w:rsid w:val="003130FF"/>
    <w:rsid w:val="00313248"/>
    <w:rsid w:val="00313525"/>
    <w:rsid w:val="00313784"/>
    <w:rsid w:val="00313C4A"/>
    <w:rsid w:val="00313EAF"/>
    <w:rsid w:val="00313F73"/>
    <w:rsid w:val="00314046"/>
    <w:rsid w:val="00314236"/>
    <w:rsid w:val="00315269"/>
    <w:rsid w:val="00315720"/>
    <w:rsid w:val="0031597F"/>
    <w:rsid w:val="00315C0C"/>
    <w:rsid w:val="003164C1"/>
    <w:rsid w:val="00316F7E"/>
    <w:rsid w:val="0031719C"/>
    <w:rsid w:val="00317860"/>
    <w:rsid w:val="00317B24"/>
    <w:rsid w:val="00317CA7"/>
    <w:rsid w:val="00317DE7"/>
    <w:rsid w:val="00320280"/>
    <w:rsid w:val="00320481"/>
    <w:rsid w:val="003206F0"/>
    <w:rsid w:val="0032083A"/>
    <w:rsid w:val="00320C85"/>
    <w:rsid w:val="00320DB6"/>
    <w:rsid w:val="00320E71"/>
    <w:rsid w:val="00320EA6"/>
    <w:rsid w:val="00321238"/>
    <w:rsid w:val="003215FB"/>
    <w:rsid w:val="00321966"/>
    <w:rsid w:val="00321C43"/>
    <w:rsid w:val="00321E23"/>
    <w:rsid w:val="003223BB"/>
    <w:rsid w:val="003224C0"/>
    <w:rsid w:val="00322995"/>
    <w:rsid w:val="00322D7E"/>
    <w:rsid w:val="00322F64"/>
    <w:rsid w:val="00323DBB"/>
    <w:rsid w:val="003240AF"/>
    <w:rsid w:val="00324270"/>
    <w:rsid w:val="0032458C"/>
    <w:rsid w:val="003246B8"/>
    <w:rsid w:val="0032512B"/>
    <w:rsid w:val="00325232"/>
    <w:rsid w:val="00325310"/>
    <w:rsid w:val="00325461"/>
    <w:rsid w:val="003256D0"/>
    <w:rsid w:val="003262FD"/>
    <w:rsid w:val="003269F1"/>
    <w:rsid w:val="00326AF6"/>
    <w:rsid w:val="00326C0C"/>
    <w:rsid w:val="00326FB3"/>
    <w:rsid w:val="00327794"/>
    <w:rsid w:val="00327824"/>
    <w:rsid w:val="00330074"/>
    <w:rsid w:val="003302F3"/>
    <w:rsid w:val="003303AE"/>
    <w:rsid w:val="003320D4"/>
    <w:rsid w:val="003324A8"/>
    <w:rsid w:val="0033374B"/>
    <w:rsid w:val="003341C1"/>
    <w:rsid w:val="0033453D"/>
    <w:rsid w:val="00334620"/>
    <w:rsid w:val="003347F3"/>
    <w:rsid w:val="00334921"/>
    <w:rsid w:val="00334C85"/>
    <w:rsid w:val="00334D3D"/>
    <w:rsid w:val="0033508D"/>
    <w:rsid w:val="0033522E"/>
    <w:rsid w:val="0033531E"/>
    <w:rsid w:val="003355B3"/>
    <w:rsid w:val="00335A7D"/>
    <w:rsid w:val="00335D66"/>
    <w:rsid w:val="003361D4"/>
    <w:rsid w:val="003364FB"/>
    <w:rsid w:val="00336C02"/>
    <w:rsid w:val="00336EFD"/>
    <w:rsid w:val="00336F42"/>
    <w:rsid w:val="003371A5"/>
    <w:rsid w:val="00337376"/>
    <w:rsid w:val="0033746F"/>
    <w:rsid w:val="00337542"/>
    <w:rsid w:val="00337B6B"/>
    <w:rsid w:val="00337B74"/>
    <w:rsid w:val="00337CCB"/>
    <w:rsid w:val="00337D90"/>
    <w:rsid w:val="003408D8"/>
    <w:rsid w:val="00340A58"/>
    <w:rsid w:val="00340AC7"/>
    <w:rsid w:val="00341139"/>
    <w:rsid w:val="00341766"/>
    <w:rsid w:val="00341A02"/>
    <w:rsid w:val="003423EC"/>
    <w:rsid w:val="003425EF"/>
    <w:rsid w:val="00342868"/>
    <w:rsid w:val="003429E9"/>
    <w:rsid w:val="00342B02"/>
    <w:rsid w:val="0034300A"/>
    <w:rsid w:val="00343356"/>
    <w:rsid w:val="003433C2"/>
    <w:rsid w:val="00343627"/>
    <w:rsid w:val="0034409C"/>
    <w:rsid w:val="003442A4"/>
    <w:rsid w:val="003448EA"/>
    <w:rsid w:val="00345DA8"/>
    <w:rsid w:val="003467A2"/>
    <w:rsid w:val="003468A9"/>
    <w:rsid w:val="00346B08"/>
    <w:rsid w:val="00346C55"/>
    <w:rsid w:val="00347ABE"/>
    <w:rsid w:val="00350117"/>
    <w:rsid w:val="00350607"/>
    <w:rsid w:val="00350A33"/>
    <w:rsid w:val="00350BF9"/>
    <w:rsid w:val="00351519"/>
    <w:rsid w:val="00351712"/>
    <w:rsid w:val="00352A94"/>
    <w:rsid w:val="00352E12"/>
    <w:rsid w:val="003535CA"/>
    <w:rsid w:val="00353BE8"/>
    <w:rsid w:val="003548CB"/>
    <w:rsid w:val="00354BB6"/>
    <w:rsid w:val="00354F7C"/>
    <w:rsid w:val="00354FA2"/>
    <w:rsid w:val="0035590E"/>
    <w:rsid w:val="00355A07"/>
    <w:rsid w:val="00355B09"/>
    <w:rsid w:val="00355F69"/>
    <w:rsid w:val="00356095"/>
    <w:rsid w:val="00356562"/>
    <w:rsid w:val="00356A43"/>
    <w:rsid w:val="0035706F"/>
    <w:rsid w:val="0035735A"/>
    <w:rsid w:val="00357C45"/>
    <w:rsid w:val="00357FA7"/>
    <w:rsid w:val="0036071B"/>
    <w:rsid w:val="00360871"/>
    <w:rsid w:val="003610D1"/>
    <w:rsid w:val="00361452"/>
    <w:rsid w:val="00361A88"/>
    <w:rsid w:val="00361ADF"/>
    <w:rsid w:val="00361FB7"/>
    <w:rsid w:val="00362268"/>
    <w:rsid w:val="00362A71"/>
    <w:rsid w:val="0036302A"/>
    <w:rsid w:val="0036335D"/>
    <w:rsid w:val="00363B03"/>
    <w:rsid w:val="00363C3D"/>
    <w:rsid w:val="00363E29"/>
    <w:rsid w:val="0036434C"/>
    <w:rsid w:val="00364D95"/>
    <w:rsid w:val="00365024"/>
    <w:rsid w:val="003650E0"/>
    <w:rsid w:val="00365322"/>
    <w:rsid w:val="0036540C"/>
    <w:rsid w:val="00365E3E"/>
    <w:rsid w:val="0036656B"/>
    <w:rsid w:val="003666AD"/>
    <w:rsid w:val="003667C7"/>
    <w:rsid w:val="00366FCC"/>
    <w:rsid w:val="003672AE"/>
    <w:rsid w:val="003672E0"/>
    <w:rsid w:val="0036788A"/>
    <w:rsid w:val="00367B16"/>
    <w:rsid w:val="0037041C"/>
    <w:rsid w:val="003708E0"/>
    <w:rsid w:val="00371129"/>
    <w:rsid w:val="00371E24"/>
    <w:rsid w:val="00372794"/>
    <w:rsid w:val="0037281F"/>
    <w:rsid w:val="00372D83"/>
    <w:rsid w:val="00372DBE"/>
    <w:rsid w:val="003730C9"/>
    <w:rsid w:val="003731DC"/>
    <w:rsid w:val="003736AA"/>
    <w:rsid w:val="00373DBE"/>
    <w:rsid w:val="0037417F"/>
    <w:rsid w:val="00374B40"/>
    <w:rsid w:val="003752D6"/>
    <w:rsid w:val="0037612A"/>
    <w:rsid w:val="00376576"/>
    <w:rsid w:val="003765C2"/>
    <w:rsid w:val="0037694D"/>
    <w:rsid w:val="00376BF8"/>
    <w:rsid w:val="003772EC"/>
    <w:rsid w:val="0037749D"/>
    <w:rsid w:val="003779F2"/>
    <w:rsid w:val="0038030D"/>
    <w:rsid w:val="00380610"/>
    <w:rsid w:val="00381178"/>
    <w:rsid w:val="00381BF8"/>
    <w:rsid w:val="00381CA7"/>
    <w:rsid w:val="00382179"/>
    <w:rsid w:val="003821CC"/>
    <w:rsid w:val="00383035"/>
    <w:rsid w:val="003835F9"/>
    <w:rsid w:val="00383643"/>
    <w:rsid w:val="003837B7"/>
    <w:rsid w:val="00383B3E"/>
    <w:rsid w:val="00384351"/>
    <w:rsid w:val="0038446E"/>
    <w:rsid w:val="00384834"/>
    <w:rsid w:val="0038485A"/>
    <w:rsid w:val="00384C6F"/>
    <w:rsid w:val="00385049"/>
    <w:rsid w:val="003851A2"/>
    <w:rsid w:val="0038561F"/>
    <w:rsid w:val="00385A47"/>
    <w:rsid w:val="00385B5F"/>
    <w:rsid w:val="00385CA1"/>
    <w:rsid w:val="003861C9"/>
    <w:rsid w:val="003862E8"/>
    <w:rsid w:val="0038695C"/>
    <w:rsid w:val="00386D32"/>
    <w:rsid w:val="003876C1"/>
    <w:rsid w:val="00387B04"/>
    <w:rsid w:val="00387EB5"/>
    <w:rsid w:val="0039020C"/>
    <w:rsid w:val="00390C76"/>
    <w:rsid w:val="00391183"/>
    <w:rsid w:val="00391615"/>
    <w:rsid w:val="003918AE"/>
    <w:rsid w:val="003918D0"/>
    <w:rsid w:val="00391E36"/>
    <w:rsid w:val="00391F2B"/>
    <w:rsid w:val="003924ED"/>
    <w:rsid w:val="00392E62"/>
    <w:rsid w:val="00393364"/>
    <w:rsid w:val="003933E1"/>
    <w:rsid w:val="00393AAB"/>
    <w:rsid w:val="00395483"/>
    <w:rsid w:val="003961C0"/>
    <w:rsid w:val="00396E79"/>
    <w:rsid w:val="003A01A6"/>
    <w:rsid w:val="003A033C"/>
    <w:rsid w:val="003A0734"/>
    <w:rsid w:val="003A0A74"/>
    <w:rsid w:val="003A11D6"/>
    <w:rsid w:val="003A14BE"/>
    <w:rsid w:val="003A1A89"/>
    <w:rsid w:val="003A1C9E"/>
    <w:rsid w:val="003A2049"/>
    <w:rsid w:val="003A2614"/>
    <w:rsid w:val="003A2983"/>
    <w:rsid w:val="003A2AEE"/>
    <w:rsid w:val="003A2B7B"/>
    <w:rsid w:val="003A3559"/>
    <w:rsid w:val="003A365C"/>
    <w:rsid w:val="003A3D86"/>
    <w:rsid w:val="003A423D"/>
    <w:rsid w:val="003A4DB4"/>
    <w:rsid w:val="003A5455"/>
    <w:rsid w:val="003A5763"/>
    <w:rsid w:val="003A5B1C"/>
    <w:rsid w:val="003A6197"/>
    <w:rsid w:val="003A6503"/>
    <w:rsid w:val="003A6536"/>
    <w:rsid w:val="003A667A"/>
    <w:rsid w:val="003A6721"/>
    <w:rsid w:val="003A6780"/>
    <w:rsid w:val="003A7C7C"/>
    <w:rsid w:val="003A7F70"/>
    <w:rsid w:val="003B0F73"/>
    <w:rsid w:val="003B14C7"/>
    <w:rsid w:val="003B1967"/>
    <w:rsid w:val="003B1EF6"/>
    <w:rsid w:val="003B2122"/>
    <w:rsid w:val="003B2606"/>
    <w:rsid w:val="003B309F"/>
    <w:rsid w:val="003B3394"/>
    <w:rsid w:val="003B3486"/>
    <w:rsid w:val="003B35C9"/>
    <w:rsid w:val="003B3B58"/>
    <w:rsid w:val="003B3FA6"/>
    <w:rsid w:val="003B4293"/>
    <w:rsid w:val="003B4486"/>
    <w:rsid w:val="003B4744"/>
    <w:rsid w:val="003B48C2"/>
    <w:rsid w:val="003B527A"/>
    <w:rsid w:val="003B5B1F"/>
    <w:rsid w:val="003B5E5A"/>
    <w:rsid w:val="003B5F75"/>
    <w:rsid w:val="003B6063"/>
    <w:rsid w:val="003B648C"/>
    <w:rsid w:val="003B6AE5"/>
    <w:rsid w:val="003B6D28"/>
    <w:rsid w:val="003B723E"/>
    <w:rsid w:val="003B74B0"/>
    <w:rsid w:val="003C02D2"/>
    <w:rsid w:val="003C07B2"/>
    <w:rsid w:val="003C0D38"/>
    <w:rsid w:val="003C1316"/>
    <w:rsid w:val="003C146C"/>
    <w:rsid w:val="003C2036"/>
    <w:rsid w:val="003C21AE"/>
    <w:rsid w:val="003C26E8"/>
    <w:rsid w:val="003C2807"/>
    <w:rsid w:val="003C2833"/>
    <w:rsid w:val="003C2945"/>
    <w:rsid w:val="003C2A02"/>
    <w:rsid w:val="003C2B8D"/>
    <w:rsid w:val="003C2BF9"/>
    <w:rsid w:val="003C2D24"/>
    <w:rsid w:val="003C2E52"/>
    <w:rsid w:val="003C2EC1"/>
    <w:rsid w:val="003C31AF"/>
    <w:rsid w:val="003C31EC"/>
    <w:rsid w:val="003C4107"/>
    <w:rsid w:val="003C4B39"/>
    <w:rsid w:val="003C4E13"/>
    <w:rsid w:val="003C5472"/>
    <w:rsid w:val="003C58C6"/>
    <w:rsid w:val="003C598C"/>
    <w:rsid w:val="003C59A4"/>
    <w:rsid w:val="003C63E0"/>
    <w:rsid w:val="003C6C8B"/>
    <w:rsid w:val="003C76E5"/>
    <w:rsid w:val="003D0169"/>
    <w:rsid w:val="003D0685"/>
    <w:rsid w:val="003D07CE"/>
    <w:rsid w:val="003D11AC"/>
    <w:rsid w:val="003D12F5"/>
    <w:rsid w:val="003D152A"/>
    <w:rsid w:val="003D1812"/>
    <w:rsid w:val="003D1958"/>
    <w:rsid w:val="003D1E5E"/>
    <w:rsid w:val="003D20D8"/>
    <w:rsid w:val="003D2484"/>
    <w:rsid w:val="003D3324"/>
    <w:rsid w:val="003D3618"/>
    <w:rsid w:val="003D3CB7"/>
    <w:rsid w:val="003D3CFB"/>
    <w:rsid w:val="003D3D73"/>
    <w:rsid w:val="003D3DD4"/>
    <w:rsid w:val="003D3F37"/>
    <w:rsid w:val="003D497D"/>
    <w:rsid w:val="003D4E1A"/>
    <w:rsid w:val="003D5EF8"/>
    <w:rsid w:val="003D61EB"/>
    <w:rsid w:val="003D63B3"/>
    <w:rsid w:val="003D652F"/>
    <w:rsid w:val="003D6E97"/>
    <w:rsid w:val="003E004B"/>
    <w:rsid w:val="003E01D5"/>
    <w:rsid w:val="003E0FEE"/>
    <w:rsid w:val="003E1006"/>
    <w:rsid w:val="003E1349"/>
    <w:rsid w:val="003E16C3"/>
    <w:rsid w:val="003E1A1D"/>
    <w:rsid w:val="003E222D"/>
    <w:rsid w:val="003E2CD3"/>
    <w:rsid w:val="003E2EFE"/>
    <w:rsid w:val="003E2FF5"/>
    <w:rsid w:val="003E3236"/>
    <w:rsid w:val="003E34ED"/>
    <w:rsid w:val="003E35E0"/>
    <w:rsid w:val="003E3F31"/>
    <w:rsid w:val="003E4554"/>
    <w:rsid w:val="003E4D6D"/>
    <w:rsid w:val="003E4EE9"/>
    <w:rsid w:val="003E55D7"/>
    <w:rsid w:val="003E5E0D"/>
    <w:rsid w:val="003E5E70"/>
    <w:rsid w:val="003E68B9"/>
    <w:rsid w:val="003E6BF7"/>
    <w:rsid w:val="003E717E"/>
    <w:rsid w:val="003F01C4"/>
    <w:rsid w:val="003F03CF"/>
    <w:rsid w:val="003F041E"/>
    <w:rsid w:val="003F057E"/>
    <w:rsid w:val="003F0EEA"/>
    <w:rsid w:val="003F10A5"/>
    <w:rsid w:val="003F115F"/>
    <w:rsid w:val="003F15D9"/>
    <w:rsid w:val="003F2162"/>
    <w:rsid w:val="003F25F3"/>
    <w:rsid w:val="003F25F7"/>
    <w:rsid w:val="003F2857"/>
    <w:rsid w:val="003F29C8"/>
    <w:rsid w:val="003F2D36"/>
    <w:rsid w:val="003F2FA7"/>
    <w:rsid w:val="003F310A"/>
    <w:rsid w:val="003F3260"/>
    <w:rsid w:val="003F35AC"/>
    <w:rsid w:val="003F36A9"/>
    <w:rsid w:val="003F4458"/>
    <w:rsid w:val="003F46A9"/>
    <w:rsid w:val="003F475F"/>
    <w:rsid w:val="003F4B34"/>
    <w:rsid w:val="003F535D"/>
    <w:rsid w:val="003F5494"/>
    <w:rsid w:val="003F5A0D"/>
    <w:rsid w:val="003F5E96"/>
    <w:rsid w:val="003F60DC"/>
    <w:rsid w:val="003F6383"/>
    <w:rsid w:val="003F6615"/>
    <w:rsid w:val="003F72EE"/>
    <w:rsid w:val="00400386"/>
    <w:rsid w:val="004004E2"/>
    <w:rsid w:val="00400A66"/>
    <w:rsid w:val="00400EF0"/>
    <w:rsid w:val="0040223A"/>
    <w:rsid w:val="004022E2"/>
    <w:rsid w:val="00402725"/>
    <w:rsid w:val="0040287C"/>
    <w:rsid w:val="0040292C"/>
    <w:rsid w:val="00402CF6"/>
    <w:rsid w:val="00402D50"/>
    <w:rsid w:val="00402EE5"/>
    <w:rsid w:val="004036C2"/>
    <w:rsid w:val="00403AED"/>
    <w:rsid w:val="00403B72"/>
    <w:rsid w:val="00404294"/>
    <w:rsid w:val="0040466F"/>
    <w:rsid w:val="004047F4"/>
    <w:rsid w:val="004051F0"/>
    <w:rsid w:val="0040565D"/>
    <w:rsid w:val="00405784"/>
    <w:rsid w:val="004071DF"/>
    <w:rsid w:val="004073D1"/>
    <w:rsid w:val="004103F2"/>
    <w:rsid w:val="004104BE"/>
    <w:rsid w:val="00410AAA"/>
    <w:rsid w:val="00410C0D"/>
    <w:rsid w:val="004114AC"/>
    <w:rsid w:val="00411821"/>
    <w:rsid w:val="00411B08"/>
    <w:rsid w:val="00411F78"/>
    <w:rsid w:val="0041204F"/>
    <w:rsid w:val="004123F5"/>
    <w:rsid w:val="004124CD"/>
    <w:rsid w:val="0041277D"/>
    <w:rsid w:val="00412988"/>
    <w:rsid w:val="00412D78"/>
    <w:rsid w:val="004130CE"/>
    <w:rsid w:val="00413891"/>
    <w:rsid w:val="00413A50"/>
    <w:rsid w:val="00413C3E"/>
    <w:rsid w:val="004145B3"/>
    <w:rsid w:val="004145F8"/>
    <w:rsid w:val="0041512F"/>
    <w:rsid w:val="0041518B"/>
    <w:rsid w:val="00415842"/>
    <w:rsid w:val="00415D7C"/>
    <w:rsid w:val="00416858"/>
    <w:rsid w:val="00416932"/>
    <w:rsid w:val="0041693A"/>
    <w:rsid w:val="004169CB"/>
    <w:rsid w:val="004169D6"/>
    <w:rsid w:val="00416AA1"/>
    <w:rsid w:val="00416CE0"/>
    <w:rsid w:val="00417323"/>
    <w:rsid w:val="00417789"/>
    <w:rsid w:val="00417A85"/>
    <w:rsid w:val="00417B50"/>
    <w:rsid w:val="00420BF1"/>
    <w:rsid w:val="004213AC"/>
    <w:rsid w:val="0042146A"/>
    <w:rsid w:val="00421F8C"/>
    <w:rsid w:val="0042293A"/>
    <w:rsid w:val="00422F86"/>
    <w:rsid w:val="00423135"/>
    <w:rsid w:val="004237CA"/>
    <w:rsid w:val="00423F3A"/>
    <w:rsid w:val="00424C41"/>
    <w:rsid w:val="00424DC0"/>
    <w:rsid w:val="004252C4"/>
    <w:rsid w:val="004253CD"/>
    <w:rsid w:val="00425603"/>
    <w:rsid w:val="00425A37"/>
    <w:rsid w:val="00425C96"/>
    <w:rsid w:val="00425E66"/>
    <w:rsid w:val="004262D8"/>
    <w:rsid w:val="004265EB"/>
    <w:rsid w:val="00426611"/>
    <w:rsid w:val="004269F4"/>
    <w:rsid w:val="00426A4D"/>
    <w:rsid w:val="00426CBB"/>
    <w:rsid w:val="004272FE"/>
    <w:rsid w:val="00427693"/>
    <w:rsid w:val="00427E33"/>
    <w:rsid w:val="00427FE7"/>
    <w:rsid w:val="0043063D"/>
    <w:rsid w:val="00430A0C"/>
    <w:rsid w:val="004313D4"/>
    <w:rsid w:val="0043146D"/>
    <w:rsid w:val="00431646"/>
    <w:rsid w:val="004319F3"/>
    <w:rsid w:val="00431BA9"/>
    <w:rsid w:val="00432053"/>
    <w:rsid w:val="0043214E"/>
    <w:rsid w:val="00432322"/>
    <w:rsid w:val="004326CD"/>
    <w:rsid w:val="00432FF4"/>
    <w:rsid w:val="00433271"/>
    <w:rsid w:val="004334FC"/>
    <w:rsid w:val="00433659"/>
    <w:rsid w:val="004343CC"/>
    <w:rsid w:val="00434422"/>
    <w:rsid w:val="00434440"/>
    <w:rsid w:val="004345DE"/>
    <w:rsid w:val="004349E2"/>
    <w:rsid w:val="00434EA9"/>
    <w:rsid w:val="004352A5"/>
    <w:rsid w:val="0043579E"/>
    <w:rsid w:val="00435A79"/>
    <w:rsid w:val="00435D27"/>
    <w:rsid w:val="00436445"/>
    <w:rsid w:val="00436502"/>
    <w:rsid w:val="00436544"/>
    <w:rsid w:val="0043672B"/>
    <w:rsid w:val="00436895"/>
    <w:rsid w:val="004368E2"/>
    <w:rsid w:val="00436A71"/>
    <w:rsid w:val="004371CB"/>
    <w:rsid w:val="00437274"/>
    <w:rsid w:val="004374A2"/>
    <w:rsid w:val="00437E2E"/>
    <w:rsid w:val="004401F0"/>
    <w:rsid w:val="004403E6"/>
    <w:rsid w:val="004405B0"/>
    <w:rsid w:val="00440F58"/>
    <w:rsid w:val="004411E9"/>
    <w:rsid w:val="00441228"/>
    <w:rsid w:val="00441DBA"/>
    <w:rsid w:val="0044241D"/>
    <w:rsid w:val="00443173"/>
    <w:rsid w:val="0044321B"/>
    <w:rsid w:val="00444A49"/>
    <w:rsid w:val="00444F82"/>
    <w:rsid w:val="0044522D"/>
    <w:rsid w:val="00445605"/>
    <w:rsid w:val="0044595B"/>
    <w:rsid w:val="00446193"/>
    <w:rsid w:val="004468A9"/>
    <w:rsid w:val="00447896"/>
    <w:rsid w:val="00447A44"/>
    <w:rsid w:val="00447DF5"/>
    <w:rsid w:val="00450072"/>
    <w:rsid w:val="0045017C"/>
    <w:rsid w:val="0045072B"/>
    <w:rsid w:val="004518AF"/>
    <w:rsid w:val="00451EA5"/>
    <w:rsid w:val="00451EC7"/>
    <w:rsid w:val="00451EF6"/>
    <w:rsid w:val="00451F0F"/>
    <w:rsid w:val="0045202F"/>
    <w:rsid w:val="004524F3"/>
    <w:rsid w:val="004528FC"/>
    <w:rsid w:val="0045310D"/>
    <w:rsid w:val="00453805"/>
    <w:rsid w:val="004539F3"/>
    <w:rsid w:val="00454324"/>
    <w:rsid w:val="0045434E"/>
    <w:rsid w:val="00454624"/>
    <w:rsid w:val="00454631"/>
    <w:rsid w:val="004548AA"/>
    <w:rsid w:val="00454F5C"/>
    <w:rsid w:val="004553D1"/>
    <w:rsid w:val="00455569"/>
    <w:rsid w:val="004556BB"/>
    <w:rsid w:val="00455C06"/>
    <w:rsid w:val="00456079"/>
    <w:rsid w:val="004560D8"/>
    <w:rsid w:val="00456EF7"/>
    <w:rsid w:val="00456F8D"/>
    <w:rsid w:val="004576F1"/>
    <w:rsid w:val="00457A64"/>
    <w:rsid w:val="00460246"/>
    <w:rsid w:val="0046050C"/>
    <w:rsid w:val="0046168D"/>
    <w:rsid w:val="0046182C"/>
    <w:rsid w:val="004621C3"/>
    <w:rsid w:val="004622F2"/>
    <w:rsid w:val="00462383"/>
    <w:rsid w:val="00462429"/>
    <w:rsid w:val="00462447"/>
    <w:rsid w:val="00462523"/>
    <w:rsid w:val="0046260C"/>
    <w:rsid w:val="0046295A"/>
    <w:rsid w:val="00462C5C"/>
    <w:rsid w:val="00462EA4"/>
    <w:rsid w:val="00463A27"/>
    <w:rsid w:val="00463DE9"/>
    <w:rsid w:val="004648E6"/>
    <w:rsid w:val="004656DC"/>
    <w:rsid w:val="00465ABF"/>
    <w:rsid w:val="00465AC5"/>
    <w:rsid w:val="0046617A"/>
    <w:rsid w:val="004661B9"/>
    <w:rsid w:val="00466A68"/>
    <w:rsid w:val="00467051"/>
    <w:rsid w:val="004671B9"/>
    <w:rsid w:val="00467E0E"/>
    <w:rsid w:val="004706C9"/>
    <w:rsid w:val="004708EA"/>
    <w:rsid w:val="00470C91"/>
    <w:rsid w:val="00470D0A"/>
    <w:rsid w:val="0047137F"/>
    <w:rsid w:val="004715DC"/>
    <w:rsid w:val="00471BD8"/>
    <w:rsid w:val="00472897"/>
    <w:rsid w:val="00472E93"/>
    <w:rsid w:val="004739BF"/>
    <w:rsid w:val="0047499C"/>
    <w:rsid w:val="00475234"/>
    <w:rsid w:val="0047580F"/>
    <w:rsid w:val="0047592A"/>
    <w:rsid w:val="004765E3"/>
    <w:rsid w:val="0047694C"/>
    <w:rsid w:val="0047706A"/>
    <w:rsid w:val="0047719D"/>
    <w:rsid w:val="0047736E"/>
    <w:rsid w:val="0048000D"/>
    <w:rsid w:val="0048102D"/>
    <w:rsid w:val="00481B06"/>
    <w:rsid w:val="00481B63"/>
    <w:rsid w:val="0048214E"/>
    <w:rsid w:val="004822C8"/>
    <w:rsid w:val="004824CB"/>
    <w:rsid w:val="00482D74"/>
    <w:rsid w:val="004830BB"/>
    <w:rsid w:val="00483546"/>
    <w:rsid w:val="00483C6A"/>
    <w:rsid w:val="00484061"/>
    <w:rsid w:val="00484250"/>
    <w:rsid w:val="004842A6"/>
    <w:rsid w:val="0048435F"/>
    <w:rsid w:val="00484515"/>
    <w:rsid w:val="004846F3"/>
    <w:rsid w:val="004855BD"/>
    <w:rsid w:val="00485B3A"/>
    <w:rsid w:val="00485C15"/>
    <w:rsid w:val="00485E2B"/>
    <w:rsid w:val="00486227"/>
    <w:rsid w:val="004866C4"/>
    <w:rsid w:val="00486EA7"/>
    <w:rsid w:val="00487763"/>
    <w:rsid w:val="004879F4"/>
    <w:rsid w:val="00487B9B"/>
    <w:rsid w:val="00487F54"/>
    <w:rsid w:val="00490034"/>
    <w:rsid w:val="00491171"/>
    <w:rsid w:val="00491F65"/>
    <w:rsid w:val="0049262E"/>
    <w:rsid w:val="004929F6"/>
    <w:rsid w:val="00492CBA"/>
    <w:rsid w:val="00493035"/>
    <w:rsid w:val="0049355C"/>
    <w:rsid w:val="00493603"/>
    <w:rsid w:val="0049372F"/>
    <w:rsid w:val="00494A4A"/>
    <w:rsid w:val="00494BA8"/>
    <w:rsid w:val="00495086"/>
    <w:rsid w:val="004950BD"/>
    <w:rsid w:val="00496262"/>
    <w:rsid w:val="0049626F"/>
    <w:rsid w:val="00496D3A"/>
    <w:rsid w:val="00496DF9"/>
    <w:rsid w:val="00496F9E"/>
    <w:rsid w:val="00497662"/>
    <w:rsid w:val="00497682"/>
    <w:rsid w:val="004976D8"/>
    <w:rsid w:val="00497C6B"/>
    <w:rsid w:val="00497F3B"/>
    <w:rsid w:val="004A01BB"/>
    <w:rsid w:val="004A052F"/>
    <w:rsid w:val="004A0650"/>
    <w:rsid w:val="004A09B7"/>
    <w:rsid w:val="004A10DA"/>
    <w:rsid w:val="004A113C"/>
    <w:rsid w:val="004A18C2"/>
    <w:rsid w:val="004A1AAC"/>
    <w:rsid w:val="004A1F4A"/>
    <w:rsid w:val="004A205F"/>
    <w:rsid w:val="004A236E"/>
    <w:rsid w:val="004A2837"/>
    <w:rsid w:val="004A2888"/>
    <w:rsid w:val="004A2935"/>
    <w:rsid w:val="004A2AAB"/>
    <w:rsid w:val="004A2B5E"/>
    <w:rsid w:val="004A2BE4"/>
    <w:rsid w:val="004A2C8E"/>
    <w:rsid w:val="004A2D57"/>
    <w:rsid w:val="004A3194"/>
    <w:rsid w:val="004A327C"/>
    <w:rsid w:val="004A4AAF"/>
    <w:rsid w:val="004A533E"/>
    <w:rsid w:val="004A53F8"/>
    <w:rsid w:val="004A5DBA"/>
    <w:rsid w:val="004A5F03"/>
    <w:rsid w:val="004A607C"/>
    <w:rsid w:val="004A60BE"/>
    <w:rsid w:val="004A64C1"/>
    <w:rsid w:val="004A6557"/>
    <w:rsid w:val="004A6F26"/>
    <w:rsid w:val="004A6F78"/>
    <w:rsid w:val="004A7973"/>
    <w:rsid w:val="004A7CD7"/>
    <w:rsid w:val="004A7E7C"/>
    <w:rsid w:val="004B0317"/>
    <w:rsid w:val="004B0A1E"/>
    <w:rsid w:val="004B0F87"/>
    <w:rsid w:val="004B2C8D"/>
    <w:rsid w:val="004B2D0D"/>
    <w:rsid w:val="004B2D8D"/>
    <w:rsid w:val="004B2FE5"/>
    <w:rsid w:val="004B32E8"/>
    <w:rsid w:val="004B3306"/>
    <w:rsid w:val="004B3CBA"/>
    <w:rsid w:val="004B44DC"/>
    <w:rsid w:val="004B4728"/>
    <w:rsid w:val="004B5034"/>
    <w:rsid w:val="004B52D7"/>
    <w:rsid w:val="004B54F8"/>
    <w:rsid w:val="004B5BD3"/>
    <w:rsid w:val="004B6547"/>
    <w:rsid w:val="004B66E7"/>
    <w:rsid w:val="004B68C3"/>
    <w:rsid w:val="004B6D79"/>
    <w:rsid w:val="004B705E"/>
    <w:rsid w:val="004B7FB6"/>
    <w:rsid w:val="004C0C57"/>
    <w:rsid w:val="004C0F01"/>
    <w:rsid w:val="004C16B3"/>
    <w:rsid w:val="004C1B4F"/>
    <w:rsid w:val="004C1EC1"/>
    <w:rsid w:val="004C1F77"/>
    <w:rsid w:val="004C202B"/>
    <w:rsid w:val="004C2738"/>
    <w:rsid w:val="004C2E91"/>
    <w:rsid w:val="004C2EC4"/>
    <w:rsid w:val="004C31D1"/>
    <w:rsid w:val="004C3692"/>
    <w:rsid w:val="004C36CC"/>
    <w:rsid w:val="004C3B5D"/>
    <w:rsid w:val="004C3C8C"/>
    <w:rsid w:val="004C3CA0"/>
    <w:rsid w:val="004C3E28"/>
    <w:rsid w:val="004C40E0"/>
    <w:rsid w:val="004C4AFC"/>
    <w:rsid w:val="004C4B5E"/>
    <w:rsid w:val="004C4D33"/>
    <w:rsid w:val="004C557A"/>
    <w:rsid w:val="004C564A"/>
    <w:rsid w:val="004C5E61"/>
    <w:rsid w:val="004C69B0"/>
    <w:rsid w:val="004C71FB"/>
    <w:rsid w:val="004C786D"/>
    <w:rsid w:val="004C7ACB"/>
    <w:rsid w:val="004C7F47"/>
    <w:rsid w:val="004D02B2"/>
    <w:rsid w:val="004D03EB"/>
    <w:rsid w:val="004D0B8E"/>
    <w:rsid w:val="004D1148"/>
    <w:rsid w:val="004D1E2E"/>
    <w:rsid w:val="004D20C1"/>
    <w:rsid w:val="004D21F6"/>
    <w:rsid w:val="004D2327"/>
    <w:rsid w:val="004D2865"/>
    <w:rsid w:val="004D2D38"/>
    <w:rsid w:val="004D3479"/>
    <w:rsid w:val="004D35EE"/>
    <w:rsid w:val="004D3702"/>
    <w:rsid w:val="004D3DE6"/>
    <w:rsid w:val="004D3DE8"/>
    <w:rsid w:val="004D44DC"/>
    <w:rsid w:val="004D5106"/>
    <w:rsid w:val="004D56D9"/>
    <w:rsid w:val="004D5DC6"/>
    <w:rsid w:val="004D71B4"/>
    <w:rsid w:val="004D73EA"/>
    <w:rsid w:val="004D77C7"/>
    <w:rsid w:val="004E01D6"/>
    <w:rsid w:val="004E0D77"/>
    <w:rsid w:val="004E0E0E"/>
    <w:rsid w:val="004E0E55"/>
    <w:rsid w:val="004E1320"/>
    <w:rsid w:val="004E14DB"/>
    <w:rsid w:val="004E153E"/>
    <w:rsid w:val="004E1B4A"/>
    <w:rsid w:val="004E2280"/>
    <w:rsid w:val="004E24BF"/>
    <w:rsid w:val="004E24D4"/>
    <w:rsid w:val="004E25BA"/>
    <w:rsid w:val="004E2E19"/>
    <w:rsid w:val="004E2FB4"/>
    <w:rsid w:val="004E388C"/>
    <w:rsid w:val="004E3F03"/>
    <w:rsid w:val="004E40B6"/>
    <w:rsid w:val="004E4619"/>
    <w:rsid w:val="004E482A"/>
    <w:rsid w:val="004E49F4"/>
    <w:rsid w:val="004E4C3C"/>
    <w:rsid w:val="004E5054"/>
    <w:rsid w:val="004E52A8"/>
    <w:rsid w:val="004E53A5"/>
    <w:rsid w:val="004E54F3"/>
    <w:rsid w:val="004E55D7"/>
    <w:rsid w:val="004E57BE"/>
    <w:rsid w:val="004E59E0"/>
    <w:rsid w:val="004E5CC4"/>
    <w:rsid w:val="004E5F27"/>
    <w:rsid w:val="004E6353"/>
    <w:rsid w:val="004E64DF"/>
    <w:rsid w:val="004E71DB"/>
    <w:rsid w:val="004E737C"/>
    <w:rsid w:val="004E7691"/>
    <w:rsid w:val="004F00F2"/>
    <w:rsid w:val="004F02AE"/>
    <w:rsid w:val="004F0720"/>
    <w:rsid w:val="004F0BE9"/>
    <w:rsid w:val="004F0F65"/>
    <w:rsid w:val="004F154F"/>
    <w:rsid w:val="004F16CE"/>
    <w:rsid w:val="004F1FDE"/>
    <w:rsid w:val="004F2567"/>
    <w:rsid w:val="004F2CDA"/>
    <w:rsid w:val="004F3028"/>
    <w:rsid w:val="004F3157"/>
    <w:rsid w:val="004F3997"/>
    <w:rsid w:val="004F3A35"/>
    <w:rsid w:val="004F3A3F"/>
    <w:rsid w:val="004F42A7"/>
    <w:rsid w:val="004F4317"/>
    <w:rsid w:val="004F48E2"/>
    <w:rsid w:val="004F4BEF"/>
    <w:rsid w:val="004F518E"/>
    <w:rsid w:val="004F5240"/>
    <w:rsid w:val="004F56EE"/>
    <w:rsid w:val="004F56FA"/>
    <w:rsid w:val="004F585B"/>
    <w:rsid w:val="004F60B5"/>
    <w:rsid w:val="004F61A1"/>
    <w:rsid w:val="004F6231"/>
    <w:rsid w:val="004F65C5"/>
    <w:rsid w:val="004F686C"/>
    <w:rsid w:val="004F6A4B"/>
    <w:rsid w:val="00500365"/>
    <w:rsid w:val="00500711"/>
    <w:rsid w:val="00501063"/>
    <w:rsid w:val="005010B4"/>
    <w:rsid w:val="00501328"/>
    <w:rsid w:val="0050184C"/>
    <w:rsid w:val="00501D7B"/>
    <w:rsid w:val="0050207A"/>
    <w:rsid w:val="005024A3"/>
    <w:rsid w:val="00503419"/>
    <w:rsid w:val="00503B34"/>
    <w:rsid w:val="00503B6E"/>
    <w:rsid w:val="00505016"/>
    <w:rsid w:val="00505041"/>
    <w:rsid w:val="00505A4D"/>
    <w:rsid w:val="00505E6C"/>
    <w:rsid w:val="005062DB"/>
    <w:rsid w:val="00506460"/>
    <w:rsid w:val="00507390"/>
    <w:rsid w:val="005078CE"/>
    <w:rsid w:val="00507AD4"/>
    <w:rsid w:val="00507E77"/>
    <w:rsid w:val="005101AB"/>
    <w:rsid w:val="0051025E"/>
    <w:rsid w:val="00510301"/>
    <w:rsid w:val="0051084D"/>
    <w:rsid w:val="00510CB1"/>
    <w:rsid w:val="0051257B"/>
    <w:rsid w:val="005131D3"/>
    <w:rsid w:val="0051345E"/>
    <w:rsid w:val="00513952"/>
    <w:rsid w:val="005139A8"/>
    <w:rsid w:val="00513B43"/>
    <w:rsid w:val="00513D74"/>
    <w:rsid w:val="00514694"/>
    <w:rsid w:val="0051483B"/>
    <w:rsid w:val="005148D5"/>
    <w:rsid w:val="00514C08"/>
    <w:rsid w:val="00514C42"/>
    <w:rsid w:val="005150F8"/>
    <w:rsid w:val="00515243"/>
    <w:rsid w:val="005153FB"/>
    <w:rsid w:val="0051563E"/>
    <w:rsid w:val="00515C72"/>
    <w:rsid w:val="00516097"/>
    <w:rsid w:val="0051674F"/>
    <w:rsid w:val="005169A1"/>
    <w:rsid w:val="00516A49"/>
    <w:rsid w:val="00516E17"/>
    <w:rsid w:val="00517EB6"/>
    <w:rsid w:val="00517EBF"/>
    <w:rsid w:val="005200AB"/>
    <w:rsid w:val="005204B8"/>
    <w:rsid w:val="0052094D"/>
    <w:rsid w:val="00520DD1"/>
    <w:rsid w:val="00521EAF"/>
    <w:rsid w:val="00522434"/>
    <w:rsid w:val="00522F80"/>
    <w:rsid w:val="00523118"/>
    <w:rsid w:val="00523452"/>
    <w:rsid w:val="005238C5"/>
    <w:rsid w:val="005238E7"/>
    <w:rsid w:val="00523917"/>
    <w:rsid w:val="00523B25"/>
    <w:rsid w:val="005250B5"/>
    <w:rsid w:val="005254D8"/>
    <w:rsid w:val="00525C5C"/>
    <w:rsid w:val="00525F11"/>
    <w:rsid w:val="00526E84"/>
    <w:rsid w:val="00526EA3"/>
    <w:rsid w:val="00526F19"/>
    <w:rsid w:val="00527117"/>
    <w:rsid w:val="005276C8"/>
    <w:rsid w:val="00527927"/>
    <w:rsid w:val="00527B4A"/>
    <w:rsid w:val="005300B5"/>
    <w:rsid w:val="00530240"/>
    <w:rsid w:val="005303C2"/>
    <w:rsid w:val="0053061A"/>
    <w:rsid w:val="005308DE"/>
    <w:rsid w:val="00530DC3"/>
    <w:rsid w:val="005311BC"/>
    <w:rsid w:val="005323AD"/>
    <w:rsid w:val="0053295D"/>
    <w:rsid w:val="005332DA"/>
    <w:rsid w:val="005333B7"/>
    <w:rsid w:val="0053341F"/>
    <w:rsid w:val="005339FC"/>
    <w:rsid w:val="00533E7A"/>
    <w:rsid w:val="00533FCD"/>
    <w:rsid w:val="00534F63"/>
    <w:rsid w:val="00535452"/>
    <w:rsid w:val="00535B0D"/>
    <w:rsid w:val="005372A6"/>
    <w:rsid w:val="00537E88"/>
    <w:rsid w:val="00537FBA"/>
    <w:rsid w:val="00540283"/>
    <w:rsid w:val="005402D3"/>
    <w:rsid w:val="0054065A"/>
    <w:rsid w:val="00540842"/>
    <w:rsid w:val="00540CE9"/>
    <w:rsid w:val="005419B7"/>
    <w:rsid w:val="00541F24"/>
    <w:rsid w:val="00542A5A"/>
    <w:rsid w:val="00543129"/>
    <w:rsid w:val="005431E8"/>
    <w:rsid w:val="0054357B"/>
    <w:rsid w:val="00543981"/>
    <w:rsid w:val="00543B0D"/>
    <w:rsid w:val="00543CA4"/>
    <w:rsid w:val="00543D7A"/>
    <w:rsid w:val="005443F3"/>
    <w:rsid w:val="00544875"/>
    <w:rsid w:val="005448BC"/>
    <w:rsid w:val="00544BED"/>
    <w:rsid w:val="00544C7D"/>
    <w:rsid w:val="00544D13"/>
    <w:rsid w:val="00545B1C"/>
    <w:rsid w:val="00545D54"/>
    <w:rsid w:val="005462ED"/>
    <w:rsid w:val="0054632D"/>
    <w:rsid w:val="0054655A"/>
    <w:rsid w:val="005470A1"/>
    <w:rsid w:val="00547881"/>
    <w:rsid w:val="00547A62"/>
    <w:rsid w:val="00547C61"/>
    <w:rsid w:val="00547CA9"/>
    <w:rsid w:val="0055014E"/>
    <w:rsid w:val="005503F0"/>
    <w:rsid w:val="0055060F"/>
    <w:rsid w:val="00550DDD"/>
    <w:rsid w:val="005511DD"/>
    <w:rsid w:val="0055121E"/>
    <w:rsid w:val="00551734"/>
    <w:rsid w:val="0055217A"/>
    <w:rsid w:val="005525AC"/>
    <w:rsid w:val="0055264B"/>
    <w:rsid w:val="00552C22"/>
    <w:rsid w:val="00552F89"/>
    <w:rsid w:val="005532EB"/>
    <w:rsid w:val="00553345"/>
    <w:rsid w:val="0055336B"/>
    <w:rsid w:val="005538F2"/>
    <w:rsid w:val="00553E1C"/>
    <w:rsid w:val="00553FD6"/>
    <w:rsid w:val="0055428B"/>
    <w:rsid w:val="00555261"/>
    <w:rsid w:val="00555A9F"/>
    <w:rsid w:val="00556B18"/>
    <w:rsid w:val="00556D6E"/>
    <w:rsid w:val="005570E7"/>
    <w:rsid w:val="00557171"/>
    <w:rsid w:val="005573D0"/>
    <w:rsid w:val="00557A25"/>
    <w:rsid w:val="00557A2A"/>
    <w:rsid w:val="0056030F"/>
    <w:rsid w:val="0056037C"/>
    <w:rsid w:val="00560493"/>
    <w:rsid w:val="00560517"/>
    <w:rsid w:val="00562B5B"/>
    <w:rsid w:val="00562F60"/>
    <w:rsid w:val="005634AF"/>
    <w:rsid w:val="00563EE9"/>
    <w:rsid w:val="005644FA"/>
    <w:rsid w:val="00564C7B"/>
    <w:rsid w:val="00564FE7"/>
    <w:rsid w:val="005658F1"/>
    <w:rsid w:val="00565D78"/>
    <w:rsid w:val="00565E06"/>
    <w:rsid w:val="00566517"/>
    <w:rsid w:val="00566672"/>
    <w:rsid w:val="0056697F"/>
    <w:rsid w:val="005669F1"/>
    <w:rsid w:val="00566A26"/>
    <w:rsid w:val="00566D17"/>
    <w:rsid w:val="00567CD3"/>
    <w:rsid w:val="00567DFE"/>
    <w:rsid w:val="00567E0A"/>
    <w:rsid w:val="0057098C"/>
    <w:rsid w:val="00570C2B"/>
    <w:rsid w:val="00570D99"/>
    <w:rsid w:val="00570E0E"/>
    <w:rsid w:val="00570FD3"/>
    <w:rsid w:val="005719BC"/>
    <w:rsid w:val="00571A68"/>
    <w:rsid w:val="005731FA"/>
    <w:rsid w:val="00573264"/>
    <w:rsid w:val="00573290"/>
    <w:rsid w:val="005736E6"/>
    <w:rsid w:val="00573AAB"/>
    <w:rsid w:val="00574087"/>
    <w:rsid w:val="005751F0"/>
    <w:rsid w:val="00575641"/>
    <w:rsid w:val="00575F2F"/>
    <w:rsid w:val="005764A1"/>
    <w:rsid w:val="00576A71"/>
    <w:rsid w:val="00577724"/>
    <w:rsid w:val="005801B4"/>
    <w:rsid w:val="0058045A"/>
    <w:rsid w:val="00580D07"/>
    <w:rsid w:val="00580DBB"/>
    <w:rsid w:val="00581B3C"/>
    <w:rsid w:val="0058217E"/>
    <w:rsid w:val="005822D5"/>
    <w:rsid w:val="00582511"/>
    <w:rsid w:val="00582517"/>
    <w:rsid w:val="00582D73"/>
    <w:rsid w:val="00583200"/>
    <w:rsid w:val="005832BC"/>
    <w:rsid w:val="00583348"/>
    <w:rsid w:val="00583600"/>
    <w:rsid w:val="0058395D"/>
    <w:rsid w:val="00584050"/>
    <w:rsid w:val="005841E0"/>
    <w:rsid w:val="0058442B"/>
    <w:rsid w:val="00584641"/>
    <w:rsid w:val="005846E5"/>
    <w:rsid w:val="0058475D"/>
    <w:rsid w:val="00584BC1"/>
    <w:rsid w:val="00584DFC"/>
    <w:rsid w:val="0058565A"/>
    <w:rsid w:val="005858D8"/>
    <w:rsid w:val="00585AA1"/>
    <w:rsid w:val="00585F52"/>
    <w:rsid w:val="0058688E"/>
    <w:rsid w:val="0058692A"/>
    <w:rsid w:val="0058718E"/>
    <w:rsid w:val="005872E3"/>
    <w:rsid w:val="005875A6"/>
    <w:rsid w:val="005875D8"/>
    <w:rsid w:val="00587DE0"/>
    <w:rsid w:val="00590135"/>
    <w:rsid w:val="00590354"/>
    <w:rsid w:val="005903B0"/>
    <w:rsid w:val="00590A0B"/>
    <w:rsid w:val="00590B30"/>
    <w:rsid w:val="00590CB2"/>
    <w:rsid w:val="005911F7"/>
    <w:rsid w:val="00591626"/>
    <w:rsid w:val="0059214B"/>
    <w:rsid w:val="00592648"/>
    <w:rsid w:val="005926DE"/>
    <w:rsid w:val="00592CD3"/>
    <w:rsid w:val="00593660"/>
    <w:rsid w:val="0059382A"/>
    <w:rsid w:val="00593885"/>
    <w:rsid w:val="00593992"/>
    <w:rsid w:val="00593A55"/>
    <w:rsid w:val="00593DA5"/>
    <w:rsid w:val="00593ED9"/>
    <w:rsid w:val="00593F45"/>
    <w:rsid w:val="00593FAF"/>
    <w:rsid w:val="0059439D"/>
    <w:rsid w:val="00594442"/>
    <w:rsid w:val="0059452A"/>
    <w:rsid w:val="00594743"/>
    <w:rsid w:val="00594A15"/>
    <w:rsid w:val="00594DA1"/>
    <w:rsid w:val="00594F2F"/>
    <w:rsid w:val="0059518B"/>
    <w:rsid w:val="005954C1"/>
    <w:rsid w:val="00595AA6"/>
    <w:rsid w:val="00595B93"/>
    <w:rsid w:val="00595CA1"/>
    <w:rsid w:val="005962B0"/>
    <w:rsid w:val="00596777"/>
    <w:rsid w:val="005968D6"/>
    <w:rsid w:val="00596E0E"/>
    <w:rsid w:val="005974C1"/>
    <w:rsid w:val="005979DE"/>
    <w:rsid w:val="005A00F6"/>
    <w:rsid w:val="005A0132"/>
    <w:rsid w:val="005A0367"/>
    <w:rsid w:val="005A054B"/>
    <w:rsid w:val="005A05C2"/>
    <w:rsid w:val="005A0E2F"/>
    <w:rsid w:val="005A0FCE"/>
    <w:rsid w:val="005A1930"/>
    <w:rsid w:val="005A1BB4"/>
    <w:rsid w:val="005A1CD0"/>
    <w:rsid w:val="005A1CE4"/>
    <w:rsid w:val="005A1E59"/>
    <w:rsid w:val="005A2521"/>
    <w:rsid w:val="005A2AEC"/>
    <w:rsid w:val="005A2C76"/>
    <w:rsid w:val="005A36A8"/>
    <w:rsid w:val="005A3753"/>
    <w:rsid w:val="005A4422"/>
    <w:rsid w:val="005A4BDC"/>
    <w:rsid w:val="005A529E"/>
    <w:rsid w:val="005A5831"/>
    <w:rsid w:val="005A5D11"/>
    <w:rsid w:val="005A637A"/>
    <w:rsid w:val="005A6433"/>
    <w:rsid w:val="005A6956"/>
    <w:rsid w:val="005A69DA"/>
    <w:rsid w:val="005A7891"/>
    <w:rsid w:val="005B031E"/>
    <w:rsid w:val="005B0856"/>
    <w:rsid w:val="005B0C7A"/>
    <w:rsid w:val="005B0DBB"/>
    <w:rsid w:val="005B0E14"/>
    <w:rsid w:val="005B102C"/>
    <w:rsid w:val="005B16EA"/>
    <w:rsid w:val="005B1B3A"/>
    <w:rsid w:val="005B1B9E"/>
    <w:rsid w:val="005B2514"/>
    <w:rsid w:val="005B27A6"/>
    <w:rsid w:val="005B2820"/>
    <w:rsid w:val="005B322E"/>
    <w:rsid w:val="005B3AA6"/>
    <w:rsid w:val="005B3F37"/>
    <w:rsid w:val="005B42CB"/>
    <w:rsid w:val="005B4364"/>
    <w:rsid w:val="005B46E0"/>
    <w:rsid w:val="005B5B8B"/>
    <w:rsid w:val="005B5F50"/>
    <w:rsid w:val="005B62BE"/>
    <w:rsid w:val="005B6BFF"/>
    <w:rsid w:val="005B7806"/>
    <w:rsid w:val="005B7E4D"/>
    <w:rsid w:val="005C10EF"/>
    <w:rsid w:val="005C1744"/>
    <w:rsid w:val="005C1AE2"/>
    <w:rsid w:val="005C1DDC"/>
    <w:rsid w:val="005C1F41"/>
    <w:rsid w:val="005C2081"/>
    <w:rsid w:val="005C2348"/>
    <w:rsid w:val="005C2D01"/>
    <w:rsid w:val="005C3380"/>
    <w:rsid w:val="005C3398"/>
    <w:rsid w:val="005C36A6"/>
    <w:rsid w:val="005C3964"/>
    <w:rsid w:val="005C42D9"/>
    <w:rsid w:val="005C4494"/>
    <w:rsid w:val="005C4506"/>
    <w:rsid w:val="005C4585"/>
    <w:rsid w:val="005C47CB"/>
    <w:rsid w:val="005C491B"/>
    <w:rsid w:val="005C4FE0"/>
    <w:rsid w:val="005C5012"/>
    <w:rsid w:val="005C54ED"/>
    <w:rsid w:val="005C56AF"/>
    <w:rsid w:val="005C58D5"/>
    <w:rsid w:val="005C5E11"/>
    <w:rsid w:val="005C62AB"/>
    <w:rsid w:val="005C6511"/>
    <w:rsid w:val="005C6AC0"/>
    <w:rsid w:val="005C6C11"/>
    <w:rsid w:val="005C6DC0"/>
    <w:rsid w:val="005C6F4A"/>
    <w:rsid w:val="005C7612"/>
    <w:rsid w:val="005C7796"/>
    <w:rsid w:val="005C7890"/>
    <w:rsid w:val="005C7E2B"/>
    <w:rsid w:val="005D0624"/>
    <w:rsid w:val="005D0868"/>
    <w:rsid w:val="005D164D"/>
    <w:rsid w:val="005D17DB"/>
    <w:rsid w:val="005D1A35"/>
    <w:rsid w:val="005D2A75"/>
    <w:rsid w:val="005D2B85"/>
    <w:rsid w:val="005D41FE"/>
    <w:rsid w:val="005D44B9"/>
    <w:rsid w:val="005D49B4"/>
    <w:rsid w:val="005D4BDC"/>
    <w:rsid w:val="005D4CE3"/>
    <w:rsid w:val="005D4D64"/>
    <w:rsid w:val="005D4EF0"/>
    <w:rsid w:val="005D5C54"/>
    <w:rsid w:val="005D6479"/>
    <w:rsid w:val="005D7C06"/>
    <w:rsid w:val="005E01F2"/>
    <w:rsid w:val="005E0477"/>
    <w:rsid w:val="005E147E"/>
    <w:rsid w:val="005E18EA"/>
    <w:rsid w:val="005E224C"/>
    <w:rsid w:val="005E26A0"/>
    <w:rsid w:val="005E2B74"/>
    <w:rsid w:val="005E2D23"/>
    <w:rsid w:val="005E2E50"/>
    <w:rsid w:val="005E2F85"/>
    <w:rsid w:val="005E3308"/>
    <w:rsid w:val="005E3357"/>
    <w:rsid w:val="005E36D0"/>
    <w:rsid w:val="005E3AC9"/>
    <w:rsid w:val="005E460E"/>
    <w:rsid w:val="005E4869"/>
    <w:rsid w:val="005E5221"/>
    <w:rsid w:val="005E58B2"/>
    <w:rsid w:val="005E63D5"/>
    <w:rsid w:val="005E736A"/>
    <w:rsid w:val="005E7516"/>
    <w:rsid w:val="005E7CEA"/>
    <w:rsid w:val="005F0AF5"/>
    <w:rsid w:val="005F128A"/>
    <w:rsid w:val="005F184A"/>
    <w:rsid w:val="005F1A84"/>
    <w:rsid w:val="005F1DA5"/>
    <w:rsid w:val="005F319B"/>
    <w:rsid w:val="005F346B"/>
    <w:rsid w:val="005F3A5F"/>
    <w:rsid w:val="005F408D"/>
    <w:rsid w:val="005F448B"/>
    <w:rsid w:val="005F4602"/>
    <w:rsid w:val="005F562B"/>
    <w:rsid w:val="005F567B"/>
    <w:rsid w:val="005F5AC2"/>
    <w:rsid w:val="005F5EC5"/>
    <w:rsid w:val="005F68F3"/>
    <w:rsid w:val="005F6B95"/>
    <w:rsid w:val="005F6C54"/>
    <w:rsid w:val="005F70FA"/>
    <w:rsid w:val="005F71AF"/>
    <w:rsid w:val="005F763C"/>
    <w:rsid w:val="005F79B0"/>
    <w:rsid w:val="005F7E0C"/>
    <w:rsid w:val="006001DE"/>
    <w:rsid w:val="0060065A"/>
    <w:rsid w:val="00600BFC"/>
    <w:rsid w:val="00600F5B"/>
    <w:rsid w:val="00601342"/>
    <w:rsid w:val="00601457"/>
    <w:rsid w:val="006016F3"/>
    <w:rsid w:val="00601AE6"/>
    <w:rsid w:val="006025BC"/>
    <w:rsid w:val="00602DDD"/>
    <w:rsid w:val="00603597"/>
    <w:rsid w:val="006039B3"/>
    <w:rsid w:val="00603E12"/>
    <w:rsid w:val="00603EFA"/>
    <w:rsid w:val="00604163"/>
    <w:rsid w:val="006041BC"/>
    <w:rsid w:val="006042FB"/>
    <w:rsid w:val="0060451E"/>
    <w:rsid w:val="00604C64"/>
    <w:rsid w:val="00604D3A"/>
    <w:rsid w:val="00604DE9"/>
    <w:rsid w:val="00605272"/>
    <w:rsid w:val="0060560D"/>
    <w:rsid w:val="006063CB"/>
    <w:rsid w:val="006068C0"/>
    <w:rsid w:val="0060745A"/>
    <w:rsid w:val="00607659"/>
    <w:rsid w:val="00607EA4"/>
    <w:rsid w:val="006103F5"/>
    <w:rsid w:val="00610911"/>
    <w:rsid w:val="006116C4"/>
    <w:rsid w:val="006118F3"/>
    <w:rsid w:val="00612096"/>
    <w:rsid w:val="00613285"/>
    <w:rsid w:val="0061467A"/>
    <w:rsid w:val="006151A3"/>
    <w:rsid w:val="006153BD"/>
    <w:rsid w:val="00615BC9"/>
    <w:rsid w:val="00616480"/>
    <w:rsid w:val="00616E88"/>
    <w:rsid w:val="0061720F"/>
    <w:rsid w:val="00617EBA"/>
    <w:rsid w:val="0062068C"/>
    <w:rsid w:val="00620F80"/>
    <w:rsid w:val="00621042"/>
    <w:rsid w:val="00621117"/>
    <w:rsid w:val="0062137D"/>
    <w:rsid w:val="00622896"/>
    <w:rsid w:val="0062323D"/>
    <w:rsid w:val="00623423"/>
    <w:rsid w:val="00623559"/>
    <w:rsid w:val="00623927"/>
    <w:rsid w:val="00623984"/>
    <w:rsid w:val="00623ABB"/>
    <w:rsid w:val="00623D99"/>
    <w:rsid w:val="006243FE"/>
    <w:rsid w:val="00624402"/>
    <w:rsid w:val="00624C5E"/>
    <w:rsid w:val="00624F47"/>
    <w:rsid w:val="00625046"/>
    <w:rsid w:val="0062544C"/>
    <w:rsid w:val="00625702"/>
    <w:rsid w:val="00625C4C"/>
    <w:rsid w:val="006260BF"/>
    <w:rsid w:val="006262A0"/>
    <w:rsid w:val="00626A14"/>
    <w:rsid w:val="00626E04"/>
    <w:rsid w:val="006300BB"/>
    <w:rsid w:val="00630B32"/>
    <w:rsid w:val="00630F57"/>
    <w:rsid w:val="0063138A"/>
    <w:rsid w:val="00631D13"/>
    <w:rsid w:val="006320A4"/>
    <w:rsid w:val="006320DC"/>
    <w:rsid w:val="00632457"/>
    <w:rsid w:val="00632F24"/>
    <w:rsid w:val="006334AA"/>
    <w:rsid w:val="00633873"/>
    <w:rsid w:val="006340B5"/>
    <w:rsid w:val="006340DE"/>
    <w:rsid w:val="00634712"/>
    <w:rsid w:val="00635916"/>
    <w:rsid w:val="00635E05"/>
    <w:rsid w:val="006362BC"/>
    <w:rsid w:val="0063654C"/>
    <w:rsid w:val="0063684D"/>
    <w:rsid w:val="00637625"/>
    <w:rsid w:val="00637909"/>
    <w:rsid w:val="006379F5"/>
    <w:rsid w:val="00637CBF"/>
    <w:rsid w:val="00637EC9"/>
    <w:rsid w:val="006409C3"/>
    <w:rsid w:val="006410AF"/>
    <w:rsid w:val="006415B4"/>
    <w:rsid w:val="00641F48"/>
    <w:rsid w:val="00642204"/>
    <w:rsid w:val="00642AFF"/>
    <w:rsid w:val="00642B29"/>
    <w:rsid w:val="00642D8D"/>
    <w:rsid w:val="00642D94"/>
    <w:rsid w:val="00643076"/>
    <w:rsid w:val="00643123"/>
    <w:rsid w:val="006435A8"/>
    <w:rsid w:val="006436AB"/>
    <w:rsid w:val="006439AD"/>
    <w:rsid w:val="00643BEA"/>
    <w:rsid w:val="00643D24"/>
    <w:rsid w:val="00643E77"/>
    <w:rsid w:val="0064493D"/>
    <w:rsid w:val="006449A7"/>
    <w:rsid w:val="006452E5"/>
    <w:rsid w:val="0064588E"/>
    <w:rsid w:val="00645AB0"/>
    <w:rsid w:val="00645C20"/>
    <w:rsid w:val="0064600E"/>
    <w:rsid w:val="0064621D"/>
    <w:rsid w:val="006473FB"/>
    <w:rsid w:val="00647AD0"/>
    <w:rsid w:val="00647EF5"/>
    <w:rsid w:val="00650544"/>
    <w:rsid w:val="00650B28"/>
    <w:rsid w:val="006515FB"/>
    <w:rsid w:val="0065160A"/>
    <w:rsid w:val="00651953"/>
    <w:rsid w:val="00651E98"/>
    <w:rsid w:val="0065230A"/>
    <w:rsid w:val="00652706"/>
    <w:rsid w:val="00652CC3"/>
    <w:rsid w:val="00653581"/>
    <w:rsid w:val="00653D2B"/>
    <w:rsid w:val="006540A4"/>
    <w:rsid w:val="0065425B"/>
    <w:rsid w:val="00654791"/>
    <w:rsid w:val="00654D5A"/>
    <w:rsid w:val="0065527B"/>
    <w:rsid w:val="006553AB"/>
    <w:rsid w:val="00655656"/>
    <w:rsid w:val="006558F8"/>
    <w:rsid w:val="00655907"/>
    <w:rsid w:val="00656046"/>
    <w:rsid w:val="0065614E"/>
    <w:rsid w:val="0065794E"/>
    <w:rsid w:val="00657B0F"/>
    <w:rsid w:val="00657C24"/>
    <w:rsid w:val="00660357"/>
    <w:rsid w:val="006603BB"/>
    <w:rsid w:val="00661303"/>
    <w:rsid w:val="00661389"/>
    <w:rsid w:val="006615CD"/>
    <w:rsid w:val="0066210B"/>
    <w:rsid w:val="00662482"/>
    <w:rsid w:val="00662691"/>
    <w:rsid w:val="00662B31"/>
    <w:rsid w:val="00662F9E"/>
    <w:rsid w:val="00663248"/>
    <w:rsid w:val="00663346"/>
    <w:rsid w:val="006633E0"/>
    <w:rsid w:val="0066349B"/>
    <w:rsid w:val="00663A41"/>
    <w:rsid w:val="00663D75"/>
    <w:rsid w:val="006647F0"/>
    <w:rsid w:val="00665028"/>
    <w:rsid w:val="00665098"/>
    <w:rsid w:val="006650B7"/>
    <w:rsid w:val="0066528F"/>
    <w:rsid w:val="00666D98"/>
    <w:rsid w:val="00667463"/>
    <w:rsid w:val="006676BD"/>
    <w:rsid w:val="006677AE"/>
    <w:rsid w:val="00667F8C"/>
    <w:rsid w:val="00670163"/>
    <w:rsid w:val="00670CC9"/>
    <w:rsid w:val="00671025"/>
    <w:rsid w:val="006713CB"/>
    <w:rsid w:val="006716C0"/>
    <w:rsid w:val="00671DC4"/>
    <w:rsid w:val="00671E98"/>
    <w:rsid w:val="00672369"/>
    <w:rsid w:val="00672406"/>
    <w:rsid w:val="00672F11"/>
    <w:rsid w:val="00673AF7"/>
    <w:rsid w:val="00675883"/>
    <w:rsid w:val="00675BA1"/>
    <w:rsid w:val="00675C94"/>
    <w:rsid w:val="00675DDD"/>
    <w:rsid w:val="0067642E"/>
    <w:rsid w:val="006769E9"/>
    <w:rsid w:val="006771D8"/>
    <w:rsid w:val="00677C50"/>
    <w:rsid w:val="00677D76"/>
    <w:rsid w:val="00677D8C"/>
    <w:rsid w:val="0068035F"/>
    <w:rsid w:val="0068046E"/>
    <w:rsid w:val="00680689"/>
    <w:rsid w:val="00681336"/>
    <w:rsid w:val="0068164D"/>
    <w:rsid w:val="006819EC"/>
    <w:rsid w:val="00681A42"/>
    <w:rsid w:val="006832A3"/>
    <w:rsid w:val="0068397B"/>
    <w:rsid w:val="00683C91"/>
    <w:rsid w:val="00684007"/>
    <w:rsid w:val="0068449C"/>
    <w:rsid w:val="006844E5"/>
    <w:rsid w:val="00684652"/>
    <w:rsid w:val="00684BCA"/>
    <w:rsid w:val="00684BD7"/>
    <w:rsid w:val="00685515"/>
    <w:rsid w:val="00685637"/>
    <w:rsid w:val="00685671"/>
    <w:rsid w:val="006864A9"/>
    <w:rsid w:val="006868AA"/>
    <w:rsid w:val="00686C1E"/>
    <w:rsid w:val="00686F6C"/>
    <w:rsid w:val="00687163"/>
    <w:rsid w:val="00687192"/>
    <w:rsid w:val="00687AF5"/>
    <w:rsid w:val="00687C34"/>
    <w:rsid w:val="00687C3A"/>
    <w:rsid w:val="00690462"/>
    <w:rsid w:val="00690712"/>
    <w:rsid w:val="0069085E"/>
    <w:rsid w:val="00691318"/>
    <w:rsid w:val="006916AD"/>
    <w:rsid w:val="00692013"/>
    <w:rsid w:val="0069208C"/>
    <w:rsid w:val="00692491"/>
    <w:rsid w:val="006929DC"/>
    <w:rsid w:val="00692B58"/>
    <w:rsid w:val="00692BFA"/>
    <w:rsid w:val="00693074"/>
    <w:rsid w:val="00693089"/>
    <w:rsid w:val="00693BD2"/>
    <w:rsid w:val="006947AF"/>
    <w:rsid w:val="006947D4"/>
    <w:rsid w:val="00694F40"/>
    <w:rsid w:val="00695793"/>
    <w:rsid w:val="0069652A"/>
    <w:rsid w:val="006967BC"/>
    <w:rsid w:val="006970D8"/>
    <w:rsid w:val="006970D9"/>
    <w:rsid w:val="00697D5C"/>
    <w:rsid w:val="006A06D5"/>
    <w:rsid w:val="006A0A9F"/>
    <w:rsid w:val="006A0B08"/>
    <w:rsid w:val="006A1098"/>
    <w:rsid w:val="006A14E4"/>
    <w:rsid w:val="006A156A"/>
    <w:rsid w:val="006A2630"/>
    <w:rsid w:val="006A2AA1"/>
    <w:rsid w:val="006A2EB1"/>
    <w:rsid w:val="006A31F0"/>
    <w:rsid w:val="006A37ED"/>
    <w:rsid w:val="006A386D"/>
    <w:rsid w:val="006A3DCB"/>
    <w:rsid w:val="006A3FDC"/>
    <w:rsid w:val="006A4811"/>
    <w:rsid w:val="006A4C15"/>
    <w:rsid w:val="006A4C82"/>
    <w:rsid w:val="006A570B"/>
    <w:rsid w:val="006A5720"/>
    <w:rsid w:val="006A5914"/>
    <w:rsid w:val="006A5DA9"/>
    <w:rsid w:val="006A5E71"/>
    <w:rsid w:val="006A604D"/>
    <w:rsid w:val="006A62EF"/>
    <w:rsid w:val="006A66FE"/>
    <w:rsid w:val="006A6CA5"/>
    <w:rsid w:val="006A7238"/>
    <w:rsid w:val="006A7894"/>
    <w:rsid w:val="006A78B1"/>
    <w:rsid w:val="006A7B73"/>
    <w:rsid w:val="006A7F66"/>
    <w:rsid w:val="006B03C2"/>
    <w:rsid w:val="006B0642"/>
    <w:rsid w:val="006B071D"/>
    <w:rsid w:val="006B09B7"/>
    <w:rsid w:val="006B1276"/>
    <w:rsid w:val="006B146F"/>
    <w:rsid w:val="006B1972"/>
    <w:rsid w:val="006B1BA6"/>
    <w:rsid w:val="006B1C24"/>
    <w:rsid w:val="006B1CFF"/>
    <w:rsid w:val="006B287C"/>
    <w:rsid w:val="006B2BB1"/>
    <w:rsid w:val="006B31CC"/>
    <w:rsid w:val="006B36EF"/>
    <w:rsid w:val="006B37F7"/>
    <w:rsid w:val="006B3A47"/>
    <w:rsid w:val="006B3E0C"/>
    <w:rsid w:val="006B4140"/>
    <w:rsid w:val="006B48EA"/>
    <w:rsid w:val="006B4DF5"/>
    <w:rsid w:val="006B5941"/>
    <w:rsid w:val="006B5988"/>
    <w:rsid w:val="006B5B66"/>
    <w:rsid w:val="006B6A68"/>
    <w:rsid w:val="006B6F92"/>
    <w:rsid w:val="006B7152"/>
    <w:rsid w:val="006B793C"/>
    <w:rsid w:val="006B7965"/>
    <w:rsid w:val="006C0481"/>
    <w:rsid w:val="006C063E"/>
    <w:rsid w:val="006C0E07"/>
    <w:rsid w:val="006C0FDF"/>
    <w:rsid w:val="006C2508"/>
    <w:rsid w:val="006C28BF"/>
    <w:rsid w:val="006C2A61"/>
    <w:rsid w:val="006C2CC8"/>
    <w:rsid w:val="006C2EBE"/>
    <w:rsid w:val="006C2FFC"/>
    <w:rsid w:val="006C3971"/>
    <w:rsid w:val="006C3ADC"/>
    <w:rsid w:val="006C3E8E"/>
    <w:rsid w:val="006C4308"/>
    <w:rsid w:val="006C4405"/>
    <w:rsid w:val="006C4C33"/>
    <w:rsid w:val="006C52F1"/>
    <w:rsid w:val="006C5FD3"/>
    <w:rsid w:val="006C6058"/>
    <w:rsid w:val="006C60C2"/>
    <w:rsid w:val="006C6CBE"/>
    <w:rsid w:val="006C70E8"/>
    <w:rsid w:val="006C7AD1"/>
    <w:rsid w:val="006C7DE6"/>
    <w:rsid w:val="006D0960"/>
    <w:rsid w:val="006D0ACE"/>
    <w:rsid w:val="006D1530"/>
    <w:rsid w:val="006D156E"/>
    <w:rsid w:val="006D17BA"/>
    <w:rsid w:val="006D190E"/>
    <w:rsid w:val="006D2A6C"/>
    <w:rsid w:val="006D2DA6"/>
    <w:rsid w:val="006D3313"/>
    <w:rsid w:val="006D3B1B"/>
    <w:rsid w:val="006D3B52"/>
    <w:rsid w:val="006D5BC4"/>
    <w:rsid w:val="006D6681"/>
    <w:rsid w:val="006D6AF0"/>
    <w:rsid w:val="006D709B"/>
    <w:rsid w:val="006D75B3"/>
    <w:rsid w:val="006D7932"/>
    <w:rsid w:val="006D79BE"/>
    <w:rsid w:val="006E03E3"/>
    <w:rsid w:val="006E078A"/>
    <w:rsid w:val="006E0C35"/>
    <w:rsid w:val="006E1011"/>
    <w:rsid w:val="006E126E"/>
    <w:rsid w:val="006E1F19"/>
    <w:rsid w:val="006E23E4"/>
    <w:rsid w:val="006E2A21"/>
    <w:rsid w:val="006E2D2A"/>
    <w:rsid w:val="006E35F1"/>
    <w:rsid w:val="006E374F"/>
    <w:rsid w:val="006E3923"/>
    <w:rsid w:val="006E3C8B"/>
    <w:rsid w:val="006E43F5"/>
    <w:rsid w:val="006E4551"/>
    <w:rsid w:val="006E4E83"/>
    <w:rsid w:val="006E4F48"/>
    <w:rsid w:val="006E54E3"/>
    <w:rsid w:val="006E61DE"/>
    <w:rsid w:val="006E68F8"/>
    <w:rsid w:val="006E6E32"/>
    <w:rsid w:val="006E7777"/>
    <w:rsid w:val="006E7A71"/>
    <w:rsid w:val="006F002E"/>
    <w:rsid w:val="006F075E"/>
    <w:rsid w:val="006F09D5"/>
    <w:rsid w:val="006F1584"/>
    <w:rsid w:val="006F19CA"/>
    <w:rsid w:val="006F1A65"/>
    <w:rsid w:val="006F22FD"/>
    <w:rsid w:val="006F248A"/>
    <w:rsid w:val="006F27B7"/>
    <w:rsid w:val="006F281C"/>
    <w:rsid w:val="006F369A"/>
    <w:rsid w:val="006F382A"/>
    <w:rsid w:val="006F387A"/>
    <w:rsid w:val="006F3981"/>
    <w:rsid w:val="006F3C96"/>
    <w:rsid w:val="006F4013"/>
    <w:rsid w:val="006F48A3"/>
    <w:rsid w:val="006F536A"/>
    <w:rsid w:val="006F5ADC"/>
    <w:rsid w:val="006F6385"/>
    <w:rsid w:val="006F6AC4"/>
    <w:rsid w:val="006F6ACF"/>
    <w:rsid w:val="006F7223"/>
    <w:rsid w:val="006F77A5"/>
    <w:rsid w:val="007009D3"/>
    <w:rsid w:val="00700A4A"/>
    <w:rsid w:val="00700CF4"/>
    <w:rsid w:val="00700E01"/>
    <w:rsid w:val="00700FEB"/>
    <w:rsid w:val="00701337"/>
    <w:rsid w:val="00701412"/>
    <w:rsid w:val="00701624"/>
    <w:rsid w:val="007020CF"/>
    <w:rsid w:val="0070220A"/>
    <w:rsid w:val="00702B8B"/>
    <w:rsid w:val="00702CC0"/>
    <w:rsid w:val="0070349A"/>
    <w:rsid w:val="0070394A"/>
    <w:rsid w:val="00703C0D"/>
    <w:rsid w:val="00703FE2"/>
    <w:rsid w:val="007042F9"/>
    <w:rsid w:val="0070511B"/>
    <w:rsid w:val="00705276"/>
    <w:rsid w:val="00705405"/>
    <w:rsid w:val="0070559E"/>
    <w:rsid w:val="0070565E"/>
    <w:rsid w:val="00705787"/>
    <w:rsid w:val="00705D89"/>
    <w:rsid w:val="0070645B"/>
    <w:rsid w:val="00706472"/>
    <w:rsid w:val="00706658"/>
    <w:rsid w:val="007068A2"/>
    <w:rsid w:val="007069C0"/>
    <w:rsid w:val="007069F1"/>
    <w:rsid w:val="007069F2"/>
    <w:rsid w:val="00706D66"/>
    <w:rsid w:val="00707119"/>
    <w:rsid w:val="007071D4"/>
    <w:rsid w:val="00707B07"/>
    <w:rsid w:val="00707B1C"/>
    <w:rsid w:val="00707C10"/>
    <w:rsid w:val="00707D4C"/>
    <w:rsid w:val="007102A4"/>
    <w:rsid w:val="0071044E"/>
    <w:rsid w:val="007104C5"/>
    <w:rsid w:val="00710863"/>
    <w:rsid w:val="00710A8C"/>
    <w:rsid w:val="00710B71"/>
    <w:rsid w:val="00710C27"/>
    <w:rsid w:val="0071170B"/>
    <w:rsid w:val="007117D3"/>
    <w:rsid w:val="007119D3"/>
    <w:rsid w:val="00711CB2"/>
    <w:rsid w:val="00711DAB"/>
    <w:rsid w:val="00711DAE"/>
    <w:rsid w:val="007124DA"/>
    <w:rsid w:val="00712E7C"/>
    <w:rsid w:val="00712EA8"/>
    <w:rsid w:val="00712F51"/>
    <w:rsid w:val="007132C0"/>
    <w:rsid w:val="00713C5A"/>
    <w:rsid w:val="00714399"/>
    <w:rsid w:val="007144C1"/>
    <w:rsid w:val="00714797"/>
    <w:rsid w:val="007148AB"/>
    <w:rsid w:val="0071505F"/>
    <w:rsid w:val="00715394"/>
    <w:rsid w:val="00715618"/>
    <w:rsid w:val="00715839"/>
    <w:rsid w:val="007158DD"/>
    <w:rsid w:val="0071655B"/>
    <w:rsid w:val="00716848"/>
    <w:rsid w:val="00716EA5"/>
    <w:rsid w:val="00717145"/>
    <w:rsid w:val="00717196"/>
    <w:rsid w:val="0071744F"/>
    <w:rsid w:val="00717F43"/>
    <w:rsid w:val="00717FE2"/>
    <w:rsid w:val="007202CE"/>
    <w:rsid w:val="0072031E"/>
    <w:rsid w:val="0072056B"/>
    <w:rsid w:val="00720DE1"/>
    <w:rsid w:val="00720E23"/>
    <w:rsid w:val="00721600"/>
    <w:rsid w:val="0072172A"/>
    <w:rsid w:val="00721B6A"/>
    <w:rsid w:val="0072226F"/>
    <w:rsid w:val="007225B5"/>
    <w:rsid w:val="00722ACA"/>
    <w:rsid w:val="0072324E"/>
    <w:rsid w:val="00723400"/>
    <w:rsid w:val="007234E9"/>
    <w:rsid w:val="00723828"/>
    <w:rsid w:val="007238B7"/>
    <w:rsid w:val="00724285"/>
    <w:rsid w:val="007243C1"/>
    <w:rsid w:val="007245D7"/>
    <w:rsid w:val="00724C79"/>
    <w:rsid w:val="007251E3"/>
    <w:rsid w:val="00725B10"/>
    <w:rsid w:val="00725E6D"/>
    <w:rsid w:val="00725E91"/>
    <w:rsid w:val="00725F01"/>
    <w:rsid w:val="00726E66"/>
    <w:rsid w:val="007270EE"/>
    <w:rsid w:val="007272D7"/>
    <w:rsid w:val="007275C7"/>
    <w:rsid w:val="0072793C"/>
    <w:rsid w:val="007279DD"/>
    <w:rsid w:val="00727D29"/>
    <w:rsid w:val="00727D2F"/>
    <w:rsid w:val="007326AE"/>
    <w:rsid w:val="00732800"/>
    <w:rsid w:val="007328EE"/>
    <w:rsid w:val="00732BA3"/>
    <w:rsid w:val="007331A9"/>
    <w:rsid w:val="007332C4"/>
    <w:rsid w:val="00733671"/>
    <w:rsid w:val="00733B7B"/>
    <w:rsid w:val="00733B90"/>
    <w:rsid w:val="00734F71"/>
    <w:rsid w:val="00735581"/>
    <w:rsid w:val="00735762"/>
    <w:rsid w:val="00735834"/>
    <w:rsid w:val="00735877"/>
    <w:rsid w:val="007358E6"/>
    <w:rsid w:val="00735A67"/>
    <w:rsid w:val="00735ADC"/>
    <w:rsid w:val="00735BDD"/>
    <w:rsid w:val="00736364"/>
    <w:rsid w:val="00736EB8"/>
    <w:rsid w:val="00737279"/>
    <w:rsid w:val="00737D70"/>
    <w:rsid w:val="00742A0A"/>
    <w:rsid w:val="00742A24"/>
    <w:rsid w:val="0074302D"/>
    <w:rsid w:val="007436E1"/>
    <w:rsid w:val="00743830"/>
    <w:rsid w:val="00743932"/>
    <w:rsid w:val="00743B89"/>
    <w:rsid w:val="00743C7E"/>
    <w:rsid w:val="00743E45"/>
    <w:rsid w:val="00744469"/>
    <w:rsid w:val="00744667"/>
    <w:rsid w:val="00744843"/>
    <w:rsid w:val="00744C28"/>
    <w:rsid w:val="00746517"/>
    <w:rsid w:val="00746E1A"/>
    <w:rsid w:val="00747045"/>
    <w:rsid w:val="00747156"/>
    <w:rsid w:val="007477DD"/>
    <w:rsid w:val="00747910"/>
    <w:rsid w:val="00747BD1"/>
    <w:rsid w:val="00747C0E"/>
    <w:rsid w:val="00747DE1"/>
    <w:rsid w:val="0075026E"/>
    <w:rsid w:val="007502AA"/>
    <w:rsid w:val="00750739"/>
    <w:rsid w:val="00750F74"/>
    <w:rsid w:val="0075104C"/>
    <w:rsid w:val="0075117C"/>
    <w:rsid w:val="00751513"/>
    <w:rsid w:val="0075178A"/>
    <w:rsid w:val="00751C0D"/>
    <w:rsid w:val="00751D50"/>
    <w:rsid w:val="00751D64"/>
    <w:rsid w:val="00752093"/>
    <w:rsid w:val="007521E6"/>
    <w:rsid w:val="00752503"/>
    <w:rsid w:val="00752CA2"/>
    <w:rsid w:val="00752DAE"/>
    <w:rsid w:val="0075361B"/>
    <w:rsid w:val="007536A8"/>
    <w:rsid w:val="00753757"/>
    <w:rsid w:val="00754765"/>
    <w:rsid w:val="00754CD8"/>
    <w:rsid w:val="0075540F"/>
    <w:rsid w:val="007555BD"/>
    <w:rsid w:val="00755B0E"/>
    <w:rsid w:val="00755CB5"/>
    <w:rsid w:val="0075610F"/>
    <w:rsid w:val="007561D5"/>
    <w:rsid w:val="00756474"/>
    <w:rsid w:val="00756608"/>
    <w:rsid w:val="00756772"/>
    <w:rsid w:val="0075685F"/>
    <w:rsid w:val="00756D19"/>
    <w:rsid w:val="00756D52"/>
    <w:rsid w:val="00756F48"/>
    <w:rsid w:val="007578D9"/>
    <w:rsid w:val="00757B62"/>
    <w:rsid w:val="00760EF5"/>
    <w:rsid w:val="007614E6"/>
    <w:rsid w:val="00761773"/>
    <w:rsid w:val="007618B5"/>
    <w:rsid w:val="00761BFF"/>
    <w:rsid w:val="00762105"/>
    <w:rsid w:val="007625E8"/>
    <w:rsid w:val="0076287D"/>
    <w:rsid w:val="00762972"/>
    <w:rsid w:val="00762ABE"/>
    <w:rsid w:val="00762EC2"/>
    <w:rsid w:val="00763437"/>
    <w:rsid w:val="00763E16"/>
    <w:rsid w:val="00764B14"/>
    <w:rsid w:val="00764F03"/>
    <w:rsid w:val="00765143"/>
    <w:rsid w:val="00766325"/>
    <w:rsid w:val="007663FA"/>
    <w:rsid w:val="007666A3"/>
    <w:rsid w:val="007673AD"/>
    <w:rsid w:val="00767747"/>
    <w:rsid w:val="007677FA"/>
    <w:rsid w:val="00767859"/>
    <w:rsid w:val="00770025"/>
    <w:rsid w:val="0077079A"/>
    <w:rsid w:val="007709C7"/>
    <w:rsid w:val="00770EB9"/>
    <w:rsid w:val="00771420"/>
    <w:rsid w:val="00771614"/>
    <w:rsid w:val="007724F5"/>
    <w:rsid w:val="00772640"/>
    <w:rsid w:val="00772871"/>
    <w:rsid w:val="00772914"/>
    <w:rsid w:val="00772958"/>
    <w:rsid w:val="00772F8E"/>
    <w:rsid w:val="00772FD9"/>
    <w:rsid w:val="0077308C"/>
    <w:rsid w:val="00773093"/>
    <w:rsid w:val="00773103"/>
    <w:rsid w:val="00773981"/>
    <w:rsid w:val="007739BE"/>
    <w:rsid w:val="007740F0"/>
    <w:rsid w:val="007744A2"/>
    <w:rsid w:val="00774C5A"/>
    <w:rsid w:val="00774E25"/>
    <w:rsid w:val="0077507F"/>
    <w:rsid w:val="0077549E"/>
    <w:rsid w:val="0077580E"/>
    <w:rsid w:val="00775A52"/>
    <w:rsid w:val="00775E07"/>
    <w:rsid w:val="0077614D"/>
    <w:rsid w:val="007767FD"/>
    <w:rsid w:val="00776AF8"/>
    <w:rsid w:val="00776F76"/>
    <w:rsid w:val="0077723E"/>
    <w:rsid w:val="0077726C"/>
    <w:rsid w:val="00777AB5"/>
    <w:rsid w:val="007805B5"/>
    <w:rsid w:val="007806B6"/>
    <w:rsid w:val="00780D63"/>
    <w:rsid w:val="00781F3B"/>
    <w:rsid w:val="00782D59"/>
    <w:rsid w:val="0078321F"/>
    <w:rsid w:val="00783263"/>
    <w:rsid w:val="0078333E"/>
    <w:rsid w:val="00783A86"/>
    <w:rsid w:val="0078410E"/>
    <w:rsid w:val="00784135"/>
    <w:rsid w:val="00784580"/>
    <w:rsid w:val="00784666"/>
    <w:rsid w:val="00784829"/>
    <w:rsid w:val="00784ADA"/>
    <w:rsid w:val="00784EE7"/>
    <w:rsid w:val="00785174"/>
    <w:rsid w:val="007851AE"/>
    <w:rsid w:val="00785387"/>
    <w:rsid w:val="007854EB"/>
    <w:rsid w:val="00785D1A"/>
    <w:rsid w:val="0078686B"/>
    <w:rsid w:val="0079040C"/>
    <w:rsid w:val="007906E0"/>
    <w:rsid w:val="00790878"/>
    <w:rsid w:val="00790E08"/>
    <w:rsid w:val="0079158E"/>
    <w:rsid w:val="00791779"/>
    <w:rsid w:val="007917A0"/>
    <w:rsid w:val="00791AE1"/>
    <w:rsid w:val="00791F2C"/>
    <w:rsid w:val="00791F54"/>
    <w:rsid w:val="007927C9"/>
    <w:rsid w:val="00792951"/>
    <w:rsid w:val="00793359"/>
    <w:rsid w:val="007933B1"/>
    <w:rsid w:val="0079364C"/>
    <w:rsid w:val="00793699"/>
    <w:rsid w:val="007938EF"/>
    <w:rsid w:val="00793995"/>
    <w:rsid w:val="00793B81"/>
    <w:rsid w:val="007941F1"/>
    <w:rsid w:val="00794A6F"/>
    <w:rsid w:val="00794D1E"/>
    <w:rsid w:val="00795244"/>
    <w:rsid w:val="0079530A"/>
    <w:rsid w:val="0079541B"/>
    <w:rsid w:val="007957E4"/>
    <w:rsid w:val="00795979"/>
    <w:rsid w:val="007967B9"/>
    <w:rsid w:val="00796BEE"/>
    <w:rsid w:val="00796EA8"/>
    <w:rsid w:val="007979E2"/>
    <w:rsid w:val="00797A3B"/>
    <w:rsid w:val="00797CB7"/>
    <w:rsid w:val="00797D15"/>
    <w:rsid w:val="007A02E2"/>
    <w:rsid w:val="007A088E"/>
    <w:rsid w:val="007A0B92"/>
    <w:rsid w:val="007A0E91"/>
    <w:rsid w:val="007A124A"/>
    <w:rsid w:val="007A1321"/>
    <w:rsid w:val="007A14F4"/>
    <w:rsid w:val="007A175C"/>
    <w:rsid w:val="007A246D"/>
    <w:rsid w:val="007A256D"/>
    <w:rsid w:val="007A257A"/>
    <w:rsid w:val="007A320B"/>
    <w:rsid w:val="007A324F"/>
    <w:rsid w:val="007A335F"/>
    <w:rsid w:val="007A4DF2"/>
    <w:rsid w:val="007A51CD"/>
    <w:rsid w:val="007A51DB"/>
    <w:rsid w:val="007A5986"/>
    <w:rsid w:val="007A5BB6"/>
    <w:rsid w:val="007A6279"/>
    <w:rsid w:val="007A6395"/>
    <w:rsid w:val="007A63C2"/>
    <w:rsid w:val="007A698D"/>
    <w:rsid w:val="007A6FD1"/>
    <w:rsid w:val="007A78A2"/>
    <w:rsid w:val="007A796C"/>
    <w:rsid w:val="007A7AB8"/>
    <w:rsid w:val="007B05BE"/>
    <w:rsid w:val="007B05C4"/>
    <w:rsid w:val="007B073D"/>
    <w:rsid w:val="007B0784"/>
    <w:rsid w:val="007B0A75"/>
    <w:rsid w:val="007B0B13"/>
    <w:rsid w:val="007B0BAE"/>
    <w:rsid w:val="007B0DD2"/>
    <w:rsid w:val="007B0DDC"/>
    <w:rsid w:val="007B12DF"/>
    <w:rsid w:val="007B1A8A"/>
    <w:rsid w:val="007B20B4"/>
    <w:rsid w:val="007B2573"/>
    <w:rsid w:val="007B27C5"/>
    <w:rsid w:val="007B27C6"/>
    <w:rsid w:val="007B28CC"/>
    <w:rsid w:val="007B2A5C"/>
    <w:rsid w:val="007B2AF3"/>
    <w:rsid w:val="007B32D7"/>
    <w:rsid w:val="007B3B48"/>
    <w:rsid w:val="007B417B"/>
    <w:rsid w:val="007B4572"/>
    <w:rsid w:val="007B4FC7"/>
    <w:rsid w:val="007B5433"/>
    <w:rsid w:val="007B544C"/>
    <w:rsid w:val="007B586B"/>
    <w:rsid w:val="007B5DB3"/>
    <w:rsid w:val="007B601A"/>
    <w:rsid w:val="007B6091"/>
    <w:rsid w:val="007B63C4"/>
    <w:rsid w:val="007B70C8"/>
    <w:rsid w:val="007C0431"/>
    <w:rsid w:val="007C0826"/>
    <w:rsid w:val="007C1EAE"/>
    <w:rsid w:val="007C23A1"/>
    <w:rsid w:val="007C2C0C"/>
    <w:rsid w:val="007C2CD4"/>
    <w:rsid w:val="007C2EF1"/>
    <w:rsid w:val="007C311C"/>
    <w:rsid w:val="007C51F8"/>
    <w:rsid w:val="007C5F61"/>
    <w:rsid w:val="007C61E5"/>
    <w:rsid w:val="007C67AD"/>
    <w:rsid w:val="007C6A13"/>
    <w:rsid w:val="007C6C13"/>
    <w:rsid w:val="007C7292"/>
    <w:rsid w:val="007C7366"/>
    <w:rsid w:val="007C7994"/>
    <w:rsid w:val="007C7A51"/>
    <w:rsid w:val="007C7A73"/>
    <w:rsid w:val="007C7A95"/>
    <w:rsid w:val="007C7B44"/>
    <w:rsid w:val="007C7BCF"/>
    <w:rsid w:val="007D0118"/>
    <w:rsid w:val="007D044A"/>
    <w:rsid w:val="007D0E26"/>
    <w:rsid w:val="007D0E5E"/>
    <w:rsid w:val="007D19D8"/>
    <w:rsid w:val="007D222A"/>
    <w:rsid w:val="007D2637"/>
    <w:rsid w:val="007D2725"/>
    <w:rsid w:val="007D30FD"/>
    <w:rsid w:val="007D31B8"/>
    <w:rsid w:val="007D32ED"/>
    <w:rsid w:val="007D3A83"/>
    <w:rsid w:val="007D3C4E"/>
    <w:rsid w:val="007D3F5D"/>
    <w:rsid w:val="007D4173"/>
    <w:rsid w:val="007D446C"/>
    <w:rsid w:val="007D489D"/>
    <w:rsid w:val="007D49EB"/>
    <w:rsid w:val="007D526A"/>
    <w:rsid w:val="007D54CD"/>
    <w:rsid w:val="007D5C85"/>
    <w:rsid w:val="007D5E83"/>
    <w:rsid w:val="007D5F0B"/>
    <w:rsid w:val="007D614E"/>
    <w:rsid w:val="007D63D9"/>
    <w:rsid w:val="007D6A77"/>
    <w:rsid w:val="007D71E1"/>
    <w:rsid w:val="007D7759"/>
    <w:rsid w:val="007D7B3A"/>
    <w:rsid w:val="007D7D29"/>
    <w:rsid w:val="007E0006"/>
    <w:rsid w:val="007E1058"/>
    <w:rsid w:val="007E17B8"/>
    <w:rsid w:val="007E17F3"/>
    <w:rsid w:val="007E1ADA"/>
    <w:rsid w:val="007E1D8D"/>
    <w:rsid w:val="007E2177"/>
    <w:rsid w:val="007E251C"/>
    <w:rsid w:val="007E32E4"/>
    <w:rsid w:val="007E3618"/>
    <w:rsid w:val="007E3A14"/>
    <w:rsid w:val="007E3CFB"/>
    <w:rsid w:val="007E3DD7"/>
    <w:rsid w:val="007E477D"/>
    <w:rsid w:val="007E4D1F"/>
    <w:rsid w:val="007E529D"/>
    <w:rsid w:val="007E531E"/>
    <w:rsid w:val="007E53B2"/>
    <w:rsid w:val="007E55F9"/>
    <w:rsid w:val="007E583C"/>
    <w:rsid w:val="007E5E63"/>
    <w:rsid w:val="007E612B"/>
    <w:rsid w:val="007E67BD"/>
    <w:rsid w:val="007E69A8"/>
    <w:rsid w:val="007E6A74"/>
    <w:rsid w:val="007E709F"/>
    <w:rsid w:val="007E7381"/>
    <w:rsid w:val="007E77A2"/>
    <w:rsid w:val="007F04B9"/>
    <w:rsid w:val="007F04CF"/>
    <w:rsid w:val="007F05C6"/>
    <w:rsid w:val="007F1020"/>
    <w:rsid w:val="007F1B21"/>
    <w:rsid w:val="007F1DB3"/>
    <w:rsid w:val="007F20EC"/>
    <w:rsid w:val="007F2280"/>
    <w:rsid w:val="007F27A3"/>
    <w:rsid w:val="007F33ED"/>
    <w:rsid w:val="007F65B0"/>
    <w:rsid w:val="007F69E0"/>
    <w:rsid w:val="007F6B84"/>
    <w:rsid w:val="007F7552"/>
    <w:rsid w:val="007F776B"/>
    <w:rsid w:val="00800271"/>
    <w:rsid w:val="00800897"/>
    <w:rsid w:val="008010AD"/>
    <w:rsid w:val="00801572"/>
    <w:rsid w:val="00801803"/>
    <w:rsid w:val="00801EA6"/>
    <w:rsid w:val="008026B1"/>
    <w:rsid w:val="00802C4F"/>
    <w:rsid w:val="00802E33"/>
    <w:rsid w:val="00803132"/>
    <w:rsid w:val="0080393F"/>
    <w:rsid w:val="00804621"/>
    <w:rsid w:val="00804825"/>
    <w:rsid w:val="00804EFC"/>
    <w:rsid w:val="00804F26"/>
    <w:rsid w:val="008051C8"/>
    <w:rsid w:val="00805336"/>
    <w:rsid w:val="0080563E"/>
    <w:rsid w:val="008059F0"/>
    <w:rsid w:val="00805A17"/>
    <w:rsid w:val="00805C9C"/>
    <w:rsid w:val="00805D8C"/>
    <w:rsid w:val="00805DE3"/>
    <w:rsid w:val="00806100"/>
    <w:rsid w:val="0080642E"/>
    <w:rsid w:val="00806879"/>
    <w:rsid w:val="00806A8A"/>
    <w:rsid w:val="00806F53"/>
    <w:rsid w:val="008071EE"/>
    <w:rsid w:val="0080728D"/>
    <w:rsid w:val="008100A5"/>
    <w:rsid w:val="00810657"/>
    <w:rsid w:val="00811533"/>
    <w:rsid w:val="00811A05"/>
    <w:rsid w:val="00811FC3"/>
    <w:rsid w:val="00812135"/>
    <w:rsid w:val="008126BA"/>
    <w:rsid w:val="008126CD"/>
    <w:rsid w:val="00812906"/>
    <w:rsid w:val="00812A3C"/>
    <w:rsid w:val="008130A0"/>
    <w:rsid w:val="0081332C"/>
    <w:rsid w:val="0081379B"/>
    <w:rsid w:val="00813850"/>
    <w:rsid w:val="00814265"/>
    <w:rsid w:val="008142D5"/>
    <w:rsid w:val="008145EB"/>
    <w:rsid w:val="008148CA"/>
    <w:rsid w:val="00814A8F"/>
    <w:rsid w:val="00814AE5"/>
    <w:rsid w:val="00814BD2"/>
    <w:rsid w:val="00815225"/>
    <w:rsid w:val="008152A0"/>
    <w:rsid w:val="0081581F"/>
    <w:rsid w:val="0081584C"/>
    <w:rsid w:val="00815A5A"/>
    <w:rsid w:val="00815B08"/>
    <w:rsid w:val="00815C19"/>
    <w:rsid w:val="00815D1A"/>
    <w:rsid w:val="00815E1C"/>
    <w:rsid w:val="00816354"/>
    <w:rsid w:val="00816628"/>
    <w:rsid w:val="00817522"/>
    <w:rsid w:val="008175ED"/>
    <w:rsid w:val="008179CC"/>
    <w:rsid w:val="00817D25"/>
    <w:rsid w:val="008204AF"/>
    <w:rsid w:val="00820A5F"/>
    <w:rsid w:val="0082107D"/>
    <w:rsid w:val="008218D6"/>
    <w:rsid w:val="00821AE1"/>
    <w:rsid w:val="00822095"/>
    <w:rsid w:val="008221B4"/>
    <w:rsid w:val="008228E2"/>
    <w:rsid w:val="00822BD9"/>
    <w:rsid w:val="00822F3D"/>
    <w:rsid w:val="008233FA"/>
    <w:rsid w:val="00823B30"/>
    <w:rsid w:val="00823F6B"/>
    <w:rsid w:val="008246D2"/>
    <w:rsid w:val="00824D74"/>
    <w:rsid w:val="00824FF4"/>
    <w:rsid w:val="008255D3"/>
    <w:rsid w:val="008257CC"/>
    <w:rsid w:val="00825FED"/>
    <w:rsid w:val="00826716"/>
    <w:rsid w:val="00826B2E"/>
    <w:rsid w:val="00826C12"/>
    <w:rsid w:val="00826C70"/>
    <w:rsid w:val="00826D83"/>
    <w:rsid w:val="008278B7"/>
    <w:rsid w:val="00827997"/>
    <w:rsid w:val="00827AD4"/>
    <w:rsid w:val="00827F9B"/>
    <w:rsid w:val="0083008A"/>
    <w:rsid w:val="00830778"/>
    <w:rsid w:val="0083079A"/>
    <w:rsid w:val="00830E5A"/>
    <w:rsid w:val="008318CA"/>
    <w:rsid w:val="00832007"/>
    <w:rsid w:val="00832186"/>
    <w:rsid w:val="00832969"/>
    <w:rsid w:val="00832A16"/>
    <w:rsid w:val="00832CCD"/>
    <w:rsid w:val="00833403"/>
    <w:rsid w:val="008336AA"/>
    <w:rsid w:val="00833987"/>
    <w:rsid w:val="008339C3"/>
    <w:rsid w:val="0083445F"/>
    <w:rsid w:val="0083449B"/>
    <w:rsid w:val="00834C88"/>
    <w:rsid w:val="00834DF4"/>
    <w:rsid w:val="0083540C"/>
    <w:rsid w:val="00835AB9"/>
    <w:rsid w:val="00835CC7"/>
    <w:rsid w:val="00836564"/>
    <w:rsid w:val="00836DEB"/>
    <w:rsid w:val="00837ADD"/>
    <w:rsid w:val="00840271"/>
    <w:rsid w:val="008406CB"/>
    <w:rsid w:val="00840AA3"/>
    <w:rsid w:val="00840BD1"/>
    <w:rsid w:val="00840DE8"/>
    <w:rsid w:val="00840FFB"/>
    <w:rsid w:val="008410B0"/>
    <w:rsid w:val="00841178"/>
    <w:rsid w:val="00841768"/>
    <w:rsid w:val="008419A2"/>
    <w:rsid w:val="00841D2A"/>
    <w:rsid w:val="00841FF3"/>
    <w:rsid w:val="008431C3"/>
    <w:rsid w:val="0084355D"/>
    <w:rsid w:val="008435E5"/>
    <w:rsid w:val="008438B6"/>
    <w:rsid w:val="00844097"/>
    <w:rsid w:val="00844E8A"/>
    <w:rsid w:val="00845175"/>
    <w:rsid w:val="008455A3"/>
    <w:rsid w:val="0084565B"/>
    <w:rsid w:val="008457FC"/>
    <w:rsid w:val="00845A2C"/>
    <w:rsid w:val="00845A67"/>
    <w:rsid w:val="00845C2D"/>
    <w:rsid w:val="00845E62"/>
    <w:rsid w:val="008463D1"/>
    <w:rsid w:val="00846CE2"/>
    <w:rsid w:val="00847073"/>
    <w:rsid w:val="00847A31"/>
    <w:rsid w:val="00847A97"/>
    <w:rsid w:val="00847E26"/>
    <w:rsid w:val="0085013D"/>
    <w:rsid w:val="008503BC"/>
    <w:rsid w:val="008506C0"/>
    <w:rsid w:val="00850EF9"/>
    <w:rsid w:val="008518CE"/>
    <w:rsid w:val="0085197D"/>
    <w:rsid w:val="00851DF2"/>
    <w:rsid w:val="008520D2"/>
    <w:rsid w:val="00852293"/>
    <w:rsid w:val="008525C4"/>
    <w:rsid w:val="0085282B"/>
    <w:rsid w:val="00852E7E"/>
    <w:rsid w:val="008535EB"/>
    <w:rsid w:val="008537FC"/>
    <w:rsid w:val="008539C4"/>
    <w:rsid w:val="00853A9C"/>
    <w:rsid w:val="00853B89"/>
    <w:rsid w:val="00854418"/>
    <w:rsid w:val="0085468B"/>
    <w:rsid w:val="00854AF5"/>
    <w:rsid w:val="008553CF"/>
    <w:rsid w:val="008558BA"/>
    <w:rsid w:val="00855924"/>
    <w:rsid w:val="00855928"/>
    <w:rsid w:val="00855D4E"/>
    <w:rsid w:val="00855E0A"/>
    <w:rsid w:val="00855EB5"/>
    <w:rsid w:val="00856472"/>
    <w:rsid w:val="00856647"/>
    <w:rsid w:val="00856BFA"/>
    <w:rsid w:val="00856D3D"/>
    <w:rsid w:val="00856FDB"/>
    <w:rsid w:val="00857460"/>
    <w:rsid w:val="0085746A"/>
    <w:rsid w:val="0085761D"/>
    <w:rsid w:val="00857B99"/>
    <w:rsid w:val="0086037D"/>
    <w:rsid w:val="00860694"/>
    <w:rsid w:val="00860923"/>
    <w:rsid w:val="00861614"/>
    <w:rsid w:val="00861735"/>
    <w:rsid w:val="00861CF8"/>
    <w:rsid w:val="00861DEF"/>
    <w:rsid w:val="00861E84"/>
    <w:rsid w:val="00862385"/>
    <w:rsid w:val="00862902"/>
    <w:rsid w:val="008630D7"/>
    <w:rsid w:val="008641B1"/>
    <w:rsid w:val="0086451A"/>
    <w:rsid w:val="00864BA0"/>
    <w:rsid w:val="00864EDA"/>
    <w:rsid w:val="00865B05"/>
    <w:rsid w:val="008661DA"/>
    <w:rsid w:val="00866B76"/>
    <w:rsid w:val="00866E2C"/>
    <w:rsid w:val="00870516"/>
    <w:rsid w:val="00870C0F"/>
    <w:rsid w:val="00871EFB"/>
    <w:rsid w:val="00871FE6"/>
    <w:rsid w:val="00872143"/>
    <w:rsid w:val="00872DDB"/>
    <w:rsid w:val="00874274"/>
    <w:rsid w:val="00874426"/>
    <w:rsid w:val="00874F4C"/>
    <w:rsid w:val="00874F5C"/>
    <w:rsid w:val="008752A3"/>
    <w:rsid w:val="008758AE"/>
    <w:rsid w:val="00875EFF"/>
    <w:rsid w:val="0087612F"/>
    <w:rsid w:val="00876618"/>
    <w:rsid w:val="008766CF"/>
    <w:rsid w:val="008771B0"/>
    <w:rsid w:val="00877802"/>
    <w:rsid w:val="008802D2"/>
    <w:rsid w:val="008809D7"/>
    <w:rsid w:val="00880D03"/>
    <w:rsid w:val="008819E0"/>
    <w:rsid w:val="00881A64"/>
    <w:rsid w:val="00881EE5"/>
    <w:rsid w:val="008825FD"/>
    <w:rsid w:val="008828F1"/>
    <w:rsid w:val="00882D9E"/>
    <w:rsid w:val="00883B2B"/>
    <w:rsid w:val="00883C3F"/>
    <w:rsid w:val="00883CE8"/>
    <w:rsid w:val="00884788"/>
    <w:rsid w:val="00884CEC"/>
    <w:rsid w:val="00885117"/>
    <w:rsid w:val="008858F7"/>
    <w:rsid w:val="00885D36"/>
    <w:rsid w:val="008861AE"/>
    <w:rsid w:val="008863DD"/>
    <w:rsid w:val="00886443"/>
    <w:rsid w:val="00886C9E"/>
    <w:rsid w:val="00886CFC"/>
    <w:rsid w:val="008874AC"/>
    <w:rsid w:val="00887D51"/>
    <w:rsid w:val="00887F17"/>
    <w:rsid w:val="00890049"/>
    <w:rsid w:val="00890318"/>
    <w:rsid w:val="00891058"/>
    <w:rsid w:val="00891086"/>
    <w:rsid w:val="0089143E"/>
    <w:rsid w:val="0089151A"/>
    <w:rsid w:val="00891C89"/>
    <w:rsid w:val="00892560"/>
    <w:rsid w:val="00893793"/>
    <w:rsid w:val="00893797"/>
    <w:rsid w:val="00893E71"/>
    <w:rsid w:val="008941AA"/>
    <w:rsid w:val="00894368"/>
    <w:rsid w:val="00894D35"/>
    <w:rsid w:val="0089534F"/>
    <w:rsid w:val="00895E75"/>
    <w:rsid w:val="00895FFD"/>
    <w:rsid w:val="00896126"/>
    <w:rsid w:val="008961A9"/>
    <w:rsid w:val="008967B0"/>
    <w:rsid w:val="0089720F"/>
    <w:rsid w:val="00897511"/>
    <w:rsid w:val="00897F12"/>
    <w:rsid w:val="008A04EA"/>
    <w:rsid w:val="008A05C8"/>
    <w:rsid w:val="008A07DE"/>
    <w:rsid w:val="008A0867"/>
    <w:rsid w:val="008A0BF5"/>
    <w:rsid w:val="008A1029"/>
    <w:rsid w:val="008A1385"/>
    <w:rsid w:val="008A1674"/>
    <w:rsid w:val="008A25D4"/>
    <w:rsid w:val="008A30E1"/>
    <w:rsid w:val="008A3A9F"/>
    <w:rsid w:val="008A4071"/>
    <w:rsid w:val="008A41F7"/>
    <w:rsid w:val="008A4670"/>
    <w:rsid w:val="008A478C"/>
    <w:rsid w:val="008A4A4A"/>
    <w:rsid w:val="008A520E"/>
    <w:rsid w:val="008A53BA"/>
    <w:rsid w:val="008A57D3"/>
    <w:rsid w:val="008A5E47"/>
    <w:rsid w:val="008A5F88"/>
    <w:rsid w:val="008A63D1"/>
    <w:rsid w:val="008A6B74"/>
    <w:rsid w:val="008A72BF"/>
    <w:rsid w:val="008A733D"/>
    <w:rsid w:val="008A7363"/>
    <w:rsid w:val="008A755B"/>
    <w:rsid w:val="008A7640"/>
    <w:rsid w:val="008A7822"/>
    <w:rsid w:val="008A7D1A"/>
    <w:rsid w:val="008B2252"/>
    <w:rsid w:val="008B24F0"/>
    <w:rsid w:val="008B2AA3"/>
    <w:rsid w:val="008B2DE2"/>
    <w:rsid w:val="008B3645"/>
    <w:rsid w:val="008B3DDE"/>
    <w:rsid w:val="008B4368"/>
    <w:rsid w:val="008B4FB3"/>
    <w:rsid w:val="008B596E"/>
    <w:rsid w:val="008B5CA2"/>
    <w:rsid w:val="008B606A"/>
    <w:rsid w:val="008B627B"/>
    <w:rsid w:val="008B6325"/>
    <w:rsid w:val="008B687C"/>
    <w:rsid w:val="008B6E26"/>
    <w:rsid w:val="008B6F7B"/>
    <w:rsid w:val="008B73C9"/>
    <w:rsid w:val="008B77C9"/>
    <w:rsid w:val="008B78D5"/>
    <w:rsid w:val="008B7EF4"/>
    <w:rsid w:val="008C0539"/>
    <w:rsid w:val="008C05F0"/>
    <w:rsid w:val="008C0610"/>
    <w:rsid w:val="008C12A2"/>
    <w:rsid w:val="008C1463"/>
    <w:rsid w:val="008C1B09"/>
    <w:rsid w:val="008C1BE3"/>
    <w:rsid w:val="008C1E7F"/>
    <w:rsid w:val="008C22B4"/>
    <w:rsid w:val="008C2794"/>
    <w:rsid w:val="008C2ACC"/>
    <w:rsid w:val="008C2FA2"/>
    <w:rsid w:val="008C352C"/>
    <w:rsid w:val="008C377E"/>
    <w:rsid w:val="008C38A3"/>
    <w:rsid w:val="008C3984"/>
    <w:rsid w:val="008C3F6D"/>
    <w:rsid w:val="008C4012"/>
    <w:rsid w:val="008C4348"/>
    <w:rsid w:val="008C4489"/>
    <w:rsid w:val="008C5F47"/>
    <w:rsid w:val="008C638C"/>
    <w:rsid w:val="008C63A2"/>
    <w:rsid w:val="008C6807"/>
    <w:rsid w:val="008C7019"/>
    <w:rsid w:val="008C718C"/>
    <w:rsid w:val="008C71CE"/>
    <w:rsid w:val="008C743C"/>
    <w:rsid w:val="008C748B"/>
    <w:rsid w:val="008C7B25"/>
    <w:rsid w:val="008C7D0D"/>
    <w:rsid w:val="008D0240"/>
    <w:rsid w:val="008D0BA8"/>
    <w:rsid w:val="008D0D75"/>
    <w:rsid w:val="008D0D9A"/>
    <w:rsid w:val="008D176A"/>
    <w:rsid w:val="008D2051"/>
    <w:rsid w:val="008D227D"/>
    <w:rsid w:val="008D2470"/>
    <w:rsid w:val="008D25E3"/>
    <w:rsid w:val="008D280C"/>
    <w:rsid w:val="008D290B"/>
    <w:rsid w:val="008D2957"/>
    <w:rsid w:val="008D3588"/>
    <w:rsid w:val="008D39C6"/>
    <w:rsid w:val="008D3AFA"/>
    <w:rsid w:val="008D476A"/>
    <w:rsid w:val="008D6771"/>
    <w:rsid w:val="008D6A70"/>
    <w:rsid w:val="008D6F78"/>
    <w:rsid w:val="008D6FFF"/>
    <w:rsid w:val="008D7869"/>
    <w:rsid w:val="008D7923"/>
    <w:rsid w:val="008D7BA8"/>
    <w:rsid w:val="008D7C91"/>
    <w:rsid w:val="008D7EED"/>
    <w:rsid w:val="008E033E"/>
    <w:rsid w:val="008E04E6"/>
    <w:rsid w:val="008E1653"/>
    <w:rsid w:val="008E1792"/>
    <w:rsid w:val="008E2115"/>
    <w:rsid w:val="008E2E19"/>
    <w:rsid w:val="008E3080"/>
    <w:rsid w:val="008E32D4"/>
    <w:rsid w:val="008E383C"/>
    <w:rsid w:val="008E3D5F"/>
    <w:rsid w:val="008E45A5"/>
    <w:rsid w:val="008E464B"/>
    <w:rsid w:val="008E4DCA"/>
    <w:rsid w:val="008E4FDE"/>
    <w:rsid w:val="008E52F5"/>
    <w:rsid w:val="008E5465"/>
    <w:rsid w:val="008E551A"/>
    <w:rsid w:val="008E5A1D"/>
    <w:rsid w:val="008E5C61"/>
    <w:rsid w:val="008E5DC4"/>
    <w:rsid w:val="008E62A3"/>
    <w:rsid w:val="008E62E4"/>
    <w:rsid w:val="008E6308"/>
    <w:rsid w:val="008E6925"/>
    <w:rsid w:val="008E717D"/>
    <w:rsid w:val="008E72CE"/>
    <w:rsid w:val="008E7740"/>
    <w:rsid w:val="008E79D6"/>
    <w:rsid w:val="008E7AAE"/>
    <w:rsid w:val="008F04C8"/>
    <w:rsid w:val="008F070F"/>
    <w:rsid w:val="008F0C0C"/>
    <w:rsid w:val="008F1376"/>
    <w:rsid w:val="008F1865"/>
    <w:rsid w:val="008F1AA7"/>
    <w:rsid w:val="008F2715"/>
    <w:rsid w:val="008F3CA7"/>
    <w:rsid w:val="008F3FED"/>
    <w:rsid w:val="008F4082"/>
    <w:rsid w:val="008F4623"/>
    <w:rsid w:val="008F4631"/>
    <w:rsid w:val="008F4845"/>
    <w:rsid w:val="008F4993"/>
    <w:rsid w:val="008F50DA"/>
    <w:rsid w:val="008F56D8"/>
    <w:rsid w:val="008F5C54"/>
    <w:rsid w:val="008F5F2F"/>
    <w:rsid w:val="008F760A"/>
    <w:rsid w:val="008F7AE4"/>
    <w:rsid w:val="008F7B35"/>
    <w:rsid w:val="008F7C7A"/>
    <w:rsid w:val="008F7D66"/>
    <w:rsid w:val="008F7F50"/>
    <w:rsid w:val="008F7F9E"/>
    <w:rsid w:val="0090038E"/>
    <w:rsid w:val="00900452"/>
    <w:rsid w:val="00900990"/>
    <w:rsid w:val="00900BF0"/>
    <w:rsid w:val="00900E97"/>
    <w:rsid w:val="00901077"/>
    <w:rsid w:val="0090122B"/>
    <w:rsid w:val="00901301"/>
    <w:rsid w:val="0090144F"/>
    <w:rsid w:val="009014BF"/>
    <w:rsid w:val="00901C55"/>
    <w:rsid w:val="00901DA1"/>
    <w:rsid w:val="00902C29"/>
    <w:rsid w:val="00902D3B"/>
    <w:rsid w:val="00903264"/>
    <w:rsid w:val="0090340E"/>
    <w:rsid w:val="0090348C"/>
    <w:rsid w:val="009039FA"/>
    <w:rsid w:val="00904AF2"/>
    <w:rsid w:val="0090503D"/>
    <w:rsid w:val="00905074"/>
    <w:rsid w:val="00905245"/>
    <w:rsid w:val="009064BD"/>
    <w:rsid w:val="0090655F"/>
    <w:rsid w:val="009066C0"/>
    <w:rsid w:val="00906A02"/>
    <w:rsid w:val="009077D6"/>
    <w:rsid w:val="009101B8"/>
    <w:rsid w:val="00910428"/>
    <w:rsid w:val="00910727"/>
    <w:rsid w:val="00911AFD"/>
    <w:rsid w:val="0091300C"/>
    <w:rsid w:val="009131EE"/>
    <w:rsid w:val="00913DF4"/>
    <w:rsid w:val="00913E28"/>
    <w:rsid w:val="0091432B"/>
    <w:rsid w:val="009152D7"/>
    <w:rsid w:val="0091537D"/>
    <w:rsid w:val="00915A88"/>
    <w:rsid w:val="00915DBE"/>
    <w:rsid w:val="00915F60"/>
    <w:rsid w:val="00915FEE"/>
    <w:rsid w:val="00916160"/>
    <w:rsid w:val="00916844"/>
    <w:rsid w:val="00916D88"/>
    <w:rsid w:val="00916FEB"/>
    <w:rsid w:val="00917290"/>
    <w:rsid w:val="009177A0"/>
    <w:rsid w:val="00917AFB"/>
    <w:rsid w:val="00920134"/>
    <w:rsid w:val="00921281"/>
    <w:rsid w:val="009213EE"/>
    <w:rsid w:val="009218E4"/>
    <w:rsid w:val="00922170"/>
    <w:rsid w:val="009223A9"/>
    <w:rsid w:val="00922543"/>
    <w:rsid w:val="00922AC9"/>
    <w:rsid w:val="009233CD"/>
    <w:rsid w:val="00923B63"/>
    <w:rsid w:val="00923C62"/>
    <w:rsid w:val="009240DD"/>
    <w:rsid w:val="00924A94"/>
    <w:rsid w:val="00924C35"/>
    <w:rsid w:val="00924D83"/>
    <w:rsid w:val="0092535E"/>
    <w:rsid w:val="009253E2"/>
    <w:rsid w:val="00925688"/>
    <w:rsid w:val="00925A6C"/>
    <w:rsid w:val="00925AF0"/>
    <w:rsid w:val="00925D08"/>
    <w:rsid w:val="00926087"/>
    <w:rsid w:val="00926476"/>
    <w:rsid w:val="00926548"/>
    <w:rsid w:val="009267C3"/>
    <w:rsid w:val="009269D7"/>
    <w:rsid w:val="00926D27"/>
    <w:rsid w:val="009276ED"/>
    <w:rsid w:val="00927706"/>
    <w:rsid w:val="00930141"/>
    <w:rsid w:val="0093059B"/>
    <w:rsid w:val="00930717"/>
    <w:rsid w:val="00930941"/>
    <w:rsid w:val="00930B49"/>
    <w:rsid w:val="00930D39"/>
    <w:rsid w:val="0093116B"/>
    <w:rsid w:val="00931416"/>
    <w:rsid w:val="00932D7C"/>
    <w:rsid w:val="00933173"/>
    <w:rsid w:val="0093330C"/>
    <w:rsid w:val="009333D3"/>
    <w:rsid w:val="009336AA"/>
    <w:rsid w:val="00934526"/>
    <w:rsid w:val="00934C61"/>
    <w:rsid w:val="00934C8D"/>
    <w:rsid w:val="00934F20"/>
    <w:rsid w:val="00934FC4"/>
    <w:rsid w:val="00934FC6"/>
    <w:rsid w:val="00935424"/>
    <w:rsid w:val="009356EA"/>
    <w:rsid w:val="00935895"/>
    <w:rsid w:val="00935AA6"/>
    <w:rsid w:val="00935D9E"/>
    <w:rsid w:val="009360E9"/>
    <w:rsid w:val="00936464"/>
    <w:rsid w:val="0093650E"/>
    <w:rsid w:val="00936629"/>
    <w:rsid w:val="009366D9"/>
    <w:rsid w:val="00936A0A"/>
    <w:rsid w:val="00936AD7"/>
    <w:rsid w:val="00936BF5"/>
    <w:rsid w:val="00936DD9"/>
    <w:rsid w:val="00937767"/>
    <w:rsid w:val="0093799D"/>
    <w:rsid w:val="00937EB5"/>
    <w:rsid w:val="00940124"/>
    <w:rsid w:val="0094057B"/>
    <w:rsid w:val="00940DB2"/>
    <w:rsid w:val="0094162E"/>
    <w:rsid w:val="00941E35"/>
    <w:rsid w:val="00941FE1"/>
    <w:rsid w:val="0094212B"/>
    <w:rsid w:val="00942316"/>
    <w:rsid w:val="009428CE"/>
    <w:rsid w:val="00942A01"/>
    <w:rsid w:val="00942C6A"/>
    <w:rsid w:val="00942F63"/>
    <w:rsid w:val="009432CF"/>
    <w:rsid w:val="0094350E"/>
    <w:rsid w:val="00943627"/>
    <w:rsid w:val="009438F7"/>
    <w:rsid w:val="00943F10"/>
    <w:rsid w:val="0094445C"/>
    <w:rsid w:val="009448B6"/>
    <w:rsid w:val="0094501E"/>
    <w:rsid w:val="00945490"/>
    <w:rsid w:val="009454C6"/>
    <w:rsid w:val="0094584C"/>
    <w:rsid w:val="00945E8A"/>
    <w:rsid w:val="0094612C"/>
    <w:rsid w:val="0094620D"/>
    <w:rsid w:val="0094664B"/>
    <w:rsid w:val="009475E7"/>
    <w:rsid w:val="00947ED2"/>
    <w:rsid w:val="00947FA7"/>
    <w:rsid w:val="009501F3"/>
    <w:rsid w:val="0095038B"/>
    <w:rsid w:val="00950827"/>
    <w:rsid w:val="0095084A"/>
    <w:rsid w:val="009508A3"/>
    <w:rsid w:val="0095145D"/>
    <w:rsid w:val="00951713"/>
    <w:rsid w:val="00951739"/>
    <w:rsid w:val="00952271"/>
    <w:rsid w:val="00952FE3"/>
    <w:rsid w:val="009534DF"/>
    <w:rsid w:val="00953A9C"/>
    <w:rsid w:val="009542FD"/>
    <w:rsid w:val="00954ACC"/>
    <w:rsid w:val="00955073"/>
    <w:rsid w:val="0095546E"/>
    <w:rsid w:val="0095574B"/>
    <w:rsid w:val="00956626"/>
    <w:rsid w:val="00956901"/>
    <w:rsid w:val="00956A2A"/>
    <w:rsid w:val="00956F7E"/>
    <w:rsid w:val="0095736C"/>
    <w:rsid w:val="009574B4"/>
    <w:rsid w:val="00957860"/>
    <w:rsid w:val="00957895"/>
    <w:rsid w:val="00957C14"/>
    <w:rsid w:val="00960380"/>
    <w:rsid w:val="00960996"/>
    <w:rsid w:val="00960BCB"/>
    <w:rsid w:val="00960C4F"/>
    <w:rsid w:val="00960D3B"/>
    <w:rsid w:val="0096199B"/>
    <w:rsid w:val="00961A85"/>
    <w:rsid w:val="00962324"/>
    <w:rsid w:val="00962527"/>
    <w:rsid w:val="00962595"/>
    <w:rsid w:val="00962874"/>
    <w:rsid w:val="00962B56"/>
    <w:rsid w:val="00963363"/>
    <w:rsid w:val="0096336B"/>
    <w:rsid w:val="00963467"/>
    <w:rsid w:val="009635DC"/>
    <w:rsid w:val="009636F6"/>
    <w:rsid w:val="00963B2B"/>
    <w:rsid w:val="00963C0E"/>
    <w:rsid w:val="00963D97"/>
    <w:rsid w:val="00963F42"/>
    <w:rsid w:val="00964B2A"/>
    <w:rsid w:val="00964C72"/>
    <w:rsid w:val="00964F71"/>
    <w:rsid w:val="00964F94"/>
    <w:rsid w:val="0096505B"/>
    <w:rsid w:val="009655AB"/>
    <w:rsid w:val="00965992"/>
    <w:rsid w:val="00965BD9"/>
    <w:rsid w:val="00965C31"/>
    <w:rsid w:val="00965F7D"/>
    <w:rsid w:val="009663CE"/>
    <w:rsid w:val="00966B57"/>
    <w:rsid w:val="00966B8A"/>
    <w:rsid w:val="00966C80"/>
    <w:rsid w:val="009674A8"/>
    <w:rsid w:val="0096785D"/>
    <w:rsid w:val="00967F86"/>
    <w:rsid w:val="009700A0"/>
    <w:rsid w:val="00970401"/>
    <w:rsid w:val="0097064C"/>
    <w:rsid w:val="00970B41"/>
    <w:rsid w:val="00970C6B"/>
    <w:rsid w:val="00971222"/>
    <w:rsid w:val="009721DE"/>
    <w:rsid w:val="00973339"/>
    <w:rsid w:val="00973EE2"/>
    <w:rsid w:val="009742A0"/>
    <w:rsid w:val="009742B7"/>
    <w:rsid w:val="0097534F"/>
    <w:rsid w:val="0097550F"/>
    <w:rsid w:val="009758E3"/>
    <w:rsid w:val="00975BF6"/>
    <w:rsid w:val="00975F85"/>
    <w:rsid w:val="009765C2"/>
    <w:rsid w:val="00976C98"/>
    <w:rsid w:val="00976CCE"/>
    <w:rsid w:val="00977921"/>
    <w:rsid w:val="00980362"/>
    <w:rsid w:val="0098084B"/>
    <w:rsid w:val="00981634"/>
    <w:rsid w:val="0098165E"/>
    <w:rsid w:val="0098174C"/>
    <w:rsid w:val="00982908"/>
    <w:rsid w:val="00982AD6"/>
    <w:rsid w:val="00982E3D"/>
    <w:rsid w:val="0098317D"/>
    <w:rsid w:val="00983979"/>
    <w:rsid w:val="009844C4"/>
    <w:rsid w:val="009845B4"/>
    <w:rsid w:val="009852EB"/>
    <w:rsid w:val="00985734"/>
    <w:rsid w:val="00985757"/>
    <w:rsid w:val="009859B5"/>
    <w:rsid w:val="00985D9C"/>
    <w:rsid w:val="00985E42"/>
    <w:rsid w:val="00987204"/>
    <w:rsid w:val="00987443"/>
    <w:rsid w:val="00987D31"/>
    <w:rsid w:val="00987EAF"/>
    <w:rsid w:val="009905FB"/>
    <w:rsid w:val="009908A4"/>
    <w:rsid w:val="00990B99"/>
    <w:rsid w:val="009914D2"/>
    <w:rsid w:val="009917AF"/>
    <w:rsid w:val="00991915"/>
    <w:rsid w:val="00991CC4"/>
    <w:rsid w:val="00991DC6"/>
    <w:rsid w:val="009921D5"/>
    <w:rsid w:val="0099241F"/>
    <w:rsid w:val="0099274C"/>
    <w:rsid w:val="00992787"/>
    <w:rsid w:val="00992C83"/>
    <w:rsid w:val="009935FC"/>
    <w:rsid w:val="00993A85"/>
    <w:rsid w:val="009941DA"/>
    <w:rsid w:val="009942E0"/>
    <w:rsid w:val="00994681"/>
    <w:rsid w:val="009948FB"/>
    <w:rsid w:val="00994A7F"/>
    <w:rsid w:val="00994B61"/>
    <w:rsid w:val="0099505E"/>
    <w:rsid w:val="0099553D"/>
    <w:rsid w:val="00995A5A"/>
    <w:rsid w:val="00995B1F"/>
    <w:rsid w:val="00995C3B"/>
    <w:rsid w:val="00995F1C"/>
    <w:rsid w:val="00996CB7"/>
    <w:rsid w:val="009975B7"/>
    <w:rsid w:val="00997658"/>
    <w:rsid w:val="00997A3E"/>
    <w:rsid w:val="00997F3B"/>
    <w:rsid w:val="009A01B9"/>
    <w:rsid w:val="009A0498"/>
    <w:rsid w:val="009A04FD"/>
    <w:rsid w:val="009A0715"/>
    <w:rsid w:val="009A0803"/>
    <w:rsid w:val="009A09CF"/>
    <w:rsid w:val="009A0B67"/>
    <w:rsid w:val="009A1151"/>
    <w:rsid w:val="009A1168"/>
    <w:rsid w:val="009A1325"/>
    <w:rsid w:val="009A1434"/>
    <w:rsid w:val="009A14D8"/>
    <w:rsid w:val="009A1A0C"/>
    <w:rsid w:val="009A1BFC"/>
    <w:rsid w:val="009A289A"/>
    <w:rsid w:val="009A2D79"/>
    <w:rsid w:val="009A33AE"/>
    <w:rsid w:val="009A36C4"/>
    <w:rsid w:val="009A374B"/>
    <w:rsid w:val="009A3DAA"/>
    <w:rsid w:val="009A3E6C"/>
    <w:rsid w:val="009A413C"/>
    <w:rsid w:val="009A4734"/>
    <w:rsid w:val="009A4C0C"/>
    <w:rsid w:val="009A50DF"/>
    <w:rsid w:val="009A53A0"/>
    <w:rsid w:val="009A62FC"/>
    <w:rsid w:val="009A6956"/>
    <w:rsid w:val="009A763B"/>
    <w:rsid w:val="009A7655"/>
    <w:rsid w:val="009A7A24"/>
    <w:rsid w:val="009A7A67"/>
    <w:rsid w:val="009A7E35"/>
    <w:rsid w:val="009A7E8B"/>
    <w:rsid w:val="009B07E1"/>
    <w:rsid w:val="009B0A06"/>
    <w:rsid w:val="009B17FA"/>
    <w:rsid w:val="009B1C91"/>
    <w:rsid w:val="009B1CE0"/>
    <w:rsid w:val="009B2368"/>
    <w:rsid w:val="009B257D"/>
    <w:rsid w:val="009B2DAD"/>
    <w:rsid w:val="009B2DD1"/>
    <w:rsid w:val="009B3CC7"/>
    <w:rsid w:val="009B3E82"/>
    <w:rsid w:val="009B4268"/>
    <w:rsid w:val="009B5B37"/>
    <w:rsid w:val="009B66F5"/>
    <w:rsid w:val="009B6878"/>
    <w:rsid w:val="009B70EC"/>
    <w:rsid w:val="009B7D77"/>
    <w:rsid w:val="009C07F1"/>
    <w:rsid w:val="009C0F3C"/>
    <w:rsid w:val="009C18E9"/>
    <w:rsid w:val="009C1BB0"/>
    <w:rsid w:val="009C1CB4"/>
    <w:rsid w:val="009C2250"/>
    <w:rsid w:val="009C26CE"/>
    <w:rsid w:val="009C27B9"/>
    <w:rsid w:val="009C291D"/>
    <w:rsid w:val="009C4389"/>
    <w:rsid w:val="009C44F0"/>
    <w:rsid w:val="009C4703"/>
    <w:rsid w:val="009C53B6"/>
    <w:rsid w:val="009C548C"/>
    <w:rsid w:val="009C555A"/>
    <w:rsid w:val="009C5B8E"/>
    <w:rsid w:val="009C6E50"/>
    <w:rsid w:val="009C727B"/>
    <w:rsid w:val="009C7D42"/>
    <w:rsid w:val="009D0358"/>
    <w:rsid w:val="009D0402"/>
    <w:rsid w:val="009D05AF"/>
    <w:rsid w:val="009D05F2"/>
    <w:rsid w:val="009D09D1"/>
    <w:rsid w:val="009D0B75"/>
    <w:rsid w:val="009D0D73"/>
    <w:rsid w:val="009D2435"/>
    <w:rsid w:val="009D2F71"/>
    <w:rsid w:val="009D372F"/>
    <w:rsid w:val="009D433B"/>
    <w:rsid w:val="009D43AE"/>
    <w:rsid w:val="009D47BB"/>
    <w:rsid w:val="009D48E2"/>
    <w:rsid w:val="009D4A6C"/>
    <w:rsid w:val="009D5422"/>
    <w:rsid w:val="009D596D"/>
    <w:rsid w:val="009D5D3E"/>
    <w:rsid w:val="009D6123"/>
    <w:rsid w:val="009D64D7"/>
    <w:rsid w:val="009D6C45"/>
    <w:rsid w:val="009D7465"/>
    <w:rsid w:val="009D7489"/>
    <w:rsid w:val="009D7814"/>
    <w:rsid w:val="009D7881"/>
    <w:rsid w:val="009D7B0F"/>
    <w:rsid w:val="009E04A0"/>
    <w:rsid w:val="009E066C"/>
    <w:rsid w:val="009E0821"/>
    <w:rsid w:val="009E0E69"/>
    <w:rsid w:val="009E16C7"/>
    <w:rsid w:val="009E16F6"/>
    <w:rsid w:val="009E1CBC"/>
    <w:rsid w:val="009E1D4B"/>
    <w:rsid w:val="009E2637"/>
    <w:rsid w:val="009E2964"/>
    <w:rsid w:val="009E31C7"/>
    <w:rsid w:val="009E35CD"/>
    <w:rsid w:val="009E3666"/>
    <w:rsid w:val="009E47F8"/>
    <w:rsid w:val="009E51EE"/>
    <w:rsid w:val="009E5B95"/>
    <w:rsid w:val="009E5FDD"/>
    <w:rsid w:val="009E6288"/>
    <w:rsid w:val="009E64C2"/>
    <w:rsid w:val="009E6866"/>
    <w:rsid w:val="009E68B2"/>
    <w:rsid w:val="009E6C61"/>
    <w:rsid w:val="009E6E3F"/>
    <w:rsid w:val="009E7160"/>
    <w:rsid w:val="009E71A3"/>
    <w:rsid w:val="009E72E1"/>
    <w:rsid w:val="009E779A"/>
    <w:rsid w:val="009E798D"/>
    <w:rsid w:val="009E7E47"/>
    <w:rsid w:val="009E7F73"/>
    <w:rsid w:val="009F023C"/>
    <w:rsid w:val="009F0492"/>
    <w:rsid w:val="009F0708"/>
    <w:rsid w:val="009F0DD7"/>
    <w:rsid w:val="009F108A"/>
    <w:rsid w:val="009F13B8"/>
    <w:rsid w:val="009F1785"/>
    <w:rsid w:val="009F1BCF"/>
    <w:rsid w:val="009F1C72"/>
    <w:rsid w:val="009F237B"/>
    <w:rsid w:val="009F2499"/>
    <w:rsid w:val="009F2614"/>
    <w:rsid w:val="009F26BD"/>
    <w:rsid w:val="009F2708"/>
    <w:rsid w:val="009F29EA"/>
    <w:rsid w:val="009F3024"/>
    <w:rsid w:val="009F3128"/>
    <w:rsid w:val="009F38A4"/>
    <w:rsid w:val="009F38AB"/>
    <w:rsid w:val="009F3B86"/>
    <w:rsid w:val="009F3DEB"/>
    <w:rsid w:val="009F41AF"/>
    <w:rsid w:val="009F41D1"/>
    <w:rsid w:val="009F47A3"/>
    <w:rsid w:val="009F4DC9"/>
    <w:rsid w:val="009F5086"/>
    <w:rsid w:val="009F51DB"/>
    <w:rsid w:val="009F5548"/>
    <w:rsid w:val="009F58E3"/>
    <w:rsid w:val="009F6475"/>
    <w:rsid w:val="009F6BBE"/>
    <w:rsid w:val="009F6C93"/>
    <w:rsid w:val="009F72F2"/>
    <w:rsid w:val="009F74A6"/>
    <w:rsid w:val="009F7646"/>
    <w:rsid w:val="00A00040"/>
    <w:rsid w:val="00A00400"/>
    <w:rsid w:val="00A0051F"/>
    <w:rsid w:val="00A00B1D"/>
    <w:rsid w:val="00A00E1F"/>
    <w:rsid w:val="00A00F56"/>
    <w:rsid w:val="00A01E00"/>
    <w:rsid w:val="00A01FD7"/>
    <w:rsid w:val="00A02154"/>
    <w:rsid w:val="00A03FF1"/>
    <w:rsid w:val="00A04081"/>
    <w:rsid w:val="00A0449E"/>
    <w:rsid w:val="00A04793"/>
    <w:rsid w:val="00A04B49"/>
    <w:rsid w:val="00A05B4E"/>
    <w:rsid w:val="00A05BAA"/>
    <w:rsid w:val="00A05C92"/>
    <w:rsid w:val="00A05CBC"/>
    <w:rsid w:val="00A05F6C"/>
    <w:rsid w:val="00A0713F"/>
    <w:rsid w:val="00A07528"/>
    <w:rsid w:val="00A07819"/>
    <w:rsid w:val="00A104B0"/>
    <w:rsid w:val="00A10807"/>
    <w:rsid w:val="00A108F1"/>
    <w:rsid w:val="00A10925"/>
    <w:rsid w:val="00A10C4D"/>
    <w:rsid w:val="00A10D2D"/>
    <w:rsid w:val="00A11308"/>
    <w:rsid w:val="00A11BDE"/>
    <w:rsid w:val="00A121CE"/>
    <w:rsid w:val="00A12413"/>
    <w:rsid w:val="00A12A40"/>
    <w:rsid w:val="00A12ADE"/>
    <w:rsid w:val="00A13132"/>
    <w:rsid w:val="00A13572"/>
    <w:rsid w:val="00A14017"/>
    <w:rsid w:val="00A145B8"/>
    <w:rsid w:val="00A14906"/>
    <w:rsid w:val="00A14992"/>
    <w:rsid w:val="00A15142"/>
    <w:rsid w:val="00A15947"/>
    <w:rsid w:val="00A165BB"/>
    <w:rsid w:val="00A1672A"/>
    <w:rsid w:val="00A16A13"/>
    <w:rsid w:val="00A16B0C"/>
    <w:rsid w:val="00A171ED"/>
    <w:rsid w:val="00A17243"/>
    <w:rsid w:val="00A172DE"/>
    <w:rsid w:val="00A17C14"/>
    <w:rsid w:val="00A17F00"/>
    <w:rsid w:val="00A20373"/>
    <w:rsid w:val="00A20EEC"/>
    <w:rsid w:val="00A21ECA"/>
    <w:rsid w:val="00A222E4"/>
    <w:rsid w:val="00A22309"/>
    <w:rsid w:val="00A22907"/>
    <w:rsid w:val="00A229E5"/>
    <w:rsid w:val="00A23FEE"/>
    <w:rsid w:val="00A24120"/>
    <w:rsid w:val="00A24326"/>
    <w:rsid w:val="00A243F8"/>
    <w:rsid w:val="00A24648"/>
    <w:rsid w:val="00A246EE"/>
    <w:rsid w:val="00A248D7"/>
    <w:rsid w:val="00A24AB4"/>
    <w:rsid w:val="00A24D66"/>
    <w:rsid w:val="00A24F4D"/>
    <w:rsid w:val="00A25EC1"/>
    <w:rsid w:val="00A261DF"/>
    <w:rsid w:val="00A26242"/>
    <w:rsid w:val="00A263DB"/>
    <w:rsid w:val="00A26512"/>
    <w:rsid w:val="00A26E09"/>
    <w:rsid w:val="00A26F0A"/>
    <w:rsid w:val="00A26F22"/>
    <w:rsid w:val="00A2755F"/>
    <w:rsid w:val="00A27A27"/>
    <w:rsid w:val="00A27B1D"/>
    <w:rsid w:val="00A27D70"/>
    <w:rsid w:val="00A27E03"/>
    <w:rsid w:val="00A30111"/>
    <w:rsid w:val="00A3013A"/>
    <w:rsid w:val="00A30474"/>
    <w:rsid w:val="00A30BAB"/>
    <w:rsid w:val="00A30C90"/>
    <w:rsid w:val="00A31252"/>
    <w:rsid w:val="00A31AA6"/>
    <w:rsid w:val="00A31AB3"/>
    <w:rsid w:val="00A32275"/>
    <w:rsid w:val="00A32311"/>
    <w:rsid w:val="00A3272E"/>
    <w:rsid w:val="00A3291C"/>
    <w:rsid w:val="00A33452"/>
    <w:rsid w:val="00A33901"/>
    <w:rsid w:val="00A33CA3"/>
    <w:rsid w:val="00A33F26"/>
    <w:rsid w:val="00A34D97"/>
    <w:rsid w:val="00A34EE7"/>
    <w:rsid w:val="00A35E00"/>
    <w:rsid w:val="00A363C0"/>
    <w:rsid w:val="00A37392"/>
    <w:rsid w:val="00A3756A"/>
    <w:rsid w:val="00A404B6"/>
    <w:rsid w:val="00A40679"/>
    <w:rsid w:val="00A40792"/>
    <w:rsid w:val="00A40C31"/>
    <w:rsid w:val="00A41553"/>
    <w:rsid w:val="00A41EA6"/>
    <w:rsid w:val="00A41EAC"/>
    <w:rsid w:val="00A4204D"/>
    <w:rsid w:val="00A4265E"/>
    <w:rsid w:val="00A42899"/>
    <w:rsid w:val="00A42926"/>
    <w:rsid w:val="00A4303B"/>
    <w:rsid w:val="00A43072"/>
    <w:rsid w:val="00A4390A"/>
    <w:rsid w:val="00A43EE9"/>
    <w:rsid w:val="00A441CF"/>
    <w:rsid w:val="00A44540"/>
    <w:rsid w:val="00A446DE"/>
    <w:rsid w:val="00A45691"/>
    <w:rsid w:val="00A4597E"/>
    <w:rsid w:val="00A45AA5"/>
    <w:rsid w:val="00A45E68"/>
    <w:rsid w:val="00A46583"/>
    <w:rsid w:val="00A4698B"/>
    <w:rsid w:val="00A46F50"/>
    <w:rsid w:val="00A47491"/>
    <w:rsid w:val="00A4774A"/>
    <w:rsid w:val="00A5045D"/>
    <w:rsid w:val="00A50644"/>
    <w:rsid w:val="00A506BD"/>
    <w:rsid w:val="00A50A78"/>
    <w:rsid w:val="00A50C0C"/>
    <w:rsid w:val="00A5128C"/>
    <w:rsid w:val="00A512D6"/>
    <w:rsid w:val="00A51517"/>
    <w:rsid w:val="00A52219"/>
    <w:rsid w:val="00A5252E"/>
    <w:rsid w:val="00A52FF7"/>
    <w:rsid w:val="00A53640"/>
    <w:rsid w:val="00A5417B"/>
    <w:rsid w:val="00A54315"/>
    <w:rsid w:val="00A54325"/>
    <w:rsid w:val="00A54918"/>
    <w:rsid w:val="00A54F45"/>
    <w:rsid w:val="00A561E2"/>
    <w:rsid w:val="00A565F8"/>
    <w:rsid w:val="00A568BB"/>
    <w:rsid w:val="00A570BB"/>
    <w:rsid w:val="00A57139"/>
    <w:rsid w:val="00A57676"/>
    <w:rsid w:val="00A57C3B"/>
    <w:rsid w:val="00A606C3"/>
    <w:rsid w:val="00A6080C"/>
    <w:rsid w:val="00A60AC4"/>
    <w:rsid w:val="00A61673"/>
    <w:rsid w:val="00A616DC"/>
    <w:rsid w:val="00A617B8"/>
    <w:rsid w:val="00A62FE1"/>
    <w:rsid w:val="00A63A55"/>
    <w:rsid w:val="00A63A6D"/>
    <w:rsid w:val="00A64099"/>
    <w:rsid w:val="00A641E7"/>
    <w:rsid w:val="00A64279"/>
    <w:rsid w:val="00A656E0"/>
    <w:rsid w:val="00A65C71"/>
    <w:rsid w:val="00A65C7D"/>
    <w:rsid w:val="00A66153"/>
    <w:rsid w:val="00A661A3"/>
    <w:rsid w:val="00A66AE7"/>
    <w:rsid w:val="00A66B87"/>
    <w:rsid w:val="00A66DCE"/>
    <w:rsid w:val="00A6707E"/>
    <w:rsid w:val="00A67312"/>
    <w:rsid w:val="00A67DA6"/>
    <w:rsid w:val="00A7013C"/>
    <w:rsid w:val="00A705DD"/>
    <w:rsid w:val="00A716E9"/>
    <w:rsid w:val="00A71A59"/>
    <w:rsid w:val="00A7244A"/>
    <w:rsid w:val="00A7249B"/>
    <w:rsid w:val="00A725D1"/>
    <w:rsid w:val="00A727C7"/>
    <w:rsid w:val="00A72CC1"/>
    <w:rsid w:val="00A72F0C"/>
    <w:rsid w:val="00A73BD5"/>
    <w:rsid w:val="00A74326"/>
    <w:rsid w:val="00A74EFA"/>
    <w:rsid w:val="00A760A0"/>
    <w:rsid w:val="00A76884"/>
    <w:rsid w:val="00A76D37"/>
    <w:rsid w:val="00A77275"/>
    <w:rsid w:val="00A77662"/>
    <w:rsid w:val="00A77745"/>
    <w:rsid w:val="00A77BC5"/>
    <w:rsid w:val="00A802B5"/>
    <w:rsid w:val="00A808FC"/>
    <w:rsid w:val="00A816AD"/>
    <w:rsid w:val="00A81F90"/>
    <w:rsid w:val="00A828A7"/>
    <w:rsid w:val="00A82B7C"/>
    <w:rsid w:val="00A83052"/>
    <w:rsid w:val="00A8316F"/>
    <w:rsid w:val="00A846B9"/>
    <w:rsid w:val="00A84974"/>
    <w:rsid w:val="00A849C2"/>
    <w:rsid w:val="00A84DA6"/>
    <w:rsid w:val="00A84E34"/>
    <w:rsid w:val="00A85145"/>
    <w:rsid w:val="00A85501"/>
    <w:rsid w:val="00A8618D"/>
    <w:rsid w:val="00A861FB"/>
    <w:rsid w:val="00A865DB"/>
    <w:rsid w:val="00A8696D"/>
    <w:rsid w:val="00A86C8F"/>
    <w:rsid w:val="00A876C2"/>
    <w:rsid w:val="00A878E2"/>
    <w:rsid w:val="00A90B14"/>
    <w:rsid w:val="00A90C46"/>
    <w:rsid w:val="00A90E6B"/>
    <w:rsid w:val="00A91176"/>
    <w:rsid w:val="00A912C0"/>
    <w:rsid w:val="00A918BB"/>
    <w:rsid w:val="00A91976"/>
    <w:rsid w:val="00A92B2B"/>
    <w:rsid w:val="00A92FD5"/>
    <w:rsid w:val="00A931DF"/>
    <w:rsid w:val="00A93319"/>
    <w:rsid w:val="00A93582"/>
    <w:rsid w:val="00A93C20"/>
    <w:rsid w:val="00A944D2"/>
    <w:rsid w:val="00A948B4"/>
    <w:rsid w:val="00A948B5"/>
    <w:rsid w:val="00A9558D"/>
    <w:rsid w:val="00A95683"/>
    <w:rsid w:val="00A95832"/>
    <w:rsid w:val="00A95B2B"/>
    <w:rsid w:val="00A962DF"/>
    <w:rsid w:val="00A96482"/>
    <w:rsid w:val="00A96DC3"/>
    <w:rsid w:val="00A97503"/>
    <w:rsid w:val="00A97BB1"/>
    <w:rsid w:val="00A97DE7"/>
    <w:rsid w:val="00AA03B7"/>
    <w:rsid w:val="00AA081A"/>
    <w:rsid w:val="00AA0B8D"/>
    <w:rsid w:val="00AA0F90"/>
    <w:rsid w:val="00AA15B3"/>
    <w:rsid w:val="00AA1752"/>
    <w:rsid w:val="00AA18BD"/>
    <w:rsid w:val="00AA1B8B"/>
    <w:rsid w:val="00AA1C97"/>
    <w:rsid w:val="00AA1D18"/>
    <w:rsid w:val="00AA1F90"/>
    <w:rsid w:val="00AA2962"/>
    <w:rsid w:val="00AA29A5"/>
    <w:rsid w:val="00AA2BA8"/>
    <w:rsid w:val="00AA32BE"/>
    <w:rsid w:val="00AA3900"/>
    <w:rsid w:val="00AA45D9"/>
    <w:rsid w:val="00AA4BCB"/>
    <w:rsid w:val="00AA4E6A"/>
    <w:rsid w:val="00AA5004"/>
    <w:rsid w:val="00AA52BB"/>
    <w:rsid w:val="00AA5586"/>
    <w:rsid w:val="00AA5BF6"/>
    <w:rsid w:val="00AA5E43"/>
    <w:rsid w:val="00AA6039"/>
    <w:rsid w:val="00AA6104"/>
    <w:rsid w:val="00AA62A5"/>
    <w:rsid w:val="00AA6752"/>
    <w:rsid w:val="00AA6842"/>
    <w:rsid w:val="00AA6DFA"/>
    <w:rsid w:val="00AA731D"/>
    <w:rsid w:val="00AA755B"/>
    <w:rsid w:val="00AA7D21"/>
    <w:rsid w:val="00AB048D"/>
    <w:rsid w:val="00AB0892"/>
    <w:rsid w:val="00AB0AE7"/>
    <w:rsid w:val="00AB1257"/>
    <w:rsid w:val="00AB155F"/>
    <w:rsid w:val="00AB1C05"/>
    <w:rsid w:val="00AB2101"/>
    <w:rsid w:val="00AB249C"/>
    <w:rsid w:val="00AB29A1"/>
    <w:rsid w:val="00AB2A41"/>
    <w:rsid w:val="00AB2C6C"/>
    <w:rsid w:val="00AB33D2"/>
    <w:rsid w:val="00AB33DB"/>
    <w:rsid w:val="00AB36D8"/>
    <w:rsid w:val="00AB45E9"/>
    <w:rsid w:val="00AB4764"/>
    <w:rsid w:val="00AB4B63"/>
    <w:rsid w:val="00AB5090"/>
    <w:rsid w:val="00AB50F5"/>
    <w:rsid w:val="00AB5C46"/>
    <w:rsid w:val="00AB60DD"/>
    <w:rsid w:val="00AB713E"/>
    <w:rsid w:val="00AB7A17"/>
    <w:rsid w:val="00AB7C3D"/>
    <w:rsid w:val="00AB7D52"/>
    <w:rsid w:val="00AB7D57"/>
    <w:rsid w:val="00AC00DE"/>
    <w:rsid w:val="00AC064E"/>
    <w:rsid w:val="00AC102F"/>
    <w:rsid w:val="00AC108F"/>
    <w:rsid w:val="00AC1796"/>
    <w:rsid w:val="00AC1D83"/>
    <w:rsid w:val="00AC203E"/>
    <w:rsid w:val="00AC25A9"/>
    <w:rsid w:val="00AC2C7E"/>
    <w:rsid w:val="00AC403E"/>
    <w:rsid w:val="00AC4750"/>
    <w:rsid w:val="00AC4F7D"/>
    <w:rsid w:val="00AC50D0"/>
    <w:rsid w:val="00AC5119"/>
    <w:rsid w:val="00AC5150"/>
    <w:rsid w:val="00AC59E9"/>
    <w:rsid w:val="00AC5CFC"/>
    <w:rsid w:val="00AC5EBF"/>
    <w:rsid w:val="00AC5F04"/>
    <w:rsid w:val="00AC6C08"/>
    <w:rsid w:val="00AC7051"/>
    <w:rsid w:val="00AC7C0A"/>
    <w:rsid w:val="00AC7D3D"/>
    <w:rsid w:val="00AC7DA3"/>
    <w:rsid w:val="00AD0751"/>
    <w:rsid w:val="00AD10A6"/>
    <w:rsid w:val="00AD183E"/>
    <w:rsid w:val="00AD1F28"/>
    <w:rsid w:val="00AD2385"/>
    <w:rsid w:val="00AD25B5"/>
    <w:rsid w:val="00AD2CB7"/>
    <w:rsid w:val="00AD30CB"/>
    <w:rsid w:val="00AD320A"/>
    <w:rsid w:val="00AD37E0"/>
    <w:rsid w:val="00AD3830"/>
    <w:rsid w:val="00AD3E50"/>
    <w:rsid w:val="00AD3E9F"/>
    <w:rsid w:val="00AD3F17"/>
    <w:rsid w:val="00AD41E1"/>
    <w:rsid w:val="00AD521C"/>
    <w:rsid w:val="00AD5CC7"/>
    <w:rsid w:val="00AD5D5A"/>
    <w:rsid w:val="00AD5E0F"/>
    <w:rsid w:val="00AD6837"/>
    <w:rsid w:val="00AD7184"/>
    <w:rsid w:val="00AD7543"/>
    <w:rsid w:val="00AD754F"/>
    <w:rsid w:val="00AD77EF"/>
    <w:rsid w:val="00AD7BFE"/>
    <w:rsid w:val="00AD7C35"/>
    <w:rsid w:val="00AE03BC"/>
    <w:rsid w:val="00AE05CF"/>
    <w:rsid w:val="00AE0E18"/>
    <w:rsid w:val="00AE0EFC"/>
    <w:rsid w:val="00AE1652"/>
    <w:rsid w:val="00AE169C"/>
    <w:rsid w:val="00AE16B2"/>
    <w:rsid w:val="00AE24A6"/>
    <w:rsid w:val="00AE3A53"/>
    <w:rsid w:val="00AE3ABA"/>
    <w:rsid w:val="00AE3D1E"/>
    <w:rsid w:val="00AE3D42"/>
    <w:rsid w:val="00AE4304"/>
    <w:rsid w:val="00AE49BE"/>
    <w:rsid w:val="00AE4E7D"/>
    <w:rsid w:val="00AE51F5"/>
    <w:rsid w:val="00AE5B70"/>
    <w:rsid w:val="00AE5BE2"/>
    <w:rsid w:val="00AE6233"/>
    <w:rsid w:val="00AE7124"/>
    <w:rsid w:val="00AE7887"/>
    <w:rsid w:val="00AE7C91"/>
    <w:rsid w:val="00AF0057"/>
    <w:rsid w:val="00AF0AC5"/>
    <w:rsid w:val="00AF0D98"/>
    <w:rsid w:val="00AF1484"/>
    <w:rsid w:val="00AF1653"/>
    <w:rsid w:val="00AF1813"/>
    <w:rsid w:val="00AF187A"/>
    <w:rsid w:val="00AF2739"/>
    <w:rsid w:val="00AF2AA4"/>
    <w:rsid w:val="00AF2B77"/>
    <w:rsid w:val="00AF2D83"/>
    <w:rsid w:val="00AF2DC5"/>
    <w:rsid w:val="00AF3158"/>
    <w:rsid w:val="00AF31AC"/>
    <w:rsid w:val="00AF3936"/>
    <w:rsid w:val="00AF398C"/>
    <w:rsid w:val="00AF3AE5"/>
    <w:rsid w:val="00AF4255"/>
    <w:rsid w:val="00AF456A"/>
    <w:rsid w:val="00AF46D5"/>
    <w:rsid w:val="00AF4760"/>
    <w:rsid w:val="00AF4E26"/>
    <w:rsid w:val="00AF4F1A"/>
    <w:rsid w:val="00AF5116"/>
    <w:rsid w:val="00AF51E6"/>
    <w:rsid w:val="00AF54EA"/>
    <w:rsid w:val="00AF55BD"/>
    <w:rsid w:val="00AF56E0"/>
    <w:rsid w:val="00AF5AD6"/>
    <w:rsid w:val="00AF5CA8"/>
    <w:rsid w:val="00AF5EFC"/>
    <w:rsid w:val="00AF64D2"/>
    <w:rsid w:val="00AF6884"/>
    <w:rsid w:val="00AF7600"/>
    <w:rsid w:val="00AF7740"/>
    <w:rsid w:val="00AF7AAC"/>
    <w:rsid w:val="00AF7EDD"/>
    <w:rsid w:val="00B001B1"/>
    <w:rsid w:val="00B001D3"/>
    <w:rsid w:val="00B00486"/>
    <w:rsid w:val="00B00948"/>
    <w:rsid w:val="00B00F7B"/>
    <w:rsid w:val="00B00FFD"/>
    <w:rsid w:val="00B01C0E"/>
    <w:rsid w:val="00B01C80"/>
    <w:rsid w:val="00B01F76"/>
    <w:rsid w:val="00B02222"/>
    <w:rsid w:val="00B02853"/>
    <w:rsid w:val="00B02B3C"/>
    <w:rsid w:val="00B02C3B"/>
    <w:rsid w:val="00B02CAB"/>
    <w:rsid w:val="00B03424"/>
    <w:rsid w:val="00B035DD"/>
    <w:rsid w:val="00B0361C"/>
    <w:rsid w:val="00B042B7"/>
    <w:rsid w:val="00B04A5B"/>
    <w:rsid w:val="00B04F35"/>
    <w:rsid w:val="00B05562"/>
    <w:rsid w:val="00B055C0"/>
    <w:rsid w:val="00B05649"/>
    <w:rsid w:val="00B05747"/>
    <w:rsid w:val="00B05CB1"/>
    <w:rsid w:val="00B05CC5"/>
    <w:rsid w:val="00B05D35"/>
    <w:rsid w:val="00B05E29"/>
    <w:rsid w:val="00B05E35"/>
    <w:rsid w:val="00B06359"/>
    <w:rsid w:val="00B063B0"/>
    <w:rsid w:val="00B0656A"/>
    <w:rsid w:val="00B06F0A"/>
    <w:rsid w:val="00B06FFB"/>
    <w:rsid w:val="00B10226"/>
    <w:rsid w:val="00B1026A"/>
    <w:rsid w:val="00B10AA5"/>
    <w:rsid w:val="00B10ACF"/>
    <w:rsid w:val="00B11031"/>
    <w:rsid w:val="00B111E0"/>
    <w:rsid w:val="00B1243B"/>
    <w:rsid w:val="00B126B8"/>
    <w:rsid w:val="00B127EA"/>
    <w:rsid w:val="00B12EAF"/>
    <w:rsid w:val="00B1308B"/>
    <w:rsid w:val="00B130CF"/>
    <w:rsid w:val="00B13423"/>
    <w:rsid w:val="00B1346D"/>
    <w:rsid w:val="00B13870"/>
    <w:rsid w:val="00B13D48"/>
    <w:rsid w:val="00B13E47"/>
    <w:rsid w:val="00B13F97"/>
    <w:rsid w:val="00B14524"/>
    <w:rsid w:val="00B14DAC"/>
    <w:rsid w:val="00B153AE"/>
    <w:rsid w:val="00B154A7"/>
    <w:rsid w:val="00B15DF6"/>
    <w:rsid w:val="00B1663A"/>
    <w:rsid w:val="00B16D7A"/>
    <w:rsid w:val="00B16F59"/>
    <w:rsid w:val="00B17077"/>
    <w:rsid w:val="00B171A5"/>
    <w:rsid w:val="00B1724D"/>
    <w:rsid w:val="00B172EF"/>
    <w:rsid w:val="00B173CA"/>
    <w:rsid w:val="00B17409"/>
    <w:rsid w:val="00B175F0"/>
    <w:rsid w:val="00B176D2"/>
    <w:rsid w:val="00B20110"/>
    <w:rsid w:val="00B20254"/>
    <w:rsid w:val="00B20698"/>
    <w:rsid w:val="00B2093C"/>
    <w:rsid w:val="00B216AB"/>
    <w:rsid w:val="00B21B3B"/>
    <w:rsid w:val="00B21E4B"/>
    <w:rsid w:val="00B21E61"/>
    <w:rsid w:val="00B21F20"/>
    <w:rsid w:val="00B22464"/>
    <w:rsid w:val="00B22872"/>
    <w:rsid w:val="00B22D26"/>
    <w:rsid w:val="00B2319E"/>
    <w:rsid w:val="00B23323"/>
    <w:rsid w:val="00B23B09"/>
    <w:rsid w:val="00B2452D"/>
    <w:rsid w:val="00B250ED"/>
    <w:rsid w:val="00B25416"/>
    <w:rsid w:val="00B257F4"/>
    <w:rsid w:val="00B2648C"/>
    <w:rsid w:val="00B26843"/>
    <w:rsid w:val="00B26EC1"/>
    <w:rsid w:val="00B26F35"/>
    <w:rsid w:val="00B272BD"/>
    <w:rsid w:val="00B27CDF"/>
    <w:rsid w:val="00B27D18"/>
    <w:rsid w:val="00B30217"/>
    <w:rsid w:val="00B30417"/>
    <w:rsid w:val="00B309B8"/>
    <w:rsid w:val="00B30AB7"/>
    <w:rsid w:val="00B30C5E"/>
    <w:rsid w:val="00B30E4A"/>
    <w:rsid w:val="00B31616"/>
    <w:rsid w:val="00B3252C"/>
    <w:rsid w:val="00B32916"/>
    <w:rsid w:val="00B32B2C"/>
    <w:rsid w:val="00B32BB6"/>
    <w:rsid w:val="00B32EF8"/>
    <w:rsid w:val="00B32FBC"/>
    <w:rsid w:val="00B332C5"/>
    <w:rsid w:val="00B332E1"/>
    <w:rsid w:val="00B335AF"/>
    <w:rsid w:val="00B33605"/>
    <w:rsid w:val="00B3373F"/>
    <w:rsid w:val="00B3394A"/>
    <w:rsid w:val="00B33B39"/>
    <w:rsid w:val="00B33E7D"/>
    <w:rsid w:val="00B33F80"/>
    <w:rsid w:val="00B3423E"/>
    <w:rsid w:val="00B3476B"/>
    <w:rsid w:val="00B35876"/>
    <w:rsid w:val="00B362F0"/>
    <w:rsid w:val="00B3638D"/>
    <w:rsid w:val="00B364D0"/>
    <w:rsid w:val="00B3660B"/>
    <w:rsid w:val="00B36EB0"/>
    <w:rsid w:val="00B375AB"/>
    <w:rsid w:val="00B37FC8"/>
    <w:rsid w:val="00B404D7"/>
    <w:rsid w:val="00B406CD"/>
    <w:rsid w:val="00B407E5"/>
    <w:rsid w:val="00B40BB6"/>
    <w:rsid w:val="00B40E5E"/>
    <w:rsid w:val="00B41531"/>
    <w:rsid w:val="00B41694"/>
    <w:rsid w:val="00B42154"/>
    <w:rsid w:val="00B423A0"/>
    <w:rsid w:val="00B43031"/>
    <w:rsid w:val="00B432CB"/>
    <w:rsid w:val="00B4354B"/>
    <w:rsid w:val="00B43D6E"/>
    <w:rsid w:val="00B43E81"/>
    <w:rsid w:val="00B445C6"/>
    <w:rsid w:val="00B44849"/>
    <w:rsid w:val="00B44B5C"/>
    <w:rsid w:val="00B44E9C"/>
    <w:rsid w:val="00B4519F"/>
    <w:rsid w:val="00B4530E"/>
    <w:rsid w:val="00B45597"/>
    <w:rsid w:val="00B4565D"/>
    <w:rsid w:val="00B456C5"/>
    <w:rsid w:val="00B456D9"/>
    <w:rsid w:val="00B45B00"/>
    <w:rsid w:val="00B45C10"/>
    <w:rsid w:val="00B47442"/>
    <w:rsid w:val="00B4771C"/>
    <w:rsid w:val="00B5084C"/>
    <w:rsid w:val="00B50E0A"/>
    <w:rsid w:val="00B51548"/>
    <w:rsid w:val="00B52203"/>
    <w:rsid w:val="00B52417"/>
    <w:rsid w:val="00B52C5B"/>
    <w:rsid w:val="00B52E0A"/>
    <w:rsid w:val="00B5321E"/>
    <w:rsid w:val="00B53E32"/>
    <w:rsid w:val="00B53F17"/>
    <w:rsid w:val="00B544BD"/>
    <w:rsid w:val="00B54545"/>
    <w:rsid w:val="00B54578"/>
    <w:rsid w:val="00B547BB"/>
    <w:rsid w:val="00B55DE9"/>
    <w:rsid w:val="00B55F12"/>
    <w:rsid w:val="00B55F9A"/>
    <w:rsid w:val="00B55FE3"/>
    <w:rsid w:val="00B5605F"/>
    <w:rsid w:val="00B56067"/>
    <w:rsid w:val="00B56876"/>
    <w:rsid w:val="00B56B8C"/>
    <w:rsid w:val="00B56FC4"/>
    <w:rsid w:val="00B5703F"/>
    <w:rsid w:val="00B576ED"/>
    <w:rsid w:val="00B57D87"/>
    <w:rsid w:val="00B57F7E"/>
    <w:rsid w:val="00B60035"/>
    <w:rsid w:val="00B60AC3"/>
    <w:rsid w:val="00B60CA7"/>
    <w:rsid w:val="00B618F6"/>
    <w:rsid w:val="00B620CF"/>
    <w:rsid w:val="00B620F9"/>
    <w:rsid w:val="00B622E9"/>
    <w:rsid w:val="00B627B1"/>
    <w:rsid w:val="00B62843"/>
    <w:rsid w:val="00B62C1B"/>
    <w:rsid w:val="00B630EB"/>
    <w:rsid w:val="00B632C4"/>
    <w:rsid w:val="00B6385A"/>
    <w:rsid w:val="00B6405F"/>
    <w:rsid w:val="00B64697"/>
    <w:rsid w:val="00B64944"/>
    <w:rsid w:val="00B64C6E"/>
    <w:rsid w:val="00B64E08"/>
    <w:rsid w:val="00B651AB"/>
    <w:rsid w:val="00B65990"/>
    <w:rsid w:val="00B65B43"/>
    <w:rsid w:val="00B65D63"/>
    <w:rsid w:val="00B65D7F"/>
    <w:rsid w:val="00B664E0"/>
    <w:rsid w:val="00B66B5D"/>
    <w:rsid w:val="00B6723E"/>
    <w:rsid w:val="00B67364"/>
    <w:rsid w:val="00B674D2"/>
    <w:rsid w:val="00B67638"/>
    <w:rsid w:val="00B67E24"/>
    <w:rsid w:val="00B67F82"/>
    <w:rsid w:val="00B701BA"/>
    <w:rsid w:val="00B70456"/>
    <w:rsid w:val="00B711BB"/>
    <w:rsid w:val="00B718B1"/>
    <w:rsid w:val="00B71AB3"/>
    <w:rsid w:val="00B73012"/>
    <w:rsid w:val="00B736A1"/>
    <w:rsid w:val="00B73768"/>
    <w:rsid w:val="00B7376B"/>
    <w:rsid w:val="00B73CE5"/>
    <w:rsid w:val="00B73E46"/>
    <w:rsid w:val="00B73F87"/>
    <w:rsid w:val="00B7445D"/>
    <w:rsid w:val="00B747D7"/>
    <w:rsid w:val="00B752A6"/>
    <w:rsid w:val="00B752C7"/>
    <w:rsid w:val="00B757A9"/>
    <w:rsid w:val="00B75BEC"/>
    <w:rsid w:val="00B7610E"/>
    <w:rsid w:val="00B76287"/>
    <w:rsid w:val="00B766BF"/>
    <w:rsid w:val="00B768ED"/>
    <w:rsid w:val="00B76D66"/>
    <w:rsid w:val="00B7716B"/>
    <w:rsid w:val="00B77443"/>
    <w:rsid w:val="00B77917"/>
    <w:rsid w:val="00B77F56"/>
    <w:rsid w:val="00B804E1"/>
    <w:rsid w:val="00B80CA3"/>
    <w:rsid w:val="00B80E41"/>
    <w:rsid w:val="00B814E8"/>
    <w:rsid w:val="00B81767"/>
    <w:rsid w:val="00B81B55"/>
    <w:rsid w:val="00B81EE7"/>
    <w:rsid w:val="00B823B3"/>
    <w:rsid w:val="00B82406"/>
    <w:rsid w:val="00B836F9"/>
    <w:rsid w:val="00B838C5"/>
    <w:rsid w:val="00B83D8E"/>
    <w:rsid w:val="00B83DC7"/>
    <w:rsid w:val="00B8455A"/>
    <w:rsid w:val="00B84B12"/>
    <w:rsid w:val="00B84EDD"/>
    <w:rsid w:val="00B84F91"/>
    <w:rsid w:val="00B85450"/>
    <w:rsid w:val="00B85506"/>
    <w:rsid w:val="00B85A48"/>
    <w:rsid w:val="00B85BA6"/>
    <w:rsid w:val="00B85DCB"/>
    <w:rsid w:val="00B862CE"/>
    <w:rsid w:val="00B867F1"/>
    <w:rsid w:val="00B87A78"/>
    <w:rsid w:val="00B87C04"/>
    <w:rsid w:val="00B90603"/>
    <w:rsid w:val="00B912EB"/>
    <w:rsid w:val="00B9224B"/>
    <w:rsid w:val="00B922DC"/>
    <w:rsid w:val="00B92EAF"/>
    <w:rsid w:val="00B936A4"/>
    <w:rsid w:val="00B9381F"/>
    <w:rsid w:val="00B93A45"/>
    <w:rsid w:val="00B9446A"/>
    <w:rsid w:val="00B9454C"/>
    <w:rsid w:val="00B949AD"/>
    <w:rsid w:val="00B9579A"/>
    <w:rsid w:val="00B959A6"/>
    <w:rsid w:val="00B95FAB"/>
    <w:rsid w:val="00B96C1D"/>
    <w:rsid w:val="00B9761C"/>
    <w:rsid w:val="00B9765C"/>
    <w:rsid w:val="00BA0061"/>
    <w:rsid w:val="00BA04C0"/>
    <w:rsid w:val="00BA105A"/>
    <w:rsid w:val="00BA13B3"/>
    <w:rsid w:val="00BA1AF4"/>
    <w:rsid w:val="00BA20B6"/>
    <w:rsid w:val="00BA2557"/>
    <w:rsid w:val="00BA2D0F"/>
    <w:rsid w:val="00BA3166"/>
    <w:rsid w:val="00BA3874"/>
    <w:rsid w:val="00BA3D30"/>
    <w:rsid w:val="00BA3E7D"/>
    <w:rsid w:val="00BA3F32"/>
    <w:rsid w:val="00BA42A5"/>
    <w:rsid w:val="00BA442F"/>
    <w:rsid w:val="00BA445F"/>
    <w:rsid w:val="00BA4931"/>
    <w:rsid w:val="00BA4AD7"/>
    <w:rsid w:val="00BA5487"/>
    <w:rsid w:val="00BA5F10"/>
    <w:rsid w:val="00BA65EC"/>
    <w:rsid w:val="00BA697C"/>
    <w:rsid w:val="00BA7974"/>
    <w:rsid w:val="00BA7C6C"/>
    <w:rsid w:val="00BA7FB8"/>
    <w:rsid w:val="00BB04FB"/>
    <w:rsid w:val="00BB0A8D"/>
    <w:rsid w:val="00BB0B43"/>
    <w:rsid w:val="00BB1D43"/>
    <w:rsid w:val="00BB204D"/>
    <w:rsid w:val="00BB26A4"/>
    <w:rsid w:val="00BB2ADB"/>
    <w:rsid w:val="00BB2E0F"/>
    <w:rsid w:val="00BB3207"/>
    <w:rsid w:val="00BB327F"/>
    <w:rsid w:val="00BB3770"/>
    <w:rsid w:val="00BB382B"/>
    <w:rsid w:val="00BB38AD"/>
    <w:rsid w:val="00BB3DD8"/>
    <w:rsid w:val="00BB401A"/>
    <w:rsid w:val="00BB4B54"/>
    <w:rsid w:val="00BB4BE0"/>
    <w:rsid w:val="00BB5168"/>
    <w:rsid w:val="00BB52DF"/>
    <w:rsid w:val="00BB5842"/>
    <w:rsid w:val="00BB5AF0"/>
    <w:rsid w:val="00BB5EDC"/>
    <w:rsid w:val="00BB6612"/>
    <w:rsid w:val="00BB67DD"/>
    <w:rsid w:val="00BB6F16"/>
    <w:rsid w:val="00BB7263"/>
    <w:rsid w:val="00BB7431"/>
    <w:rsid w:val="00BB7456"/>
    <w:rsid w:val="00BB7709"/>
    <w:rsid w:val="00BB777E"/>
    <w:rsid w:val="00BB7A6D"/>
    <w:rsid w:val="00BB7AF9"/>
    <w:rsid w:val="00BC01F6"/>
    <w:rsid w:val="00BC0449"/>
    <w:rsid w:val="00BC0E5C"/>
    <w:rsid w:val="00BC1237"/>
    <w:rsid w:val="00BC171E"/>
    <w:rsid w:val="00BC1998"/>
    <w:rsid w:val="00BC1B0E"/>
    <w:rsid w:val="00BC1B42"/>
    <w:rsid w:val="00BC2493"/>
    <w:rsid w:val="00BC26F8"/>
    <w:rsid w:val="00BC275D"/>
    <w:rsid w:val="00BC28EB"/>
    <w:rsid w:val="00BC2E8D"/>
    <w:rsid w:val="00BC3E2D"/>
    <w:rsid w:val="00BC4B47"/>
    <w:rsid w:val="00BC5189"/>
    <w:rsid w:val="00BC589F"/>
    <w:rsid w:val="00BC6299"/>
    <w:rsid w:val="00BC6B2D"/>
    <w:rsid w:val="00BC73CA"/>
    <w:rsid w:val="00BD00D6"/>
    <w:rsid w:val="00BD044D"/>
    <w:rsid w:val="00BD0491"/>
    <w:rsid w:val="00BD04CD"/>
    <w:rsid w:val="00BD0D73"/>
    <w:rsid w:val="00BD0EA6"/>
    <w:rsid w:val="00BD1044"/>
    <w:rsid w:val="00BD1351"/>
    <w:rsid w:val="00BD163B"/>
    <w:rsid w:val="00BD1DB2"/>
    <w:rsid w:val="00BD2381"/>
    <w:rsid w:val="00BD2880"/>
    <w:rsid w:val="00BD2D99"/>
    <w:rsid w:val="00BD3734"/>
    <w:rsid w:val="00BD3B11"/>
    <w:rsid w:val="00BD3EF8"/>
    <w:rsid w:val="00BD40D1"/>
    <w:rsid w:val="00BD41B6"/>
    <w:rsid w:val="00BD4275"/>
    <w:rsid w:val="00BD42C1"/>
    <w:rsid w:val="00BD432D"/>
    <w:rsid w:val="00BD4957"/>
    <w:rsid w:val="00BD4E21"/>
    <w:rsid w:val="00BD53ED"/>
    <w:rsid w:val="00BD566A"/>
    <w:rsid w:val="00BD57DC"/>
    <w:rsid w:val="00BD5A5E"/>
    <w:rsid w:val="00BD5B4D"/>
    <w:rsid w:val="00BD6454"/>
    <w:rsid w:val="00BD679C"/>
    <w:rsid w:val="00BD710D"/>
    <w:rsid w:val="00BD7409"/>
    <w:rsid w:val="00BD7692"/>
    <w:rsid w:val="00BD7A2A"/>
    <w:rsid w:val="00BD7C48"/>
    <w:rsid w:val="00BD7DC4"/>
    <w:rsid w:val="00BD7FAB"/>
    <w:rsid w:val="00BE023C"/>
    <w:rsid w:val="00BE030A"/>
    <w:rsid w:val="00BE070E"/>
    <w:rsid w:val="00BE0F10"/>
    <w:rsid w:val="00BE0FE1"/>
    <w:rsid w:val="00BE11AB"/>
    <w:rsid w:val="00BE2875"/>
    <w:rsid w:val="00BE42D0"/>
    <w:rsid w:val="00BE44A2"/>
    <w:rsid w:val="00BE480A"/>
    <w:rsid w:val="00BE4940"/>
    <w:rsid w:val="00BE4F80"/>
    <w:rsid w:val="00BE54B1"/>
    <w:rsid w:val="00BE5BC3"/>
    <w:rsid w:val="00BE65BD"/>
    <w:rsid w:val="00BE6947"/>
    <w:rsid w:val="00BE699B"/>
    <w:rsid w:val="00BE6A3A"/>
    <w:rsid w:val="00BE7CF5"/>
    <w:rsid w:val="00BE7F6A"/>
    <w:rsid w:val="00BF0120"/>
    <w:rsid w:val="00BF0A94"/>
    <w:rsid w:val="00BF0C33"/>
    <w:rsid w:val="00BF2979"/>
    <w:rsid w:val="00BF2B41"/>
    <w:rsid w:val="00BF2C61"/>
    <w:rsid w:val="00BF2F0E"/>
    <w:rsid w:val="00BF3099"/>
    <w:rsid w:val="00BF3FF4"/>
    <w:rsid w:val="00BF40A0"/>
    <w:rsid w:val="00BF4128"/>
    <w:rsid w:val="00BF41DA"/>
    <w:rsid w:val="00BF4968"/>
    <w:rsid w:val="00BF4EAA"/>
    <w:rsid w:val="00BF5110"/>
    <w:rsid w:val="00BF5427"/>
    <w:rsid w:val="00BF575E"/>
    <w:rsid w:val="00BF5DE6"/>
    <w:rsid w:val="00BF61EA"/>
    <w:rsid w:val="00BF6218"/>
    <w:rsid w:val="00BF6813"/>
    <w:rsid w:val="00BF6A17"/>
    <w:rsid w:val="00BF6AC1"/>
    <w:rsid w:val="00BF6C32"/>
    <w:rsid w:val="00BF6E95"/>
    <w:rsid w:val="00BF75F0"/>
    <w:rsid w:val="00BF7611"/>
    <w:rsid w:val="00C0000F"/>
    <w:rsid w:val="00C0035B"/>
    <w:rsid w:val="00C00E2D"/>
    <w:rsid w:val="00C00E92"/>
    <w:rsid w:val="00C00EEA"/>
    <w:rsid w:val="00C014F4"/>
    <w:rsid w:val="00C01F28"/>
    <w:rsid w:val="00C01FC6"/>
    <w:rsid w:val="00C01FF5"/>
    <w:rsid w:val="00C02801"/>
    <w:rsid w:val="00C02890"/>
    <w:rsid w:val="00C02A8F"/>
    <w:rsid w:val="00C03003"/>
    <w:rsid w:val="00C03D3F"/>
    <w:rsid w:val="00C03E61"/>
    <w:rsid w:val="00C0428A"/>
    <w:rsid w:val="00C05564"/>
    <w:rsid w:val="00C0581C"/>
    <w:rsid w:val="00C0601D"/>
    <w:rsid w:val="00C06562"/>
    <w:rsid w:val="00C06957"/>
    <w:rsid w:val="00C06F8D"/>
    <w:rsid w:val="00C07B97"/>
    <w:rsid w:val="00C10667"/>
    <w:rsid w:val="00C10903"/>
    <w:rsid w:val="00C10CD0"/>
    <w:rsid w:val="00C10FDB"/>
    <w:rsid w:val="00C11696"/>
    <w:rsid w:val="00C116A5"/>
    <w:rsid w:val="00C12244"/>
    <w:rsid w:val="00C129FF"/>
    <w:rsid w:val="00C12A64"/>
    <w:rsid w:val="00C12BE0"/>
    <w:rsid w:val="00C136D2"/>
    <w:rsid w:val="00C13A68"/>
    <w:rsid w:val="00C13C43"/>
    <w:rsid w:val="00C1403D"/>
    <w:rsid w:val="00C14798"/>
    <w:rsid w:val="00C14807"/>
    <w:rsid w:val="00C14EF4"/>
    <w:rsid w:val="00C15D8B"/>
    <w:rsid w:val="00C15E7A"/>
    <w:rsid w:val="00C15E95"/>
    <w:rsid w:val="00C16581"/>
    <w:rsid w:val="00C16903"/>
    <w:rsid w:val="00C16F8D"/>
    <w:rsid w:val="00C1724C"/>
    <w:rsid w:val="00C1740E"/>
    <w:rsid w:val="00C17CBF"/>
    <w:rsid w:val="00C2089E"/>
    <w:rsid w:val="00C20A24"/>
    <w:rsid w:val="00C20BDA"/>
    <w:rsid w:val="00C20C79"/>
    <w:rsid w:val="00C21009"/>
    <w:rsid w:val="00C212E5"/>
    <w:rsid w:val="00C21704"/>
    <w:rsid w:val="00C21861"/>
    <w:rsid w:val="00C21863"/>
    <w:rsid w:val="00C21D82"/>
    <w:rsid w:val="00C22038"/>
    <w:rsid w:val="00C22256"/>
    <w:rsid w:val="00C224F0"/>
    <w:rsid w:val="00C22B3D"/>
    <w:rsid w:val="00C22DC2"/>
    <w:rsid w:val="00C23299"/>
    <w:rsid w:val="00C232FC"/>
    <w:rsid w:val="00C23D61"/>
    <w:rsid w:val="00C24083"/>
    <w:rsid w:val="00C242CE"/>
    <w:rsid w:val="00C244D9"/>
    <w:rsid w:val="00C24D0D"/>
    <w:rsid w:val="00C25C74"/>
    <w:rsid w:val="00C2638B"/>
    <w:rsid w:val="00C2665F"/>
    <w:rsid w:val="00C26FB0"/>
    <w:rsid w:val="00C2752C"/>
    <w:rsid w:val="00C30DF0"/>
    <w:rsid w:val="00C310A9"/>
    <w:rsid w:val="00C31236"/>
    <w:rsid w:val="00C31699"/>
    <w:rsid w:val="00C31780"/>
    <w:rsid w:val="00C31C6C"/>
    <w:rsid w:val="00C322C6"/>
    <w:rsid w:val="00C32682"/>
    <w:rsid w:val="00C3276D"/>
    <w:rsid w:val="00C32A6D"/>
    <w:rsid w:val="00C33243"/>
    <w:rsid w:val="00C332F6"/>
    <w:rsid w:val="00C33BDA"/>
    <w:rsid w:val="00C341EC"/>
    <w:rsid w:val="00C3458E"/>
    <w:rsid w:val="00C34606"/>
    <w:rsid w:val="00C346C5"/>
    <w:rsid w:val="00C34B15"/>
    <w:rsid w:val="00C34E66"/>
    <w:rsid w:val="00C35164"/>
    <w:rsid w:val="00C35439"/>
    <w:rsid w:val="00C35D4D"/>
    <w:rsid w:val="00C35E4A"/>
    <w:rsid w:val="00C35E9E"/>
    <w:rsid w:val="00C35F05"/>
    <w:rsid w:val="00C372DA"/>
    <w:rsid w:val="00C376A2"/>
    <w:rsid w:val="00C3781B"/>
    <w:rsid w:val="00C37849"/>
    <w:rsid w:val="00C4001A"/>
    <w:rsid w:val="00C406FF"/>
    <w:rsid w:val="00C40CCF"/>
    <w:rsid w:val="00C4148D"/>
    <w:rsid w:val="00C414AC"/>
    <w:rsid w:val="00C415E7"/>
    <w:rsid w:val="00C4167F"/>
    <w:rsid w:val="00C41824"/>
    <w:rsid w:val="00C41C3D"/>
    <w:rsid w:val="00C41EC2"/>
    <w:rsid w:val="00C423AE"/>
    <w:rsid w:val="00C425B0"/>
    <w:rsid w:val="00C42766"/>
    <w:rsid w:val="00C4295A"/>
    <w:rsid w:val="00C43013"/>
    <w:rsid w:val="00C43F0D"/>
    <w:rsid w:val="00C44238"/>
    <w:rsid w:val="00C44440"/>
    <w:rsid w:val="00C44DD8"/>
    <w:rsid w:val="00C45A84"/>
    <w:rsid w:val="00C46C44"/>
    <w:rsid w:val="00C47289"/>
    <w:rsid w:val="00C479A5"/>
    <w:rsid w:val="00C479DB"/>
    <w:rsid w:val="00C47C94"/>
    <w:rsid w:val="00C50289"/>
    <w:rsid w:val="00C5039D"/>
    <w:rsid w:val="00C50AA2"/>
    <w:rsid w:val="00C50AC1"/>
    <w:rsid w:val="00C50F20"/>
    <w:rsid w:val="00C51A2C"/>
    <w:rsid w:val="00C52070"/>
    <w:rsid w:val="00C52151"/>
    <w:rsid w:val="00C52489"/>
    <w:rsid w:val="00C525CB"/>
    <w:rsid w:val="00C52842"/>
    <w:rsid w:val="00C52AC3"/>
    <w:rsid w:val="00C52F97"/>
    <w:rsid w:val="00C532B8"/>
    <w:rsid w:val="00C54093"/>
    <w:rsid w:val="00C542DF"/>
    <w:rsid w:val="00C54838"/>
    <w:rsid w:val="00C54C16"/>
    <w:rsid w:val="00C54F90"/>
    <w:rsid w:val="00C55890"/>
    <w:rsid w:val="00C55B81"/>
    <w:rsid w:val="00C55F28"/>
    <w:rsid w:val="00C56147"/>
    <w:rsid w:val="00C563DB"/>
    <w:rsid w:val="00C56C31"/>
    <w:rsid w:val="00C5737C"/>
    <w:rsid w:val="00C57ADF"/>
    <w:rsid w:val="00C604F1"/>
    <w:rsid w:val="00C60D44"/>
    <w:rsid w:val="00C610AB"/>
    <w:rsid w:val="00C61603"/>
    <w:rsid w:val="00C61D45"/>
    <w:rsid w:val="00C62244"/>
    <w:rsid w:val="00C62448"/>
    <w:rsid w:val="00C62E30"/>
    <w:rsid w:val="00C62E58"/>
    <w:rsid w:val="00C62FD8"/>
    <w:rsid w:val="00C63206"/>
    <w:rsid w:val="00C634AD"/>
    <w:rsid w:val="00C63CD3"/>
    <w:rsid w:val="00C63DA2"/>
    <w:rsid w:val="00C63E86"/>
    <w:rsid w:val="00C6537E"/>
    <w:rsid w:val="00C653CE"/>
    <w:rsid w:val="00C6592E"/>
    <w:rsid w:val="00C66433"/>
    <w:rsid w:val="00C67080"/>
    <w:rsid w:val="00C67374"/>
    <w:rsid w:val="00C6741E"/>
    <w:rsid w:val="00C70091"/>
    <w:rsid w:val="00C707D7"/>
    <w:rsid w:val="00C71293"/>
    <w:rsid w:val="00C71919"/>
    <w:rsid w:val="00C71D8F"/>
    <w:rsid w:val="00C71E98"/>
    <w:rsid w:val="00C72266"/>
    <w:rsid w:val="00C72869"/>
    <w:rsid w:val="00C74D9D"/>
    <w:rsid w:val="00C7525D"/>
    <w:rsid w:val="00C75260"/>
    <w:rsid w:val="00C75458"/>
    <w:rsid w:val="00C75B42"/>
    <w:rsid w:val="00C75BDB"/>
    <w:rsid w:val="00C75C33"/>
    <w:rsid w:val="00C75D91"/>
    <w:rsid w:val="00C76197"/>
    <w:rsid w:val="00C7695F"/>
    <w:rsid w:val="00C7727D"/>
    <w:rsid w:val="00C77320"/>
    <w:rsid w:val="00C77356"/>
    <w:rsid w:val="00C773F4"/>
    <w:rsid w:val="00C7784A"/>
    <w:rsid w:val="00C77879"/>
    <w:rsid w:val="00C77C2F"/>
    <w:rsid w:val="00C77DAD"/>
    <w:rsid w:val="00C80528"/>
    <w:rsid w:val="00C80882"/>
    <w:rsid w:val="00C8121D"/>
    <w:rsid w:val="00C81F03"/>
    <w:rsid w:val="00C82309"/>
    <w:rsid w:val="00C82AD0"/>
    <w:rsid w:val="00C83AC4"/>
    <w:rsid w:val="00C83B76"/>
    <w:rsid w:val="00C83CEC"/>
    <w:rsid w:val="00C83E1A"/>
    <w:rsid w:val="00C84070"/>
    <w:rsid w:val="00C84232"/>
    <w:rsid w:val="00C842D5"/>
    <w:rsid w:val="00C84442"/>
    <w:rsid w:val="00C84A61"/>
    <w:rsid w:val="00C8530D"/>
    <w:rsid w:val="00C85E6F"/>
    <w:rsid w:val="00C8610E"/>
    <w:rsid w:val="00C86DF4"/>
    <w:rsid w:val="00C86E30"/>
    <w:rsid w:val="00C872C7"/>
    <w:rsid w:val="00C90295"/>
    <w:rsid w:val="00C90601"/>
    <w:rsid w:val="00C910E2"/>
    <w:rsid w:val="00C912B1"/>
    <w:rsid w:val="00C91A83"/>
    <w:rsid w:val="00C91DC9"/>
    <w:rsid w:val="00C92965"/>
    <w:rsid w:val="00C92E41"/>
    <w:rsid w:val="00C93080"/>
    <w:rsid w:val="00C938B0"/>
    <w:rsid w:val="00C93946"/>
    <w:rsid w:val="00C93ED3"/>
    <w:rsid w:val="00C94262"/>
    <w:rsid w:val="00C944B1"/>
    <w:rsid w:val="00C9463A"/>
    <w:rsid w:val="00C949C1"/>
    <w:rsid w:val="00C94A87"/>
    <w:rsid w:val="00C94AEB"/>
    <w:rsid w:val="00C95D7D"/>
    <w:rsid w:val="00C9611F"/>
    <w:rsid w:val="00C965D0"/>
    <w:rsid w:val="00C975F0"/>
    <w:rsid w:val="00C9772B"/>
    <w:rsid w:val="00C979F8"/>
    <w:rsid w:val="00CA0530"/>
    <w:rsid w:val="00CA0912"/>
    <w:rsid w:val="00CA0CED"/>
    <w:rsid w:val="00CA11E9"/>
    <w:rsid w:val="00CA147B"/>
    <w:rsid w:val="00CA2CA3"/>
    <w:rsid w:val="00CA2D7A"/>
    <w:rsid w:val="00CA4765"/>
    <w:rsid w:val="00CA4857"/>
    <w:rsid w:val="00CA5354"/>
    <w:rsid w:val="00CA5B05"/>
    <w:rsid w:val="00CA5E29"/>
    <w:rsid w:val="00CA654D"/>
    <w:rsid w:val="00CA6746"/>
    <w:rsid w:val="00CA6B41"/>
    <w:rsid w:val="00CA7135"/>
    <w:rsid w:val="00CA738C"/>
    <w:rsid w:val="00CA795F"/>
    <w:rsid w:val="00CB0173"/>
    <w:rsid w:val="00CB0C5E"/>
    <w:rsid w:val="00CB0E79"/>
    <w:rsid w:val="00CB126C"/>
    <w:rsid w:val="00CB13E2"/>
    <w:rsid w:val="00CB2118"/>
    <w:rsid w:val="00CB28F7"/>
    <w:rsid w:val="00CB2E78"/>
    <w:rsid w:val="00CB34BF"/>
    <w:rsid w:val="00CB3C36"/>
    <w:rsid w:val="00CB3CED"/>
    <w:rsid w:val="00CB4007"/>
    <w:rsid w:val="00CB41F7"/>
    <w:rsid w:val="00CB43B2"/>
    <w:rsid w:val="00CB44AA"/>
    <w:rsid w:val="00CB45A9"/>
    <w:rsid w:val="00CB4AF4"/>
    <w:rsid w:val="00CB55D6"/>
    <w:rsid w:val="00CB5685"/>
    <w:rsid w:val="00CB5987"/>
    <w:rsid w:val="00CB5CFF"/>
    <w:rsid w:val="00CB5E84"/>
    <w:rsid w:val="00CB63A1"/>
    <w:rsid w:val="00CB7527"/>
    <w:rsid w:val="00CB7738"/>
    <w:rsid w:val="00CB7A7C"/>
    <w:rsid w:val="00CC018D"/>
    <w:rsid w:val="00CC05F5"/>
    <w:rsid w:val="00CC09DE"/>
    <w:rsid w:val="00CC0B53"/>
    <w:rsid w:val="00CC11F6"/>
    <w:rsid w:val="00CC1E3C"/>
    <w:rsid w:val="00CC22B0"/>
    <w:rsid w:val="00CC26C7"/>
    <w:rsid w:val="00CC2A2F"/>
    <w:rsid w:val="00CC2E0A"/>
    <w:rsid w:val="00CC3276"/>
    <w:rsid w:val="00CC45EC"/>
    <w:rsid w:val="00CC499E"/>
    <w:rsid w:val="00CC4C00"/>
    <w:rsid w:val="00CC5CAA"/>
    <w:rsid w:val="00CC5D7F"/>
    <w:rsid w:val="00CC642C"/>
    <w:rsid w:val="00CC6B25"/>
    <w:rsid w:val="00CC6CE0"/>
    <w:rsid w:val="00CC6D0E"/>
    <w:rsid w:val="00CC71B5"/>
    <w:rsid w:val="00CC7DE3"/>
    <w:rsid w:val="00CD00EB"/>
    <w:rsid w:val="00CD0B48"/>
    <w:rsid w:val="00CD0DD1"/>
    <w:rsid w:val="00CD0F7C"/>
    <w:rsid w:val="00CD1399"/>
    <w:rsid w:val="00CD1875"/>
    <w:rsid w:val="00CD2125"/>
    <w:rsid w:val="00CD25E3"/>
    <w:rsid w:val="00CD29C0"/>
    <w:rsid w:val="00CD2CE3"/>
    <w:rsid w:val="00CD3012"/>
    <w:rsid w:val="00CD308D"/>
    <w:rsid w:val="00CD3201"/>
    <w:rsid w:val="00CD3853"/>
    <w:rsid w:val="00CD3F43"/>
    <w:rsid w:val="00CD40F9"/>
    <w:rsid w:val="00CD4438"/>
    <w:rsid w:val="00CD4B1D"/>
    <w:rsid w:val="00CD4C0A"/>
    <w:rsid w:val="00CD7FA8"/>
    <w:rsid w:val="00CE051D"/>
    <w:rsid w:val="00CE0586"/>
    <w:rsid w:val="00CE0F2D"/>
    <w:rsid w:val="00CE131A"/>
    <w:rsid w:val="00CE18AE"/>
    <w:rsid w:val="00CE1F18"/>
    <w:rsid w:val="00CE2465"/>
    <w:rsid w:val="00CE280A"/>
    <w:rsid w:val="00CE2E87"/>
    <w:rsid w:val="00CE305A"/>
    <w:rsid w:val="00CE31CB"/>
    <w:rsid w:val="00CE3A26"/>
    <w:rsid w:val="00CE3D94"/>
    <w:rsid w:val="00CE3E9A"/>
    <w:rsid w:val="00CE3E9E"/>
    <w:rsid w:val="00CE414C"/>
    <w:rsid w:val="00CE42C7"/>
    <w:rsid w:val="00CE444A"/>
    <w:rsid w:val="00CE4613"/>
    <w:rsid w:val="00CE4A1C"/>
    <w:rsid w:val="00CE4A4B"/>
    <w:rsid w:val="00CE4C69"/>
    <w:rsid w:val="00CE4D75"/>
    <w:rsid w:val="00CE5A88"/>
    <w:rsid w:val="00CE5CC1"/>
    <w:rsid w:val="00CE5D96"/>
    <w:rsid w:val="00CE5FCF"/>
    <w:rsid w:val="00CE6102"/>
    <w:rsid w:val="00CE616E"/>
    <w:rsid w:val="00CE63B1"/>
    <w:rsid w:val="00CE695C"/>
    <w:rsid w:val="00CE6AC7"/>
    <w:rsid w:val="00CE6AF9"/>
    <w:rsid w:val="00CE6B25"/>
    <w:rsid w:val="00CE6DFF"/>
    <w:rsid w:val="00CE7931"/>
    <w:rsid w:val="00CE79A7"/>
    <w:rsid w:val="00CE7D5E"/>
    <w:rsid w:val="00CE7DA6"/>
    <w:rsid w:val="00CF008C"/>
    <w:rsid w:val="00CF0193"/>
    <w:rsid w:val="00CF01DA"/>
    <w:rsid w:val="00CF0BDF"/>
    <w:rsid w:val="00CF10BE"/>
    <w:rsid w:val="00CF1C50"/>
    <w:rsid w:val="00CF2154"/>
    <w:rsid w:val="00CF28C3"/>
    <w:rsid w:val="00CF2B82"/>
    <w:rsid w:val="00CF2DC7"/>
    <w:rsid w:val="00CF35F3"/>
    <w:rsid w:val="00CF4447"/>
    <w:rsid w:val="00CF4990"/>
    <w:rsid w:val="00CF4F32"/>
    <w:rsid w:val="00CF502A"/>
    <w:rsid w:val="00CF5079"/>
    <w:rsid w:val="00CF652C"/>
    <w:rsid w:val="00CF7104"/>
    <w:rsid w:val="00D0003D"/>
    <w:rsid w:val="00D00059"/>
    <w:rsid w:val="00D0029E"/>
    <w:rsid w:val="00D00AB9"/>
    <w:rsid w:val="00D01482"/>
    <w:rsid w:val="00D01BC8"/>
    <w:rsid w:val="00D01CD7"/>
    <w:rsid w:val="00D02033"/>
    <w:rsid w:val="00D02216"/>
    <w:rsid w:val="00D03046"/>
    <w:rsid w:val="00D0326C"/>
    <w:rsid w:val="00D03502"/>
    <w:rsid w:val="00D039CD"/>
    <w:rsid w:val="00D03CB2"/>
    <w:rsid w:val="00D03CCB"/>
    <w:rsid w:val="00D03D6F"/>
    <w:rsid w:val="00D040DC"/>
    <w:rsid w:val="00D046C5"/>
    <w:rsid w:val="00D04EBE"/>
    <w:rsid w:val="00D04F1D"/>
    <w:rsid w:val="00D055F1"/>
    <w:rsid w:val="00D05786"/>
    <w:rsid w:val="00D0578E"/>
    <w:rsid w:val="00D05DCF"/>
    <w:rsid w:val="00D06784"/>
    <w:rsid w:val="00D069DC"/>
    <w:rsid w:val="00D06BED"/>
    <w:rsid w:val="00D07B25"/>
    <w:rsid w:val="00D1009B"/>
    <w:rsid w:val="00D10240"/>
    <w:rsid w:val="00D10722"/>
    <w:rsid w:val="00D10E06"/>
    <w:rsid w:val="00D11113"/>
    <w:rsid w:val="00D11197"/>
    <w:rsid w:val="00D1170C"/>
    <w:rsid w:val="00D1226D"/>
    <w:rsid w:val="00D12FBE"/>
    <w:rsid w:val="00D13160"/>
    <w:rsid w:val="00D134BC"/>
    <w:rsid w:val="00D13C4F"/>
    <w:rsid w:val="00D140F2"/>
    <w:rsid w:val="00D14460"/>
    <w:rsid w:val="00D147B9"/>
    <w:rsid w:val="00D147D5"/>
    <w:rsid w:val="00D148B7"/>
    <w:rsid w:val="00D14F41"/>
    <w:rsid w:val="00D1519C"/>
    <w:rsid w:val="00D1563E"/>
    <w:rsid w:val="00D159F4"/>
    <w:rsid w:val="00D15D2C"/>
    <w:rsid w:val="00D15DDB"/>
    <w:rsid w:val="00D15E14"/>
    <w:rsid w:val="00D15E1B"/>
    <w:rsid w:val="00D16111"/>
    <w:rsid w:val="00D16267"/>
    <w:rsid w:val="00D16894"/>
    <w:rsid w:val="00D168B8"/>
    <w:rsid w:val="00D173C5"/>
    <w:rsid w:val="00D17A54"/>
    <w:rsid w:val="00D21619"/>
    <w:rsid w:val="00D223EE"/>
    <w:rsid w:val="00D225F4"/>
    <w:rsid w:val="00D228DB"/>
    <w:rsid w:val="00D22D3A"/>
    <w:rsid w:val="00D22E14"/>
    <w:rsid w:val="00D2322E"/>
    <w:rsid w:val="00D234A1"/>
    <w:rsid w:val="00D234B7"/>
    <w:rsid w:val="00D23D9C"/>
    <w:rsid w:val="00D23E19"/>
    <w:rsid w:val="00D23E3E"/>
    <w:rsid w:val="00D24138"/>
    <w:rsid w:val="00D24427"/>
    <w:rsid w:val="00D2489F"/>
    <w:rsid w:val="00D24ADA"/>
    <w:rsid w:val="00D24CEA"/>
    <w:rsid w:val="00D24DEF"/>
    <w:rsid w:val="00D252CD"/>
    <w:rsid w:val="00D25D7D"/>
    <w:rsid w:val="00D25FC3"/>
    <w:rsid w:val="00D26569"/>
    <w:rsid w:val="00D26781"/>
    <w:rsid w:val="00D275AD"/>
    <w:rsid w:val="00D30479"/>
    <w:rsid w:val="00D30651"/>
    <w:rsid w:val="00D30C52"/>
    <w:rsid w:val="00D30D80"/>
    <w:rsid w:val="00D30D96"/>
    <w:rsid w:val="00D30ED6"/>
    <w:rsid w:val="00D31620"/>
    <w:rsid w:val="00D319A2"/>
    <w:rsid w:val="00D31C94"/>
    <w:rsid w:val="00D31D05"/>
    <w:rsid w:val="00D3231B"/>
    <w:rsid w:val="00D33DE6"/>
    <w:rsid w:val="00D33F43"/>
    <w:rsid w:val="00D34027"/>
    <w:rsid w:val="00D34051"/>
    <w:rsid w:val="00D34361"/>
    <w:rsid w:val="00D34DAF"/>
    <w:rsid w:val="00D3513A"/>
    <w:rsid w:val="00D351F9"/>
    <w:rsid w:val="00D35356"/>
    <w:rsid w:val="00D3543B"/>
    <w:rsid w:val="00D354D5"/>
    <w:rsid w:val="00D3552A"/>
    <w:rsid w:val="00D35890"/>
    <w:rsid w:val="00D359B5"/>
    <w:rsid w:val="00D365E8"/>
    <w:rsid w:val="00D3674A"/>
    <w:rsid w:val="00D36CD3"/>
    <w:rsid w:val="00D375B3"/>
    <w:rsid w:val="00D3776F"/>
    <w:rsid w:val="00D37E77"/>
    <w:rsid w:val="00D405DC"/>
    <w:rsid w:val="00D408ED"/>
    <w:rsid w:val="00D40A05"/>
    <w:rsid w:val="00D41273"/>
    <w:rsid w:val="00D41290"/>
    <w:rsid w:val="00D418FD"/>
    <w:rsid w:val="00D41975"/>
    <w:rsid w:val="00D419FE"/>
    <w:rsid w:val="00D41C1B"/>
    <w:rsid w:val="00D42087"/>
    <w:rsid w:val="00D42699"/>
    <w:rsid w:val="00D43368"/>
    <w:rsid w:val="00D436A2"/>
    <w:rsid w:val="00D43AA7"/>
    <w:rsid w:val="00D43C6E"/>
    <w:rsid w:val="00D4426F"/>
    <w:rsid w:val="00D44326"/>
    <w:rsid w:val="00D446DD"/>
    <w:rsid w:val="00D448B2"/>
    <w:rsid w:val="00D44A1C"/>
    <w:rsid w:val="00D44E12"/>
    <w:rsid w:val="00D44F22"/>
    <w:rsid w:val="00D45AB6"/>
    <w:rsid w:val="00D45D2D"/>
    <w:rsid w:val="00D45D77"/>
    <w:rsid w:val="00D4654B"/>
    <w:rsid w:val="00D46787"/>
    <w:rsid w:val="00D468C8"/>
    <w:rsid w:val="00D46A2A"/>
    <w:rsid w:val="00D46D93"/>
    <w:rsid w:val="00D47272"/>
    <w:rsid w:val="00D47630"/>
    <w:rsid w:val="00D50507"/>
    <w:rsid w:val="00D508E2"/>
    <w:rsid w:val="00D51044"/>
    <w:rsid w:val="00D51BDB"/>
    <w:rsid w:val="00D51C14"/>
    <w:rsid w:val="00D51CF6"/>
    <w:rsid w:val="00D5233A"/>
    <w:rsid w:val="00D527BB"/>
    <w:rsid w:val="00D52862"/>
    <w:rsid w:val="00D534F6"/>
    <w:rsid w:val="00D53BD3"/>
    <w:rsid w:val="00D53EAE"/>
    <w:rsid w:val="00D53FB7"/>
    <w:rsid w:val="00D543A1"/>
    <w:rsid w:val="00D54C76"/>
    <w:rsid w:val="00D553EF"/>
    <w:rsid w:val="00D553F5"/>
    <w:rsid w:val="00D554BF"/>
    <w:rsid w:val="00D55C2C"/>
    <w:rsid w:val="00D55FB6"/>
    <w:rsid w:val="00D565AC"/>
    <w:rsid w:val="00D56A3E"/>
    <w:rsid w:val="00D577E0"/>
    <w:rsid w:val="00D603FC"/>
    <w:rsid w:val="00D60552"/>
    <w:rsid w:val="00D6084C"/>
    <w:rsid w:val="00D609E5"/>
    <w:rsid w:val="00D60C30"/>
    <w:rsid w:val="00D6137A"/>
    <w:rsid w:val="00D6137F"/>
    <w:rsid w:val="00D613E2"/>
    <w:rsid w:val="00D61955"/>
    <w:rsid w:val="00D62425"/>
    <w:rsid w:val="00D63192"/>
    <w:rsid w:val="00D634B0"/>
    <w:rsid w:val="00D64363"/>
    <w:rsid w:val="00D644F0"/>
    <w:rsid w:val="00D64929"/>
    <w:rsid w:val="00D65127"/>
    <w:rsid w:val="00D65295"/>
    <w:rsid w:val="00D654C6"/>
    <w:rsid w:val="00D656D1"/>
    <w:rsid w:val="00D6585E"/>
    <w:rsid w:val="00D66492"/>
    <w:rsid w:val="00D66560"/>
    <w:rsid w:val="00D66757"/>
    <w:rsid w:val="00D669E3"/>
    <w:rsid w:val="00D67167"/>
    <w:rsid w:val="00D6750D"/>
    <w:rsid w:val="00D67AC5"/>
    <w:rsid w:val="00D67E8C"/>
    <w:rsid w:val="00D7027A"/>
    <w:rsid w:val="00D70489"/>
    <w:rsid w:val="00D706CD"/>
    <w:rsid w:val="00D70A90"/>
    <w:rsid w:val="00D70D3C"/>
    <w:rsid w:val="00D70DA2"/>
    <w:rsid w:val="00D712A8"/>
    <w:rsid w:val="00D7162D"/>
    <w:rsid w:val="00D71724"/>
    <w:rsid w:val="00D71825"/>
    <w:rsid w:val="00D71B3C"/>
    <w:rsid w:val="00D71DC4"/>
    <w:rsid w:val="00D71E18"/>
    <w:rsid w:val="00D71F43"/>
    <w:rsid w:val="00D72484"/>
    <w:rsid w:val="00D724C5"/>
    <w:rsid w:val="00D72570"/>
    <w:rsid w:val="00D73011"/>
    <w:rsid w:val="00D73515"/>
    <w:rsid w:val="00D7376A"/>
    <w:rsid w:val="00D73EF2"/>
    <w:rsid w:val="00D744B2"/>
    <w:rsid w:val="00D745FF"/>
    <w:rsid w:val="00D74C1E"/>
    <w:rsid w:val="00D74DE7"/>
    <w:rsid w:val="00D7533B"/>
    <w:rsid w:val="00D75A6C"/>
    <w:rsid w:val="00D762DD"/>
    <w:rsid w:val="00D77D4E"/>
    <w:rsid w:val="00D80303"/>
    <w:rsid w:val="00D80D7B"/>
    <w:rsid w:val="00D80E4A"/>
    <w:rsid w:val="00D8120A"/>
    <w:rsid w:val="00D81935"/>
    <w:rsid w:val="00D81BB3"/>
    <w:rsid w:val="00D822C7"/>
    <w:rsid w:val="00D825E4"/>
    <w:rsid w:val="00D82A06"/>
    <w:rsid w:val="00D82B44"/>
    <w:rsid w:val="00D82BBB"/>
    <w:rsid w:val="00D82FC4"/>
    <w:rsid w:val="00D8308A"/>
    <w:rsid w:val="00D830DB"/>
    <w:rsid w:val="00D831B7"/>
    <w:rsid w:val="00D835EF"/>
    <w:rsid w:val="00D838F9"/>
    <w:rsid w:val="00D83B00"/>
    <w:rsid w:val="00D83DF7"/>
    <w:rsid w:val="00D84439"/>
    <w:rsid w:val="00D84AE6"/>
    <w:rsid w:val="00D84C42"/>
    <w:rsid w:val="00D85944"/>
    <w:rsid w:val="00D85CBA"/>
    <w:rsid w:val="00D86172"/>
    <w:rsid w:val="00D865D1"/>
    <w:rsid w:val="00D8666E"/>
    <w:rsid w:val="00D86BE7"/>
    <w:rsid w:val="00D86F4E"/>
    <w:rsid w:val="00D874A3"/>
    <w:rsid w:val="00D8777E"/>
    <w:rsid w:val="00D87E05"/>
    <w:rsid w:val="00D902E8"/>
    <w:rsid w:val="00D90468"/>
    <w:rsid w:val="00D91046"/>
    <w:rsid w:val="00D91293"/>
    <w:rsid w:val="00D920A3"/>
    <w:rsid w:val="00D92559"/>
    <w:rsid w:val="00D92A27"/>
    <w:rsid w:val="00D92F2B"/>
    <w:rsid w:val="00D93124"/>
    <w:rsid w:val="00D93293"/>
    <w:rsid w:val="00D93345"/>
    <w:rsid w:val="00D93505"/>
    <w:rsid w:val="00D93DB8"/>
    <w:rsid w:val="00D94802"/>
    <w:rsid w:val="00D94F63"/>
    <w:rsid w:val="00D950A7"/>
    <w:rsid w:val="00D95228"/>
    <w:rsid w:val="00D95B4A"/>
    <w:rsid w:val="00D95C8F"/>
    <w:rsid w:val="00D96A66"/>
    <w:rsid w:val="00D97777"/>
    <w:rsid w:val="00D97FB2"/>
    <w:rsid w:val="00DA14FF"/>
    <w:rsid w:val="00DA277E"/>
    <w:rsid w:val="00DA2E64"/>
    <w:rsid w:val="00DA2E67"/>
    <w:rsid w:val="00DA3444"/>
    <w:rsid w:val="00DA5382"/>
    <w:rsid w:val="00DA58C3"/>
    <w:rsid w:val="00DA58DD"/>
    <w:rsid w:val="00DA604C"/>
    <w:rsid w:val="00DA61C2"/>
    <w:rsid w:val="00DA63DE"/>
    <w:rsid w:val="00DA69F7"/>
    <w:rsid w:val="00DA6CF4"/>
    <w:rsid w:val="00DA7562"/>
    <w:rsid w:val="00DA7896"/>
    <w:rsid w:val="00DA7E2C"/>
    <w:rsid w:val="00DB0D7F"/>
    <w:rsid w:val="00DB0FFB"/>
    <w:rsid w:val="00DB1079"/>
    <w:rsid w:val="00DB14EF"/>
    <w:rsid w:val="00DB168B"/>
    <w:rsid w:val="00DB21AC"/>
    <w:rsid w:val="00DB2568"/>
    <w:rsid w:val="00DB2576"/>
    <w:rsid w:val="00DB2645"/>
    <w:rsid w:val="00DB2647"/>
    <w:rsid w:val="00DB34F0"/>
    <w:rsid w:val="00DB3FE8"/>
    <w:rsid w:val="00DB42D0"/>
    <w:rsid w:val="00DB4C06"/>
    <w:rsid w:val="00DB52D1"/>
    <w:rsid w:val="00DB55D8"/>
    <w:rsid w:val="00DB55F4"/>
    <w:rsid w:val="00DB5F4C"/>
    <w:rsid w:val="00DB64D8"/>
    <w:rsid w:val="00DB6A6C"/>
    <w:rsid w:val="00DB6B03"/>
    <w:rsid w:val="00DB700F"/>
    <w:rsid w:val="00DC065E"/>
    <w:rsid w:val="00DC08DA"/>
    <w:rsid w:val="00DC0AAB"/>
    <w:rsid w:val="00DC0E92"/>
    <w:rsid w:val="00DC1270"/>
    <w:rsid w:val="00DC147D"/>
    <w:rsid w:val="00DC17E8"/>
    <w:rsid w:val="00DC1B11"/>
    <w:rsid w:val="00DC1F14"/>
    <w:rsid w:val="00DC21EB"/>
    <w:rsid w:val="00DC25AD"/>
    <w:rsid w:val="00DC2F30"/>
    <w:rsid w:val="00DC317D"/>
    <w:rsid w:val="00DC3189"/>
    <w:rsid w:val="00DC330B"/>
    <w:rsid w:val="00DC339B"/>
    <w:rsid w:val="00DC3624"/>
    <w:rsid w:val="00DC3B28"/>
    <w:rsid w:val="00DC414B"/>
    <w:rsid w:val="00DC432A"/>
    <w:rsid w:val="00DC56F2"/>
    <w:rsid w:val="00DC5AE6"/>
    <w:rsid w:val="00DC66C7"/>
    <w:rsid w:val="00DC6B9B"/>
    <w:rsid w:val="00DC7CE0"/>
    <w:rsid w:val="00DD0116"/>
    <w:rsid w:val="00DD0ABB"/>
    <w:rsid w:val="00DD0B1B"/>
    <w:rsid w:val="00DD0BF6"/>
    <w:rsid w:val="00DD1097"/>
    <w:rsid w:val="00DD1123"/>
    <w:rsid w:val="00DD1538"/>
    <w:rsid w:val="00DD173A"/>
    <w:rsid w:val="00DD1811"/>
    <w:rsid w:val="00DD1D19"/>
    <w:rsid w:val="00DD243C"/>
    <w:rsid w:val="00DD2DAA"/>
    <w:rsid w:val="00DD2FB9"/>
    <w:rsid w:val="00DD3002"/>
    <w:rsid w:val="00DD367D"/>
    <w:rsid w:val="00DD38C1"/>
    <w:rsid w:val="00DD41E5"/>
    <w:rsid w:val="00DD4483"/>
    <w:rsid w:val="00DD4960"/>
    <w:rsid w:val="00DD4DA3"/>
    <w:rsid w:val="00DD5218"/>
    <w:rsid w:val="00DD5222"/>
    <w:rsid w:val="00DD5317"/>
    <w:rsid w:val="00DD55B8"/>
    <w:rsid w:val="00DD5B7E"/>
    <w:rsid w:val="00DD5D3A"/>
    <w:rsid w:val="00DD618D"/>
    <w:rsid w:val="00DD69DA"/>
    <w:rsid w:val="00DD6BF7"/>
    <w:rsid w:val="00DD6D28"/>
    <w:rsid w:val="00DE015A"/>
    <w:rsid w:val="00DE0204"/>
    <w:rsid w:val="00DE03D9"/>
    <w:rsid w:val="00DE06B7"/>
    <w:rsid w:val="00DE0B66"/>
    <w:rsid w:val="00DE1443"/>
    <w:rsid w:val="00DE2605"/>
    <w:rsid w:val="00DE26FE"/>
    <w:rsid w:val="00DE2BCB"/>
    <w:rsid w:val="00DE3DAA"/>
    <w:rsid w:val="00DE3FE5"/>
    <w:rsid w:val="00DE437E"/>
    <w:rsid w:val="00DE4771"/>
    <w:rsid w:val="00DE5581"/>
    <w:rsid w:val="00DE56C6"/>
    <w:rsid w:val="00DE582F"/>
    <w:rsid w:val="00DE5C40"/>
    <w:rsid w:val="00DE5CEF"/>
    <w:rsid w:val="00DE6102"/>
    <w:rsid w:val="00DE645E"/>
    <w:rsid w:val="00DE64E1"/>
    <w:rsid w:val="00DE66AC"/>
    <w:rsid w:val="00DE69DE"/>
    <w:rsid w:val="00DE6ADC"/>
    <w:rsid w:val="00DE709D"/>
    <w:rsid w:val="00DE733B"/>
    <w:rsid w:val="00DE76C9"/>
    <w:rsid w:val="00DF0B17"/>
    <w:rsid w:val="00DF0B90"/>
    <w:rsid w:val="00DF0E83"/>
    <w:rsid w:val="00DF17D0"/>
    <w:rsid w:val="00DF188A"/>
    <w:rsid w:val="00DF2DFA"/>
    <w:rsid w:val="00DF2FA7"/>
    <w:rsid w:val="00DF35A3"/>
    <w:rsid w:val="00DF3AE3"/>
    <w:rsid w:val="00DF3C4B"/>
    <w:rsid w:val="00DF45E7"/>
    <w:rsid w:val="00DF4700"/>
    <w:rsid w:val="00DF4C3A"/>
    <w:rsid w:val="00DF4D3D"/>
    <w:rsid w:val="00DF5165"/>
    <w:rsid w:val="00DF542E"/>
    <w:rsid w:val="00DF54FE"/>
    <w:rsid w:val="00DF570B"/>
    <w:rsid w:val="00DF584D"/>
    <w:rsid w:val="00DF5E69"/>
    <w:rsid w:val="00DF62C4"/>
    <w:rsid w:val="00DF6957"/>
    <w:rsid w:val="00DF70C6"/>
    <w:rsid w:val="00DF745D"/>
    <w:rsid w:val="00DF7B51"/>
    <w:rsid w:val="00E001D9"/>
    <w:rsid w:val="00E00899"/>
    <w:rsid w:val="00E0136F"/>
    <w:rsid w:val="00E022B8"/>
    <w:rsid w:val="00E02379"/>
    <w:rsid w:val="00E024FE"/>
    <w:rsid w:val="00E026BF"/>
    <w:rsid w:val="00E02CE4"/>
    <w:rsid w:val="00E02E30"/>
    <w:rsid w:val="00E031D6"/>
    <w:rsid w:val="00E0345C"/>
    <w:rsid w:val="00E03AC1"/>
    <w:rsid w:val="00E047F7"/>
    <w:rsid w:val="00E04869"/>
    <w:rsid w:val="00E04C92"/>
    <w:rsid w:val="00E056D8"/>
    <w:rsid w:val="00E06BC2"/>
    <w:rsid w:val="00E070C2"/>
    <w:rsid w:val="00E07123"/>
    <w:rsid w:val="00E0759F"/>
    <w:rsid w:val="00E10390"/>
    <w:rsid w:val="00E1072E"/>
    <w:rsid w:val="00E10C47"/>
    <w:rsid w:val="00E10C68"/>
    <w:rsid w:val="00E10CF9"/>
    <w:rsid w:val="00E11E50"/>
    <w:rsid w:val="00E11FA9"/>
    <w:rsid w:val="00E12573"/>
    <w:rsid w:val="00E12831"/>
    <w:rsid w:val="00E128E3"/>
    <w:rsid w:val="00E12D8A"/>
    <w:rsid w:val="00E12E18"/>
    <w:rsid w:val="00E134F1"/>
    <w:rsid w:val="00E13507"/>
    <w:rsid w:val="00E135BB"/>
    <w:rsid w:val="00E13A71"/>
    <w:rsid w:val="00E1486B"/>
    <w:rsid w:val="00E15048"/>
    <w:rsid w:val="00E153A8"/>
    <w:rsid w:val="00E1543F"/>
    <w:rsid w:val="00E15514"/>
    <w:rsid w:val="00E15718"/>
    <w:rsid w:val="00E157E3"/>
    <w:rsid w:val="00E1621F"/>
    <w:rsid w:val="00E16938"/>
    <w:rsid w:val="00E16A74"/>
    <w:rsid w:val="00E16F64"/>
    <w:rsid w:val="00E1759D"/>
    <w:rsid w:val="00E17B35"/>
    <w:rsid w:val="00E17E16"/>
    <w:rsid w:val="00E203DA"/>
    <w:rsid w:val="00E20750"/>
    <w:rsid w:val="00E20B20"/>
    <w:rsid w:val="00E20EAA"/>
    <w:rsid w:val="00E20F39"/>
    <w:rsid w:val="00E2246A"/>
    <w:rsid w:val="00E225E3"/>
    <w:rsid w:val="00E22A37"/>
    <w:rsid w:val="00E23268"/>
    <w:rsid w:val="00E23284"/>
    <w:rsid w:val="00E2338A"/>
    <w:rsid w:val="00E235D1"/>
    <w:rsid w:val="00E2387F"/>
    <w:rsid w:val="00E23DCE"/>
    <w:rsid w:val="00E23FC2"/>
    <w:rsid w:val="00E24060"/>
    <w:rsid w:val="00E25228"/>
    <w:rsid w:val="00E2585E"/>
    <w:rsid w:val="00E25A77"/>
    <w:rsid w:val="00E25E02"/>
    <w:rsid w:val="00E264DB"/>
    <w:rsid w:val="00E26C84"/>
    <w:rsid w:val="00E27B44"/>
    <w:rsid w:val="00E27BEF"/>
    <w:rsid w:val="00E27CC4"/>
    <w:rsid w:val="00E27D40"/>
    <w:rsid w:val="00E3016E"/>
    <w:rsid w:val="00E30AC6"/>
    <w:rsid w:val="00E30BD3"/>
    <w:rsid w:val="00E30F56"/>
    <w:rsid w:val="00E31B16"/>
    <w:rsid w:val="00E3222B"/>
    <w:rsid w:val="00E3235B"/>
    <w:rsid w:val="00E326BC"/>
    <w:rsid w:val="00E3272A"/>
    <w:rsid w:val="00E32C23"/>
    <w:rsid w:val="00E32DAA"/>
    <w:rsid w:val="00E32E55"/>
    <w:rsid w:val="00E32EEA"/>
    <w:rsid w:val="00E32F91"/>
    <w:rsid w:val="00E333F0"/>
    <w:rsid w:val="00E33EE5"/>
    <w:rsid w:val="00E3439D"/>
    <w:rsid w:val="00E34918"/>
    <w:rsid w:val="00E34972"/>
    <w:rsid w:val="00E34AA2"/>
    <w:rsid w:val="00E34F7C"/>
    <w:rsid w:val="00E35083"/>
    <w:rsid w:val="00E36E15"/>
    <w:rsid w:val="00E36FF5"/>
    <w:rsid w:val="00E3721B"/>
    <w:rsid w:val="00E375CC"/>
    <w:rsid w:val="00E37782"/>
    <w:rsid w:val="00E37D55"/>
    <w:rsid w:val="00E4054D"/>
    <w:rsid w:val="00E40683"/>
    <w:rsid w:val="00E406A6"/>
    <w:rsid w:val="00E40852"/>
    <w:rsid w:val="00E40980"/>
    <w:rsid w:val="00E40A30"/>
    <w:rsid w:val="00E414CD"/>
    <w:rsid w:val="00E419C6"/>
    <w:rsid w:val="00E42196"/>
    <w:rsid w:val="00E428A7"/>
    <w:rsid w:val="00E42DE1"/>
    <w:rsid w:val="00E432DE"/>
    <w:rsid w:val="00E43603"/>
    <w:rsid w:val="00E43AEF"/>
    <w:rsid w:val="00E43CCD"/>
    <w:rsid w:val="00E44026"/>
    <w:rsid w:val="00E4429F"/>
    <w:rsid w:val="00E44611"/>
    <w:rsid w:val="00E44B27"/>
    <w:rsid w:val="00E44C9E"/>
    <w:rsid w:val="00E450D9"/>
    <w:rsid w:val="00E45102"/>
    <w:rsid w:val="00E454FD"/>
    <w:rsid w:val="00E4565F"/>
    <w:rsid w:val="00E45888"/>
    <w:rsid w:val="00E45E98"/>
    <w:rsid w:val="00E46AF4"/>
    <w:rsid w:val="00E473A4"/>
    <w:rsid w:val="00E47AB6"/>
    <w:rsid w:val="00E47D7F"/>
    <w:rsid w:val="00E5123C"/>
    <w:rsid w:val="00E51391"/>
    <w:rsid w:val="00E513C0"/>
    <w:rsid w:val="00E515FB"/>
    <w:rsid w:val="00E51A11"/>
    <w:rsid w:val="00E51DD0"/>
    <w:rsid w:val="00E51EA8"/>
    <w:rsid w:val="00E51F3E"/>
    <w:rsid w:val="00E520D0"/>
    <w:rsid w:val="00E52884"/>
    <w:rsid w:val="00E52AF1"/>
    <w:rsid w:val="00E52F4E"/>
    <w:rsid w:val="00E52F50"/>
    <w:rsid w:val="00E5317D"/>
    <w:rsid w:val="00E5369A"/>
    <w:rsid w:val="00E53BCB"/>
    <w:rsid w:val="00E5449F"/>
    <w:rsid w:val="00E54888"/>
    <w:rsid w:val="00E54DB4"/>
    <w:rsid w:val="00E54DFD"/>
    <w:rsid w:val="00E5537D"/>
    <w:rsid w:val="00E55605"/>
    <w:rsid w:val="00E55739"/>
    <w:rsid w:val="00E5658B"/>
    <w:rsid w:val="00E56687"/>
    <w:rsid w:val="00E568B6"/>
    <w:rsid w:val="00E56AD7"/>
    <w:rsid w:val="00E56BE4"/>
    <w:rsid w:val="00E57227"/>
    <w:rsid w:val="00E575F3"/>
    <w:rsid w:val="00E57C0E"/>
    <w:rsid w:val="00E61469"/>
    <w:rsid w:val="00E615E2"/>
    <w:rsid w:val="00E615E6"/>
    <w:rsid w:val="00E61665"/>
    <w:rsid w:val="00E61A1A"/>
    <w:rsid w:val="00E61A7D"/>
    <w:rsid w:val="00E61FA5"/>
    <w:rsid w:val="00E622C6"/>
    <w:rsid w:val="00E623A2"/>
    <w:rsid w:val="00E6272F"/>
    <w:rsid w:val="00E62AE2"/>
    <w:rsid w:val="00E62BBC"/>
    <w:rsid w:val="00E62E6E"/>
    <w:rsid w:val="00E63193"/>
    <w:rsid w:val="00E635B2"/>
    <w:rsid w:val="00E6461C"/>
    <w:rsid w:val="00E64C9A"/>
    <w:rsid w:val="00E64CEF"/>
    <w:rsid w:val="00E64EC8"/>
    <w:rsid w:val="00E64EDD"/>
    <w:rsid w:val="00E64EF4"/>
    <w:rsid w:val="00E654BF"/>
    <w:rsid w:val="00E6562B"/>
    <w:rsid w:val="00E65B2F"/>
    <w:rsid w:val="00E65F0A"/>
    <w:rsid w:val="00E6630F"/>
    <w:rsid w:val="00E667F4"/>
    <w:rsid w:val="00E66E08"/>
    <w:rsid w:val="00E66F5B"/>
    <w:rsid w:val="00E6725C"/>
    <w:rsid w:val="00E67672"/>
    <w:rsid w:val="00E702DC"/>
    <w:rsid w:val="00E70A8E"/>
    <w:rsid w:val="00E7139A"/>
    <w:rsid w:val="00E71876"/>
    <w:rsid w:val="00E71D57"/>
    <w:rsid w:val="00E7220E"/>
    <w:rsid w:val="00E72D37"/>
    <w:rsid w:val="00E72EB7"/>
    <w:rsid w:val="00E739AC"/>
    <w:rsid w:val="00E73A01"/>
    <w:rsid w:val="00E742EA"/>
    <w:rsid w:val="00E7430B"/>
    <w:rsid w:val="00E74329"/>
    <w:rsid w:val="00E74D3E"/>
    <w:rsid w:val="00E7521F"/>
    <w:rsid w:val="00E754E2"/>
    <w:rsid w:val="00E75660"/>
    <w:rsid w:val="00E75D72"/>
    <w:rsid w:val="00E761A3"/>
    <w:rsid w:val="00E762CF"/>
    <w:rsid w:val="00E765F3"/>
    <w:rsid w:val="00E76BE3"/>
    <w:rsid w:val="00E770D1"/>
    <w:rsid w:val="00E773D8"/>
    <w:rsid w:val="00E7763B"/>
    <w:rsid w:val="00E778D8"/>
    <w:rsid w:val="00E801B1"/>
    <w:rsid w:val="00E81135"/>
    <w:rsid w:val="00E81506"/>
    <w:rsid w:val="00E816CD"/>
    <w:rsid w:val="00E81862"/>
    <w:rsid w:val="00E81CF7"/>
    <w:rsid w:val="00E81EED"/>
    <w:rsid w:val="00E8267E"/>
    <w:rsid w:val="00E82AE3"/>
    <w:rsid w:val="00E82CB3"/>
    <w:rsid w:val="00E82CCC"/>
    <w:rsid w:val="00E83076"/>
    <w:rsid w:val="00E8365E"/>
    <w:rsid w:val="00E836AE"/>
    <w:rsid w:val="00E8392F"/>
    <w:rsid w:val="00E83D77"/>
    <w:rsid w:val="00E83F36"/>
    <w:rsid w:val="00E83F94"/>
    <w:rsid w:val="00E84645"/>
    <w:rsid w:val="00E846D7"/>
    <w:rsid w:val="00E8477D"/>
    <w:rsid w:val="00E84AD5"/>
    <w:rsid w:val="00E84BA7"/>
    <w:rsid w:val="00E84BAF"/>
    <w:rsid w:val="00E84DDB"/>
    <w:rsid w:val="00E85019"/>
    <w:rsid w:val="00E8509E"/>
    <w:rsid w:val="00E855CE"/>
    <w:rsid w:val="00E864A9"/>
    <w:rsid w:val="00E869E3"/>
    <w:rsid w:val="00E86B0D"/>
    <w:rsid w:val="00E86BFD"/>
    <w:rsid w:val="00E86E39"/>
    <w:rsid w:val="00E87409"/>
    <w:rsid w:val="00E874F5"/>
    <w:rsid w:val="00E8775E"/>
    <w:rsid w:val="00E8783E"/>
    <w:rsid w:val="00E9296D"/>
    <w:rsid w:val="00E92F96"/>
    <w:rsid w:val="00E93482"/>
    <w:rsid w:val="00E93CB9"/>
    <w:rsid w:val="00E93E03"/>
    <w:rsid w:val="00E9405B"/>
    <w:rsid w:val="00E94214"/>
    <w:rsid w:val="00E942A3"/>
    <w:rsid w:val="00E943FB"/>
    <w:rsid w:val="00E9536C"/>
    <w:rsid w:val="00E956FB"/>
    <w:rsid w:val="00E9580F"/>
    <w:rsid w:val="00E9583C"/>
    <w:rsid w:val="00E95C3D"/>
    <w:rsid w:val="00E96464"/>
    <w:rsid w:val="00E96B94"/>
    <w:rsid w:val="00E97714"/>
    <w:rsid w:val="00EA036A"/>
    <w:rsid w:val="00EA037D"/>
    <w:rsid w:val="00EA0504"/>
    <w:rsid w:val="00EA050A"/>
    <w:rsid w:val="00EA0B73"/>
    <w:rsid w:val="00EA0BA8"/>
    <w:rsid w:val="00EA17CD"/>
    <w:rsid w:val="00EA2048"/>
    <w:rsid w:val="00EA209C"/>
    <w:rsid w:val="00EA20DA"/>
    <w:rsid w:val="00EA229A"/>
    <w:rsid w:val="00EA2EC7"/>
    <w:rsid w:val="00EA2FA7"/>
    <w:rsid w:val="00EA30E8"/>
    <w:rsid w:val="00EA3226"/>
    <w:rsid w:val="00EA3537"/>
    <w:rsid w:val="00EA37FB"/>
    <w:rsid w:val="00EA3952"/>
    <w:rsid w:val="00EA397C"/>
    <w:rsid w:val="00EA39E4"/>
    <w:rsid w:val="00EA40C0"/>
    <w:rsid w:val="00EA42A9"/>
    <w:rsid w:val="00EA4401"/>
    <w:rsid w:val="00EA4953"/>
    <w:rsid w:val="00EA4D8E"/>
    <w:rsid w:val="00EA4E8B"/>
    <w:rsid w:val="00EA4EC7"/>
    <w:rsid w:val="00EA4ECB"/>
    <w:rsid w:val="00EA4FB0"/>
    <w:rsid w:val="00EA7191"/>
    <w:rsid w:val="00EA72BF"/>
    <w:rsid w:val="00EA72F7"/>
    <w:rsid w:val="00EA74C0"/>
    <w:rsid w:val="00EB0089"/>
    <w:rsid w:val="00EB09F9"/>
    <w:rsid w:val="00EB1144"/>
    <w:rsid w:val="00EB142B"/>
    <w:rsid w:val="00EB1E98"/>
    <w:rsid w:val="00EB216F"/>
    <w:rsid w:val="00EB2188"/>
    <w:rsid w:val="00EB2215"/>
    <w:rsid w:val="00EB2674"/>
    <w:rsid w:val="00EB2AEF"/>
    <w:rsid w:val="00EB402B"/>
    <w:rsid w:val="00EB4E1F"/>
    <w:rsid w:val="00EB5822"/>
    <w:rsid w:val="00EB597B"/>
    <w:rsid w:val="00EB62E0"/>
    <w:rsid w:val="00EB6803"/>
    <w:rsid w:val="00EB69E9"/>
    <w:rsid w:val="00EB6E8D"/>
    <w:rsid w:val="00EB700F"/>
    <w:rsid w:val="00EB76FB"/>
    <w:rsid w:val="00EC0112"/>
    <w:rsid w:val="00EC03C7"/>
    <w:rsid w:val="00EC0541"/>
    <w:rsid w:val="00EC0ABF"/>
    <w:rsid w:val="00EC0B66"/>
    <w:rsid w:val="00EC0C83"/>
    <w:rsid w:val="00EC0F6A"/>
    <w:rsid w:val="00EC10FC"/>
    <w:rsid w:val="00EC12CD"/>
    <w:rsid w:val="00EC1D2E"/>
    <w:rsid w:val="00EC1E8C"/>
    <w:rsid w:val="00EC2356"/>
    <w:rsid w:val="00EC2798"/>
    <w:rsid w:val="00EC3CEE"/>
    <w:rsid w:val="00EC4A85"/>
    <w:rsid w:val="00EC4AE0"/>
    <w:rsid w:val="00EC504C"/>
    <w:rsid w:val="00EC580B"/>
    <w:rsid w:val="00EC58D1"/>
    <w:rsid w:val="00EC5BA2"/>
    <w:rsid w:val="00EC5E2D"/>
    <w:rsid w:val="00EC62CD"/>
    <w:rsid w:val="00EC6666"/>
    <w:rsid w:val="00EC7367"/>
    <w:rsid w:val="00EC73CC"/>
    <w:rsid w:val="00EC758C"/>
    <w:rsid w:val="00EC773B"/>
    <w:rsid w:val="00ED0062"/>
    <w:rsid w:val="00ED066F"/>
    <w:rsid w:val="00ED0B97"/>
    <w:rsid w:val="00ED0CA4"/>
    <w:rsid w:val="00ED17D5"/>
    <w:rsid w:val="00ED18B6"/>
    <w:rsid w:val="00ED1BFD"/>
    <w:rsid w:val="00ED1CCC"/>
    <w:rsid w:val="00ED2284"/>
    <w:rsid w:val="00ED2818"/>
    <w:rsid w:val="00ED2A6F"/>
    <w:rsid w:val="00ED2E27"/>
    <w:rsid w:val="00ED372A"/>
    <w:rsid w:val="00ED40A5"/>
    <w:rsid w:val="00ED4C5E"/>
    <w:rsid w:val="00ED6266"/>
    <w:rsid w:val="00ED6F95"/>
    <w:rsid w:val="00ED7245"/>
    <w:rsid w:val="00ED72CA"/>
    <w:rsid w:val="00ED75C0"/>
    <w:rsid w:val="00ED7788"/>
    <w:rsid w:val="00ED7799"/>
    <w:rsid w:val="00ED7A62"/>
    <w:rsid w:val="00ED7AF3"/>
    <w:rsid w:val="00ED7D7B"/>
    <w:rsid w:val="00ED7DDC"/>
    <w:rsid w:val="00ED7E0A"/>
    <w:rsid w:val="00EE0306"/>
    <w:rsid w:val="00EE03A5"/>
    <w:rsid w:val="00EE03A6"/>
    <w:rsid w:val="00EE076F"/>
    <w:rsid w:val="00EE0785"/>
    <w:rsid w:val="00EE170A"/>
    <w:rsid w:val="00EE1A57"/>
    <w:rsid w:val="00EE1A9E"/>
    <w:rsid w:val="00EE1ECA"/>
    <w:rsid w:val="00EE254D"/>
    <w:rsid w:val="00EE2A10"/>
    <w:rsid w:val="00EE2E07"/>
    <w:rsid w:val="00EE3286"/>
    <w:rsid w:val="00EE3304"/>
    <w:rsid w:val="00EE39EE"/>
    <w:rsid w:val="00EE3FCB"/>
    <w:rsid w:val="00EE45D4"/>
    <w:rsid w:val="00EE465A"/>
    <w:rsid w:val="00EE4730"/>
    <w:rsid w:val="00EE4787"/>
    <w:rsid w:val="00EE4CD0"/>
    <w:rsid w:val="00EE4D39"/>
    <w:rsid w:val="00EE4EDD"/>
    <w:rsid w:val="00EE51ED"/>
    <w:rsid w:val="00EE56F8"/>
    <w:rsid w:val="00EE57DE"/>
    <w:rsid w:val="00EE5ACE"/>
    <w:rsid w:val="00EE610D"/>
    <w:rsid w:val="00EE64F0"/>
    <w:rsid w:val="00EE69D2"/>
    <w:rsid w:val="00EE72B3"/>
    <w:rsid w:val="00EE78DF"/>
    <w:rsid w:val="00EE7A1F"/>
    <w:rsid w:val="00EE7D17"/>
    <w:rsid w:val="00EE7D3C"/>
    <w:rsid w:val="00EF018B"/>
    <w:rsid w:val="00EF0787"/>
    <w:rsid w:val="00EF080E"/>
    <w:rsid w:val="00EF09D9"/>
    <w:rsid w:val="00EF0BBC"/>
    <w:rsid w:val="00EF0CB5"/>
    <w:rsid w:val="00EF0EAC"/>
    <w:rsid w:val="00EF1100"/>
    <w:rsid w:val="00EF1C3E"/>
    <w:rsid w:val="00EF1E33"/>
    <w:rsid w:val="00EF1FEE"/>
    <w:rsid w:val="00EF2D93"/>
    <w:rsid w:val="00EF340C"/>
    <w:rsid w:val="00EF37E5"/>
    <w:rsid w:val="00EF41FD"/>
    <w:rsid w:val="00EF5451"/>
    <w:rsid w:val="00EF5C4D"/>
    <w:rsid w:val="00EF5E5E"/>
    <w:rsid w:val="00EF5FD3"/>
    <w:rsid w:val="00EF6078"/>
    <w:rsid w:val="00EF6346"/>
    <w:rsid w:val="00EF6426"/>
    <w:rsid w:val="00EF672D"/>
    <w:rsid w:val="00EF6A65"/>
    <w:rsid w:val="00EF6B76"/>
    <w:rsid w:val="00EF7365"/>
    <w:rsid w:val="00EF74D2"/>
    <w:rsid w:val="00EF74FF"/>
    <w:rsid w:val="00EF776C"/>
    <w:rsid w:val="00EF7AAA"/>
    <w:rsid w:val="00F00340"/>
    <w:rsid w:val="00F004AB"/>
    <w:rsid w:val="00F00816"/>
    <w:rsid w:val="00F00884"/>
    <w:rsid w:val="00F009B5"/>
    <w:rsid w:val="00F00C47"/>
    <w:rsid w:val="00F01227"/>
    <w:rsid w:val="00F016B2"/>
    <w:rsid w:val="00F0188D"/>
    <w:rsid w:val="00F01A66"/>
    <w:rsid w:val="00F0221F"/>
    <w:rsid w:val="00F0230F"/>
    <w:rsid w:val="00F02827"/>
    <w:rsid w:val="00F02880"/>
    <w:rsid w:val="00F029DE"/>
    <w:rsid w:val="00F02E55"/>
    <w:rsid w:val="00F033AE"/>
    <w:rsid w:val="00F038B4"/>
    <w:rsid w:val="00F038DB"/>
    <w:rsid w:val="00F0392C"/>
    <w:rsid w:val="00F039C6"/>
    <w:rsid w:val="00F04102"/>
    <w:rsid w:val="00F04E92"/>
    <w:rsid w:val="00F04F87"/>
    <w:rsid w:val="00F0526C"/>
    <w:rsid w:val="00F05577"/>
    <w:rsid w:val="00F055D8"/>
    <w:rsid w:val="00F05898"/>
    <w:rsid w:val="00F062CC"/>
    <w:rsid w:val="00F063FF"/>
    <w:rsid w:val="00F06815"/>
    <w:rsid w:val="00F06BF6"/>
    <w:rsid w:val="00F06E6B"/>
    <w:rsid w:val="00F06E6F"/>
    <w:rsid w:val="00F07178"/>
    <w:rsid w:val="00F07263"/>
    <w:rsid w:val="00F07540"/>
    <w:rsid w:val="00F07558"/>
    <w:rsid w:val="00F07A0E"/>
    <w:rsid w:val="00F10651"/>
    <w:rsid w:val="00F10A22"/>
    <w:rsid w:val="00F11489"/>
    <w:rsid w:val="00F11494"/>
    <w:rsid w:val="00F114DB"/>
    <w:rsid w:val="00F1158B"/>
    <w:rsid w:val="00F119AA"/>
    <w:rsid w:val="00F11EB7"/>
    <w:rsid w:val="00F11F41"/>
    <w:rsid w:val="00F1227B"/>
    <w:rsid w:val="00F122FA"/>
    <w:rsid w:val="00F1298E"/>
    <w:rsid w:val="00F12FF7"/>
    <w:rsid w:val="00F1312B"/>
    <w:rsid w:val="00F133D7"/>
    <w:rsid w:val="00F13697"/>
    <w:rsid w:val="00F13C4E"/>
    <w:rsid w:val="00F145CC"/>
    <w:rsid w:val="00F14982"/>
    <w:rsid w:val="00F14D23"/>
    <w:rsid w:val="00F1519F"/>
    <w:rsid w:val="00F152AB"/>
    <w:rsid w:val="00F15BC1"/>
    <w:rsid w:val="00F15CB6"/>
    <w:rsid w:val="00F16434"/>
    <w:rsid w:val="00F16C92"/>
    <w:rsid w:val="00F16F9F"/>
    <w:rsid w:val="00F178AE"/>
    <w:rsid w:val="00F17B50"/>
    <w:rsid w:val="00F17CAA"/>
    <w:rsid w:val="00F202AC"/>
    <w:rsid w:val="00F204E3"/>
    <w:rsid w:val="00F20AC0"/>
    <w:rsid w:val="00F20CD8"/>
    <w:rsid w:val="00F20F34"/>
    <w:rsid w:val="00F21190"/>
    <w:rsid w:val="00F212B7"/>
    <w:rsid w:val="00F215A8"/>
    <w:rsid w:val="00F217D9"/>
    <w:rsid w:val="00F21911"/>
    <w:rsid w:val="00F2203D"/>
    <w:rsid w:val="00F22259"/>
    <w:rsid w:val="00F22457"/>
    <w:rsid w:val="00F237B7"/>
    <w:rsid w:val="00F23DF3"/>
    <w:rsid w:val="00F24315"/>
    <w:rsid w:val="00F249F8"/>
    <w:rsid w:val="00F24A33"/>
    <w:rsid w:val="00F24B89"/>
    <w:rsid w:val="00F24C4C"/>
    <w:rsid w:val="00F25801"/>
    <w:rsid w:val="00F25B95"/>
    <w:rsid w:val="00F26AAA"/>
    <w:rsid w:val="00F2795B"/>
    <w:rsid w:val="00F30D0F"/>
    <w:rsid w:val="00F31204"/>
    <w:rsid w:val="00F313EB"/>
    <w:rsid w:val="00F314AC"/>
    <w:rsid w:val="00F321CE"/>
    <w:rsid w:val="00F322A1"/>
    <w:rsid w:val="00F329B9"/>
    <w:rsid w:val="00F32E5D"/>
    <w:rsid w:val="00F32F61"/>
    <w:rsid w:val="00F33264"/>
    <w:rsid w:val="00F335CF"/>
    <w:rsid w:val="00F34021"/>
    <w:rsid w:val="00F3433D"/>
    <w:rsid w:val="00F34813"/>
    <w:rsid w:val="00F34A64"/>
    <w:rsid w:val="00F34E11"/>
    <w:rsid w:val="00F35E77"/>
    <w:rsid w:val="00F36378"/>
    <w:rsid w:val="00F36A83"/>
    <w:rsid w:val="00F36D19"/>
    <w:rsid w:val="00F36F12"/>
    <w:rsid w:val="00F37B44"/>
    <w:rsid w:val="00F37D81"/>
    <w:rsid w:val="00F37DA8"/>
    <w:rsid w:val="00F4051D"/>
    <w:rsid w:val="00F407E7"/>
    <w:rsid w:val="00F40E77"/>
    <w:rsid w:val="00F41158"/>
    <w:rsid w:val="00F411D4"/>
    <w:rsid w:val="00F42229"/>
    <w:rsid w:val="00F42257"/>
    <w:rsid w:val="00F42281"/>
    <w:rsid w:val="00F4242F"/>
    <w:rsid w:val="00F425B5"/>
    <w:rsid w:val="00F42676"/>
    <w:rsid w:val="00F42704"/>
    <w:rsid w:val="00F42CC3"/>
    <w:rsid w:val="00F42DDE"/>
    <w:rsid w:val="00F43165"/>
    <w:rsid w:val="00F436C5"/>
    <w:rsid w:val="00F43FD3"/>
    <w:rsid w:val="00F44249"/>
    <w:rsid w:val="00F444DF"/>
    <w:rsid w:val="00F446D4"/>
    <w:rsid w:val="00F44BE3"/>
    <w:rsid w:val="00F45338"/>
    <w:rsid w:val="00F453E1"/>
    <w:rsid w:val="00F460FB"/>
    <w:rsid w:val="00F464D5"/>
    <w:rsid w:val="00F46FD3"/>
    <w:rsid w:val="00F47036"/>
    <w:rsid w:val="00F475B9"/>
    <w:rsid w:val="00F47650"/>
    <w:rsid w:val="00F476A7"/>
    <w:rsid w:val="00F47AA8"/>
    <w:rsid w:val="00F50146"/>
    <w:rsid w:val="00F50299"/>
    <w:rsid w:val="00F5033B"/>
    <w:rsid w:val="00F508A9"/>
    <w:rsid w:val="00F5137C"/>
    <w:rsid w:val="00F51969"/>
    <w:rsid w:val="00F52059"/>
    <w:rsid w:val="00F529D7"/>
    <w:rsid w:val="00F52CF2"/>
    <w:rsid w:val="00F52DAC"/>
    <w:rsid w:val="00F5333C"/>
    <w:rsid w:val="00F54AD3"/>
    <w:rsid w:val="00F550BF"/>
    <w:rsid w:val="00F55A17"/>
    <w:rsid w:val="00F55CC8"/>
    <w:rsid w:val="00F56E03"/>
    <w:rsid w:val="00F57A76"/>
    <w:rsid w:val="00F57BEA"/>
    <w:rsid w:val="00F603C9"/>
    <w:rsid w:val="00F6041E"/>
    <w:rsid w:val="00F605DB"/>
    <w:rsid w:val="00F60F48"/>
    <w:rsid w:val="00F6134C"/>
    <w:rsid w:val="00F6148F"/>
    <w:rsid w:val="00F614CF"/>
    <w:rsid w:val="00F61652"/>
    <w:rsid w:val="00F61D89"/>
    <w:rsid w:val="00F62070"/>
    <w:rsid w:val="00F621D0"/>
    <w:rsid w:val="00F622E6"/>
    <w:rsid w:val="00F62454"/>
    <w:rsid w:val="00F631B2"/>
    <w:rsid w:val="00F63520"/>
    <w:rsid w:val="00F635BD"/>
    <w:rsid w:val="00F63BFC"/>
    <w:rsid w:val="00F65135"/>
    <w:rsid w:val="00F65333"/>
    <w:rsid w:val="00F65335"/>
    <w:rsid w:val="00F653B9"/>
    <w:rsid w:val="00F65B67"/>
    <w:rsid w:val="00F65E6F"/>
    <w:rsid w:val="00F702B6"/>
    <w:rsid w:val="00F704A6"/>
    <w:rsid w:val="00F71B1F"/>
    <w:rsid w:val="00F71E8F"/>
    <w:rsid w:val="00F7282D"/>
    <w:rsid w:val="00F72CDA"/>
    <w:rsid w:val="00F73226"/>
    <w:rsid w:val="00F73942"/>
    <w:rsid w:val="00F73CE0"/>
    <w:rsid w:val="00F73FDD"/>
    <w:rsid w:val="00F74E28"/>
    <w:rsid w:val="00F75DE8"/>
    <w:rsid w:val="00F75FBC"/>
    <w:rsid w:val="00F761B7"/>
    <w:rsid w:val="00F76475"/>
    <w:rsid w:val="00F76738"/>
    <w:rsid w:val="00F7691F"/>
    <w:rsid w:val="00F76B7E"/>
    <w:rsid w:val="00F76C1E"/>
    <w:rsid w:val="00F76E68"/>
    <w:rsid w:val="00F77461"/>
    <w:rsid w:val="00F77CE4"/>
    <w:rsid w:val="00F77D8E"/>
    <w:rsid w:val="00F80A71"/>
    <w:rsid w:val="00F80DCB"/>
    <w:rsid w:val="00F80F23"/>
    <w:rsid w:val="00F81525"/>
    <w:rsid w:val="00F81975"/>
    <w:rsid w:val="00F82A78"/>
    <w:rsid w:val="00F8300D"/>
    <w:rsid w:val="00F831C1"/>
    <w:rsid w:val="00F837F8"/>
    <w:rsid w:val="00F83B4D"/>
    <w:rsid w:val="00F84388"/>
    <w:rsid w:val="00F84600"/>
    <w:rsid w:val="00F84652"/>
    <w:rsid w:val="00F84AD8"/>
    <w:rsid w:val="00F84E6C"/>
    <w:rsid w:val="00F8528F"/>
    <w:rsid w:val="00F853F4"/>
    <w:rsid w:val="00F85A04"/>
    <w:rsid w:val="00F85E49"/>
    <w:rsid w:val="00F863DB"/>
    <w:rsid w:val="00F864A1"/>
    <w:rsid w:val="00F871EF"/>
    <w:rsid w:val="00F8725C"/>
    <w:rsid w:val="00F87386"/>
    <w:rsid w:val="00F87744"/>
    <w:rsid w:val="00F87EB3"/>
    <w:rsid w:val="00F87FBF"/>
    <w:rsid w:val="00F9045E"/>
    <w:rsid w:val="00F90496"/>
    <w:rsid w:val="00F905FF"/>
    <w:rsid w:val="00F90B3E"/>
    <w:rsid w:val="00F90BE1"/>
    <w:rsid w:val="00F911C0"/>
    <w:rsid w:val="00F91841"/>
    <w:rsid w:val="00F91A9C"/>
    <w:rsid w:val="00F91E85"/>
    <w:rsid w:val="00F92531"/>
    <w:rsid w:val="00F92611"/>
    <w:rsid w:val="00F93690"/>
    <w:rsid w:val="00F93864"/>
    <w:rsid w:val="00F93F12"/>
    <w:rsid w:val="00F9413E"/>
    <w:rsid w:val="00F94AF3"/>
    <w:rsid w:val="00F94B17"/>
    <w:rsid w:val="00F94FD4"/>
    <w:rsid w:val="00F95594"/>
    <w:rsid w:val="00F95782"/>
    <w:rsid w:val="00F957FD"/>
    <w:rsid w:val="00F95DCD"/>
    <w:rsid w:val="00F95FBB"/>
    <w:rsid w:val="00F96432"/>
    <w:rsid w:val="00F969E5"/>
    <w:rsid w:val="00F96CE2"/>
    <w:rsid w:val="00F97273"/>
    <w:rsid w:val="00F97780"/>
    <w:rsid w:val="00F9789F"/>
    <w:rsid w:val="00F97C0E"/>
    <w:rsid w:val="00F97E51"/>
    <w:rsid w:val="00F97E7D"/>
    <w:rsid w:val="00FA01C7"/>
    <w:rsid w:val="00FA048B"/>
    <w:rsid w:val="00FA07D0"/>
    <w:rsid w:val="00FA0888"/>
    <w:rsid w:val="00FA0943"/>
    <w:rsid w:val="00FA0E98"/>
    <w:rsid w:val="00FA139A"/>
    <w:rsid w:val="00FA1576"/>
    <w:rsid w:val="00FA169F"/>
    <w:rsid w:val="00FA1C64"/>
    <w:rsid w:val="00FA1E24"/>
    <w:rsid w:val="00FA24B6"/>
    <w:rsid w:val="00FA2B8A"/>
    <w:rsid w:val="00FA2E88"/>
    <w:rsid w:val="00FA2F8E"/>
    <w:rsid w:val="00FA30CD"/>
    <w:rsid w:val="00FA314A"/>
    <w:rsid w:val="00FA31D1"/>
    <w:rsid w:val="00FA3B0B"/>
    <w:rsid w:val="00FA3B20"/>
    <w:rsid w:val="00FA3C21"/>
    <w:rsid w:val="00FA3C5A"/>
    <w:rsid w:val="00FA4150"/>
    <w:rsid w:val="00FA430B"/>
    <w:rsid w:val="00FA44B3"/>
    <w:rsid w:val="00FA45FC"/>
    <w:rsid w:val="00FA495D"/>
    <w:rsid w:val="00FA4C2B"/>
    <w:rsid w:val="00FA5062"/>
    <w:rsid w:val="00FA5C66"/>
    <w:rsid w:val="00FA6319"/>
    <w:rsid w:val="00FA65A3"/>
    <w:rsid w:val="00FA66C1"/>
    <w:rsid w:val="00FA70C3"/>
    <w:rsid w:val="00FA71A9"/>
    <w:rsid w:val="00FA72BC"/>
    <w:rsid w:val="00FA74ED"/>
    <w:rsid w:val="00FA79A7"/>
    <w:rsid w:val="00FB0723"/>
    <w:rsid w:val="00FB0C75"/>
    <w:rsid w:val="00FB1E7F"/>
    <w:rsid w:val="00FB260C"/>
    <w:rsid w:val="00FB2621"/>
    <w:rsid w:val="00FB263B"/>
    <w:rsid w:val="00FB2B8A"/>
    <w:rsid w:val="00FB2BE1"/>
    <w:rsid w:val="00FB30C7"/>
    <w:rsid w:val="00FB3672"/>
    <w:rsid w:val="00FB38D4"/>
    <w:rsid w:val="00FB3A00"/>
    <w:rsid w:val="00FB3B32"/>
    <w:rsid w:val="00FB4529"/>
    <w:rsid w:val="00FB478A"/>
    <w:rsid w:val="00FB4D12"/>
    <w:rsid w:val="00FB517D"/>
    <w:rsid w:val="00FB54D4"/>
    <w:rsid w:val="00FB5CCF"/>
    <w:rsid w:val="00FB615D"/>
    <w:rsid w:val="00FB652B"/>
    <w:rsid w:val="00FB6953"/>
    <w:rsid w:val="00FB6A80"/>
    <w:rsid w:val="00FB6CA8"/>
    <w:rsid w:val="00FB6DFC"/>
    <w:rsid w:val="00FB71ED"/>
    <w:rsid w:val="00FB726A"/>
    <w:rsid w:val="00FB75C8"/>
    <w:rsid w:val="00FB7644"/>
    <w:rsid w:val="00FB7E29"/>
    <w:rsid w:val="00FB7FCB"/>
    <w:rsid w:val="00FC02D4"/>
    <w:rsid w:val="00FC06B1"/>
    <w:rsid w:val="00FC07C4"/>
    <w:rsid w:val="00FC0B2D"/>
    <w:rsid w:val="00FC0C21"/>
    <w:rsid w:val="00FC1A14"/>
    <w:rsid w:val="00FC1CBE"/>
    <w:rsid w:val="00FC1F98"/>
    <w:rsid w:val="00FC217C"/>
    <w:rsid w:val="00FC21FC"/>
    <w:rsid w:val="00FC2559"/>
    <w:rsid w:val="00FC2948"/>
    <w:rsid w:val="00FC29B0"/>
    <w:rsid w:val="00FC2CC4"/>
    <w:rsid w:val="00FC2DE8"/>
    <w:rsid w:val="00FC324A"/>
    <w:rsid w:val="00FC35DB"/>
    <w:rsid w:val="00FC3C28"/>
    <w:rsid w:val="00FC456A"/>
    <w:rsid w:val="00FC4664"/>
    <w:rsid w:val="00FC484D"/>
    <w:rsid w:val="00FC4E5A"/>
    <w:rsid w:val="00FC51E5"/>
    <w:rsid w:val="00FC53A7"/>
    <w:rsid w:val="00FC5FC6"/>
    <w:rsid w:val="00FC6070"/>
    <w:rsid w:val="00FC6123"/>
    <w:rsid w:val="00FC65AF"/>
    <w:rsid w:val="00FC70AC"/>
    <w:rsid w:val="00FC7B22"/>
    <w:rsid w:val="00FC7FBA"/>
    <w:rsid w:val="00FD02A4"/>
    <w:rsid w:val="00FD0305"/>
    <w:rsid w:val="00FD042E"/>
    <w:rsid w:val="00FD06EC"/>
    <w:rsid w:val="00FD077B"/>
    <w:rsid w:val="00FD139F"/>
    <w:rsid w:val="00FD1579"/>
    <w:rsid w:val="00FD1709"/>
    <w:rsid w:val="00FD1B3B"/>
    <w:rsid w:val="00FD1C14"/>
    <w:rsid w:val="00FD2384"/>
    <w:rsid w:val="00FD27BB"/>
    <w:rsid w:val="00FD2A49"/>
    <w:rsid w:val="00FD2AEF"/>
    <w:rsid w:val="00FD2FAE"/>
    <w:rsid w:val="00FD36E4"/>
    <w:rsid w:val="00FD39BD"/>
    <w:rsid w:val="00FD4224"/>
    <w:rsid w:val="00FD497B"/>
    <w:rsid w:val="00FD4DAC"/>
    <w:rsid w:val="00FD546B"/>
    <w:rsid w:val="00FD5939"/>
    <w:rsid w:val="00FD5B53"/>
    <w:rsid w:val="00FD5D09"/>
    <w:rsid w:val="00FD6296"/>
    <w:rsid w:val="00FD73BC"/>
    <w:rsid w:val="00FD7E90"/>
    <w:rsid w:val="00FE02E3"/>
    <w:rsid w:val="00FE0450"/>
    <w:rsid w:val="00FE04D7"/>
    <w:rsid w:val="00FE0E8A"/>
    <w:rsid w:val="00FE0E95"/>
    <w:rsid w:val="00FE0F8D"/>
    <w:rsid w:val="00FE152D"/>
    <w:rsid w:val="00FE1630"/>
    <w:rsid w:val="00FE16BC"/>
    <w:rsid w:val="00FE16F4"/>
    <w:rsid w:val="00FE18B7"/>
    <w:rsid w:val="00FE1972"/>
    <w:rsid w:val="00FE1E3D"/>
    <w:rsid w:val="00FE231E"/>
    <w:rsid w:val="00FE236E"/>
    <w:rsid w:val="00FE284F"/>
    <w:rsid w:val="00FE2A43"/>
    <w:rsid w:val="00FE3883"/>
    <w:rsid w:val="00FE3ABF"/>
    <w:rsid w:val="00FE3FE1"/>
    <w:rsid w:val="00FE4D64"/>
    <w:rsid w:val="00FE4DC7"/>
    <w:rsid w:val="00FE53C6"/>
    <w:rsid w:val="00FE5DD5"/>
    <w:rsid w:val="00FE699C"/>
    <w:rsid w:val="00FE6B99"/>
    <w:rsid w:val="00FE6E93"/>
    <w:rsid w:val="00FE7053"/>
    <w:rsid w:val="00FE7612"/>
    <w:rsid w:val="00FE77DA"/>
    <w:rsid w:val="00FE7953"/>
    <w:rsid w:val="00FE7E02"/>
    <w:rsid w:val="00FF0123"/>
    <w:rsid w:val="00FF025E"/>
    <w:rsid w:val="00FF0BA8"/>
    <w:rsid w:val="00FF0D52"/>
    <w:rsid w:val="00FF0DCF"/>
    <w:rsid w:val="00FF0DDB"/>
    <w:rsid w:val="00FF1167"/>
    <w:rsid w:val="00FF1178"/>
    <w:rsid w:val="00FF128C"/>
    <w:rsid w:val="00FF152D"/>
    <w:rsid w:val="00FF1820"/>
    <w:rsid w:val="00FF1AFC"/>
    <w:rsid w:val="00FF2056"/>
    <w:rsid w:val="00FF3609"/>
    <w:rsid w:val="00FF3848"/>
    <w:rsid w:val="00FF3A72"/>
    <w:rsid w:val="00FF3D1F"/>
    <w:rsid w:val="00FF432F"/>
    <w:rsid w:val="00FF4E5C"/>
    <w:rsid w:val="00FF53C8"/>
    <w:rsid w:val="00FF55B7"/>
    <w:rsid w:val="00FF5928"/>
    <w:rsid w:val="00FF5E7F"/>
    <w:rsid w:val="00FF61AA"/>
    <w:rsid w:val="00FF674D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7D5EFF53"/>
  <w15:docId w15:val="{7E0CBFF5-68B7-42E2-B689-5FACD2E7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rsid w:val="00D74C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315C0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6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656046"/>
  </w:style>
  <w:style w:type="table" w:styleId="TableGrid">
    <w:name w:val="Table Grid"/>
    <w:basedOn w:val="TableNormal"/>
    <w:rsid w:val="009E04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13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6137A"/>
    <w:rPr>
      <w:rFonts w:ascii="Tahoma" w:hAnsi="Tahoma" w:cs="Tahoma"/>
      <w:kern w:val="2"/>
      <w:sz w:val="16"/>
      <w:szCs w:val="16"/>
      <w:lang w:val="en-US" w:eastAsia="zh-CN"/>
    </w:rPr>
  </w:style>
  <w:style w:type="character" w:styleId="Hyperlink">
    <w:name w:val="Hyperlink"/>
    <w:rsid w:val="00270B62"/>
    <w:rPr>
      <w:color w:val="0000FF"/>
      <w:u w:val="single"/>
    </w:rPr>
  </w:style>
  <w:style w:type="character" w:styleId="CommentReference">
    <w:name w:val="annotation reference"/>
    <w:uiPriority w:val="99"/>
    <w:rsid w:val="00405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05784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05784"/>
    <w:rPr>
      <w:b/>
      <w:bCs/>
    </w:rPr>
  </w:style>
  <w:style w:type="character" w:customStyle="1" w:styleId="CommentSubjectChar">
    <w:name w:val="Comment Subject Char"/>
    <w:link w:val="CommentSubject"/>
    <w:rsid w:val="00405784"/>
    <w:rPr>
      <w:b/>
      <w:bCs/>
      <w:kern w:val="2"/>
      <w:lang w:eastAsia="zh-CN"/>
    </w:rPr>
  </w:style>
  <w:style w:type="character" w:styleId="LineNumber">
    <w:name w:val="line number"/>
    <w:rsid w:val="00484250"/>
  </w:style>
  <w:style w:type="paragraph" w:styleId="Header">
    <w:name w:val="header"/>
    <w:basedOn w:val="Normal"/>
    <w:rsid w:val="00EE4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rsid w:val="000F682F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0F682F"/>
    <w:rPr>
      <w:kern w:val="2"/>
      <w:lang w:eastAsia="zh-CN"/>
    </w:rPr>
  </w:style>
  <w:style w:type="character" w:styleId="FootnoteReference">
    <w:name w:val="footnote reference"/>
    <w:rsid w:val="000F682F"/>
    <w:rPr>
      <w:vertAlign w:val="superscript"/>
    </w:rPr>
  </w:style>
  <w:style w:type="paragraph" w:styleId="HTMLAddress">
    <w:name w:val="HTML Address"/>
    <w:basedOn w:val="Normal"/>
    <w:link w:val="HTMLAddressChar"/>
    <w:rsid w:val="00950827"/>
    <w:rPr>
      <w:i/>
      <w:iCs/>
    </w:rPr>
  </w:style>
  <w:style w:type="character" w:customStyle="1" w:styleId="HTMLAddressChar">
    <w:name w:val="HTML Address Char"/>
    <w:link w:val="HTMLAddress"/>
    <w:rsid w:val="00950827"/>
    <w:rPr>
      <w:i/>
      <w:iCs/>
      <w:kern w:val="2"/>
      <w:sz w:val="21"/>
      <w:szCs w:val="24"/>
      <w:lang w:val="en-US"/>
    </w:rPr>
  </w:style>
  <w:style w:type="paragraph" w:styleId="ListBullet">
    <w:name w:val="List Bullet"/>
    <w:basedOn w:val="Normal"/>
    <w:rsid w:val="00BD57DC"/>
    <w:pPr>
      <w:numPr>
        <w:numId w:val="30"/>
      </w:numPr>
      <w:contextualSpacing/>
    </w:pPr>
  </w:style>
  <w:style w:type="character" w:styleId="Emphasis">
    <w:name w:val="Emphasis"/>
    <w:uiPriority w:val="20"/>
    <w:qFormat/>
    <w:rsid w:val="00416AA1"/>
    <w:rPr>
      <w:i/>
      <w:iCs/>
    </w:rPr>
  </w:style>
  <w:style w:type="character" w:customStyle="1" w:styleId="FooterChar">
    <w:name w:val="Footer Char"/>
    <w:link w:val="Footer"/>
    <w:uiPriority w:val="99"/>
    <w:rsid w:val="00854418"/>
    <w:rPr>
      <w:kern w:val="2"/>
      <w:sz w:val="18"/>
      <w:szCs w:val="18"/>
      <w:lang w:eastAsia="zh-CN"/>
    </w:rPr>
  </w:style>
  <w:style w:type="character" w:customStyle="1" w:styleId="Heading2Char">
    <w:name w:val="Heading 2 Char"/>
    <w:link w:val="Heading2"/>
    <w:rsid w:val="00315C0C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77614D"/>
    <w:pPr>
      <w:ind w:left="720"/>
      <w:contextualSpacing/>
    </w:pPr>
  </w:style>
  <w:style w:type="paragraph" w:customStyle="1" w:styleId="StyleLeft003cmRight003cm">
    <w:name w:val="Style Left:  0.03 cm Right:  0.03 cm"/>
    <w:basedOn w:val="Normal"/>
    <w:rsid w:val="00FD27BB"/>
    <w:pPr>
      <w:widowControl/>
      <w:overflowPunct w:val="0"/>
      <w:autoSpaceDE w:val="0"/>
      <w:autoSpaceDN w:val="0"/>
      <w:adjustRightInd w:val="0"/>
      <w:spacing w:after="300" w:line="300" w:lineRule="exact"/>
      <w:ind w:left="15" w:right="15"/>
      <w:textAlignment w:val="baseline"/>
    </w:pPr>
    <w:rPr>
      <w:rFonts w:ascii="Arial" w:eastAsia="Times New Roman" w:hAnsi="Arial" w:cs="Arial"/>
      <w:kern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5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85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5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58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5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850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39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9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21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001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79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48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18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83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3853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72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9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766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57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34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653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00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53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9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8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24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76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08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57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66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60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69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746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38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75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11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925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200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7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44045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09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22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02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39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50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9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48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0027943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084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74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073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918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016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4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19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98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04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872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9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38F80-E236-414D-8D75-C6936EE7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7679</Words>
  <Characters>46440</Characters>
  <Application>Microsoft Office Word</Application>
  <DocSecurity>0</DocSecurity>
  <Lines>387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Understanding of Performance Measurement of Public-Private Partnership Infrastructure Projects: A Literature Review</vt:lpstr>
    </vt:vector>
  </TitlesOfParts>
  <Company>Lenovo</Company>
  <LinksUpToDate>false</LinksUpToDate>
  <CharactersWithSpaces>54011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Understanding of Performance Measurement of Public-Private Partnership Infrastructure Projects: A Literature Review</dc:title>
  <dc:creator>Henry Lau</dc:creator>
  <cp:lastModifiedBy>Henry Liu</cp:lastModifiedBy>
  <cp:revision>7</cp:revision>
  <cp:lastPrinted>2015-11-12T02:52:00Z</cp:lastPrinted>
  <dcterms:created xsi:type="dcterms:W3CDTF">2017-08-02T05:33:00Z</dcterms:created>
  <dcterms:modified xsi:type="dcterms:W3CDTF">2018-01-15T10:47:00Z</dcterms:modified>
</cp:coreProperties>
</file>