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DF01" w14:textId="72CE2717" w:rsidR="002C536E" w:rsidRPr="00B47143" w:rsidRDefault="00826B57" w:rsidP="00261346">
      <w:pPr>
        <w:spacing w:line="480" w:lineRule="auto"/>
        <w:rPr>
          <w:b/>
          <w:sz w:val="28"/>
          <w:szCs w:val="28"/>
        </w:rPr>
      </w:pPr>
      <w:bookmarkStart w:id="0" w:name="_GoBack"/>
      <w:bookmarkEnd w:id="0"/>
      <w:r w:rsidRPr="00B47143">
        <w:rPr>
          <w:b/>
          <w:sz w:val="28"/>
          <w:szCs w:val="28"/>
        </w:rPr>
        <w:t xml:space="preserve">                                                 </w:t>
      </w:r>
    </w:p>
    <w:p w14:paraId="75B2FE2E" w14:textId="77777777" w:rsidR="002C536E" w:rsidRPr="00B47143" w:rsidRDefault="002C536E" w:rsidP="00261346">
      <w:pPr>
        <w:spacing w:line="480" w:lineRule="auto"/>
        <w:jc w:val="center"/>
        <w:rPr>
          <w:b/>
          <w:sz w:val="28"/>
          <w:szCs w:val="28"/>
        </w:rPr>
      </w:pPr>
    </w:p>
    <w:p w14:paraId="261E2BD3" w14:textId="1DDC3855" w:rsidR="00636447" w:rsidRPr="00B47143" w:rsidRDefault="00644E79" w:rsidP="0071387A">
      <w:pPr>
        <w:spacing w:line="480" w:lineRule="auto"/>
        <w:jc w:val="center"/>
        <w:rPr>
          <w:b/>
          <w:sz w:val="28"/>
          <w:szCs w:val="28"/>
        </w:rPr>
      </w:pPr>
      <w:bookmarkStart w:id="1" w:name="_Hlk505167603"/>
      <w:r w:rsidRPr="00B47143">
        <w:rPr>
          <w:b/>
          <w:sz w:val="28"/>
          <w:szCs w:val="28"/>
        </w:rPr>
        <w:t xml:space="preserve">Service </w:t>
      </w:r>
      <w:r w:rsidR="00F64F1F" w:rsidRPr="00B47143">
        <w:rPr>
          <w:b/>
          <w:sz w:val="28"/>
          <w:szCs w:val="28"/>
        </w:rPr>
        <w:t xml:space="preserve">provision </w:t>
      </w:r>
      <w:r w:rsidRPr="00B47143">
        <w:rPr>
          <w:b/>
          <w:sz w:val="28"/>
          <w:szCs w:val="28"/>
        </w:rPr>
        <w:t xml:space="preserve">in Scotland </w:t>
      </w:r>
      <w:r w:rsidR="00F64F1F" w:rsidRPr="00B47143">
        <w:rPr>
          <w:b/>
          <w:sz w:val="28"/>
          <w:szCs w:val="28"/>
        </w:rPr>
        <w:t>for people with an intellectual disability who have</w:t>
      </w:r>
      <w:r w:rsidR="00E635D9" w:rsidRPr="00B47143">
        <w:rPr>
          <w:b/>
          <w:sz w:val="28"/>
          <w:szCs w:val="28"/>
        </w:rPr>
        <w:t>,</w:t>
      </w:r>
      <w:r w:rsidR="00F64F1F" w:rsidRPr="00B47143">
        <w:rPr>
          <w:b/>
          <w:sz w:val="28"/>
          <w:szCs w:val="28"/>
        </w:rPr>
        <w:t xml:space="preserve"> or </w:t>
      </w:r>
      <w:r w:rsidR="00E635D9" w:rsidRPr="00B47143">
        <w:rPr>
          <w:b/>
          <w:sz w:val="28"/>
          <w:szCs w:val="28"/>
        </w:rPr>
        <w:t xml:space="preserve">are </w:t>
      </w:r>
      <w:r w:rsidR="00F64F1F" w:rsidRPr="00B47143">
        <w:rPr>
          <w:b/>
          <w:sz w:val="28"/>
          <w:szCs w:val="28"/>
        </w:rPr>
        <w:t>at risk of developing</w:t>
      </w:r>
      <w:r w:rsidR="00E635D9" w:rsidRPr="00B47143">
        <w:rPr>
          <w:b/>
          <w:sz w:val="28"/>
          <w:szCs w:val="28"/>
        </w:rPr>
        <w:t>,</w:t>
      </w:r>
      <w:r w:rsidR="00F64F1F" w:rsidRPr="00B47143">
        <w:rPr>
          <w:b/>
          <w:sz w:val="28"/>
          <w:szCs w:val="28"/>
        </w:rPr>
        <w:t xml:space="preserve"> dementia</w:t>
      </w:r>
      <w:r w:rsidRPr="00B47143">
        <w:rPr>
          <w:b/>
          <w:sz w:val="28"/>
          <w:szCs w:val="28"/>
        </w:rPr>
        <w:t xml:space="preserve"> </w:t>
      </w:r>
      <w:bookmarkEnd w:id="1"/>
    </w:p>
    <w:p w14:paraId="05BB272B" w14:textId="45CBA3D4" w:rsidR="001151CB" w:rsidRPr="00B47143" w:rsidRDefault="00B47143" w:rsidP="00B47143">
      <w:pPr>
        <w:spacing w:line="480" w:lineRule="auto"/>
        <w:jc w:val="center"/>
        <w:rPr>
          <w:sz w:val="28"/>
          <w:szCs w:val="28"/>
        </w:rPr>
      </w:pPr>
      <w:r w:rsidRPr="00B47143">
        <w:rPr>
          <w:sz w:val="28"/>
          <w:szCs w:val="28"/>
        </w:rPr>
        <w:t>Karen McKenzie, Dale Metcalfe, Amanda Michie, George Murray</w:t>
      </w:r>
    </w:p>
    <w:p w14:paraId="2BF95C53" w14:textId="23687F34" w:rsidR="002C536E" w:rsidRPr="00B47143" w:rsidRDefault="001151CB" w:rsidP="00AD26EB">
      <w:pPr>
        <w:spacing w:after="240" w:line="480" w:lineRule="auto"/>
        <w:rPr>
          <w:b/>
        </w:rPr>
      </w:pPr>
      <w:r w:rsidRPr="00B47143">
        <w:rPr>
          <w:b/>
        </w:rPr>
        <w:t>Abstract</w:t>
      </w:r>
    </w:p>
    <w:p w14:paraId="1F196C1D" w14:textId="12D3872C" w:rsidR="006A3E01" w:rsidRPr="00B47143" w:rsidRDefault="00B15FF8" w:rsidP="00AD26EB">
      <w:pPr>
        <w:spacing w:after="240" w:line="480" w:lineRule="auto"/>
        <w:rPr>
          <w:b/>
        </w:rPr>
      </w:pPr>
      <w:r w:rsidRPr="00B47143">
        <w:t>This research aimed to identify current national provision by health services in Scotland in relation to proactive screening</w:t>
      </w:r>
      <w:r w:rsidR="0069267D" w:rsidRPr="00B47143">
        <w:t xml:space="preserve"> and </w:t>
      </w:r>
      <w:r w:rsidR="00046F52" w:rsidRPr="00B47143">
        <w:t xml:space="preserve">reactive </w:t>
      </w:r>
      <w:r w:rsidRPr="00B47143">
        <w:t>assessment for people with an intellectual disability</w:t>
      </w:r>
      <w:r w:rsidR="006A3E01" w:rsidRPr="00B47143">
        <w:t xml:space="preserve"> </w:t>
      </w:r>
      <w:r w:rsidRPr="00B47143">
        <w:t xml:space="preserve">in Scotland who have, or are at risk of developing, dementia.  </w:t>
      </w:r>
      <w:r w:rsidR="00662485" w:rsidRPr="00B47143">
        <w:t xml:space="preserve">Staff from 12 </w:t>
      </w:r>
      <w:r w:rsidR="00993D6E" w:rsidRPr="00B47143">
        <w:t>intellectual disability</w:t>
      </w:r>
      <w:r w:rsidR="006A3E01" w:rsidRPr="00B47143">
        <w:t xml:space="preserve"> </w:t>
      </w:r>
      <w:r w:rsidR="00662485" w:rsidRPr="00B47143">
        <w:t>service</w:t>
      </w:r>
      <w:r w:rsidR="006B603D" w:rsidRPr="00B47143">
        <w:t>s</w:t>
      </w:r>
      <w:r w:rsidR="00662485" w:rsidRPr="00B47143">
        <w:t>, represent</w:t>
      </w:r>
      <w:r w:rsidR="005836DF" w:rsidRPr="00B47143">
        <w:t>ing</w:t>
      </w:r>
      <w:r w:rsidR="00662485" w:rsidRPr="00B47143">
        <w:t xml:space="preserve"> the 11 health board areas in Scotland, completed an online questionnaire which asked about proactive screening and reactive assessment for people with </w:t>
      </w:r>
      <w:r w:rsidR="00993D6E" w:rsidRPr="00B47143">
        <w:t>intellectual disability</w:t>
      </w:r>
      <w:r w:rsidR="006A3E01" w:rsidRPr="00B47143">
        <w:t xml:space="preserve"> </w:t>
      </w:r>
      <w:r w:rsidR="00662485" w:rsidRPr="00B47143">
        <w:t>who had, or were at risk of developing, dementia</w:t>
      </w:r>
      <w:r w:rsidR="004641FF" w:rsidRPr="00B47143">
        <w:t xml:space="preserve"> as well as </w:t>
      </w:r>
      <w:r w:rsidR="00662485" w:rsidRPr="00B47143">
        <w:t>suggested areas for improvement</w:t>
      </w:r>
      <w:r w:rsidR="006A3E01" w:rsidRPr="00B47143">
        <w:t>.</w:t>
      </w:r>
      <w:r w:rsidR="00662485" w:rsidRPr="00B47143">
        <w:t xml:space="preserve"> </w:t>
      </w:r>
      <w:r w:rsidR="006B603D" w:rsidRPr="00B47143">
        <w:t>All of the areas provided services for people with</w:t>
      </w:r>
      <w:r w:rsidR="006A3E01" w:rsidRPr="00B47143">
        <w:t xml:space="preserve"> </w:t>
      </w:r>
      <w:r w:rsidR="00993D6E" w:rsidRPr="00B47143">
        <w:t xml:space="preserve">intellectual disability </w:t>
      </w:r>
      <w:r w:rsidR="006B603D" w:rsidRPr="00B47143">
        <w:t xml:space="preserve">who have, or are at risk of developing, dementia, but differed as to whether this was reactive, proactive or both. </w:t>
      </w:r>
      <w:r w:rsidR="00BE3507" w:rsidRPr="00B47143">
        <w:t xml:space="preserve">Nine services offered intervention following diagnosis. </w:t>
      </w:r>
      <w:r w:rsidR="006B603D" w:rsidRPr="00B47143">
        <w:t>The most common elements used across both proactive screening and reactive assessment were conducting a health check</w:t>
      </w:r>
      <w:r w:rsidR="00CC43B6" w:rsidRPr="00B47143">
        <w:t>,</w:t>
      </w:r>
      <w:r w:rsidR="006B603D" w:rsidRPr="00B47143">
        <w:t xml:space="preserve"> using </w:t>
      </w:r>
      <w:r w:rsidR="00DE17F8" w:rsidRPr="00B47143">
        <w:t>a</w:t>
      </w:r>
      <w:r w:rsidR="006B603D" w:rsidRPr="00B47143">
        <w:t xml:space="preserve"> general dementia questionnaire </w:t>
      </w:r>
      <w:r w:rsidR="00DE17F8" w:rsidRPr="00B47143">
        <w:t xml:space="preserve">designed for people with an intellectual disability </w:t>
      </w:r>
      <w:r w:rsidR="006B603D" w:rsidRPr="00B47143">
        <w:t xml:space="preserve">and direct assessment with the person. Clinical psychology </w:t>
      </w:r>
      <w:r w:rsidR="006A3E01" w:rsidRPr="00B47143">
        <w:t xml:space="preserve">and community learning disability nurses were </w:t>
      </w:r>
      <w:r w:rsidR="006B603D" w:rsidRPr="00B47143">
        <w:t>the profession</w:t>
      </w:r>
      <w:r w:rsidR="000B5B6F" w:rsidRPr="00B47143">
        <w:t>s</w:t>
      </w:r>
      <w:r w:rsidR="006B603D" w:rsidRPr="00B47143">
        <w:t xml:space="preserve"> most likely to be involved routinely in both proactive screening and reactive assessments</w:t>
      </w:r>
      <w:r w:rsidR="006A3E01" w:rsidRPr="00B47143">
        <w:t xml:space="preserve">. </w:t>
      </w:r>
      <w:r w:rsidR="006B603D" w:rsidRPr="00B47143">
        <w:t>The psychometric properties of the most commonly used assessments of cognitive and behavioural functioning were mixed. The areas of improvement suggested by practitioner</w:t>
      </w:r>
      <w:r w:rsidR="004641FF" w:rsidRPr="00B47143">
        <w:t>s</w:t>
      </w:r>
      <w:r w:rsidR="006B603D" w:rsidRPr="00B47143">
        <w:t xml:space="preserve"> mainly related to </w:t>
      </w:r>
      <w:r w:rsidR="00985525" w:rsidRPr="00B47143">
        <w:t>ways of improving existing pathways.</w:t>
      </w:r>
      <w:r w:rsidR="00815AB6" w:rsidRPr="00B47143">
        <w:rPr>
          <w:b/>
        </w:rPr>
        <w:t xml:space="preserve"> </w:t>
      </w:r>
      <w:r w:rsidR="006A3E01" w:rsidRPr="00B47143">
        <w:t xml:space="preserve">This research represents the first step in providing an overview of service provision in Scotland.  There was some inconsistency in relation to the general and specific components which were </w:t>
      </w:r>
      <w:r w:rsidR="006A3E01" w:rsidRPr="00B47143">
        <w:lastRenderedPageBreak/>
        <w:t xml:space="preserve">involved in </w:t>
      </w:r>
      <w:r w:rsidR="003F7CF8" w:rsidRPr="00B47143">
        <w:t xml:space="preserve">proactive </w:t>
      </w:r>
      <w:r w:rsidR="006A3E01" w:rsidRPr="00B47143">
        <w:t xml:space="preserve">screening and </w:t>
      </w:r>
      <w:r w:rsidR="003F7CF8" w:rsidRPr="00B47143">
        <w:t xml:space="preserve">reactive </w:t>
      </w:r>
      <w:r w:rsidR="006A3E01" w:rsidRPr="00B47143">
        <w:t xml:space="preserve">assessment. </w:t>
      </w:r>
      <w:r w:rsidR="00BE3507" w:rsidRPr="00B47143">
        <w:t xml:space="preserve"> Implications for service provision are discussed. </w:t>
      </w:r>
    </w:p>
    <w:p w14:paraId="0EE52432" w14:textId="0400C94F" w:rsidR="001151CB" w:rsidRPr="00B47143" w:rsidRDefault="001151CB" w:rsidP="00AD26EB">
      <w:pPr>
        <w:spacing w:after="240" w:line="480" w:lineRule="auto"/>
      </w:pPr>
      <w:r w:rsidRPr="00B47143">
        <w:rPr>
          <w:b/>
        </w:rPr>
        <w:t xml:space="preserve">Keywords: </w:t>
      </w:r>
      <w:r w:rsidRPr="00B47143">
        <w:t>Intellectual disability; dementia</w:t>
      </w:r>
      <w:r w:rsidR="00451127" w:rsidRPr="00B47143">
        <w:t>;</w:t>
      </w:r>
      <w:r w:rsidRPr="00B47143">
        <w:t xml:space="preserve"> service provision; screening; assessment</w:t>
      </w:r>
    </w:p>
    <w:p w14:paraId="02BF3163" w14:textId="77777777" w:rsidR="001151CB" w:rsidRPr="00B47143" w:rsidRDefault="001151CB" w:rsidP="00261346">
      <w:pPr>
        <w:spacing w:line="480" w:lineRule="auto"/>
        <w:rPr>
          <w:b/>
        </w:rPr>
      </w:pPr>
    </w:p>
    <w:p w14:paraId="2E6876C4" w14:textId="5A5873C4" w:rsidR="001151CB" w:rsidRPr="00B47143" w:rsidRDefault="001151CB" w:rsidP="00261346">
      <w:pPr>
        <w:spacing w:line="480" w:lineRule="auto"/>
        <w:rPr>
          <w:b/>
        </w:rPr>
      </w:pPr>
      <w:r w:rsidRPr="00B47143">
        <w:rPr>
          <w:b/>
        </w:rPr>
        <w:br w:type="page"/>
      </w:r>
    </w:p>
    <w:p w14:paraId="4042D622" w14:textId="77777777" w:rsidR="00556B3A" w:rsidRPr="00B47143" w:rsidRDefault="001151CB" w:rsidP="00AD26EB">
      <w:pPr>
        <w:spacing w:after="240" w:line="480" w:lineRule="auto"/>
        <w:jc w:val="center"/>
        <w:rPr>
          <w:b/>
        </w:rPr>
      </w:pPr>
      <w:r w:rsidRPr="00B47143">
        <w:rPr>
          <w:b/>
        </w:rPr>
        <w:t>Introduction</w:t>
      </w:r>
    </w:p>
    <w:p w14:paraId="671ED8CC" w14:textId="08043DBE" w:rsidR="00F97448" w:rsidRPr="00B47143" w:rsidRDefault="00556B3A" w:rsidP="00F97448">
      <w:pPr>
        <w:spacing w:after="240" w:line="480" w:lineRule="auto"/>
      </w:pPr>
      <w:r w:rsidRPr="00B47143">
        <w:t xml:space="preserve">It has long been </w:t>
      </w:r>
      <w:r w:rsidRPr="00B47143">
        <w:rPr>
          <w:noProof/>
        </w:rPr>
        <w:t>recognised</w:t>
      </w:r>
      <w:r w:rsidRPr="00B47143">
        <w:t xml:space="preserve"> that p</w:t>
      </w:r>
      <w:r w:rsidR="004F7F07" w:rsidRPr="00B47143">
        <w:t xml:space="preserve">eople with Down syndrome face an increased risk of developing </w:t>
      </w:r>
      <w:r w:rsidRPr="00B47143">
        <w:t xml:space="preserve">early onset Alzheimer’s </w:t>
      </w:r>
      <w:r w:rsidR="000960DA" w:rsidRPr="00B47143">
        <w:t>d</w:t>
      </w:r>
      <w:r w:rsidRPr="00B47143">
        <w:t xml:space="preserve">isease compared with their typically developing peers (Strydom et al., 2010). </w:t>
      </w:r>
      <w:r w:rsidRPr="00B47143">
        <w:rPr>
          <w:noProof/>
        </w:rPr>
        <w:t>This recognition has resulted in the introduction of proactive screening as part of service provision in a number of areas</w:t>
      </w:r>
      <w:r w:rsidR="00874BC7" w:rsidRPr="00B47143">
        <w:rPr>
          <w:noProof/>
        </w:rPr>
        <w:t>,</w:t>
      </w:r>
      <w:r w:rsidRPr="00B47143">
        <w:rPr>
          <w:noProof/>
        </w:rPr>
        <w:t xml:space="preserve"> in addition to </w:t>
      </w:r>
      <w:r w:rsidR="003F7CF8" w:rsidRPr="00B47143">
        <w:rPr>
          <w:noProof/>
        </w:rPr>
        <w:t xml:space="preserve">assessment </w:t>
      </w:r>
      <w:r w:rsidRPr="00B47143">
        <w:rPr>
          <w:noProof/>
        </w:rPr>
        <w:t>in response to concerns about decline in the person’s functioning</w:t>
      </w:r>
      <w:r w:rsidR="00C56AD7" w:rsidRPr="00B47143">
        <w:rPr>
          <w:noProof/>
        </w:rPr>
        <w:t xml:space="preserve"> (McKenzie</w:t>
      </w:r>
      <w:r w:rsidR="00993D6E" w:rsidRPr="00B47143">
        <w:rPr>
          <w:noProof/>
        </w:rPr>
        <w:t>, Murray, McKenzie, &amp; Muir</w:t>
      </w:r>
      <w:r w:rsidR="00C56AD7" w:rsidRPr="00B47143">
        <w:rPr>
          <w:noProof/>
        </w:rPr>
        <w:t xml:space="preserve">, </w:t>
      </w:r>
      <w:r w:rsidR="00110342" w:rsidRPr="00B47143">
        <w:rPr>
          <w:noProof/>
        </w:rPr>
        <w:t xml:space="preserve">1998; </w:t>
      </w:r>
      <w:r w:rsidR="00993D6E" w:rsidRPr="00B47143">
        <w:rPr>
          <w:noProof/>
        </w:rPr>
        <w:t xml:space="preserve">McKenzie et al., </w:t>
      </w:r>
      <w:r w:rsidR="00C56AD7" w:rsidRPr="00B47143">
        <w:rPr>
          <w:noProof/>
        </w:rPr>
        <w:t>2000</w:t>
      </w:r>
      <w:r w:rsidR="00E74556" w:rsidRPr="00B47143">
        <w:rPr>
          <w:noProof/>
        </w:rPr>
        <w:t>; Rowe, 2014</w:t>
      </w:r>
      <w:r w:rsidRPr="00B47143">
        <w:rPr>
          <w:noProof/>
        </w:rPr>
        <w:t>)</w:t>
      </w:r>
      <w:r w:rsidR="00993D6E" w:rsidRPr="00B47143">
        <w:rPr>
          <w:noProof/>
        </w:rPr>
        <w:t xml:space="preserve">. </w:t>
      </w:r>
      <w:bookmarkStart w:id="2" w:name="_Hlk511812905"/>
      <w:r w:rsidR="00E65E67" w:rsidRPr="00B47143">
        <w:t xml:space="preserve">Proactive screening occurs when individuals who are at increased risk of dementia are screened on a regular basis prior to showing any signs of deterioration. </w:t>
      </w:r>
      <w:r w:rsidR="00281A07" w:rsidRPr="00B47143">
        <w:t xml:space="preserve">Reactive assessment occurs when the person is assessed in response to concerns about a deterioration in their functioning. </w:t>
      </w:r>
    </w:p>
    <w:p w14:paraId="4B07E037" w14:textId="6C7914B1" w:rsidR="00E65E67" w:rsidRPr="00B47143" w:rsidRDefault="00281A07" w:rsidP="00861BCE">
      <w:pPr>
        <w:spacing w:after="240" w:line="480" w:lineRule="auto"/>
      </w:pPr>
      <w:r w:rsidRPr="00B47143">
        <w:t xml:space="preserve">Recent guidelines acknowledge the importance of proactive screening for dementia for many people with Down syndrome and the role of reactive </w:t>
      </w:r>
      <w:r w:rsidR="000143C9" w:rsidRPr="00B47143">
        <w:t xml:space="preserve">assessment </w:t>
      </w:r>
      <w:r w:rsidRPr="00B47143">
        <w:t>for all individuals with an intellectual disability in response to concerns being raised in relation to a deterioration in functioning (</w:t>
      </w:r>
      <w:r w:rsidR="00F97448" w:rsidRPr="00B47143">
        <w:t xml:space="preserve">BPS DCP &amp; RCP, 2015). </w:t>
      </w:r>
      <w:r w:rsidR="00E65E67" w:rsidRPr="00B47143">
        <w:t xml:space="preserve">It is recommended that services obtain a baseline assessment by age 30 for every adult with Down syndrome against which to compare any future changes in cognitive </w:t>
      </w:r>
      <w:r w:rsidR="00E65E67" w:rsidRPr="00B47143">
        <w:rPr>
          <w:noProof/>
        </w:rPr>
        <w:t>and/or</w:t>
      </w:r>
      <w:r w:rsidR="00E65E67" w:rsidRPr="00B47143">
        <w:t xml:space="preserve"> adaptive functioning (Turk, Dodd, &amp; Christmas, 2001). If a person </w:t>
      </w:r>
      <w:r w:rsidR="00E65E67" w:rsidRPr="00B47143">
        <w:rPr>
          <w:noProof/>
        </w:rPr>
        <w:t>is suspected</w:t>
      </w:r>
      <w:r w:rsidR="00E65E67" w:rsidRPr="00B47143">
        <w:t xml:space="preserve"> of having </w:t>
      </w:r>
      <w:r w:rsidR="00E65E67" w:rsidRPr="00B47143">
        <w:rPr>
          <w:noProof/>
        </w:rPr>
        <w:t>dementia,</w:t>
      </w:r>
      <w:r w:rsidR="00E65E67" w:rsidRPr="00B47143">
        <w:t xml:space="preserve"> then he/she should be monitored and </w:t>
      </w:r>
      <w:r w:rsidR="00E65E67" w:rsidRPr="00B47143">
        <w:rPr>
          <w:noProof/>
        </w:rPr>
        <w:t>reassessed regularly</w:t>
      </w:r>
      <w:r w:rsidR="00E65E67" w:rsidRPr="00B47143">
        <w:t xml:space="preserve"> (</w:t>
      </w:r>
      <w:r w:rsidRPr="00B47143">
        <w:t>BPS DCP &amp; RCP, 2015).</w:t>
      </w:r>
    </w:p>
    <w:bookmarkEnd w:id="2"/>
    <w:p w14:paraId="747FF80D" w14:textId="5A40347F" w:rsidR="0036616E" w:rsidRPr="00B47143" w:rsidRDefault="008B142D" w:rsidP="00861BCE">
      <w:pPr>
        <w:spacing w:after="240" w:line="480" w:lineRule="auto"/>
      </w:pPr>
      <w:r w:rsidRPr="00B47143">
        <w:t xml:space="preserve">Along with the general population, the life expectancy of people with an intellectual disability has increased, meaning that individuals with an intellectual disability that is not a result of Down </w:t>
      </w:r>
      <w:r w:rsidR="000960DA" w:rsidRPr="00B47143">
        <w:t>s</w:t>
      </w:r>
      <w:r w:rsidRPr="00B47143">
        <w:t>yndrome are also at an increased risk of developing dementia (McCarron</w:t>
      </w:r>
      <w:r w:rsidR="000960DA" w:rsidRPr="00B47143">
        <w:t>, McCallion, Fahey-McCarthy, Connaire, &amp; Dunn-Lane,</w:t>
      </w:r>
      <w:r w:rsidRPr="00B47143">
        <w:t xml:space="preserve"> 2010).  </w:t>
      </w:r>
      <w:r w:rsidR="0036616E" w:rsidRPr="00B47143">
        <w:t xml:space="preserve">The life expectancy of people with Down </w:t>
      </w:r>
      <w:r w:rsidR="000960DA" w:rsidRPr="00B47143">
        <w:t>s</w:t>
      </w:r>
      <w:r w:rsidR="0036616E" w:rsidRPr="00B47143">
        <w:t>yndrome in the UK is approximately 60 years (Torr</w:t>
      </w:r>
      <w:r w:rsidR="000960DA" w:rsidRPr="00B47143">
        <w:t>, Strydom, Patti, &amp; Jokinen</w:t>
      </w:r>
      <w:r w:rsidR="0036616E" w:rsidRPr="00B47143">
        <w:t>, 2010) and the average age of those in Scotland reported in 2008 was 40 (Mantry et al., 2008).</w:t>
      </w:r>
      <w:r w:rsidRPr="00B47143">
        <w:t xml:space="preserve"> </w:t>
      </w:r>
      <w:r w:rsidR="0036616E" w:rsidRPr="00B47143">
        <w:t xml:space="preserve">Neuropathological signs of Alzheimer’s </w:t>
      </w:r>
      <w:r w:rsidR="000960DA" w:rsidRPr="00B47143">
        <w:t>d</w:t>
      </w:r>
      <w:r w:rsidR="0036616E" w:rsidRPr="00B47143">
        <w:t xml:space="preserve">isease are present in almost all people with Down </w:t>
      </w:r>
      <w:r w:rsidR="000960DA" w:rsidRPr="00B47143">
        <w:t>s</w:t>
      </w:r>
      <w:r w:rsidR="0036616E" w:rsidRPr="00B47143">
        <w:t>yndrome aged over 40 and clinical signs are common in those aged over 50 (see Head</w:t>
      </w:r>
      <w:r w:rsidR="00557454" w:rsidRPr="00B47143">
        <w:t>, Silverman, Patterson, &amp; Lott</w:t>
      </w:r>
      <w:r w:rsidR="0036616E" w:rsidRPr="00B47143">
        <w:t>, 2012)</w:t>
      </w:r>
      <w:r w:rsidR="00B17F3B" w:rsidRPr="00B47143">
        <w:t xml:space="preserve">, although not all will develop dementia. </w:t>
      </w:r>
      <w:r w:rsidR="0036616E" w:rsidRPr="00B47143">
        <w:t xml:space="preserve"> Prevalence rates vary according to the age ranges of the participants and whet</w:t>
      </w:r>
      <w:r w:rsidR="00D1764A" w:rsidRPr="00B47143">
        <w:t>her they have Down syndrome</w:t>
      </w:r>
      <w:r w:rsidR="0036616E" w:rsidRPr="00B47143">
        <w:t xml:space="preserve"> or another cause of intellectual disability.  A review by Strydom et al. (2010) suggests prevalence for those with </w:t>
      </w:r>
      <w:r w:rsidR="00557454" w:rsidRPr="00B47143">
        <w:t xml:space="preserve">an </w:t>
      </w:r>
      <w:r w:rsidR="0036616E" w:rsidRPr="00B47143">
        <w:t xml:space="preserve">intellectual disability aged 60 and over is approximately 6.1%, while it is between 30-40% for those who have Down </w:t>
      </w:r>
      <w:r w:rsidR="000960DA" w:rsidRPr="00B47143">
        <w:t>s</w:t>
      </w:r>
      <w:r w:rsidR="0036616E" w:rsidRPr="00B47143">
        <w:t>yndrome aged 50 and 59</w:t>
      </w:r>
      <w:r w:rsidR="00BA5C74" w:rsidRPr="00B47143">
        <w:t xml:space="preserve">, </w:t>
      </w:r>
      <w:r w:rsidR="00B17F3B" w:rsidRPr="00B47143">
        <w:t xml:space="preserve">again </w:t>
      </w:r>
      <w:r w:rsidR="00BA5C74" w:rsidRPr="00B47143">
        <w:t xml:space="preserve">indicating that the development of dementia is not inevitable for all people with Down </w:t>
      </w:r>
      <w:r w:rsidR="0045578B" w:rsidRPr="00B47143">
        <w:t>s</w:t>
      </w:r>
      <w:r w:rsidR="00BA5C74" w:rsidRPr="00B47143">
        <w:t>yndrome.</w:t>
      </w:r>
      <w:r w:rsidR="004B1E6D" w:rsidRPr="00B47143">
        <w:t xml:space="preserve"> More recent research has found prevalence rates </w:t>
      </w:r>
      <w:r w:rsidR="0045578B" w:rsidRPr="00B47143">
        <w:t xml:space="preserve">for people with Down syndrome </w:t>
      </w:r>
      <w:r w:rsidR="004B1E6D" w:rsidRPr="00B47143">
        <w:t>to be consistent with these figures (McCarron, McCallion, Reilly &amp; Mulryan, 2014).</w:t>
      </w:r>
    </w:p>
    <w:p w14:paraId="2FB5AA89" w14:textId="320CFE5B" w:rsidR="00B52408" w:rsidRPr="00B47143" w:rsidRDefault="0036616E" w:rsidP="00AD26EB">
      <w:pPr>
        <w:spacing w:after="240" w:line="480" w:lineRule="auto"/>
      </w:pPr>
      <w:r w:rsidRPr="00B47143">
        <w:t xml:space="preserve">As well as the impact on the person, the growing number of people with an intellectual disability and dementia presents a range of </w:t>
      </w:r>
      <w:r w:rsidR="00B52408" w:rsidRPr="00B47143">
        <w:t xml:space="preserve">financial and other </w:t>
      </w:r>
      <w:r w:rsidRPr="00B47143">
        <w:t xml:space="preserve">challenges for service planners and providers </w:t>
      </w:r>
      <w:r w:rsidR="00BC25BE" w:rsidRPr="00B47143">
        <w:t xml:space="preserve">as well as </w:t>
      </w:r>
      <w:r w:rsidRPr="00B47143">
        <w:t xml:space="preserve">staff and carers who are providing day to day support. </w:t>
      </w:r>
      <w:r w:rsidR="00B52408" w:rsidRPr="00B47143">
        <w:t xml:space="preserve">In respect of the financial challenges, it </w:t>
      </w:r>
      <w:r w:rsidR="00B52408" w:rsidRPr="00B47143">
        <w:rPr>
          <w:noProof/>
        </w:rPr>
        <w:t>is recognised</w:t>
      </w:r>
      <w:r w:rsidR="00B52408" w:rsidRPr="00B47143">
        <w:t xml:space="preserve"> that there are significant economic costs associated with caring for those with dementia. While the specific costs of supporting people with an intellectual disability and dementia are hard to determine, Alzheimer’s Disease International (2010) estimated that the overall worldwide costs of dementia</w:t>
      </w:r>
      <w:r w:rsidR="005B570C" w:rsidRPr="00B47143">
        <w:t xml:space="preserve"> would</w:t>
      </w:r>
      <w:r w:rsidR="00B52408" w:rsidRPr="00B47143">
        <w:t xml:space="preserve"> </w:t>
      </w:r>
      <w:r w:rsidR="00A27678" w:rsidRPr="00B47143">
        <w:t xml:space="preserve">increase by 85% to </w:t>
      </w:r>
      <w:r w:rsidR="00A27678" w:rsidRPr="00B47143">
        <w:rPr>
          <w:noProof/>
        </w:rPr>
        <w:t>US</w:t>
      </w:r>
      <w:r w:rsidR="00C7483F" w:rsidRPr="00B47143">
        <w:t xml:space="preserve"> </w:t>
      </w:r>
      <w:r w:rsidR="00A27678" w:rsidRPr="00B47143">
        <w:t xml:space="preserve">$1,117 </w:t>
      </w:r>
      <w:r w:rsidR="00B52408" w:rsidRPr="00B47143">
        <w:t xml:space="preserve">billion by 2030.  </w:t>
      </w:r>
    </w:p>
    <w:p w14:paraId="1FA8B029" w14:textId="57ECB50C" w:rsidR="008B142D" w:rsidRPr="00B47143" w:rsidRDefault="00924F8D" w:rsidP="00AD26EB">
      <w:pPr>
        <w:spacing w:after="240" w:line="480" w:lineRule="auto"/>
      </w:pPr>
      <w:r w:rsidRPr="00B47143">
        <w:t xml:space="preserve">Research </w:t>
      </w:r>
      <w:r w:rsidR="00A27678" w:rsidRPr="00B47143">
        <w:t xml:space="preserve">also </w:t>
      </w:r>
      <w:r w:rsidRPr="00B47143">
        <w:t xml:space="preserve">suggests that service providers may feel unprepared to provide support to people with an intellectual disability who have dementia because their needs may differ from those of the general population in many respects (McCarron et al., 2010). These challenges may include staff feeling that they lack the knowledge, skills </w:t>
      </w:r>
      <w:r w:rsidRPr="00B47143">
        <w:rPr>
          <w:noProof/>
        </w:rPr>
        <w:t>and</w:t>
      </w:r>
      <w:r w:rsidRPr="00B47143">
        <w:t xml:space="preserve"> experiences to support this group of people. </w:t>
      </w:r>
      <w:r w:rsidRPr="00B47143">
        <w:rPr>
          <w:noProof/>
        </w:rPr>
        <w:t>In addition</w:t>
      </w:r>
      <w:r w:rsidRPr="00B47143">
        <w:t xml:space="preserve">, the funding systems and infrastructure </w:t>
      </w:r>
      <w:r w:rsidR="005B570C" w:rsidRPr="00B47143">
        <w:rPr>
          <w:noProof/>
        </w:rPr>
        <w:t>regarding</w:t>
      </w:r>
      <w:r w:rsidRPr="00B47143">
        <w:t xml:space="preserve"> existing service provision may be inadequate or unsuit</w:t>
      </w:r>
      <w:r w:rsidR="00C763AC" w:rsidRPr="00B47143">
        <w:t>able</w:t>
      </w:r>
      <w:r w:rsidRPr="00B47143">
        <w:t xml:space="preserve"> (McCarron et al., 2010; McKenzie</w:t>
      </w:r>
      <w:r w:rsidR="00257F3E" w:rsidRPr="00B47143">
        <w:t>, Baxter, Paxton, &amp; Murray</w:t>
      </w:r>
      <w:r w:rsidRPr="00B47143">
        <w:t>, 2002).</w:t>
      </w:r>
      <w:r w:rsidR="00D1764A" w:rsidRPr="00B47143">
        <w:t xml:space="preserve"> </w:t>
      </w:r>
      <w:r w:rsidRPr="00B47143">
        <w:t>For example, people with an intellectual disability and dementia may have a differing course</w:t>
      </w:r>
      <w:r w:rsidR="00D1764A" w:rsidRPr="00B47143">
        <w:t xml:space="preserve"> and progression of the disease, meaning that the types of support required as the disease progresses may differ from those required by people </w:t>
      </w:r>
      <w:r w:rsidR="00C7483F" w:rsidRPr="00B47143">
        <w:t xml:space="preserve">with dementia who do not have </w:t>
      </w:r>
      <w:r w:rsidR="00D1764A" w:rsidRPr="00B47143">
        <w:t>an intellectual disability.</w:t>
      </w:r>
      <w:r w:rsidRPr="00B47143">
        <w:t xml:space="preserve">  </w:t>
      </w:r>
    </w:p>
    <w:p w14:paraId="44975515" w14:textId="0920BDD1" w:rsidR="0048588A" w:rsidRPr="00B47143" w:rsidRDefault="008B142D" w:rsidP="00AD26EB">
      <w:pPr>
        <w:spacing w:after="240" w:line="480" w:lineRule="auto"/>
      </w:pPr>
      <w:r w:rsidRPr="00B47143">
        <w:t xml:space="preserve">Early signs of dementia in people with an intellectual disability are more likely to present as changes in </w:t>
      </w:r>
      <w:r w:rsidRPr="00B47143">
        <w:rPr>
          <w:noProof/>
        </w:rPr>
        <w:t>behaviour</w:t>
      </w:r>
      <w:r w:rsidRPr="00B47143">
        <w:t xml:space="preserve"> and personality, whereas cognitive changes, particularly in memory</w:t>
      </w:r>
      <w:r w:rsidR="0048588A" w:rsidRPr="00B47143">
        <w:t>, are more common indicators of dementia in typically developing individuals</w:t>
      </w:r>
      <w:r w:rsidR="00924F8D" w:rsidRPr="00B47143">
        <w:t xml:space="preserve"> (see Torr et al., 2010)</w:t>
      </w:r>
      <w:r w:rsidR="0048588A" w:rsidRPr="00B47143">
        <w:t xml:space="preserve">. </w:t>
      </w:r>
      <w:r w:rsidR="00924F8D" w:rsidRPr="00B47143">
        <w:t xml:space="preserve">In the later stages of the </w:t>
      </w:r>
      <w:r w:rsidR="00924F8D" w:rsidRPr="00B47143">
        <w:rPr>
          <w:noProof/>
        </w:rPr>
        <w:t>disease</w:t>
      </w:r>
      <w:r w:rsidR="005B570C" w:rsidRPr="00B47143">
        <w:rPr>
          <w:noProof/>
        </w:rPr>
        <w:t>,</w:t>
      </w:r>
      <w:r w:rsidR="00924F8D" w:rsidRPr="00B47143">
        <w:t xml:space="preserve"> the individual </w:t>
      </w:r>
      <w:r w:rsidR="00A062E8" w:rsidRPr="00B47143">
        <w:t xml:space="preserve">with an intellectual disability </w:t>
      </w:r>
      <w:r w:rsidR="00924F8D" w:rsidRPr="00B47143">
        <w:t>may experience a range of co-morbid health conditions including respiratory difficulties, recurrent infections, constipation and complications associated with immobility (</w:t>
      </w:r>
      <w:r w:rsidR="00924F8D" w:rsidRPr="00B47143">
        <w:rPr>
          <w:noProof/>
        </w:rPr>
        <w:t>e.g.</w:t>
      </w:r>
      <w:r w:rsidR="00924F8D" w:rsidRPr="00B47143">
        <w:t xml:space="preserve"> McCarron</w:t>
      </w:r>
      <w:r w:rsidR="00A062E8" w:rsidRPr="00B47143">
        <w:t>, Gill, McCallion, &amp; Begley</w:t>
      </w:r>
      <w:r w:rsidR="00924F8D" w:rsidRPr="00B47143">
        <w:t>, 2005), all of which will require more specialist care.</w:t>
      </w:r>
      <w:r w:rsidR="0048588A" w:rsidRPr="00B47143">
        <w:t xml:space="preserve"> </w:t>
      </w:r>
      <w:r w:rsidR="00305F3E" w:rsidRPr="00B47143">
        <w:rPr>
          <w:noProof/>
        </w:rPr>
        <w:t>T</w:t>
      </w:r>
      <w:r w:rsidR="0048588A" w:rsidRPr="00B47143">
        <w:rPr>
          <w:noProof/>
        </w:rPr>
        <w:t xml:space="preserve">he rate of deterioration of people with an intellectual disability </w:t>
      </w:r>
      <w:r w:rsidR="00C74CA5" w:rsidRPr="00B47143">
        <w:rPr>
          <w:noProof/>
        </w:rPr>
        <w:t xml:space="preserve">can </w:t>
      </w:r>
      <w:r w:rsidR="00305F3E" w:rsidRPr="00B47143">
        <w:rPr>
          <w:noProof/>
        </w:rPr>
        <w:t xml:space="preserve">also </w:t>
      </w:r>
      <w:r w:rsidR="00C74CA5" w:rsidRPr="00B47143">
        <w:rPr>
          <w:noProof/>
        </w:rPr>
        <w:t xml:space="preserve">be </w:t>
      </w:r>
      <w:r w:rsidR="0048588A" w:rsidRPr="00B47143">
        <w:rPr>
          <w:noProof/>
        </w:rPr>
        <w:t>faster than in those without an intellectual disability</w:t>
      </w:r>
      <w:r w:rsidR="00305F3E" w:rsidRPr="00B47143">
        <w:rPr>
          <w:noProof/>
        </w:rPr>
        <w:t xml:space="preserve">, with early studies indicating an </w:t>
      </w:r>
      <w:r w:rsidR="0048588A" w:rsidRPr="00B47143">
        <w:rPr>
          <w:noProof/>
        </w:rPr>
        <w:t xml:space="preserve">average period of </w:t>
      </w:r>
      <w:r w:rsidR="00A062E8" w:rsidRPr="00B47143">
        <w:rPr>
          <w:noProof/>
        </w:rPr>
        <w:t>six</w:t>
      </w:r>
      <w:r w:rsidR="0048588A" w:rsidRPr="00B47143">
        <w:rPr>
          <w:noProof/>
        </w:rPr>
        <w:t xml:space="preserve"> years between diagnosis </w:t>
      </w:r>
      <w:r w:rsidR="00A062E8" w:rsidRPr="00B47143">
        <w:rPr>
          <w:noProof/>
        </w:rPr>
        <w:t>and</w:t>
      </w:r>
      <w:r w:rsidR="0048588A" w:rsidRPr="00B47143">
        <w:rPr>
          <w:noProof/>
        </w:rPr>
        <w:t xml:space="preserve"> death (Prasher &amp; Krishnan, 1993)</w:t>
      </w:r>
      <w:r w:rsidR="00A062E8" w:rsidRPr="00B47143">
        <w:rPr>
          <w:noProof/>
        </w:rPr>
        <w:t xml:space="preserve"> </w:t>
      </w:r>
      <w:r w:rsidR="00305F3E" w:rsidRPr="00B47143">
        <w:rPr>
          <w:noProof/>
        </w:rPr>
        <w:t xml:space="preserve">and more recent studies </w:t>
      </w:r>
      <w:r w:rsidR="00792245" w:rsidRPr="00B47143">
        <w:rPr>
          <w:noProof/>
        </w:rPr>
        <w:t xml:space="preserve">indicating a duration 6 to 6.25 years and </w:t>
      </w:r>
      <w:r w:rsidR="00305F3E" w:rsidRPr="00B47143">
        <w:rPr>
          <w:noProof/>
        </w:rPr>
        <w:t>a median survival period of 7 years (</w:t>
      </w:r>
      <w:bookmarkStart w:id="3" w:name="_Hlk511816581"/>
      <w:r w:rsidR="00305F3E" w:rsidRPr="00B47143">
        <w:rPr>
          <w:noProof/>
        </w:rPr>
        <w:t>McCarron</w:t>
      </w:r>
      <w:r w:rsidR="00AD0BF7" w:rsidRPr="00B47143">
        <w:rPr>
          <w:noProof/>
        </w:rPr>
        <w:t xml:space="preserve"> et al., </w:t>
      </w:r>
      <w:r w:rsidR="00305F3E" w:rsidRPr="00B47143">
        <w:rPr>
          <w:noProof/>
        </w:rPr>
        <w:t>2014</w:t>
      </w:r>
      <w:bookmarkEnd w:id="3"/>
      <w:r w:rsidR="00305F3E" w:rsidRPr="00B47143">
        <w:rPr>
          <w:noProof/>
        </w:rPr>
        <w:t xml:space="preserve">). This can mean that </w:t>
      </w:r>
      <w:r w:rsidR="0048588A" w:rsidRPr="00B47143">
        <w:rPr>
          <w:noProof/>
        </w:rPr>
        <w:t xml:space="preserve">services </w:t>
      </w:r>
      <w:r w:rsidR="00095B10" w:rsidRPr="00B47143">
        <w:rPr>
          <w:noProof/>
        </w:rPr>
        <w:t xml:space="preserve">face the challenges of </w:t>
      </w:r>
      <w:r w:rsidR="0048588A" w:rsidRPr="00B47143">
        <w:rPr>
          <w:noProof/>
        </w:rPr>
        <w:t>need</w:t>
      </w:r>
      <w:r w:rsidR="00095B10" w:rsidRPr="00B47143">
        <w:rPr>
          <w:noProof/>
        </w:rPr>
        <w:t>ing</w:t>
      </w:r>
      <w:r w:rsidR="0048588A" w:rsidRPr="00B47143">
        <w:rPr>
          <w:noProof/>
        </w:rPr>
        <w:t xml:space="preserve"> to both plan proactively for change and respond quickly when it occurs.</w:t>
      </w:r>
      <w:r w:rsidR="00305F3E" w:rsidRPr="00B47143">
        <w:rPr>
          <w:noProof/>
        </w:rPr>
        <w:t xml:space="preserve"> </w:t>
      </w:r>
    </w:p>
    <w:p w14:paraId="5762CB39" w14:textId="40446455" w:rsidR="00B52408" w:rsidRPr="00B47143" w:rsidRDefault="00B52408" w:rsidP="00AD26EB">
      <w:pPr>
        <w:spacing w:after="240" w:line="480" w:lineRule="auto"/>
      </w:pPr>
      <w:r w:rsidRPr="00B47143">
        <w:t xml:space="preserve">These challenges </w:t>
      </w:r>
      <w:r w:rsidRPr="00B47143">
        <w:rPr>
          <w:noProof/>
        </w:rPr>
        <w:t>are increased</w:t>
      </w:r>
      <w:r w:rsidRPr="00B47143">
        <w:t xml:space="preserve"> because the information on which to base service planning is often patchy, </w:t>
      </w:r>
      <w:r w:rsidR="00D1764A" w:rsidRPr="00B47143">
        <w:t xml:space="preserve">for </w:t>
      </w:r>
      <w:r w:rsidR="00D1764A" w:rsidRPr="00B47143">
        <w:rPr>
          <w:noProof/>
        </w:rPr>
        <w:t>example</w:t>
      </w:r>
      <w:r w:rsidR="00916C95" w:rsidRPr="00B47143">
        <w:rPr>
          <w:noProof/>
        </w:rPr>
        <w:t>,</w:t>
      </w:r>
      <w:r w:rsidR="00D1764A" w:rsidRPr="00B47143">
        <w:t xml:space="preserve"> </w:t>
      </w:r>
      <w:r w:rsidRPr="00B47143">
        <w:t>prevalence rates varying according to the type and size of</w:t>
      </w:r>
      <w:r w:rsidR="00916C95" w:rsidRPr="00B47143">
        <w:t xml:space="preserve"> the</w:t>
      </w:r>
      <w:r w:rsidRPr="00B47143">
        <w:t xml:space="preserve"> </w:t>
      </w:r>
      <w:r w:rsidRPr="00B47143">
        <w:rPr>
          <w:noProof/>
        </w:rPr>
        <w:t>population</w:t>
      </w:r>
      <w:r w:rsidRPr="00B47143">
        <w:t xml:space="preserve"> studied. </w:t>
      </w:r>
      <w:r w:rsidRPr="00B47143">
        <w:rPr>
          <w:noProof/>
        </w:rPr>
        <w:t>In addition</w:t>
      </w:r>
      <w:r w:rsidRPr="00B47143">
        <w:t xml:space="preserve">, very little </w:t>
      </w:r>
      <w:r w:rsidRPr="00B47143">
        <w:rPr>
          <w:noProof/>
        </w:rPr>
        <w:t>is known</w:t>
      </w:r>
      <w:r w:rsidRPr="00B47143">
        <w:t xml:space="preserve"> about the prevalence, course and</w:t>
      </w:r>
      <w:r w:rsidR="00A27678" w:rsidRPr="00B47143">
        <w:t xml:space="preserve"> progression of dementia in people with an intellectual disability who do not have </w:t>
      </w:r>
      <w:r w:rsidR="00674EE4" w:rsidRPr="00B47143">
        <w:t>D</w:t>
      </w:r>
      <w:r w:rsidR="00C7483F" w:rsidRPr="00B47143">
        <w:t xml:space="preserve">own </w:t>
      </w:r>
      <w:r w:rsidR="000960DA" w:rsidRPr="00B47143">
        <w:t>s</w:t>
      </w:r>
      <w:r w:rsidR="00C7483F" w:rsidRPr="00B47143">
        <w:t>yndrome</w:t>
      </w:r>
      <w:r w:rsidRPr="00B47143">
        <w:t xml:space="preserve">, although research has indicated that it is </w:t>
      </w:r>
      <w:r w:rsidR="00A2181F" w:rsidRPr="00B47143">
        <w:t>two</w:t>
      </w:r>
      <w:r w:rsidRPr="00B47143">
        <w:t xml:space="preserve"> to </w:t>
      </w:r>
      <w:r w:rsidR="00A2181F" w:rsidRPr="00B47143">
        <w:t>three</w:t>
      </w:r>
      <w:r w:rsidRPr="00B47143">
        <w:t xml:space="preserve"> times more prevalent compared with the general population (Strydom</w:t>
      </w:r>
      <w:r w:rsidR="00D3336D" w:rsidRPr="00B47143">
        <w:t>, Hassiotis, King, &amp; Livingston,</w:t>
      </w:r>
      <w:r w:rsidRPr="00B47143">
        <w:t xml:space="preserve"> 2009).</w:t>
      </w:r>
    </w:p>
    <w:p w14:paraId="05AB1150" w14:textId="6CD3F812" w:rsidR="00261346" w:rsidRPr="00B47143" w:rsidRDefault="00B52408" w:rsidP="00AD26EB">
      <w:pPr>
        <w:spacing w:after="240" w:line="480" w:lineRule="auto"/>
      </w:pPr>
      <w:r w:rsidRPr="00B47143">
        <w:t xml:space="preserve">There are </w:t>
      </w:r>
      <w:r w:rsidR="00BC25BE" w:rsidRPr="00B47143">
        <w:t>several</w:t>
      </w:r>
      <w:r w:rsidRPr="00B47143">
        <w:t xml:space="preserve"> reasons why it has been difficult to obtain </w:t>
      </w:r>
      <w:r w:rsidR="00A27678" w:rsidRPr="00B47143">
        <w:t>accurate information about people with an intellectual disability and dementia</w:t>
      </w:r>
      <w:r w:rsidRPr="00B47143">
        <w:t xml:space="preserve"> on which to base service provision and planning. </w:t>
      </w:r>
      <w:r w:rsidR="006868ED" w:rsidRPr="00B47143">
        <w:rPr>
          <w:noProof/>
        </w:rPr>
        <w:t>Assessing changes in cognitive and adaptive functioning relies on information being available about the person’s functioning prior to the onset of dementia</w:t>
      </w:r>
      <w:r w:rsidR="00C70619" w:rsidRPr="00B47143">
        <w:rPr>
          <w:noProof/>
        </w:rPr>
        <w:t>. This requires</w:t>
      </w:r>
      <w:r w:rsidR="002152CA" w:rsidRPr="00B47143">
        <w:rPr>
          <w:noProof/>
        </w:rPr>
        <w:t xml:space="preserve"> the</w:t>
      </w:r>
      <w:r w:rsidR="00C70619" w:rsidRPr="00B47143">
        <w:rPr>
          <w:noProof/>
        </w:rPr>
        <w:t xml:space="preserve"> </w:t>
      </w:r>
      <w:r w:rsidR="006868ED" w:rsidRPr="00B47143">
        <w:rPr>
          <w:noProof/>
        </w:rPr>
        <w:t>availability of appropriate assessments</w:t>
      </w:r>
      <w:r w:rsidR="006F5D4C" w:rsidRPr="00B47143">
        <w:rPr>
          <w:noProof/>
        </w:rPr>
        <w:t>, suitable for individuals with an intellectual disability which have</w:t>
      </w:r>
      <w:r w:rsidR="006868ED" w:rsidRPr="00B47143">
        <w:rPr>
          <w:noProof/>
        </w:rPr>
        <w:t xml:space="preserve"> good psychometric properties </w:t>
      </w:r>
      <w:r w:rsidR="002152CA" w:rsidRPr="00B47143">
        <w:rPr>
          <w:noProof/>
        </w:rPr>
        <w:t>and</w:t>
      </w:r>
      <w:r w:rsidR="006868ED" w:rsidRPr="00B47143">
        <w:rPr>
          <w:noProof/>
        </w:rPr>
        <w:t xml:space="preserve"> reliance on informants to provide accurate information about the person’s functioning over time, particularly for individuals with severe or profound impairments who are unable to complete direct assessments or self-report meas</w:t>
      </w:r>
      <w:r w:rsidR="00383051" w:rsidRPr="00B47143">
        <w:rPr>
          <w:noProof/>
        </w:rPr>
        <w:t>ures</w:t>
      </w:r>
      <w:r w:rsidR="006868ED" w:rsidRPr="00B47143">
        <w:rPr>
          <w:noProof/>
        </w:rPr>
        <w:t xml:space="preserve"> </w:t>
      </w:r>
      <w:r w:rsidR="00EA62F8" w:rsidRPr="00B47143">
        <w:rPr>
          <w:noProof/>
        </w:rPr>
        <w:t>(See McKenzie, Metcalfe, &amp; Murray, 2018)</w:t>
      </w:r>
      <w:r w:rsidR="00D93986" w:rsidRPr="00B47143">
        <w:rPr>
          <w:noProof/>
        </w:rPr>
        <w:t>.</w:t>
      </w:r>
      <w:r w:rsidR="00EA62F8" w:rsidRPr="00B47143">
        <w:rPr>
          <w:noProof/>
        </w:rPr>
        <w:t xml:space="preserve"> </w:t>
      </w:r>
      <w:r w:rsidR="004E6DDD" w:rsidRPr="00B47143">
        <w:t xml:space="preserve">Furthermore, people with an intellectual disability form a heterogeneous group who vary widely in their cognitive and adaptive functioning. Little is known about how these differences might impact both on the patterns of </w:t>
      </w:r>
      <w:r w:rsidR="004E6DDD" w:rsidRPr="00B47143">
        <w:rPr>
          <w:noProof/>
        </w:rPr>
        <w:t>normal</w:t>
      </w:r>
      <w:r w:rsidR="004E6DDD" w:rsidRPr="00B47143">
        <w:t xml:space="preserve"> aging or course and progression of dementia, making it difficult to disassociate changes due to </w:t>
      </w:r>
      <w:r w:rsidR="004E6DDD" w:rsidRPr="00B47143">
        <w:rPr>
          <w:noProof/>
        </w:rPr>
        <w:t>normal</w:t>
      </w:r>
      <w:r w:rsidR="004E6DDD" w:rsidRPr="00B47143">
        <w:t xml:space="preserve"> aging from those that may indicate the onset of dementia (Strydom et al., 2009; McKenzie et al., 2002)</w:t>
      </w:r>
      <w:r w:rsidR="002152CA" w:rsidRPr="00B47143">
        <w:t>.</w:t>
      </w:r>
    </w:p>
    <w:p w14:paraId="4FF36AA2" w14:textId="2A861A23" w:rsidR="00257734" w:rsidRPr="00B47143" w:rsidRDefault="000143C9" w:rsidP="00257734">
      <w:pPr>
        <w:spacing w:after="240" w:line="480" w:lineRule="auto"/>
      </w:pPr>
      <w:r w:rsidRPr="00B47143">
        <w:t>Proactive s</w:t>
      </w:r>
      <w:r w:rsidR="00257734" w:rsidRPr="00B47143">
        <w:t xml:space="preserve">creening for dementia is also </w:t>
      </w:r>
      <w:r w:rsidR="00257734" w:rsidRPr="00B47143">
        <w:rPr>
          <w:noProof/>
        </w:rPr>
        <w:t>complex because</w:t>
      </w:r>
      <w:r w:rsidR="00257734" w:rsidRPr="00B47143">
        <w:t xml:space="preserve"> it can be </w:t>
      </w:r>
      <w:r w:rsidR="00257734" w:rsidRPr="00B47143">
        <w:rPr>
          <w:noProof/>
        </w:rPr>
        <w:t>difficult</w:t>
      </w:r>
      <w:r w:rsidR="00257734" w:rsidRPr="00B47143">
        <w:t xml:space="preserve"> to distinguish </w:t>
      </w:r>
      <w:r w:rsidR="00257734" w:rsidRPr="00B47143">
        <w:rPr>
          <w:noProof/>
        </w:rPr>
        <w:t>behavioural</w:t>
      </w:r>
      <w:r w:rsidR="00257734" w:rsidRPr="00B47143">
        <w:t xml:space="preserve"> and cognitive changes that mimic those associated with dementia but are due to other factors, from those that are due to dementia. Such factors may include depression, sensory problems or hypothyroidism, or </w:t>
      </w:r>
      <w:r w:rsidR="00257734" w:rsidRPr="00B47143">
        <w:rPr>
          <w:noProof/>
        </w:rPr>
        <w:t>are</w:t>
      </w:r>
      <w:r w:rsidR="00257734" w:rsidRPr="00B47143">
        <w:t xml:space="preserve"> due to environmental or other issues, such as the effect of medication, bereavement, changes in routine or abuse (BPS DCP &amp; RCP, 2015; McKenzie et al., 2002; Paxton, McKenzie, &amp; Dickson, 2001). As such, it is </w:t>
      </w:r>
      <w:r w:rsidR="00257734" w:rsidRPr="00B47143">
        <w:rPr>
          <w:noProof/>
        </w:rPr>
        <w:t>important</w:t>
      </w:r>
      <w:r w:rsidR="00257734" w:rsidRPr="00B47143">
        <w:t xml:space="preserve"> that an assessment </w:t>
      </w:r>
      <w:r w:rsidR="00257734" w:rsidRPr="00B47143">
        <w:rPr>
          <w:noProof/>
        </w:rPr>
        <w:t>includes</w:t>
      </w:r>
      <w:r w:rsidR="00257734" w:rsidRPr="00B47143">
        <w:t xml:space="preserve"> multiple components.  Recommended minimum components (BPS DCP &amp; RCP, 2015; Turk et al., 2001) include: </w:t>
      </w:r>
    </w:p>
    <w:p w14:paraId="484EA5FD" w14:textId="77777777" w:rsidR="00257734" w:rsidRPr="00B47143" w:rsidRDefault="00257734" w:rsidP="00257734">
      <w:pPr>
        <w:pStyle w:val="ListParagraph"/>
        <w:numPr>
          <w:ilvl w:val="0"/>
          <w:numId w:val="3"/>
        </w:numPr>
        <w:spacing w:after="240" w:line="480" w:lineRule="auto"/>
      </w:pPr>
      <w:r w:rsidRPr="00B47143">
        <w:t>a check of the person’s physical health</w:t>
      </w:r>
    </w:p>
    <w:p w14:paraId="0C42AC49" w14:textId="77777777" w:rsidR="00257734" w:rsidRPr="00B47143" w:rsidRDefault="00257734" w:rsidP="00257734">
      <w:pPr>
        <w:pStyle w:val="ListParagraph"/>
        <w:numPr>
          <w:ilvl w:val="0"/>
          <w:numId w:val="3"/>
        </w:numPr>
        <w:spacing w:after="240" w:line="480" w:lineRule="auto"/>
      </w:pPr>
      <w:r w:rsidRPr="00B47143">
        <w:t>a review of past, recent and current life events</w:t>
      </w:r>
    </w:p>
    <w:p w14:paraId="74D82A08" w14:textId="77777777" w:rsidR="00257734" w:rsidRPr="00B47143" w:rsidRDefault="00257734" w:rsidP="00257734">
      <w:pPr>
        <w:pStyle w:val="ListParagraph"/>
        <w:numPr>
          <w:ilvl w:val="0"/>
          <w:numId w:val="3"/>
        </w:numPr>
        <w:spacing w:after="240" w:line="480" w:lineRule="auto"/>
      </w:pPr>
      <w:r w:rsidRPr="00B47143">
        <w:t xml:space="preserve">exploration of any </w:t>
      </w:r>
      <w:r w:rsidRPr="00B47143">
        <w:rPr>
          <w:noProof/>
        </w:rPr>
        <w:t>negative</w:t>
      </w:r>
      <w:r w:rsidRPr="00B47143">
        <w:t xml:space="preserve"> changes in the person’s adaptive functioning, </w:t>
      </w:r>
      <w:r w:rsidRPr="00B47143">
        <w:rPr>
          <w:noProof/>
        </w:rPr>
        <w:t>behaviour</w:t>
      </w:r>
      <w:r w:rsidRPr="00B47143">
        <w:t xml:space="preserve">, memory, orientation, mental state and mood, using both interview and objective assessments where appropriate </w:t>
      </w:r>
    </w:p>
    <w:p w14:paraId="7D978EB9" w14:textId="7BFFD308" w:rsidR="00D93986" w:rsidRPr="00B47143" w:rsidRDefault="00257734" w:rsidP="00AD26EB">
      <w:pPr>
        <w:pStyle w:val="ListParagraph"/>
        <w:numPr>
          <w:ilvl w:val="0"/>
          <w:numId w:val="3"/>
        </w:numPr>
        <w:spacing w:after="240" w:line="480" w:lineRule="auto"/>
      </w:pPr>
      <w:r w:rsidRPr="00B47143">
        <w:t xml:space="preserve">assessment of cognitive and adaptive skills </w:t>
      </w:r>
    </w:p>
    <w:p w14:paraId="3B829FA1" w14:textId="6987C538" w:rsidR="007078D5" w:rsidRPr="00B47143" w:rsidRDefault="004E69E1" w:rsidP="00861BCE">
      <w:pPr>
        <w:spacing w:after="240" w:line="480" w:lineRule="auto"/>
      </w:pPr>
      <w:r w:rsidRPr="00B47143">
        <w:t>In the context outlined above, this</w:t>
      </w:r>
      <w:r w:rsidR="006D68FE" w:rsidRPr="00B47143">
        <w:t xml:space="preserve"> </w:t>
      </w:r>
      <w:r w:rsidR="007078D5" w:rsidRPr="00B47143">
        <w:t>research aimed to</w:t>
      </w:r>
      <w:r w:rsidR="006D68FE" w:rsidRPr="00B47143">
        <w:t xml:space="preserve"> </w:t>
      </w:r>
      <w:r w:rsidR="007078D5" w:rsidRPr="00B47143">
        <w:t xml:space="preserve">identify current national provision by health services in Scotland </w:t>
      </w:r>
      <w:r w:rsidR="007078D5" w:rsidRPr="00B47143">
        <w:rPr>
          <w:noProof/>
        </w:rPr>
        <w:t>in relation to</w:t>
      </w:r>
      <w:r w:rsidR="007078D5" w:rsidRPr="00B47143">
        <w:t xml:space="preserve"> proactive screening</w:t>
      </w:r>
      <w:r w:rsidR="00DE17F8" w:rsidRPr="00B47143">
        <w:t xml:space="preserve"> and </w:t>
      </w:r>
      <w:r w:rsidR="00046F52" w:rsidRPr="00B47143">
        <w:t xml:space="preserve">reactive </w:t>
      </w:r>
      <w:r w:rsidR="007078D5" w:rsidRPr="00B47143">
        <w:t xml:space="preserve">assessment for people </w:t>
      </w:r>
      <w:r w:rsidR="00B15FF8" w:rsidRPr="00B47143">
        <w:t xml:space="preserve">with an intellectual disability </w:t>
      </w:r>
      <w:r w:rsidR="007078D5" w:rsidRPr="00B47143">
        <w:t xml:space="preserve">who </w:t>
      </w:r>
      <w:r w:rsidR="007078D5" w:rsidRPr="00B47143">
        <w:rPr>
          <w:noProof/>
        </w:rPr>
        <w:t>have,</w:t>
      </w:r>
      <w:r w:rsidR="007078D5" w:rsidRPr="00B47143">
        <w:t xml:space="preserve"> or are at risk of developing, dementia.  </w:t>
      </w:r>
      <w:r w:rsidR="00BC74D4" w:rsidRPr="00B47143">
        <w:rPr>
          <w:noProof/>
        </w:rPr>
        <w:t>This</w:t>
      </w:r>
      <w:r w:rsidR="00BC74D4" w:rsidRPr="00B47143">
        <w:t xml:space="preserve"> was </w:t>
      </w:r>
      <w:r w:rsidR="00BC74D4" w:rsidRPr="00B47143">
        <w:rPr>
          <w:noProof/>
        </w:rPr>
        <w:t>to</w:t>
      </w:r>
      <w:r w:rsidR="00BC74D4" w:rsidRPr="00B47143">
        <w:t xml:space="preserve"> help inform the strategic planning, development </w:t>
      </w:r>
      <w:r w:rsidR="00BC74D4" w:rsidRPr="00B47143">
        <w:rPr>
          <w:noProof/>
        </w:rPr>
        <w:t>and</w:t>
      </w:r>
      <w:r w:rsidR="00BC74D4" w:rsidRPr="00B47143">
        <w:t xml:space="preserve"> delivery of </w:t>
      </w:r>
      <w:r w:rsidR="00BC74D4" w:rsidRPr="00B47143">
        <w:rPr>
          <w:noProof/>
        </w:rPr>
        <w:t>good</w:t>
      </w:r>
      <w:r w:rsidR="00BC74D4" w:rsidRPr="00B47143">
        <w:t xml:space="preserve"> quality services for individuals with an intellectual disability and dementia, their families and carers. </w:t>
      </w:r>
    </w:p>
    <w:p w14:paraId="6C773AA2" w14:textId="4896C71D" w:rsidR="00D85336" w:rsidRPr="00B47143" w:rsidRDefault="00D85336" w:rsidP="00AD26EB">
      <w:pPr>
        <w:spacing w:after="240" w:line="480" w:lineRule="auto"/>
        <w:jc w:val="center"/>
        <w:rPr>
          <w:b/>
        </w:rPr>
      </w:pPr>
      <w:r w:rsidRPr="00B47143">
        <w:rPr>
          <w:b/>
        </w:rPr>
        <w:t>Method</w:t>
      </w:r>
    </w:p>
    <w:p w14:paraId="5B6176EE" w14:textId="01A5C8BE" w:rsidR="00D85336" w:rsidRPr="00B47143" w:rsidRDefault="00D85336" w:rsidP="00861BCE">
      <w:pPr>
        <w:spacing w:after="240" w:line="480" w:lineRule="auto"/>
        <w:rPr>
          <w:b/>
        </w:rPr>
      </w:pPr>
      <w:r w:rsidRPr="00B47143">
        <w:rPr>
          <w:b/>
        </w:rPr>
        <w:t xml:space="preserve">Design and ethical approval </w:t>
      </w:r>
    </w:p>
    <w:p w14:paraId="150A7B0B" w14:textId="6C2AC6DF" w:rsidR="004E69E1" w:rsidRPr="00B47143" w:rsidRDefault="00D85336" w:rsidP="00AD26EB">
      <w:pPr>
        <w:spacing w:after="240" w:line="480" w:lineRule="auto"/>
      </w:pPr>
      <w:r w:rsidRPr="00B47143">
        <w:t>Ethical approval for the project</w:t>
      </w:r>
      <w:r w:rsidR="00F96A6E" w:rsidRPr="00B47143">
        <w:t xml:space="preserve">, which was conducted in 2017, </w:t>
      </w:r>
      <w:r w:rsidRPr="00B47143">
        <w:rPr>
          <w:noProof/>
        </w:rPr>
        <w:t>was provided</w:t>
      </w:r>
      <w:r w:rsidRPr="00B47143">
        <w:t xml:space="preserve"> by the first author’s educational establishment. The research had an observational design and</w:t>
      </w:r>
      <w:r w:rsidRPr="00B47143">
        <w:rPr>
          <w:b/>
        </w:rPr>
        <w:t xml:space="preserve"> </w:t>
      </w:r>
      <w:r w:rsidR="004E69E1" w:rsidRPr="00B47143">
        <w:t xml:space="preserve">information </w:t>
      </w:r>
      <w:r w:rsidRPr="00B47143">
        <w:t xml:space="preserve">was gathered </w:t>
      </w:r>
      <w:r w:rsidR="004E69E1" w:rsidRPr="00B47143">
        <w:t xml:space="preserve">via an online survey </w:t>
      </w:r>
      <w:r w:rsidR="008840F8" w:rsidRPr="00B47143">
        <w:t>of practitioners working across Scotland regarding</w:t>
      </w:r>
      <w:r w:rsidR="004E69E1" w:rsidRPr="00B47143">
        <w:t xml:space="preserve"> proactive screening and reactive assessment for people with an intellectual disability who had</w:t>
      </w:r>
      <w:r w:rsidR="002172F4" w:rsidRPr="00B47143">
        <w:t>,</w:t>
      </w:r>
      <w:r w:rsidR="004E69E1" w:rsidRPr="00B47143">
        <w:t xml:space="preserve"> or were at risk of developing</w:t>
      </w:r>
      <w:r w:rsidR="002172F4" w:rsidRPr="00B47143">
        <w:t>,</w:t>
      </w:r>
      <w:r w:rsidR="004E69E1" w:rsidRPr="00B47143">
        <w:t xml:space="preserve"> dementia. </w:t>
      </w:r>
      <w:r w:rsidR="00A32207" w:rsidRPr="00B47143">
        <w:t xml:space="preserve">We also gathered information on practitioner views about service provision and </w:t>
      </w:r>
      <w:r w:rsidR="001641C4" w:rsidRPr="00B47143">
        <w:t xml:space="preserve">asked for </w:t>
      </w:r>
      <w:r w:rsidR="00A32207" w:rsidRPr="00B47143">
        <w:t xml:space="preserve">suggested areas for improvement. </w:t>
      </w:r>
      <w:r w:rsidRPr="00B47143">
        <w:t>We use the term ‘intellectual disability’ throughout except where referring to services or professionals, such as community learning disability nurses.</w:t>
      </w:r>
    </w:p>
    <w:p w14:paraId="0DF26B11" w14:textId="06512BD8" w:rsidR="00D85336" w:rsidRPr="00B47143" w:rsidRDefault="00D85336" w:rsidP="00861BCE">
      <w:pPr>
        <w:spacing w:after="240" w:line="480" w:lineRule="auto"/>
        <w:rPr>
          <w:b/>
        </w:rPr>
      </w:pPr>
      <w:r w:rsidRPr="00B47143">
        <w:rPr>
          <w:b/>
        </w:rPr>
        <w:t>Recruitment</w:t>
      </w:r>
    </w:p>
    <w:p w14:paraId="730BA2C8" w14:textId="03881EFE" w:rsidR="00D85336" w:rsidRPr="00B47143" w:rsidRDefault="009339D9" w:rsidP="00AD26EB">
      <w:pPr>
        <w:spacing w:after="240" w:line="480" w:lineRule="auto"/>
      </w:pPr>
      <w:r w:rsidRPr="00B47143">
        <w:rPr>
          <w:noProof/>
        </w:rPr>
        <w:t xml:space="preserve">As clinical psychologists in Scotland are usually the profession  involved in assessing cognitive and adaptive functioning </w:t>
      </w:r>
      <w:r w:rsidR="00052F5C" w:rsidRPr="00B47143">
        <w:rPr>
          <w:noProof/>
        </w:rPr>
        <w:t>of individuals with an intellectual disability who have, or are at risk of developing dementia, recruitment to the study was carried out via t</w:t>
      </w:r>
      <w:r w:rsidR="00D85336" w:rsidRPr="00B47143">
        <w:rPr>
          <w:noProof/>
        </w:rPr>
        <w:t xml:space="preserve">he heads of clinical psychology </w:t>
      </w:r>
      <w:r w:rsidR="001641C4" w:rsidRPr="00B47143">
        <w:rPr>
          <w:noProof/>
        </w:rPr>
        <w:t>i</w:t>
      </w:r>
      <w:r w:rsidR="00D85336" w:rsidRPr="00B47143">
        <w:rPr>
          <w:noProof/>
        </w:rPr>
        <w:t>ntellectual disability services</w:t>
      </w:r>
      <w:r w:rsidR="00052F5C" w:rsidRPr="00B47143">
        <w:rPr>
          <w:noProof/>
        </w:rPr>
        <w:t xml:space="preserve"> in Scotland. These heads</w:t>
      </w:r>
      <w:r w:rsidR="00B17F3B" w:rsidRPr="00B47143">
        <w:rPr>
          <w:noProof/>
        </w:rPr>
        <w:t>, who</w:t>
      </w:r>
      <w:r w:rsidR="001641C4" w:rsidRPr="00B47143">
        <w:rPr>
          <w:noProof/>
        </w:rPr>
        <w:t xml:space="preserve"> </w:t>
      </w:r>
      <w:r w:rsidR="00B17F3B" w:rsidRPr="00B47143">
        <w:rPr>
          <w:noProof/>
        </w:rPr>
        <w:t xml:space="preserve">led services which covered </w:t>
      </w:r>
      <w:r w:rsidR="00D85336" w:rsidRPr="00B47143">
        <w:rPr>
          <w:noProof/>
        </w:rPr>
        <w:t>all of the NHS Health Board areas in Scotland</w:t>
      </w:r>
      <w:r w:rsidR="00B17F3B" w:rsidRPr="00B47143">
        <w:rPr>
          <w:noProof/>
        </w:rPr>
        <w:t>,</w:t>
      </w:r>
      <w:r w:rsidR="00D85336" w:rsidRPr="00B47143">
        <w:rPr>
          <w:noProof/>
        </w:rPr>
        <w:t xml:space="preserve"> were contacted via email</w:t>
      </w:r>
      <w:r w:rsidR="00916C95" w:rsidRPr="00B47143">
        <w:rPr>
          <w:noProof/>
        </w:rPr>
        <w:t>. They were</w:t>
      </w:r>
      <w:r w:rsidR="00D85336" w:rsidRPr="00B47143">
        <w:rPr>
          <w:noProof/>
        </w:rPr>
        <w:t xml:space="preserve"> provided with information about the study and asked to forward the information and link to the online survey to the most appropriate </w:t>
      </w:r>
      <w:r w:rsidR="00052F5C" w:rsidRPr="00B47143">
        <w:rPr>
          <w:noProof/>
        </w:rPr>
        <w:t xml:space="preserve">clinical psychology </w:t>
      </w:r>
      <w:r w:rsidR="00D85336" w:rsidRPr="00B47143">
        <w:rPr>
          <w:noProof/>
        </w:rPr>
        <w:t>staff member(s) who provided services to people with an intellectual disability and dementia.</w:t>
      </w:r>
      <w:r w:rsidR="002D102C" w:rsidRPr="00B47143">
        <w:t xml:space="preserve"> The</w:t>
      </w:r>
      <w:r w:rsidR="00052F5C" w:rsidRPr="00B47143">
        <w:t>se</w:t>
      </w:r>
      <w:r w:rsidR="002D102C" w:rsidRPr="00B47143">
        <w:t xml:space="preserve"> staff members </w:t>
      </w:r>
      <w:r w:rsidR="00052F5C" w:rsidRPr="00B47143">
        <w:t xml:space="preserve">in turn were asked to </w:t>
      </w:r>
      <w:r w:rsidR="002D102C" w:rsidRPr="00B47143">
        <w:t xml:space="preserve">complete the online survey in respect of their service, in conjunction with other team members </w:t>
      </w:r>
      <w:r w:rsidR="003867A2" w:rsidRPr="00B47143">
        <w:t>where appropriate.</w:t>
      </w:r>
      <w:r w:rsidR="00052F5C" w:rsidRPr="00B47143">
        <w:t xml:space="preserve"> </w:t>
      </w:r>
      <w:r w:rsidR="00B17F3B" w:rsidRPr="00B47143">
        <w:t>Staff from a</w:t>
      </w:r>
      <w:r w:rsidR="009554EA" w:rsidRPr="00B47143">
        <w:t>ll of the health board areas covered by the service heads who were contacted responded.</w:t>
      </w:r>
    </w:p>
    <w:p w14:paraId="15FCD35F" w14:textId="77777777" w:rsidR="00052F5C" w:rsidRPr="00B47143" w:rsidRDefault="00052F5C" w:rsidP="00052F5C">
      <w:pPr>
        <w:spacing w:after="240" w:line="480" w:lineRule="auto"/>
        <w:rPr>
          <w:b/>
        </w:rPr>
      </w:pPr>
      <w:r w:rsidRPr="00B47143">
        <w:rPr>
          <w:b/>
        </w:rPr>
        <w:t>Participants</w:t>
      </w:r>
    </w:p>
    <w:p w14:paraId="08433960" w14:textId="324EAB49" w:rsidR="00052F5C" w:rsidRPr="00B47143" w:rsidRDefault="00052F5C" w:rsidP="00AD26EB">
      <w:pPr>
        <w:spacing w:after="240" w:line="480" w:lineRule="auto"/>
      </w:pPr>
      <w:bookmarkStart w:id="4" w:name="_Hlk503854470"/>
      <w:r w:rsidRPr="00B47143">
        <w:t xml:space="preserve">Responses were received from staff from 12 intellectual disability services. As per the recruitment process, while 12 individual responses were received, this represented a service in Scotland providing </w:t>
      </w:r>
      <w:r w:rsidR="000143C9" w:rsidRPr="00B47143">
        <w:t xml:space="preserve">proactive </w:t>
      </w:r>
      <w:r w:rsidRPr="00B47143">
        <w:t xml:space="preserve">screening and </w:t>
      </w:r>
      <w:r w:rsidR="000143C9" w:rsidRPr="00B47143">
        <w:t xml:space="preserve">reactive </w:t>
      </w:r>
      <w:r w:rsidRPr="00B47143">
        <w:t xml:space="preserve">assessment for people with an intellectual disability with or at risk of developing dementia.  There are 14 health board areas in Scotland, but some of the smaller areas receive some more specialist services from other </w:t>
      </w:r>
      <w:r w:rsidR="00010A64" w:rsidRPr="00B47143">
        <w:t xml:space="preserve">health board </w:t>
      </w:r>
      <w:r w:rsidRPr="00B47143">
        <w:t xml:space="preserve">areas. </w:t>
      </w:r>
      <w:r w:rsidR="00010A64" w:rsidRPr="00B47143">
        <w:t xml:space="preserve">The 12 responses </w:t>
      </w:r>
      <w:r w:rsidRPr="00B47143">
        <w:t>represent</w:t>
      </w:r>
      <w:r w:rsidR="00010A64" w:rsidRPr="00B47143">
        <w:t>ed</w:t>
      </w:r>
      <w:r w:rsidRPr="00B47143">
        <w:t xml:space="preserve"> 11 </w:t>
      </w:r>
      <w:r w:rsidR="00010A64" w:rsidRPr="00B47143">
        <w:t xml:space="preserve">main </w:t>
      </w:r>
      <w:r w:rsidRPr="00B47143">
        <w:t>health board areas in Scotland</w:t>
      </w:r>
      <w:r w:rsidR="00010A64" w:rsidRPr="00B47143">
        <w:t xml:space="preserve"> that provided the services of interest to the study</w:t>
      </w:r>
      <w:r w:rsidRPr="00B47143">
        <w:t xml:space="preserve">. </w:t>
      </w:r>
      <w:bookmarkEnd w:id="4"/>
      <w:r w:rsidRPr="00B47143">
        <w:t xml:space="preserve">Information was primarily provided by clinical psychologists, often in conjunction with other team members, who were working in the same services. </w:t>
      </w:r>
    </w:p>
    <w:p w14:paraId="5C74A124" w14:textId="0897FB55" w:rsidR="003867A2" w:rsidRPr="00B47143" w:rsidRDefault="003867A2" w:rsidP="00AD26EB">
      <w:pPr>
        <w:spacing w:after="240" w:line="480" w:lineRule="auto"/>
        <w:jc w:val="center"/>
        <w:rPr>
          <w:b/>
        </w:rPr>
      </w:pPr>
      <w:r w:rsidRPr="00B47143">
        <w:rPr>
          <w:b/>
        </w:rPr>
        <w:t>Results and discussion</w:t>
      </w:r>
    </w:p>
    <w:p w14:paraId="3854EBBC" w14:textId="597D258B" w:rsidR="0094146B" w:rsidRPr="00B47143" w:rsidRDefault="008F4C65" w:rsidP="00AD26EB">
      <w:pPr>
        <w:spacing w:after="240" w:line="480" w:lineRule="auto"/>
      </w:pPr>
      <w:r w:rsidRPr="00B47143">
        <w:t>Twelve</w:t>
      </w:r>
      <w:r w:rsidR="003867A2" w:rsidRPr="00B47143">
        <w:t xml:space="preserve"> services in Scotland </w:t>
      </w:r>
      <w:r w:rsidRPr="00B47143">
        <w:t xml:space="preserve">who provided the services of interest to the study </w:t>
      </w:r>
      <w:r w:rsidR="003867A2" w:rsidRPr="00B47143">
        <w:t>participated</w:t>
      </w:r>
      <w:r w:rsidRPr="00B47143">
        <w:t>.</w:t>
      </w:r>
      <w:r w:rsidR="003867A2" w:rsidRPr="00B47143">
        <w:t xml:space="preserve"> </w:t>
      </w:r>
      <w:r w:rsidRPr="00B47143">
        <w:t xml:space="preserve">The 12 responses represented 11 main health board areas in Scotland, </w:t>
      </w:r>
      <w:r w:rsidR="003867A2" w:rsidRPr="00B47143">
        <w:t xml:space="preserve">giving a national picture of service provision. </w:t>
      </w:r>
      <w:r w:rsidR="003C1673" w:rsidRPr="00B47143">
        <w:t xml:space="preserve">The </w:t>
      </w:r>
      <w:r w:rsidR="003867A2" w:rsidRPr="00B47143">
        <w:t xml:space="preserve">results are presented as descriptive data rather than being </w:t>
      </w:r>
      <w:r w:rsidR="003867A2" w:rsidRPr="00B47143">
        <w:rPr>
          <w:noProof/>
        </w:rPr>
        <w:t>analysed</w:t>
      </w:r>
      <w:r w:rsidR="003867A2" w:rsidRPr="00B47143">
        <w:t xml:space="preserve"> statistically. </w:t>
      </w:r>
      <w:r w:rsidR="00F64F1F" w:rsidRPr="00B47143">
        <w:t xml:space="preserve">As the total number of services who participated was 12, </w:t>
      </w:r>
      <w:r w:rsidR="000E52D2" w:rsidRPr="00B47143">
        <w:t xml:space="preserve">only </w:t>
      </w:r>
      <w:r w:rsidR="00F64F1F" w:rsidRPr="00B47143">
        <w:t>numbers</w:t>
      </w:r>
      <w:r w:rsidR="008967F5" w:rsidRPr="00B47143">
        <w:t>,</w:t>
      </w:r>
      <w:r w:rsidR="00F64F1F" w:rsidRPr="00B47143">
        <w:t xml:space="preserve"> </w:t>
      </w:r>
      <w:r w:rsidR="000E52D2" w:rsidRPr="00B47143">
        <w:t xml:space="preserve">and not </w:t>
      </w:r>
      <w:r w:rsidR="00F64F1F" w:rsidRPr="00B47143">
        <w:t>percentages</w:t>
      </w:r>
      <w:r w:rsidR="008967F5" w:rsidRPr="00B47143">
        <w:t>,</w:t>
      </w:r>
      <w:r w:rsidR="00F64F1F" w:rsidRPr="00B47143">
        <w:t xml:space="preserve"> </w:t>
      </w:r>
      <w:r w:rsidR="00F64F1F" w:rsidRPr="00B47143">
        <w:rPr>
          <w:noProof/>
        </w:rPr>
        <w:t>are provided</w:t>
      </w:r>
      <w:r w:rsidR="00F64F1F" w:rsidRPr="00B47143">
        <w:t xml:space="preserve"> in the tables below. </w:t>
      </w:r>
    </w:p>
    <w:p w14:paraId="2F3F5755" w14:textId="7E5A031F" w:rsidR="008B1D69" w:rsidRPr="00B47143" w:rsidRDefault="00671EDB" w:rsidP="00861BCE">
      <w:pPr>
        <w:spacing w:after="240" w:line="480" w:lineRule="auto"/>
        <w:rPr>
          <w:i/>
        </w:rPr>
      </w:pPr>
      <w:r w:rsidRPr="00B47143">
        <w:rPr>
          <w:b/>
        </w:rPr>
        <w:t>Overview of service provision</w:t>
      </w:r>
    </w:p>
    <w:p w14:paraId="3BFB96FD" w14:textId="203F4EFB" w:rsidR="00CB4479" w:rsidRPr="00B47143" w:rsidRDefault="00CB4479" w:rsidP="00861BCE">
      <w:pPr>
        <w:spacing w:after="240" w:line="480" w:lineRule="auto"/>
        <w:rPr>
          <w:i/>
        </w:rPr>
      </w:pPr>
      <w:r w:rsidRPr="00B47143">
        <w:rPr>
          <w:i/>
        </w:rPr>
        <w:t>Proactive screening and reactive assessment</w:t>
      </w:r>
    </w:p>
    <w:p w14:paraId="684EF245" w14:textId="3C4881E5" w:rsidR="00335EA7" w:rsidRPr="00B47143" w:rsidRDefault="009D7282" w:rsidP="00AD26EB">
      <w:pPr>
        <w:spacing w:after="240" w:line="480" w:lineRule="auto"/>
      </w:pPr>
      <w:r w:rsidRPr="00B47143">
        <w:t xml:space="preserve">All </w:t>
      </w:r>
      <w:r w:rsidR="00475575" w:rsidRPr="00B47143">
        <w:t xml:space="preserve">of the participating </w:t>
      </w:r>
      <w:r w:rsidRPr="00B47143">
        <w:t>areas provided</w:t>
      </w:r>
      <w:r w:rsidR="002172F4" w:rsidRPr="00B47143">
        <w:t xml:space="preserve"> services for people with an intellectual d</w:t>
      </w:r>
      <w:r w:rsidRPr="00B47143">
        <w:t>isability who have</w:t>
      </w:r>
      <w:r w:rsidR="002172F4" w:rsidRPr="00B47143">
        <w:t>,</w:t>
      </w:r>
      <w:r w:rsidRPr="00B47143">
        <w:t xml:space="preserve"> or are at risk of deve</w:t>
      </w:r>
      <w:r w:rsidR="002F7C24" w:rsidRPr="00B47143">
        <w:t>loping</w:t>
      </w:r>
      <w:r w:rsidR="002172F4" w:rsidRPr="00B47143">
        <w:t>,</w:t>
      </w:r>
      <w:r w:rsidR="002F7C24" w:rsidRPr="00B47143">
        <w:t xml:space="preserve"> dementia. Seven services</w:t>
      </w:r>
      <w:r w:rsidR="006D68FE" w:rsidRPr="00B47143">
        <w:t xml:space="preserve"> </w:t>
      </w:r>
      <w:r w:rsidRPr="00B47143">
        <w:t xml:space="preserve">provided both </w:t>
      </w:r>
      <w:r w:rsidR="00C91C26" w:rsidRPr="00B47143">
        <w:t xml:space="preserve">proactive </w:t>
      </w:r>
      <w:r w:rsidR="007B49CB" w:rsidRPr="00B47143">
        <w:t xml:space="preserve">screening </w:t>
      </w:r>
      <w:r w:rsidRPr="00B47143">
        <w:t xml:space="preserve">and </w:t>
      </w:r>
      <w:r w:rsidR="00C91C26" w:rsidRPr="00B47143">
        <w:t xml:space="preserve">reactive </w:t>
      </w:r>
      <w:r w:rsidR="007B49CB" w:rsidRPr="00B47143">
        <w:t xml:space="preserve">assessment </w:t>
      </w:r>
      <w:r w:rsidRPr="00B47143">
        <w:t xml:space="preserve">to people with Down </w:t>
      </w:r>
      <w:r w:rsidR="000960DA" w:rsidRPr="00B47143">
        <w:t>s</w:t>
      </w:r>
      <w:r w:rsidRPr="00B47143">
        <w:t xml:space="preserve">yndrome, with the remaining areas providing reactive </w:t>
      </w:r>
      <w:r w:rsidR="007B49CB" w:rsidRPr="00B47143">
        <w:t xml:space="preserve">assessment </w:t>
      </w:r>
      <w:r w:rsidR="006D68FE" w:rsidRPr="00B47143">
        <w:t>only.  Eleven services</w:t>
      </w:r>
      <w:r w:rsidRPr="00B47143">
        <w:t xml:space="preserve"> provided </w:t>
      </w:r>
      <w:r w:rsidR="00FF6FD4" w:rsidRPr="00B47143">
        <w:rPr>
          <w:noProof/>
        </w:rPr>
        <w:t xml:space="preserve">a </w:t>
      </w:r>
      <w:r w:rsidRPr="00B47143">
        <w:rPr>
          <w:noProof/>
        </w:rPr>
        <w:t>reactive assessment</w:t>
      </w:r>
      <w:r w:rsidRPr="00B47143">
        <w:t xml:space="preserve"> to individ</w:t>
      </w:r>
      <w:r w:rsidR="002172F4" w:rsidRPr="00B47143">
        <w:t xml:space="preserve">uals without Down </w:t>
      </w:r>
      <w:r w:rsidR="000960DA" w:rsidRPr="00B47143">
        <w:t>s</w:t>
      </w:r>
      <w:r w:rsidR="002172F4" w:rsidRPr="00B47143">
        <w:t>yndrome</w:t>
      </w:r>
      <w:r w:rsidR="00D04F82" w:rsidRPr="00B47143">
        <w:t>,</w:t>
      </w:r>
      <w:r w:rsidR="002172F4" w:rsidRPr="00B47143">
        <w:t xml:space="preserve"> </w:t>
      </w:r>
      <w:r w:rsidR="002F7C24" w:rsidRPr="00B47143">
        <w:t>while one area p</w:t>
      </w:r>
      <w:r w:rsidRPr="00B47143">
        <w:t xml:space="preserve">rovided both reactive and proactive input. </w:t>
      </w:r>
      <w:r w:rsidR="00671EDB" w:rsidRPr="00B47143">
        <w:t xml:space="preserve">Seven services had been providing reactive input for at least </w:t>
      </w:r>
      <w:r w:rsidR="00FF6FD4" w:rsidRPr="00B47143">
        <w:rPr>
          <w:noProof/>
        </w:rPr>
        <w:t>ten</w:t>
      </w:r>
      <w:r w:rsidR="00FF6FD4" w:rsidRPr="00B47143">
        <w:t xml:space="preserve"> </w:t>
      </w:r>
      <w:r w:rsidR="00671EDB" w:rsidRPr="00B47143">
        <w:t>years, one for eight years</w:t>
      </w:r>
      <w:r w:rsidR="00D04F82" w:rsidRPr="00B47143">
        <w:t>,</w:t>
      </w:r>
      <w:r w:rsidR="00671EDB" w:rsidRPr="00B47143">
        <w:t xml:space="preserve"> </w:t>
      </w:r>
      <w:r w:rsidR="00D04F82" w:rsidRPr="00B47143">
        <w:t>while</w:t>
      </w:r>
      <w:r w:rsidR="00671EDB" w:rsidRPr="00B47143">
        <w:t xml:space="preserve"> the remaining </w:t>
      </w:r>
      <w:r w:rsidR="00843A03" w:rsidRPr="00B47143">
        <w:t xml:space="preserve">services </w:t>
      </w:r>
      <w:r w:rsidR="00671EDB" w:rsidRPr="00B47143">
        <w:t>were unsure. Proactive screening pathways had been in place for a shorter period, with six services noting they began from 2004 onwards</w:t>
      </w:r>
      <w:r w:rsidR="00D04F82" w:rsidRPr="00B47143">
        <w:t>. T</w:t>
      </w:r>
      <w:r w:rsidR="00671EDB" w:rsidRPr="00B47143">
        <w:t xml:space="preserve">he remaining services were unsure of when the service had first begun. </w:t>
      </w:r>
      <w:r w:rsidR="00C3744E" w:rsidRPr="00B47143">
        <w:t xml:space="preserve"> The typical age at which proactive screening began ranged from 18 to 40 years (mean = 32.6, SD = 8.1). </w:t>
      </w:r>
      <w:r w:rsidR="006D68FE" w:rsidRPr="00B47143">
        <w:t xml:space="preserve">Nine services </w:t>
      </w:r>
      <w:r w:rsidR="007B49CB" w:rsidRPr="00B47143">
        <w:t xml:space="preserve">offered intervention once a diagnosis of dementia </w:t>
      </w:r>
      <w:r w:rsidR="007B49CB" w:rsidRPr="00B47143">
        <w:rPr>
          <w:noProof/>
        </w:rPr>
        <w:t>was given</w:t>
      </w:r>
      <w:r w:rsidR="007B49CB" w:rsidRPr="00B47143">
        <w:t xml:space="preserve"> to the individual.</w:t>
      </w:r>
      <w:r w:rsidR="00335EA7" w:rsidRPr="00B47143">
        <w:t xml:space="preserve">  The </w:t>
      </w:r>
      <w:r w:rsidR="00671EDB" w:rsidRPr="00B47143">
        <w:t xml:space="preserve">mean estimated number of proactive </w:t>
      </w:r>
      <w:r w:rsidR="009B1ABE" w:rsidRPr="00B47143">
        <w:t xml:space="preserve">screens </w:t>
      </w:r>
      <w:r w:rsidR="00671EDB" w:rsidRPr="00B47143">
        <w:t xml:space="preserve">that had taken place in the past year </w:t>
      </w:r>
      <w:r w:rsidR="00335EA7" w:rsidRPr="00B47143">
        <w:t>was 30 (SD =23.4), with a range of 0-72 across the 12 services. The equivalent figures for reactive assessments were 21.6 (SD = 20.1) with a range of 1-64.</w:t>
      </w:r>
      <w:r w:rsidR="006154C8" w:rsidRPr="00B47143">
        <w:t xml:space="preserve"> </w:t>
      </w:r>
    </w:p>
    <w:p w14:paraId="3567B5E6" w14:textId="224F996D" w:rsidR="00A75790" w:rsidRPr="00B47143" w:rsidRDefault="00A75790" w:rsidP="00861BCE">
      <w:pPr>
        <w:spacing w:after="240" w:line="480" w:lineRule="auto"/>
        <w:rPr>
          <w:b/>
        </w:rPr>
      </w:pPr>
      <w:r w:rsidRPr="00B47143">
        <w:rPr>
          <w:b/>
        </w:rPr>
        <w:t xml:space="preserve">The </w:t>
      </w:r>
      <w:r w:rsidR="000143C9" w:rsidRPr="00B47143">
        <w:rPr>
          <w:b/>
        </w:rPr>
        <w:t xml:space="preserve">proactive </w:t>
      </w:r>
      <w:r w:rsidRPr="00B47143">
        <w:rPr>
          <w:b/>
        </w:rPr>
        <w:t xml:space="preserve">screening and </w:t>
      </w:r>
      <w:r w:rsidR="000143C9" w:rsidRPr="00B47143">
        <w:rPr>
          <w:b/>
        </w:rPr>
        <w:t xml:space="preserve">reactive </w:t>
      </w:r>
      <w:r w:rsidRPr="00B47143">
        <w:rPr>
          <w:b/>
        </w:rPr>
        <w:t>assessment process</w:t>
      </w:r>
      <w:r w:rsidR="000143C9" w:rsidRPr="00B47143">
        <w:rPr>
          <w:b/>
        </w:rPr>
        <w:t>es</w:t>
      </w:r>
    </w:p>
    <w:p w14:paraId="05C55FC2" w14:textId="7FF75B75" w:rsidR="0068652F" w:rsidRPr="00B47143" w:rsidRDefault="0068652F" w:rsidP="00861BCE">
      <w:pPr>
        <w:spacing w:after="240" w:line="480" w:lineRule="auto"/>
        <w:rPr>
          <w:i/>
        </w:rPr>
      </w:pPr>
      <w:r w:rsidRPr="00B47143">
        <w:rPr>
          <w:i/>
        </w:rPr>
        <w:t>General components of assessment</w:t>
      </w:r>
    </w:p>
    <w:p w14:paraId="75DF2B85" w14:textId="41E15E9E" w:rsidR="006A24AB" w:rsidRPr="00B47143" w:rsidRDefault="00A33D91" w:rsidP="006A24AB">
      <w:pPr>
        <w:spacing w:after="240" w:line="480" w:lineRule="auto"/>
      </w:pPr>
      <w:r w:rsidRPr="00B47143">
        <w:t xml:space="preserve">Table </w:t>
      </w:r>
      <w:r w:rsidR="006C6A46" w:rsidRPr="00B47143">
        <w:t>1</w:t>
      </w:r>
      <w:r w:rsidR="00A75790" w:rsidRPr="00B47143">
        <w:t xml:space="preserve"> shows the number of services including each element in proactive screening, reactive assessment or both.</w:t>
      </w:r>
      <w:r w:rsidR="006A24AB" w:rsidRPr="00B47143">
        <w:t xml:space="preserve"> The most common elements used </w:t>
      </w:r>
      <w:r w:rsidR="006A24AB" w:rsidRPr="00B47143">
        <w:rPr>
          <w:noProof/>
        </w:rPr>
        <w:t>across</w:t>
      </w:r>
      <w:r w:rsidR="006A24AB" w:rsidRPr="00B47143">
        <w:t xml:space="preserve"> both proactive screening and reactive assessment were conducting a health check</w:t>
      </w:r>
      <w:r w:rsidR="003C3BD1" w:rsidRPr="00B47143">
        <w:t>,</w:t>
      </w:r>
      <w:r w:rsidR="006A24AB" w:rsidRPr="00B47143">
        <w:t xml:space="preserve"> using a general dementia questionnaire and direct assessment </w:t>
      </w:r>
      <w:r w:rsidR="006A24AB" w:rsidRPr="00B47143">
        <w:rPr>
          <w:noProof/>
        </w:rPr>
        <w:t>with</w:t>
      </w:r>
      <w:r w:rsidR="006A24AB" w:rsidRPr="00B47143">
        <w:t xml:space="preserve"> the person. The most common elements in </w:t>
      </w:r>
      <w:r w:rsidR="006A24AB" w:rsidRPr="00B47143">
        <w:rPr>
          <w:noProof/>
        </w:rPr>
        <w:t>reactive assessment</w:t>
      </w:r>
      <w:r w:rsidR="006A24AB" w:rsidRPr="00B47143">
        <w:t xml:space="preserve"> were </w:t>
      </w:r>
      <w:r w:rsidR="006A24AB" w:rsidRPr="00B47143">
        <w:rPr>
          <w:noProof/>
        </w:rPr>
        <w:t>assessment</w:t>
      </w:r>
      <w:r w:rsidR="006A24AB" w:rsidRPr="00B47143">
        <w:t xml:space="preserve"> of daily living skills and gaining information from informants. Once initial assessment had occurred, individuals were typically reassessed between six months (four services) and 12 months (six services) later. The remaining two services noted that the assessment period varied according to the perceived needs of the person. </w:t>
      </w:r>
      <w:r w:rsidR="003B6A3E" w:rsidRPr="00B47143">
        <w:t xml:space="preserve"> Table 2 illustrates the frequency with which different professionals were typically involved in </w:t>
      </w:r>
      <w:r w:rsidR="00167163" w:rsidRPr="00B47143">
        <w:t xml:space="preserve">proactive </w:t>
      </w:r>
      <w:r w:rsidR="003B6A3E" w:rsidRPr="00B47143">
        <w:t xml:space="preserve">screening and </w:t>
      </w:r>
      <w:r w:rsidR="00167163" w:rsidRPr="00B47143">
        <w:t xml:space="preserve">reactive </w:t>
      </w:r>
      <w:r w:rsidR="003B6A3E" w:rsidRPr="00B47143">
        <w:t xml:space="preserve">assessment. </w:t>
      </w:r>
    </w:p>
    <w:p w14:paraId="2F61AF98" w14:textId="3ED655BF" w:rsidR="00A33D91" w:rsidRPr="00B47143" w:rsidRDefault="00A33D91" w:rsidP="00261346">
      <w:pPr>
        <w:spacing w:line="480" w:lineRule="auto"/>
        <w:rPr>
          <w:b/>
        </w:rPr>
      </w:pPr>
      <w:r w:rsidRPr="00B47143">
        <w:t xml:space="preserve">Table </w:t>
      </w:r>
      <w:r w:rsidR="006C6A46" w:rsidRPr="00B47143">
        <w:t>1</w:t>
      </w:r>
      <w:r w:rsidR="007A649A" w:rsidRPr="00B47143">
        <w:t>.</w:t>
      </w:r>
      <w:r w:rsidRPr="00B47143">
        <w:rPr>
          <w:b/>
        </w:rPr>
        <w:t xml:space="preserve"> </w:t>
      </w:r>
      <w:r w:rsidR="007A649A" w:rsidRPr="00B47143">
        <w:rPr>
          <w:i/>
        </w:rPr>
        <w:t>T</w:t>
      </w:r>
      <w:r w:rsidRPr="00B47143">
        <w:rPr>
          <w:i/>
        </w:rPr>
        <w:t>he number of services including each element in proactive screening, reactive assessment or both</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1276"/>
        <w:gridCol w:w="1422"/>
        <w:gridCol w:w="1271"/>
      </w:tblGrid>
      <w:tr w:rsidR="00B47143" w:rsidRPr="00B47143" w14:paraId="0F585885" w14:textId="77777777" w:rsidTr="001A5067">
        <w:tc>
          <w:tcPr>
            <w:tcW w:w="5240" w:type="dxa"/>
            <w:tcBorders>
              <w:top w:val="single" w:sz="4" w:space="0" w:color="auto"/>
              <w:bottom w:val="single" w:sz="4" w:space="0" w:color="auto"/>
            </w:tcBorders>
          </w:tcPr>
          <w:p w14:paraId="39E3CD0C" w14:textId="2ADD05B5" w:rsidR="00A75790" w:rsidRPr="00B47143" w:rsidRDefault="00A75790" w:rsidP="0033183A">
            <w:pPr>
              <w:spacing w:line="480" w:lineRule="auto"/>
              <w:rPr>
                <w:b/>
              </w:rPr>
            </w:pPr>
            <w:r w:rsidRPr="00B47143">
              <w:rPr>
                <w:b/>
              </w:rPr>
              <w:t xml:space="preserve">Element </w:t>
            </w:r>
          </w:p>
        </w:tc>
        <w:tc>
          <w:tcPr>
            <w:tcW w:w="1276" w:type="dxa"/>
            <w:tcBorders>
              <w:top w:val="single" w:sz="4" w:space="0" w:color="auto"/>
              <w:bottom w:val="single" w:sz="4" w:space="0" w:color="auto"/>
            </w:tcBorders>
          </w:tcPr>
          <w:p w14:paraId="733E1F1F" w14:textId="5CC79089" w:rsidR="00A75790" w:rsidRPr="00B47143" w:rsidRDefault="00A75790" w:rsidP="0033183A">
            <w:pPr>
              <w:spacing w:line="480" w:lineRule="auto"/>
              <w:jc w:val="center"/>
              <w:rPr>
                <w:b/>
              </w:rPr>
            </w:pPr>
            <w:r w:rsidRPr="00B47143">
              <w:rPr>
                <w:b/>
              </w:rPr>
              <w:t>Proactive</w:t>
            </w:r>
            <w:r w:rsidR="004D44CD" w:rsidRPr="00B47143">
              <w:rPr>
                <w:b/>
              </w:rPr>
              <w:t xml:space="preserve"> only</w:t>
            </w:r>
          </w:p>
        </w:tc>
        <w:tc>
          <w:tcPr>
            <w:tcW w:w="1422" w:type="dxa"/>
            <w:tcBorders>
              <w:top w:val="single" w:sz="4" w:space="0" w:color="auto"/>
              <w:bottom w:val="single" w:sz="4" w:space="0" w:color="auto"/>
            </w:tcBorders>
          </w:tcPr>
          <w:p w14:paraId="313CD954" w14:textId="7DA801CA" w:rsidR="00A75790" w:rsidRPr="00B47143" w:rsidRDefault="00A75790" w:rsidP="001A5067">
            <w:pPr>
              <w:spacing w:line="480" w:lineRule="auto"/>
              <w:jc w:val="center"/>
              <w:rPr>
                <w:b/>
              </w:rPr>
            </w:pPr>
            <w:r w:rsidRPr="00B47143">
              <w:rPr>
                <w:b/>
              </w:rPr>
              <w:t>Reactive</w:t>
            </w:r>
            <w:r w:rsidR="004D44CD" w:rsidRPr="00B47143">
              <w:rPr>
                <w:b/>
              </w:rPr>
              <w:t xml:space="preserve"> only</w:t>
            </w:r>
          </w:p>
        </w:tc>
        <w:tc>
          <w:tcPr>
            <w:tcW w:w="1271" w:type="dxa"/>
            <w:tcBorders>
              <w:top w:val="single" w:sz="4" w:space="0" w:color="auto"/>
              <w:bottom w:val="single" w:sz="4" w:space="0" w:color="auto"/>
            </w:tcBorders>
          </w:tcPr>
          <w:p w14:paraId="066A491B" w14:textId="5262582F" w:rsidR="00A75790" w:rsidRPr="00B47143" w:rsidRDefault="0068652F" w:rsidP="0033183A">
            <w:pPr>
              <w:spacing w:line="480" w:lineRule="auto"/>
              <w:jc w:val="center"/>
              <w:rPr>
                <w:b/>
              </w:rPr>
            </w:pPr>
            <w:r w:rsidRPr="00B47143">
              <w:rPr>
                <w:b/>
              </w:rPr>
              <w:t>Both</w:t>
            </w:r>
          </w:p>
        </w:tc>
      </w:tr>
      <w:tr w:rsidR="00B47143" w:rsidRPr="00B47143" w14:paraId="411E8078" w14:textId="77777777" w:rsidTr="001A5067">
        <w:tc>
          <w:tcPr>
            <w:tcW w:w="5240" w:type="dxa"/>
            <w:tcBorders>
              <w:top w:val="single" w:sz="4" w:space="0" w:color="auto"/>
            </w:tcBorders>
            <w:shd w:val="clear" w:color="auto" w:fill="auto"/>
            <w:vAlign w:val="center"/>
          </w:tcPr>
          <w:p w14:paraId="4B489B71" w14:textId="25D8C000" w:rsidR="00A75790" w:rsidRPr="00B47143" w:rsidRDefault="001717CE" w:rsidP="0033183A">
            <w:pPr>
              <w:spacing w:line="480" w:lineRule="auto"/>
            </w:pPr>
            <w:r w:rsidRPr="00B47143">
              <w:t>Health c</w:t>
            </w:r>
            <w:r w:rsidR="00A75790" w:rsidRPr="00B47143">
              <w:t>heck</w:t>
            </w:r>
          </w:p>
        </w:tc>
        <w:tc>
          <w:tcPr>
            <w:tcW w:w="1276" w:type="dxa"/>
            <w:tcBorders>
              <w:top w:val="single" w:sz="4" w:space="0" w:color="auto"/>
            </w:tcBorders>
          </w:tcPr>
          <w:p w14:paraId="3B800F93" w14:textId="67A3CB81" w:rsidR="00A75790" w:rsidRPr="00B47143" w:rsidRDefault="004D44CD" w:rsidP="0033183A">
            <w:pPr>
              <w:spacing w:line="480" w:lineRule="auto"/>
              <w:jc w:val="center"/>
            </w:pPr>
            <w:r w:rsidRPr="00B47143">
              <w:t>0</w:t>
            </w:r>
          </w:p>
        </w:tc>
        <w:tc>
          <w:tcPr>
            <w:tcW w:w="1422" w:type="dxa"/>
            <w:tcBorders>
              <w:top w:val="single" w:sz="4" w:space="0" w:color="auto"/>
            </w:tcBorders>
          </w:tcPr>
          <w:p w14:paraId="3AE245DB" w14:textId="4ECD39A8" w:rsidR="00A75790" w:rsidRPr="00B47143" w:rsidRDefault="00A33D91" w:rsidP="0033183A">
            <w:pPr>
              <w:spacing w:line="480" w:lineRule="auto"/>
              <w:jc w:val="center"/>
            </w:pPr>
            <w:r w:rsidRPr="00B47143">
              <w:t>4</w:t>
            </w:r>
          </w:p>
        </w:tc>
        <w:tc>
          <w:tcPr>
            <w:tcW w:w="1271" w:type="dxa"/>
            <w:tcBorders>
              <w:top w:val="single" w:sz="4" w:space="0" w:color="auto"/>
            </w:tcBorders>
          </w:tcPr>
          <w:p w14:paraId="159EB907" w14:textId="3229C277" w:rsidR="00A75790" w:rsidRPr="00B47143" w:rsidRDefault="00A33D91" w:rsidP="0033183A">
            <w:pPr>
              <w:spacing w:line="480" w:lineRule="auto"/>
              <w:jc w:val="center"/>
            </w:pPr>
            <w:r w:rsidRPr="00B47143">
              <w:t>7</w:t>
            </w:r>
          </w:p>
        </w:tc>
      </w:tr>
      <w:tr w:rsidR="00B47143" w:rsidRPr="00B47143" w14:paraId="4A227D23" w14:textId="77777777" w:rsidTr="001A5067">
        <w:tc>
          <w:tcPr>
            <w:tcW w:w="5240" w:type="dxa"/>
            <w:shd w:val="clear" w:color="auto" w:fill="auto"/>
            <w:vAlign w:val="center"/>
          </w:tcPr>
          <w:p w14:paraId="4A334C5E" w14:textId="02FC3933" w:rsidR="00A75790" w:rsidRPr="00B47143" w:rsidRDefault="00A75790" w:rsidP="0033183A">
            <w:pPr>
              <w:spacing w:line="480" w:lineRule="auto"/>
            </w:pPr>
            <w:r w:rsidRPr="00B47143">
              <w:t>Neuropsychological assessment</w:t>
            </w:r>
          </w:p>
        </w:tc>
        <w:tc>
          <w:tcPr>
            <w:tcW w:w="1276" w:type="dxa"/>
          </w:tcPr>
          <w:p w14:paraId="2D0584A5" w14:textId="0716204F" w:rsidR="00A75790" w:rsidRPr="00B47143" w:rsidRDefault="00A33D91" w:rsidP="0033183A">
            <w:pPr>
              <w:spacing w:line="480" w:lineRule="auto"/>
              <w:jc w:val="center"/>
            </w:pPr>
            <w:r w:rsidRPr="00B47143">
              <w:t>1</w:t>
            </w:r>
          </w:p>
        </w:tc>
        <w:tc>
          <w:tcPr>
            <w:tcW w:w="1422" w:type="dxa"/>
          </w:tcPr>
          <w:p w14:paraId="47BE8741" w14:textId="76E21857" w:rsidR="00A75790" w:rsidRPr="00B47143" w:rsidRDefault="00A33D91" w:rsidP="0033183A">
            <w:pPr>
              <w:spacing w:line="480" w:lineRule="auto"/>
              <w:jc w:val="center"/>
            </w:pPr>
            <w:r w:rsidRPr="00B47143">
              <w:t>6</w:t>
            </w:r>
          </w:p>
        </w:tc>
        <w:tc>
          <w:tcPr>
            <w:tcW w:w="1271" w:type="dxa"/>
          </w:tcPr>
          <w:p w14:paraId="7357B63B" w14:textId="5ACCB0CC" w:rsidR="00A75790" w:rsidRPr="00B47143" w:rsidRDefault="00A33D91" w:rsidP="0033183A">
            <w:pPr>
              <w:spacing w:line="480" w:lineRule="auto"/>
              <w:jc w:val="center"/>
            </w:pPr>
            <w:r w:rsidRPr="00B47143">
              <w:t>2</w:t>
            </w:r>
          </w:p>
        </w:tc>
      </w:tr>
      <w:tr w:rsidR="00B47143" w:rsidRPr="00B47143" w14:paraId="35E3716A" w14:textId="77777777" w:rsidTr="001A5067">
        <w:tc>
          <w:tcPr>
            <w:tcW w:w="5240" w:type="dxa"/>
            <w:shd w:val="clear" w:color="auto" w:fill="auto"/>
            <w:vAlign w:val="center"/>
          </w:tcPr>
          <w:p w14:paraId="28278899" w14:textId="0AA1BC6C" w:rsidR="00A75790" w:rsidRPr="00B47143" w:rsidRDefault="00A75790" w:rsidP="0033183A">
            <w:pPr>
              <w:spacing w:line="480" w:lineRule="auto"/>
            </w:pPr>
            <w:r w:rsidRPr="00B47143">
              <w:t>Assessment of living skills</w:t>
            </w:r>
          </w:p>
        </w:tc>
        <w:tc>
          <w:tcPr>
            <w:tcW w:w="1276" w:type="dxa"/>
          </w:tcPr>
          <w:p w14:paraId="0FB02A1B" w14:textId="79A7713A" w:rsidR="00A75790" w:rsidRPr="00B47143" w:rsidRDefault="00A33D91" w:rsidP="0033183A">
            <w:pPr>
              <w:spacing w:line="480" w:lineRule="auto"/>
              <w:jc w:val="center"/>
            </w:pPr>
            <w:r w:rsidRPr="00B47143">
              <w:t>1</w:t>
            </w:r>
          </w:p>
        </w:tc>
        <w:tc>
          <w:tcPr>
            <w:tcW w:w="1422" w:type="dxa"/>
          </w:tcPr>
          <w:p w14:paraId="744BFD16" w14:textId="27AFA639" w:rsidR="00A75790" w:rsidRPr="00B47143" w:rsidRDefault="00A33D91" w:rsidP="0033183A">
            <w:pPr>
              <w:spacing w:line="480" w:lineRule="auto"/>
              <w:jc w:val="center"/>
            </w:pPr>
            <w:r w:rsidRPr="00B47143">
              <w:t>7</w:t>
            </w:r>
          </w:p>
        </w:tc>
        <w:tc>
          <w:tcPr>
            <w:tcW w:w="1271" w:type="dxa"/>
          </w:tcPr>
          <w:p w14:paraId="22392670" w14:textId="18889EC5" w:rsidR="00A75790" w:rsidRPr="00B47143" w:rsidRDefault="00A33D91" w:rsidP="0033183A">
            <w:pPr>
              <w:spacing w:line="480" w:lineRule="auto"/>
              <w:jc w:val="center"/>
            </w:pPr>
            <w:r w:rsidRPr="00B47143">
              <w:t>2</w:t>
            </w:r>
          </w:p>
        </w:tc>
      </w:tr>
      <w:tr w:rsidR="00B47143" w:rsidRPr="00B47143" w14:paraId="2B1D8475" w14:textId="77777777" w:rsidTr="001A5067">
        <w:tc>
          <w:tcPr>
            <w:tcW w:w="5240" w:type="dxa"/>
            <w:shd w:val="clear" w:color="auto" w:fill="auto"/>
            <w:vAlign w:val="center"/>
          </w:tcPr>
          <w:p w14:paraId="7182BF3B" w14:textId="1A2E864B" w:rsidR="00A75790" w:rsidRPr="00B47143" w:rsidRDefault="00A75790" w:rsidP="0033183A">
            <w:pPr>
              <w:spacing w:line="480" w:lineRule="auto"/>
            </w:pPr>
            <w:r w:rsidRPr="00B47143">
              <w:t>General dementia screening</w:t>
            </w:r>
            <w:r w:rsidR="0033183A" w:rsidRPr="00B47143">
              <w:t>,</w:t>
            </w:r>
            <w:r w:rsidRPr="00B47143">
              <w:t xml:space="preserve"> </w:t>
            </w:r>
            <w:r w:rsidRPr="00B47143">
              <w:rPr>
                <w:noProof/>
              </w:rPr>
              <w:t>i.e.</w:t>
            </w:r>
            <w:r w:rsidRPr="00B47143">
              <w:t xml:space="preserve"> an assessment using a </w:t>
            </w:r>
            <w:r w:rsidR="00167163" w:rsidRPr="00B47143">
              <w:t>d</w:t>
            </w:r>
            <w:r w:rsidRPr="00B47143">
              <w:rPr>
                <w:noProof/>
              </w:rPr>
              <w:t>ementia specific</w:t>
            </w:r>
            <w:r w:rsidRPr="00B47143">
              <w:t xml:space="preserve"> screening tool</w:t>
            </w:r>
          </w:p>
        </w:tc>
        <w:tc>
          <w:tcPr>
            <w:tcW w:w="1276" w:type="dxa"/>
          </w:tcPr>
          <w:p w14:paraId="3FEF1E77" w14:textId="3962158D" w:rsidR="00A75790" w:rsidRPr="00B47143" w:rsidRDefault="00A33D91" w:rsidP="0033183A">
            <w:pPr>
              <w:spacing w:line="480" w:lineRule="auto"/>
              <w:jc w:val="center"/>
            </w:pPr>
            <w:r w:rsidRPr="00B47143">
              <w:t>1</w:t>
            </w:r>
          </w:p>
        </w:tc>
        <w:tc>
          <w:tcPr>
            <w:tcW w:w="1422" w:type="dxa"/>
          </w:tcPr>
          <w:p w14:paraId="53708196" w14:textId="4C3F98AC" w:rsidR="00A75790" w:rsidRPr="00B47143" w:rsidRDefault="00A33D91" w:rsidP="0033183A">
            <w:pPr>
              <w:spacing w:line="480" w:lineRule="auto"/>
              <w:jc w:val="center"/>
            </w:pPr>
            <w:r w:rsidRPr="00B47143">
              <w:t>5</w:t>
            </w:r>
          </w:p>
        </w:tc>
        <w:tc>
          <w:tcPr>
            <w:tcW w:w="1271" w:type="dxa"/>
          </w:tcPr>
          <w:p w14:paraId="1E2846D7" w14:textId="3ED0E5A9" w:rsidR="00A75790" w:rsidRPr="00B47143" w:rsidRDefault="00A33D91" w:rsidP="0033183A">
            <w:pPr>
              <w:spacing w:line="480" w:lineRule="auto"/>
              <w:jc w:val="center"/>
            </w:pPr>
            <w:r w:rsidRPr="00B47143">
              <w:t>6</w:t>
            </w:r>
          </w:p>
        </w:tc>
      </w:tr>
      <w:tr w:rsidR="00B47143" w:rsidRPr="00B47143" w14:paraId="61FBFE76" w14:textId="77777777" w:rsidTr="001A5067">
        <w:tc>
          <w:tcPr>
            <w:tcW w:w="5240" w:type="dxa"/>
            <w:shd w:val="clear" w:color="auto" w:fill="auto"/>
            <w:vAlign w:val="center"/>
          </w:tcPr>
          <w:p w14:paraId="266F3AFF" w14:textId="1DDC5B2F" w:rsidR="00A75790" w:rsidRPr="00B47143" w:rsidRDefault="00A75790" w:rsidP="0033183A">
            <w:pPr>
              <w:spacing w:line="480" w:lineRule="auto"/>
            </w:pPr>
            <w:r w:rsidRPr="00B47143">
              <w:t>Informant interviews/questionnaires</w:t>
            </w:r>
          </w:p>
        </w:tc>
        <w:tc>
          <w:tcPr>
            <w:tcW w:w="1276" w:type="dxa"/>
          </w:tcPr>
          <w:p w14:paraId="14370ED9" w14:textId="6F0762CD" w:rsidR="00A75790" w:rsidRPr="00B47143" w:rsidRDefault="00A33D91" w:rsidP="0033183A">
            <w:pPr>
              <w:spacing w:line="480" w:lineRule="auto"/>
              <w:jc w:val="center"/>
            </w:pPr>
            <w:r w:rsidRPr="00B47143">
              <w:t>1</w:t>
            </w:r>
          </w:p>
        </w:tc>
        <w:tc>
          <w:tcPr>
            <w:tcW w:w="1422" w:type="dxa"/>
          </w:tcPr>
          <w:p w14:paraId="1F4155E1" w14:textId="09664D95" w:rsidR="00A75790" w:rsidRPr="00B47143" w:rsidRDefault="00A33D91" w:rsidP="0033183A">
            <w:pPr>
              <w:spacing w:line="480" w:lineRule="auto"/>
              <w:jc w:val="center"/>
            </w:pPr>
            <w:r w:rsidRPr="00B47143">
              <w:t>6</w:t>
            </w:r>
          </w:p>
        </w:tc>
        <w:tc>
          <w:tcPr>
            <w:tcW w:w="1271" w:type="dxa"/>
          </w:tcPr>
          <w:p w14:paraId="28885150" w14:textId="34BB1164" w:rsidR="00A75790" w:rsidRPr="00B47143" w:rsidRDefault="00A33D91" w:rsidP="0033183A">
            <w:pPr>
              <w:spacing w:line="480" w:lineRule="auto"/>
              <w:jc w:val="center"/>
            </w:pPr>
            <w:r w:rsidRPr="00B47143">
              <w:t>5</w:t>
            </w:r>
          </w:p>
        </w:tc>
      </w:tr>
      <w:tr w:rsidR="00B47143" w:rsidRPr="00B47143" w14:paraId="49C120E8" w14:textId="77777777" w:rsidTr="001A5067">
        <w:tc>
          <w:tcPr>
            <w:tcW w:w="5240" w:type="dxa"/>
            <w:shd w:val="clear" w:color="auto" w:fill="auto"/>
            <w:vAlign w:val="center"/>
          </w:tcPr>
          <w:p w14:paraId="1B5DDDB2" w14:textId="0D86A8BD" w:rsidR="00A75790" w:rsidRPr="00B47143" w:rsidRDefault="00A75790" w:rsidP="0033183A">
            <w:pPr>
              <w:spacing w:line="480" w:lineRule="auto"/>
            </w:pPr>
            <w:r w:rsidRPr="00B47143">
              <w:t xml:space="preserve">Direct assessment of the person </w:t>
            </w:r>
          </w:p>
        </w:tc>
        <w:tc>
          <w:tcPr>
            <w:tcW w:w="1276" w:type="dxa"/>
          </w:tcPr>
          <w:p w14:paraId="7B0EAD8F" w14:textId="0796EF04" w:rsidR="00A75790" w:rsidRPr="00B47143" w:rsidRDefault="00A33D91" w:rsidP="0033183A">
            <w:pPr>
              <w:spacing w:line="480" w:lineRule="auto"/>
              <w:jc w:val="center"/>
            </w:pPr>
            <w:r w:rsidRPr="00B47143">
              <w:t>1</w:t>
            </w:r>
          </w:p>
        </w:tc>
        <w:tc>
          <w:tcPr>
            <w:tcW w:w="1422" w:type="dxa"/>
          </w:tcPr>
          <w:p w14:paraId="7D25341E" w14:textId="445C1D15" w:rsidR="00A75790" w:rsidRPr="00B47143" w:rsidRDefault="00A33D91" w:rsidP="0033183A">
            <w:pPr>
              <w:spacing w:line="480" w:lineRule="auto"/>
              <w:jc w:val="center"/>
            </w:pPr>
            <w:r w:rsidRPr="00B47143">
              <w:t>5</w:t>
            </w:r>
          </w:p>
        </w:tc>
        <w:tc>
          <w:tcPr>
            <w:tcW w:w="1271" w:type="dxa"/>
          </w:tcPr>
          <w:p w14:paraId="174D55C4" w14:textId="1CD4840D" w:rsidR="00A75790" w:rsidRPr="00B47143" w:rsidRDefault="00A33D91" w:rsidP="0033183A">
            <w:pPr>
              <w:spacing w:line="480" w:lineRule="auto"/>
              <w:jc w:val="center"/>
            </w:pPr>
            <w:r w:rsidRPr="00B47143">
              <w:t>6</w:t>
            </w:r>
          </w:p>
        </w:tc>
      </w:tr>
      <w:tr w:rsidR="00B47143" w:rsidRPr="00B47143" w14:paraId="300A87E2" w14:textId="77777777" w:rsidTr="001A5067">
        <w:tc>
          <w:tcPr>
            <w:tcW w:w="5240" w:type="dxa"/>
            <w:shd w:val="clear" w:color="auto" w:fill="auto"/>
            <w:vAlign w:val="center"/>
          </w:tcPr>
          <w:p w14:paraId="11183D73" w14:textId="714BB5A1" w:rsidR="00A75790" w:rsidRPr="00B47143" w:rsidRDefault="00A75790" w:rsidP="0033183A">
            <w:pPr>
              <w:spacing w:line="480" w:lineRule="auto"/>
            </w:pPr>
            <w:r w:rsidRPr="00B47143">
              <w:t xml:space="preserve">Psychological assessment </w:t>
            </w:r>
          </w:p>
        </w:tc>
        <w:tc>
          <w:tcPr>
            <w:tcW w:w="1276" w:type="dxa"/>
          </w:tcPr>
          <w:p w14:paraId="69FA1E18" w14:textId="1FDA9CE6" w:rsidR="00A75790" w:rsidRPr="00B47143" w:rsidRDefault="00A33D91" w:rsidP="0033183A">
            <w:pPr>
              <w:spacing w:line="480" w:lineRule="auto"/>
              <w:jc w:val="center"/>
            </w:pPr>
            <w:r w:rsidRPr="00B47143">
              <w:t>1</w:t>
            </w:r>
          </w:p>
        </w:tc>
        <w:tc>
          <w:tcPr>
            <w:tcW w:w="1422" w:type="dxa"/>
          </w:tcPr>
          <w:p w14:paraId="3B617D33" w14:textId="20C1E38C" w:rsidR="00A75790" w:rsidRPr="00B47143" w:rsidRDefault="00A33D91" w:rsidP="0033183A">
            <w:pPr>
              <w:spacing w:line="480" w:lineRule="auto"/>
              <w:jc w:val="center"/>
            </w:pPr>
            <w:r w:rsidRPr="00B47143">
              <w:t>5</w:t>
            </w:r>
          </w:p>
        </w:tc>
        <w:tc>
          <w:tcPr>
            <w:tcW w:w="1271" w:type="dxa"/>
          </w:tcPr>
          <w:p w14:paraId="260CD862" w14:textId="494329FB" w:rsidR="00A75790" w:rsidRPr="00B47143" w:rsidRDefault="00A33D91" w:rsidP="0033183A">
            <w:pPr>
              <w:spacing w:line="480" w:lineRule="auto"/>
              <w:jc w:val="center"/>
            </w:pPr>
            <w:r w:rsidRPr="00B47143">
              <w:t>5</w:t>
            </w:r>
          </w:p>
        </w:tc>
      </w:tr>
      <w:tr w:rsidR="00A75790" w:rsidRPr="00B47143" w14:paraId="6EA9CDEA" w14:textId="77777777" w:rsidTr="001A5067">
        <w:tc>
          <w:tcPr>
            <w:tcW w:w="5240" w:type="dxa"/>
            <w:tcBorders>
              <w:bottom w:val="single" w:sz="4" w:space="0" w:color="auto"/>
            </w:tcBorders>
            <w:shd w:val="clear" w:color="auto" w:fill="auto"/>
            <w:vAlign w:val="center"/>
          </w:tcPr>
          <w:p w14:paraId="12E6D9E9" w14:textId="4788974E" w:rsidR="00A75790" w:rsidRPr="00B47143" w:rsidRDefault="00A75790" w:rsidP="0033183A">
            <w:pPr>
              <w:spacing w:line="480" w:lineRule="auto"/>
            </w:pPr>
            <w:r w:rsidRPr="00B47143">
              <w:t>Assessment of social and environmental factors</w:t>
            </w:r>
            <w:r w:rsidR="002D4648" w:rsidRPr="00B47143">
              <w:t>,</w:t>
            </w:r>
            <w:r w:rsidRPr="00B47143">
              <w:t xml:space="preserve"> </w:t>
            </w:r>
            <w:r w:rsidRPr="00B47143">
              <w:rPr>
                <w:noProof/>
              </w:rPr>
              <w:t>e.g.</w:t>
            </w:r>
            <w:r w:rsidRPr="00B47143">
              <w:t xml:space="preserve"> staffing l</w:t>
            </w:r>
            <w:r w:rsidR="002172F4" w:rsidRPr="00B47143">
              <w:t>evels and staff characteristics</w:t>
            </w:r>
          </w:p>
        </w:tc>
        <w:tc>
          <w:tcPr>
            <w:tcW w:w="1276" w:type="dxa"/>
            <w:tcBorders>
              <w:bottom w:val="single" w:sz="4" w:space="0" w:color="auto"/>
            </w:tcBorders>
          </w:tcPr>
          <w:p w14:paraId="3D426B41" w14:textId="30AE5DE6" w:rsidR="00A75790" w:rsidRPr="00B47143" w:rsidRDefault="00A33D91" w:rsidP="0033183A">
            <w:pPr>
              <w:spacing w:line="480" w:lineRule="auto"/>
              <w:jc w:val="center"/>
            </w:pPr>
            <w:r w:rsidRPr="00B47143">
              <w:t>1</w:t>
            </w:r>
          </w:p>
        </w:tc>
        <w:tc>
          <w:tcPr>
            <w:tcW w:w="1422" w:type="dxa"/>
            <w:tcBorders>
              <w:bottom w:val="single" w:sz="4" w:space="0" w:color="auto"/>
            </w:tcBorders>
          </w:tcPr>
          <w:p w14:paraId="38196B83" w14:textId="2C55009F" w:rsidR="00A75790" w:rsidRPr="00B47143" w:rsidRDefault="00A33D91" w:rsidP="0033183A">
            <w:pPr>
              <w:spacing w:line="480" w:lineRule="auto"/>
              <w:jc w:val="center"/>
            </w:pPr>
            <w:r w:rsidRPr="00B47143">
              <w:t>5</w:t>
            </w:r>
          </w:p>
        </w:tc>
        <w:tc>
          <w:tcPr>
            <w:tcW w:w="1271" w:type="dxa"/>
            <w:tcBorders>
              <w:bottom w:val="single" w:sz="4" w:space="0" w:color="auto"/>
            </w:tcBorders>
          </w:tcPr>
          <w:p w14:paraId="423E64B2" w14:textId="540592DA" w:rsidR="00A75790" w:rsidRPr="00B47143" w:rsidRDefault="00A33D91" w:rsidP="0033183A">
            <w:pPr>
              <w:spacing w:line="480" w:lineRule="auto"/>
              <w:jc w:val="center"/>
            </w:pPr>
            <w:r w:rsidRPr="00B47143">
              <w:t>4</w:t>
            </w:r>
          </w:p>
        </w:tc>
      </w:tr>
    </w:tbl>
    <w:p w14:paraId="60DD6D6D" w14:textId="77777777" w:rsidR="0033129A" w:rsidRPr="00B47143" w:rsidRDefault="0033129A" w:rsidP="00261346">
      <w:pPr>
        <w:spacing w:line="480" w:lineRule="auto"/>
      </w:pPr>
    </w:p>
    <w:p w14:paraId="0C484F8C" w14:textId="1975C589" w:rsidR="006C6A46" w:rsidRPr="00B47143" w:rsidRDefault="006C6A46" w:rsidP="006C6A46">
      <w:pPr>
        <w:spacing w:line="480" w:lineRule="auto"/>
      </w:pPr>
      <w:r w:rsidRPr="00B47143">
        <w:t xml:space="preserve">Table </w:t>
      </w:r>
      <w:r w:rsidR="00A32207" w:rsidRPr="00B47143">
        <w:t>2</w:t>
      </w:r>
      <w:r w:rsidR="001F721B" w:rsidRPr="00B47143">
        <w:t>.</w:t>
      </w:r>
      <w:r w:rsidRPr="00B47143">
        <w:t xml:space="preserve"> </w:t>
      </w:r>
      <w:r w:rsidR="001F721B" w:rsidRPr="00B47143">
        <w:rPr>
          <w:i/>
        </w:rPr>
        <w:t>T</w:t>
      </w:r>
      <w:r w:rsidRPr="00B47143">
        <w:rPr>
          <w:i/>
        </w:rPr>
        <w:t xml:space="preserve">he </w:t>
      </w:r>
      <w:bookmarkStart w:id="5" w:name="_Hlk511913250"/>
      <w:r w:rsidRPr="00B47143">
        <w:rPr>
          <w:i/>
        </w:rPr>
        <w:t>frequency with which key team members were typically involved in proactive screening, reactive assessment or both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417"/>
        <w:gridCol w:w="1134"/>
        <w:gridCol w:w="1418"/>
      </w:tblGrid>
      <w:tr w:rsidR="00B47143" w:rsidRPr="00B47143" w14:paraId="3967447B" w14:textId="77777777" w:rsidTr="001F721B">
        <w:tc>
          <w:tcPr>
            <w:tcW w:w="4957" w:type="dxa"/>
            <w:tcBorders>
              <w:top w:val="single" w:sz="4" w:space="0" w:color="auto"/>
              <w:bottom w:val="single" w:sz="4" w:space="0" w:color="auto"/>
            </w:tcBorders>
          </w:tcPr>
          <w:bookmarkEnd w:id="5"/>
          <w:p w14:paraId="4D2074BE" w14:textId="763CDEE4" w:rsidR="006C6A46" w:rsidRPr="00B47143" w:rsidRDefault="006C6A46" w:rsidP="005A58FE">
            <w:pPr>
              <w:spacing w:line="480" w:lineRule="auto"/>
              <w:rPr>
                <w:b/>
              </w:rPr>
            </w:pPr>
            <w:r w:rsidRPr="00B47143">
              <w:rPr>
                <w:b/>
              </w:rPr>
              <w:t>Profession</w:t>
            </w:r>
          </w:p>
        </w:tc>
        <w:tc>
          <w:tcPr>
            <w:tcW w:w="1417" w:type="dxa"/>
            <w:tcBorders>
              <w:top w:val="single" w:sz="4" w:space="0" w:color="auto"/>
              <w:bottom w:val="single" w:sz="4" w:space="0" w:color="auto"/>
            </w:tcBorders>
          </w:tcPr>
          <w:p w14:paraId="712B706A" w14:textId="23EB2C13" w:rsidR="006C6A46" w:rsidRPr="00B47143" w:rsidRDefault="006C6A46" w:rsidP="001F721B">
            <w:pPr>
              <w:spacing w:line="480" w:lineRule="auto"/>
              <w:jc w:val="center"/>
              <w:rPr>
                <w:b/>
              </w:rPr>
            </w:pPr>
            <w:r w:rsidRPr="00B47143">
              <w:rPr>
                <w:b/>
              </w:rPr>
              <w:t>Proactive only</w:t>
            </w:r>
          </w:p>
        </w:tc>
        <w:tc>
          <w:tcPr>
            <w:tcW w:w="1134" w:type="dxa"/>
            <w:tcBorders>
              <w:top w:val="single" w:sz="4" w:space="0" w:color="auto"/>
              <w:bottom w:val="single" w:sz="4" w:space="0" w:color="auto"/>
            </w:tcBorders>
          </w:tcPr>
          <w:p w14:paraId="2A849915" w14:textId="100689F4" w:rsidR="006C6A46" w:rsidRPr="00B47143" w:rsidRDefault="006C6A46" w:rsidP="001F721B">
            <w:pPr>
              <w:spacing w:line="480" w:lineRule="auto"/>
              <w:jc w:val="center"/>
              <w:rPr>
                <w:b/>
              </w:rPr>
            </w:pPr>
            <w:r w:rsidRPr="00B47143">
              <w:rPr>
                <w:b/>
              </w:rPr>
              <w:t>Reactive only</w:t>
            </w:r>
          </w:p>
        </w:tc>
        <w:tc>
          <w:tcPr>
            <w:tcW w:w="1418" w:type="dxa"/>
            <w:tcBorders>
              <w:top w:val="single" w:sz="4" w:space="0" w:color="auto"/>
              <w:bottom w:val="single" w:sz="4" w:space="0" w:color="auto"/>
            </w:tcBorders>
          </w:tcPr>
          <w:p w14:paraId="3BF176CC" w14:textId="77777777" w:rsidR="006C6A46" w:rsidRPr="00B47143" w:rsidRDefault="006C6A46" w:rsidP="001F721B">
            <w:pPr>
              <w:spacing w:line="480" w:lineRule="auto"/>
              <w:jc w:val="center"/>
              <w:rPr>
                <w:b/>
              </w:rPr>
            </w:pPr>
            <w:r w:rsidRPr="00B47143">
              <w:rPr>
                <w:b/>
              </w:rPr>
              <w:t>Both</w:t>
            </w:r>
          </w:p>
        </w:tc>
      </w:tr>
      <w:tr w:rsidR="00B47143" w:rsidRPr="00B47143" w14:paraId="2D4ACACD" w14:textId="77777777" w:rsidTr="001F721B">
        <w:tc>
          <w:tcPr>
            <w:tcW w:w="4957" w:type="dxa"/>
            <w:tcBorders>
              <w:top w:val="single" w:sz="4" w:space="0" w:color="auto"/>
            </w:tcBorders>
          </w:tcPr>
          <w:p w14:paraId="49BAEA64" w14:textId="77777777" w:rsidR="006C6A46" w:rsidRPr="00B47143" w:rsidRDefault="006C6A46" w:rsidP="005A58FE">
            <w:pPr>
              <w:spacing w:line="480" w:lineRule="auto"/>
              <w:rPr>
                <w:rFonts w:cstheme="minorHAnsi"/>
              </w:rPr>
            </w:pPr>
            <w:r w:rsidRPr="00B47143">
              <w:rPr>
                <w:rFonts w:cstheme="minorHAnsi"/>
              </w:rPr>
              <w:t xml:space="preserve">Clinical Psychologist </w:t>
            </w:r>
          </w:p>
        </w:tc>
        <w:tc>
          <w:tcPr>
            <w:tcW w:w="1417" w:type="dxa"/>
            <w:tcBorders>
              <w:top w:val="single" w:sz="4" w:space="0" w:color="auto"/>
            </w:tcBorders>
          </w:tcPr>
          <w:p w14:paraId="22BED1A7" w14:textId="77777777" w:rsidR="006C6A46" w:rsidRPr="00B47143" w:rsidRDefault="006C6A46" w:rsidP="001F721B">
            <w:pPr>
              <w:spacing w:line="480" w:lineRule="auto"/>
              <w:jc w:val="center"/>
            </w:pPr>
            <w:r w:rsidRPr="00B47143">
              <w:t>0</w:t>
            </w:r>
          </w:p>
        </w:tc>
        <w:tc>
          <w:tcPr>
            <w:tcW w:w="1134" w:type="dxa"/>
            <w:tcBorders>
              <w:top w:val="single" w:sz="4" w:space="0" w:color="auto"/>
            </w:tcBorders>
          </w:tcPr>
          <w:p w14:paraId="0D7DA68C" w14:textId="65E72031" w:rsidR="006C6A46" w:rsidRPr="00B47143" w:rsidRDefault="006C6A46" w:rsidP="001F721B">
            <w:pPr>
              <w:spacing w:line="480" w:lineRule="auto"/>
              <w:jc w:val="center"/>
            </w:pPr>
            <w:r w:rsidRPr="00B47143">
              <w:t>5</w:t>
            </w:r>
          </w:p>
        </w:tc>
        <w:tc>
          <w:tcPr>
            <w:tcW w:w="1418" w:type="dxa"/>
            <w:tcBorders>
              <w:top w:val="single" w:sz="4" w:space="0" w:color="auto"/>
            </w:tcBorders>
          </w:tcPr>
          <w:p w14:paraId="286B0926" w14:textId="6ECAEDBC" w:rsidR="006C6A46" w:rsidRPr="00B47143" w:rsidRDefault="006C6A46" w:rsidP="001F721B">
            <w:pPr>
              <w:spacing w:line="480" w:lineRule="auto"/>
              <w:jc w:val="center"/>
            </w:pPr>
            <w:r w:rsidRPr="00B47143">
              <w:t>6</w:t>
            </w:r>
          </w:p>
        </w:tc>
      </w:tr>
      <w:tr w:rsidR="00B47143" w:rsidRPr="00B47143" w14:paraId="62DBA6CC" w14:textId="77777777" w:rsidTr="001F721B">
        <w:tc>
          <w:tcPr>
            <w:tcW w:w="4957" w:type="dxa"/>
          </w:tcPr>
          <w:p w14:paraId="2952E5B4" w14:textId="77777777" w:rsidR="006C6A46" w:rsidRPr="00B47143" w:rsidRDefault="006C6A46" w:rsidP="005A58FE">
            <w:pPr>
              <w:spacing w:line="480" w:lineRule="auto"/>
              <w:rPr>
                <w:rFonts w:cstheme="minorHAnsi"/>
              </w:rPr>
            </w:pPr>
            <w:r w:rsidRPr="00B47143">
              <w:rPr>
                <w:rFonts w:cstheme="minorHAnsi"/>
                <w:bCs/>
              </w:rPr>
              <w:t>Community Learning Disability Nurse</w:t>
            </w:r>
          </w:p>
        </w:tc>
        <w:tc>
          <w:tcPr>
            <w:tcW w:w="1417" w:type="dxa"/>
          </w:tcPr>
          <w:p w14:paraId="6C42EBF3" w14:textId="7A0F41C0" w:rsidR="006C6A46" w:rsidRPr="00B47143" w:rsidRDefault="006C6A46" w:rsidP="001F721B">
            <w:pPr>
              <w:spacing w:line="480" w:lineRule="auto"/>
              <w:jc w:val="center"/>
            </w:pPr>
            <w:r w:rsidRPr="00B47143">
              <w:t>2</w:t>
            </w:r>
          </w:p>
        </w:tc>
        <w:tc>
          <w:tcPr>
            <w:tcW w:w="1134" w:type="dxa"/>
          </w:tcPr>
          <w:p w14:paraId="5E62C701" w14:textId="365A57B7" w:rsidR="006C6A46" w:rsidRPr="00B47143" w:rsidRDefault="006C6A46" w:rsidP="001F721B">
            <w:pPr>
              <w:spacing w:line="480" w:lineRule="auto"/>
              <w:jc w:val="center"/>
            </w:pPr>
            <w:r w:rsidRPr="00B47143">
              <w:t>6</w:t>
            </w:r>
          </w:p>
        </w:tc>
        <w:tc>
          <w:tcPr>
            <w:tcW w:w="1418" w:type="dxa"/>
          </w:tcPr>
          <w:p w14:paraId="0E7969C7" w14:textId="42E3CFC9" w:rsidR="006C6A46" w:rsidRPr="00B47143" w:rsidRDefault="006C6A46" w:rsidP="001F721B">
            <w:pPr>
              <w:spacing w:line="480" w:lineRule="auto"/>
              <w:jc w:val="center"/>
            </w:pPr>
            <w:r w:rsidRPr="00B47143">
              <w:t>4</w:t>
            </w:r>
          </w:p>
        </w:tc>
      </w:tr>
      <w:tr w:rsidR="00B47143" w:rsidRPr="00B47143" w14:paraId="4DDBDF57" w14:textId="77777777" w:rsidTr="001F721B">
        <w:tc>
          <w:tcPr>
            <w:tcW w:w="4957" w:type="dxa"/>
          </w:tcPr>
          <w:p w14:paraId="1F9AC018" w14:textId="77777777" w:rsidR="006C6A46" w:rsidRPr="00B47143" w:rsidRDefault="006C6A46" w:rsidP="005A58FE">
            <w:pPr>
              <w:spacing w:line="480" w:lineRule="auto"/>
              <w:rPr>
                <w:rFonts w:cstheme="minorHAnsi"/>
              </w:rPr>
            </w:pPr>
            <w:r w:rsidRPr="00B47143">
              <w:rPr>
                <w:rFonts w:cstheme="minorHAnsi"/>
              </w:rPr>
              <w:t>Psychiatry</w:t>
            </w:r>
          </w:p>
        </w:tc>
        <w:tc>
          <w:tcPr>
            <w:tcW w:w="1417" w:type="dxa"/>
          </w:tcPr>
          <w:p w14:paraId="0EC82659" w14:textId="77777777" w:rsidR="006C6A46" w:rsidRPr="00B47143" w:rsidRDefault="006C6A46" w:rsidP="001F721B">
            <w:pPr>
              <w:spacing w:line="480" w:lineRule="auto"/>
              <w:jc w:val="center"/>
            </w:pPr>
            <w:r w:rsidRPr="00B47143">
              <w:t>0</w:t>
            </w:r>
          </w:p>
        </w:tc>
        <w:tc>
          <w:tcPr>
            <w:tcW w:w="1134" w:type="dxa"/>
          </w:tcPr>
          <w:p w14:paraId="2F73DEB4" w14:textId="38A736B9" w:rsidR="006C6A46" w:rsidRPr="00B47143" w:rsidRDefault="006C6A46" w:rsidP="001F721B">
            <w:pPr>
              <w:spacing w:line="480" w:lineRule="auto"/>
              <w:jc w:val="center"/>
            </w:pPr>
            <w:r w:rsidRPr="00B47143">
              <w:t>9</w:t>
            </w:r>
          </w:p>
        </w:tc>
        <w:tc>
          <w:tcPr>
            <w:tcW w:w="1418" w:type="dxa"/>
          </w:tcPr>
          <w:p w14:paraId="0B3365FA" w14:textId="01EB35D8" w:rsidR="006C6A46" w:rsidRPr="00B47143" w:rsidRDefault="006C6A46" w:rsidP="001F721B">
            <w:pPr>
              <w:spacing w:line="480" w:lineRule="auto"/>
              <w:jc w:val="center"/>
            </w:pPr>
            <w:r w:rsidRPr="00B47143">
              <w:t>2</w:t>
            </w:r>
          </w:p>
        </w:tc>
      </w:tr>
      <w:tr w:rsidR="00B47143" w:rsidRPr="00B47143" w14:paraId="062BE751" w14:textId="77777777" w:rsidTr="001F721B">
        <w:tc>
          <w:tcPr>
            <w:tcW w:w="4957" w:type="dxa"/>
            <w:shd w:val="clear" w:color="auto" w:fill="auto"/>
            <w:vAlign w:val="center"/>
          </w:tcPr>
          <w:p w14:paraId="0713FD4D" w14:textId="77777777" w:rsidR="006C6A46" w:rsidRPr="00B47143" w:rsidRDefault="006C6A46" w:rsidP="005A58FE">
            <w:pPr>
              <w:spacing w:line="480" w:lineRule="auto"/>
              <w:rPr>
                <w:rFonts w:cstheme="minorHAnsi"/>
              </w:rPr>
            </w:pPr>
            <w:r w:rsidRPr="00B47143">
              <w:rPr>
                <w:rFonts w:cstheme="minorHAnsi"/>
              </w:rPr>
              <w:t xml:space="preserve">Speech and Language Therapist </w:t>
            </w:r>
          </w:p>
        </w:tc>
        <w:tc>
          <w:tcPr>
            <w:tcW w:w="1417" w:type="dxa"/>
          </w:tcPr>
          <w:p w14:paraId="24E92DA5" w14:textId="77777777" w:rsidR="006C6A46" w:rsidRPr="00B47143" w:rsidRDefault="006C6A46" w:rsidP="001F721B">
            <w:pPr>
              <w:spacing w:line="480" w:lineRule="auto"/>
              <w:jc w:val="center"/>
            </w:pPr>
            <w:r w:rsidRPr="00B47143">
              <w:t>0</w:t>
            </w:r>
          </w:p>
        </w:tc>
        <w:tc>
          <w:tcPr>
            <w:tcW w:w="1134" w:type="dxa"/>
          </w:tcPr>
          <w:p w14:paraId="2088CF09" w14:textId="377D62C1" w:rsidR="006C6A46" w:rsidRPr="00B47143" w:rsidRDefault="006C6A46" w:rsidP="001F721B">
            <w:pPr>
              <w:spacing w:line="480" w:lineRule="auto"/>
              <w:jc w:val="center"/>
            </w:pPr>
            <w:r w:rsidRPr="00B47143">
              <w:t>2</w:t>
            </w:r>
          </w:p>
        </w:tc>
        <w:tc>
          <w:tcPr>
            <w:tcW w:w="1418" w:type="dxa"/>
          </w:tcPr>
          <w:p w14:paraId="3B7B59AC" w14:textId="77777777" w:rsidR="006C6A46" w:rsidRPr="00B47143" w:rsidRDefault="006C6A46" w:rsidP="001F721B">
            <w:pPr>
              <w:spacing w:line="480" w:lineRule="auto"/>
              <w:jc w:val="center"/>
            </w:pPr>
            <w:r w:rsidRPr="00B47143">
              <w:t>0</w:t>
            </w:r>
          </w:p>
        </w:tc>
      </w:tr>
      <w:tr w:rsidR="00B47143" w:rsidRPr="00B47143" w14:paraId="4AEE2757" w14:textId="77777777" w:rsidTr="001F721B">
        <w:tc>
          <w:tcPr>
            <w:tcW w:w="4957" w:type="dxa"/>
            <w:shd w:val="clear" w:color="auto" w:fill="auto"/>
            <w:vAlign w:val="center"/>
          </w:tcPr>
          <w:p w14:paraId="5D55BB02" w14:textId="77777777" w:rsidR="006C6A46" w:rsidRPr="00B47143" w:rsidRDefault="006C6A46" w:rsidP="005A58FE">
            <w:pPr>
              <w:spacing w:line="480" w:lineRule="auto"/>
              <w:rPr>
                <w:rFonts w:cstheme="minorHAnsi"/>
              </w:rPr>
            </w:pPr>
            <w:r w:rsidRPr="00B47143">
              <w:rPr>
                <w:rFonts w:cstheme="minorHAnsi"/>
              </w:rPr>
              <w:t xml:space="preserve">Occupational Therapist </w:t>
            </w:r>
          </w:p>
        </w:tc>
        <w:tc>
          <w:tcPr>
            <w:tcW w:w="1417" w:type="dxa"/>
          </w:tcPr>
          <w:p w14:paraId="3CF4187D" w14:textId="6042644D" w:rsidR="006C6A46" w:rsidRPr="00B47143" w:rsidRDefault="006C6A46" w:rsidP="001F721B">
            <w:pPr>
              <w:spacing w:line="480" w:lineRule="auto"/>
              <w:jc w:val="center"/>
            </w:pPr>
            <w:r w:rsidRPr="00B47143">
              <w:t>1</w:t>
            </w:r>
          </w:p>
        </w:tc>
        <w:tc>
          <w:tcPr>
            <w:tcW w:w="1134" w:type="dxa"/>
          </w:tcPr>
          <w:p w14:paraId="7B5C484D" w14:textId="6E0EB4D0" w:rsidR="006C6A46" w:rsidRPr="00B47143" w:rsidRDefault="006C6A46" w:rsidP="001F721B">
            <w:pPr>
              <w:spacing w:line="480" w:lineRule="auto"/>
              <w:jc w:val="center"/>
            </w:pPr>
            <w:r w:rsidRPr="00B47143">
              <w:t>4</w:t>
            </w:r>
          </w:p>
        </w:tc>
        <w:tc>
          <w:tcPr>
            <w:tcW w:w="1418" w:type="dxa"/>
          </w:tcPr>
          <w:p w14:paraId="1E4EAA76" w14:textId="453B7D68" w:rsidR="006C6A46" w:rsidRPr="00B47143" w:rsidRDefault="006C6A46" w:rsidP="001F721B">
            <w:pPr>
              <w:spacing w:line="480" w:lineRule="auto"/>
              <w:jc w:val="center"/>
            </w:pPr>
            <w:r w:rsidRPr="00B47143">
              <w:t>1</w:t>
            </w:r>
          </w:p>
        </w:tc>
      </w:tr>
      <w:tr w:rsidR="006C6A46" w:rsidRPr="00B47143" w14:paraId="7A4EAECD" w14:textId="77777777" w:rsidTr="001F721B">
        <w:tc>
          <w:tcPr>
            <w:tcW w:w="4957" w:type="dxa"/>
            <w:tcBorders>
              <w:bottom w:val="single" w:sz="4" w:space="0" w:color="auto"/>
            </w:tcBorders>
            <w:shd w:val="clear" w:color="auto" w:fill="auto"/>
            <w:vAlign w:val="center"/>
          </w:tcPr>
          <w:p w14:paraId="2D681078" w14:textId="77777777" w:rsidR="006C6A46" w:rsidRPr="00B47143" w:rsidRDefault="006C6A46" w:rsidP="005A58FE">
            <w:pPr>
              <w:spacing w:line="480" w:lineRule="auto"/>
              <w:rPr>
                <w:rFonts w:cstheme="minorHAnsi"/>
              </w:rPr>
            </w:pPr>
            <w:r w:rsidRPr="00B47143">
              <w:rPr>
                <w:rFonts w:cstheme="minorHAnsi"/>
              </w:rPr>
              <w:t>GP</w:t>
            </w:r>
          </w:p>
        </w:tc>
        <w:tc>
          <w:tcPr>
            <w:tcW w:w="1417" w:type="dxa"/>
            <w:tcBorders>
              <w:bottom w:val="single" w:sz="4" w:space="0" w:color="auto"/>
            </w:tcBorders>
          </w:tcPr>
          <w:p w14:paraId="0C4C9999" w14:textId="77777777" w:rsidR="006C6A46" w:rsidRPr="00B47143" w:rsidRDefault="006C6A46" w:rsidP="001F721B">
            <w:pPr>
              <w:spacing w:line="480" w:lineRule="auto"/>
              <w:jc w:val="center"/>
            </w:pPr>
            <w:r w:rsidRPr="00B47143">
              <w:t>0</w:t>
            </w:r>
          </w:p>
        </w:tc>
        <w:tc>
          <w:tcPr>
            <w:tcW w:w="1134" w:type="dxa"/>
            <w:tcBorders>
              <w:bottom w:val="single" w:sz="4" w:space="0" w:color="auto"/>
            </w:tcBorders>
          </w:tcPr>
          <w:p w14:paraId="71AD396D" w14:textId="1646E3B6" w:rsidR="006C6A46" w:rsidRPr="00B47143" w:rsidRDefault="006C6A46" w:rsidP="001F721B">
            <w:pPr>
              <w:spacing w:line="480" w:lineRule="auto"/>
              <w:jc w:val="center"/>
            </w:pPr>
            <w:r w:rsidRPr="00B47143">
              <w:t>2</w:t>
            </w:r>
          </w:p>
        </w:tc>
        <w:tc>
          <w:tcPr>
            <w:tcW w:w="1418" w:type="dxa"/>
            <w:tcBorders>
              <w:bottom w:val="single" w:sz="4" w:space="0" w:color="auto"/>
            </w:tcBorders>
          </w:tcPr>
          <w:p w14:paraId="1D81094E" w14:textId="77777777" w:rsidR="006C6A46" w:rsidRPr="00B47143" w:rsidRDefault="006C6A46" w:rsidP="001F721B">
            <w:pPr>
              <w:spacing w:line="480" w:lineRule="auto"/>
              <w:jc w:val="center"/>
            </w:pPr>
            <w:r w:rsidRPr="00B47143">
              <w:t>0</w:t>
            </w:r>
          </w:p>
        </w:tc>
      </w:tr>
    </w:tbl>
    <w:p w14:paraId="3794FAE4" w14:textId="77777777" w:rsidR="006C6A46" w:rsidRPr="00B47143" w:rsidRDefault="006C6A46" w:rsidP="006C6A46">
      <w:pPr>
        <w:spacing w:line="480" w:lineRule="auto"/>
      </w:pPr>
    </w:p>
    <w:p w14:paraId="23C311EB" w14:textId="687F5C66" w:rsidR="00AB0962" w:rsidRPr="00B47143" w:rsidRDefault="0018632C" w:rsidP="00861BCE">
      <w:pPr>
        <w:spacing w:after="240" w:line="480" w:lineRule="auto"/>
        <w:rPr>
          <w:i/>
        </w:rPr>
      </w:pPr>
      <w:r w:rsidRPr="00B47143">
        <w:rPr>
          <w:i/>
        </w:rPr>
        <w:t>Specific components of assessment</w:t>
      </w:r>
    </w:p>
    <w:p w14:paraId="5902917E" w14:textId="2A06F3E1" w:rsidR="0018632C" w:rsidRPr="00B47143" w:rsidRDefault="003C1843" w:rsidP="00AD26EB">
      <w:pPr>
        <w:spacing w:after="240" w:line="480" w:lineRule="auto"/>
      </w:pPr>
      <w:r w:rsidRPr="00B47143">
        <w:t xml:space="preserve">The </w:t>
      </w:r>
      <w:r w:rsidR="0020155E" w:rsidRPr="00B47143">
        <w:t>services report</w:t>
      </w:r>
      <w:r w:rsidRPr="00B47143">
        <w:t>ed on</w:t>
      </w:r>
      <w:r w:rsidR="0020155E" w:rsidRPr="00B47143">
        <w:t xml:space="preserve"> </w:t>
      </w:r>
      <w:r w:rsidR="002172F4" w:rsidRPr="00B47143">
        <w:t xml:space="preserve">the inclusion of </w:t>
      </w:r>
      <w:r w:rsidR="0018632C" w:rsidRPr="00B47143">
        <w:t xml:space="preserve">specific components of assessment </w:t>
      </w:r>
      <w:r w:rsidR="0020155E" w:rsidRPr="00B47143">
        <w:t xml:space="preserve">in their proactive screening, reactive assessment processes or both. </w:t>
      </w:r>
      <w:r w:rsidRPr="00B47143">
        <w:t>These include</w:t>
      </w:r>
      <w:r w:rsidR="003B52D6" w:rsidRPr="00B47143">
        <w:t>d</w:t>
      </w:r>
      <w:r w:rsidRPr="00B47143">
        <w:t xml:space="preserve"> health screening, </w:t>
      </w:r>
      <w:r w:rsidR="00D2356D" w:rsidRPr="00B47143">
        <w:t xml:space="preserve">assessment of cognitive and adaptive functioning and dementia specific assessments. </w:t>
      </w:r>
    </w:p>
    <w:p w14:paraId="563E3F1C" w14:textId="13B04DFF" w:rsidR="00EA48A0" w:rsidRPr="00B47143" w:rsidRDefault="00EA48A0" w:rsidP="00516C80">
      <w:pPr>
        <w:spacing w:after="240" w:line="480" w:lineRule="auto"/>
        <w:ind w:firstLine="720"/>
        <w:rPr>
          <w:i/>
        </w:rPr>
      </w:pPr>
      <w:r w:rsidRPr="00B47143">
        <w:rPr>
          <w:i/>
        </w:rPr>
        <w:t xml:space="preserve">Health </w:t>
      </w:r>
      <w:r w:rsidR="003C3B9D" w:rsidRPr="00B47143">
        <w:rPr>
          <w:i/>
        </w:rPr>
        <w:t>s</w:t>
      </w:r>
      <w:r w:rsidRPr="00B47143">
        <w:rPr>
          <w:i/>
        </w:rPr>
        <w:t>creening</w:t>
      </w:r>
    </w:p>
    <w:p w14:paraId="507E2DCF" w14:textId="4904E66E" w:rsidR="00015F97" w:rsidRPr="00B47143" w:rsidRDefault="00015F97" w:rsidP="00015F97">
      <w:pPr>
        <w:spacing w:after="240" w:line="480" w:lineRule="auto"/>
        <w:rPr>
          <w:i/>
        </w:rPr>
      </w:pPr>
      <w:r w:rsidRPr="00B47143">
        <w:t xml:space="preserve">Table 3 shows that the most common elements in the health screen reported by the participating services. </w:t>
      </w:r>
    </w:p>
    <w:p w14:paraId="1AF887BF" w14:textId="23B8078B" w:rsidR="00D43AF4" w:rsidRPr="00B47143" w:rsidRDefault="0068652F" w:rsidP="00261346">
      <w:pPr>
        <w:spacing w:line="480" w:lineRule="auto"/>
      </w:pPr>
      <w:r w:rsidRPr="00B47143">
        <w:t xml:space="preserve">Table </w:t>
      </w:r>
      <w:r w:rsidR="00A32207" w:rsidRPr="00B47143">
        <w:t>3</w:t>
      </w:r>
      <w:r w:rsidR="00183E26" w:rsidRPr="00B47143">
        <w:t>.</w:t>
      </w:r>
      <w:r w:rsidRPr="00B47143">
        <w:t xml:space="preserve"> </w:t>
      </w:r>
      <w:r w:rsidR="009967D3" w:rsidRPr="00B47143">
        <w:rPr>
          <w:i/>
        </w:rPr>
        <w:t>T</w:t>
      </w:r>
      <w:r w:rsidRPr="00B47143">
        <w:rPr>
          <w:i/>
        </w:rPr>
        <w:t xml:space="preserve">he number of services including different elements in their health check </w:t>
      </w:r>
      <w:r w:rsidRPr="00B47143">
        <w:rPr>
          <w:i/>
          <w:noProof/>
        </w:rPr>
        <w:t>in relation to</w:t>
      </w:r>
      <w:r w:rsidRPr="00B47143">
        <w:rPr>
          <w:i/>
        </w:rPr>
        <w:t xml:space="preserve"> proactive screening, reactiv</w:t>
      </w:r>
      <w:r w:rsidR="001717CE" w:rsidRPr="00B47143">
        <w:rPr>
          <w:i/>
        </w:rPr>
        <w:t>e assessment or</w:t>
      </w:r>
      <w:r w:rsidRPr="00B47143">
        <w:rPr>
          <w:i/>
        </w:rPr>
        <w:t xml:space="preserve"> both</w:t>
      </w:r>
      <w:r w:rsidRPr="00B4714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276"/>
        <w:gridCol w:w="1275"/>
        <w:gridCol w:w="993"/>
      </w:tblGrid>
      <w:tr w:rsidR="00B47143" w:rsidRPr="00B47143" w14:paraId="5BE481E0" w14:textId="77777777" w:rsidTr="001A5067">
        <w:tc>
          <w:tcPr>
            <w:tcW w:w="5382" w:type="dxa"/>
            <w:tcBorders>
              <w:top w:val="single" w:sz="4" w:space="0" w:color="auto"/>
              <w:bottom w:val="single" w:sz="4" w:space="0" w:color="auto"/>
            </w:tcBorders>
          </w:tcPr>
          <w:p w14:paraId="20521B2F" w14:textId="77777777" w:rsidR="001802DF" w:rsidRPr="00B47143" w:rsidRDefault="001802DF" w:rsidP="00261346">
            <w:pPr>
              <w:spacing w:line="480" w:lineRule="auto"/>
            </w:pPr>
          </w:p>
        </w:tc>
        <w:tc>
          <w:tcPr>
            <w:tcW w:w="1276" w:type="dxa"/>
            <w:tcBorders>
              <w:top w:val="single" w:sz="4" w:space="0" w:color="auto"/>
              <w:bottom w:val="single" w:sz="4" w:space="0" w:color="auto"/>
            </w:tcBorders>
          </w:tcPr>
          <w:p w14:paraId="08E998A5" w14:textId="610042AB" w:rsidR="001802DF" w:rsidRPr="00B47143" w:rsidRDefault="001802DF" w:rsidP="001A5067">
            <w:pPr>
              <w:spacing w:line="480" w:lineRule="auto"/>
              <w:jc w:val="center"/>
              <w:rPr>
                <w:b/>
              </w:rPr>
            </w:pPr>
            <w:r w:rsidRPr="00B47143">
              <w:rPr>
                <w:b/>
              </w:rPr>
              <w:t>Proactive only</w:t>
            </w:r>
          </w:p>
        </w:tc>
        <w:tc>
          <w:tcPr>
            <w:tcW w:w="1275" w:type="dxa"/>
            <w:tcBorders>
              <w:top w:val="single" w:sz="4" w:space="0" w:color="auto"/>
              <w:bottom w:val="single" w:sz="4" w:space="0" w:color="auto"/>
            </w:tcBorders>
          </w:tcPr>
          <w:p w14:paraId="049198C2" w14:textId="1CA5FF46" w:rsidR="001802DF" w:rsidRPr="00B47143" w:rsidRDefault="001802DF" w:rsidP="001A5067">
            <w:pPr>
              <w:spacing w:line="480" w:lineRule="auto"/>
              <w:jc w:val="center"/>
              <w:rPr>
                <w:b/>
              </w:rPr>
            </w:pPr>
            <w:r w:rsidRPr="00B47143">
              <w:rPr>
                <w:b/>
              </w:rPr>
              <w:t>Reactive only</w:t>
            </w:r>
          </w:p>
        </w:tc>
        <w:tc>
          <w:tcPr>
            <w:tcW w:w="993" w:type="dxa"/>
            <w:tcBorders>
              <w:top w:val="single" w:sz="4" w:space="0" w:color="auto"/>
              <w:bottom w:val="single" w:sz="4" w:space="0" w:color="auto"/>
            </w:tcBorders>
          </w:tcPr>
          <w:p w14:paraId="5D056D28" w14:textId="77777777" w:rsidR="001802DF" w:rsidRPr="00B47143" w:rsidRDefault="001802DF" w:rsidP="001A5067">
            <w:pPr>
              <w:spacing w:line="480" w:lineRule="auto"/>
              <w:jc w:val="center"/>
              <w:rPr>
                <w:b/>
              </w:rPr>
            </w:pPr>
            <w:r w:rsidRPr="00B47143">
              <w:rPr>
                <w:b/>
              </w:rPr>
              <w:t>Both</w:t>
            </w:r>
          </w:p>
          <w:p w14:paraId="609E0166" w14:textId="262E84DB" w:rsidR="001802DF" w:rsidRPr="00B47143" w:rsidRDefault="001802DF" w:rsidP="001A5067">
            <w:pPr>
              <w:spacing w:line="480" w:lineRule="auto"/>
              <w:jc w:val="center"/>
              <w:rPr>
                <w:b/>
              </w:rPr>
            </w:pPr>
          </w:p>
        </w:tc>
      </w:tr>
      <w:tr w:rsidR="00B47143" w:rsidRPr="00B47143" w14:paraId="39833C40" w14:textId="77777777" w:rsidTr="001A5067">
        <w:tc>
          <w:tcPr>
            <w:tcW w:w="5382" w:type="dxa"/>
            <w:tcBorders>
              <w:top w:val="single" w:sz="4" w:space="0" w:color="auto"/>
            </w:tcBorders>
            <w:shd w:val="clear" w:color="auto" w:fill="auto"/>
            <w:vAlign w:val="center"/>
          </w:tcPr>
          <w:p w14:paraId="685745AA" w14:textId="18D2F4C3" w:rsidR="001802DF" w:rsidRPr="00B47143" w:rsidRDefault="001802DF" w:rsidP="00261346">
            <w:pPr>
              <w:spacing w:line="480" w:lineRule="auto"/>
            </w:pPr>
            <w:r w:rsidRPr="00B47143">
              <w:t>Assess</w:t>
            </w:r>
            <w:r w:rsidR="009555BE" w:rsidRPr="00B47143">
              <w:t>ment of the person's history</w:t>
            </w:r>
          </w:p>
        </w:tc>
        <w:tc>
          <w:tcPr>
            <w:tcW w:w="1276" w:type="dxa"/>
            <w:tcBorders>
              <w:top w:val="single" w:sz="4" w:space="0" w:color="auto"/>
            </w:tcBorders>
          </w:tcPr>
          <w:p w14:paraId="77187C0C" w14:textId="7C1AB656" w:rsidR="001802DF" w:rsidRPr="00B47143" w:rsidRDefault="0068652F" w:rsidP="001A5067">
            <w:pPr>
              <w:spacing w:line="480" w:lineRule="auto"/>
              <w:jc w:val="center"/>
            </w:pPr>
            <w:r w:rsidRPr="00B47143">
              <w:t>1</w:t>
            </w:r>
          </w:p>
        </w:tc>
        <w:tc>
          <w:tcPr>
            <w:tcW w:w="1275" w:type="dxa"/>
            <w:tcBorders>
              <w:top w:val="single" w:sz="4" w:space="0" w:color="auto"/>
            </w:tcBorders>
          </w:tcPr>
          <w:p w14:paraId="015BCAC7" w14:textId="27D1F7A1" w:rsidR="001802DF" w:rsidRPr="00B47143" w:rsidRDefault="0068652F" w:rsidP="001A5067">
            <w:pPr>
              <w:spacing w:line="480" w:lineRule="auto"/>
              <w:jc w:val="center"/>
            </w:pPr>
            <w:r w:rsidRPr="00B47143">
              <w:t>6</w:t>
            </w:r>
          </w:p>
        </w:tc>
        <w:tc>
          <w:tcPr>
            <w:tcW w:w="993" w:type="dxa"/>
            <w:tcBorders>
              <w:top w:val="single" w:sz="4" w:space="0" w:color="auto"/>
            </w:tcBorders>
          </w:tcPr>
          <w:p w14:paraId="397EF5DB" w14:textId="3D15B507" w:rsidR="001802DF" w:rsidRPr="00B47143" w:rsidRDefault="0068652F" w:rsidP="001A5067">
            <w:pPr>
              <w:spacing w:line="480" w:lineRule="auto"/>
              <w:jc w:val="center"/>
            </w:pPr>
            <w:r w:rsidRPr="00B47143">
              <w:t>5</w:t>
            </w:r>
          </w:p>
        </w:tc>
      </w:tr>
      <w:tr w:rsidR="00B47143" w:rsidRPr="00B47143" w14:paraId="5EFA8F44" w14:textId="77777777" w:rsidTr="001A5067">
        <w:tc>
          <w:tcPr>
            <w:tcW w:w="5382" w:type="dxa"/>
            <w:shd w:val="clear" w:color="auto" w:fill="auto"/>
            <w:vAlign w:val="center"/>
          </w:tcPr>
          <w:p w14:paraId="7AAB23AF" w14:textId="2C3EFF92" w:rsidR="001802DF" w:rsidRPr="00B47143" w:rsidRDefault="009555BE" w:rsidP="00261346">
            <w:pPr>
              <w:spacing w:line="480" w:lineRule="auto"/>
            </w:pPr>
            <w:r w:rsidRPr="00B47143">
              <w:t>Thyroid test</w:t>
            </w:r>
          </w:p>
        </w:tc>
        <w:tc>
          <w:tcPr>
            <w:tcW w:w="1276" w:type="dxa"/>
          </w:tcPr>
          <w:p w14:paraId="1284F8DF" w14:textId="2AC049CF" w:rsidR="001802DF" w:rsidRPr="00B47143" w:rsidRDefault="0068652F" w:rsidP="001A5067">
            <w:pPr>
              <w:spacing w:line="480" w:lineRule="auto"/>
              <w:jc w:val="center"/>
            </w:pPr>
            <w:r w:rsidRPr="00B47143">
              <w:t>1</w:t>
            </w:r>
          </w:p>
        </w:tc>
        <w:tc>
          <w:tcPr>
            <w:tcW w:w="1275" w:type="dxa"/>
          </w:tcPr>
          <w:p w14:paraId="124C4613" w14:textId="04CEA9B5" w:rsidR="001802DF" w:rsidRPr="00B47143" w:rsidRDefault="0068652F" w:rsidP="001A5067">
            <w:pPr>
              <w:spacing w:line="480" w:lineRule="auto"/>
              <w:jc w:val="center"/>
            </w:pPr>
            <w:r w:rsidRPr="00B47143">
              <w:t>5</w:t>
            </w:r>
          </w:p>
        </w:tc>
        <w:tc>
          <w:tcPr>
            <w:tcW w:w="993" w:type="dxa"/>
          </w:tcPr>
          <w:p w14:paraId="1329102F" w14:textId="07514845" w:rsidR="001802DF" w:rsidRPr="00B47143" w:rsidRDefault="0068652F" w:rsidP="001A5067">
            <w:pPr>
              <w:spacing w:line="480" w:lineRule="auto"/>
              <w:jc w:val="center"/>
            </w:pPr>
            <w:r w:rsidRPr="00B47143">
              <w:t>4</w:t>
            </w:r>
          </w:p>
        </w:tc>
      </w:tr>
      <w:tr w:rsidR="00B47143" w:rsidRPr="00B47143" w14:paraId="1778676E" w14:textId="77777777" w:rsidTr="001A5067">
        <w:tc>
          <w:tcPr>
            <w:tcW w:w="5382" w:type="dxa"/>
            <w:shd w:val="clear" w:color="auto" w:fill="auto"/>
            <w:vAlign w:val="center"/>
          </w:tcPr>
          <w:p w14:paraId="4D570A94" w14:textId="1AAF05A0" w:rsidR="001802DF" w:rsidRPr="00B47143" w:rsidRDefault="009555BE" w:rsidP="00261346">
            <w:pPr>
              <w:spacing w:line="480" w:lineRule="auto"/>
            </w:pPr>
            <w:r w:rsidRPr="00B47143">
              <w:t>Cardiovascular assessment</w:t>
            </w:r>
          </w:p>
        </w:tc>
        <w:tc>
          <w:tcPr>
            <w:tcW w:w="1276" w:type="dxa"/>
          </w:tcPr>
          <w:p w14:paraId="1F3DB8AB" w14:textId="37F8D688" w:rsidR="001802DF" w:rsidRPr="00B47143" w:rsidRDefault="001802DF" w:rsidP="001A5067">
            <w:pPr>
              <w:spacing w:line="480" w:lineRule="auto"/>
              <w:jc w:val="center"/>
            </w:pPr>
            <w:r w:rsidRPr="00B47143">
              <w:t>0</w:t>
            </w:r>
          </w:p>
        </w:tc>
        <w:tc>
          <w:tcPr>
            <w:tcW w:w="1275" w:type="dxa"/>
          </w:tcPr>
          <w:p w14:paraId="1DE236FD" w14:textId="544E256E" w:rsidR="001802DF" w:rsidRPr="00B47143" w:rsidRDefault="0068652F" w:rsidP="001A5067">
            <w:pPr>
              <w:spacing w:line="480" w:lineRule="auto"/>
              <w:jc w:val="center"/>
            </w:pPr>
            <w:r w:rsidRPr="00B47143">
              <w:t>4</w:t>
            </w:r>
          </w:p>
        </w:tc>
        <w:tc>
          <w:tcPr>
            <w:tcW w:w="993" w:type="dxa"/>
          </w:tcPr>
          <w:p w14:paraId="0A644A9A" w14:textId="54FEC6CD" w:rsidR="001802DF" w:rsidRPr="00B47143" w:rsidRDefault="0068652F" w:rsidP="001A5067">
            <w:pPr>
              <w:spacing w:line="480" w:lineRule="auto"/>
              <w:jc w:val="center"/>
            </w:pPr>
            <w:r w:rsidRPr="00B47143">
              <w:t>2</w:t>
            </w:r>
          </w:p>
        </w:tc>
      </w:tr>
      <w:tr w:rsidR="00B47143" w:rsidRPr="00B47143" w14:paraId="4DF734F3" w14:textId="77777777" w:rsidTr="001A5067">
        <w:tc>
          <w:tcPr>
            <w:tcW w:w="5382" w:type="dxa"/>
            <w:shd w:val="clear" w:color="auto" w:fill="auto"/>
            <w:vAlign w:val="center"/>
          </w:tcPr>
          <w:p w14:paraId="0124B1AB" w14:textId="511D3F82" w:rsidR="001802DF" w:rsidRPr="00B47143" w:rsidRDefault="001802DF" w:rsidP="00261346">
            <w:pPr>
              <w:spacing w:line="480" w:lineRule="auto"/>
            </w:pPr>
            <w:r w:rsidRPr="00B47143">
              <w:t xml:space="preserve">Depression assessment </w:t>
            </w:r>
          </w:p>
        </w:tc>
        <w:tc>
          <w:tcPr>
            <w:tcW w:w="1276" w:type="dxa"/>
          </w:tcPr>
          <w:p w14:paraId="77C0A444" w14:textId="74C3FF23" w:rsidR="001802DF" w:rsidRPr="00B47143" w:rsidRDefault="001802DF" w:rsidP="001A5067">
            <w:pPr>
              <w:spacing w:line="480" w:lineRule="auto"/>
              <w:jc w:val="center"/>
            </w:pPr>
            <w:r w:rsidRPr="00B47143">
              <w:t>0</w:t>
            </w:r>
          </w:p>
        </w:tc>
        <w:tc>
          <w:tcPr>
            <w:tcW w:w="1275" w:type="dxa"/>
          </w:tcPr>
          <w:p w14:paraId="346AB8EB" w14:textId="4D1D7825" w:rsidR="001802DF" w:rsidRPr="00B47143" w:rsidRDefault="0068652F" w:rsidP="001A5067">
            <w:pPr>
              <w:spacing w:line="480" w:lineRule="auto"/>
              <w:jc w:val="center"/>
            </w:pPr>
            <w:r w:rsidRPr="00B47143">
              <w:t>4</w:t>
            </w:r>
          </w:p>
        </w:tc>
        <w:tc>
          <w:tcPr>
            <w:tcW w:w="993" w:type="dxa"/>
          </w:tcPr>
          <w:p w14:paraId="7D44EA41" w14:textId="6757D3D8" w:rsidR="001802DF" w:rsidRPr="00B47143" w:rsidRDefault="0068652F" w:rsidP="001A5067">
            <w:pPr>
              <w:spacing w:line="480" w:lineRule="auto"/>
              <w:jc w:val="center"/>
            </w:pPr>
            <w:r w:rsidRPr="00B47143">
              <w:t>1</w:t>
            </w:r>
          </w:p>
        </w:tc>
      </w:tr>
      <w:tr w:rsidR="00B47143" w:rsidRPr="00B47143" w14:paraId="3913EE2D" w14:textId="77777777" w:rsidTr="001A5067">
        <w:tc>
          <w:tcPr>
            <w:tcW w:w="5382" w:type="dxa"/>
            <w:shd w:val="clear" w:color="auto" w:fill="auto"/>
            <w:vAlign w:val="center"/>
          </w:tcPr>
          <w:p w14:paraId="1FB72CB0" w14:textId="21D59B5B" w:rsidR="001802DF" w:rsidRPr="00B47143" w:rsidRDefault="009555BE" w:rsidP="00261346">
            <w:pPr>
              <w:spacing w:line="480" w:lineRule="auto"/>
            </w:pPr>
            <w:r w:rsidRPr="00B47143">
              <w:t>Hearing assessment</w:t>
            </w:r>
          </w:p>
        </w:tc>
        <w:tc>
          <w:tcPr>
            <w:tcW w:w="1276" w:type="dxa"/>
          </w:tcPr>
          <w:p w14:paraId="513A30AE" w14:textId="7E96FCD4" w:rsidR="001802DF" w:rsidRPr="00B47143" w:rsidRDefault="0068652F" w:rsidP="001A5067">
            <w:pPr>
              <w:spacing w:line="480" w:lineRule="auto"/>
              <w:jc w:val="center"/>
            </w:pPr>
            <w:r w:rsidRPr="00B47143">
              <w:t>1</w:t>
            </w:r>
          </w:p>
        </w:tc>
        <w:tc>
          <w:tcPr>
            <w:tcW w:w="1275" w:type="dxa"/>
          </w:tcPr>
          <w:p w14:paraId="406A6DC2" w14:textId="016E459C" w:rsidR="001802DF" w:rsidRPr="00B47143" w:rsidRDefault="0068652F" w:rsidP="001A5067">
            <w:pPr>
              <w:spacing w:line="480" w:lineRule="auto"/>
              <w:jc w:val="center"/>
            </w:pPr>
            <w:r w:rsidRPr="00B47143">
              <w:t>3</w:t>
            </w:r>
          </w:p>
        </w:tc>
        <w:tc>
          <w:tcPr>
            <w:tcW w:w="993" w:type="dxa"/>
          </w:tcPr>
          <w:p w14:paraId="4E01908E" w14:textId="7E71170F" w:rsidR="001802DF" w:rsidRPr="00B47143" w:rsidRDefault="0068652F" w:rsidP="001A5067">
            <w:pPr>
              <w:spacing w:line="480" w:lineRule="auto"/>
              <w:jc w:val="center"/>
            </w:pPr>
            <w:r w:rsidRPr="00B47143">
              <w:t>4</w:t>
            </w:r>
          </w:p>
        </w:tc>
      </w:tr>
      <w:tr w:rsidR="001802DF" w:rsidRPr="00B47143" w14:paraId="4163B41B" w14:textId="77777777" w:rsidTr="001A5067">
        <w:tc>
          <w:tcPr>
            <w:tcW w:w="5382" w:type="dxa"/>
            <w:tcBorders>
              <w:bottom w:val="single" w:sz="4" w:space="0" w:color="auto"/>
            </w:tcBorders>
            <w:shd w:val="clear" w:color="auto" w:fill="auto"/>
            <w:vAlign w:val="center"/>
          </w:tcPr>
          <w:p w14:paraId="4CA510F5" w14:textId="4A81920E" w:rsidR="001802DF" w:rsidRPr="00B47143" w:rsidRDefault="009555BE" w:rsidP="00261346">
            <w:pPr>
              <w:spacing w:line="480" w:lineRule="auto"/>
            </w:pPr>
            <w:r w:rsidRPr="00B47143">
              <w:t>Vision assessment</w:t>
            </w:r>
          </w:p>
        </w:tc>
        <w:tc>
          <w:tcPr>
            <w:tcW w:w="1276" w:type="dxa"/>
            <w:tcBorders>
              <w:bottom w:val="single" w:sz="4" w:space="0" w:color="auto"/>
            </w:tcBorders>
          </w:tcPr>
          <w:p w14:paraId="73887452" w14:textId="538E8CCA" w:rsidR="001802DF" w:rsidRPr="00B47143" w:rsidRDefault="0068652F" w:rsidP="001A5067">
            <w:pPr>
              <w:spacing w:line="480" w:lineRule="auto"/>
              <w:jc w:val="center"/>
            </w:pPr>
            <w:r w:rsidRPr="00B47143">
              <w:t>1</w:t>
            </w:r>
          </w:p>
        </w:tc>
        <w:tc>
          <w:tcPr>
            <w:tcW w:w="1275" w:type="dxa"/>
            <w:tcBorders>
              <w:bottom w:val="single" w:sz="4" w:space="0" w:color="auto"/>
            </w:tcBorders>
          </w:tcPr>
          <w:p w14:paraId="54E36E84" w14:textId="1EBC0DCE" w:rsidR="001802DF" w:rsidRPr="00B47143" w:rsidRDefault="0068652F" w:rsidP="001A5067">
            <w:pPr>
              <w:spacing w:line="480" w:lineRule="auto"/>
              <w:jc w:val="center"/>
            </w:pPr>
            <w:r w:rsidRPr="00B47143">
              <w:t>3</w:t>
            </w:r>
          </w:p>
        </w:tc>
        <w:tc>
          <w:tcPr>
            <w:tcW w:w="993" w:type="dxa"/>
            <w:tcBorders>
              <w:bottom w:val="single" w:sz="4" w:space="0" w:color="auto"/>
            </w:tcBorders>
          </w:tcPr>
          <w:p w14:paraId="34139A31" w14:textId="2F6A6B4F" w:rsidR="001802DF" w:rsidRPr="00B47143" w:rsidRDefault="0068652F" w:rsidP="001A5067">
            <w:pPr>
              <w:spacing w:line="480" w:lineRule="auto"/>
              <w:jc w:val="center"/>
            </w:pPr>
            <w:r w:rsidRPr="00B47143">
              <w:t>4</w:t>
            </w:r>
          </w:p>
        </w:tc>
      </w:tr>
    </w:tbl>
    <w:p w14:paraId="663A099D" w14:textId="75B53600" w:rsidR="001802DF" w:rsidRPr="00B47143" w:rsidRDefault="001802DF" w:rsidP="00261346">
      <w:pPr>
        <w:spacing w:line="480" w:lineRule="auto"/>
      </w:pPr>
    </w:p>
    <w:p w14:paraId="3BF5B160" w14:textId="4B057C71" w:rsidR="009B1ABE" w:rsidRPr="00B47143" w:rsidRDefault="009B1ABE" w:rsidP="00122429">
      <w:pPr>
        <w:spacing w:after="240" w:line="480" w:lineRule="auto"/>
        <w:ind w:firstLine="720"/>
        <w:rPr>
          <w:i/>
        </w:rPr>
      </w:pPr>
      <w:r w:rsidRPr="00B47143">
        <w:rPr>
          <w:i/>
        </w:rPr>
        <w:t>Cognitive assessment</w:t>
      </w:r>
    </w:p>
    <w:p w14:paraId="11B5C311" w14:textId="28F26680" w:rsidR="00482CFC" w:rsidRPr="00B47143" w:rsidRDefault="003C730D" w:rsidP="00861BCE">
      <w:pPr>
        <w:spacing w:after="240" w:line="480" w:lineRule="auto"/>
      </w:pPr>
      <w:r w:rsidRPr="00B47143">
        <w:rPr>
          <w:noProof/>
        </w:rPr>
        <w:t>A total of 11 different cognitive assessments were used by the participating services</w:t>
      </w:r>
      <w:r w:rsidRPr="00B47143">
        <w:t xml:space="preserve">. </w:t>
      </w:r>
      <w:r w:rsidR="00AA67CA" w:rsidRPr="00B47143">
        <w:rPr>
          <w:noProof/>
        </w:rPr>
        <w:t>The</w:t>
      </w:r>
      <w:r w:rsidR="00482CFC" w:rsidRPr="00B47143">
        <w:rPr>
          <w:noProof/>
        </w:rPr>
        <w:t xml:space="preserve"> </w:t>
      </w:r>
      <w:r w:rsidR="00B25CE4" w:rsidRPr="00B47143">
        <w:rPr>
          <w:noProof/>
        </w:rPr>
        <w:t xml:space="preserve">most commonly used </w:t>
      </w:r>
      <w:r w:rsidR="00AA67CA" w:rsidRPr="00B47143">
        <w:rPr>
          <w:noProof/>
        </w:rPr>
        <w:t xml:space="preserve">were </w:t>
      </w:r>
      <w:r w:rsidRPr="00B47143">
        <w:rPr>
          <w:noProof/>
        </w:rPr>
        <w:t>the Dementia Questionnaire for People with Learning Disabilities (DLD</w:t>
      </w:r>
      <w:r w:rsidR="00540090" w:rsidRPr="00B47143">
        <w:rPr>
          <w:noProof/>
        </w:rPr>
        <w:t>;</w:t>
      </w:r>
      <w:r w:rsidRPr="00B47143">
        <w:rPr>
          <w:noProof/>
        </w:rPr>
        <w:t xml:space="preserve"> Evenhuis, 1992; Evenhuis, Kengen, &amp; Eurlings, 2009)</w:t>
      </w:r>
      <w:r w:rsidR="00540090" w:rsidRPr="00B47143">
        <w:rPr>
          <w:noProof/>
        </w:rPr>
        <w:t>,</w:t>
      </w:r>
      <w:r w:rsidRPr="00B47143">
        <w:rPr>
          <w:noProof/>
        </w:rPr>
        <w:t xml:space="preserve"> the </w:t>
      </w:r>
      <w:r w:rsidR="00AA67CA" w:rsidRPr="00B47143">
        <w:rPr>
          <w:noProof/>
        </w:rPr>
        <w:t>Cambridge Cognitive Examination modified for use in a group with Down syndrome (CAMCOG-DS</w:t>
      </w:r>
      <w:r w:rsidR="00540090" w:rsidRPr="00B47143">
        <w:rPr>
          <w:noProof/>
        </w:rPr>
        <w:t>;</w:t>
      </w:r>
      <w:r w:rsidR="00AA67CA" w:rsidRPr="00B47143">
        <w:rPr>
          <w:noProof/>
        </w:rPr>
        <w:t xml:space="preserve"> Hon, Huppert, Holland, &amp; Watson, 1999)</w:t>
      </w:r>
      <w:r w:rsidRPr="00B47143">
        <w:rPr>
          <w:noProof/>
        </w:rPr>
        <w:t xml:space="preserve"> and the Severe Impairment Battery (SIB</w:t>
      </w:r>
      <w:r w:rsidR="00540090" w:rsidRPr="00B47143">
        <w:rPr>
          <w:noProof/>
        </w:rPr>
        <w:t>;</w:t>
      </w:r>
      <w:r w:rsidRPr="00B47143">
        <w:rPr>
          <w:noProof/>
        </w:rPr>
        <w:t xml:space="preserve"> Saxton, McGonicle, Swihart, &amp; Boller, 1993)</w:t>
      </w:r>
      <w:r w:rsidR="00E27652" w:rsidRPr="00B47143">
        <w:rPr>
          <w:noProof/>
        </w:rPr>
        <w:t>.</w:t>
      </w:r>
      <w:r w:rsidR="00E27652" w:rsidRPr="00B47143">
        <w:t xml:space="preserve"> </w:t>
      </w:r>
    </w:p>
    <w:p w14:paraId="3AD79C47" w14:textId="75910020" w:rsidR="00392970" w:rsidRPr="00B47143" w:rsidRDefault="003C730D" w:rsidP="00AD26EB">
      <w:pPr>
        <w:spacing w:after="240" w:line="480" w:lineRule="auto"/>
      </w:pPr>
      <w:bookmarkStart w:id="6" w:name="_Hlk511910611"/>
      <w:r w:rsidRPr="00B47143">
        <w:t xml:space="preserve">The DLD </w:t>
      </w:r>
      <w:r w:rsidRPr="00B47143">
        <w:rPr>
          <w:noProof/>
        </w:rPr>
        <w:t>was used</w:t>
      </w:r>
      <w:r w:rsidRPr="00B47143">
        <w:t xml:space="preserve"> by all 11 services (</w:t>
      </w:r>
      <w:r w:rsidR="00D066EE" w:rsidRPr="00B47143">
        <w:t>one</w:t>
      </w:r>
      <w:r w:rsidRPr="00B47143">
        <w:t xml:space="preserve"> for proactive assessment, </w:t>
      </w:r>
      <w:r w:rsidR="00D066EE" w:rsidRPr="00B47143">
        <w:t>four</w:t>
      </w:r>
      <w:r w:rsidRPr="00B47143">
        <w:t xml:space="preserve"> for reactive assessment and </w:t>
      </w:r>
      <w:r w:rsidR="00D066EE" w:rsidRPr="00B47143">
        <w:t>six</w:t>
      </w:r>
      <w:r w:rsidRPr="00B47143">
        <w:t xml:space="preserve"> for both purposes). The CAMCOG-DS </w:t>
      </w:r>
      <w:r w:rsidR="00AA67CA" w:rsidRPr="00B47143">
        <w:rPr>
          <w:noProof/>
        </w:rPr>
        <w:t>was used</w:t>
      </w:r>
      <w:r w:rsidR="00AA67CA" w:rsidRPr="00B47143">
        <w:t xml:space="preserve"> </w:t>
      </w:r>
      <w:r w:rsidRPr="00B47143">
        <w:t xml:space="preserve">by </w:t>
      </w:r>
      <w:r w:rsidR="00D066EE" w:rsidRPr="00B47143">
        <w:t>nine</w:t>
      </w:r>
      <w:r w:rsidRPr="00B47143">
        <w:t xml:space="preserve"> </w:t>
      </w:r>
      <w:r w:rsidR="00392970" w:rsidRPr="00B47143">
        <w:t xml:space="preserve">of the participating </w:t>
      </w:r>
      <w:r w:rsidRPr="00B47143">
        <w:t>services (</w:t>
      </w:r>
      <w:r w:rsidR="00D066EE" w:rsidRPr="00B47143">
        <w:t>one</w:t>
      </w:r>
      <w:r w:rsidRPr="00B47143">
        <w:t xml:space="preserve"> for proactive assessment, </w:t>
      </w:r>
      <w:r w:rsidR="00D066EE" w:rsidRPr="00B47143">
        <w:t>three</w:t>
      </w:r>
      <w:r w:rsidRPr="00B47143">
        <w:t xml:space="preserve"> for reactive assessment and </w:t>
      </w:r>
      <w:r w:rsidR="00D066EE" w:rsidRPr="00B47143">
        <w:t>five</w:t>
      </w:r>
      <w:r w:rsidRPr="00B47143">
        <w:t xml:space="preserve"> for both purposes)</w:t>
      </w:r>
      <w:r w:rsidR="00392970" w:rsidRPr="00B47143">
        <w:t xml:space="preserve">. </w:t>
      </w:r>
      <w:r w:rsidR="00A75FE4" w:rsidRPr="00B47143">
        <w:t xml:space="preserve">The SIB </w:t>
      </w:r>
      <w:r w:rsidR="00A75FE4" w:rsidRPr="00B47143">
        <w:rPr>
          <w:noProof/>
        </w:rPr>
        <w:t>was used</w:t>
      </w:r>
      <w:r w:rsidR="00A75FE4" w:rsidRPr="00B47143">
        <w:t xml:space="preserve"> by </w:t>
      </w:r>
      <w:r w:rsidR="00D066EE" w:rsidRPr="00B47143">
        <w:t>eight</w:t>
      </w:r>
      <w:r w:rsidR="00A75FE4" w:rsidRPr="00B47143">
        <w:t xml:space="preserve"> of the participating services (</w:t>
      </w:r>
      <w:r w:rsidR="00D066EE" w:rsidRPr="00B47143">
        <w:t>one</w:t>
      </w:r>
      <w:r w:rsidR="00A75FE4" w:rsidRPr="00B47143">
        <w:t xml:space="preserve"> for proactive screening, </w:t>
      </w:r>
      <w:r w:rsidR="00D066EE" w:rsidRPr="00B47143">
        <w:t>five</w:t>
      </w:r>
      <w:r w:rsidR="00A75FE4" w:rsidRPr="00B47143">
        <w:t xml:space="preserve"> for reactive assessment and </w:t>
      </w:r>
      <w:r w:rsidR="00D066EE" w:rsidRPr="00B47143">
        <w:t>two</w:t>
      </w:r>
      <w:r w:rsidR="00A75FE4" w:rsidRPr="00B47143">
        <w:t xml:space="preserve"> for both purposes). </w:t>
      </w:r>
    </w:p>
    <w:bookmarkEnd w:id="6"/>
    <w:p w14:paraId="402EE9C7" w14:textId="3DFF2D93" w:rsidR="001564D9" w:rsidRPr="00B47143" w:rsidRDefault="001564D9" w:rsidP="00122429">
      <w:pPr>
        <w:spacing w:after="240" w:line="480" w:lineRule="auto"/>
        <w:ind w:firstLine="720"/>
        <w:rPr>
          <w:i/>
        </w:rPr>
      </w:pPr>
      <w:r w:rsidRPr="00B47143">
        <w:rPr>
          <w:i/>
        </w:rPr>
        <w:t xml:space="preserve">Assessments of </w:t>
      </w:r>
      <w:r w:rsidR="00067A5B" w:rsidRPr="00B47143">
        <w:rPr>
          <w:i/>
        </w:rPr>
        <w:t>d</w:t>
      </w:r>
      <w:r w:rsidRPr="00B47143">
        <w:rPr>
          <w:i/>
        </w:rPr>
        <w:t xml:space="preserve">aily </w:t>
      </w:r>
      <w:r w:rsidR="00067A5B" w:rsidRPr="00B47143">
        <w:rPr>
          <w:i/>
        </w:rPr>
        <w:t>l</w:t>
      </w:r>
      <w:r w:rsidRPr="00B47143">
        <w:rPr>
          <w:i/>
        </w:rPr>
        <w:t xml:space="preserve">iving </w:t>
      </w:r>
      <w:r w:rsidR="00067A5B" w:rsidRPr="00B47143">
        <w:rPr>
          <w:i/>
        </w:rPr>
        <w:t>s</w:t>
      </w:r>
      <w:r w:rsidRPr="00B47143">
        <w:rPr>
          <w:i/>
        </w:rPr>
        <w:t>kills</w:t>
      </w:r>
    </w:p>
    <w:p w14:paraId="61EEFAA5" w14:textId="56BEBAD1" w:rsidR="004F60AF" w:rsidRPr="00B47143" w:rsidRDefault="006379BC" w:rsidP="00AD26EB">
      <w:pPr>
        <w:spacing w:after="240" w:line="480" w:lineRule="auto"/>
      </w:pPr>
      <w:r w:rsidRPr="00B47143">
        <w:t xml:space="preserve">The </w:t>
      </w:r>
      <w:r w:rsidR="009937FA" w:rsidRPr="00B47143">
        <w:t xml:space="preserve">participating services reported using six different assessments of adaptive functioning. The </w:t>
      </w:r>
      <w:r w:rsidRPr="00B47143">
        <w:t>most common</w:t>
      </w:r>
      <w:r w:rsidR="00B13BFA" w:rsidRPr="00B47143">
        <w:t>ly used</w:t>
      </w:r>
      <w:r w:rsidRPr="00B47143">
        <w:t xml:space="preserve"> measures of daily living skills were the </w:t>
      </w:r>
      <w:r w:rsidR="009937FA" w:rsidRPr="00B47143">
        <w:t>Adaptive Behaviour Assessment System (ABAS</w:t>
      </w:r>
      <w:r w:rsidR="00A063B9" w:rsidRPr="00B47143">
        <w:t>;</w:t>
      </w:r>
      <w:r w:rsidR="009937FA" w:rsidRPr="00B47143">
        <w:t xml:space="preserve"> Harrison &amp; Oakland, 2015)</w:t>
      </w:r>
      <w:r w:rsidR="00A063B9" w:rsidRPr="00B47143">
        <w:rPr>
          <w:noProof/>
        </w:rPr>
        <w:t xml:space="preserve"> </w:t>
      </w:r>
      <w:r w:rsidR="009937FA" w:rsidRPr="00B47143">
        <w:rPr>
          <w:noProof/>
        </w:rPr>
        <w:t>and</w:t>
      </w:r>
      <w:r w:rsidR="009937FA" w:rsidRPr="00B47143">
        <w:t xml:space="preserve"> the Vineland Adaptive Behaviour Scales (VABS</w:t>
      </w:r>
      <w:r w:rsidR="00A063B9" w:rsidRPr="00B47143">
        <w:t>;</w:t>
      </w:r>
      <w:r w:rsidR="009937FA" w:rsidRPr="00B47143">
        <w:t xml:space="preserve"> Sparrow, Cicchetti, &amp; Saulnier, 2016). The ABAS</w:t>
      </w:r>
      <w:r w:rsidR="00410136" w:rsidRPr="00B47143">
        <w:t xml:space="preserve"> </w:t>
      </w:r>
      <w:r w:rsidR="009937FA" w:rsidRPr="00B47143">
        <w:rPr>
          <w:noProof/>
        </w:rPr>
        <w:t>was used</w:t>
      </w:r>
      <w:r w:rsidR="009937FA" w:rsidRPr="00B47143">
        <w:t xml:space="preserve"> by </w:t>
      </w:r>
      <w:r w:rsidR="00D066EE" w:rsidRPr="00B47143">
        <w:rPr>
          <w:noProof/>
        </w:rPr>
        <w:t>eight</w:t>
      </w:r>
      <w:r w:rsidR="009937FA" w:rsidRPr="00B47143">
        <w:t xml:space="preserve"> services (</w:t>
      </w:r>
      <w:r w:rsidR="00D066EE" w:rsidRPr="00B47143">
        <w:t>five</w:t>
      </w:r>
      <w:r w:rsidR="009937FA" w:rsidRPr="00B47143">
        <w:t xml:space="preserve"> as a reactive assessment and </w:t>
      </w:r>
      <w:r w:rsidR="00D066EE" w:rsidRPr="00B47143">
        <w:t>three</w:t>
      </w:r>
      <w:r w:rsidR="009937FA" w:rsidRPr="00B47143">
        <w:t xml:space="preserve"> for both proactive and reactive assessment</w:t>
      </w:r>
      <w:r w:rsidR="00410136" w:rsidRPr="00B47143">
        <w:t>)</w:t>
      </w:r>
      <w:r w:rsidR="009937FA" w:rsidRPr="00B47143">
        <w:t xml:space="preserve">. </w:t>
      </w:r>
      <w:r w:rsidR="00F8541B" w:rsidRPr="00B47143">
        <w:t xml:space="preserve">The VABS </w:t>
      </w:r>
      <w:r w:rsidR="00F8541B" w:rsidRPr="00B47143">
        <w:rPr>
          <w:noProof/>
        </w:rPr>
        <w:t>was used</w:t>
      </w:r>
      <w:r w:rsidR="00F8541B" w:rsidRPr="00B47143">
        <w:t xml:space="preserve"> by </w:t>
      </w:r>
      <w:r w:rsidR="00D066EE" w:rsidRPr="00B47143">
        <w:rPr>
          <w:noProof/>
        </w:rPr>
        <w:t>six</w:t>
      </w:r>
      <w:r w:rsidR="00F8541B" w:rsidRPr="00B47143">
        <w:t xml:space="preserve"> services</w:t>
      </w:r>
      <w:r w:rsidR="00A063B9" w:rsidRPr="00B47143">
        <w:t xml:space="preserve"> (</w:t>
      </w:r>
      <w:r w:rsidR="00D066EE" w:rsidRPr="00B47143">
        <w:t>three</w:t>
      </w:r>
      <w:r w:rsidR="00F8541B" w:rsidRPr="00B47143">
        <w:t xml:space="preserve"> for reactive assessment and </w:t>
      </w:r>
      <w:r w:rsidR="00D066EE" w:rsidRPr="00B47143">
        <w:t>three</w:t>
      </w:r>
      <w:r w:rsidR="00F8541B" w:rsidRPr="00B47143">
        <w:t xml:space="preserve"> for both reactive and proactive assessment purposes</w:t>
      </w:r>
      <w:r w:rsidR="00A063B9" w:rsidRPr="00B47143">
        <w:t>)</w:t>
      </w:r>
      <w:r w:rsidR="00F8541B" w:rsidRPr="00B47143">
        <w:t xml:space="preserve">. </w:t>
      </w:r>
      <w:r w:rsidR="009937FA" w:rsidRPr="00B47143">
        <w:t xml:space="preserve"> </w:t>
      </w:r>
    </w:p>
    <w:p w14:paraId="29CE0734" w14:textId="77777777" w:rsidR="00A32207" w:rsidRPr="00B47143" w:rsidRDefault="00A32207" w:rsidP="00861BCE">
      <w:pPr>
        <w:spacing w:after="240" w:line="480" w:lineRule="auto"/>
        <w:rPr>
          <w:b/>
        </w:rPr>
      </w:pPr>
      <w:r w:rsidRPr="00B47143">
        <w:rPr>
          <w:b/>
        </w:rPr>
        <w:t>Service improvements and developments</w:t>
      </w:r>
    </w:p>
    <w:p w14:paraId="5FF720BE" w14:textId="77777777" w:rsidR="00A32207" w:rsidRPr="00B47143" w:rsidRDefault="00A32207" w:rsidP="00861BCE">
      <w:pPr>
        <w:spacing w:after="240" w:line="480" w:lineRule="auto"/>
        <w:rPr>
          <w:i/>
        </w:rPr>
      </w:pPr>
      <w:r w:rsidRPr="00B47143">
        <w:rPr>
          <w:i/>
        </w:rPr>
        <w:t>Adequacy of current service provision</w:t>
      </w:r>
    </w:p>
    <w:p w14:paraId="0C9C67A0" w14:textId="54667367" w:rsidR="009313D9" w:rsidRPr="00B47143" w:rsidRDefault="00A32207" w:rsidP="00AD26EB">
      <w:pPr>
        <w:spacing w:after="240" w:line="480" w:lineRule="auto"/>
      </w:pPr>
      <w:r w:rsidRPr="00B47143">
        <w:t xml:space="preserve">Six of the services felt that the </w:t>
      </w:r>
      <w:r w:rsidR="00167163" w:rsidRPr="00B47143">
        <w:t xml:space="preserve">proactive </w:t>
      </w:r>
      <w:r w:rsidRPr="00B47143">
        <w:t xml:space="preserve">screening, </w:t>
      </w:r>
      <w:r w:rsidR="00167163" w:rsidRPr="00B47143">
        <w:t xml:space="preserve">reactive </w:t>
      </w:r>
      <w:r w:rsidRPr="00B47143">
        <w:t xml:space="preserve">assessment and diagnostic processes for dementia in people with an intellectual disability were probably adequate in their area. Two services felt they were </w:t>
      </w:r>
      <w:r w:rsidRPr="00B47143">
        <w:rPr>
          <w:noProof/>
        </w:rPr>
        <w:t>definitely</w:t>
      </w:r>
      <w:r w:rsidRPr="00B47143">
        <w:t xml:space="preserve"> adequate</w:t>
      </w:r>
      <w:r w:rsidRPr="00B47143">
        <w:rPr>
          <w:noProof/>
        </w:rPr>
        <w:t xml:space="preserve">, </w:t>
      </w:r>
      <w:r w:rsidR="00126AA6" w:rsidRPr="00B47143">
        <w:rPr>
          <w:noProof/>
        </w:rPr>
        <w:t xml:space="preserve">while </w:t>
      </w:r>
      <w:r w:rsidRPr="00B47143">
        <w:rPr>
          <w:noProof/>
        </w:rPr>
        <w:t>one</w:t>
      </w:r>
      <w:r w:rsidRPr="00B47143">
        <w:t xml:space="preserve"> service felt they were probably not adequate </w:t>
      </w:r>
      <w:r w:rsidRPr="00B47143">
        <w:rPr>
          <w:noProof/>
        </w:rPr>
        <w:t>and</w:t>
      </w:r>
      <w:r w:rsidRPr="00B47143">
        <w:t xml:space="preserve"> one felt uncertain. The remaining services did not respond.</w:t>
      </w:r>
      <w:r w:rsidR="00551563" w:rsidRPr="00B47143">
        <w:t xml:space="preserve"> </w:t>
      </w:r>
      <w:r w:rsidR="009313D9" w:rsidRPr="00B47143">
        <w:t xml:space="preserve">All the respondents considered their </w:t>
      </w:r>
      <w:r w:rsidR="009313D9" w:rsidRPr="00B47143">
        <w:rPr>
          <w:noProof/>
        </w:rPr>
        <w:t>own</w:t>
      </w:r>
      <w:r w:rsidR="009313D9" w:rsidRPr="00B47143">
        <w:t xml:space="preserve"> knowledge and that of their team members in this area to be good or very good.  The majority (7/10 of those who responded) felt the knowledge of </w:t>
      </w:r>
      <w:r w:rsidR="009313D9" w:rsidRPr="00B47143">
        <w:rPr>
          <w:noProof/>
        </w:rPr>
        <w:t>front line</w:t>
      </w:r>
      <w:r w:rsidR="009313D9" w:rsidRPr="00B47143">
        <w:t xml:space="preserve"> support staff was </w:t>
      </w:r>
      <w:r w:rsidR="009313D9" w:rsidRPr="00B47143">
        <w:rPr>
          <w:noProof/>
        </w:rPr>
        <w:t>good</w:t>
      </w:r>
      <w:r w:rsidR="009313D9" w:rsidRPr="00B47143">
        <w:t xml:space="preserve">, with the remainder being neutral on this point. The knowledge of external NHS staff who were not intellectual disability specialists was considered to be good by </w:t>
      </w:r>
      <w:r w:rsidR="00A2181F" w:rsidRPr="00B47143">
        <w:rPr>
          <w:noProof/>
        </w:rPr>
        <w:t>four</w:t>
      </w:r>
      <w:r w:rsidR="009313D9" w:rsidRPr="00B47143">
        <w:t xml:space="preserve"> respondents, </w:t>
      </w:r>
      <w:r w:rsidR="009313D9" w:rsidRPr="00B47143">
        <w:rPr>
          <w:noProof/>
        </w:rPr>
        <w:t>poor</w:t>
      </w:r>
      <w:r w:rsidR="009313D9" w:rsidRPr="00B47143">
        <w:t xml:space="preserve"> by </w:t>
      </w:r>
      <w:r w:rsidR="00A2181F" w:rsidRPr="00B47143">
        <w:rPr>
          <w:noProof/>
        </w:rPr>
        <w:t>one</w:t>
      </w:r>
      <w:r w:rsidR="00077922" w:rsidRPr="00B47143">
        <w:rPr>
          <w:noProof/>
        </w:rPr>
        <w:t xml:space="preserve"> and </w:t>
      </w:r>
      <w:r w:rsidR="009313D9" w:rsidRPr="00B47143">
        <w:t>the others were neutral about this.</w:t>
      </w:r>
    </w:p>
    <w:p w14:paraId="49A85B91" w14:textId="77777777" w:rsidR="00A32207" w:rsidRPr="00B47143" w:rsidRDefault="00A32207" w:rsidP="00861BCE">
      <w:pPr>
        <w:spacing w:after="240" w:line="480" w:lineRule="auto"/>
        <w:rPr>
          <w:i/>
        </w:rPr>
      </w:pPr>
      <w:r w:rsidRPr="00B47143">
        <w:rPr>
          <w:i/>
        </w:rPr>
        <w:t>Suggested areas for improvement</w:t>
      </w:r>
    </w:p>
    <w:p w14:paraId="5ACD99B3" w14:textId="138377B9" w:rsidR="00A32207" w:rsidRPr="00B47143" w:rsidRDefault="00A32207" w:rsidP="00AD26EB">
      <w:pPr>
        <w:spacing w:after="240" w:line="480" w:lineRule="auto"/>
      </w:pPr>
      <w:r w:rsidRPr="00B47143">
        <w:rPr>
          <w:noProof/>
        </w:rPr>
        <w:t>A number of</w:t>
      </w:r>
      <w:r w:rsidRPr="00B47143">
        <w:t xml:space="preserve"> suggestions </w:t>
      </w:r>
      <w:r w:rsidRPr="00B47143">
        <w:rPr>
          <w:noProof/>
        </w:rPr>
        <w:t>were provided</w:t>
      </w:r>
      <w:r w:rsidRPr="00B47143">
        <w:t xml:space="preserve"> for ways in which service </w:t>
      </w:r>
      <w:r w:rsidRPr="00B47143">
        <w:rPr>
          <w:noProof/>
        </w:rPr>
        <w:t>provision</w:t>
      </w:r>
      <w:r w:rsidRPr="00B47143">
        <w:t xml:space="preserve"> could </w:t>
      </w:r>
      <w:r w:rsidRPr="00B47143">
        <w:rPr>
          <w:noProof/>
        </w:rPr>
        <w:t>be improved</w:t>
      </w:r>
      <w:r w:rsidR="008735B0" w:rsidRPr="00B47143">
        <w:t xml:space="preserve"> across Scotland</w:t>
      </w:r>
      <w:r w:rsidR="00D70514" w:rsidRPr="00B47143">
        <w:t xml:space="preserve"> (see Table 4)</w:t>
      </w:r>
      <w:r w:rsidRPr="00B47143">
        <w:t>. The most commo</w:t>
      </w:r>
      <w:r w:rsidR="0006764C" w:rsidRPr="00B47143">
        <w:t xml:space="preserve">n areas, both of which were referred to by six services, related to improving knowledge, e.g.  through training and awareness raising, and </w:t>
      </w:r>
      <w:r w:rsidRPr="00B47143">
        <w:t xml:space="preserve">ways to improve existing pathways, for example by developing a central database which would identify when assessments were due and had </w:t>
      </w:r>
      <w:r w:rsidRPr="00B47143">
        <w:rPr>
          <w:noProof/>
        </w:rPr>
        <w:t>been completed</w:t>
      </w:r>
      <w:r w:rsidRPr="00B47143">
        <w:t xml:space="preserve">. </w:t>
      </w:r>
      <w:r w:rsidR="00F82701" w:rsidRPr="00B47143">
        <w:t xml:space="preserve">In addition, three services highlighted the need to take account of guidelines, policies and government targets, such as HEAT targets. The latter are </w:t>
      </w:r>
      <w:r w:rsidR="00E57CED" w:rsidRPr="00B47143">
        <w:t xml:space="preserve">set by NHS Scotland and Health Directorates and comprise of targets related to Health improvement, Efficiency, Access to treatment and Treatment. </w:t>
      </w:r>
    </w:p>
    <w:p w14:paraId="1C8E4192" w14:textId="3EE0309D" w:rsidR="00A32207" w:rsidRPr="00B47143" w:rsidRDefault="00A32207" w:rsidP="00416A12">
      <w:pPr>
        <w:spacing w:line="480" w:lineRule="auto"/>
      </w:pPr>
      <w:r w:rsidRPr="00B47143">
        <w:t xml:space="preserve">Table </w:t>
      </w:r>
      <w:r w:rsidR="008735B0" w:rsidRPr="00B47143">
        <w:t>4</w:t>
      </w:r>
      <w:r w:rsidR="007F7C6D" w:rsidRPr="00B47143">
        <w:t>.</w:t>
      </w:r>
      <w:r w:rsidRPr="00B47143">
        <w:t xml:space="preserve"> </w:t>
      </w:r>
      <w:r w:rsidRPr="00B47143">
        <w:rPr>
          <w:i/>
        </w:rPr>
        <w:t>Suggested areas for service improvement</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946"/>
      </w:tblGrid>
      <w:tr w:rsidR="00B47143" w:rsidRPr="00B47143" w14:paraId="2D32B420" w14:textId="77777777" w:rsidTr="00F20BA8">
        <w:tc>
          <w:tcPr>
            <w:tcW w:w="2263" w:type="dxa"/>
            <w:tcBorders>
              <w:top w:val="single" w:sz="4" w:space="0" w:color="auto"/>
              <w:bottom w:val="single" w:sz="4" w:space="0" w:color="auto"/>
            </w:tcBorders>
          </w:tcPr>
          <w:p w14:paraId="187633D7" w14:textId="77777777" w:rsidR="00A32207" w:rsidRPr="00B47143" w:rsidRDefault="00A32207" w:rsidP="00416A12">
            <w:pPr>
              <w:spacing w:line="360" w:lineRule="auto"/>
              <w:rPr>
                <w:b/>
              </w:rPr>
            </w:pPr>
            <w:r w:rsidRPr="00B47143">
              <w:rPr>
                <w:b/>
              </w:rPr>
              <w:t>Suggested areas for improvement</w:t>
            </w:r>
          </w:p>
        </w:tc>
        <w:tc>
          <w:tcPr>
            <w:tcW w:w="6946" w:type="dxa"/>
            <w:tcBorders>
              <w:top w:val="single" w:sz="4" w:space="0" w:color="auto"/>
              <w:bottom w:val="single" w:sz="4" w:space="0" w:color="auto"/>
            </w:tcBorders>
          </w:tcPr>
          <w:p w14:paraId="09AF829F" w14:textId="77777777" w:rsidR="00A32207" w:rsidRPr="00B47143" w:rsidRDefault="00A32207" w:rsidP="00416A12">
            <w:pPr>
              <w:spacing w:line="360" w:lineRule="auto"/>
              <w:jc w:val="center"/>
              <w:rPr>
                <w:b/>
              </w:rPr>
            </w:pPr>
            <w:r w:rsidRPr="00B47143">
              <w:rPr>
                <w:b/>
              </w:rPr>
              <w:t>Examples</w:t>
            </w:r>
          </w:p>
        </w:tc>
      </w:tr>
      <w:tr w:rsidR="00B47143" w:rsidRPr="00B47143" w14:paraId="4C84A4DE" w14:textId="77777777" w:rsidTr="00F20BA8">
        <w:trPr>
          <w:trHeight w:val="1706"/>
        </w:trPr>
        <w:tc>
          <w:tcPr>
            <w:tcW w:w="2263" w:type="dxa"/>
            <w:tcBorders>
              <w:top w:val="single" w:sz="4" w:space="0" w:color="auto"/>
            </w:tcBorders>
          </w:tcPr>
          <w:p w14:paraId="0D350978" w14:textId="215A4AE8" w:rsidR="00A32207" w:rsidRPr="00B47143" w:rsidRDefault="00A32207" w:rsidP="00416A12">
            <w:pPr>
              <w:spacing w:line="360" w:lineRule="auto"/>
              <w:rPr>
                <w:b/>
              </w:rPr>
            </w:pPr>
            <w:r w:rsidRPr="00B47143">
              <w:rPr>
                <w:b/>
              </w:rPr>
              <w:t xml:space="preserve">Processes and </w:t>
            </w:r>
            <w:r w:rsidR="000D0D2C" w:rsidRPr="00B47143">
              <w:rPr>
                <w:b/>
              </w:rPr>
              <w:t>s</w:t>
            </w:r>
            <w:r w:rsidRPr="00B47143">
              <w:rPr>
                <w:b/>
              </w:rPr>
              <w:t>ystems</w:t>
            </w:r>
          </w:p>
        </w:tc>
        <w:tc>
          <w:tcPr>
            <w:tcW w:w="6946" w:type="dxa"/>
            <w:tcBorders>
              <w:top w:val="single" w:sz="4" w:space="0" w:color="auto"/>
            </w:tcBorders>
          </w:tcPr>
          <w:p w14:paraId="46B8EBE7" w14:textId="706EB67A" w:rsidR="00A32207" w:rsidRPr="00B47143" w:rsidRDefault="00A32207" w:rsidP="00F20BA8">
            <w:pPr>
              <w:pStyle w:val="ListParagraph"/>
              <w:numPr>
                <w:ilvl w:val="0"/>
                <w:numId w:val="4"/>
              </w:numPr>
              <w:spacing w:line="360" w:lineRule="auto"/>
              <w:ind w:left="465"/>
            </w:pPr>
            <w:r w:rsidRPr="00B47143">
              <w:t xml:space="preserve">Clearer </w:t>
            </w:r>
            <w:r w:rsidR="000D0D2C" w:rsidRPr="00B47143">
              <w:t>p</w:t>
            </w:r>
            <w:r w:rsidRPr="00B47143">
              <w:t>athway</w:t>
            </w:r>
            <w:r w:rsidR="000D0D2C" w:rsidRPr="00B47143">
              <w:t>s</w:t>
            </w:r>
          </w:p>
          <w:p w14:paraId="3F3ED64F" w14:textId="0ED99534" w:rsidR="00A32207" w:rsidRPr="00B47143" w:rsidRDefault="00A32207" w:rsidP="00F20BA8">
            <w:pPr>
              <w:pStyle w:val="ListParagraph"/>
              <w:numPr>
                <w:ilvl w:val="0"/>
                <w:numId w:val="4"/>
              </w:numPr>
              <w:spacing w:line="360" w:lineRule="auto"/>
              <w:ind w:left="465"/>
            </w:pPr>
            <w:r w:rsidRPr="00B47143">
              <w:t xml:space="preserve">Central </w:t>
            </w:r>
            <w:r w:rsidRPr="00B47143">
              <w:rPr>
                <w:noProof/>
              </w:rPr>
              <w:t>database</w:t>
            </w:r>
          </w:p>
          <w:p w14:paraId="68B062EC" w14:textId="5CB18BA5" w:rsidR="00A32207" w:rsidRPr="00B47143" w:rsidRDefault="00A32207" w:rsidP="00F20BA8">
            <w:pPr>
              <w:pStyle w:val="ListParagraph"/>
              <w:numPr>
                <w:ilvl w:val="0"/>
                <w:numId w:val="4"/>
              </w:numPr>
              <w:spacing w:line="360" w:lineRule="auto"/>
              <w:ind w:left="465"/>
            </w:pPr>
            <w:r w:rsidRPr="00B47143">
              <w:t>Method of alerting when assessments are due/when people reach age that baseline assessment is due</w:t>
            </w:r>
          </w:p>
          <w:p w14:paraId="51CFE9D9" w14:textId="77777777" w:rsidR="00A32207" w:rsidRPr="00B47143" w:rsidRDefault="00A32207" w:rsidP="00F20BA8">
            <w:pPr>
              <w:pStyle w:val="ListParagraph"/>
              <w:numPr>
                <w:ilvl w:val="0"/>
                <w:numId w:val="4"/>
              </w:numPr>
              <w:spacing w:line="360" w:lineRule="auto"/>
              <w:ind w:left="465"/>
            </w:pPr>
            <w:r w:rsidRPr="00B47143">
              <w:t>Agreement on eligibility criteria</w:t>
            </w:r>
          </w:p>
          <w:p w14:paraId="304B1C2D" w14:textId="77777777" w:rsidR="00A32207" w:rsidRPr="00B47143" w:rsidRDefault="00A32207" w:rsidP="00F20BA8">
            <w:pPr>
              <w:pStyle w:val="ListParagraph"/>
              <w:numPr>
                <w:ilvl w:val="0"/>
                <w:numId w:val="4"/>
              </w:numPr>
              <w:spacing w:line="360" w:lineRule="auto"/>
              <w:ind w:left="465"/>
            </w:pPr>
            <w:r w:rsidRPr="00B47143">
              <w:t>Timeline for assessments to be completed</w:t>
            </w:r>
          </w:p>
        </w:tc>
      </w:tr>
      <w:tr w:rsidR="00B47143" w:rsidRPr="00B47143" w14:paraId="1EFF9BC9" w14:textId="77777777" w:rsidTr="00F20BA8">
        <w:tc>
          <w:tcPr>
            <w:tcW w:w="2263" w:type="dxa"/>
          </w:tcPr>
          <w:p w14:paraId="17B5AD2C" w14:textId="77777777" w:rsidR="00A32207" w:rsidRPr="00B47143" w:rsidRDefault="00A32207" w:rsidP="00416A12">
            <w:pPr>
              <w:spacing w:line="360" w:lineRule="auto"/>
              <w:rPr>
                <w:b/>
              </w:rPr>
            </w:pPr>
            <w:r w:rsidRPr="00B47143">
              <w:rPr>
                <w:b/>
              </w:rPr>
              <w:t>Resources</w:t>
            </w:r>
          </w:p>
        </w:tc>
        <w:tc>
          <w:tcPr>
            <w:tcW w:w="6946" w:type="dxa"/>
          </w:tcPr>
          <w:p w14:paraId="2FC12044" w14:textId="77777777" w:rsidR="00A32207" w:rsidRPr="00B47143" w:rsidRDefault="00A32207" w:rsidP="00F20BA8">
            <w:pPr>
              <w:pStyle w:val="ListParagraph"/>
              <w:numPr>
                <w:ilvl w:val="0"/>
                <w:numId w:val="8"/>
              </w:numPr>
              <w:spacing w:line="360" w:lineRule="auto"/>
              <w:ind w:left="465"/>
            </w:pPr>
            <w:r w:rsidRPr="00B47143">
              <w:t>Additional resources to manage administration associated with screening pathway</w:t>
            </w:r>
          </w:p>
        </w:tc>
      </w:tr>
      <w:tr w:rsidR="00B47143" w:rsidRPr="00B47143" w14:paraId="50136F1E" w14:textId="77777777" w:rsidTr="00F20BA8">
        <w:trPr>
          <w:trHeight w:val="1094"/>
        </w:trPr>
        <w:tc>
          <w:tcPr>
            <w:tcW w:w="2263" w:type="dxa"/>
          </w:tcPr>
          <w:p w14:paraId="4F0821A5" w14:textId="77777777" w:rsidR="00A32207" w:rsidRPr="00B47143" w:rsidRDefault="00A32207" w:rsidP="00416A12">
            <w:pPr>
              <w:spacing w:line="360" w:lineRule="auto"/>
              <w:rPr>
                <w:b/>
              </w:rPr>
            </w:pPr>
            <w:r w:rsidRPr="00B47143">
              <w:rPr>
                <w:b/>
              </w:rPr>
              <w:t>Adherence to guidance, targets and evidence base</w:t>
            </w:r>
          </w:p>
        </w:tc>
        <w:tc>
          <w:tcPr>
            <w:tcW w:w="6946" w:type="dxa"/>
          </w:tcPr>
          <w:p w14:paraId="05FF968E" w14:textId="77777777" w:rsidR="00A32207" w:rsidRPr="00B47143" w:rsidRDefault="00A32207" w:rsidP="00F20BA8">
            <w:pPr>
              <w:pStyle w:val="ListParagraph"/>
              <w:numPr>
                <w:ilvl w:val="0"/>
                <w:numId w:val="5"/>
              </w:numPr>
              <w:spacing w:line="360" w:lineRule="auto"/>
              <w:ind w:left="465"/>
            </w:pPr>
            <w:r w:rsidRPr="00B47143">
              <w:t>Ensure practice and interventions are in line with guidelines/HEAT targets</w:t>
            </w:r>
          </w:p>
          <w:p w14:paraId="393F705F" w14:textId="60B03979" w:rsidR="00A32207" w:rsidRPr="00B47143" w:rsidRDefault="00A32207" w:rsidP="00F20BA8">
            <w:pPr>
              <w:pStyle w:val="ListParagraph"/>
              <w:numPr>
                <w:ilvl w:val="0"/>
                <w:numId w:val="5"/>
              </w:numPr>
              <w:spacing w:line="360" w:lineRule="auto"/>
              <w:ind w:left="465"/>
            </w:pPr>
            <w:r w:rsidRPr="00B47143">
              <w:t xml:space="preserve">Use </w:t>
            </w:r>
            <w:r w:rsidRPr="00B47143">
              <w:rPr>
                <w:noProof/>
              </w:rPr>
              <w:t>evidence</w:t>
            </w:r>
            <w:r w:rsidR="000D0D2C" w:rsidRPr="00B47143">
              <w:rPr>
                <w:noProof/>
              </w:rPr>
              <w:t>-</w:t>
            </w:r>
            <w:r w:rsidRPr="00B47143">
              <w:rPr>
                <w:noProof/>
              </w:rPr>
              <w:t>based</w:t>
            </w:r>
            <w:r w:rsidRPr="00B47143">
              <w:t xml:space="preserve"> tools/assessments</w:t>
            </w:r>
          </w:p>
          <w:p w14:paraId="51C6BB7C" w14:textId="77777777" w:rsidR="00A32207" w:rsidRPr="00B47143" w:rsidRDefault="00A32207" w:rsidP="00F20BA8">
            <w:pPr>
              <w:pStyle w:val="ListParagraph"/>
              <w:numPr>
                <w:ilvl w:val="0"/>
                <w:numId w:val="5"/>
              </w:numPr>
              <w:spacing w:line="360" w:lineRule="auto"/>
              <w:ind w:left="465"/>
            </w:pPr>
            <w:r w:rsidRPr="00B47143">
              <w:t>Need for consistency and equity across areas</w:t>
            </w:r>
          </w:p>
        </w:tc>
      </w:tr>
      <w:tr w:rsidR="00B47143" w:rsidRPr="00B47143" w14:paraId="354BC8E4" w14:textId="77777777" w:rsidTr="00F20BA8">
        <w:trPr>
          <w:trHeight w:val="664"/>
        </w:trPr>
        <w:tc>
          <w:tcPr>
            <w:tcW w:w="2263" w:type="dxa"/>
          </w:tcPr>
          <w:p w14:paraId="149AC165" w14:textId="77777777" w:rsidR="00A32207" w:rsidRPr="00B47143" w:rsidRDefault="00A32207" w:rsidP="00416A12">
            <w:pPr>
              <w:spacing w:line="360" w:lineRule="auto"/>
              <w:rPr>
                <w:b/>
              </w:rPr>
            </w:pPr>
            <w:r w:rsidRPr="00B47143">
              <w:rPr>
                <w:b/>
              </w:rPr>
              <w:t>Post-diagnostic care</w:t>
            </w:r>
          </w:p>
        </w:tc>
        <w:tc>
          <w:tcPr>
            <w:tcW w:w="6946" w:type="dxa"/>
          </w:tcPr>
          <w:p w14:paraId="0FF9FDF6" w14:textId="77777777" w:rsidR="00A32207" w:rsidRPr="00B47143" w:rsidRDefault="00A32207" w:rsidP="00F20BA8">
            <w:pPr>
              <w:pStyle w:val="ListParagraph"/>
              <w:numPr>
                <w:ilvl w:val="0"/>
                <w:numId w:val="6"/>
              </w:numPr>
              <w:spacing w:line="360" w:lineRule="auto"/>
              <w:ind w:left="465"/>
            </w:pPr>
            <w:r w:rsidRPr="00B47143">
              <w:t xml:space="preserve">Development of post-diagnostic pathway </w:t>
            </w:r>
          </w:p>
          <w:p w14:paraId="049077AD" w14:textId="77777777" w:rsidR="00A32207" w:rsidRPr="00B47143" w:rsidRDefault="00A32207" w:rsidP="00F20BA8">
            <w:pPr>
              <w:pStyle w:val="ListParagraph"/>
              <w:numPr>
                <w:ilvl w:val="0"/>
                <w:numId w:val="6"/>
              </w:numPr>
              <w:spacing w:line="360" w:lineRule="auto"/>
              <w:ind w:left="465"/>
            </w:pPr>
            <w:r w:rsidRPr="00B47143">
              <w:t>Provision of staff training around post-diagnostic care</w:t>
            </w:r>
          </w:p>
        </w:tc>
      </w:tr>
      <w:tr w:rsidR="00031D92" w:rsidRPr="00B47143" w14:paraId="6F3D141A" w14:textId="77777777" w:rsidTr="00F20BA8">
        <w:trPr>
          <w:trHeight w:val="664"/>
        </w:trPr>
        <w:tc>
          <w:tcPr>
            <w:tcW w:w="2263" w:type="dxa"/>
            <w:tcBorders>
              <w:bottom w:val="single" w:sz="4" w:space="0" w:color="auto"/>
            </w:tcBorders>
          </w:tcPr>
          <w:p w14:paraId="111E4726" w14:textId="21245A15" w:rsidR="00031D92" w:rsidRPr="00B47143" w:rsidRDefault="00031D92" w:rsidP="00416A12">
            <w:pPr>
              <w:spacing w:line="360" w:lineRule="auto"/>
              <w:rPr>
                <w:b/>
              </w:rPr>
            </w:pPr>
            <w:r w:rsidRPr="00B47143">
              <w:rPr>
                <w:b/>
              </w:rPr>
              <w:t>Enhancing the ability to identify dementia in people with an intellectual disability</w:t>
            </w:r>
          </w:p>
        </w:tc>
        <w:tc>
          <w:tcPr>
            <w:tcW w:w="6946" w:type="dxa"/>
            <w:tcBorders>
              <w:bottom w:val="single" w:sz="4" w:space="0" w:color="auto"/>
            </w:tcBorders>
          </w:tcPr>
          <w:p w14:paraId="212E5A4E" w14:textId="3CEC838D" w:rsidR="00031D92" w:rsidRPr="00B47143" w:rsidRDefault="00031D92" w:rsidP="00F20BA8">
            <w:pPr>
              <w:pStyle w:val="ListParagraph"/>
              <w:numPr>
                <w:ilvl w:val="0"/>
                <w:numId w:val="7"/>
              </w:numPr>
              <w:spacing w:line="360" w:lineRule="auto"/>
              <w:ind w:left="465"/>
            </w:pPr>
            <w:r w:rsidRPr="00B47143">
              <w:t>Ongoing provision of training/awareness raising sessions to wide range of groups</w:t>
            </w:r>
            <w:r w:rsidR="000302AE" w:rsidRPr="00B47143">
              <w:t xml:space="preserve">, </w:t>
            </w:r>
            <w:r w:rsidRPr="00B47143">
              <w:t>including topics such as early indicators of dementia, diagnostic overshadowing, risk factors and strategies to help</w:t>
            </w:r>
          </w:p>
          <w:p w14:paraId="519C2B7C" w14:textId="2B54D995" w:rsidR="00031D92" w:rsidRPr="00B47143" w:rsidRDefault="00031D92" w:rsidP="00F20BA8">
            <w:pPr>
              <w:pStyle w:val="ListParagraph"/>
              <w:numPr>
                <w:ilvl w:val="0"/>
                <w:numId w:val="7"/>
              </w:numPr>
              <w:spacing w:line="360" w:lineRule="auto"/>
              <w:ind w:left="465"/>
            </w:pPr>
            <w:r w:rsidRPr="00B47143">
              <w:t>Organising a conference targeted at family members</w:t>
            </w:r>
          </w:p>
        </w:tc>
      </w:tr>
    </w:tbl>
    <w:p w14:paraId="3F12A6A1" w14:textId="02B98453" w:rsidR="00702D07" w:rsidRPr="00B47143" w:rsidRDefault="00702D07" w:rsidP="00416A12">
      <w:pPr>
        <w:spacing w:line="480" w:lineRule="auto"/>
      </w:pPr>
    </w:p>
    <w:p w14:paraId="2BC7D53F" w14:textId="77777777" w:rsidR="003B6A3E" w:rsidRPr="00B47143" w:rsidRDefault="003B6A3E" w:rsidP="003B6A3E">
      <w:pPr>
        <w:rPr>
          <w:b/>
        </w:rPr>
      </w:pPr>
      <w:r w:rsidRPr="00B47143">
        <w:rPr>
          <w:b/>
        </w:rPr>
        <w:t>Discussion</w:t>
      </w:r>
    </w:p>
    <w:p w14:paraId="2C4CA595" w14:textId="77777777" w:rsidR="003B6A3E" w:rsidRPr="00B47143" w:rsidRDefault="003B6A3E" w:rsidP="003B6A3E"/>
    <w:p w14:paraId="13791ADA" w14:textId="47CAC084" w:rsidR="003B6A3E" w:rsidRPr="00B47143" w:rsidRDefault="003B6A3E" w:rsidP="003B6A3E">
      <w:pPr>
        <w:spacing w:after="240" w:line="480" w:lineRule="auto"/>
      </w:pPr>
      <w:r w:rsidRPr="00B47143">
        <w:t xml:space="preserve">All of the participating services provided a service to people with an intellectual disability who had or were at risk of developing dementia, whether proactive, reactive or both. The ultimate aim of both proactive </w:t>
      </w:r>
      <w:r w:rsidR="00C91C26" w:rsidRPr="00B47143">
        <w:t xml:space="preserve">screening </w:t>
      </w:r>
      <w:r w:rsidRPr="00B47143">
        <w:t>and reactive assessment is to facilitate the early diagnosis of dementia, in order to plan and provide flexible and appropriate support for individuals, their family and carers, as their needs change over time with the progression of the disease (BPS DCP &amp; RCP, 2015). The results suggest that all of the participating services in Scotland are helping to support early diagnosis through the provision of reactive and/or proactive assessment.</w:t>
      </w:r>
    </w:p>
    <w:p w14:paraId="2807C8E1" w14:textId="671E457B" w:rsidR="003B6A3E" w:rsidRPr="00B47143" w:rsidRDefault="0012303E" w:rsidP="003B6A3E">
      <w:pPr>
        <w:spacing w:after="240" w:line="480" w:lineRule="auto"/>
      </w:pPr>
      <w:r w:rsidRPr="00B47143">
        <w:t>Reactive a</w:t>
      </w:r>
      <w:r w:rsidR="003B6A3E" w:rsidRPr="00B47143">
        <w:t xml:space="preserve">ssessment and </w:t>
      </w:r>
      <w:r w:rsidRPr="00B47143">
        <w:t xml:space="preserve">proactive </w:t>
      </w:r>
      <w:r w:rsidR="003B6A3E" w:rsidRPr="00B47143">
        <w:t xml:space="preserve">screening </w:t>
      </w:r>
      <w:r w:rsidRPr="00B47143">
        <w:rPr>
          <w:noProof/>
        </w:rPr>
        <w:t>are</w:t>
      </w:r>
      <w:r w:rsidR="003B6A3E" w:rsidRPr="00B47143">
        <w:t xml:space="preserve"> </w:t>
      </w:r>
      <w:r w:rsidR="003B6A3E" w:rsidRPr="00B47143">
        <w:rPr>
          <w:noProof/>
        </w:rPr>
        <w:t>generally</w:t>
      </w:r>
      <w:r w:rsidR="003B6A3E" w:rsidRPr="00B47143">
        <w:t xml:space="preserve"> multi-disciplinary, with clinical psychology, nursing and psychiatry being the professions that </w:t>
      </w:r>
      <w:r w:rsidR="003B6A3E" w:rsidRPr="00B47143">
        <w:rPr>
          <w:noProof/>
        </w:rPr>
        <w:t>are most frequently involved</w:t>
      </w:r>
      <w:r w:rsidR="003B6A3E" w:rsidRPr="00B47143">
        <w:t xml:space="preserve"> on a routine basis. Speech and language therapists, occupational therapists and GPs tended to be involved when assessments were a result of concerns. Addressing the multiple components of a comprehensive </w:t>
      </w:r>
      <w:r w:rsidRPr="00B47143">
        <w:t xml:space="preserve">proactive </w:t>
      </w:r>
      <w:r w:rsidR="003B6A3E" w:rsidRPr="00B47143">
        <w:t xml:space="preserve">screen and </w:t>
      </w:r>
      <w:r w:rsidRPr="00B47143">
        <w:t xml:space="preserve">reactive </w:t>
      </w:r>
      <w:r w:rsidR="003B6A3E" w:rsidRPr="00B47143">
        <w:rPr>
          <w:noProof/>
        </w:rPr>
        <w:t>assessment</w:t>
      </w:r>
      <w:r w:rsidR="003B6A3E" w:rsidRPr="00B47143">
        <w:t xml:space="preserve"> requires multi-disciplinary input (BPS DCP &amp; RCP, 2015) with different members talking </w:t>
      </w:r>
      <w:r w:rsidR="003B6A3E" w:rsidRPr="00B47143">
        <w:rPr>
          <w:noProof/>
        </w:rPr>
        <w:t>on</w:t>
      </w:r>
      <w:r w:rsidR="003B6A3E" w:rsidRPr="00B47143">
        <w:t xml:space="preserve"> particular aspects of the </w:t>
      </w:r>
      <w:r w:rsidRPr="00B47143">
        <w:t xml:space="preserve">proactive </w:t>
      </w:r>
      <w:r w:rsidR="003B6A3E" w:rsidRPr="00B47143">
        <w:t xml:space="preserve">screening and </w:t>
      </w:r>
      <w:r w:rsidRPr="00B47143">
        <w:t xml:space="preserve">reactive </w:t>
      </w:r>
      <w:r w:rsidR="003B6A3E" w:rsidRPr="00B47143">
        <w:t xml:space="preserve">assessment process.  The study found that clinical psychology was the profession most likely to be involved routinely in both proactive screening and reactive assessments, followed by community learning disability nurses. The significant involvement of both of these professions is unsurprising given the importance of assessing cognitive and behavioural changes and physical health status. A number of neuropsychological/cognitive assessments require the user to be an appropriately qualified psychologist, meaning the clinical psychologist is the most likely team member to conduct these.  </w:t>
      </w:r>
    </w:p>
    <w:p w14:paraId="4DB2359B" w14:textId="77777777" w:rsidR="003B6A3E" w:rsidRPr="00B47143" w:rsidRDefault="003B6A3E" w:rsidP="003B6A3E">
      <w:pPr>
        <w:spacing w:after="240" w:line="480" w:lineRule="auto"/>
      </w:pPr>
    </w:p>
    <w:p w14:paraId="1A01C9C2" w14:textId="0B56F465" w:rsidR="00E255BA" w:rsidRPr="00B47143" w:rsidRDefault="003B6A3E" w:rsidP="003B6A3E">
      <w:pPr>
        <w:spacing w:after="240" w:line="480" w:lineRule="auto"/>
      </w:pPr>
      <w:r w:rsidRPr="00B47143">
        <w:t xml:space="preserve">As a number of physical health conditions may result in changes that are also common indicators of dementia, it is important to inform differential diagnosis by conducting a health check. These may include depression, sensory problems or hypothyroidism, or result from the use of medication (BPS DCP &amp; RCP, 2015; McKenzie et al., 2002; Paxton et al., 2001). Community learning disability nurses have traditionally conducted health screenings and will often be the professional who provides ongoing support to the individual during their journey through the </w:t>
      </w:r>
      <w:r w:rsidR="0012303E" w:rsidRPr="00B47143">
        <w:t xml:space="preserve">proactive </w:t>
      </w:r>
      <w:r w:rsidRPr="00B47143">
        <w:t xml:space="preserve">screening, </w:t>
      </w:r>
      <w:r w:rsidR="0012303E" w:rsidRPr="00B47143">
        <w:t xml:space="preserve">reactive </w:t>
      </w:r>
      <w:r w:rsidRPr="00B47143">
        <w:t xml:space="preserve">assessment and intervention pathway (Paxton et al., 2001; Rowe, 2014). The most common elements in the health screen in the present study were obtaining the person’s medical history and thyroid check. In addition, a number of services would refer to the person’s GP for a full health check. Some areas also had bespoke services that included specialist assessment, </w:t>
      </w:r>
      <w:r w:rsidRPr="00B47143">
        <w:rPr>
          <w:noProof/>
        </w:rPr>
        <w:t>e.g.</w:t>
      </w:r>
      <w:r w:rsidRPr="00B47143">
        <w:t xml:space="preserve"> </w:t>
      </w:r>
      <w:r w:rsidRPr="00B47143">
        <w:rPr>
          <w:noProof/>
        </w:rPr>
        <w:t>in relation to</w:t>
      </w:r>
      <w:r w:rsidRPr="00B47143">
        <w:t xml:space="preserve"> vision. Rowe (2014) highlights the importance of intellectual disability service professionals working in partnership with both GPs and other services, as required, to ensure a comprehensive assessment and treatment approach for the individual. </w:t>
      </w:r>
      <w:r w:rsidRPr="00B47143">
        <w:rPr>
          <w:noProof/>
        </w:rPr>
        <w:t>This</w:t>
      </w:r>
      <w:r w:rsidRPr="00B47143">
        <w:t xml:space="preserve"> </w:t>
      </w:r>
      <w:r w:rsidRPr="00B47143">
        <w:rPr>
          <w:noProof/>
        </w:rPr>
        <w:t>is reflected</w:t>
      </w:r>
      <w:r w:rsidRPr="00B47143">
        <w:t xml:space="preserve"> in parts of the UK by the introduction of payments to GPs who provide dementia screening to people with an intellectual disability (NHS England &amp; NHS Employers, 2013), although this does not apply in Scotland, where the current study took place.</w:t>
      </w:r>
    </w:p>
    <w:p w14:paraId="4B59CEC8" w14:textId="77777777" w:rsidR="00E255BA" w:rsidRPr="00B47143" w:rsidRDefault="00E255BA" w:rsidP="003B6A3E">
      <w:pPr>
        <w:spacing w:after="240" w:line="480" w:lineRule="auto"/>
      </w:pPr>
    </w:p>
    <w:p w14:paraId="4DD360BE" w14:textId="3683569D" w:rsidR="003B6A3E" w:rsidRPr="00B47143" w:rsidRDefault="003B6A3E" w:rsidP="003B6A3E">
      <w:pPr>
        <w:spacing w:after="240" w:line="480" w:lineRule="auto"/>
      </w:pPr>
      <w:r w:rsidRPr="00B47143">
        <w:t xml:space="preserve">The study highlighted that a number of different assessments of both cognitive and adaptive functioning were used across the different services. In respect of cognitive assessments, 11 different ones were used, the most common being the DLD, the CAMCOG-DS and the SIB.  </w:t>
      </w:r>
      <w:r w:rsidR="00603A25" w:rsidRPr="00B47143">
        <w:t xml:space="preserve">Research has suggested </w:t>
      </w:r>
      <w:r w:rsidRPr="00B47143">
        <w:t xml:space="preserve">that the DLD </w:t>
      </w:r>
      <w:r w:rsidR="00603A25" w:rsidRPr="00B47143">
        <w:t xml:space="preserve">may be </w:t>
      </w:r>
      <w:r w:rsidRPr="00B47143">
        <w:t>less suitable for use with people with a severe intellectual disability</w:t>
      </w:r>
      <w:r w:rsidR="00603A25" w:rsidRPr="00B47143">
        <w:t xml:space="preserve"> (Boada et al., 2018). </w:t>
      </w:r>
      <w:r w:rsidRPr="00B47143">
        <w:t>The sensitivity and specificity of the DLD were good when used with people with Down syndrome and dementia, but more variable for people with an intellectual disability and dementia who did not have Down syndrome. It was also found to have poor inter-rater reliability on some items, particularly those relating to behaviour and disturbance, although reliability was better for individuals who were less able</w:t>
      </w:r>
      <w:r w:rsidR="00603A25" w:rsidRPr="00B47143">
        <w:t xml:space="preserve"> (McKenzie et al., 2018)</w:t>
      </w:r>
      <w:r w:rsidRPr="00B47143">
        <w:t>. The reliability of the CAMCOG-DS is unknown, but it has been found to have validity as a way of measuring changes over time which are related to Alzheimer’s disease</w:t>
      </w:r>
      <w:r w:rsidR="00603A25" w:rsidRPr="00B47143">
        <w:t xml:space="preserve"> (Ball et al., 2006). </w:t>
      </w:r>
      <w:r w:rsidRPr="00B47143">
        <w:t xml:space="preserve">As with the DLD, it is not recommended for use with people with a severe intellectual disability and it is suggested to be less useful for those with more advanced dementia (see McKenzie et al., 2018, for an overview).  Research suggests that the SIB is used relatively frequently with people with an intellectual disability although it was not specifically designed for this group of people. There is relatively little evaluation of the psychometric properties of the measure as used with people with an intellectual disability, but the existing research indicates that it shows good test-retest reliability and concurrent validity (McKenzie et al., 2018). </w:t>
      </w:r>
    </w:p>
    <w:p w14:paraId="4133460B" w14:textId="464BD662" w:rsidR="003B6A3E" w:rsidRPr="00B47143" w:rsidRDefault="003B6A3E" w:rsidP="003B6A3E">
      <w:pPr>
        <w:spacing w:after="240" w:line="480" w:lineRule="auto"/>
      </w:pPr>
      <w:r w:rsidRPr="00B47143">
        <w:t xml:space="preserve">There are a number of challenges involved in conducting cognitive assessments directly with individuals with an intellectual disability. These include the fact that assessments </w:t>
      </w:r>
      <w:r w:rsidRPr="00B47143">
        <w:rPr>
          <w:noProof/>
        </w:rPr>
        <w:t>commonly used</w:t>
      </w:r>
      <w:r w:rsidRPr="00B47143">
        <w:t xml:space="preserve"> with typically developing individuals may be unsuitable for, or not </w:t>
      </w:r>
      <w:r w:rsidRPr="00B47143">
        <w:rPr>
          <w:noProof/>
        </w:rPr>
        <w:t>standardised</w:t>
      </w:r>
      <w:r w:rsidRPr="00B47143">
        <w:t xml:space="preserve"> with, people with an intellectual disability</w:t>
      </w:r>
      <w:r w:rsidR="007C5531" w:rsidRPr="00B47143">
        <w:t xml:space="preserve"> (Zeilinger, Stiehl, &amp; Weber, 2013).</w:t>
      </w:r>
      <w:r w:rsidRPr="00B47143">
        <w:t xml:space="preserve"> Those assessments that </w:t>
      </w:r>
      <w:r w:rsidRPr="00B47143">
        <w:rPr>
          <w:noProof/>
        </w:rPr>
        <w:t>are specifically designed</w:t>
      </w:r>
      <w:r w:rsidRPr="00B47143">
        <w:t xml:space="preserve"> for use with people with an intellectual disability may still have a floor effect when used with people with a severe intellectual impairment, with many or all items being too </w:t>
      </w:r>
      <w:r w:rsidRPr="00B47143">
        <w:rPr>
          <w:noProof/>
        </w:rPr>
        <w:t>difficult</w:t>
      </w:r>
      <w:r w:rsidRPr="00B47143">
        <w:t xml:space="preserve"> (see McKenzie et al., 2018).  Services, therefore, may need to use different assessments depending on the ability level of the individual. Services may also be constrained by the assessments that were used at baseline assessment. This can be problematic if the original assessments are obsolete at the time of follow up or are shown to have poorer psychometric properties than alternatives. However, if older versions of assessments which have been used at baseline are replaced by newer versions which have different norms, or by a different assessment, any changes in the person’s functioning may be for this reason rather than being due to dementia.</w:t>
      </w:r>
    </w:p>
    <w:p w14:paraId="6712F8D9" w14:textId="77777777" w:rsidR="003B6A3E" w:rsidRPr="00B47143" w:rsidRDefault="003B6A3E" w:rsidP="003B6A3E">
      <w:pPr>
        <w:spacing w:after="240" w:line="480" w:lineRule="auto"/>
      </w:pPr>
      <w:r w:rsidRPr="00B47143">
        <w:t xml:space="preserve">There was less variation in the measures of adaptive functioning used by the different services, with most services using a version of the ABAS or VABS. As with the cognitive assessments, issues arise when assessments are updated but the older version </w:t>
      </w:r>
      <w:r w:rsidRPr="00B47143">
        <w:rPr>
          <w:noProof/>
        </w:rPr>
        <w:t>was used</w:t>
      </w:r>
      <w:r w:rsidRPr="00B47143">
        <w:t xml:space="preserve"> at baseline. </w:t>
      </w:r>
      <w:r w:rsidRPr="00B47143">
        <w:rPr>
          <w:noProof/>
        </w:rPr>
        <w:t>For example, while the VABS II has been used to track behavioural decline in people with an intellectual disability and dementia (e.g. McKenzie et al., 2000), there is currently no research available about the use of the most recent version with this group (McKenzie et al., 2018).</w:t>
      </w:r>
      <w:r w:rsidRPr="00B47143">
        <w:t xml:space="preserve"> Similarly, limited information is available about the psychometric properties of the most recent version of the ABAS </w:t>
      </w:r>
      <w:r w:rsidRPr="00B47143">
        <w:rPr>
          <w:noProof/>
        </w:rPr>
        <w:t>in relation to</w:t>
      </w:r>
      <w:r w:rsidRPr="00B47143">
        <w:t xml:space="preserve"> people with an intellectual disability. Therefore, the performance of this version when used as part of a dementia assessment with this group is unknown (McKenzie et al., 2018).</w:t>
      </w:r>
    </w:p>
    <w:p w14:paraId="5DE18967" w14:textId="5F67B682" w:rsidR="003B6A3E" w:rsidRPr="00B47143" w:rsidRDefault="003B6A3E" w:rsidP="003B6A3E">
      <w:pPr>
        <w:spacing w:after="240" w:line="480" w:lineRule="auto"/>
      </w:pPr>
      <w:r w:rsidRPr="00B47143">
        <w:t xml:space="preserve">This highlights a need for ongoing research into the assessments that are used for </w:t>
      </w:r>
      <w:r w:rsidR="0012303E" w:rsidRPr="00B47143">
        <w:t xml:space="preserve">proactive </w:t>
      </w:r>
      <w:r w:rsidRPr="00B47143">
        <w:t xml:space="preserve">screening and </w:t>
      </w:r>
      <w:r w:rsidR="0012303E" w:rsidRPr="00B47143">
        <w:t xml:space="preserve">reactive </w:t>
      </w:r>
      <w:r w:rsidRPr="00B47143">
        <w:t>assessment for dementia with people with an intellectual disability. In addition, staff need to regularly update their knowledge to ensure that they use the most appropriate assessments in light of new research</w:t>
      </w:r>
      <w:r w:rsidR="00E255BA" w:rsidRPr="00B47143">
        <w:t xml:space="preserve"> and the development of new measures.</w:t>
      </w:r>
    </w:p>
    <w:p w14:paraId="306115D3" w14:textId="77777777" w:rsidR="003B6A3E" w:rsidRPr="00B47143" w:rsidRDefault="003B6A3E" w:rsidP="003B6A3E">
      <w:pPr>
        <w:spacing w:after="240" w:line="480" w:lineRule="auto"/>
      </w:pPr>
      <w:r w:rsidRPr="00B47143">
        <w:t xml:space="preserve">The perceived adequacy of service provision varied across respondents, although levels of team knowledge were considered to be good. An important aspect of good service provision is the level of knowledge of specialist intellectual disability staff (BPS DCP &amp; RCP, 2015), while the knowledge of family and/or paid carers is also important in terms of identifying and supporting people with an intellectual disability and dementia (McKenzie et al., 2002). While most respondents considered the knowledge of front line staff to be good, the need to continue to improve knowledge, by providing training and awareness raising sessions to family and paid carers was identified by six participants.  Other areas for service improvement largely related to processes and systems and the resources to support the administration of these. There was also a recognition of the need to adhere to good practice guidelines and to provide an evidence-based service. The results overall suggest the need for a more consistent approach to service provision across Scotland while allowing flexibility to meet the needs of local areas. </w:t>
      </w:r>
    </w:p>
    <w:p w14:paraId="178F1E97" w14:textId="77777777" w:rsidR="003B6A3E" w:rsidRPr="00B47143" w:rsidRDefault="003B6A3E" w:rsidP="003B6A3E">
      <w:pPr>
        <w:spacing w:after="240" w:line="480" w:lineRule="auto"/>
        <w:rPr>
          <w:b/>
        </w:rPr>
      </w:pPr>
      <w:r w:rsidRPr="00B47143">
        <w:rPr>
          <w:b/>
        </w:rPr>
        <w:t>Limitations of the study</w:t>
      </w:r>
    </w:p>
    <w:p w14:paraId="68953FA6" w14:textId="77777777" w:rsidR="003B6A3E" w:rsidRPr="00B47143" w:rsidRDefault="003B6A3E" w:rsidP="003B6A3E">
      <w:pPr>
        <w:spacing w:after="240" w:line="480" w:lineRule="auto"/>
      </w:pPr>
      <w:r w:rsidRPr="00B47143">
        <w:t xml:space="preserve">The findings of the study need to be considered in the context of its limitations. While the responses represented the views of practitioners working in services across Scotland, only one response was provided from each service, rather than from each staff member within the service.  While these responses, often represented input from more than one professional in the service, it is possible that team members who did not contribute may have differed in their views or knowledge about service provision. In addition, the study had a specific focus on services for people with an intellectual disability and dementia, and it may be that some services provided components that would be included in a dementia screen or assessment as part of routine care to all people with an intellectual disability, such as a health screen. As such, these components may not have been reported within the responses from practitioners. </w:t>
      </w:r>
    </w:p>
    <w:p w14:paraId="40B7B75E" w14:textId="77777777" w:rsidR="003B6A3E" w:rsidRPr="00B47143" w:rsidRDefault="003B6A3E" w:rsidP="003B6A3E">
      <w:pPr>
        <w:spacing w:after="240" w:line="480" w:lineRule="auto"/>
        <w:jc w:val="center"/>
        <w:rPr>
          <w:b/>
        </w:rPr>
      </w:pPr>
      <w:r w:rsidRPr="00B47143">
        <w:rPr>
          <w:b/>
        </w:rPr>
        <w:t>Conclusion</w:t>
      </w:r>
    </w:p>
    <w:p w14:paraId="041B7DBF" w14:textId="7522276B" w:rsidR="001C5D65" w:rsidRPr="00B47143" w:rsidRDefault="003B6A3E" w:rsidP="003B6A3E">
      <w:pPr>
        <w:spacing w:after="240" w:line="480" w:lineRule="auto"/>
      </w:pPr>
      <w:r w:rsidRPr="00B47143">
        <w:t xml:space="preserve">The </w:t>
      </w:r>
      <w:r w:rsidR="003F7CF8" w:rsidRPr="00B47143">
        <w:t xml:space="preserve">results </w:t>
      </w:r>
      <w:r w:rsidRPr="00B47143">
        <w:t xml:space="preserve">indicate that all services across Scotland provide </w:t>
      </w:r>
      <w:r w:rsidR="00E8571E" w:rsidRPr="00B47143">
        <w:t xml:space="preserve">reactive </w:t>
      </w:r>
      <w:r w:rsidRPr="00B47143">
        <w:t xml:space="preserve">assessment </w:t>
      </w:r>
      <w:r w:rsidRPr="00B47143">
        <w:rPr>
          <w:noProof/>
        </w:rPr>
        <w:t>and/or</w:t>
      </w:r>
      <w:r w:rsidRPr="00B47143">
        <w:t xml:space="preserve"> </w:t>
      </w:r>
      <w:r w:rsidR="00E8571E" w:rsidRPr="00B47143">
        <w:t xml:space="preserve">proactive </w:t>
      </w:r>
      <w:r w:rsidRPr="00B47143">
        <w:t xml:space="preserve">screening to individuals with an intellectual disability who </w:t>
      </w:r>
      <w:r w:rsidRPr="00B47143">
        <w:rPr>
          <w:noProof/>
        </w:rPr>
        <w:t>have,</w:t>
      </w:r>
      <w:r w:rsidRPr="00B47143">
        <w:t xml:space="preserve"> or are at risk of, developing dementia. There were some differences in the services across Scotland </w:t>
      </w:r>
      <w:r w:rsidRPr="00B47143">
        <w:rPr>
          <w:noProof/>
        </w:rPr>
        <w:t>in relation to</w:t>
      </w:r>
      <w:r w:rsidRPr="00B47143">
        <w:t xml:space="preserve"> the general and specific components which were involved in proactive screening, reactive assessment or both. </w:t>
      </w:r>
      <w:r w:rsidR="001C5D65" w:rsidRPr="00B47143">
        <w:t xml:space="preserve"> Both proactive screening and reactive assessment have benefits and drawbacks. Proactive </w:t>
      </w:r>
      <w:r w:rsidR="00E8571E" w:rsidRPr="00B47143">
        <w:t xml:space="preserve">screening </w:t>
      </w:r>
      <w:r w:rsidR="001C5D65" w:rsidRPr="00B47143">
        <w:t>has the benefits of providing a baseline of the person’s functioning, against which functioning in future years can be compared. Regular screening also enables changes in the person’s status to be picked up quickly. It does, however, require considerable clinical and administrative resources and may be stressful for the person with an intellectual disability.  Reactive assessment has the benefit over proactive screening of avoiding potentially unnecessary and stressful regular assessment for the individual. A drawback is that its reliability and usefulness is likely to be reduced if there is no existing baseline information against which to compare the person’s current functioning, thereby delaying the diagnostic process (BPS DCP &amp; RCP, 2015).</w:t>
      </w:r>
    </w:p>
    <w:p w14:paraId="630278D9" w14:textId="2C003830" w:rsidR="003B6A3E" w:rsidRPr="00B47143" w:rsidRDefault="003B6A3E" w:rsidP="003B6A3E">
      <w:pPr>
        <w:spacing w:after="240" w:line="480" w:lineRule="auto"/>
      </w:pPr>
      <w:r w:rsidRPr="00B47143">
        <w:t>The results overall suggest the need for a more consistent approach to service provision across Scotland while allowing flexibility to meet the needs of local areas</w:t>
      </w:r>
      <w:r w:rsidR="006516AD" w:rsidRPr="00B47143">
        <w:t>. These needs may be influenced by available resources, the preferences of individuals with an intellectual disability about service provision and individual characteristics, such as level of intellectual disability, which influence which assessments are appropriate to use</w:t>
      </w:r>
      <w:r w:rsidRPr="00B47143">
        <w:t xml:space="preserve">.  The guidelines developed by the BPS DCP and RCP (2015) offer a helpful framework for services who wish to ensure that their practices are comprehensive and evidence based. Adoption of the guidance may also facilitate a greater consistency in service provision across Scotland. </w:t>
      </w:r>
    </w:p>
    <w:p w14:paraId="70E305A7" w14:textId="2FC5023A" w:rsidR="003B6A3E" w:rsidRPr="00B47143" w:rsidRDefault="003B6A3E" w:rsidP="003B6A3E">
      <w:pPr>
        <w:spacing w:after="240" w:line="480" w:lineRule="auto"/>
      </w:pPr>
      <w:r w:rsidRPr="00B47143">
        <w:t xml:space="preserve">This research represents the first step in providing an overview of service provision in Scotland.  Further, more detailed information </w:t>
      </w:r>
      <w:r w:rsidRPr="00B47143">
        <w:rPr>
          <w:noProof/>
        </w:rPr>
        <w:t>is now needed</w:t>
      </w:r>
      <w:r w:rsidRPr="00B47143">
        <w:t xml:space="preserve"> about the effectiveness, efficiency, validity, reliability and social acceptability of </w:t>
      </w:r>
      <w:r w:rsidR="00E8571E" w:rsidRPr="00B47143">
        <w:t xml:space="preserve">proactive </w:t>
      </w:r>
      <w:r w:rsidRPr="00B47143">
        <w:t xml:space="preserve">screening, </w:t>
      </w:r>
      <w:r w:rsidR="00E8571E" w:rsidRPr="00B47143">
        <w:t xml:space="preserve">reactive </w:t>
      </w:r>
      <w:r w:rsidRPr="00B47143">
        <w:t xml:space="preserve">assessment and intervention processes </w:t>
      </w:r>
      <w:r w:rsidRPr="00B47143">
        <w:rPr>
          <w:noProof/>
        </w:rPr>
        <w:t>in order to</w:t>
      </w:r>
      <w:r w:rsidRPr="00B47143">
        <w:t xml:space="preserve"> inform the strategic planning, development </w:t>
      </w:r>
      <w:r w:rsidRPr="00B47143">
        <w:rPr>
          <w:noProof/>
        </w:rPr>
        <w:t>and</w:t>
      </w:r>
      <w:r w:rsidRPr="00B47143">
        <w:t xml:space="preserve"> delivery of </w:t>
      </w:r>
      <w:r w:rsidRPr="00B47143">
        <w:rPr>
          <w:noProof/>
        </w:rPr>
        <w:t>good</w:t>
      </w:r>
      <w:r w:rsidRPr="00B47143">
        <w:t xml:space="preserve"> quality services for individuals with an intellectual disability and dementia, their families and carers in Scotland.  </w:t>
      </w:r>
      <w:r w:rsidRPr="00B47143">
        <w:rPr>
          <w:noProof/>
        </w:rPr>
        <w:t>This</w:t>
      </w:r>
      <w:r w:rsidRPr="00B47143">
        <w:t xml:space="preserve"> is particularly important given that little is known about the views of people with </w:t>
      </w:r>
      <w:r w:rsidRPr="00B47143">
        <w:rPr>
          <w:noProof/>
        </w:rPr>
        <w:t>an intellectual</w:t>
      </w:r>
      <w:r w:rsidRPr="00B47143">
        <w:t xml:space="preserve"> disability about the perceived benefits and drawbacks of </w:t>
      </w:r>
      <w:r w:rsidR="00E8571E" w:rsidRPr="00B47143">
        <w:t xml:space="preserve">proactive </w:t>
      </w:r>
      <w:r w:rsidRPr="00B47143">
        <w:t xml:space="preserve">screening for dementia and that families and carers may have mixed views about knowing that the person they care for is developing dementia (see Rowe, 2014).  Indeed, while it </w:t>
      </w:r>
      <w:r w:rsidRPr="00B47143">
        <w:rPr>
          <w:noProof/>
        </w:rPr>
        <w:t>is noted</w:t>
      </w:r>
      <w:r w:rsidRPr="00B47143">
        <w:t xml:space="preserve"> that </w:t>
      </w:r>
      <w:r w:rsidR="00E8571E" w:rsidRPr="00B47143">
        <w:t xml:space="preserve">proactive </w:t>
      </w:r>
      <w:r w:rsidRPr="00B47143">
        <w:t xml:space="preserve">screening of individuals can be </w:t>
      </w:r>
      <w:r w:rsidRPr="00B47143">
        <w:rPr>
          <w:noProof/>
        </w:rPr>
        <w:t>extremely helpful</w:t>
      </w:r>
      <w:r w:rsidRPr="00B47143">
        <w:t xml:space="preserve"> in providing baseline information against which any future changes can </w:t>
      </w:r>
      <w:r w:rsidRPr="00B47143">
        <w:rPr>
          <w:noProof/>
        </w:rPr>
        <w:t>be compared</w:t>
      </w:r>
      <w:r w:rsidRPr="00B47143">
        <w:t xml:space="preserve">, it is suggested that this should always </w:t>
      </w:r>
      <w:r w:rsidRPr="00B47143">
        <w:rPr>
          <w:noProof/>
        </w:rPr>
        <w:t>be considered</w:t>
      </w:r>
      <w:r w:rsidRPr="00B47143">
        <w:t xml:space="preserve"> in the context of the relative benefits and disadvantages of </w:t>
      </w:r>
      <w:r w:rsidR="00E8571E" w:rsidRPr="00B47143">
        <w:t xml:space="preserve">proactive </w:t>
      </w:r>
      <w:r w:rsidRPr="00B47143">
        <w:t>screening (BPS DCP &amp; RCP, 2015).</w:t>
      </w:r>
    </w:p>
    <w:p w14:paraId="32880003" w14:textId="4D430B55" w:rsidR="00F3752A" w:rsidRPr="00B47143" w:rsidRDefault="00F3752A" w:rsidP="00261346">
      <w:pPr>
        <w:spacing w:line="480" w:lineRule="auto"/>
      </w:pPr>
    </w:p>
    <w:p w14:paraId="534F23D0" w14:textId="5FCC4CB9" w:rsidR="00E04F59" w:rsidRPr="00B47143" w:rsidRDefault="00E04F59" w:rsidP="00A17BBA">
      <w:pPr>
        <w:spacing w:after="240" w:line="480" w:lineRule="auto"/>
        <w:rPr>
          <w:rFonts w:cstheme="minorHAnsi"/>
          <w:b/>
        </w:rPr>
      </w:pPr>
      <w:r w:rsidRPr="00B47143">
        <w:rPr>
          <w:rFonts w:cstheme="minorHAnsi"/>
          <w:b/>
        </w:rPr>
        <w:t>Declaration of Conflicting Interests:</w:t>
      </w:r>
      <w:r w:rsidRPr="00B47143">
        <w:rPr>
          <w:rFonts w:cstheme="minorHAnsi"/>
          <w:shd w:val="clear" w:color="auto" w:fill="FFFFFF"/>
        </w:rPr>
        <w:t xml:space="preserve"> The Authors declare that there is no conflict of interest.</w:t>
      </w:r>
    </w:p>
    <w:p w14:paraId="5CE72695" w14:textId="4CD6303B" w:rsidR="00952F66" w:rsidRPr="00B47143" w:rsidRDefault="00E04F59" w:rsidP="00A17BBA">
      <w:pPr>
        <w:spacing w:after="240" w:line="480" w:lineRule="auto"/>
        <w:rPr>
          <w:rFonts w:cstheme="minorHAnsi"/>
        </w:rPr>
      </w:pPr>
      <w:r w:rsidRPr="00B47143">
        <w:rPr>
          <w:rFonts w:cstheme="minorHAnsi"/>
          <w:b/>
        </w:rPr>
        <w:t>Funding</w:t>
      </w:r>
      <w:r w:rsidR="00952F66" w:rsidRPr="00B47143">
        <w:rPr>
          <w:rFonts w:cstheme="minorHAnsi"/>
          <w:b/>
        </w:rPr>
        <w:t xml:space="preserve">: </w:t>
      </w:r>
      <w:r w:rsidRPr="00B47143">
        <w:rPr>
          <w:rStyle w:val="Emphasis"/>
          <w:rFonts w:cstheme="minorHAnsi"/>
          <w:i w:val="0"/>
          <w:shd w:val="clear" w:color="auto" w:fill="FFFFFF"/>
        </w:rPr>
        <w:t xml:space="preserve">This work was supported by </w:t>
      </w:r>
      <w:r w:rsidRPr="00B47143">
        <w:rPr>
          <w:rFonts w:cstheme="minorHAnsi"/>
        </w:rPr>
        <w:t>NHS Lothian</w:t>
      </w:r>
      <w:r w:rsidRPr="00B47143">
        <w:rPr>
          <w:rStyle w:val="Emphasis"/>
          <w:rFonts w:cstheme="minorHAnsi"/>
          <w:i w:val="0"/>
          <w:shd w:val="clear" w:color="auto" w:fill="FFFFFF"/>
        </w:rPr>
        <w:t xml:space="preserve"> </w:t>
      </w:r>
    </w:p>
    <w:p w14:paraId="2016A801" w14:textId="77777777" w:rsidR="00952F66" w:rsidRPr="00B47143" w:rsidRDefault="00952F66" w:rsidP="00261346">
      <w:pPr>
        <w:spacing w:line="480" w:lineRule="auto"/>
      </w:pPr>
    </w:p>
    <w:p w14:paraId="050F9637" w14:textId="17EE883A" w:rsidR="00981069" w:rsidRPr="00B47143" w:rsidRDefault="00F63342" w:rsidP="00261346">
      <w:pPr>
        <w:spacing w:line="480" w:lineRule="auto"/>
      </w:pPr>
      <w:r w:rsidRPr="00B47143">
        <w:br w:type="page"/>
      </w:r>
      <w:r w:rsidR="005571B0" w:rsidRPr="00B47143">
        <w:rPr>
          <w:b/>
        </w:rPr>
        <w:t>References</w:t>
      </w:r>
    </w:p>
    <w:p w14:paraId="676FE6FD" w14:textId="679E9548" w:rsidR="009A5A3E" w:rsidRPr="00B47143" w:rsidRDefault="009A5A3E" w:rsidP="009A5A3E">
      <w:pPr>
        <w:spacing w:after="240" w:line="480" w:lineRule="auto"/>
        <w:rPr>
          <w:rFonts w:cstheme="minorHAnsi"/>
        </w:rPr>
      </w:pPr>
      <w:r w:rsidRPr="00B47143">
        <w:rPr>
          <w:rFonts w:cstheme="minorHAnsi"/>
        </w:rPr>
        <w:t xml:space="preserve">Alzheimer’s Disease International. (2010). </w:t>
      </w:r>
      <w:r w:rsidRPr="00B47143">
        <w:rPr>
          <w:rFonts w:cstheme="minorHAnsi"/>
          <w:i/>
        </w:rPr>
        <w:t>World Alzheimer Report 2010:</w:t>
      </w:r>
      <w:r w:rsidRPr="00B47143">
        <w:rPr>
          <w:rFonts w:cstheme="minorHAnsi"/>
        </w:rPr>
        <w:t xml:space="preserve"> </w:t>
      </w:r>
      <w:r w:rsidRPr="00B47143">
        <w:rPr>
          <w:rFonts w:cstheme="minorHAnsi"/>
          <w:i/>
        </w:rPr>
        <w:t>The global economic impact of dementia</w:t>
      </w:r>
      <w:r w:rsidRPr="00B47143">
        <w:rPr>
          <w:rFonts w:cstheme="minorHAnsi"/>
        </w:rPr>
        <w:t xml:space="preserve">. Retrieved from </w:t>
      </w:r>
      <w:hyperlink r:id="rId8" w:history="1">
        <w:r w:rsidR="00A45BA7" w:rsidRPr="00B47143">
          <w:rPr>
            <w:rStyle w:val="Hyperlink"/>
            <w:rFonts w:cstheme="minorHAnsi"/>
            <w:color w:val="auto"/>
          </w:rPr>
          <w:t>http://www.alz.co.uk/research/world-report-2010</w:t>
        </w:r>
      </w:hyperlink>
    </w:p>
    <w:p w14:paraId="49D1D99A" w14:textId="23C6983C" w:rsidR="00603A25" w:rsidRPr="00B47143" w:rsidRDefault="00603A25" w:rsidP="00603A25">
      <w:pPr>
        <w:spacing w:after="240" w:line="480" w:lineRule="auto"/>
        <w:rPr>
          <w:rFonts w:cstheme="minorHAnsi"/>
        </w:rPr>
      </w:pPr>
      <w:r w:rsidRPr="00B47143">
        <w:rPr>
          <w:rFonts w:cstheme="minorHAnsi"/>
        </w:rPr>
        <w:t xml:space="preserve">Ball, S. L., Holland, A. J., Huppert, F. A., Treppner, P., Watson, P. C., &amp; Hon, J. (2004). The modified CAMDEX informant interview is a valid and reliable tool for use in the diagnosis of dementia in adults with Down’s syndrome. </w:t>
      </w:r>
      <w:r w:rsidRPr="00B47143">
        <w:rPr>
          <w:rFonts w:cstheme="minorHAnsi"/>
          <w:i/>
        </w:rPr>
        <w:t>Journal of Intellectual Disability Research, 48</w:t>
      </w:r>
      <w:r w:rsidRPr="00B47143">
        <w:rPr>
          <w:rFonts w:cstheme="minorHAnsi"/>
        </w:rPr>
        <w:t>, 611–620. https://doi.org/10.1111/j.1365-2788.2004.00630.x</w:t>
      </w:r>
    </w:p>
    <w:p w14:paraId="746870FC" w14:textId="36521435" w:rsidR="00A45BA7" w:rsidRPr="00B47143" w:rsidRDefault="00A45BA7" w:rsidP="00A45BA7">
      <w:pPr>
        <w:spacing w:after="240" w:line="480" w:lineRule="auto"/>
        <w:rPr>
          <w:rFonts w:cstheme="minorHAnsi"/>
        </w:rPr>
      </w:pPr>
      <w:r w:rsidRPr="00B47143">
        <w:rPr>
          <w:rFonts w:cstheme="minorHAnsi"/>
        </w:rPr>
        <w:t>Boada, M., Alegret, M., Buendia, M., Hernández, I., Viñas, G., Espinosa, A.,… Tárraga, L. (2008). The usefulness of standard neuropsychological</w:t>
      </w:r>
      <w:r w:rsidR="00603A25" w:rsidRPr="00B47143">
        <w:rPr>
          <w:rFonts w:cstheme="minorHAnsi"/>
        </w:rPr>
        <w:t xml:space="preserve"> </w:t>
      </w:r>
      <w:r w:rsidRPr="00B47143">
        <w:rPr>
          <w:rFonts w:cstheme="minorHAnsi"/>
        </w:rPr>
        <w:t xml:space="preserve">testing for adults with Down syndrome and dementia. </w:t>
      </w:r>
      <w:r w:rsidRPr="00B47143">
        <w:rPr>
          <w:rFonts w:cstheme="minorHAnsi"/>
          <w:i/>
        </w:rPr>
        <w:t>International</w:t>
      </w:r>
      <w:r w:rsidR="00603A25" w:rsidRPr="00B47143">
        <w:rPr>
          <w:rFonts w:cstheme="minorHAnsi"/>
          <w:i/>
        </w:rPr>
        <w:t xml:space="preserve"> </w:t>
      </w:r>
      <w:r w:rsidRPr="00B47143">
        <w:rPr>
          <w:rFonts w:cstheme="minorHAnsi"/>
          <w:i/>
        </w:rPr>
        <w:t>Medical Review on Down Syndrome</w:t>
      </w:r>
      <w:r w:rsidRPr="00B47143">
        <w:rPr>
          <w:rFonts w:cstheme="minorHAnsi"/>
        </w:rPr>
        <w:t xml:space="preserve">, </w:t>
      </w:r>
      <w:r w:rsidRPr="00B47143">
        <w:rPr>
          <w:rFonts w:cstheme="minorHAnsi"/>
          <w:i/>
        </w:rPr>
        <w:t>12</w:t>
      </w:r>
      <w:r w:rsidRPr="00B47143">
        <w:rPr>
          <w:rFonts w:cstheme="minorHAnsi"/>
        </w:rPr>
        <w:t>, 2–7. https://doi.org/10.1016/S2171-9748(08)70029-1</w:t>
      </w:r>
    </w:p>
    <w:p w14:paraId="4AFD7411" w14:textId="77777777" w:rsidR="009A5A3E" w:rsidRPr="00B47143" w:rsidRDefault="009A5A3E" w:rsidP="009A5A3E">
      <w:pPr>
        <w:spacing w:after="240" w:line="480" w:lineRule="auto"/>
        <w:rPr>
          <w:rFonts w:cstheme="minorHAnsi"/>
        </w:rPr>
      </w:pPr>
      <w:r w:rsidRPr="00B47143">
        <w:rPr>
          <w:rFonts w:cstheme="minorHAnsi"/>
        </w:rPr>
        <w:t xml:space="preserve">British Psychological Society Division of Clinical Psychology, &amp; Royal College of Psychiatry. (2015). </w:t>
      </w:r>
      <w:r w:rsidRPr="00B47143">
        <w:rPr>
          <w:rFonts w:cstheme="minorHAnsi"/>
          <w:i/>
        </w:rPr>
        <w:t xml:space="preserve">Dementia and people with intellectual disabilities: Guidance on the assessment, diagnosis, interventions </w:t>
      </w:r>
      <w:r w:rsidRPr="00B47143">
        <w:rPr>
          <w:rFonts w:cstheme="minorHAnsi"/>
          <w:i/>
          <w:noProof/>
        </w:rPr>
        <w:t>and</w:t>
      </w:r>
      <w:r w:rsidRPr="00B47143">
        <w:rPr>
          <w:rFonts w:cstheme="minorHAnsi"/>
          <w:i/>
        </w:rPr>
        <w:t xml:space="preserve"> support of people with intellectual disabilities who develop dementia.</w:t>
      </w:r>
      <w:r w:rsidRPr="00B47143">
        <w:rPr>
          <w:rFonts w:cstheme="minorHAnsi"/>
        </w:rPr>
        <w:t xml:space="preserve"> Leicester, UK: The British Psychological Society. </w:t>
      </w:r>
    </w:p>
    <w:p w14:paraId="7CC5514A" w14:textId="77777777" w:rsidR="009A5A3E" w:rsidRPr="00B47143" w:rsidRDefault="009A5A3E" w:rsidP="009A5A3E">
      <w:pPr>
        <w:widowControl w:val="0"/>
        <w:autoSpaceDE w:val="0"/>
        <w:autoSpaceDN w:val="0"/>
        <w:adjustRightInd w:val="0"/>
        <w:spacing w:after="240" w:line="480" w:lineRule="auto"/>
        <w:rPr>
          <w:rFonts w:cstheme="minorHAnsi"/>
          <w:noProof/>
        </w:rPr>
      </w:pPr>
      <w:r w:rsidRPr="00B47143">
        <w:rPr>
          <w:rFonts w:cstheme="minorHAnsi"/>
          <w:noProof/>
        </w:rPr>
        <w:t xml:space="preserve">Evenhuis, H. M. (1992). Evaluation of a screening instrument for dementia in ageing mentally retarded persons. </w:t>
      </w:r>
      <w:r w:rsidRPr="00B47143">
        <w:rPr>
          <w:rFonts w:cstheme="minorHAnsi"/>
          <w:i/>
          <w:iCs/>
          <w:noProof/>
        </w:rPr>
        <w:t>Journal of Intellectual Disability Research</w:t>
      </w:r>
      <w:r w:rsidRPr="00B47143">
        <w:rPr>
          <w:rFonts w:cstheme="minorHAnsi"/>
          <w:noProof/>
        </w:rPr>
        <w:t xml:space="preserve">, </w:t>
      </w:r>
      <w:r w:rsidRPr="00B47143">
        <w:rPr>
          <w:rFonts w:cstheme="minorHAnsi"/>
          <w:i/>
          <w:iCs/>
          <w:noProof/>
        </w:rPr>
        <w:t>36</w:t>
      </w:r>
      <w:r w:rsidRPr="00B47143">
        <w:rPr>
          <w:rFonts w:cstheme="minorHAnsi"/>
          <w:noProof/>
        </w:rPr>
        <w:t>, 337-347. https://doi.org/10.1111/j.1365-2788.1992.tb00532.x</w:t>
      </w:r>
    </w:p>
    <w:p w14:paraId="38CC7B52" w14:textId="77777777" w:rsidR="009A5A3E" w:rsidRPr="00B47143" w:rsidRDefault="009A5A3E" w:rsidP="009A5A3E">
      <w:pPr>
        <w:widowControl w:val="0"/>
        <w:autoSpaceDE w:val="0"/>
        <w:autoSpaceDN w:val="0"/>
        <w:adjustRightInd w:val="0"/>
        <w:spacing w:after="240" w:line="480" w:lineRule="auto"/>
        <w:rPr>
          <w:rFonts w:cstheme="minorHAnsi"/>
          <w:noProof/>
        </w:rPr>
      </w:pPr>
      <w:r w:rsidRPr="00B47143">
        <w:rPr>
          <w:rFonts w:cstheme="minorHAnsi"/>
          <w:noProof/>
        </w:rPr>
        <w:t xml:space="preserve">Evenhuis, H. M., Kengen, M. M. F., &amp; Eurlings, H. A. L. (2009). The Dementia Questionnaire for People with Intellectual Disabilities. In V. P. Prasher (Ed.), </w:t>
      </w:r>
      <w:r w:rsidRPr="00B47143">
        <w:rPr>
          <w:rFonts w:cstheme="minorHAnsi"/>
          <w:i/>
          <w:iCs/>
          <w:noProof/>
        </w:rPr>
        <w:t>Neuropsychological assessments of dementia in Down syndrome and intellectual disabilities</w:t>
      </w:r>
      <w:r w:rsidRPr="00B47143">
        <w:rPr>
          <w:rFonts w:cstheme="minorHAnsi"/>
          <w:noProof/>
        </w:rPr>
        <w:t xml:space="preserve"> (1</w:t>
      </w:r>
      <w:r w:rsidRPr="00B47143">
        <w:rPr>
          <w:rFonts w:cstheme="minorHAnsi"/>
          <w:noProof/>
          <w:vertAlign w:val="superscript"/>
        </w:rPr>
        <w:t>st</w:t>
      </w:r>
      <w:r w:rsidRPr="00B47143">
        <w:rPr>
          <w:rFonts w:cstheme="minorHAnsi"/>
          <w:noProof/>
        </w:rPr>
        <w:t xml:space="preserve"> ed., pp. 39-52). London, UK: Springer.</w:t>
      </w:r>
    </w:p>
    <w:p w14:paraId="17A3C0F3" w14:textId="77777777" w:rsidR="009A5A3E" w:rsidRPr="00B47143" w:rsidRDefault="009A5A3E" w:rsidP="009A5A3E">
      <w:pPr>
        <w:widowControl w:val="0"/>
        <w:autoSpaceDE w:val="0"/>
        <w:autoSpaceDN w:val="0"/>
        <w:adjustRightInd w:val="0"/>
        <w:spacing w:after="240" w:line="480" w:lineRule="auto"/>
        <w:rPr>
          <w:rFonts w:cstheme="minorHAnsi"/>
          <w:noProof/>
        </w:rPr>
      </w:pPr>
      <w:r w:rsidRPr="00B47143">
        <w:rPr>
          <w:rFonts w:cstheme="minorHAnsi"/>
          <w:noProof/>
        </w:rPr>
        <w:t xml:space="preserve">Harrison, P. L., &amp; Oakland, T. (2015). </w:t>
      </w:r>
      <w:r w:rsidRPr="00B47143">
        <w:rPr>
          <w:rFonts w:cstheme="minorHAnsi"/>
          <w:i/>
          <w:iCs/>
          <w:noProof/>
        </w:rPr>
        <w:t>Adaptive Behaviour Assessment System</w:t>
      </w:r>
      <w:r w:rsidRPr="00B47143">
        <w:rPr>
          <w:rFonts w:cstheme="minorHAnsi"/>
          <w:noProof/>
        </w:rPr>
        <w:t xml:space="preserve"> (3rd ed.). Torrance, CA: Western Psychological Services. </w:t>
      </w:r>
    </w:p>
    <w:p w14:paraId="002DDAAF" w14:textId="77777777" w:rsidR="009A5A3E" w:rsidRPr="00B47143" w:rsidRDefault="009A5A3E" w:rsidP="009A5A3E">
      <w:pPr>
        <w:spacing w:after="240" w:line="480" w:lineRule="auto"/>
        <w:rPr>
          <w:rFonts w:cstheme="minorHAnsi"/>
        </w:rPr>
      </w:pPr>
      <w:r w:rsidRPr="00B47143">
        <w:rPr>
          <w:rFonts w:cstheme="minorHAnsi"/>
        </w:rPr>
        <w:t xml:space="preserve">Head, E., Silverman, W., Patterson, D., &amp; Lott, I. T. (2012). Aging and Down Syndrome. </w:t>
      </w:r>
      <w:r w:rsidRPr="00B47143">
        <w:rPr>
          <w:rFonts w:cstheme="minorHAnsi"/>
          <w:i/>
        </w:rPr>
        <w:t>Current Gerontology and Geriatrics Research, 2012</w:t>
      </w:r>
      <w:r w:rsidRPr="00B47143">
        <w:rPr>
          <w:rFonts w:cstheme="minorHAnsi"/>
        </w:rPr>
        <w:t xml:space="preserve">, 412536. </w:t>
      </w:r>
      <w:r w:rsidRPr="00B47143">
        <w:rPr>
          <w:rFonts w:cstheme="minorHAnsi"/>
          <w:shd w:val="clear" w:color="auto" w:fill="FFFFFF"/>
        </w:rPr>
        <w:t>https://doi.org/10.1155/2012/412536 </w:t>
      </w:r>
    </w:p>
    <w:p w14:paraId="7A2B2C16" w14:textId="77777777" w:rsidR="009A5A3E" w:rsidRPr="00B47143" w:rsidRDefault="009A5A3E" w:rsidP="009A5A3E">
      <w:pPr>
        <w:widowControl w:val="0"/>
        <w:autoSpaceDE w:val="0"/>
        <w:autoSpaceDN w:val="0"/>
        <w:adjustRightInd w:val="0"/>
        <w:spacing w:after="240" w:line="480" w:lineRule="auto"/>
        <w:rPr>
          <w:rFonts w:cstheme="minorHAnsi"/>
          <w:noProof/>
        </w:rPr>
      </w:pPr>
      <w:r w:rsidRPr="00B47143">
        <w:rPr>
          <w:rFonts w:cstheme="minorHAnsi"/>
          <w:noProof/>
        </w:rPr>
        <w:t xml:space="preserve">Hon, J., Huppert, F. A., Holland, A. J., &amp; Watson, P. C. (1999). Neuropsychological assessment of older adults with Down’s syndrome: An epidemiological study using the Cambridge Cognitive Examination (CAMCOG). </w:t>
      </w:r>
      <w:r w:rsidRPr="00B47143">
        <w:rPr>
          <w:rFonts w:cstheme="minorHAnsi"/>
          <w:i/>
          <w:iCs/>
          <w:noProof/>
        </w:rPr>
        <w:t>British Journal of Clinical Psychology</w:t>
      </w:r>
      <w:r w:rsidRPr="00B47143">
        <w:rPr>
          <w:rFonts w:cstheme="minorHAnsi"/>
          <w:noProof/>
        </w:rPr>
        <w:t xml:space="preserve">, </w:t>
      </w:r>
      <w:r w:rsidRPr="00B47143">
        <w:rPr>
          <w:rFonts w:cstheme="minorHAnsi"/>
          <w:i/>
          <w:iCs/>
          <w:noProof/>
        </w:rPr>
        <w:t>38</w:t>
      </w:r>
      <w:r w:rsidRPr="00B47143">
        <w:rPr>
          <w:rFonts w:cstheme="minorHAnsi"/>
          <w:noProof/>
        </w:rPr>
        <w:t>, 155-165. https://doi.org/10.1348/014466599162719</w:t>
      </w:r>
    </w:p>
    <w:p w14:paraId="654730E4" w14:textId="77777777" w:rsidR="009A5A3E" w:rsidRPr="00B47143" w:rsidRDefault="009A5A3E" w:rsidP="009A5A3E">
      <w:pPr>
        <w:spacing w:after="240" w:line="480" w:lineRule="auto"/>
        <w:rPr>
          <w:rFonts w:cstheme="minorHAnsi"/>
        </w:rPr>
      </w:pPr>
      <w:r w:rsidRPr="00B47143">
        <w:rPr>
          <w:rFonts w:cstheme="minorHAnsi"/>
        </w:rPr>
        <w:t xml:space="preserve">Mantry, D., Cooper, S. -A., Smiley, E., Morrison, J., Allan, L., Williamson, A., … Jackson, A. (2008). The prevalence and incidence of mental ill-health in adults with Down syndrome. </w:t>
      </w:r>
      <w:r w:rsidRPr="00B47143">
        <w:rPr>
          <w:rFonts w:cstheme="minorHAnsi"/>
          <w:i/>
        </w:rPr>
        <w:t>Journal of Intellectual Disability Research, 52</w:t>
      </w:r>
      <w:r w:rsidRPr="00B47143">
        <w:rPr>
          <w:rFonts w:cstheme="minorHAnsi"/>
        </w:rPr>
        <w:t xml:space="preserve">, 141–155. </w:t>
      </w:r>
      <w:r w:rsidRPr="00B47143">
        <w:rPr>
          <w:rFonts w:cstheme="minorHAnsi"/>
          <w:shd w:val="clear" w:color="auto" w:fill="FFFFFF"/>
        </w:rPr>
        <w:t>https://doi.org/10.1111/j.1365-2788.2007.00985.x </w:t>
      </w:r>
    </w:p>
    <w:p w14:paraId="772B8E70" w14:textId="77777777" w:rsidR="009A5A3E" w:rsidRPr="00B47143" w:rsidRDefault="009A5A3E" w:rsidP="009A5A3E">
      <w:pPr>
        <w:spacing w:after="240" w:line="480" w:lineRule="auto"/>
        <w:rPr>
          <w:rFonts w:cstheme="minorHAnsi"/>
        </w:rPr>
      </w:pPr>
      <w:r w:rsidRPr="00B47143">
        <w:rPr>
          <w:rFonts w:cstheme="minorHAnsi"/>
        </w:rPr>
        <w:t xml:space="preserve">McCarron, M., Gill, M., McCallion, P., &amp; Begley, C. (2005). Health co-morbidities in </w:t>
      </w:r>
      <w:r w:rsidRPr="00B47143">
        <w:rPr>
          <w:rFonts w:cstheme="minorHAnsi"/>
          <w:noProof/>
        </w:rPr>
        <w:t>ageing</w:t>
      </w:r>
      <w:r w:rsidRPr="00B47143">
        <w:rPr>
          <w:rFonts w:cstheme="minorHAnsi"/>
        </w:rPr>
        <w:t xml:space="preserve"> persons with Down syndrome and Alzheimer’s dementia. </w:t>
      </w:r>
      <w:r w:rsidRPr="00B47143">
        <w:rPr>
          <w:rFonts w:cstheme="minorHAnsi"/>
          <w:i/>
        </w:rPr>
        <w:t>Journal of Intellectual Disability Research, 49</w:t>
      </w:r>
      <w:r w:rsidRPr="00B47143">
        <w:rPr>
          <w:rFonts w:cstheme="minorHAnsi"/>
        </w:rPr>
        <w:t xml:space="preserve">, 560–566. </w:t>
      </w:r>
      <w:r w:rsidRPr="00B47143">
        <w:rPr>
          <w:rFonts w:cstheme="minorHAnsi"/>
          <w:shd w:val="clear" w:color="auto" w:fill="FFFFFF"/>
        </w:rPr>
        <w:t>https://doi.org/10.1111/j.1365-2788.2005.00704.x </w:t>
      </w:r>
    </w:p>
    <w:p w14:paraId="5D04694E" w14:textId="319E038B" w:rsidR="009A5A3E" w:rsidRPr="00B47143" w:rsidRDefault="009A5A3E" w:rsidP="009A5A3E">
      <w:pPr>
        <w:widowControl w:val="0"/>
        <w:autoSpaceDE w:val="0"/>
        <w:autoSpaceDN w:val="0"/>
        <w:adjustRightInd w:val="0"/>
        <w:spacing w:after="240" w:line="480" w:lineRule="auto"/>
        <w:rPr>
          <w:rFonts w:cstheme="minorHAnsi"/>
          <w:noProof/>
        </w:rPr>
      </w:pPr>
      <w:r w:rsidRPr="00B47143">
        <w:rPr>
          <w:rFonts w:cstheme="minorHAnsi"/>
          <w:noProof/>
        </w:rPr>
        <w:t xml:space="preserve">McCarron, M., McCallion, P., Fahey-McCarthy, E., Connaire, K., &amp; Dunn-Lane, J. (2010). Supporting persons with Down syndrome and advanced dementia: Challenges and care concerns. </w:t>
      </w:r>
      <w:r w:rsidRPr="00B47143">
        <w:rPr>
          <w:rFonts w:cstheme="minorHAnsi"/>
          <w:i/>
          <w:iCs/>
          <w:noProof/>
        </w:rPr>
        <w:t>Dementia</w:t>
      </w:r>
      <w:r w:rsidRPr="00B47143">
        <w:rPr>
          <w:rFonts w:cstheme="minorHAnsi"/>
          <w:noProof/>
        </w:rPr>
        <w:t xml:space="preserve">, </w:t>
      </w:r>
      <w:r w:rsidRPr="00B47143">
        <w:rPr>
          <w:rFonts w:cstheme="minorHAnsi"/>
          <w:i/>
          <w:iCs/>
          <w:noProof/>
        </w:rPr>
        <w:t>9</w:t>
      </w:r>
      <w:r w:rsidRPr="00B47143">
        <w:rPr>
          <w:rFonts w:cstheme="minorHAnsi"/>
          <w:noProof/>
        </w:rPr>
        <w:t xml:space="preserve">, 285-298. </w:t>
      </w:r>
      <w:hyperlink r:id="rId9" w:history="1">
        <w:r w:rsidR="00553FF4" w:rsidRPr="00B47143">
          <w:rPr>
            <w:rStyle w:val="Hyperlink"/>
            <w:rFonts w:cstheme="minorHAnsi"/>
            <w:noProof/>
            <w:color w:val="auto"/>
          </w:rPr>
          <w:t>https://doi.org/10.1177/1471301209354025</w:t>
        </w:r>
      </w:hyperlink>
    </w:p>
    <w:p w14:paraId="3071260E" w14:textId="730529C4" w:rsidR="00553FF4" w:rsidRPr="00B47143" w:rsidRDefault="00553FF4" w:rsidP="00553FF4">
      <w:pPr>
        <w:widowControl w:val="0"/>
        <w:autoSpaceDE w:val="0"/>
        <w:autoSpaceDN w:val="0"/>
        <w:adjustRightInd w:val="0"/>
        <w:spacing w:after="240" w:line="480" w:lineRule="auto"/>
        <w:rPr>
          <w:rFonts w:cstheme="minorHAnsi"/>
          <w:noProof/>
        </w:rPr>
      </w:pPr>
      <w:r w:rsidRPr="00B47143">
        <w:rPr>
          <w:rFonts w:cstheme="minorHAnsi"/>
          <w:noProof/>
        </w:rPr>
        <w:t xml:space="preserve">McCarron, M.,  McCallion, P., Reilly, E.,  &amp; Mulryan, N. (2014). A prospective 14-year longitudinal follow-up of dementia in persons with Down syndrome. </w:t>
      </w:r>
      <w:r w:rsidRPr="00B47143">
        <w:rPr>
          <w:rFonts w:cstheme="minorHAnsi"/>
          <w:i/>
          <w:noProof/>
        </w:rPr>
        <w:t>Journal of Intellectual Disability Research, 58</w:t>
      </w:r>
      <w:r w:rsidRPr="00B47143">
        <w:rPr>
          <w:rFonts w:cstheme="minorHAnsi"/>
          <w:noProof/>
        </w:rPr>
        <w:t>(1), 61–70</w:t>
      </w:r>
      <w:r w:rsidRPr="00B47143">
        <w:rPr>
          <w:rFonts w:cstheme="minorHAnsi"/>
          <w:i/>
          <w:noProof/>
        </w:rPr>
        <w:t>.</w:t>
      </w:r>
    </w:p>
    <w:p w14:paraId="0D48B0AD" w14:textId="77777777" w:rsidR="009A5A3E" w:rsidRPr="00B47143" w:rsidRDefault="009A5A3E" w:rsidP="009A5A3E">
      <w:pPr>
        <w:widowControl w:val="0"/>
        <w:autoSpaceDE w:val="0"/>
        <w:autoSpaceDN w:val="0"/>
        <w:adjustRightInd w:val="0"/>
        <w:spacing w:after="240" w:line="480" w:lineRule="auto"/>
        <w:rPr>
          <w:rFonts w:cstheme="minorHAnsi"/>
          <w:noProof/>
        </w:rPr>
      </w:pPr>
      <w:r w:rsidRPr="00B47143">
        <w:rPr>
          <w:rFonts w:cstheme="minorHAnsi"/>
          <w:noProof/>
        </w:rPr>
        <w:t xml:space="preserve">McKenzie, K., Baxter, S., Paxton, D., &amp; Murray, G. (2002). Picking up the signs: Carer knowledge about Down syndrome and Alzheimer’s disease. </w:t>
      </w:r>
      <w:r w:rsidRPr="00B47143">
        <w:rPr>
          <w:rFonts w:cstheme="minorHAnsi"/>
          <w:i/>
          <w:iCs/>
          <w:noProof/>
        </w:rPr>
        <w:t>Learning Disability Practice</w:t>
      </w:r>
      <w:r w:rsidRPr="00B47143">
        <w:rPr>
          <w:rFonts w:cstheme="minorHAnsi"/>
          <w:noProof/>
        </w:rPr>
        <w:t xml:space="preserve">, </w:t>
      </w:r>
      <w:r w:rsidRPr="00B47143">
        <w:rPr>
          <w:rFonts w:cstheme="minorHAnsi"/>
          <w:i/>
          <w:iCs/>
          <w:noProof/>
        </w:rPr>
        <w:t>5</w:t>
      </w:r>
      <w:r w:rsidRPr="00B47143">
        <w:rPr>
          <w:rFonts w:cstheme="minorHAnsi"/>
          <w:noProof/>
        </w:rPr>
        <w:t>(3), 16-19. https://doi.org/10.7748/ldp2002.04.5.3.16.c1479</w:t>
      </w:r>
    </w:p>
    <w:p w14:paraId="38AEA06F" w14:textId="07828214" w:rsidR="009A5A3E" w:rsidRPr="00B47143" w:rsidRDefault="009A5A3E" w:rsidP="009A5A3E">
      <w:pPr>
        <w:spacing w:after="240" w:line="480" w:lineRule="auto"/>
        <w:rPr>
          <w:rFonts w:cstheme="minorHAnsi"/>
        </w:rPr>
      </w:pPr>
      <w:r w:rsidRPr="00B47143">
        <w:rPr>
          <w:rFonts w:cstheme="minorHAnsi"/>
        </w:rPr>
        <w:t>McKenzie, K., Metcalfe, D., &amp; Murray, G. C. (</w:t>
      </w:r>
      <w:r w:rsidR="00EA62F8" w:rsidRPr="00B47143">
        <w:rPr>
          <w:rFonts w:cstheme="minorHAnsi"/>
        </w:rPr>
        <w:t>2018</w:t>
      </w:r>
      <w:r w:rsidRPr="00B47143">
        <w:rPr>
          <w:rFonts w:cstheme="minorHAnsi"/>
        </w:rPr>
        <w:t xml:space="preserve">). A review of measures used in the screening, assessment and diagnosis of dementia in people with an intellectual disability. </w:t>
      </w:r>
      <w:r w:rsidRPr="00B47143">
        <w:rPr>
          <w:rFonts w:cstheme="minorHAnsi"/>
          <w:i/>
        </w:rPr>
        <w:t>Journal of Applied Research in Intellectual Disabilities</w:t>
      </w:r>
      <w:r w:rsidRPr="00B47143">
        <w:rPr>
          <w:rFonts w:cstheme="minorHAnsi"/>
        </w:rPr>
        <w:t>.</w:t>
      </w:r>
      <w:r w:rsidR="00EA62F8" w:rsidRPr="00B47143">
        <w:t xml:space="preserve"> Early view </w:t>
      </w:r>
      <w:r w:rsidR="00EA62F8" w:rsidRPr="00B47143">
        <w:rPr>
          <w:rFonts w:cstheme="minorHAnsi"/>
        </w:rPr>
        <w:t>DOI: 10.1111/jar.12441</w:t>
      </w:r>
    </w:p>
    <w:p w14:paraId="1E4D9606" w14:textId="77777777" w:rsidR="009A5A3E" w:rsidRPr="00B47143" w:rsidRDefault="009A5A3E" w:rsidP="009A5A3E">
      <w:pPr>
        <w:spacing w:after="240" w:line="480" w:lineRule="auto"/>
        <w:rPr>
          <w:rFonts w:cstheme="minorHAnsi"/>
        </w:rPr>
      </w:pPr>
      <w:r w:rsidRPr="00B47143">
        <w:rPr>
          <w:rFonts w:cstheme="minorHAnsi"/>
        </w:rPr>
        <w:t>McKenzie, K., Murray, G., McKenzie, S., &amp; Muir, J. (1998). A prospective, longitudinal study of functional decline in individuals with Down’s syndrome</w:t>
      </w:r>
      <w:r w:rsidRPr="00B47143">
        <w:rPr>
          <w:rFonts w:cstheme="minorHAnsi"/>
          <w:i/>
        </w:rPr>
        <w:t xml:space="preserve">. Journal of Learning Disabilities for Nursing, </w:t>
      </w:r>
      <w:r w:rsidRPr="00B47143">
        <w:rPr>
          <w:rFonts w:cstheme="minorHAnsi"/>
          <w:i/>
          <w:noProof/>
        </w:rPr>
        <w:t>Heath</w:t>
      </w:r>
      <w:r w:rsidRPr="00B47143">
        <w:rPr>
          <w:rFonts w:cstheme="minorHAnsi"/>
          <w:i/>
        </w:rPr>
        <w:t xml:space="preserve"> </w:t>
      </w:r>
      <w:r w:rsidRPr="00B47143">
        <w:rPr>
          <w:rFonts w:cstheme="minorHAnsi"/>
          <w:i/>
          <w:noProof/>
        </w:rPr>
        <w:t>and</w:t>
      </w:r>
      <w:r w:rsidRPr="00B47143">
        <w:rPr>
          <w:rFonts w:cstheme="minorHAnsi"/>
          <w:i/>
        </w:rPr>
        <w:t xml:space="preserve"> Social Care, 2</w:t>
      </w:r>
      <w:r w:rsidRPr="00B47143">
        <w:rPr>
          <w:rFonts w:cstheme="minorHAnsi"/>
        </w:rPr>
        <w:t xml:space="preserve">, 98-104. </w:t>
      </w:r>
      <w:r w:rsidRPr="00B47143">
        <w:rPr>
          <w:rFonts w:cstheme="minorHAnsi"/>
          <w:shd w:val="clear" w:color="auto" w:fill="FFFFFF"/>
        </w:rPr>
        <w:t>https://doi.org/10.1177/146900479800200207 </w:t>
      </w:r>
    </w:p>
    <w:p w14:paraId="21811389" w14:textId="77777777" w:rsidR="009A5A3E" w:rsidRPr="00B47143" w:rsidRDefault="009A5A3E" w:rsidP="009A5A3E">
      <w:pPr>
        <w:spacing w:after="240" w:line="480" w:lineRule="auto"/>
        <w:rPr>
          <w:rFonts w:cstheme="minorHAnsi"/>
        </w:rPr>
      </w:pPr>
      <w:r w:rsidRPr="00B47143">
        <w:rPr>
          <w:rFonts w:cstheme="minorHAnsi"/>
        </w:rPr>
        <w:t xml:space="preserve">McKenzie, K., Paxton, D., Matheson, E., Patrick, S., Hamilton, L., &amp; Murray, G. C. (2000). </w:t>
      </w:r>
      <w:r w:rsidRPr="00B47143">
        <w:rPr>
          <w:rFonts w:cstheme="minorHAnsi"/>
          <w:noProof/>
        </w:rPr>
        <w:t>Pathways</w:t>
      </w:r>
      <w:r w:rsidRPr="00B47143">
        <w:rPr>
          <w:rFonts w:cstheme="minorHAnsi"/>
        </w:rPr>
        <w:t xml:space="preserve"> to success. </w:t>
      </w:r>
      <w:r w:rsidRPr="00B47143">
        <w:rPr>
          <w:rFonts w:cstheme="minorHAnsi"/>
          <w:i/>
          <w:noProof/>
        </w:rPr>
        <w:t>Learning Disability Practice, 3</w:t>
      </w:r>
      <w:r w:rsidRPr="00B47143">
        <w:rPr>
          <w:rFonts w:cstheme="minorHAnsi"/>
          <w:noProof/>
        </w:rPr>
        <w:t xml:space="preserve">(1), 16-19. </w:t>
      </w:r>
      <w:r w:rsidRPr="00B47143">
        <w:rPr>
          <w:rFonts w:cstheme="minorHAnsi"/>
          <w:shd w:val="clear" w:color="auto" w:fill="FFFFFF"/>
        </w:rPr>
        <w:t>https://doi.org/10.7748/ldp2000.06.3.1.16.c1425 </w:t>
      </w:r>
    </w:p>
    <w:p w14:paraId="6FD740D0" w14:textId="77777777" w:rsidR="009A5A3E" w:rsidRPr="00B47143" w:rsidRDefault="009A5A3E" w:rsidP="009A5A3E">
      <w:pPr>
        <w:spacing w:after="240" w:line="480" w:lineRule="auto"/>
        <w:rPr>
          <w:rFonts w:cstheme="minorHAnsi"/>
        </w:rPr>
      </w:pPr>
      <w:r w:rsidRPr="00B47143">
        <w:rPr>
          <w:rFonts w:cstheme="minorHAnsi"/>
        </w:rPr>
        <w:t xml:space="preserve">NHS England, &amp; NHS Employers. (2013). </w:t>
      </w:r>
      <w:r w:rsidRPr="00B47143">
        <w:rPr>
          <w:rFonts w:cstheme="minorHAnsi"/>
          <w:i/>
        </w:rPr>
        <w:t>2013/14 general medical services (GMS) contract: Guidance and audit requirements for new and amended services</w:t>
      </w:r>
      <w:r w:rsidRPr="00B47143">
        <w:rPr>
          <w:rFonts w:cstheme="minorHAnsi"/>
        </w:rPr>
        <w:t xml:space="preserve"> (Version 2). (n.p.): NHS Employers.</w:t>
      </w:r>
    </w:p>
    <w:p w14:paraId="2FDE67CC" w14:textId="77777777" w:rsidR="009A5A3E" w:rsidRPr="00B47143" w:rsidRDefault="009A5A3E" w:rsidP="009A5A3E">
      <w:pPr>
        <w:spacing w:after="240" w:line="480" w:lineRule="auto"/>
        <w:rPr>
          <w:rFonts w:cstheme="minorHAnsi"/>
        </w:rPr>
      </w:pPr>
      <w:r w:rsidRPr="00B47143">
        <w:rPr>
          <w:rFonts w:cstheme="minorHAnsi"/>
        </w:rPr>
        <w:t>Paxton, D., McKenzie, K., &amp; Dickson, K. (2001). The screen test.</w:t>
      </w:r>
      <w:r w:rsidRPr="00B47143">
        <w:rPr>
          <w:rFonts w:cstheme="minorHAnsi"/>
          <w:i/>
        </w:rPr>
        <w:t xml:space="preserve"> </w:t>
      </w:r>
      <w:r w:rsidRPr="00B47143">
        <w:rPr>
          <w:rFonts w:cstheme="minorHAnsi"/>
          <w:i/>
          <w:noProof/>
        </w:rPr>
        <w:t>Learning Disability Practice, 4</w:t>
      </w:r>
      <w:r w:rsidRPr="00B47143">
        <w:rPr>
          <w:rFonts w:cstheme="minorHAnsi"/>
          <w:noProof/>
        </w:rPr>
        <w:t xml:space="preserve">(2), 8-11. </w:t>
      </w:r>
      <w:r w:rsidRPr="00B47143">
        <w:rPr>
          <w:rFonts w:cstheme="minorHAnsi"/>
          <w:shd w:val="clear" w:color="auto" w:fill="FFFFFF"/>
        </w:rPr>
        <w:t>https://doi.org/10.7748/ldp2001.07.4.2.8.c1454 </w:t>
      </w:r>
    </w:p>
    <w:p w14:paraId="0240B6E2" w14:textId="77777777" w:rsidR="009A5A3E" w:rsidRPr="00B47143" w:rsidRDefault="009A5A3E" w:rsidP="009A5A3E">
      <w:pPr>
        <w:widowControl w:val="0"/>
        <w:autoSpaceDE w:val="0"/>
        <w:autoSpaceDN w:val="0"/>
        <w:adjustRightInd w:val="0"/>
        <w:spacing w:after="240" w:line="480" w:lineRule="auto"/>
        <w:rPr>
          <w:rFonts w:cstheme="minorHAnsi"/>
          <w:noProof/>
        </w:rPr>
      </w:pPr>
      <w:r w:rsidRPr="00B47143">
        <w:rPr>
          <w:rFonts w:cstheme="minorHAnsi"/>
          <w:noProof/>
        </w:rPr>
        <w:t xml:space="preserve">Prasher, V. P., &amp; Krishnan, V. H. R. (1993). Age of onset and duration of dementia in people with Down syndrome: Integration of 98 reported cases in the literature. </w:t>
      </w:r>
      <w:r w:rsidRPr="00B47143">
        <w:rPr>
          <w:rFonts w:cstheme="minorHAnsi"/>
          <w:i/>
          <w:iCs/>
          <w:noProof/>
        </w:rPr>
        <w:t>International Journal of Geriatric Psychiatry</w:t>
      </w:r>
      <w:r w:rsidRPr="00B47143">
        <w:rPr>
          <w:rFonts w:cstheme="minorHAnsi"/>
          <w:noProof/>
        </w:rPr>
        <w:t xml:space="preserve">, </w:t>
      </w:r>
      <w:r w:rsidRPr="00B47143">
        <w:rPr>
          <w:rFonts w:cstheme="minorHAnsi"/>
          <w:i/>
          <w:iCs/>
          <w:noProof/>
        </w:rPr>
        <w:t>8</w:t>
      </w:r>
      <w:r w:rsidRPr="00B47143">
        <w:rPr>
          <w:rFonts w:cstheme="minorHAnsi"/>
          <w:noProof/>
        </w:rPr>
        <w:t>, 915-922. https://doi.org/10.1002/gps.930081105</w:t>
      </w:r>
    </w:p>
    <w:p w14:paraId="07B4B14E" w14:textId="77777777" w:rsidR="009A5A3E" w:rsidRPr="00B47143" w:rsidRDefault="009A5A3E" w:rsidP="009A5A3E">
      <w:pPr>
        <w:spacing w:after="240" w:line="480" w:lineRule="auto"/>
        <w:rPr>
          <w:rFonts w:cstheme="minorHAnsi"/>
        </w:rPr>
      </w:pPr>
      <w:r w:rsidRPr="00B47143">
        <w:rPr>
          <w:rFonts w:cstheme="minorHAnsi"/>
        </w:rPr>
        <w:t xml:space="preserve">Rowe, M. (2014). Will General Practitioners be adequately prepared to meet the complexities of enhanced dementia screening for people with learning disabilities and Down syndrome: Key considerations. </w:t>
      </w:r>
      <w:r w:rsidRPr="00B47143">
        <w:rPr>
          <w:rFonts w:cstheme="minorHAnsi"/>
          <w:i/>
        </w:rPr>
        <w:t>British Journal of Learning Disabilities, 44</w:t>
      </w:r>
      <w:r w:rsidRPr="00B47143">
        <w:rPr>
          <w:rFonts w:cstheme="minorHAnsi"/>
        </w:rPr>
        <w:t xml:space="preserve">, 43–48. </w:t>
      </w:r>
      <w:r w:rsidRPr="00B47143">
        <w:rPr>
          <w:rFonts w:cstheme="minorHAnsi"/>
          <w:shd w:val="clear" w:color="auto" w:fill="FFFFFF"/>
        </w:rPr>
        <w:t>https://doi.org/10.1111/bld.12108 </w:t>
      </w:r>
    </w:p>
    <w:p w14:paraId="3A02AF77" w14:textId="77777777" w:rsidR="009A5A3E" w:rsidRPr="00B47143" w:rsidRDefault="009A5A3E" w:rsidP="009A5A3E">
      <w:pPr>
        <w:widowControl w:val="0"/>
        <w:autoSpaceDE w:val="0"/>
        <w:autoSpaceDN w:val="0"/>
        <w:adjustRightInd w:val="0"/>
        <w:spacing w:after="240" w:line="480" w:lineRule="auto"/>
        <w:rPr>
          <w:rFonts w:cstheme="minorHAnsi"/>
          <w:noProof/>
        </w:rPr>
      </w:pPr>
      <w:r w:rsidRPr="00B47143">
        <w:rPr>
          <w:rFonts w:cstheme="minorHAnsi"/>
          <w:noProof/>
        </w:rPr>
        <w:t xml:space="preserve">Saxton, J., McGonicle, K. L., Swihart, A. A., &amp; Boller, F. (1993). </w:t>
      </w:r>
      <w:r w:rsidRPr="00B47143">
        <w:rPr>
          <w:rFonts w:cstheme="minorHAnsi"/>
          <w:i/>
          <w:iCs/>
          <w:noProof/>
        </w:rPr>
        <w:t>The Severe Impairment Battery</w:t>
      </w:r>
      <w:r w:rsidRPr="00B47143">
        <w:rPr>
          <w:rFonts w:cstheme="minorHAnsi"/>
          <w:noProof/>
        </w:rPr>
        <w:t>. London, UK: Thames Valley Test Company.</w:t>
      </w:r>
    </w:p>
    <w:p w14:paraId="1412468F" w14:textId="77777777" w:rsidR="009A5A3E" w:rsidRPr="00B47143" w:rsidRDefault="009A5A3E" w:rsidP="009A5A3E">
      <w:pPr>
        <w:widowControl w:val="0"/>
        <w:autoSpaceDE w:val="0"/>
        <w:autoSpaceDN w:val="0"/>
        <w:adjustRightInd w:val="0"/>
        <w:spacing w:after="240" w:line="480" w:lineRule="auto"/>
        <w:rPr>
          <w:rFonts w:cstheme="minorHAnsi"/>
          <w:noProof/>
        </w:rPr>
      </w:pPr>
      <w:r w:rsidRPr="00B47143">
        <w:rPr>
          <w:rFonts w:cstheme="minorHAnsi"/>
          <w:noProof/>
        </w:rPr>
        <w:t xml:space="preserve">Sparrow, S. S., Cicchetti, D. V, &amp; Saulnier, C. A. (2016). </w:t>
      </w:r>
      <w:r w:rsidRPr="00B47143">
        <w:rPr>
          <w:rFonts w:cstheme="minorHAnsi"/>
          <w:i/>
          <w:iCs/>
          <w:noProof/>
        </w:rPr>
        <w:t xml:space="preserve">Vineland Adaptive Behavior Scales </w:t>
      </w:r>
      <w:r w:rsidRPr="00B47143">
        <w:rPr>
          <w:rFonts w:cstheme="minorHAnsi"/>
          <w:iCs/>
          <w:noProof/>
        </w:rPr>
        <w:t>(3</w:t>
      </w:r>
      <w:r w:rsidRPr="00B47143">
        <w:rPr>
          <w:rFonts w:cstheme="minorHAnsi"/>
          <w:iCs/>
          <w:noProof/>
          <w:vertAlign w:val="superscript"/>
        </w:rPr>
        <w:t>rd</w:t>
      </w:r>
      <w:r w:rsidRPr="00B47143">
        <w:rPr>
          <w:rFonts w:cstheme="minorHAnsi"/>
          <w:iCs/>
          <w:noProof/>
        </w:rPr>
        <w:t xml:space="preserve"> ed.). </w:t>
      </w:r>
      <w:r w:rsidRPr="00B47143">
        <w:rPr>
          <w:rFonts w:cstheme="minorHAnsi"/>
          <w:noProof/>
        </w:rPr>
        <w:t>Retrieved from http://www.pearsonclinical.com/psychology/products/100001622/vineland-adaptive-behavior-scales-third-edition--vineland-3.html</w:t>
      </w:r>
    </w:p>
    <w:p w14:paraId="1C299A71" w14:textId="77777777" w:rsidR="009A5A3E" w:rsidRPr="00B47143" w:rsidRDefault="009A5A3E" w:rsidP="009A5A3E">
      <w:pPr>
        <w:spacing w:after="240" w:line="480" w:lineRule="auto"/>
        <w:rPr>
          <w:rFonts w:cstheme="minorHAnsi"/>
        </w:rPr>
      </w:pPr>
      <w:r w:rsidRPr="00B47143">
        <w:rPr>
          <w:rFonts w:cstheme="minorHAnsi"/>
        </w:rPr>
        <w:t xml:space="preserve">Strydom, A., Hassiotis, A., King, M., &amp; Livingston, G. (2009). The relationship of dementia prevalence in older adults with intellectual disability (ID) to age and severity of ID. </w:t>
      </w:r>
      <w:r w:rsidRPr="00B47143">
        <w:rPr>
          <w:rFonts w:cstheme="minorHAnsi"/>
          <w:i/>
        </w:rPr>
        <w:t>Psychological Medicine, 39</w:t>
      </w:r>
      <w:r w:rsidRPr="00B47143">
        <w:rPr>
          <w:rFonts w:cstheme="minorHAnsi"/>
        </w:rPr>
        <w:t>, 13–21.</w:t>
      </w:r>
      <w:r w:rsidRPr="00B47143">
        <w:rPr>
          <w:rFonts w:cstheme="minorHAnsi"/>
          <w:shd w:val="clear" w:color="auto" w:fill="FFFFFF"/>
        </w:rPr>
        <w:t> https://doi.org/10.1017/s0033291708003334 </w:t>
      </w:r>
    </w:p>
    <w:p w14:paraId="0316A743" w14:textId="77777777" w:rsidR="009A5A3E" w:rsidRPr="00B47143" w:rsidRDefault="009A5A3E" w:rsidP="009A5A3E">
      <w:pPr>
        <w:widowControl w:val="0"/>
        <w:autoSpaceDE w:val="0"/>
        <w:autoSpaceDN w:val="0"/>
        <w:adjustRightInd w:val="0"/>
        <w:spacing w:after="240" w:line="480" w:lineRule="auto"/>
        <w:rPr>
          <w:rFonts w:cstheme="minorHAnsi"/>
          <w:noProof/>
        </w:rPr>
      </w:pPr>
      <w:r w:rsidRPr="00B47143">
        <w:rPr>
          <w:rFonts w:cstheme="minorHAnsi"/>
          <w:noProof/>
        </w:rPr>
        <w:t xml:space="preserve">Strydom, A., Shooshtari, S., Lee, L., Raykar, V., Torr, J., Tsiouris, J., … Maaskant, M. (2010). Dementia in older adults with intellectual disabilities: Epidemiology, presentation, and diagnosis. </w:t>
      </w:r>
      <w:r w:rsidRPr="00B47143">
        <w:rPr>
          <w:rFonts w:cstheme="minorHAnsi"/>
          <w:i/>
          <w:iCs/>
          <w:noProof/>
        </w:rPr>
        <w:t>Journal of Policy and Practice in Intellectual Disabilities</w:t>
      </w:r>
      <w:r w:rsidRPr="00B47143">
        <w:rPr>
          <w:rFonts w:cstheme="minorHAnsi"/>
          <w:noProof/>
        </w:rPr>
        <w:t xml:space="preserve">, </w:t>
      </w:r>
      <w:r w:rsidRPr="00B47143">
        <w:rPr>
          <w:rFonts w:cstheme="minorHAnsi"/>
          <w:i/>
          <w:iCs/>
          <w:noProof/>
        </w:rPr>
        <w:t>7</w:t>
      </w:r>
      <w:r w:rsidRPr="00B47143">
        <w:rPr>
          <w:rFonts w:cstheme="minorHAnsi"/>
          <w:noProof/>
        </w:rPr>
        <w:t>, 96-110. https://doi.org/10.1111/j.1741-1130.2010.00253.x</w:t>
      </w:r>
    </w:p>
    <w:p w14:paraId="171B7063" w14:textId="77777777" w:rsidR="009A5A3E" w:rsidRPr="00B47143" w:rsidRDefault="009A5A3E" w:rsidP="009A5A3E">
      <w:pPr>
        <w:widowControl w:val="0"/>
        <w:autoSpaceDE w:val="0"/>
        <w:autoSpaceDN w:val="0"/>
        <w:adjustRightInd w:val="0"/>
        <w:spacing w:after="240" w:line="480" w:lineRule="auto"/>
        <w:rPr>
          <w:rFonts w:cstheme="minorHAnsi"/>
          <w:noProof/>
        </w:rPr>
      </w:pPr>
      <w:r w:rsidRPr="00B47143">
        <w:rPr>
          <w:rFonts w:cstheme="minorHAnsi"/>
          <w:noProof/>
        </w:rPr>
        <w:t xml:space="preserve">Torr, J., Strydom, A., Patti, P., &amp; Jokinen, N. (2010). Aging in Down syndrome: Morbidity and mortality. </w:t>
      </w:r>
      <w:r w:rsidRPr="00B47143">
        <w:rPr>
          <w:rFonts w:cstheme="minorHAnsi"/>
          <w:i/>
          <w:iCs/>
          <w:noProof/>
        </w:rPr>
        <w:t>Journal of Policy and Practice in Intellectual Disabilities</w:t>
      </w:r>
      <w:r w:rsidRPr="00B47143">
        <w:rPr>
          <w:rFonts w:cstheme="minorHAnsi"/>
          <w:noProof/>
        </w:rPr>
        <w:t xml:space="preserve">, </w:t>
      </w:r>
      <w:r w:rsidRPr="00B47143">
        <w:rPr>
          <w:rFonts w:cstheme="minorHAnsi"/>
          <w:i/>
          <w:iCs/>
          <w:noProof/>
        </w:rPr>
        <w:t>7</w:t>
      </w:r>
      <w:r w:rsidRPr="00B47143">
        <w:rPr>
          <w:rFonts w:cstheme="minorHAnsi"/>
          <w:noProof/>
        </w:rPr>
        <w:t>, 70-81. https://doi.org/10.1111/j.1741-1130.2010.00249.x</w:t>
      </w:r>
    </w:p>
    <w:p w14:paraId="12B33E8B" w14:textId="068A1439" w:rsidR="009A5A3E" w:rsidRPr="00B47143" w:rsidRDefault="009A5A3E" w:rsidP="009A5A3E">
      <w:pPr>
        <w:spacing w:after="240" w:line="480" w:lineRule="auto"/>
        <w:rPr>
          <w:rFonts w:cstheme="minorHAnsi"/>
        </w:rPr>
      </w:pPr>
      <w:r w:rsidRPr="00B47143">
        <w:rPr>
          <w:rFonts w:cstheme="minorHAnsi"/>
        </w:rPr>
        <w:t xml:space="preserve">Turk, V., Dodd, K., &amp; Christmas, M. (2001). </w:t>
      </w:r>
      <w:r w:rsidRPr="00B47143">
        <w:rPr>
          <w:rFonts w:cstheme="minorHAnsi"/>
          <w:i/>
        </w:rPr>
        <w:t>Down’s syndrome and dementia: Briefing for Commissioners.</w:t>
      </w:r>
      <w:r w:rsidRPr="00B47143">
        <w:rPr>
          <w:rFonts w:cstheme="minorHAnsi"/>
        </w:rPr>
        <w:t xml:space="preserve"> London, UK: Foundation for People with Learning Disabilities.</w:t>
      </w:r>
    </w:p>
    <w:p w14:paraId="7A3693F0" w14:textId="2D1E6A0E" w:rsidR="00F1432E" w:rsidRPr="00B47143" w:rsidRDefault="00F1432E" w:rsidP="00F1432E">
      <w:pPr>
        <w:spacing w:after="240" w:line="480" w:lineRule="auto"/>
        <w:rPr>
          <w:rFonts w:cstheme="minorHAnsi"/>
        </w:rPr>
      </w:pPr>
      <w:r w:rsidRPr="00B47143">
        <w:rPr>
          <w:rFonts w:cstheme="minorHAnsi"/>
        </w:rPr>
        <w:t xml:space="preserve">Zeilinger, E.L., Stiehl, K.A., &amp; Weber, G. (2013). A systematic review on assessment instruments for dementia in persons with intellectual disabilities. </w:t>
      </w:r>
      <w:r w:rsidRPr="00B47143">
        <w:rPr>
          <w:rFonts w:cstheme="minorHAnsi"/>
          <w:i/>
        </w:rPr>
        <w:t>Research in Developmental Disabilities, 11</w:t>
      </w:r>
      <w:r w:rsidRPr="00B47143">
        <w:rPr>
          <w:rFonts w:cstheme="minorHAnsi"/>
        </w:rPr>
        <w:t>, 3962-3977. doi: 10.1016/j.ridd.2013.08.013.</w:t>
      </w:r>
    </w:p>
    <w:p w14:paraId="1E0A89B6" w14:textId="77777777" w:rsidR="004E69E1" w:rsidRPr="00B47143" w:rsidRDefault="004E69E1" w:rsidP="00261346">
      <w:pPr>
        <w:spacing w:line="480" w:lineRule="auto"/>
        <w:rPr>
          <w:b/>
        </w:rPr>
      </w:pPr>
    </w:p>
    <w:sectPr w:rsidR="004E69E1" w:rsidRPr="00B47143" w:rsidSect="00B159E0">
      <w:footerReference w:type="default" r:id="rId10"/>
      <w:head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3649E" w14:textId="77777777" w:rsidR="004C2D53" w:rsidRDefault="004C2D53" w:rsidP="002C536E">
      <w:pPr>
        <w:spacing w:after="0" w:line="240" w:lineRule="auto"/>
      </w:pPr>
      <w:r>
        <w:separator/>
      </w:r>
    </w:p>
  </w:endnote>
  <w:endnote w:type="continuationSeparator" w:id="0">
    <w:p w14:paraId="345B6F50" w14:textId="77777777" w:rsidR="004C2D53" w:rsidRDefault="004C2D53" w:rsidP="002C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00497"/>
      <w:docPartObj>
        <w:docPartGallery w:val="Page Numbers (Bottom of Page)"/>
        <w:docPartUnique/>
      </w:docPartObj>
    </w:sdtPr>
    <w:sdtEndPr>
      <w:rPr>
        <w:noProof/>
      </w:rPr>
    </w:sdtEndPr>
    <w:sdtContent>
      <w:p w14:paraId="7DBE83C6" w14:textId="798E8025" w:rsidR="00C70619" w:rsidRDefault="00C70619">
        <w:pPr>
          <w:pStyle w:val="Footer"/>
          <w:jc w:val="right"/>
        </w:pPr>
        <w:r>
          <w:fldChar w:fldCharType="begin"/>
        </w:r>
        <w:r>
          <w:instrText xml:space="preserve"> PAGE   \* MERGEFORMAT </w:instrText>
        </w:r>
        <w:r>
          <w:fldChar w:fldCharType="separate"/>
        </w:r>
        <w:r w:rsidR="002E612A">
          <w:rPr>
            <w:noProof/>
          </w:rPr>
          <w:t>1</w:t>
        </w:r>
        <w:r>
          <w:rPr>
            <w:noProof/>
          </w:rPr>
          <w:fldChar w:fldCharType="end"/>
        </w:r>
      </w:p>
    </w:sdtContent>
  </w:sdt>
  <w:p w14:paraId="1C886E70" w14:textId="77777777" w:rsidR="00C70619" w:rsidRDefault="00C70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97F30" w14:textId="77777777" w:rsidR="004C2D53" w:rsidRDefault="004C2D53" w:rsidP="002C536E">
      <w:pPr>
        <w:spacing w:after="0" w:line="240" w:lineRule="auto"/>
      </w:pPr>
      <w:r>
        <w:separator/>
      </w:r>
    </w:p>
  </w:footnote>
  <w:footnote w:type="continuationSeparator" w:id="0">
    <w:p w14:paraId="6BCC1A10" w14:textId="77777777" w:rsidR="004C2D53" w:rsidRDefault="004C2D53" w:rsidP="002C5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7853" w14:textId="6990C68D" w:rsidR="00C70619" w:rsidRPr="00826B57" w:rsidRDefault="00C70619" w:rsidP="00826B57">
    <w:pPr>
      <w:jc w:val="center"/>
      <w:rPr>
        <w:b/>
        <w:sz w:val="18"/>
        <w:szCs w:val="18"/>
      </w:rPr>
    </w:pPr>
    <w:r w:rsidRPr="00826B57">
      <w:rPr>
        <w:b/>
        <w:sz w:val="18"/>
        <w:szCs w:val="18"/>
      </w:rPr>
      <w:t xml:space="preserve">Screening, assessment and service provision for people with an intellectual disability and dementia </w:t>
    </w:r>
  </w:p>
  <w:p w14:paraId="498D68D1" w14:textId="77777777" w:rsidR="00C70619" w:rsidRDefault="00C70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0E5D2976"/>
    <w:multiLevelType w:val="multilevel"/>
    <w:tmpl w:val="9922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803F1"/>
    <w:multiLevelType w:val="hybridMultilevel"/>
    <w:tmpl w:val="CBAE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008DF"/>
    <w:multiLevelType w:val="hybridMultilevel"/>
    <w:tmpl w:val="1B8C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B76E7"/>
    <w:multiLevelType w:val="hybridMultilevel"/>
    <w:tmpl w:val="7670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20AC7"/>
    <w:multiLevelType w:val="hybridMultilevel"/>
    <w:tmpl w:val="4EAA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2660B"/>
    <w:multiLevelType w:val="hybridMultilevel"/>
    <w:tmpl w:val="053C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6F152C"/>
    <w:multiLevelType w:val="hybridMultilevel"/>
    <w:tmpl w:val="8758D9B8"/>
    <w:lvl w:ilvl="0" w:tplc="5002BDD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294805"/>
    <w:multiLevelType w:val="hybridMultilevel"/>
    <w:tmpl w:val="5D4A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6"/>
  </w:num>
  <w:num w:numId="6">
    <w:abstractNumId w:val="9"/>
  </w:num>
  <w:num w:numId="7">
    <w:abstractNumId w:val="3"/>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69"/>
    <w:rsid w:val="00003B56"/>
    <w:rsid w:val="00005F7F"/>
    <w:rsid w:val="00010A64"/>
    <w:rsid w:val="000143C9"/>
    <w:rsid w:val="00015F97"/>
    <w:rsid w:val="00023C61"/>
    <w:rsid w:val="000302AE"/>
    <w:rsid w:val="00031D92"/>
    <w:rsid w:val="00031F5D"/>
    <w:rsid w:val="0003511B"/>
    <w:rsid w:val="00037584"/>
    <w:rsid w:val="000408CF"/>
    <w:rsid w:val="00041DCD"/>
    <w:rsid w:val="00046F52"/>
    <w:rsid w:val="00052F5C"/>
    <w:rsid w:val="0006764C"/>
    <w:rsid w:val="00067A5B"/>
    <w:rsid w:val="00077922"/>
    <w:rsid w:val="00080C6D"/>
    <w:rsid w:val="00080EFE"/>
    <w:rsid w:val="00081747"/>
    <w:rsid w:val="00095B10"/>
    <w:rsid w:val="000960DA"/>
    <w:rsid w:val="00097C93"/>
    <w:rsid w:val="000B5B6F"/>
    <w:rsid w:val="000B70BB"/>
    <w:rsid w:val="000C09EA"/>
    <w:rsid w:val="000C1045"/>
    <w:rsid w:val="000C141E"/>
    <w:rsid w:val="000D0D2C"/>
    <w:rsid w:val="000E52D2"/>
    <w:rsid w:val="00110342"/>
    <w:rsid w:val="0011210C"/>
    <w:rsid w:val="001151CB"/>
    <w:rsid w:val="00115890"/>
    <w:rsid w:val="00122429"/>
    <w:rsid w:val="0012303E"/>
    <w:rsid w:val="00126AA6"/>
    <w:rsid w:val="00136054"/>
    <w:rsid w:val="00152094"/>
    <w:rsid w:val="001520C7"/>
    <w:rsid w:val="001564D9"/>
    <w:rsid w:val="00157142"/>
    <w:rsid w:val="00161C74"/>
    <w:rsid w:val="001641C4"/>
    <w:rsid w:val="00167163"/>
    <w:rsid w:val="001717CE"/>
    <w:rsid w:val="00171EF8"/>
    <w:rsid w:val="00174965"/>
    <w:rsid w:val="001802DF"/>
    <w:rsid w:val="001814BC"/>
    <w:rsid w:val="00183E26"/>
    <w:rsid w:val="0018632C"/>
    <w:rsid w:val="00186BBE"/>
    <w:rsid w:val="00187D04"/>
    <w:rsid w:val="001978BB"/>
    <w:rsid w:val="001A5067"/>
    <w:rsid w:val="001C0C29"/>
    <w:rsid w:val="001C5D65"/>
    <w:rsid w:val="001D300C"/>
    <w:rsid w:val="001E16D9"/>
    <w:rsid w:val="001E1FCB"/>
    <w:rsid w:val="001F337C"/>
    <w:rsid w:val="001F721B"/>
    <w:rsid w:val="0020155E"/>
    <w:rsid w:val="002067FD"/>
    <w:rsid w:val="002152CA"/>
    <w:rsid w:val="002172F4"/>
    <w:rsid w:val="00217AEA"/>
    <w:rsid w:val="00221CA7"/>
    <w:rsid w:val="00224E19"/>
    <w:rsid w:val="00225AF2"/>
    <w:rsid w:val="00232F46"/>
    <w:rsid w:val="00234E34"/>
    <w:rsid w:val="002536F1"/>
    <w:rsid w:val="00257734"/>
    <w:rsid w:val="00257F3E"/>
    <w:rsid w:val="00261346"/>
    <w:rsid w:val="0027042C"/>
    <w:rsid w:val="00277DD3"/>
    <w:rsid w:val="00281A07"/>
    <w:rsid w:val="00287765"/>
    <w:rsid w:val="0029578B"/>
    <w:rsid w:val="002A33B1"/>
    <w:rsid w:val="002C1E8A"/>
    <w:rsid w:val="002C536E"/>
    <w:rsid w:val="002C7628"/>
    <w:rsid w:val="002D102C"/>
    <w:rsid w:val="002D1473"/>
    <w:rsid w:val="002D4648"/>
    <w:rsid w:val="002D4B7C"/>
    <w:rsid w:val="002E05D1"/>
    <w:rsid w:val="002E612A"/>
    <w:rsid w:val="002E66F4"/>
    <w:rsid w:val="002F63D4"/>
    <w:rsid w:val="002F7C24"/>
    <w:rsid w:val="00302218"/>
    <w:rsid w:val="00305DBA"/>
    <w:rsid w:val="00305F3E"/>
    <w:rsid w:val="0030621A"/>
    <w:rsid w:val="00313F9E"/>
    <w:rsid w:val="00317792"/>
    <w:rsid w:val="0033129A"/>
    <w:rsid w:val="0033183A"/>
    <w:rsid w:val="00335B7D"/>
    <w:rsid w:val="00335EA7"/>
    <w:rsid w:val="00345819"/>
    <w:rsid w:val="0036411F"/>
    <w:rsid w:val="0036616E"/>
    <w:rsid w:val="003671DD"/>
    <w:rsid w:val="00380FE2"/>
    <w:rsid w:val="00381838"/>
    <w:rsid w:val="00383051"/>
    <w:rsid w:val="003867A2"/>
    <w:rsid w:val="00392970"/>
    <w:rsid w:val="003A089A"/>
    <w:rsid w:val="003B52D6"/>
    <w:rsid w:val="003B674D"/>
    <w:rsid w:val="003B6A3E"/>
    <w:rsid w:val="003C03C5"/>
    <w:rsid w:val="003C0636"/>
    <w:rsid w:val="003C1673"/>
    <w:rsid w:val="003C1843"/>
    <w:rsid w:val="003C3B9D"/>
    <w:rsid w:val="003C3BD1"/>
    <w:rsid w:val="003C730D"/>
    <w:rsid w:val="003D3AB0"/>
    <w:rsid w:val="003D6654"/>
    <w:rsid w:val="003E495E"/>
    <w:rsid w:val="003E5045"/>
    <w:rsid w:val="003F39D0"/>
    <w:rsid w:val="003F7CF8"/>
    <w:rsid w:val="00407763"/>
    <w:rsid w:val="00410136"/>
    <w:rsid w:val="00411264"/>
    <w:rsid w:val="004137EA"/>
    <w:rsid w:val="00416A12"/>
    <w:rsid w:val="004247CA"/>
    <w:rsid w:val="00426172"/>
    <w:rsid w:val="00431ABF"/>
    <w:rsid w:val="00451127"/>
    <w:rsid w:val="0045578B"/>
    <w:rsid w:val="0045794D"/>
    <w:rsid w:val="004641FF"/>
    <w:rsid w:val="00466826"/>
    <w:rsid w:val="004721D6"/>
    <w:rsid w:val="00475575"/>
    <w:rsid w:val="00481465"/>
    <w:rsid w:val="00482260"/>
    <w:rsid w:val="00482CFC"/>
    <w:rsid w:val="0048588A"/>
    <w:rsid w:val="00487B48"/>
    <w:rsid w:val="004A0039"/>
    <w:rsid w:val="004A0813"/>
    <w:rsid w:val="004A3225"/>
    <w:rsid w:val="004B1E6D"/>
    <w:rsid w:val="004B34A9"/>
    <w:rsid w:val="004C2D53"/>
    <w:rsid w:val="004C5218"/>
    <w:rsid w:val="004D2562"/>
    <w:rsid w:val="004D2D53"/>
    <w:rsid w:val="004D44CD"/>
    <w:rsid w:val="004E1574"/>
    <w:rsid w:val="004E69E1"/>
    <w:rsid w:val="004E6DDD"/>
    <w:rsid w:val="004F60AF"/>
    <w:rsid w:val="004F7F07"/>
    <w:rsid w:val="005018A7"/>
    <w:rsid w:val="00514CFC"/>
    <w:rsid w:val="00516C80"/>
    <w:rsid w:val="005214F6"/>
    <w:rsid w:val="00527D55"/>
    <w:rsid w:val="005315AD"/>
    <w:rsid w:val="00535043"/>
    <w:rsid w:val="0053654E"/>
    <w:rsid w:val="00540090"/>
    <w:rsid w:val="0054256F"/>
    <w:rsid w:val="00543A2A"/>
    <w:rsid w:val="00545C23"/>
    <w:rsid w:val="00547B96"/>
    <w:rsid w:val="005514F5"/>
    <w:rsid w:val="00551563"/>
    <w:rsid w:val="00553FF4"/>
    <w:rsid w:val="00556B3A"/>
    <w:rsid w:val="005571B0"/>
    <w:rsid w:val="00557454"/>
    <w:rsid w:val="00562A6F"/>
    <w:rsid w:val="00580306"/>
    <w:rsid w:val="00582431"/>
    <w:rsid w:val="00582D28"/>
    <w:rsid w:val="005836DF"/>
    <w:rsid w:val="00590944"/>
    <w:rsid w:val="005A4E7F"/>
    <w:rsid w:val="005A55DE"/>
    <w:rsid w:val="005A566A"/>
    <w:rsid w:val="005A58FE"/>
    <w:rsid w:val="005B570C"/>
    <w:rsid w:val="005C46DF"/>
    <w:rsid w:val="005D2A05"/>
    <w:rsid w:val="005E59AA"/>
    <w:rsid w:val="005F0BE4"/>
    <w:rsid w:val="005F0E93"/>
    <w:rsid w:val="005F3FCA"/>
    <w:rsid w:val="006039B7"/>
    <w:rsid w:val="00603A25"/>
    <w:rsid w:val="00614953"/>
    <w:rsid w:val="006154C8"/>
    <w:rsid w:val="00636447"/>
    <w:rsid w:val="006379BC"/>
    <w:rsid w:val="00644E79"/>
    <w:rsid w:val="006516AD"/>
    <w:rsid w:val="00653E03"/>
    <w:rsid w:val="00656507"/>
    <w:rsid w:val="0066123A"/>
    <w:rsid w:val="00662485"/>
    <w:rsid w:val="0066690F"/>
    <w:rsid w:val="00671EDB"/>
    <w:rsid w:val="00672C24"/>
    <w:rsid w:val="00674EE4"/>
    <w:rsid w:val="00683CEB"/>
    <w:rsid w:val="00684FC5"/>
    <w:rsid w:val="0068652F"/>
    <w:rsid w:val="00686734"/>
    <w:rsid w:val="006868ED"/>
    <w:rsid w:val="006904B7"/>
    <w:rsid w:val="0069267D"/>
    <w:rsid w:val="006A24AB"/>
    <w:rsid w:val="006A3E01"/>
    <w:rsid w:val="006B603D"/>
    <w:rsid w:val="006C6A46"/>
    <w:rsid w:val="006D68FE"/>
    <w:rsid w:val="006F5D4C"/>
    <w:rsid w:val="00702D07"/>
    <w:rsid w:val="007078D5"/>
    <w:rsid w:val="007135A7"/>
    <w:rsid w:val="0071387A"/>
    <w:rsid w:val="00734536"/>
    <w:rsid w:val="007365B2"/>
    <w:rsid w:val="00737EBC"/>
    <w:rsid w:val="00754D64"/>
    <w:rsid w:val="00761989"/>
    <w:rsid w:val="0077293C"/>
    <w:rsid w:val="00792245"/>
    <w:rsid w:val="007A2128"/>
    <w:rsid w:val="007A407A"/>
    <w:rsid w:val="007A4985"/>
    <w:rsid w:val="007A541B"/>
    <w:rsid w:val="007A649A"/>
    <w:rsid w:val="007B2B82"/>
    <w:rsid w:val="007B3862"/>
    <w:rsid w:val="007B49CB"/>
    <w:rsid w:val="007C5531"/>
    <w:rsid w:val="007C628B"/>
    <w:rsid w:val="007C66E5"/>
    <w:rsid w:val="007C6DAA"/>
    <w:rsid w:val="007D425A"/>
    <w:rsid w:val="007E6EAA"/>
    <w:rsid w:val="007F7C6D"/>
    <w:rsid w:val="0080229A"/>
    <w:rsid w:val="0080271C"/>
    <w:rsid w:val="00814A58"/>
    <w:rsid w:val="00815AB6"/>
    <w:rsid w:val="00817245"/>
    <w:rsid w:val="00817875"/>
    <w:rsid w:val="00826B57"/>
    <w:rsid w:val="00827427"/>
    <w:rsid w:val="00834726"/>
    <w:rsid w:val="00843A03"/>
    <w:rsid w:val="00846310"/>
    <w:rsid w:val="00853BD4"/>
    <w:rsid w:val="00861BCE"/>
    <w:rsid w:val="00863B73"/>
    <w:rsid w:val="0087091A"/>
    <w:rsid w:val="00871BF8"/>
    <w:rsid w:val="008735B0"/>
    <w:rsid w:val="00873679"/>
    <w:rsid w:val="00874BC7"/>
    <w:rsid w:val="0087579A"/>
    <w:rsid w:val="008840F8"/>
    <w:rsid w:val="00885D49"/>
    <w:rsid w:val="00891AB8"/>
    <w:rsid w:val="008967F5"/>
    <w:rsid w:val="00897D8C"/>
    <w:rsid w:val="008A4524"/>
    <w:rsid w:val="008A6F27"/>
    <w:rsid w:val="008A7ABC"/>
    <w:rsid w:val="008B07CB"/>
    <w:rsid w:val="008B142D"/>
    <w:rsid w:val="008B1D69"/>
    <w:rsid w:val="008B250D"/>
    <w:rsid w:val="008C562C"/>
    <w:rsid w:val="008C6C2E"/>
    <w:rsid w:val="008D2A1C"/>
    <w:rsid w:val="008E2597"/>
    <w:rsid w:val="008E308B"/>
    <w:rsid w:val="008E3F11"/>
    <w:rsid w:val="008E5EE9"/>
    <w:rsid w:val="008F2A2B"/>
    <w:rsid w:val="008F35EE"/>
    <w:rsid w:val="008F4C65"/>
    <w:rsid w:val="00910783"/>
    <w:rsid w:val="00916C95"/>
    <w:rsid w:val="00924F8D"/>
    <w:rsid w:val="009313D9"/>
    <w:rsid w:val="0093389E"/>
    <w:rsid w:val="009339D9"/>
    <w:rsid w:val="0094146B"/>
    <w:rsid w:val="00952F66"/>
    <w:rsid w:val="009554EA"/>
    <w:rsid w:val="009555BE"/>
    <w:rsid w:val="0097337A"/>
    <w:rsid w:val="009769EE"/>
    <w:rsid w:val="009774FD"/>
    <w:rsid w:val="00981069"/>
    <w:rsid w:val="009832F0"/>
    <w:rsid w:val="00984B16"/>
    <w:rsid w:val="00985525"/>
    <w:rsid w:val="009937FA"/>
    <w:rsid w:val="00993D6E"/>
    <w:rsid w:val="009967D3"/>
    <w:rsid w:val="009A3D64"/>
    <w:rsid w:val="009A4005"/>
    <w:rsid w:val="009A5A3E"/>
    <w:rsid w:val="009A7654"/>
    <w:rsid w:val="009B1ABE"/>
    <w:rsid w:val="009B394B"/>
    <w:rsid w:val="009B65C5"/>
    <w:rsid w:val="009D1BBE"/>
    <w:rsid w:val="009D4C62"/>
    <w:rsid w:val="009D7282"/>
    <w:rsid w:val="009E6974"/>
    <w:rsid w:val="009E70E6"/>
    <w:rsid w:val="00A00F48"/>
    <w:rsid w:val="00A062E8"/>
    <w:rsid w:val="00A063B9"/>
    <w:rsid w:val="00A15160"/>
    <w:rsid w:val="00A16B29"/>
    <w:rsid w:val="00A17BBA"/>
    <w:rsid w:val="00A2181F"/>
    <w:rsid w:val="00A2664C"/>
    <w:rsid w:val="00A27678"/>
    <w:rsid w:val="00A32207"/>
    <w:rsid w:val="00A33D91"/>
    <w:rsid w:val="00A34E89"/>
    <w:rsid w:val="00A45BA7"/>
    <w:rsid w:val="00A65C60"/>
    <w:rsid w:val="00A71FBF"/>
    <w:rsid w:val="00A74581"/>
    <w:rsid w:val="00A75790"/>
    <w:rsid w:val="00A75FE4"/>
    <w:rsid w:val="00A77C2F"/>
    <w:rsid w:val="00A86DC3"/>
    <w:rsid w:val="00A87A27"/>
    <w:rsid w:val="00A9535C"/>
    <w:rsid w:val="00AA67CA"/>
    <w:rsid w:val="00AA70FC"/>
    <w:rsid w:val="00AA7CAE"/>
    <w:rsid w:val="00AB0962"/>
    <w:rsid w:val="00AB21EC"/>
    <w:rsid w:val="00AD0BF7"/>
    <w:rsid w:val="00AD26EB"/>
    <w:rsid w:val="00AD2875"/>
    <w:rsid w:val="00B044DE"/>
    <w:rsid w:val="00B13BFA"/>
    <w:rsid w:val="00B159E0"/>
    <w:rsid w:val="00B15FF8"/>
    <w:rsid w:val="00B164AD"/>
    <w:rsid w:val="00B17F3B"/>
    <w:rsid w:val="00B222D3"/>
    <w:rsid w:val="00B25CE4"/>
    <w:rsid w:val="00B32F73"/>
    <w:rsid w:val="00B46FEE"/>
    <w:rsid w:val="00B47143"/>
    <w:rsid w:val="00B52408"/>
    <w:rsid w:val="00B707E3"/>
    <w:rsid w:val="00B832E6"/>
    <w:rsid w:val="00B93238"/>
    <w:rsid w:val="00BA5C74"/>
    <w:rsid w:val="00BC25BE"/>
    <w:rsid w:val="00BC4A13"/>
    <w:rsid w:val="00BC74D4"/>
    <w:rsid w:val="00BE3507"/>
    <w:rsid w:val="00BF057D"/>
    <w:rsid w:val="00BF1266"/>
    <w:rsid w:val="00BF5CCC"/>
    <w:rsid w:val="00BF6EE7"/>
    <w:rsid w:val="00C01F02"/>
    <w:rsid w:val="00C06A32"/>
    <w:rsid w:val="00C16C8D"/>
    <w:rsid w:val="00C3744E"/>
    <w:rsid w:val="00C4057A"/>
    <w:rsid w:val="00C50B1C"/>
    <w:rsid w:val="00C55515"/>
    <w:rsid w:val="00C561A0"/>
    <w:rsid w:val="00C56AD7"/>
    <w:rsid w:val="00C614A4"/>
    <w:rsid w:val="00C70619"/>
    <w:rsid w:val="00C7483F"/>
    <w:rsid w:val="00C74CA5"/>
    <w:rsid w:val="00C763AC"/>
    <w:rsid w:val="00C76806"/>
    <w:rsid w:val="00C85ED8"/>
    <w:rsid w:val="00C87E8D"/>
    <w:rsid w:val="00C91C26"/>
    <w:rsid w:val="00C92E21"/>
    <w:rsid w:val="00C95EE6"/>
    <w:rsid w:val="00CA1188"/>
    <w:rsid w:val="00CB1D5F"/>
    <w:rsid w:val="00CB4479"/>
    <w:rsid w:val="00CB6E85"/>
    <w:rsid w:val="00CC3D7A"/>
    <w:rsid w:val="00CC43B6"/>
    <w:rsid w:val="00CD628B"/>
    <w:rsid w:val="00CE40D8"/>
    <w:rsid w:val="00CE4FD4"/>
    <w:rsid w:val="00CE5186"/>
    <w:rsid w:val="00CE5B00"/>
    <w:rsid w:val="00CF590A"/>
    <w:rsid w:val="00CF799D"/>
    <w:rsid w:val="00D02851"/>
    <w:rsid w:val="00D04F82"/>
    <w:rsid w:val="00D066EE"/>
    <w:rsid w:val="00D0734C"/>
    <w:rsid w:val="00D12067"/>
    <w:rsid w:val="00D1764A"/>
    <w:rsid w:val="00D22214"/>
    <w:rsid w:val="00D2356D"/>
    <w:rsid w:val="00D3336D"/>
    <w:rsid w:val="00D415AE"/>
    <w:rsid w:val="00D43AF4"/>
    <w:rsid w:val="00D4712C"/>
    <w:rsid w:val="00D70514"/>
    <w:rsid w:val="00D81E70"/>
    <w:rsid w:val="00D8257B"/>
    <w:rsid w:val="00D85336"/>
    <w:rsid w:val="00D93668"/>
    <w:rsid w:val="00D93986"/>
    <w:rsid w:val="00DC5400"/>
    <w:rsid w:val="00DD3031"/>
    <w:rsid w:val="00DD6725"/>
    <w:rsid w:val="00DE17F8"/>
    <w:rsid w:val="00E0087E"/>
    <w:rsid w:val="00E022A4"/>
    <w:rsid w:val="00E04F59"/>
    <w:rsid w:val="00E21AA2"/>
    <w:rsid w:val="00E23124"/>
    <w:rsid w:val="00E247A5"/>
    <w:rsid w:val="00E255BA"/>
    <w:rsid w:val="00E27652"/>
    <w:rsid w:val="00E40CE8"/>
    <w:rsid w:val="00E4471A"/>
    <w:rsid w:val="00E543A9"/>
    <w:rsid w:val="00E57CED"/>
    <w:rsid w:val="00E635D9"/>
    <w:rsid w:val="00E65E67"/>
    <w:rsid w:val="00E73BCE"/>
    <w:rsid w:val="00E74556"/>
    <w:rsid w:val="00E8424A"/>
    <w:rsid w:val="00E85247"/>
    <w:rsid w:val="00E8571E"/>
    <w:rsid w:val="00E866BA"/>
    <w:rsid w:val="00E9102E"/>
    <w:rsid w:val="00E96145"/>
    <w:rsid w:val="00EA48A0"/>
    <w:rsid w:val="00EA62F8"/>
    <w:rsid w:val="00EA67A0"/>
    <w:rsid w:val="00EB6173"/>
    <w:rsid w:val="00EB7A70"/>
    <w:rsid w:val="00EC1367"/>
    <w:rsid w:val="00F01AE2"/>
    <w:rsid w:val="00F1062E"/>
    <w:rsid w:val="00F1432E"/>
    <w:rsid w:val="00F14F46"/>
    <w:rsid w:val="00F20BA8"/>
    <w:rsid w:val="00F21ED2"/>
    <w:rsid w:val="00F248EF"/>
    <w:rsid w:val="00F3752A"/>
    <w:rsid w:val="00F379BD"/>
    <w:rsid w:val="00F4367A"/>
    <w:rsid w:val="00F578CF"/>
    <w:rsid w:val="00F63342"/>
    <w:rsid w:val="00F64F1F"/>
    <w:rsid w:val="00F7027E"/>
    <w:rsid w:val="00F70E05"/>
    <w:rsid w:val="00F74C7B"/>
    <w:rsid w:val="00F8184F"/>
    <w:rsid w:val="00F82701"/>
    <w:rsid w:val="00F8541B"/>
    <w:rsid w:val="00F85779"/>
    <w:rsid w:val="00F9205E"/>
    <w:rsid w:val="00F96A6E"/>
    <w:rsid w:val="00F97448"/>
    <w:rsid w:val="00FA0B0C"/>
    <w:rsid w:val="00FC1A7E"/>
    <w:rsid w:val="00FD3FC4"/>
    <w:rsid w:val="00FF6F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F017"/>
  <w15:chartTrackingRefBased/>
  <w15:docId w15:val="{6205BB7C-2274-4C4E-B8E9-232E3657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1EDB"/>
    <w:rPr>
      <w:sz w:val="16"/>
      <w:szCs w:val="16"/>
    </w:rPr>
  </w:style>
  <w:style w:type="paragraph" w:styleId="CommentText">
    <w:name w:val="annotation text"/>
    <w:basedOn w:val="Normal"/>
    <w:link w:val="CommentTextChar"/>
    <w:uiPriority w:val="99"/>
    <w:semiHidden/>
    <w:unhideWhenUsed/>
    <w:rsid w:val="00671EDB"/>
    <w:pPr>
      <w:spacing w:line="240" w:lineRule="auto"/>
    </w:pPr>
    <w:rPr>
      <w:sz w:val="20"/>
      <w:szCs w:val="20"/>
    </w:rPr>
  </w:style>
  <w:style w:type="character" w:customStyle="1" w:styleId="CommentTextChar">
    <w:name w:val="Comment Text Char"/>
    <w:basedOn w:val="DefaultParagraphFont"/>
    <w:link w:val="CommentText"/>
    <w:uiPriority w:val="99"/>
    <w:semiHidden/>
    <w:rsid w:val="00671EDB"/>
    <w:rPr>
      <w:sz w:val="20"/>
      <w:szCs w:val="20"/>
    </w:rPr>
  </w:style>
  <w:style w:type="paragraph" w:styleId="CommentSubject">
    <w:name w:val="annotation subject"/>
    <w:basedOn w:val="CommentText"/>
    <w:next w:val="CommentText"/>
    <w:link w:val="CommentSubjectChar"/>
    <w:uiPriority w:val="99"/>
    <w:semiHidden/>
    <w:unhideWhenUsed/>
    <w:rsid w:val="00671EDB"/>
    <w:rPr>
      <w:b/>
      <w:bCs/>
    </w:rPr>
  </w:style>
  <w:style w:type="character" w:customStyle="1" w:styleId="CommentSubjectChar">
    <w:name w:val="Comment Subject Char"/>
    <w:basedOn w:val="CommentTextChar"/>
    <w:link w:val="CommentSubject"/>
    <w:uiPriority w:val="99"/>
    <w:semiHidden/>
    <w:rsid w:val="00671EDB"/>
    <w:rPr>
      <w:b/>
      <w:bCs/>
      <w:sz w:val="20"/>
      <w:szCs w:val="20"/>
    </w:rPr>
  </w:style>
  <w:style w:type="paragraph" w:styleId="BalloonText">
    <w:name w:val="Balloon Text"/>
    <w:basedOn w:val="Normal"/>
    <w:link w:val="BalloonTextChar"/>
    <w:uiPriority w:val="99"/>
    <w:semiHidden/>
    <w:unhideWhenUsed/>
    <w:rsid w:val="00671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EDB"/>
    <w:rPr>
      <w:rFonts w:ascii="Segoe UI" w:hAnsi="Segoe UI" w:cs="Segoe UI"/>
      <w:sz w:val="18"/>
      <w:szCs w:val="18"/>
    </w:rPr>
  </w:style>
  <w:style w:type="table" w:styleId="TableGrid">
    <w:name w:val="Table Grid"/>
    <w:basedOn w:val="TableNormal"/>
    <w:uiPriority w:val="39"/>
    <w:rsid w:val="00BF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E866BA"/>
    <w:pPr>
      <w:spacing w:after="0" w:line="240" w:lineRule="auto"/>
      <w:jc w:val="center"/>
    </w:pPr>
    <w:rPr>
      <w:rFonts w:eastAsiaTheme="minorEastAsia"/>
      <w:sz w:val="20"/>
      <w:szCs w:val="20"/>
      <w:lang w:val="en-US"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E866BA"/>
    <w:pPr>
      <w:spacing w:after="0" w:line="240" w:lineRule="auto"/>
    </w:pPr>
    <w:rPr>
      <w:rFonts w:eastAsiaTheme="minorEastAsia"/>
      <w:color w:val="FFFFFF" w:themeColor="background1"/>
      <w:lang w:val="en-US"/>
    </w:rPr>
  </w:style>
  <w:style w:type="paragraph" w:styleId="ListParagraph">
    <w:name w:val="List Paragraph"/>
    <w:basedOn w:val="Normal"/>
    <w:uiPriority w:val="34"/>
    <w:qFormat/>
    <w:rsid w:val="00E866BA"/>
    <w:pPr>
      <w:spacing w:after="0" w:line="276" w:lineRule="auto"/>
      <w:ind w:left="720"/>
      <w:contextualSpacing/>
    </w:pPr>
    <w:rPr>
      <w:rFonts w:eastAsiaTheme="minorEastAsia"/>
      <w:lang w:val="en-US"/>
    </w:rPr>
  </w:style>
  <w:style w:type="numbering" w:customStyle="1" w:styleId="Singlepunch">
    <w:name w:val="Single punch"/>
    <w:rsid w:val="00E866BA"/>
    <w:pPr>
      <w:numPr>
        <w:numId w:val="1"/>
      </w:numPr>
    </w:pPr>
  </w:style>
  <w:style w:type="paragraph" w:styleId="Header">
    <w:name w:val="header"/>
    <w:basedOn w:val="Normal"/>
    <w:link w:val="HeaderChar"/>
    <w:uiPriority w:val="99"/>
    <w:unhideWhenUsed/>
    <w:rsid w:val="002C5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36E"/>
  </w:style>
  <w:style w:type="paragraph" w:styleId="Footer">
    <w:name w:val="footer"/>
    <w:basedOn w:val="Normal"/>
    <w:link w:val="FooterChar"/>
    <w:uiPriority w:val="99"/>
    <w:unhideWhenUsed/>
    <w:rsid w:val="002C5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36E"/>
  </w:style>
  <w:style w:type="paragraph" w:styleId="NoSpacing">
    <w:name w:val="No Spacing"/>
    <w:uiPriority w:val="1"/>
    <w:qFormat/>
    <w:rsid w:val="003C3B9D"/>
    <w:pPr>
      <w:spacing w:after="0" w:line="240" w:lineRule="auto"/>
    </w:pPr>
  </w:style>
  <w:style w:type="character" w:styleId="Emphasis">
    <w:name w:val="Emphasis"/>
    <w:basedOn w:val="DefaultParagraphFont"/>
    <w:uiPriority w:val="20"/>
    <w:qFormat/>
    <w:rsid w:val="00E04F59"/>
    <w:rPr>
      <w:i/>
      <w:iCs/>
    </w:rPr>
  </w:style>
  <w:style w:type="character" w:styleId="Hyperlink">
    <w:name w:val="Hyperlink"/>
    <w:basedOn w:val="DefaultParagraphFont"/>
    <w:uiPriority w:val="99"/>
    <w:unhideWhenUsed/>
    <w:rsid w:val="00553FF4"/>
    <w:rPr>
      <w:color w:val="0563C1" w:themeColor="hyperlink"/>
      <w:u w:val="single"/>
    </w:rPr>
  </w:style>
  <w:style w:type="character" w:customStyle="1" w:styleId="UnresolvedMention">
    <w:name w:val="Unresolved Mention"/>
    <w:basedOn w:val="DefaultParagraphFont"/>
    <w:uiPriority w:val="99"/>
    <w:semiHidden/>
    <w:unhideWhenUsed/>
    <w:rsid w:val="00553FF4"/>
    <w:rPr>
      <w:color w:val="808080"/>
      <w:shd w:val="clear" w:color="auto" w:fill="E6E6E6"/>
    </w:rPr>
  </w:style>
  <w:style w:type="paragraph" w:styleId="NormalWeb">
    <w:name w:val="Normal (Web)"/>
    <w:basedOn w:val="Normal"/>
    <w:uiPriority w:val="99"/>
    <w:semiHidden/>
    <w:unhideWhenUsed/>
    <w:rsid w:val="00F827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29582">
      <w:bodyDiv w:val="1"/>
      <w:marLeft w:val="0"/>
      <w:marRight w:val="0"/>
      <w:marTop w:val="0"/>
      <w:marBottom w:val="0"/>
      <w:divBdr>
        <w:top w:val="none" w:sz="0" w:space="0" w:color="auto"/>
        <w:left w:val="none" w:sz="0" w:space="0" w:color="auto"/>
        <w:bottom w:val="none" w:sz="0" w:space="0" w:color="auto"/>
        <w:right w:val="none" w:sz="0" w:space="0" w:color="auto"/>
      </w:divBdr>
    </w:div>
    <w:div w:id="520894756">
      <w:bodyDiv w:val="1"/>
      <w:marLeft w:val="0"/>
      <w:marRight w:val="0"/>
      <w:marTop w:val="0"/>
      <w:marBottom w:val="0"/>
      <w:divBdr>
        <w:top w:val="none" w:sz="0" w:space="0" w:color="auto"/>
        <w:left w:val="none" w:sz="0" w:space="0" w:color="auto"/>
        <w:bottom w:val="none" w:sz="0" w:space="0" w:color="auto"/>
        <w:right w:val="none" w:sz="0" w:space="0" w:color="auto"/>
      </w:divBdr>
    </w:div>
    <w:div w:id="956790793">
      <w:bodyDiv w:val="1"/>
      <w:marLeft w:val="0"/>
      <w:marRight w:val="0"/>
      <w:marTop w:val="0"/>
      <w:marBottom w:val="0"/>
      <w:divBdr>
        <w:top w:val="none" w:sz="0" w:space="0" w:color="auto"/>
        <w:left w:val="none" w:sz="0" w:space="0" w:color="auto"/>
        <w:bottom w:val="none" w:sz="0" w:space="0" w:color="auto"/>
        <w:right w:val="none" w:sz="0" w:space="0" w:color="auto"/>
      </w:divBdr>
    </w:div>
    <w:div w:id="14072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co.uk/research/world-report-20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77/1471301209354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9FB06-2E6A-4449-883A-0E6D12C5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6210</Words>
  <Characters>35403</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McKenzie</dc:creator>
  <cp:keywords/>
  <dc:description/>
  <cp:lastModifiedBy>Paul Burns</cp:lastModifiedBy>
  <cp:revision>2</cp:revision>
  <dcterms:created xsi:type="dcterms:W3CDTF">2018-05-31T14:00:00Z</dcterms:created>
  <dcterms:modified xsi:type="dcterms:W3CDTF">2018-05-31T14:00:00Z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http://www.zotero.org/styles/sage-harvard</vt:lpwstr>
  </property>
  <property fmtid="{D5CDD505-2E9C-101B-9397-08002B2CF9AE}" pid="17" name="Mendeley Recent Style Name 7_1">
    <vt:lpwstr>SAGE - Harvard</vt:lpwstr>
  </property>
  <property fmtid="{D5CDD505-2E9C-101B-9397-08002B2CF9AE}" pid="18" name="Mendeley Recent Style Id 8_1">
    <vt:lpwstr>http://csl.mendeley.com/styles/497231591/sage-harvard-dale-edit</vt:lpwstr>
  </property>
  <property fmtid="{D5CDD505-2E9C-101B-9397-08002B2CF9AE}" pid="19" name="Mendeley Recent Style Name 8_1">
    <vt:lpwstr>SAGE - Harvard - Dale Metcalfe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