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95" w:rsidRPr="00817B95" w:rsidRDefault="00C21D7E" w:rsidP="00FE38F8">
      <w:pPr>
        <w:autoSpaceDE w:val="0"/>
        <w:autoSpaceDN w:val="0"/>
        <w:adjustRightInd w:val="0"/>
        <w:spacing w:after="0" w:line="480" w:lineRule="auto"/>
        <w:jc w:val="center"/>
        <w:rPr>
          <w:rFonts w:ascii="Arial" w:eastAsia="Times New Roman" w:hAnsi="Arial" w:cs="Arial"/>
          <w:b/>
          <w:color w:val="000000"/>
          <w:sz w:val="24"/>
          <w:szCs w:val="24"/>
        </w:rPr>
      </w:pPr>
      <w:r w:rsidRPr="00C21D7E">
        <w:rPr>
          <w:rFonts w:ascii="Arial" w:eastAsia="Times New Roman" w:hAnsi="Arial" w:cs="Arial"/>
          <w:b/>
          <w:color w:val="000000"/>
          <w:sz w:val="24"/>
          <w:szCs w:val="24"/>
        </w:rPr>
        <w:t>THE NORTH EAST AFTER BREXIT</w:t>
      </w:r>
    </w:p>
    <w:p w:rsidR="006B7B25" w:rsidRPr="006B7B25" w:rsidRDefault="006B7B25" w:rsidP="00FE38F8">
      <w:pPr>
        <w:autoSpaceDE w:val="0"/>
        <w:autoSpaceDN w:val="0"/>
        <w:adjustRightInd w:val="0"/>
        <w:spacing w:after="0" w:line="480" w:lineRule="auto"/>
        <w:rPr>
          <w:rFonts w:ascii="Arial" w:eastAsia="Times New Roman" w:hAnsi="Arial" w:cs="Arial"/>
          <w:b/>
          <w:color w:val="000000"/>
          <w:sz w:val="24"/>
          <w:szCs w:val="24"/>
        </w:rPr>
      </w:pPr>
    </w:p>
    <w:p w:rsidR="00817B95" w:rsidRPr="00817B95" w:rsidRDefault="00817B95" w:rsidP="00FE38F8">
      <w:pPr>
        <w:autoSpaceDE w:val="0"/>
        <w:autoSpaceDN w:val="0"/>
        <w:adjustRightInd w:val="0"/>
        <w:spacing w:after="0" w:line="480" w:lineRule="auto"/>
        <w:rPr>
          <w:rFonts w:ascii="Arial" w:eastAsia="Times New Roman" w:hAnsi="Arial" w:cs="Arial"/>
          <w:b/>
          <w:color w:val="000000"/>
          <w:sz w:val="24"/>
          <w:szCs w:val="24"/>
        </w:rPr>
      </w:pPr>
      <w:r w:rsidRPr="00817B95">
        <w:rPr>
          <w:rFonts w:ascii="Arial" w:eastAsia="Times New Roman" w:hAnsi="Arial" w:cs="Arial"/>
          <w:b/>
          <w:color w:val="000000"/>
          <w:sz w:val="24"/>
          <w:szCs w:val="24"/>
        </w:rPr>
        <w:t>TITLE</w:t>
      </w:r>
    </w:p>
    <w:p w:rsidR="00817B95" w:rsidRPr="00817B95" w:rsidRDefault="00857FE9" w:rsidP="00FE38F8">
      <w:pPr>
        <w:autoSpaceDE w:val="0"/>
        <w:autoSpaceDN w:val="0"/>
        <w:adjustRightInd w:val="0"/>
        <w:spacing w:after="0" w:line="480" w:lineRule="auto"/>
        <w:rPr>
          <w:rFonts w:ascii="Arial" w:eastAsia="Times New Roman" w:hAnsi="Arial" w:cs="Arial"/>
          <w:color w:val="000000"/>
          <w:sz w:val="24"/>
          <w:szCs w:val="24"/>
        </w:rPr>
      </w:pPr>
      <w:r w:rsidRPr="00857FE9">
        <w:rPr>
          <w:rFonts w:ascii="Arial" w:eastAsia="Times New Roman" w:hAnsi="Arial" w:cs="Arial"/>
          <w:b/>
          <w:bCs/>
          <w:color w:val="000000"/>
          <w:sz w:val="24"/>
          <w:szCs w:val="24"/>
        </w:rPr>
        <w:t xml:space="preserve">The Future of Public </w:t>
      </w:r>
      <w:r>
        <w:rPr>
          <w:rFonts w:ascii="Arial" w:eastAsia="Times New Roman" w:hAnsi="Arial" w:cs="Arial"/>
          <w:b/>
          <w:bCs/>
          <w:color w:val="000000"/>
          <w:sz w:val="24"/>
          <w:szCs w:val="24"/>
        </w:rPr>
        <w:t>Administration Teaching and Research</w:t>
      </w:r>
      <w:r w:rsidRPr="00857FE9">
        <w:rPr>
          <w:rFonts w:ascii="Arial" w:eastAsia="Times New Roman" w:hAnsi="Arial" w:cs="Arial"/>
          <w:b/>
          <w:bCs/>
          <w:color w:val="000000"/>
          <w:sz w:val="24"/>
          <w:szCs w:val="24"/>
        </w:rPr>
        <w:t xml:space="preserve"> in the </w:t>
      </w:r>
      <w:r w:rsidR="00C21D7E">
        <w:rPr>
          <w:rFonts w:ascii="Arial" w:eastAsia="Times New Roman" w:hAnsi="Arial" w:cs="Arial"/>
          <w:b/>
          <w:bCs/>
          <w:color w:val="000000"/>
          <w:sz w:val="24"/>
          <w:szCs w:val="24"/>
        </w:rPr>
        <w:t>North East</w:t>
      </w:r>
      <w:r w:rsidR="00817B95" w:rsidRPr="00817B95">
        <w:rPr>
          <w:rFonts w:ascii="Arial" w:eastAsia="Times New Roman" w:hAnsi="Arial" w:cs="Arial"/>
          <w:b/>
          <w:bCs/>
          <w:color w:val="000000"/>
          <w:sz w:val="24"/>
          <w:szCs w:val="24"/>
        </w:rPr>
        <w:t xml:space="preserve"> </w:t>
      </w:r>
    </w:p>
    <w:p w:rsidR="00817B95" w:rsidRPr="00817B95" w:rsidRDefault="00817B95" w:rsidP="00FE38F8">
      <w:pPr>
        <w:autoSpaceDE w:val="0"/>
        <w:autoSpaceDN w:val="0"/>
        <w:adjustRightInd w:val="0"/>
        <w:spacing w:after="0" w:line="480" w:lineRule="auto"/>
        <w:rPr>
          <w:rFonts w:ascii="Arial" w:eastAsia="Times New Roman" w:hAnsi="Arial" w:cs="Arial"/>
          <w:b/>
          <w:iCs/>
          <w:color w:val="000000"/>
          <w:sz w:val="24"/>
          <w:szCs w:val="24"/>
        </w:rPr>
      </w:pPr>
    </w:p>
    <w:p w:rsidR="00817B95" w:rsidRPr="00817B95" w:rsidRDefault="00817B95" w:rsidP="00FE38F8">
      <w:pPr>
        <w:autoSpaceDE w:val="0"/>
        <w:autoSpaceDN w:val="0"/>
        <w:adjustRightInd w:val="0"/>
        <w:spacing w:after="0" w:line="480" w:lineRule="auto"/>
        <w:rPr>
          <w:rFonts w:ascii="Arial" w:eastAsia="Times New Roman" w:hAnsi="Arial" w:cs="Arial"/>
          <w:b/>
          <w:iCs/>
          <w:color w:val="000000"/>
          <w:sz w:val="24"/>
          <w:szCs w:val="24"/>
        </w:rPr>
      </w:pPr>
      <w:r w:rsidRPr="00817B95">
        <w:rPr>
          <w:rFonts w:ascii="Arial" w:eastAsia="Times New Roman" w:hAnsi="Arial" w:cs="Arial"/>
          <w:b/>
          <w:iCs/>
          <w:color w:val="000000"/>
          <w:sz w:val="24"/>
          <w:szCs w:val="24"/>
        </w:rPr>
        <w:t>AUTHORS</w:t>
      </w:r>
    </w:p>
    <w:p w:rsidR="006B7B25" w:rsidRPr="006B7B25" w:rsidRDefault="0072494C" w:rsidP="00FE38F8">
      <w:pPr>
        <w:autoSpaceDE w:val="0"/>
        <w:autoSpaceDN w:val="0"/>
        <w:adjustRightInd w:val="0"/>
        <w:spacing w:after="0" w:line="480" w:lineRule="auto"/>
        <w:rPr>
          <w:rFonts w:ascii="Arial" w:eastAsia="Times New Roman" w:hAnsi="Arial" w:cs="Arial"/>
          <w:b/>
          <w:i/>
          <w:iCs/>
          <w:color w:val="000000"/>
          <w:sz w:val="24"/>
          <w:szCs w:val="24"/>
        </w:rPr>
      </w:pPr>
      <w:r>
        <w:rPr>
          <w:rFonts w:ascii="Arial" w:eastAsia="Times New Roman" w:hAnsi="Arial" w:cs="Arial"/>
          <w:b/>
          <w:i/>
          <w:iCs/>
          <w:color w:val="000000"/>
          <w:sz w:val="24"/>
          <w:szCs w:val="24"/>
        </w:rPr>
        <w:t xml:space="preserve">Dr </w:t>
      </w:r>
      <w:r w:rsidR="006B7B25" w:rsidRPr="006B7B25">
        <w:rPr>
          <w:rFonts w:ascii="Arial" w:eastAsia="Times New Roman" w:hAnsi="Arial" w:cs="Arial"/>
          <w:b/>
          <w:i/>
          <w:iCs/>
          <w:color w:val="000000"/>
          <w:sz w:val="24"/>
          <w:szCs w:val="24"/>
        </w:rPr>
        <w:t xml:space="preserve">Ian </w:t>
      </w:r>
      <w:r>
        <w:rPr>
          <w:rFonts w:ascii="Arial" w:eastAsia="Times New Roman" w:hAnsi="Arial" w:cs="Arial"/>
          <w:b/>
          <w:i/>
          <w:iCs/>
          <w:color w:val="000000"/>
          <w:sz w:val="24"/>
          <w:szCs w:val="24"/>
        </w:rPr>
        <w:t xml:space="preserve">C. </w:t>
      </w:r>
      <w:r w:rsidR="006B7B25" w:rsidRPr="006B7B25">
        <w:rPr>
          <w:rFonts w:ascii="Arial" w:eastAsia="Times New Roman" w:hAnsi="Arial" w:cs="Arial"/>
          <w:b/>
          <w:i/>
          <w:iCs/>
          <w:color w:val="000000"/>
          <w:sz w:val="24"/>
          <w:szCs w:val="24"/>
        </w:rPr>
        <w:t>Elliott</w:t>
      </w:r>
      <w:r w:rsidR="00817B95" w:rsidRPr="00817B95">
        <w:rPr>
          <w:rFonts w:ascii="Arial" w:eastAsia="Times New Roman" w:hAnsi="Arial" w:cs="Arial"/>
          <w:b/>
          <w:i/>
          <w:iCs/>
          <w:color w:val="000000"/>
          <w:sz w:val="24"/>
          <w:szCs w:val="24"/>
        </w:rPr>
        <w:t>, Newcastle Business Sc</w:t>
      </w:r>
      <w:r>
        <w:rPr>
          <w:rFonts w:ascii="Arial" w:eastAsia="Times New Roman" w:hAnsi="Arial" w:cs="Arial"/>
          <w:b/>
          <w:i/>
          <w:iCs/>
          <w:color w:val="000000"/>
          <w:sz w:val="24"/>
          <w:szCs w:val="24"/>
        </w:rPr>
        <w:t xml:space="preserve">hool, University of Northumbria, </w:t>
      </w:r>
      <w:r w:rsidR="006B7B25" w:rsidRPr="006B7B25">
        <w:rPr>
          <w:rFonts w:ascii="Arial" w:eastAsia="Times New Roman" w:hAnsi="Arial" w:cs="Arial"/>
          <w:b/>
          <w:i/>
          <w:iCs/>
          <w:color w:val="000000"/>
          <w:sz w:val="24"/>
          <w:szCs w:val="24"/>
        </w:rPr>
        <w:t>UK.</w:t>
      </w:r>
    </w:p>
    <w:p w:rsidR="006B7B25" w:rsidRDefault="00F61A9E" w:rsidP="00FE38F8">
      <w:pPr>
        <w:autoSpaceDE w:val="0"/>
        <w:autoSpaceDN w:val="0"/>
        <w:adjustRightInd w:val="0"/>
        <w:spacing w:after="0" w:line="480" w:lineRule="auto"/>
        <w:rPr>
          <w:rFonts w:ascii="Arial" w:eastAsia="Times New Roman" w:hAnsi="Arial" w:cs="Arial"/>
          <w:b/>
          <w:i/>
          <w:iCs/>
          <w:color w:val="000000"/>
          <w:sz w:val="24"/>
          <w:szCs w:val="24"/>
        </w:rPr>
      </w:pPr>
      <w:hyperlink r:id="rId5" w:history="1">
        <w:r w:rsidR="006B7B25" w:rsidRPr="006B7B25">
          <w:rPr>
            <w:rStyle w:val="Hyperlink"/>
            <w:rFonts w:ascii="Arial" w:eastAsia="Times New Roman" w:hAnsi="Arial" w:cs="Arial"/>
            <w:b/>
            <w:i/>
            <w:iCs/>
            <w:sz w:val="24"/>
            <w:szCs w:val="24"/>
          </w:rPr>
          <w:t>ian.elliott@northumbria.ac.uk</w:t>
        </w:r>
      </w:hyperlink>
      <w:r w:rsidR="006B7B25" w:rsidRPr="006B7B25">
        <w:rPr>
          <w:rFonts w:ascii="Arial" w:eastAsia="Times New Roman" w:hAnsi="Arial" w:cs="Arial"/>
          <w:b/>
          <w:i/>
          <w:iCs/>
          <w:color w:val="000000"/>
          <w:sz w:val="24"/>
          <w:szCs w:val="24"/>
        </w:rPr>
        <w:t xml:space="preserve"> </w:t>
      </w:r>
    </w:p>
    <w:p w:rsidR="00C21D7E" w:rsidRDefault="00C21D7E" w:rsidP="00FE38F8">
      <w:pPr>
        <w:autoSpaceDE w:val="0"/>
        <w:autoSpaceDN w:val="0"/>
        <w:adjustRightInd w:val="0"/>
        <w:spacing w:after="0" w:line="480" w:lineRule="auto"/>
        <w:rPr>
          <w:rFonts w:ascii="Arial" w:eastAsia="Times New Roman" w:hAnsi="Arial" w:cs="Arial"/>
          <w:b/>
          <w:i/>
          <w:iCs/>
          <w:color w:val="000000"/>
          <w:sz w:val="24"/>
          <w:szCs w:val="24"/>
        </w:rPr>
      </w:pPr>
      <w:r>
        <w:rPr>
          <w:rFonts w:ascii="Arial" w:eastAsia="Times New Roman" w:hAnsi="Arial" w:cs="Arial"/>
          <w:b/>
          <w:i/>
          <w:iCs/>
          <w:color w:val="000000"/>
          <w:sz w:val="24"/>
          <w:szCs w:val="24"/>
        </w:rPr>
        <w:t xml:space="preserve">Dr Lorraine Johnston, </w:t>
      </w:r>
      <w:r w:rsidRPr="00817B95">
        <w:rPr>
          <w:rFonts w:ascii="Arial" w:eastAsia="Times New Roman" w:hAnsi="Arial" w:cs="Arial"/>
          <w:b/>
          <w:i/>
          <w:iCs/>
          <w:color w:val="000000"/>
          <w:sz w:val="24"/>
          <w:szCs w:val="24"/>
        </w:rPr>
        <w:t>Newcastle Business Sc</w:t>
      </w:r>
      <w:r>
        <w:rPr>
          <w:rFonts w:ascii="Arial" w:eastAsia="Times New Roman" w:hAnsi="Arial" w:cs="Arial"/>
          <w:b/>
          <w:i/>
          <w:iCs/>
          <w:color w:val="000000"/>
          <w:sz w:val="24"/>
          <w:szCs w:val="24"/>
        </w:rPr>
        <w:t xml:space="preserve">hool, University of Northumbria, </w:t>
      </w:r>
      <w:r w:rsidRPr="006B7B25">
        <w:rPr>
          <w:rFonts w:ascii="Arial" w:eastAsia="Times New Roman" w:hAnsi="Arial" w:cs="Arial"/>
          <w:b/>
          <w:i/>
          <w:iCs/>
          <w:color w:val="000000"/>
          <w:sz w:val="24"/>
          <w:szCs w:val="24"/>
        </w:rPr>
        <w:t>UK</w:t>
      </w:r>
      <w:r>
        <w:rPr>
          <w:rFonts w:ascii="Arial" w:eastAsia="Times New Roman" w:hAnsi="Arial" w:cs="Arial"/>
          <w:b/>
          <w:i/>
          <w:iCs/>
          <w:color w:val="000000"/>
          <w:sz w:val="24"/>
          <w:szCs w:val="24"/>
        </w:rPr>
        <w:t>.</w:t>
      </w:r>
      <w:r w:rsidRPr="00C21D7E">
        <w:t xml:space="preserve"> </w:t>
      </w:r>
      <w:hyperlink r:id="rId6" w:history="1">
        <w:r w:rsidRPr="002E07AD">
          <w:rPr>
            <w:rStyle w:val="Hyperlink"/>
            <w:rFonts w:ascii="Arial" w:eastAsia="Times New Roman" w:hAnsi="Arial" w:cs="Arial"/>
            <w:b/>
            <w:i/>
            <w:iCs/>
            <w:sz w:val="24"/>
            <w:szCs w:val="24"/>
          </w:rPr>
          <w:t>lorraine.johnston@northumbria.ac.uk</w:t>
        </w:r>
      </w:hyperlink>
      <w:r>
        <w:rPr>
          <w:rFonts w:ascii="Arial" w:eastAsia="Times New Roman" w:hAnsi="Arial" w:cs="Arial"/>
          <w:b/>
          <w:i/>
          <w:iCs/>
          <w:color w:val="000000"/>
          <w:sz w:val="24"/>
          <w:szCs w:val="24"/>
        </w:rPr>
        <w:t xml:space="preserve"> </w:t>
      </w:r>
    </w:p>
    <w:p w:rsidR="00C21D7E" w:rsidRDefault="00C21D7E" w:rsidP="00FE38F8">
      <w:pPr>
        <w:autoSpaceDE w:val="0"/>
        <w:autoSpaceDN w:val="0"/>
        <w:adjustRightInd w:val="0"/>
        <w:spacing w:after="0" w:line="480" w:lineRule="auto"/>
        <w:rPr>
          <w:rFonts w:ascii="Arial" w:eastAsia="Times New Roman" w:hAnsi="Arial" w:cs="Arial"/>
          <w:b/>
          <w:i/>
          <w:iCs/>
          <w:color w:val="000000"/>
          <w:sz w:val="24"/>
          <w:szCs w:val="24"/>
        </w:rPr>
      </w:pPr>
    </w:p>
    <w:p w:rsidR="00817B95" w:rsidRPr="00817B95" w:rsidRDefault="00817B95" w:rsidP="00FE38F8">
      <w:pPr>
        <w:autoSpaceDE w:val="0"/>
        <w:autoSpaceDN w:val="0"/>
        <w:adjustRightInd w:val="0"/>
        <w:spacing w:after="0" w:line="480" w:lineRule="auto"/>
        <w:jc w:val="both"/>
        <w:rPr>
          <w:rFonts w:ascii="Arial" w:eastAsia="Times New Roman" w:hAnsi="Arial" w:cs="Arial"/>
          <w:b/>
          <w:color w:val="000000"/>
          <w:sz w:val="24"/>
          <w:szCs w:val="24"/>
        </w:rPr>
      </w:pPr>
      <w:r w:rsidRPr="00817B95">
        <w:rPr>
          <w:rFonts w:ascii="Arial" w:eastAsia="Times New Roman" w:hAnsi="Arial" w:cs="Arial"/>
          <w:b/>
          <w:color w:val="000000"/>
          <w:sz w:val="24"/>
          <w:szCs w:val="24"/>
        </w:rPr>
        <w:t>ABSTRACT</w:t>
      </w:r>
    </w:p>
    <w:p w:rsidR="009A6CB5" w:rsidRDefault="009A6CB5" w:rsidP="00FE38F8">
      <w:pPr>
        <w:spacing w:after="0" w:line="480" w:lineRule="auto"/>
        <w:rPr>
          <w:rFonts w:ascii="Arial" w:hAnsi="Arial" w:cs="Arial"/>
          <w:sz w:val="24"/>
          <w:szCs w:val="24"/>
        </w:rPr>
      </w:pPr>
      <w:r>
        <w:rPr>
          <w:rFonts w:ascii="Arial" w:hAnsi="Arial" w:cs="Arial"/>
          <w:sz w:val="24"/>
          <w:szCs w:val="24"/>
        </w:rPr>
        <w:t xml:space="preserve">The North East has five universities: Durham, Newcastle, Northumbria, </w:t>
      </w:r>
      <w:proofErr w:type="spellStart"/>
      <w:r>
        <w:rPr>
          <w:rFonts w:ascii="Arial" w:hAnsi="Arial" w:cs="Arial"/>
          <w:sz w:val="24"/>
          <w:szCs w:val="24"/>
        </w:rPr>
        <w:t>Teeside</w:t>
      </w:r>
      <w:proofErr w:type="spellEnd"/>
      <w:r>
        <w:rPr>
          <w:rFonts w:ascii="Arial" w:hAnsi="Arial" w:cs="Arial"/>
          <w:sz w:val="24"/>
          <w:szCs w:val="24"/>
        </w:rPr>
        <w:t xml:space="preserve"> and Sunderland as well as over twenty colleges. </w:t>
      </w:r>
      <w:r w:rsidR="00B3631C">
        <w:rPr>
          <w:rFonts w:ascii="Arial" w:hAnsi="Arial" w:cs="Arial"/>
          <w:sz w:val="24"/>
          <w:szCs w:val="24"/>
        </w:rPr>
        <w:t>The five universities in the region employ over 14,000 staff and generate another 15,000 jobs through their activities</w:t>
      </w:r>
      <w:r w:rsidR="00DE6B18">
        <w:rPr>
          <w:rFonts w:ascii="Arial" w:hAnsi="Arial" w:cs="Arial"/>
          <w:sz w:val="24"/>
          <w:szCs w:val="24"/>
        </w:rPr>
        <w:t xml:space="preserve"> (</w:t>
      </w:r>
      <w:r w:rsidR="007444F4">
        <w:rPr>
          <w:rFonts w:ascii="Arial" w:hAnsi="Arial" w:cs="Arial"/>
          <w:sz w:val="24"/>
          <w:szCs w:val="24"/>
        </w:rPr>
        <w:t>Universities UK</w:t>
      </w:r>
      <w:r w:rsidR="00615624">
        <w:rPr>
          <w:rFonts w:ascii="Arial" w:hAnsi="Arial" w:cs="Arial"/>
          <w:sz w:val="24"/>
          <w:szCs w:val="24"/>
        </w:rPr>
        <w:t xml:space="preserve"> 2014</w:t>
      </w:r>
      <w:r w:rsidR="007444F4">
        <w:rPr>
          <w:rFonts w:ascii="Arial" w:hAnsi="Arial" w:cs="Arial"/>
          <w:sz w:val="24"/>
          <w:szCs w:val="24"/>
        </w:rPr>
        <w:t>)</w:t>
      </w:r>
      <w:r w:rsidR="00DE6B18">
        <w:rPr>
          <w:rFonts w:ascii="Arial" w:hAnsi="Arial" w:cs="Arial"/>
          <w:sz w:val="24"/>
          <w:szCs w:val="24"/>
        </w:rPr>
        <w:t xml:space="preserve">. In total their activities generate </w:t>
      </w:r>
      <w:r w:rsidR="00DE6B18" w:rsidRPr="00DE6B18">
        <w:rPr>
          <w:rFonts w:ascii="Arial" w:hAnsi="Arial" w:cs="Arial"/>
          <w:sz w:val="24"/>
          <w:szCs w:val="24"/>
        </w:rPr>
        <w:t>G</w:t>
      </w:r>
      <w:r w:rsidR="007444F4">
        <w:rPr>
          <w:rFonts w:ascii="Arial" w:hAnsi="Arial" w:cs="Arial"/>
          <w:sz w:val="24"/>
          <w:szCs w:val="24"/>
        </w:rPr>
        <w:t xml:space="preserve">ross </w:t>
      </w:r>
      <w:r w:rsidR="00DE6B18" w:rsidRPr="00DE6B18">
        <w:rPr>
          <w:rFonts w:ascii="Arial" w:hAnsi="Arial" w:cs="Arial"/>
          <w:sz w:val="24"/>
          <w:szCs w:val="24"/>
        </w:rPr>
        <w:t>V</w:t>
      </w:r>
      <w:r w:rsidR="007444F4">
        <w:rPr>
          <w:rFonts w:ascii="Arial" w:hAnsi="Arial" w:cs="Arial"/>
          <w:sz w:val="24"/>
          <w:szCs w:val="24"/>
        </w:rPr>
        <w:t xml:space="preserve">alue </w:t>
      </w:r>
      <w:r w:rsidR="00DE6B18" w:rsidRPr="00DE6B18">
        <w:rPr>
          <w:rFonts w:ascii="Arial" w:hAnsi="Arial" w:cs="Arial"/>
          <w:sz w:val="24"/>
          <w:szCs w:val="24"/>
        </w:rPr>
        <w:t>A</w:t>
      </w:r>
      <w:r w:rsidR="007444F4">
        <w:rPr>
          <w:rFonts w:ascii="Arial" w:hAnsi="Arial" w:cs="Arial"/>
          <w:sz w:val="24"/>
          <w:szCs w:val="24"/>
        </w:rPr>
        <w:t>dded (GVA)</w:t>
      </w:r>
      <w:r w:rsidR="00DE6B18" w:rsidRPr="00DE6B18">
        <w:rPr>
          <w:rFonts w:ascii="Arial" w:hAnsi="Arial" w:cs="Arial"/>
          <w:sz w:val="24"/>
          <w:szCs w:val="24"/>
        </w:rPr>
        <w:t xml:space="preserve"> of nearly £1.6 billion,</w:t>
      </w:r>
      <w:r w:rsidR="00DE6B18">
        <w:rPr>
          <w:rFonts w:ascii="Arial" w:hAnsi="Arial" w:cs="Arial"/>
          <w:sz w:val="24"/>
          <w:szCs w:val="24"/>
        </w:rPr>
        <w:t xml:space="preserve"> </w:t>
      </w:r>
      <w:r w:rsidR="00DE6B18" w:rsidRPr="00DE6B18">
        <w:rPr>
          <w:rFonts w:ascii="Arial" w:hAnsi="Arial" w:cs="Arial"/>
          <w:sz w:val="24"/>
          <w:szCs w:val="24"/>
        </w:rPr>
        <w:t>equivalent to 3.8% of</w:t>
      </w:r>
      <w:r w:rsidR="007444F4">
        <w:rPr>
          <w:rFonts w:ascii="Arial" w:hAnsi="Arial" w:cs="Arial"/>
          <w:sz w:val="24"/>
          <w:szCs w:val="24"/>
        </w:rPr>
        <w:t xml:space="preserve"> the</w:t>
      </w:r>
      <w:r w:rsidR="00DE6B18" w:rsidRPr="00DE6B18">
        <w:rPr>
          <w:rFonts w:ascii="Arial" w:hAnsi="Arial" w:cs="Arial"/>
          <w:sz w:val="24"/>
          <w:szCs w:val="24"/>
        </w:rPr>
        <w:t xml:space="preserve"> total 2011 North East GVA</w:t>
      </w:r>
      <w:r w:rsidR="00615624">
        <w:rPr>
          <w:rFonts w:ascii="Arial" w:hAnsi="Arial" w:cs="Arial"/>
          <w:sz w:val="24"/>
          <w:szCs w:val="24"/>
        </w:rPr>
        <w:t xml:space="preserve"> (ibid 2014)</w:t>
      </w:r>
      <w:r w:rsidR="00DE6B18" w:rsidRPr="00DE6B18">
        <w:rPr>
          <w:rFonts w:ascii="Arial" w:hAnsi="Arial" w:cs="Arial"/>
          <w:sz w:val="24"/>
          <w:szCs w:val="24"/>
        </w:rPr>
        <w:t>.</w:t>
      </w:r>
      <w:r w:rsidR="00DE6B18">
        <w:rPr>
          <w:rFonts w:ascii="Arial" w:hAnsi="Arial" w:cs="Arial"/>
          <w:sz w:val="24"/>
          <w:szCs w:val="24"/>
        </w:rPr>
        <w:t xml:space="preserve"> This is </w:t>
      </w:r>
      <w:r w:rsidR="007444F4">
        <w:rPr>
          <w:rFonts w:ascii="Arial" w:hAnsi="Arial" w:cs="Arial"/>
          <w:sz w:val="24"/>
          <w:szCs w:val="24"/>
        </w:rPr>
        <w:t>higher than</w:t>
      </w:r>
      <w:r w:rsidR="00DE6B18">
        <w:rPr>
          <w:rFonts w:ascii="Arial" w:hAnsi="Arial" w:cs="Arial"/>
          <w:sz w:val="24"/>
          <w:szCs w:val="24"/>
        </w:rPr>
        <w:t xml:space="preserve"> in any other region of England</w:t>
      </w:r>
      <w:r w:rsidR="007444F4">
        <w:rPr>
          <w:rFonts w:ascii="Arial" w:hAnsi="Arial" w:cs="Arial"/>
          <w:sz w:val="24"/>
          <w:szCs w:val="24"/>
        </w:rPr>
        <w:t xml:space="preserve"> meaning that any</w:t>
      </w:r>
      <w:r w:rsidR="00DE6B18">
        <w:rPr>
          <w:rFonts w:ascii="Arial" w:hAnsi="Arial" w:cs="Arial"/>
          <w:sz w:val="24"/>
          <w:szCs w:val="24"/>
        </w:rPr>
        <w:t xml:space="preserve"> </w:t>
      </w:r>
      <w:r w:rsidR="007444F4">
        <w:rPr>
          <w:rFonts w:ascii="Arial" w:hAnsi="Arial" w:cs="Arial"/>
          <w:sz w:val="24"/>
          <w:szCs w:val="24"/>
        </w:rPr>
        <w:t xml:space="preserve">threat to the UK university sector represents a disproportionately </w:t>
      </w:r>
      <w:r w:rsidR="004560A5">
        <w:rPr>
          <w:rFonts w:ascii="Arial" w:hAnsi="Arial" w:cs="Arial"/>
          <w:sz w:val="24"/>
          <w:szCs w:val="24"/>
        </w:rPr>
        <w:t>greater</w:t>
      </w:r>
      <w:r w:rsidR="007444F4">
        <w:rPr>
          <w:rFonts w:ascii="Arial" w:hAnsi="Arial" w:cs="Arial"/>
          <w:sz w:val="24"/>
          <w:szCs w:val="24"/>
        </w:rPr>
        <w:t xml:space="preserve"> threat to the North-East </w:t>
      </w:r>
      <w:r w:rsidR="00C76549">
        <w:rPr>
          <w:rFonts w:ascii="Arial" w:hAnsi="Arial" w:cs="Arial"/>
          <w:sz w:val="24"/>
          <w:szCs w:val="24"/>
        </w:rPr>
        <w:t>economy</w:t>
      </w:r>
      <w:r w:rsidR="007444F4">
        <w:rPr>
          <w:rFonts w:ascii="Arial" w:hAnsi="Arial" w:cs="Arial"/>
          <w:sz w:val="24"/>
          <w:szCs w:val="24"/>
        </w:rPr>
        <w:t>.</w:t>
      </w:r>
    </w:p>
    <w:p w:rsidR="00DE6B18" w:rsidRDefault="00B34384" w:rsidP="00FE38F8">
      <w:pPr>
        <w:spacing w:after="0" w:line="480" w:lineRule="auto"/>
        <w:rPr>
          <w:rFonts w:ascii="Arial" w:hAnsi="Arial" w:cs="Arial"/>
          <w:sz w:val="24"/>
          <w:szCs w:val="24"/>
        </w:rPr>
      </w:pPr>
      <w:r>
        <w:rPr>
          <w:rFonts w:ascii="Arial" w:hAnsi="Arial" w:cs="Arial"/>
          <w:sz w:val="24"/>
          <w:szCs w:val="24"/>
        </w:rPr>
        <w:t xml:space="preserve">This chapter will look specifically at the opportunities and threats for </w:t>
      </w:r>
      <w:r w:rsidR="00C76549">
        <w:rPr>
          <w:rFonts w:ascii="Arial" w:hAnsi="Arial" w:cs="Arial"/>
          <w:sz w:val="24"/>
          <w:szCs w:val="24"/>
        </w:rPr>
        <w:t xml:space="preserve">teaching and research of </w:t>
      </w:r>
      <w:r>
        <w:rPr>
          <w:rFonts w:ascii="Arial" w:hAnsi="Arial" w:cs="Arial"/>
          <w:sz w:val="24"/>
          <w:szCs w:val="24"/>
        </w:rPr>
        <w:t xml:space="preserve">public administration within the North East as a consequence of Brexit. Potential threats include the impact of any reduction in European funding (particularly research funding); reduction in the number of European students and reduction in the number of European staff working at universities in the North East. It </w:t>
      </w:r>
      <w:r>
        <w:rPr>
          <w:rFonts w:ascii="Arial" w:hAnsi="Arial" w:cs="Arial"/>
          <w:sz w:val="24"/>
          <w:szCs w:val="24"/>
        </w:rPr>
        <w:lastRenderedPageBreak/>
        <w:t xml:space="preserve">is also noted that any wider economic uncertainty caused by Brexit may lead to further reductions in government spending. </w:t>
      </w:r>
      <w:r w:rsidR="00615624">
        <w:rPr>
          <w:rFonts w:ascii="Arial" w:hAnsi="Arial" w:cs="Arial"/>
          <w:sz w:val="24"/>
          <w:szCs w:val="24"/>
        </w:rPr>
        <w:t>At the same time there may be opportunities that arise for public administration teaching as a consequence of Brexit. For example</w:t>
      </w:r>
      <w:r w:rsidR="00C76549">
        <w:rPr>
          <w:rFonts w:ascii="Arial" w:hAnsi="Arial" w:cs="Arial"/>
          <w:sz w:val="24"/>
          <w:szCs w:val="24"/>
        </w:rPr>
        <w:t>,</w:t>
      </w:r>
      <w:r w:rsidR="00615624">
        <w:rPr>
          <w:rFonts w:ascii="Arial" w:hAnsi="Arial" w:cs="Arial"/>
          <w:sz w:val="24"/>
          <w:szCs w:val="24"/>
        </w:rPr>
        <w:t xml:space="preserve"> any change in the status of the UK in Europe </w:t>
      </w:r>
      <w:r w:rsidR="009D2A52">
        <w:rPr>
          <w:rFonts w:ascii="Arial" w:hAnsi="Arial" w:cs="Arial"/>
          <w:sz w:val="24"/>
          <w:szCs w:val="24"/>
        </w:rPr>
        <w:t>may lead to</w:t>
      </w:r>
      <w:r w:rsidR="004E6D9B">
        <w:rPr>
          <w:rFonts w:ascii="Arial" w:hAnsi="Arial" w:cs="Arial"/>
          <w:sz w:val="24"/>
          <w:szCs w:val="24"/>
        </w:rPr>
        <w:t xml:space="preserve"> calls for a greater regional focus in England. There may also be a greater need for public policy and administration at all levels – national, regional and local – which would</w:t>
      </w:r>
      <w:r w:rsidR="00615624">
        <w:rPr>
          <w:rFonts w:ascii="Arial" w:hAnsi="Arial" w:cs="Arial"/>
          <w:sz w:val="24"/>
          <w:szCs w:val="24"/>
        </w:rPr>
        <w:t xml:space="preserve"> require significan</w:t>
      </w:r>
      <w:r w:rsidR="004E6D9B">
        <w:rPr>
          <w:rFonts w:ascii="Arial" w:hAnsi="Arial" w:cs="Arial"/>
          <w:sz w:val="24"/>
          <w:szCs w:val="24"/>
        </w:rPr>
        <w:t>t development of staff across all areas of public services. Th</w:t>
      </w:r>
      <w:r w:rsidR="00C76549">
        <w:rPr>
          <w:rFonts w:ascii="Arial" w:hAnsi="Arial" w:cs="Arial"/>
          <w:sz w:val="24"/>
          <w:szCs w:val="24"/>
        </w:rPr>
        <w:t xml:space="preserve">e need for widespread workforce development would be heightened by any reduction in European staff working in UK public service organisations. </w:t>
      </w:r>
    </w:p>
    <w:p w:rsidR="00615624" w:rsidRDefault="00615624" w:rsidP="00FE38F8">
      <w:pPr>
        <w:spacing w:after="0" w:line="480" w:lineRule="auto"/>
        <w:rPr>
          <w:rFonts w:ascii="Arial" w:hAnsi="Arial" w:cs="Arial"/>
          <w:sz w:val="24"/>
          <w:szCs w:val="24"/>
        </w:rPr>
      </w:pPr>
      <w:r>
        <w:rPr>
          <w:rFonts w:ascii="Arial" w:hAnsi="Arial" w:cs="Arial"/>
          <w:sz w:val="24"/>
          <w:szCs w:val="24"/>
        </w:rPr>
        <w:t xml:space="preserve">The chapter concludes by making the case for greater collaboration in teaching and research across UK and European universities and notes that, irrespective of the final result of Brexit, pan-European </w:t>
      </w:r>
      <w:r w:rsidR="00C76549">
        <w:rPr>
          <w:rFonts w:ascii="Arial" w:hAnsi="Arial" w:cs="Arial"/>
          <w:sz w:val="24"/>
          <w:szCs w:val="24"/>
        </w:rPr>
        <w:t>research and teaching of public administration seems needed now more than ever</w:t>
      </w:r>
      <w:r w:rsidR="004E6D9B">
        <w:rPr>
          <w:rFonts w:ascii="Arial" w:hAnsi="Arial" w:cs="Arial"/>
          <w:sz w:val="24"/>
          <w:szCs w:val="24"/>
        </w:rPr>
        <w:t>. Northumbria University has a unique place within the North-East region as a centre of expertise in public administration and public leadership, to address these threats and respond to any opportunities.</w:t>
      </w:r>
    </w:p>
    <w:p w:rsidR="00B34384" w:rsidRDefault="00B34384" w:rsidP="00FE38F8">
      <w:pPr>
        <w:spacing w:after="0" w:line="480" w:lineRule="auto"/>
        <w:rPr>
          <w:rFonts w:ascii="Arial" w:hAnsi="Arial" w:cs="Arial"/>
          <w:sz w:val="24"/>
          <w:szCs w:val="24"/>
        </w:rPr>
      </w:pPr>
    </w:p>
    <w:p w:rsidR="003E03F3" w:rsidRDefault="003E03F3" w:rsidP="00FE38F8">
      <w:pPr>
        <w:spacing w:after="0" w:line="480" w:lineRule="auto"/>
        <w:rPr>
          <w:rFonts w:ascii="Arial" w:hAnsi="Arial" w:cs="Arial"/>
          <w:b/>
          <w:sz w:val="24"/>
          <w:szCs w:val="24"/>
        </w:rPr>
      </w:pPr>
      <w:r>
        <w:rPr>
          <w:rFonts w:ascii="Arial" w:hAnsi="Arial" w:cs="Arial"/>
          <w:b/>
          <w:sz w:val="24"/>
          <w:szCs w:val="24"/>
        </w:rPr>
        <w:br w:type="page"/>
      </w:r>
    </w:p>
    <w:p w:rsidR="002F0553" w:rsidRDefault="003E03F3" w:rsidP="00FE38F8">
      <w:pPr>
        <w:spacing w:after="0" w:line="480" w:lineRule="auto"/>
        <w:rPr>
          <w:rFonts w:ascii="Arial" w:hAnsi="Arial" w:cs="Arial"/>
          <w:b/>
          <w:sz w:val="24"/>
          <w:szCs w:val="24"/>
        </w:rPr>
      </w:pPr>
      <w:r w:rsidRPr="003E03F3">
        <w:rPr>
          <w:rFonts w:ascii="Arial" w:hAnsi="Arial" w:cs="Arial"/>
          <w:b/>
          <w:sz w:val="24"/>
          <w:szCs w:val="24"/>
        </w:rPr>
        <w:lastRenderedPageBreak/>
        <w:t>Chapter outline (to discuss)</w:t>
      </w:r>
    </w:p>
    <w:p w:rsidR="003E03F3" w:rsidRDefault="003E03F3" w:rsidP="00FE38F8">
      <w:pPr>
        <w:spacing w:after="0" w:line="480" w:lineRule="auto"/>
        <w:rPr>
          <w:rFonts w:ascii="Arial" w:hAnsi="Arial" w:cs="Arial"/>
          <w:sz w:val="24"/>
          <w:szCs w:val="24"/>
        </w:rPr>
      </w:pPr>
      <w:bookmarkStart w:id="0" w:name="_Hlk12021984"/>
    </w:p>
    <w:p w:rsidR="00B73555" w:rsidRPr="00B73555" w:rsidRDefault="00B73555" w:rsidP="00FE38F8">
      <w:pPr>
        <w:pStyle w:val="ListParagraph"/>
        <w:numPr>
          <w:ilvl w:val="0"/>
          <w:numId w:val="4"/>
        </w:numPr>
        <w:spacing w:after="0" w:line="480" w:lineRule="auto"/>
        <w:rPr>
          <w:rFonts w:ascii="Arial" w:hAnsi="Arial" w:cs="Arial"/>
          <w:b/>
          <w:sz w:val="24"/>
          <w:szCs w:val="24"/>
        </w:rPr>
      </w:pPr>
      <w:bookmarkStart w:id="1" w:name="_Hlk14784259"/>
      <w:r w:rsidRPr="00B73555">
        <w:rPr>
          <w:rFonts w:ascii="Arial" w:hAnsi="Arial" w:cs="Arial"/>
          <w:b/>
          <w:sz w:val="24"/>
          <w:szCs w:val="24"/>
        </w:rPr>
        <w:t>Introduction</w:t>
      </w:r>
    </w:p>
    <w:p w:rsidR="00CE551D" w:rsidRDefault="00323838" w:rsidP="00FE38F8">
      <w:pPr>
        <w:spacing w:after="0" w:line="480" w:lineRule="auto"/>
        <w:rPr>
          <w:rFonts w:ascii="Arial" w:hAnsi="Arial" w:cs="Arial"/>
          <w:sz w:val="24"/>
          <w:szCs w:val="24"/>
        </w:rPr>
      </w:pPr>
      <w:r>
        <w:rPr>
          <w:rFonts w:ascii="Arial" w:hAnsi="Arial" w:cs="Arial"/>
          <w:sz w:val="24"/>
          <w:szCs w:val="24"/>
        </w:rPr>
        <w:t xml:space="preserve">The </w:t>
      </w:r>
      <w:r w:rsidR="009A7C6A">
        <w:rPr>
          <w:rFonts w:ascii="Arial" w:hAnsi="Arial" w:cs="Arial"/>
          <w:sz w:val="24"/>
          <w:szCs w:val="24"/>
        </w:rPr>
        <w:t xml:space="preserve">purpose of this chapter is to explore the role of universities in the post-Brexit North-East. Specifically, it is noted that Brexit has uncovered (or heightened) significant grievances towards metropolitan elites (whether they be in Westminster or Brussels). </w:t>
      </w:r>
      <w:r w:rsidR="007C3744">
        <w:rPr>
          <w:rFonts w:ascii="Arial" w:hAnsi="Arial" w:cs="Arial"/>
          <w:sz w:val="24"/>
          <w:szCs w:val="24"/>
        </w:rPr>
        <w:t xml:space="preserve">There is, in many respects, a sense of the left behind – with an ever-powerful Westminster to the south and an emerging force in Holyrood to the north. </w:t>
      </w:r>
      <w:r w:rsidR="00E3056F">
        <w:rPr>
          <w:rFonts w:ascii="Arial" w:hAnsi="Arial" w:cs="Arial"/>
          <w:sz w:val="24"/>
          <w:szCs w:val="24"/>
        </w:rPr>
        <w:t>There have</w:t>
      </w:r>
      <w:r w:rsidR="00CE551D">
        <w:rPr>
          <w:rFonts w:ascii="Arial" w:hAnsi="Arial" w:cs="Arial"/>
          <w:sz w:val="24"/>
          <w:szCs w:val="24"/>
        </w:rPr>
        <w:t xml:space="preserve">, in recent years, been moves towards addressing some of these apparent grievances with measures such as English Votes for English Laws (EVEL), development of the Northern Powerhouse, introduction of combined authorities and locally elected mayors within major cities and Local Industrial Strategies. At the same time Brexit is likely to require further investment in governance systems and mechanisms across the UK. </w:t>
      </w:r>
    </w:p>
    <w:p w:rsidR="00CE7069" w:rsidRDefault="00CE7069" w:rsidP="00FE38F8">
      <w:pPr>
        <w:spacing w:after="0" w:line="480" w:lineRule="auto"/>
        <w:rPr>
          <w:rFonts w:ascii="Arial" w:hAnsi="Arial" w:cs="Arial"/>
          <w:sz w:val="24"/>
          <w:szCs w:val="24"/>
        </w:rPr>
      </w:pPr>
    </w:p>
    <w:p w:rsidR="00CE7069" w:rsidRDefault="00CE7069" w:rsidP="00FE38F8">
      <w:pPr>
        <w:spacing w:after="0" w:line="480" w:lineRule="auto"/>
        <w:rPr>
          <w:rFonts w:ascii="Arial" w:hAnsi="Arial" w:cs="Arial"/>
          <w:sz w:val="24"/>
          <w:szCs w:val="24"/>
        </w:rPr>
      </w:pPr>
      <w:r>
        <w:rPr>
          <w:rFonts w:ascii="Arial" w:hAnsi="Arial" w:cs="Arial"/>
          <w:sz w:val="24"/>
          <w:szCs w:val="24"/>
        </w:rPr>
        <w:t xml:space="preserve">This chapter begins by exploring aspects of the Brexit vote and highlights some of the </w:t>
      </w:r>
      <w:r w:rsidR="00597279">
        <w:rPr>
          <w:rFonts w:ascii="Arial" w:hAnsi="Arial" w:cs="Arial"/>
          <w:sz w:val="24"/>
          <w:szCs w:val="24"/>
        </w:rPr>
        <w:t xml:space="preserve">underpinning grievances that may have influenced the significant leave vote from North-East constituencies. This section ends by recognising the peculiar position of universities within the region. The second section then </w:t>
      </w:r>
      <w:r w:rsidR="00BC4CF4">
        <w:rPr>
          <w:rFonts w:ascii="Arial" w:hAnsi="Arial" w:cs="Arial"/>
          <w:sz w:val="24"/>
          <w:szCs w:val="24"/>
        </w:rPr>
        <w:t xml:space="preserve">explores the response to Brexit both in relation to regional governance and in respect of universities. It is noted that universities within the North-East may have a significant role to play in a post-Brexit devolved public sector landscape. In this context it is found that Northumbria University has a unique position with a long-established track record of teaching and research in public administration. </w:t>
      </w:r>
    </w:p>
    <w:p w:rsidR="00CE551D" w:rsidRDefault="00CE551D" w:rsidP="00FE38F8">
      <w:pPr>
        <w:spacing w:after="0" w:line="480" w:lineRule="auto"/>
        <w:rPr>
          <w:rFonts w:ascii="Arial" w:hAnsi="Arial" w:cs="Arial"/>
          <w:sz w:val="24"/>
          <w:szCs w:val="24"/>
        </w:rPr>
      </w:pPr>
    </w:p>
    <w:p w:rsidR="00B73555" w:rsidRDefault="00BC4CF4" w:rsidP="00FE38F8">
      <w:pPr>
        <w:spacing w:after="0" w:line="480" w:lineRule="auto"/>
        <w:rPr>
          <w:rFonts w:ascii="Arial" w:hAnsi="Arial" w:cs="Arial"/>
          <w:sz w:val="24"/>
          <w:szCs w:val="24"/>
        </w:rPr>
      </w:pPr>
      <w:r>
        <w:rPr>
          <w:rFonts w:ascii="Arial" w:hAnsi="Arial" w:cs="Arial"/>
          <w:sz w:val="24"/>
          <w:szCs w:val="24"/>
        </w:rPr>
        <w:lastRenderedPageBreak/>
        <w:t>Overall it is found that ongoing</w:t>
      </w:r>
      <w:r w:rsidR="00CE551D">
        <w:rPr>
          <w:rFonts w:ascii="Arial" w:hAnsi="Arial" w:cs="Arial"/>
          <w:sz w:val="24"/>
          <w:szCs w:val="24"/>
        </w:rPr>
        <w:t xml:space="preserve"> constitutional change</w:t>
      </w:r>
      <w:r>
        <w:rPr>
          <w:rFonts w:ascii="Arial" w:hAnsi="Arial" w:cs="Arial"/>
          <w:sz w:val="24"/>
          <w:szCs w:val="24"/>
        </w:rPr>
        <w:t>s</w:t>
      </w:r>
      <w:r w:rsidR="00CE551D">
        <w:rPr>
          <w:rFonts w:ascii="Arial" w:hAnsi="Arial" w:cs="Arial"/>
          <w:sz w:val="24"/>
          <w:szCs w:val="24"/>
        </w:rPr>
        <w:t xml:space="preserve"> pose significant opportunities and threats to universities within the North-East. This region of England has a particularly high number of universities which contribute highly to the regional economy and to employment. Yet at the same time these same universities are especially dependent on links with other European countries, and to the EU, in relation to research funding, staffing and students. These existing and long-standing links may help to limit any negative impact of Brexit. They may also provide an important</w:t>
      </w:r>
      <w:r w:rsidR="00560186">
        <w:rPr>
          <w:rFonts w:ascii="Arial" w:hAnsi="Arial" w:cs="Arial"/>
          <w:sz w:val="24"/>
          <w:szCs w:val="24"/>
        </w:rPr>
        <w:t xml:space="preserve"> role as</w:t>
      </w:r>
      <w:r w:rsidR="00CE551D">
        <w:rPr>
          <w:rFonts w:ascii="Arial" w:hAnsi="Arial" w:cs="Arial"/>
          <w:sz w:val="24"/>
          <w:szCs w:val="24"/>
        </w:rPr>
        <w:t xml:space="preserve"> </w:t>
      </w:r>
      <w:r w:rsidR="00560186">
        <w:rPr>
          <w:rFonts w:ascii="Arial" w:hAnsi="Arial" w:cs="Arial"/>
          <w:sz w:val="24"/>
          <w:szCs w:val="24"/>
        </w:rPr>
        <w:t>anchor institutions for further regional development and multi-level governance systems.</w:t>
      </w:r>
    </w:p>
    <w:p w:rsidR="00CE551D" w:rsidRDefault="00CE551D" w:rsidP="00FE38F8">
      <w:pPr>
        <w:spacing w:after="0" w:line="480" w:lineRule="auto"/>
        <w:rPr>
          <w:rFonts w:ascii="Arial" w:hAnsi="Arial" w:cs="Arial"/>
          <w:sz w:val="24"/>
          <w:szCs w:val="24"/>
        </w:rPr>
      </w:pPr>
    </w:p>
    <w:p w:rsidR="00CE551D" w:rsidRDefault="00560186" w:rsidP="00FE38F8">
      <w:pPr>
        <w:spacing w:after="0" w:line="480" w:lineRule="auto"/>
        <w:rPr>
          <w:rFonts w:ascii="Arial" w:hAnsi="Arial" w:cs="Arial"/>
          <w:sz w:val="24"/>
          <w:szCs w:val="24"/>
        </w:rPr>
      </w:pPr>
      <w:r>
        <w:rPr>
          <w:rFonts w:ascii="Arial" w:hAnsi="Arial" w:cs="Arial"/>
          <w:sz w:val="24"/>
          <w:szCs w:val="24"/>
        </w:rPr>
        <w:t xml:space="preserve">In this regard, </w:t>
      </w:r>
      <w:r w:rsidR="00CE551D">
        <w:rPr>
          <w:rFonts w:ascii="Arial" w:hAnsi="Arial" w:cs="Arial"/>
          <w:sz w:val="24"/>
          <w:szCs w:val="24"/>
        </w:rPr>
        <w:t>Northumbria University has a</w:t>
      </w:r>
      <w:r>
        <w:rPr>
          <w:rFonts w:ascii="Arial" w:hAnsi="Arial" w:cs="Arial"/>
          <w:sz w:val="24"/>
          <w:szCs w:val="24"/>
        </w:rPr>
        <w:t xml:space="preserve">n </w:t>
      </w:r>
      <w:r w:rsidR="00CE551D">
        <w:rPr>
          <w:rFonts w:ascii="Arial" w:hAnsi="Arial" w:cs="Arial"/>
          <w:sz w:val="24"/>
          <w:szCs w:val="24"/>
        </w:rPr>
        <w:t>enviable position as the regional centre of excellence in the teaching and research of public administration. Developments such as the new Northern Centre for Public Governance and the new Senior Leaders Master</w:t>
      </w:r>
      <w:r>
        <w:rPr>
          <w:rFonts w:ascii="Arial" w:hAnsi="Arial" w:cs="Arial"/>
          <w:sz w:val="24"/>
          <w:szCs w:val="24"/>
        </w:rPr>
        <w:t>’s</w:t>
      </w:r>
      <w:r w:rsidR="00CE551D">
        <w:rPr>
          <w:rFonts w:ascii="Arial" w:hAnsi="Arial" w:cs="Arial"/>
          <w:sz w:val="24"/>
          <w:szCs w:val="24"/>
        </w:rPr>
        <w:t xml:space="preserve"> Degree </w:t>
      </w:r>
      <w:r>
        <w:rPr>
          <w:rFonts w:ascii="Arial" w:hAnsi="Arial" w:cs="Arial"/>
          <w:sz w:val="24"/>
          <w:szCs w:val="24"/>
        </w:rPr>
        <w:t>Apprenticeship</w:t>
      </w:r>
      <w:r w:rsidR="00CE551D">
        <w:rPr>
          <w:rFonts w:ascii="Arial" w:hAnsi="Arial" w:cs="Arial"/>
          <w:sz w:val="24"/>
          <w:szCs w:val="24"/>
        </w:rPr>
        <w:t xml:space="preserve"> in </w:t>
      </w:r>
      <w:r>
        <w:rPr>
          <w:rFonts w:ascii="Arial" w:hAnsi="Arial" w:cs="Arial"/>
          <w:sz w:val="24"/>
          <w:szCs w:val="24"/>
        </w:rPr>
        <w:t xml:space="preserve">Strategic Leadership for Public Services demonstrate the capacity within the university to foster links across and within sectors, to </w:t>
      </w:r>
      <w:r w:rsidR="00766BC1">
        <w:rPr>
          <w:rFonts w:ascii="Arial" w:hAnsi="Arial" w:cs="Arial"/>
          <w:sz w:val="24"/>
          <w:szCs w:val="24"/>
        </w:rPr>
        <w:t xml:space="preserve">help bridge the skills shortage across public services, and to nurture boundary-spanning leadership capabilities. </w:t>
      </w:r>
      <w:r>
        <w:rPr>
          <w:rFonts w:ascii="Arial" w:hAnsi="Arial" w:cs="Arial"/>
          <w:sz w:val="24"/>
          <w:szCs w:val="24"/>
        </w:rPr>
        <w:t xml:space="preserve"> </w:t>
      </w:r>
    </w:p>
    <w:bookmarkEnd w:id="1"/>
    <w:p w:rsidR="00323838" w:rsidRDefault="00323838" w:rsidP="00FE38F8">
      <w:pPr>
        <w:spacing w:after="0" w:line="480" w:lineRule="auto"/>
        <w:rPr>
          <w:rFonts w:ascii="Arial" w:hAnsi="Arial" w:cs="Arial"/>
          <w:sz w:val="24"/>
          <w:szCs w:val="24"/>
        </w:rPr>
      </w:pPr>
    </w:p>
    <w:p w:rsidR="00323838" w:rsidRDefault="00323838" w:rsidP="00FE38F8">
      <w:pPr>
        <w:spacing w:after="0" w:line="480" w:lineRule="auto"/>
        <w:rPr>
          <w:rFonts w:ascii="Arial" w:hAnsi="Arial" w:cs="Arial"/>
          <w:sz w:val="24"/>
          <w:szCs w:val="24"/>
        </w:rPr>
      </w:pPr>
    </w:p>
    <w:p w:rsidR="00B73555" w:rsidRDefault="00B73555" w:rsidP="00FE38F8">
      <w:pPr>
        <w:pStyle w:val="ListParagraph"/>
        <w:numPr>
          <w:ilvl w:val="0"/>
          <w:numId w:val="4"/>
        </w:numPr>
        <w:spacing w:after="0" w:line="480" w:lineRule="auto"/>
        <w:rPr>
          <w:rFonts w:ascii="Arial" w:hAnsi="Arial" w:cs="Arial"/>
          <w:b/>
          <w:sz w:val="24"/>
          <w:szCs w:val="24"/>
        </w:rPr>
      </w:pPr>
      <w:r w:rsidRPr="00B73555">
        <w:rPr>
          <w:rFonts w:ascii="Arial" w:hAnsi="Arial" w:cs="Arial"/>
          <w:b/>
          <w:sz w:val="24"/>
          <w:szCs w:val="24"/>
        </w:rPr>
        <w:t>The Conundrum of Brexit</w:t>
      </w:r>
    </w:p>
    <w:p w:rsidR="00766BC1" w:rsidRPr="00766BC1" w:rsidRDefault="00766BC1" w:rsidP="00766BC1">
      <w:pPr>
        <w:spacing w:after="0" w:line="480" w:lineRule="auto"/>
        <w:rPr>
          <w:rFonts w:ascii="Arial" w:hAnsi="Arial" w:cs="Arial"/>
          <w:b/>
          <w:sz w:val="24"/>
          <w:szCs w:val="24"/>
        </w:rPr>
      </w:pPr>
    </w:p>
    <w:p w:rsidR="007A3310" w:rsidRPr="007A3310" w:rsidRDefault="007A3310" w:rsidP="00FE38F8">
      <w:pPr>
        <w:pStyle w:val="ListParagraph"/>
        <w:numPr>
          <w:ilvl w:val="1"/>
          <w:numId w:val="14"/>
        </w:numPr>
        <w:spacing w:after="0" w:line="480" w:lineRule="auto"/>
        <w:rPr>
          <w:rFonts w:ascii="Arial" w:hAnsi="Arial" w:cs="Arial"/>
          <w:sz w:val="24"/>
          <w:szCs w:val="24"/>
        </w:rPr>
      </w:pPr>
      <w:r w:rsidRPr="007A3310">
        <w:rPr>
          <w:rFonts w:ascii="Arial" w:hAnsi="Arial" w:cs="Arial"/>
          <w:sz w:val="24"/>
          <w:szCs w:val="24"/>
        </w:rPr>
        <w:t>The result</w:t>
      </w:r>
    </w:p>
    <w:p w:rsidR="00D32328" w:rsidRDefault="00422854" w:rsidP="00FE38F8">
      <w:pPr>
        <w:spacing w:after="0" w:line="480" w:lineRule="auto"/>
        <w:rPr>
          <w:rFonts w:ascii="Arial" w:hAnsi="Arial" w:cs="Arial"/>
          <w:sz w:val="24"/>
          <w:szCs w:val="24"/>
        </w:rPr>
      </w:pPr>
      <w:r>
        <w:rPr>
          <w:rFonts w:ascii="Arial" w:hAnsi="Arial" w:cs="Arial"/>
          <w:sz w:val="24"/>
          <w:szCs w:val="24"/>
        </w:rPr>
        <w:t xml:space="preserve">Research published after the </w:t>
      </w:r>
      <w:r w:rsidR="000855D5">
        <w:rPr>
          <w:rFonts w:ascii="Arial" w:hAnsi="Arial" w:cs="Arial"/>
          <w:sz w:val="24"/>
          <w:szCs w:val="24"/>
        </w:rPr>
        <w:t xml:space="preserve">referendum </w:t>
      </w:r>
      <w:r>
        <w:rPr>
          <w:rFonts w:ascii="Arial" w:hAnsi="Arial" w:cs="Arial"/>
          <w:sz w:val="24"/>
          <w:szCs w:val="24"/>
        </w:rPr>
        <w:t xml:space="preserve">result has </w:t>
      </w:r>
      <w:r w:rsidR="00D97EF6">
        <w:rPr>
          <w:rFonts w:ascii="Arial" w:hAnsi="Arial" w:cs="Arial"/>
          <w:sz w:val="24"/>
          <w:szCs w:val="24"/>
        </w:rPr>
        <w:t xml:space="preserve">naturally </w:t>
      </w:r>
      <w:r>
        <w:rPr>
          <w:rFonts w:ascii="Arial" w:hAnsi="Arial" w:cs="Arial"/>
          <w:sz w:val="24"/>
          <w:szCs w:val="24"/>
        </w:rPr>
        <w:t xml:space="preserve">focused on the causes of Brexit with arguments centring on </w:t>
      </w:r>
      <w:r w:rsidR="00D436E3">
        <w:rPr>
          <w:rFonts w:ascii="Arial" w:hAnsi="Arial" w:cs="Arial"/>
          <w:sz w:val="24"/>
          <w:szCs w:val="24"/>
        </w:rPr>
        <w:t xml:space="preserve">the many potential causes of the </w:t>
      </w:r>
      <w:r w:rsidR="00D97EF6">
        <w:rPr>
          <w:rFonts w:ascii="Arial" w:hAnsi="Arial" w:cs="Arial"/>
          <w:sz w:val="24"/>
          <w:szCs w:val="24"/>
        </w:rPr>
        <w:t>leave</w:t>
      </w:r>
      <w:r w:rsidR="00D436E3">
        <w:rPr>
          <w:rFonts w:ascii="Arial" w:hAnsi="Arial" w:cs="Arial"/>
          <w:sz w:val="24"/>
          <w:szCs w:val="24"/>
        </w:rPr>
        <w:t xml:space="preserve"> vote</w:t>
      </w:r>
      <w:r w:rsidR="00D97EF6">
        <w:rPr>
          <w:rFonts w:ascii="Arial" w:hAnsi="Arial" w:cs="Arial"/>
          <w:sz w:val="24"/>
          <w:szCs w:val="24"/>
        </w:rPr>
        <w:t>.</w:t>
      </w:r>
      <w:r w:rsidR="00D436E3">
        <w:rPr>
          <w:rFonts w:ascii="Arial" w:hAnsi="Arial" w:cs="Arial"/>
          <w:sz w:val="24"/>
          <w:szCs w:val="24"/>
        </w:rPr>
        <w:t xml:space="preserve"> </w:t>
      </w:r>
      <w:r w:rsidR="00D97EF6">
        <w:rPr>
          <w:rFonts w:ascii="Arial" w:hAnsi="Arial" w:cs="Arial"/>
          <w:sz w:val="24"/>
          <w:szCs w:val="24"/>
        </w:rPr>
        <w:t>These have</w:t>
      </w:r>
      <w:r w:rsidR="00D436E3">
        <w:rPr>
          <w:rFonts w:ascii="Arial" w:hAnsi="Arial" w:cs="Arial"/>
          <w:sz w:val="24"/>
          <w:szCs w:val="24"/>
        </w:rPr>
        <w:t xml:space="preserve"> highlighted age, social attitudes and education as significant factors </w:t>
      </w:r>
      <w:r w:rsidR="00FF1F19">
        <w:rPr>
          <w:rFonts w:ascii="Arial" w:hAnsi="Arial" w:cs="Arial"/>
          <w:sz w:val="24"/>
          <w:szCs w:val="24"/>
        </w:rPr>
        <w:t xml:space="preserve">that </w:t>
      </w:r>
      <w:r w:rsidR="00FF1F19">
        <w:rPr>
          <w:rFonts w:ascii="Arial" w:hAnsi="Arial" w:cs="Arial"/>
          <w:sz w:val="24"/>
          <w:szCs w:val="24"/>
        </w:rPr>
        <w:lastRenderedPageBreak/>
        <w:t xml:space="preserve">represent the ‘left behind’ who were particularly pro-Brexit </w:t>
      </w:r>
      <w:r w:rsidR="00D436E3">
        <w:rPr>
          <w:rFonts w:ascii="Arial" w:hAnsi="Arial" w:cs="Arial"/>
          <w:sz w:val="24"/>
          <w:szCs w:val="24"/>
        </w:rPr>
        <w:t>(Dorling et al. 2016</w:t>
      </w:r>
      <w:r w:rsidR="00FF1F19">
        <w:rPr>
          <w:rFonts w:ascii="Arial" w:hAnsi="Arial" w:cs="Arial"/>
          <w:sz w:val="24"/>
          <w:szCs w:val="24"/>
        </w:rPr>
        <w:t>; Goodwin and Heath 2016</w:t>
      </w:r>
      <w:r w:rsidR="00D436E3">
        <w:rPr>
          <w:rFonts w:ascii="Arial" w:hAnsi="Arial" w:cs="Arial"/>
          <w:sz w:val="24"/>
          <w:szCs w:val="24"/>
        </w:rPr>
        <w:t xml:space="preserve">). </w:t>
      </w:r>
      <w:r w:rsidR="006C66B0">
        <w:rPr>
          <w:rFonts w:ascii="Arial" w:hAnsi="Arial" w:cs="Arial"/>
          <w:sz w:val="24"/>
          <w:szCs w:val="24"/>
        </w:rPr>
        <w:t xml:space="preserve">Others have highlighted how </w:t>
      </w:r>
      <w:r w:rsidR="00D97EF6">
        <w:rPr>
          <w:rFonts w:ascii="Arial" w:hAnsi="Arial" w:cs="Arial"/>
          <w:sz w:val="24"/>
          <w:szCs w:val="24"/>
        </w:rPr>
        <w:t xml:space="preserve">the leave vote was the culmination of </w:t>
      </w:r>
      <w:r w:rsidR="00FF1F19">
        <w:rPr>
          <w:rFonts w:ascii="Arial" w:hAnsi="Arial" w:cs="Arial"/>
          <w:sz w:val="24"/>
          <w:szCs w:val="24"/>
        </w:rPr>
        <w:t>long-standing</w:t>
      </w:r>
      <w:r w:rsidR="006C66B0">
        <w:rPr>
          <w:rFonts w:ascii="Arial" w:hAnsi="Arial" w:cs="Arial"/>
          <w:sz w:val="24"/>
          <w:szCs w:val="24"/>
        </w:rPr>
        <w:t xml:space="preserve"> </w:t>
      </w:r>
      <w:r w:rsidR="00062097">
        <w:rPr>
          <w:rFonts w:ascii="Arial" w:hAnsi="Arial" w:cs="Arial"/>
          <w:sz w:val="24"/>
          <w:szCs w:val="24"/>
        </w:rPr>
        <w:t xml:space="preserve">public and intraparty </w:t>
      </w:r>
      <w:r w:rsidR="006C66B0">
        <w:rPr>
          <w:rFonts w:ascii="Arial" w:hAnsi="Arial" w:cs="Arial"/>
          <w:sz w:val="24"/>
          <w:szCs w:val="24"/>
        </w:rPr>
        <w:t>divisions</w:t>
      </w:r>
      <w:r w:rsidR="00FF1F19">
        <w:rPr>
          <w:rFonts w:ascii="Arial" w:hAnsi="Arial" w:cs="Arial"/>
          <w:sz w:val="24"/>
          <w:szCs w:val="24"/>
        </w:rPr>
        <w:t xml:space="preserve"> particularly</w:t>
      </w:r>
      <w:r w:rsidR="00062097">
        <w:rPr>
          <w:rFonts w:ascii="Arial" w:hAnsi="Arial" w:cs="Arial"/>
          <w:sz w:val="24"/>
          <w:szCs w:val="24"/>
        </w:rPr>
        <w:t xml:space="preserve"> </w:t>
      </w:r>
      <w:r w:rsidR="006C66B0">
        <w:rPr>
          <w:rFonts w:ascii="Arial" w:hAnsi="Arial" w:cs="Arial"/>
          <w:sz w:val="24"/>
          <w:szCs w:val="24"/>
        </w:rPr>
        <w:t>over the issue of Europe (</w:t>
      </w:r>
      <w:proofErr w:type="spellStart"/>
      <w:r w:rsidR="006C66B0">
        <w:rPr>
          <w:rFonts w:ascii="Arial" w:hAnsi="Arial" w:cs="Arial"/>
          <w:sz w:val="24"/>
          <w:szCs w:val="24"/>
        </w:rPr>
        <w:t>Memon</w:t>
      </w:r>
      <w:proofErr w:type="spellEnd"/>
      <w:r w:rsidR="006C66B0">
        <w:rPr>
          <w:rFonts w:ascii="Arial" w:hAnsi="Arial" w:cs="Arial"/>
          <w:sz w:val="24"/>
          <w:szCs w:val="24"/>
        </w:rPr>
        <w:t xml:space="preserve"> and Salter 2016).</w:t>
      </w:r>
      <w:r w:rsidR="00CF74D6">
        <w:rPr>
          <w:rFonts w:ascii="Arial" w:hAnsi="Arial" w:cs="Arial"/>
          <w:sz w:val="24"/>
          <w:szCs w:val="24"/>
        </w:rPr>
        <w:t xml:space="preserve"> </w:t>
      </w:r>
      <w:r w:rsidR="00D32328">
        <w:rPr>
          <w:rFonts w:ascii="Arial" w:hAnsi="Arial" w:cs="Arial"/>
          <w:sz w:val="24"/>
          <w:szCs w:val="24"/>
        </w:rPr>
        <w:t>Interestingly</w:t>
      </w:r>
      <w:r w:rsidR="00DF00EC">
        <w:rPr>
          <w:rFonts w:ascii="Arial" w:hAnsi="Arial" w:cs="Arial"/>
          <w:sz w:val="24"/>
          <w:szCs w:val="24"/>
        </w:rPr>
        <w:t>,</w:t>
      </w:r>
      <w:r w:rsidR="00D32328">
        <w:rPr>
          <w:rFonts w:ascii="Arial" w:hAnsi="Arial" w:cs="Arial"/>
          <w:sz w:val="24"/>
          <w:szCs w:val="24"/>
        </w:rPr>
        <w:t xml:space="preserve"> many of these divisions and antecedents of the Brexit vote have not been resolved </w:t>
      </w:r>
      <w:r w:rsidR="00D97EF6">
        <w:rPr>
          <w:rFonts w:ascii="Arial" w:hAnsi="Arial" w:cs="Arial"/>
          <w:sz w:val="24"/>
          <w:szCs w:val="24"/>
        </w:rPr>
        <w:t>in the three years following</w:t>
      </w:r>
      <w:r w:rsidR="00D32328">
        <w:rPr>
          <w:rFonts w:ascii="Arial" w:hAnsi="Arial" w:cs="Arial"/>
          <w:sz w:val="24"/>
          <w:szCs w:val="24"/>
        </w:rPr>
        <w:t xml:space="preserve"> the result and in fact</w:t>
      </w:r>
      <w:r w:rsidR="00D97EF6">
        <w:rPr>
          <w:rFonts w:ascii="Arial" w:hAnsi="Arial" w:cs="Arial"/>
          <w:sz w:val="24"/>
          <w:szCs w:val="24"/>
        </w:rPr>
        <w:t xml:space="preserve"> have</w:t>
      </w:r>
      <w:r w:rsidR="00D32328">
        <w:rPr>
          <w:rFonts w:ascii="Arial" w:hAnsi="Arial" w:cs="Arial"/>
          <w:sz w:val="24"/>
          <w:szCs w:val="24"/>
        </w:rPr>
        <w:t xml:space="preserve"> led to more uncertainty and political turmoil as a number of UK Prime Ministers, and many more Brexit Secretaries, </w:t>
      </w:r>
      <w:r w:rsidR="00D97EF6">
        <w:rPr>
          <w:rFonts w:ascii="Arial" w:hAnsi="Arial" w:cs="Arial"/>
          <w:sz w:val="24"/>
          <w:szCs w:val="24"/>
        </w:rPr>
        <w:t xml:space="preserve">have </w:t>
      </w:r>
      <w:r w:rsidR="00D32328">
        <w:rPr>
          <w:rFonts w:ascii="Arial" w:hAnsi="Arial" w:cs="Arial"/>
          <w:sz w:val="24"/>
          <w:szCs w:val="24"/>
        </w:rPr>
        <w:t>work</w:t>
      </w:r>
      <w:r w:rsidR="00D97EF6">
        <w:rPr>
          <w:rFonts w:ascii="Arial" w:hAnsi="Arial" w:cs="Arial"/>
          <w:sz w:val="24"/>
          <w:szCs w:val="24"/>
        </w:rPr>
        <w:t>ed</w:t>
      </w:r>
      <w:r w:rsidR="00D32328">
        <w:rPr>
          <w:rFonts w:ascii="Arial" w:hAnsi="Arial" w:cs="Arial"/>
          <w:sz w:val="24"/>
          <w:szCs w:val="24"/>
        </w:rPr>
        <w:t xml:space="preserve"> towards negotiating the eventual withdrawal of the UK from the EU.</w:t>
      </w:r>
    </w:p>
    <w:p w:rsidR="00D32328" w:rsidRDefault="00D32328" w:rsidP="00FE38F8">
      <w:pPr>
        <w:spacing w:after="0" w:line="480" w:lineRule="auto"/>
        <w:rPr>
          <w:rFonts w:ascii="Arial" w:hAnsi="Arial" w:cs="Arial"/>
          <w:sz w:val="24"/>
          <w:szCs w:val="24"/>
        </w:rPr>
      </w:pPr>
    </w:p>
    <w:p w:rsidR="00F66A26" w:rsidRDefault="005B5542" w:rsidP="00FE38F8">
      <w:pPr>
        <w:spacing w:after="0" w:line="480" w:lineRule="auto"/>
        <w:rPr>
          <w:rFonts w:ascii="Arial" w:hAnsi="Arial" w:cs="Arial"/>
          <w:sz w:val="24"/>
          <w:szCs w:val="24"/>
        </w:rPr>
      </w:pPr>
      <w:r>
        <w:rPr>
          <w:rFonts w:ascii="Arial" w:hAnsi="Arial" w:cs="Arial"/>
          <w:sz w:val="24"/>
          <w:szCs w:val="24"/>
        </w:rPr>
        <w:t xml:space="preserve">It is widely recognised </w:t>
      </w:r>
      <w:r w:rsidR="00D97EF6">
        <w:rPr>
          <w:rFonts w:ascii="Arial" w:hAnsi="Arial" w:cs="Arial"/>
          <w:sz w:val="24"/>
          <w:szCs w:val="24"/>
        </w:rPr>
        <w:t>within the research</w:t>
      </w:r>
      <w:r w:rsidR="006C52E2">
        <w:rPr>
          <w:rFonts w:ascii="Arial" w:hAnsi="Arial" w:cs="Arial"/>
          <w:sz w:val="24"/>
          <w:szCs w:val="24"/>
        </w:rPr>
        <w:t xml:space="preserve"> that </w:t>
      </w:r>
      <w:r w:rsidR="00FF1F19">
        <w:rPr>
          <w:rFonts w:ascii="Arial" w:hAnsi="Arial" w:cs="Arial"/>
          <w:sz w:val="24"/>
          <w:szCs w:val="24"/>
        </w:rPr>
        <w:t xml:space="preserve">the </w:t>
      </w:r>
      <w:r w:rsidR="006C52E2">
        <w:rPr>
          <w:rFonts w:ascii="Arial" w:hAnsi="Arial" w:cs="Arial"/>
          <w:sz w:val="24"/>
          <w:szCs w:val="24"/>
        </w:rPr>
        <w:t>nature</w:t>
      </w:r>
      <w:r w:rsidR="00FF1F19">
        <w:rPr>
          <w:rFonts w:ascii="Arial" w:hAnsi="Arial" w:cs="Arial"/>
          <w:sz w:val="24"/>
          <w:szCs w:val="24"/>
        </w:rPr>
        <w:t xml:space="preserve"> of the Brexit vote </w:t>
      </w:r>
      <w:r w:rsidR="006C52E2">
        <w:rPr>
          <w:rFonts w:ascii="Arial" w:hAnsi="Arial" w:cs="Arial"/>
          <w:sz w:val="24"/>
          <w:szCs w:val="24"/>
        </w:rPr>
        <w:t>was</w:t>
      </w:r>
      <w:r w:rsidR="00FF1F19">
        <w:rPr>
          <w:rFonts w:ascii="Arial" w:hAnsi="Arial" w:cs="Arial"/>
          <w:sz w:val="24"/>
          <w:szCs w:val="24"/>
        </w:rPr>
        <w:t xml:space="preserve"> highly complex. In particular</w:t>
      </w:r>
      <w:r>
        <w:rPr>
          <w:rFonts w:ascii="Arial" w:hAnsi="Arial" w:cs="Arial"/>
          <w:sz w:val="24"/>
          <w:szCs w:val="24"/>
        </w:rPr>
        <w:t>,</w:t>
      </w:r>
      <w:r w:rsidR="00FF1F19">
        <w:rPr>
          <w:rFonts w:ascii="Arial" w:hAnsi="Arial" w:cs="Arial"/>
          <w:sz w:val="24"/>
          <w:szCs w:val="24"/>
        </w:rPr>
        <w:t xml:space="preserve"> it must be stressed that there is no single United Kingdom picture that can account for the Brexit vote as Northern Ireland and Scotland both voted, along with London</w:t>
      </w:r>
      <w:r w:rsidR="00C965BA">
        <w:rPr>
          <w:rFonts w:ascii="Arial" w:hAnsi="Arial" w:cs="Arial"/>
          <w:sz w:val="24"/>
          <w:szCs w:val="24"/>
        </w:rPr>
        <w:t xml:space="preserve"> and </w:t>
      </w:r>
      <w:r w:rsidR="00C965BA" w:rsidRPr="00C965BA">
        <w:rPr>
          <w:rFonts w:ascii="Arial" w:hAnsi="Arial" w:cs="Arial"/>
          <w:sz w:val="24"/>
          <w:szCs w:val="24"/>
        </w:rPr>
        <w:t>Gibraltar</w:t>
      </w:r>
      <w:r w:rsidR="00FF1F19">
        <w:rPr>
          <w:rFonts w:ascii="Arial" w:hAnsi="Arial" w:cs="Arial"/>
          <w:sz w:val="24"/>
          <w:szCs w:val="24"/>
        </w:rPr>
        <w:t>, to remain</w:t>
      </w:r>
      <w:r w:rsidR="00C965BA">
        <w:rPr>
          <w:rFonts w:ascii="Arial" w:hAnsi="Arial" w:cs="Arial"/>
          <w:sz w:val="24"/>
          <w:szCs w:val="24"/>
        </w:rPr>
        <w:t xml:space="preserve"> (Harris and Charlton 2016)</w:t>
      </w:r>
      <w:r w:rsidR="00FF1F19">
        <w:rPr>
          <w:rFonts w:ascii="Arial" w:hAnsi="Arial" w:cs="Arial"/>
          <w:sz w:val="24"/>
          <w:szCs w:val="24"/>
        </w:rPr>
        <w:t>. Even with England, the largest constituent of the UK, there is a mixed picture when we consider the regions</w:t>
      </w:r>
      <w:r>
        <w:rPr>
          <w:rFonts w:ascii="Arial" w:hAnsi="Arial" w:cs="Arial"/>
          <w:sz w:val="24"/>
          <w:szCs w:val="24"/>
        </w:rPr>
        <w:t xml:space="preserve">. </w:t>
      </w:r>
    </w:p>
    <w:p w:rsidR="00422854" w:rsidRDefault="00422854" w:rsidP="00FE38F8">
      <w:pPr>
        <w:spacing w:after="0" w:line="480" w:lineRule="auto"/>
        <w:rPr>
          <w:rFonts w:ascii="Arial" w:hAnsi="Arial" w:cs="Arial"/>
          <w:sz w:val="24"/>
          <w:szCs w:val="24"/>
        </w:rPr>
      </w:pPr>
    </w:p>
    <w:p w:rsidR="00F66A26" w:rsidRDefault="00C965BA" w:rsidP="00FE38F8">
      <w:pPr>
        <w:spacing w:after="0" w:line="480" w:lineRule="auto"/>
        <w:rPr>
          <w:rFonts w:ascii="Arial" w:hAnsi="Arial" w:cs="Arial"/>
          <w:sz w:val="24"/>
          <w:szCs w:val="24"/>
        </w:rPr>
      </w:pPr>
      <w:r>
        <w:rPr>
          <w:rFonts w:ascii="Arial" w:hAnsi="Arial" w:cs="Arial"/>
          <w:sz w:val="24"/>
          <w:szCs w:val="24"/>
        </w:rPr>
        <w:t xml:space="preserve">As shown by Harris and Charlton 2016 the West-Midlands, East-Midlands and North-East were the three most pro-leave regions but there are </w:t>
      </w:r>
      <w:r w:rsidR="00907F57">
        <w:rPr>
          <w:rFonts w:ascii="Arial" w:hAnsi="Arial" w:cs="Arial"/>
          <w:sz w:val="24"/>
          <w:szCs w:val="24"/>
        </w:rPr>
        <w:t>also significant variations within these regions.</w:t>
      </w:r>
      <w:r w:rsidR="00D97EF6">
        <w:rPr>
          <w:rFonts w:ascii="Arial" w:hAnsi="Arial" w:cs="Arial"/>
          <w:sz w:val="24"/>
          <w:szCs w:val="24"/>
        </w:rPr>
        <w:t xml:space="preserve"> Elsewhere it has been shown that areas which voted predominantly for leaving the EU are also those which have, over the decades, benefitted most from EU funding (Bart et al. 2017). Therefore</w:t>
      </w:r>
      <w:r w:rsidR="005B5542">
        <w:rPr>
          <w:rFonts w:ascii="Arial" w:hAnsi="Arial" w:cs="Arial"/>
          <w:sz w:val="24"/>
          <w:szCs w:val="24"/>
        </w:rPr>
        <w:t>,</w:t>
      </w:r>
      <w:r w:rsidR="00D97EF6">
        <w:rPr>
          <w:rFonts w:ascii="Arial" w:hAnsi="Arial" w:cs="Arial"/>
          <w:sz w:val="24"/>
          <w:szCs w:val="24"/>
        </w:rPr>
        <w:t xml:space="preserve"> it may be assume</w:t>
      </w:r>
      <w:r w:rsidR="005B5542">
        <w:rPr>
          <w:rFonts w:ascii="Arial" w:hAnsi="Arial" w:cs="Arial"/>
          <w:sz w:val="24"/>
          <w:szCs w:val="24"/>
        </w:rPr>
        <w:t>d</w:t>
      </w:r>
      <w:r w:rsidR="00D97EF6">
        <w:rPr>
          <w:rFonts w:ascii="Arial" w:hAnsi="Arial" w:cs="Arial"/>
          <w:sz w:val="24"/>
          <w:szCs w:val="24"/>
        </w:rPr>
        <w:t xml:space="preserve"> that they will also be those who will lose most</w:t>
      </w:r>
      <w:r w:rsidR="00922F50">
        <w:rPr>
          <w:rFonts w:ascii="Arial" w:hAnsi="Arial" w:cs="Arial"/>
          <w:sz w:val="24"/>
          <w:szCs w:val="24"/>
        </w:rPr>
        <w:t xml:space="preserve"> though others have made the case that the areas which voted remain will be hardest hit economically from Brexit (Dhingra et al. </w:t>
      </w:r>
      <w:r w:rsidR="00F66A26">
        <w:rPr>
          <w:rFonts w:ascii="Arial" w:hAnsi="Arial" w:cs="Arial"/>
          <w:sz w:val="24"/>
          <w:szCs w:val="24"/>
        </w:rPr>
        <w:t>2017).</w:t>
      </w:r>
    </w:p>
    <w:p w:rsidR="00F66A26" w:rsidRDefault="00F66A26" w:rsidP="00FE38F8">
      <w:pPr>
        <w:spacing w:after="0" w:line="480" w:lineRule="auto"/>
        <w:rPr>
          <w:rFonts w:ascii="Arial" w:hAnsi="Arial" w:cs="Arial"/>
          <w:sz w:val="24"/>
          <w:szCs w:val="24"/>
        </w:rPr>
      </w:pPr>
    </w:p>
    <w:p w:rsidR="00F66A26" w:rsidRDefault="00F66A26" w:rsidP="00FE38F8">
      <w:pPr>
        <w:spacing w:after="0" w:line="480" w:lineRule="auto"/>
        <w:rPr>
          <w:rFonts w:ascii="Arial" w:hAnsi="Arial" w:cs="Arial"/>
          <w:sz w:val="24"/>
          <w:szCs w:val="24"/>
        </w:rPr>
      </w:pPr>
      <w:r>
        <w:rPr>
          <w:rFonts w:ascii="Arial" w:hAnsi="Arial" w:cs="Arial"/>
          <w:sz w:val="24"/>
          <w:szCs w:val="24"/>
        </w:rPr>
        <w:lastRenderedPageBreak/>
        <w:t>In the North-East, as with other regions, there were many different and complex factors which influenced the vote to leave. Rus</w:t>
      </w:r>
      <w:r w:rsidR="00B318BB">
        <w:rPr>
          <w:rFonts w:ascii="Arial" w:hAnsi="Arial" w:cs="Arial"/>
          <w:sz w:val="24"/>
          <w:szCs w:val="24"/>
        </w:rPr>
        <w:t>h</w:t>
      </w:r>
      <w:r>
        <w:rPr>
          <w:rFonts w:ascii="Arial" w:hAnsi="Arial" w:cs="Arial"/>
          <w:sz w:val="24"/>
          <w:szCs w:val="24"/>
        </w:rPr>
        <w:t>ton (</w:t>
      </w:r>
      <w:r w:rsidR="00B318BB">
        <w:rPr>
          <w:rFonts w:ascii="Arial" w:hAnsi="Arial" w:cs="Arial"/>
          <w:sz w:val="24"/>
          <w:szCs w:val="24"/>
        </w:rPr>
        <w:t>2017</w:t>
      </w:r>
      <w:r>
        <w:rPr>
          <w:rFonts w:ascii="Arial" w:hAnsi="Arial" w:cs="Arial"/>
          <w:sz w:val="24"/>
          <w:szCs w:val="24"/>
        </w:rPr>
        <w:t>) accepts that c</w:t>
      </w:r>
      <w:r w:rsidRPr="00F66A26">
        <w:rPr>
          <w:rFonts w:ascii="Arial" w:hAnsi="Arial" w:cs="Arial"/>
          <w:sz w:val="24"/>
          <w:szCs w:val="24"/>
        </w:rPr>
        <w:t>osmopolitanism,</w:t>
      </w:r>
      <w:r>
        <w:rPr>
          <w:rFonts w:ascii="Arial" w:hAnsi="Arial" w:cs="Arial"/>
          <w:sz w:val="24"/>
          <w:szCs w:val="24"/>
        </w:rPr>
        <w:t xml:space="preserve"> </w:t>
      </w:r>
      <w:r w:rsidRPr="00F66A26">
        <w:rPr>
          <w:rFonts w:ascii="Arial" w:hAnsi="Arial" w:cs="Arial"/>
          <w:sz w:val="24"/>
          <w:szCs w:val="24"/>
        </w:rPr>
        <w:t>educational level, and local community diversity</w:t>
      </w:r>
      <w:r>
        <w:rPr>
          <w:rFonts w:ascii="Arial" w:hAnsi="Arial" w:cs="Arial"/>
          <w:sz w:val="24"/>
          <w:szCs w:val="24"/>
        </w:rPr>
        <w:t xml:space="preserve"> all influenced voter behaviour. Yet they also highlight that some areas within the North-East, such as </w:t>
      </w:r>
      <w:proofErr w:type="spellStart"/>
      <w:r>
        <w:rPr>
          <w:rFonts w:ascii="Arial" w:hAnsi="Arial" w:cs="Arial"/>
          <w:sz w:val="24"/>
          <w:szCs w:val="24"/>
        </w:rPr>
        <w:t>Teeside</w:t>
      </w:r>
      <w:proofErr w:type="spellEnd"/>
      <w:r>
        <w:rPr>
          <w:rFonts w:ascii="Arial" w:hAnsi="Arial" w:cs="Arial"/>
          <w:sz w:val="24"/>
          <w:szCs w:val="24"/>
        </w:rPr>
        <w:t>, voted very differently to what might be expected given levels of community diversity in that area.</w:t>
      </w:r>
      <w:r w:rsidR="00D0429C">
        <w:rPr>
          <w:rFonts w:ascii="Arial" w:hAnsi="Arial" w:cs="Arial"/>
          <w:sz w:val="24"/>
          <w:szCs w:val="24"/>
        </w:rPr>
        <w:t xml:space="preserve"> </w:t>
      </w:r>
    </w:p>
    <w:p w:rsidR="00D0429C" w:rsidRDefault="00D0429C" w:rsidP="00FE38F8">
      <w:pPr>
        <w:spacing w:after="0" w:line="480" w:lineRule="auto"/>
        <w:rPr>
          <w:rFonts w:ascii="Arial" w:hAnsi="Arial" w:cs="Arial"/>
          <w:sz w:val="24"/>
          <w:szCs w:val="24"/>
        </w:rPr>
      </w:pPr>
    </w:p>
    <w:p w:rsidR="00F33DF9" w:rsidRDefault="00F33DF9" w:rsidP="00FE38F8">
      <w:pPr>
        <w:spacing w:after="0" w:line="480" w:lineRule="auto"/>
        <w:rPr>
          <w:rFonts w:ascii="Arial" w:hAnsi="Arial" w:cs="Arial"/>
          <w:sz w:val="24"/>
          <w:szCs w:val="24"/>
        </w:rPr>
      </w:pPr>
      <w:r>
        <w:rPr>
          <w:rFonts w:ascii="Arial" w:hAnsi="Arial" w:cs="Arial"/>
          <w:sz w:val="24"/>
          <w:szCs w:val="24"/>
        </w:rPr>
        <w:t xml:space="preserve">Whatever the reasons for Brexit they are likely, as suggested by </w:t>
      </w:r>
      <w:proofErr w:type="spellStart"/>
      <w:r>
        <w:rPr>
          <w:rFonts w:ascii="Arial" w:hAnsi="Arial" w:cs="Arial"/>
          <w:sz w:val="24"/>
          <w:szCs w:val="24"/>
        </w:rPr>
        <w:t>Memon</w:t>
      </w:r>
      <w:proofErr w:type="spellEnd"/>
      <w:r>
        <w:rPr>
          <w:rFonts w:ascii="Arial" w:hAnsi="Arial" w:cs="Arial"/>
          <w:sz w:val="24"/>
          <w:szCs w:val="24"/>
        </w:rPr>
        <w:t xml:space="preserve"> and Salter (2016), to have historical and deep-seeded routes. Here we can identify three important factors that have been found to be contributing factors </w:t>
      </w:r>
      <w:r w:rsidR="00234C47">
        <w:rPr>
          <w:rFonts w:ascii="Arial" w:hAnsi="Arial" w:cs="Arial"/>
          <w:sz w:val="24"/>
          <w:szCs w:val="24"/>
        </w:rPr>
        <w:t xml:space="preserve">to the leave vote at a regional level – the </w:t>
      </w:r>
      <w:r>
        <w:rPr>
          <w:rFonts w:ascii="Arial" w:hAnsi="Arial" w:cs="Arial"/>
          <w:sz w:val="24"/>
          <w:szCs w:val="24"/>
        </w:rPr>
        <w:t>North-South economic divide</w:t>
      </w:r>
      <w:r w:rsidR="00234C47">
        <w:rPr>
          <w:rFonts w:ascii="Arial" w:hAnsi="Arial" w:cs="Arial"/>
          <w:sz w:val="24"/>
          <w:szCs w:val="24"/>
        </w:rPr>
        <w:t>; the i</w:t>
      </w:r>
      <w:r>
        <w:rPr>
          <w:rFonts w:ascii="Arial" w:hAnsi="Arial" w:cs="Arial"/>
          <w:sz w:val="24"/>
          <w:szCs w:val="24"/>
        </w:rPr>
        <w:t>mpact of austerity on the North</w:t>
      </w:r>
      <w:r w:rsidR="00234C47">
        <w:rPr>
          <w:rFonts w:ascii="Arial" w:hAnsi="Arial" w:cs="Arial"/>
          <w:sz w:val="24"/>
          <w:szCs w:val="24"/>
        </w:rPr>
        <w:t xml:space="preserve"> and </w:t>
      </w:r>
      <w:r w:rsidR="005B5542">
        <w:rPr>
          <w:rFonts w:ascii="Arial" w:hAnsi="Arial" w:cs="Arial"/>
          <w:sz w:val="24"/>
          <w:szCs w:val="24"/>
        </w:rPr>
        <w:t>a form of democratic deficit.</w:t>
      </w:r>
    </w:p>
    <w:p w:rsidR="00F66A26" w:rsidRDefault="00F66A26" w:rsidP="00FE38F8">
      <w:pPr>
        <w:spacing w:after="0" w:line="480" w:lineRule="auto"/>
        <w:rPr>
          <w:rFonts w:ascii="Arial" w:hAnsi="Arial" w:cs="Arial"/>
          <w:sz w:val="24"/>
          <w:szCs w:val="24"/>
        </w:rPr>
      </w:pPr>
    </w:p>
    <w:p w:rsidR="00F33DF9" w:rsidRPr="007A3310" w:rsidRDefault="00BD6E73" w:rsidP="00FE38F8">
      <w:pPr>
        <w:pStyle w:val="ListParagraph"/>
        <w:numPr>
          <w:ilvl w:val="1"/>
          <w:numId w:val="14"/>
        </w:numPr>
        <w:spacing w:after="0" w:line="480" w:lineRule="auto"/>
        <w:rPr>
          <w:rFonts w:ascii="Arial" w:hAnsi="Arial" w:cs="Arial"/>
          <w:sz w:val="24"/>
          <w:szCs w:val="24"/>
        </w:rPr>
      </w:pPr>
      <w:r w:rsidRPr="007A3310">
        <w:rPr>
          <w:rFonts w:ascii="Arial" w:hAnsi="Arial" w:cs="Arial"/>
          <w:sz w:val="24"/>
          <w:szCs w:val="24"/>
        </w:rPr>
        <w:t>North-</w:t>
      </w:r>
      <w:r w:rsidR="007A6E27" w:rsidRPr="007A3310">
        <w:rPr>
          <w:rFonts w:ascii="Arial" w:hAnsi="Arial" w:cs="Arial"/>
          <w:sz w:val="24"/>
          <w:szCs w:val="24"/>
        </w:rPr>
        <w:t>S</w:t>
      </w:r>
      <w:r w:rsidRPr="007A3310">
        <w:rPr>
          <w:rFonts w:ascii="Arial" w:hAnsi="Arial" w:cs="Arial"/>
          <w:sz w:val="24"/>
          <w:szCs w:val="24"/>
        </w:rPr>
        <w:t xml:space="preserve">outh </w:t>
      </w:r>
      <w:r w:rsidR="007A6E27" w:rsidRPr="007A3310">
        <w:rPr>
          <w:rFonts w:ascii="Arial" w:hAnsi="Arial" w:cs="Arial"/>
          <w:sz w:val="24"/>
          <w:szCs w:val="24"/>
        </w:rPr>
        <w:t>D</w:t>
      </w:r>
      <w:r w:rsidRPr="007A3310">
        <w:rPr>
          <w:rFonts w:ascii="Arial" w:hAnsi="Arial" w:cs="Arial"/>
          <w:sz w:val="24"/>
          <w:szCs w:val="24"/>
        </w:rPr>
        <w:t>ivide</w:t>
      </w:r>
    </w:p>
    <w:p w:rsidR="00F275E2" w:rsidRDefault="007C4CF2" w:rsidP="00FE38F8">
      <w:pPr>
        <w:spacing w:after="0" w:line="480" w:lineRule="auto"/>
        <w:rPr>
          <w:rFonts w:ascii="Arial" w:hAnsi="Arial" w:cs="Arial"/>
          <w:sz w:val="24"/>
          <w:szCs w:val="24"/>
        </w:rPr>
      </w:pPr>
      <w:r>
        <w:rPr>
          <w:rFonts w:ascii="Arial" w:hAnsi="Arial" w:cs="Arial"/>
          <w:sz w:val="24"/>
          <w:szCs w:val="24"/>
        </w:rPr>
        <w:t>The privatisation of national industries of ship building, coal and steel which occurred from the 1980’s onwards had a particularly devastating effect on the North of England, Wales and Scotland. W</w:t>
      </w:r>
      <w:r w:rsidR="008338E6">
        <w:rPr>
          <w:rFonts w:ascii="Arial" w:hAnsi="Arial" w:cs="Arial"/>
          <w:sz w:val="24"/>
          <w:szCs w:val="24"/>
        </w:rPr>
        <w:t xml:space="preserve">here the focus on boosting the financial services industry provided a significant boost to London there was no such equivalent across other regions of the UK. In other words, Thatcherism exacerbated regional inequalities throughout the UK </w:t>
      </w:r>
      <w:r w:rsidR="00F275E2">
        <w:rPr>
          <w:rFonts w:ascii="Arial" w:hAnsi="Arial" w:cs="Arial"/>
          <w:sz w:val="24"/>
          <w:szCs w:val="24"/>
        </w:rPr>
        <w:t>(J</w:t>
      </w:r>
      <w:r w:rsidR="00F275E2" w:rsidRPr="00F275E2">
        <w:rPr>
          <w:rFonts w:ascii="Arial" w:hAnsi="Arial" w:cs="Arial"/>
          <w:sz w:val="24"/>
          <w:szCs w:val="24"/>
        </w:rPr>
        <w:t>essop et al., 1988; Lewis &amp; Townsend, 1989</w:t>
      </w:r>
      <w:r w:rsidR="00921876">
        <w:rPr>
          <w:rFonts w:ascii="Arial" w:hAnsi="Arial" w:cs="Arial"/>
          <w:sz w:val="24"/>
          <w:szCs w:val="24"/>
        </w:rPr>
        <w:t>; Hudson and Williams, 1995)</w:t>
      </w:r>
      <w:r w:rsidR="00BC10E9">
        <w:rPr>
          <w:rFonts w:ascii="Arial" w:hAnsi="Arial" w:cs="Arial"/>
          <w:sz w:val="24"/>
          <w:szCs w:val="24"/>
        </w:rPr>
        <w:t xml:space="preserve">. </w:t>
      </w:r>
      <w:r w:rsidR="00720504">
        <w:rPr>
          <w:rFonts w:ascii="Arial" w:hAnsi="Arial" w:cs="Arial"/>
          <w:sz w:val="24"/>
          <w:szCs w:val="24"/>
        </w:rPr>
        <w:t xml:space="preserve">These regional inequalities have been shown to map closely to the </w:t>
      </w:r>
      <w:r w:rsidR="00C37E55">
        <w:rPr>
          <w:rFonts w:ascii="Arial" w:hAnsi="Arial" w:cs="Arial"/>
          <w:sz w:val="24"/>
          <w:szCs w:val="24"/>
        </w:rPr>
        <w:t>referendum results – with economically</w:t>
      </w:r>
      <w:r w:rsidR="00915B46">
        <w:rPr>
          <w:rFonts w:ascii="Arial" w:hAnsi="Arial" w:cs="Arial"/>
          <w:sz w:val="24"/>
          <w:szCs w:val="24"/>
        </w:rPr>
        <w:t xml:space="preserve"> disadvantaged area</w:t>
      </w:r>
      <w:r w:rsidR="00F93C0F">
        <w:rPr>
          <w:rFonts w:ascii="Arial" w:hAnsi="Arial" w:cs="Arial"/>
          <w:sz w:val="24"/>
          <w:szCs w:val="24"/>
        </w:rPr>
        <w:t xml:space="preserve">s returning the largest ‘leave’ vote </w:t>
      </w:r>
      <w:r w:rsidR="00C37E55">
        <w:rPr>
          <w:rFonts w:ascii="Arial" w:hAnsi="Arial" w:cs="Arial"/>
          <w:sz w:val="24"/>
          <w:szCs w:val="24"/>
        </w:rPr>
        <w:t>(Harris and Charlton 2016)</w:t>
      </w:r>
      <w:r w:rsidR="00F93C0F">
        <w:rPr>
          <w:rFonts w:ascii="Arial" w:hAnsi="Arial" w:cs="Arial"/>
          <w:sz w:val="24"/>
          <w:szCs w:val="24"/>
        </w:rPr>
        <w:t>.</w:t>
      </w:r>
    </w:p>
    <w:p w:rsidR="00F275E2" w:rsidRDefault="00F275E2" w:rsidP="00FE38F8">
      <w:pPr>
        <w:spacing w:after="0" w:line="480" w:lineRule="auto"/>
        <w:rPr>
          <w:rFonts w:ascii="Arial" w:hAnsi="Arial" w:cs="Arial"/>
          <w:sz w:val="24"/>
          <w:szCs w:val="24"/>
        </w:rPr>
      </w:pPr>
    </w:p>
    <w:p w:rsidR="007A1311" w:rsidRDefault="00033C8B" w:rsidP="00FE38F8">
      <w:pPr>
        <w:spacing w:after="0" w:line="480" w:lineRule="auto"/>
        <w:rPr>
          <w:rFonts w:ascii="Arial" w:hAnsi="Arial" w:cs="Arial"/>
          <w:sz w:val="24"/>
          <w:szCs w:val="24"/>
        </w:rPr>
      </w:pPr>
      <w:r>
        <w:rPr>
          <w:rFonts w:ascii="Arial" w:hAnsi="Arial" w:cs="Arial"/>
          <w:sz w:val="24"/>
          <w:szCs w:val="24"/>
        </w:rPr>
        <w:lastRenderedPageBreak/>
        <w:t>Some progress was made under the Labour Governments of 1997-2008 to narrow this divide and by 2</w:t>
      </w:r>
      <w:r w:rsidRPr="00033C8B">
        <w:rPr>
          <w:rFonts w:ascii="Arial" w:hAnsi="Arial" w:cs="Arial"/>
          <w:sz w:val="24"/>
          <w:szCs w:val="24"/>
        </w:rPr>
        <w:t>005, unemployment in northern regions had gone down to the national average of 5%</w:t>
      </w:r>
      <w:r>
        <w:rPr>
          <w:rFonts w:ascii="Arial" w:hAnsi="Arial" w:cs="Arial"/>
          <w:sz w:val="24"/>
          <w:szCs w:val="24"/>
        </w:rPr>
        <w:t xml:space="preserve"> (Johnson 2015</w:t>
      </w:r>
      <w:r w:rsidR="007A1311">
        <w:rPr>
          <w:rFonts w:ascii="Arial" w:hAnsi="Arial" w:cs="Arial"/>
          <w:sz w:val="24"/>
          <w:szCs w:val="24"/>
        </w:rPr>
        <w:t>b</w:t>
      </w:r>
      <w:r>
        <w:rPr>
          <w:rFonts w:ascii="Arial" w:hAnsi="Arial" w:cs="Arial"/>
          <w:sz w:val="24"/>
          <w:szCs w:val="24"/>
        </w:rPr>
        <w:t>)</w:t>
      </w:r>
      <w:r w:rsidRPr="00033C8B">
        <w:rPr>
          <w:rFonts w:ascii="Arial" w:hAnsi="Arial" w:cs="Arial"/>
          <w:sz w:val="24"/>
          <w:szCs w:val="24"/>
        </w:rPr>
        <w:t xml:space="preserve">. </w:t>
      </w:r>
      <w:r w:rsidR="007343DC">
        <w:rPr>
          <w:rFonts w:ascii="Arial" w:hAnsi="Arial" w:cs="Arial"/>
          <w:sz w:val="24"/>
          <w:szCs w:val="24"/>
        </w:rPr>
        <w:t>Yet there is evidence to suggest that regions such as the North-East were particularly badly hit by the recession and have made particularly slow recovery since</w:t>
      </w:r>
      <w:r w:rsidR="00783148">
        <w:rPr>
          <w:rFonts w:ascii="Arial" w:hAnsi="Arial" w:cs="Arial"/>
          <w:sz w:val="24"/>
          <w:szCs w:val="24"/>
        </w:rPr>
        <w:t xml:space="preserve"> (Johnson, 2015</w:t>
      </w:r>
      <w:r w:rsidR="007A1311">
        <w:rPr>
          <w:rFonts w:ascii="Arial" w:hAnsi="Arial" w:cs="Arial"/>
          <w:sz w:val="24"/>
          <w:szCs w:val="24"/>
        </w:rPr>
        <w:t>a</w:t>
      </w:r>
      <w:r w:rsidR="00783148">
        <w:rPr>
          <w:rFonts w:ascii="Arial" w:hAnsi="Arial" w:cs="Arial"/>
          <w:sz w:val="24"/>
          <w:szCs w:val="24"/>
        </w:rPr>
        <w:t>).</w:t>
      </w:r>
      <w:r w:rsidR="007343DC">
        <w:rPr>
          <w:rFonts w:ascii="Arial" w:hAnsi="Arial" w:cs="Arial"/>
          <w:sz w:val="24"/>
          <w:szCs w:val="24"/>
        </w:rPr>
        <w:t xml:space="preserve"> </w:t>
      </w:r>
      <w:r w:rsidR="007A1311">
        <w:rPr>
          <w:rFonts w:ascii="Arial" w:hAnsi="Arial" w:cs="Arial"/>
          <w:sz w:val="24"/>
          <w:szCs w:val="24"/>
        </w:rPr>
        <w:t xml:space="preserve">Others note that Brexit is likely to exacerbate regional inequalities even further (Billing et al.,2019) due to the lack of existing </w:t>
      </w:r>
      <w:r w:rsidR="004A7584">
        <w:rPr>
          <w:rFonts w:ascii="Arial" w:hAnsi="Arial" w:cs="Arial"/>
          <w:sz w:val="24"/>
          <w:szCs w:val="24"/>
        </w:rPr>
        <w:t xml:space="preserve">sub-national </w:t>
      </w:r>
      <w:r w:rsidR="007A1311">
        <w:rPr>
          <w:rFonts w:ascii="Arial" w:hAnsi="Arial" w:cs="Arial"/>
          <w:sz w:val="24"/>
          <w:szCs w:val="24"/>
        </w:rPr>
        <w:t xml:space="preserve">governance mechanisms or regional economic development activity which might otherwise have limited these </w:t>
      </w:r>
      <w:r w:rsidR="004A7584">
        <w:rPr>
          <w:rFonts w:ascii="Arial" w:hAnsi="Arial" w:cs="Arial"/>
          <w:sz w:val="24"/>
          <w:szCs w:val="24"/>
        </w:rPr>
        <w:t>e</w:t>
      </w:r>
      <w:r w:rsidR="007A1311">
        <w:rPr>
          <w:rFonts w:ascii="Arial" w:hAnsi="Arial" w:cs="Arial"/>
          <w:sz w:val="24"/>
          <w:szCs w:val="24"/>
        </w:rPr>
        <w:t>ffects.</w:t>
      </w:r>
      <w:r w:rsidR="004A7584">
        <w:rPr>
          <w:rFonts w:ascii="Arial" w:hAnsi="Arial" w:cs="Arial"/>
          <w:sz w:val="24"/>
          <w:szCs w:val="24"/>
        </w:rPr>
        <w:t xml:space="preserve"> It is also widely accepted that regions including the North-East that voted to leave at also those that benefit most from EU membership (Los et al 2017).</w:t>
      </w:r>
    </w:p>
    <w:p w:rsidR="007D5923" w:rsidRDefault="007D5923" w:rsidP="00FE38F8">
      <w:pPr>
        <w:spacing w:after="0" w:line="480" w:lineRule="auto"/>
        <w:rPr>
          <w:rFonts w:ascii="Arial" w:hAnsi="Arial" w:cs="Arial"/>
          <w:sz w:val="24"/>
          <w:szCs w:val="24"/>
        </w:rPr>
      </w:pPr>
    </w:p>
    <w:p w:rsidR="00BD6E73" w:rsidRPr="007A3310" w:rsidRDefault="00BD6E73" w:rsidP="00FE38F8">
      <w:pPr>
        <w:pStyle w:val="ListParagraph"/>
        <w:numPr>
          <w:ilvl w:val="1"/>
          <w:numId w:val="14"/>
        </w:numPr>
        <w:spacing w:after="0" w:line="480" w:lineRule="auto"/>
        <w:rPr>
          <w:rFonts w:ascii="Arial" w:hAnsi="Arial" w:cs="Arial"/>
          <w:sz w:val="24"/>
          <w:szCs w:val="24"/>
        </w:rPr>
      </w:pPr>
      <w:r w:rsidRPr="007A3310">
        <w:rPr>
          <w:rFonts w:ascii="Arial" w:hAnsi="Arial" w:cs="Arial"/>
          <w:sz w:val="24"/>
          <w:szCs w:val="24"/>
        </w:rPr>
        <w:t>Impact of austerity</w:t>
      </w:r>
    </w:p>
    <w:p w:rsidR="00A42065" w:rsidRDefault="00740451" w:rsidP="00FE38F8">
      <w:pPr>
        <w:spacing w:after="0" w:line="480" w:lineRule="auto"/>
        <w:rPr>
          <w:rFonts w:ascii="Arial" w:hAnsi="Arial" w:cs="Arial"/>
          <w:sz w:val="24"/>
          <w:szCs w:val="24"/>
        </w:rPr>
      </w:pPr>
      <w:r>
        <w:rPr>
          <w:rFonts w:ascii="Arial" w:hAnsi="Arial" w:cs="Arial"/>
          <w:sz w:val="24"/>
          <w:szCs w:val="24"/>
        </w:rPr>
        <w:t xml:space="preserve">It is estimated that jobs in the public sector </w:t>
      </w:r>
      <w:r w:rsidR="00E675D5">
        <w:rPr>
          <w:rFonts w:ascii="Arial" w:hAnsi="Arial" w:cs="Arial"/>
          <w:sz w:val="24"/>
          <w:szCs w:val="24"/>
        </w:rPr>
        <w:t>or</w:t>
      </w:r>
      <w:r>
        <w:rPr>
          <w:rFonts w:ascii="Arial" w:hAnsi="Arial" w:cs="Arial"/>
          <w:sz w:val="24"/>
          <w:szCs w:val="24"/>
        </w:rPr>
        <w:t xml:space="preserve"> dependent on public funding accounted for 73.1% of all new jobs</w:t>
      </w:r>
      <w:r w:rsidR="00E675D5">
        <w:rPr>
          <w:rFonts w:ascii="Arial" w:hAnsi="Arial" w:cs="Arial"/>
          <w:sz w:val="24"/>
          <w:szCs w:val="24"/>
        </w:rPr>
        <w:t xml:space="preserve"> created</w:t>
      </w:r>
      <w:r>
        <w:rPr>
          <w:rFonts w:ascii="Arial" w:hAnsi="Arial" w:cs="Arial"/>
          <w:sz w:val="24"/>
          <w:szCs w:val="24"/>
        </w:rPr>
        <w:t xml:space="preserve"> in the North-East </w:t>
      </w:r>
      <w:r w:rsidR="00E675D5">
        <w:rPr>
          <w:rFonts w:ascii="Arial" w:hAnsi="Arial" w:cs="Arial"/>
          <w:sz w:val="24"/>
          <w:szCs w:val="24"/>
        </w:rPr>
        <w:t>b</w:t>
      </w:r>
      <w:r w:rsidR="00E675D5" w:rsidRPr="00740451">
        <w:rPr>
          <w:rFonts w:ascii="Arial" w:hAnsi="Arial" w:cs="Arial"/>
          <w:sz w:val="24"/>
          <w:szCs w:val="24"/>
        </w:rPr>
        <w:t>etween 1998 and 2007</w:t>
      </w:r>
      <w:r w:rsidR="00E675D5">
        <w:rPr>
          <w:rFonts w:ascii="Arial" w:hAnsi="Arial" w:cs="Arial"/>
          <w:sz w:val="24"/>
          <w:szCs w:val="24"/>
        </w:rPr>
        <w:t xml:space="preserve"> (</w:t>
      </w:r>
      <w:proofErr w:type="spellStart"/>
      <w:r w:rsidR="00E675D5">
        <w:rPr>
          <w:rFonts w:ascii="Arial" w:hAnsi="Arial" w:cs="Arial"/>
          <w:sz w:val="24"/>
          <w:szCs w:val="24"/>
        </w:rPr>
        <w:t>Erturk</w:t>
      </w:r>
      <w:proofErr w:type="spellEnd"/>
      <w:r w:rsidR="00E675D5">
        <w:rPr>
          <w:rFonts w:ascii="Arial" w:hAnsi="Arial" w:cs="Arial"/>
          <w:sz w:val="24"/>
          <w:szCs w:val="24"/>
        </w:rPr>
        <w:t xml:space="preserve"> et al 2012). This is in comparison to only </w:t>
      </w:r>
      <w:r>
        <w:rPr>
          <w:rFonts w:ascii="Arial" w:hAnsi="Arial" w:cs="Arial"/>
          <w:sz w:val="24"/>
          <w:szCs w:val="24"/>
        </w:rPr>
        <w:t xml:space="preserve">32.8% </w:t>
      </w:r>
      <w:r w:rsidR="00E675D5">
        <w:rPr>
          <w:rFonts w:ascii="Arial" w:hAnsi="Arial" w:cs="Arial"/>
          <w:sz w:val="24"/>
          <w:szCs w:val="24"/>
        </w:rPr>
        <w:t xml:space="preserve">of new jobs created </w:t>
      </w:r>
      <w:r>
        <w:rPr>
          <w:rFonts w:ascii="Arial" w:hAnsi="Arial" w:cs="Arial"/>
          <w:sz w:val="24"/>
          <w:szCs w:val="24"/>
        </w:rPr>
        <w:t>in London (</w:t>
      </w:r>
      <w:r w:rsidR="00E675D5">
        <w:rPr>
          <w:rFonts w:ascii="Arial" w:hAnsi="Arial" w:cs="Arial"/>
          <w:sz w:val="24"/>
          <w:szCs w:val="24"/>
        </w:rPr>
        <w:t>ibid</w:t>
      </w:r>
      <w:r>
        <w:rPr>
          <w:rFonts w:ascii="Arial" w:hAnsi="Arial" w:cs="Arial"/>
          <w:sz w:val="24"/>
          <w:szCs w:val="24"/>
        </w:rPr>
        <w:t xml:space="preserve"> 2012)</w:t>
      </w:r>
      <w:r w:rsidR="00E675D5">
        <w:rPr>
          <w:rFonts w:ascii="Arial" w:hAnsi="Arial" w:cs="Arial"/>
          <w:sz w:val="24"/>
          <w:szCs w:val="24"/>
        </w:rPr>
        <w:t xml:space="preserve">. The dependence on public finance for new job creation in the North-East during this time is seen to be the product of de-industrialisation which had happened in the previous decades whilst London, in particular, benefited from a large expansion in the banking and finance sector. </w:t>
      </w:r>
      <w:r w:rsidR="00A42065">
        <w:rPr>
          <w:rFonts w:ascii="Arial" w:hAnsi="Arial" w:cs="Arial"/>
          <w:sz w:val="24"/>
          <w:szCs w:val="24"/>
        </w:rPr>
        <w:t>GDP growth during this time was also greater in London than in the North-East (</w:t>
      </w:r>
      <w:r w:rsidR="00A42065" w:rsidRPr="00A42065">
        <w:rPr>
          <w:rFonts w:ascii="Arial" w:hAnsi="Arial" w:cs="Arial"/>
          <w:sz w:val="24"/>
          <w:szCs w:val="24"/>
        </w:rPr>
        <w:t>Martin</w:t>
      </w:r>
      <w:r w:rsidR="00A42065">
        <w:rPr>
          <w:rFonts w:ascii="Arial" w:hAnsi="Arial" w:cs="Arial"/>
          <w:sz w:val="24"/>
          <w:szCs w:val="24"/>
        </w:rPr>
        <w:t xml:space="preserve"> et al.</w:t>
      </w:r>
      <w:r w:rsidR="00A42065" w:rsidRPr="00A42065">
        <w:rPr>
          <w:rFonts w:ascii="Arial" w:hAnsi="Arial" w:cs="Arial"/>
          <w:sz w:val="24"/>
          <w:szCs w:val="24"/>
        </w:rPr>
        <w:t>, 2016</w:t>
      </w:r>
      <w:r w:rsidR="00A42065">
        <w:rPr>
          <w:rFonts w:ascii="Arial" w:hAnsi="Arial" w:cs="Arial"/>
          <w:sz w:val="24"/>
          <w:szCs w:val="24"/>
        </w:rPr>
        <w:t>) and wage inequality between the regions grew (</w:t>
      </w:r>
      <w:r w:rsidR="00A42065" w:rsidRPr="00A42065">
        <w:rPr>
          <w:rFonts w:ascii="Arial" w:hAnsi="Arial" w:cs="Arial"/>
          <w:sz w:val="24"/>
          <w:szCs w:val="24"/>
        </w:rPr>
        <w:t>Elliott, 2017</w:t>
      </w:r>
      <w:r w:rsidR="00A42065">
        <w:rPr>
          <w:rFonts w:ascii="Arial" w:hAnsi="Arial" w:cs="Arial"/>
          <w:sz w:val="24"/>
          <w:szCs w:val="24"/>
        </w:rPr>
        <w:t>)</w:t>
      </w:r>
      <w:r w:rsidR="00A42065" w:rsidRPr="00A42065">
        <w:rPr>
          <w:rFonts w:ascii="Arial" w:hAnsi="Arial" w:cs="Arial"/>
          <w:sz w:val="24"/>
          <w:szCs w:val="24"/>
        </w:rPr>
        <w:t xml:space="preserve"> </w:t>
      </w:r>
    </w:p>
    <w:p w:rsidR="00BD6E73" w:rsidRDefault="00BD6E73" w:rsidP="00FE38F8">
      <w:pPr>
        <w:spacing w:after="0" w:line="480" w:lineRule="auto"/>
        <w:rPr>
          <w:rFonts w:ascii="Arial" w:hAnsi="Arial" w:cs="Arial"/>
          <w:sz w:val="24"/>
          <w:szCs w:val="24"/>
        </w:rPr>
      </w:pPr>
    </w:p>
    <w:p w:rsidR="00BD6E73" w:rsidRPr="007A3310" w:rsidRDefault="00BD6E73" w:rsidP="00FE38F8">
      <w:pPr>
        <w:pStyle w:val="ListParagraph"/>
        <w:numPr>
          <w:ilvl w:val="1"/>
          <w:numId w:val="14"/>
        </w:numPr>
        <w:spacing w:after="0" w:line="480" w:lineRule="auto"/>
        <w:rPr>
          <w:rFonts w:ascii="Arial" w:hAnsi="Arial" w:cs="Arial"/>
          <w:sz w:val="24"/>
          <w:szCs w:val="24"/>
        </w:rPr>
      </w:pPr>
      <w:r w:rsidRPr="007A3310">
        <w:rPr>
          <w:rFonts w:ascii="Arial" w:hAnsi="Arial" w:cs="Arial"/>
          <w:sz w:val="24"/>
          <w:szCs w:val="24"/>
        </w:rPr>
        <w:t>Democratic deficit</w:t>
      </w:r>
    </w:p>
    <w:p w:rsidR="008E1F69" w:rsidRDefault="007A3310" w:rsidP="00FE38F8">
      <w:pPr>
        <w:spacing w:after="0" w:line="480" w:lineRule="auto"/>
        <w:rPr>
          <w:rFonts w:ascii="Arial" w:hAnsi="Arial" w:cs="Arial"/>
          <w:sz w:val="24"/>
          <w:szCs w:val="24"/>
        </w:rPr>
      </w:pPr>
      <w:r>
        <w:rPr>
          <w:rFonts w:ascii="Arial" w:hAnsi="Arial" w:cs="Arial"/>
          <w:sz w:val="24"/>
          <w:szCs w:val="24"/>
        </w:rPr>
        <w:t>Finally</w:t>
      </w:r>
      <w:r w:rsidR="008E1F69">
        <w:rPr>
          <w:rFonts w:ascii="Arial" w:hAnsi="Arial" w:cs="Arial"/>
          <w:sz w:val="24"/>
          <w:szCs w:val="24"/>
        </w:rPr>
        <w:t>,</w:t>
      </w:r>
      <w:r>
        <w:rPr>
          <w:rFonts w:ascii="Arial" w:hAnsi="Arial" w:cs="Arial"/>
          <w:sz w:val="24"/>
          <w:szCs w:val="24"/>
        </w:rPr>
        <w:t xml:space="preserve"> there is a sense of</w:t>
      </w:r>
      <w:r w:rsidRPr="007A3310">
        <w:rPr>
          <w:rFonts w:ascii="Arial" w:hAnsi="Arial" w:cs="Arial"/>
          <w:sz w:val="24"/>
          <w:szCs w:val="24"/>
        </w:rPr>
        <w:t xml:space="preserve"> </w:t>
      </w:r>
      <w:r>
        <w:rPr>
          <w:rFonts w:ascii="Arial" w:hAnsi="Arial" w:cs="Arial"/>
          <w:sz w:val="24"/>
          <w:szCs w:val="24"/>
        </w:rPr>
        <w:t xml:space="preserve">disenfranchisement as combination of the above plus seeing extra powers in Scotland and Wales as well as devolution in NI (though not </w:t>
      </w:r>
      <w:r>
        <w:rPr>
          <w:rFonts w:ascii="Arial" w:hAnsi="Arial" w:cs="Arial"/>
          <w:sz w:val="24"/>
          <w:szCs w:val="24"/>
        </w:rPr>
        <w:lastRenderedPageBreak/>
        <w:t xml:space="preserve">working) and London. </w:t>
      </w:r>
      <w:r w:rsidR="008E1F69">
        <w:rPr>
          <w:rFonts w:ascii="Arial" w:hAnsi="Arial" w:cs="Arial"/>
          <w:sz w:val="24"/>
          <w:szCs w:val="24"/>
        </w:rPr>
        <w:t>There is significant literature documenting the rise and fall of regional governance in the North East (</w:t>
      </w:r>
      <w:r w:rsidR="008E1F69" w:rsidRPr="00C37D92">
        <w:rPr>
          <w:rFonts w:ascii="Arial" w:hAnsi="Arial" w:cs="Arial"/>
          <w:sz w:val="24"/>
          <w:szCs w:val="24"/>
        </w:rPr>
        <w:t>Robinson and Shaw, 1994; Robinson et al., 2000; Shaw and Robinson, 2011</w:t>
      </w:r>
      <w:r w:rsidR="008E1F69">
        <w:rPr>
          <w:rFonts w:ascii="Arial" w:hAnsi="Arial" w:cs="Arial"/>
          <w:sz w:val="24"/>
          <w:szCs w:val="24"/>
        </w:rPr>
        <w:t>; Shaw and Robinson 2018</w:t>
      </w:r>
      <w:r w:rsidR="008E1F69" w:rsidRPr="00C37D92">
        <w:rPr>
          <w:rFonts w:ascii="Arial" w:hAnsi="Arial" w:cs="Arial"/>
          <w:sz w:val="24"/>
          <w:szCs w:val="24"/>
        </w:rPr>
        <w:t>)</w:t>
      </w:r>
      <w:r w:rsidR="008E1F69">
        <w:rPr>
          <w:rFonts w:ascii="Arial" w:hAnsi="Arial" w:cs="Arial"/>
          <w:sz w:val="24"/>
          <w:szCs w:val="24"/>
        </w:rPr>
        <w:t xml:space="preserve">. The dismantling of </w:t>
      </w:r>
      <w:r w:rsidR="00C37D92">
        <w:rPr>
          <w:rFonts w:ascii="Arial" w:hAnsi="Arial" w:cs="Arial"/>
          <w:sz w:val="24"/>
          <w:szCs w:val="24"/>
        </w:rPr>
        <w:t xml:space="preserve">regional governance systems and mechanisms in the North East </w:t>
      </w:r>
      <w:r w:rsidR="008E1F69">
        <w:rPr>
          <w:rFonts w:ascii="Arial" w:hAnsi="Arial" w:cs="Arial"/>
          <w:sz w:val="24"/>
          <w:szCs w:val="24"/>
        </w:rPr>
        <w:t>has contributed to</w:t>
      </w:r>
      <w:r w:rsidR="008E1F69" w:rsidRPr="008E1F69">
        <w:rPr>
          <w:rFonts w:ascii="Arial" w:hAnsi="Arial" w:cs="Arial"/>
          <w:sz w:val="24"/>
          <w:szCs w:val="24"/>
        </w:rPr>
        <w:t xml:space="preserve"> </w:t>
      </w:r>
      <w:r w:rsidR="008E1F69">
        <w:rPr>
          <w:rFonts w:ascii="Arial" w:hAnsi="Arial" w:cs="Arial"/>
          <w:sz w:val="24"/>
          <w:szCs w:val="24"/>
        </w:rPr>
        <w:t>a</w:t>
      </w:r>
      <w:r w:rsidR="008E1F69" w:rsidRPr="008E1F69">
        <w:rPr>
          <w:rFonts w:ascii="Arial" w:hAnsi="Arial" w:cs="Arial"/>
          <w:sz w:val="24"/>
          <w:szCs w:val="24"/>
        </w:rPr>
        <w:t xml:space="preserve"> </w:t>
      </w:r>
      <w:r w:rsidR="008E1F69">
        <w:rPr>
          <w:rFonts w:ascii="Arial" w:hAnsi="Arial" w:cs="Arial"/>
          <w:sz w:val="24"/>
          <w:szCs w:val="24"/>
        </w:rPr>
        <w:t>sense of</w:t>
      </w:r>
      <w:r w:rsidR="008E1F69" w:rsidRPr="008E1F69">
        <w:rPr>
          <w:rFonts w:ascii="Arial" w:hAnsi="Arial" w:cs="Arial"/>
          <w:sz w:val="24"/>
          <w:szCs w:val="24"/>
        </w:rPr>
        <w:t xml:space="preserve"> democratic deficit </w:t>
      </w:r>
      <w:r w:rsidR="008E1F69">
        <w:rPr>
          <w:rFonts w:ascii="Arial" w:hAnsi="Arial" w:cs="Arial"/>
          <w:sz w:val="24"/>
          <w:szCs w:val="24"/>
        </w:rPr>
        <w:t xml:space="preserve">(Shaw and Robinson 2018). It is noted that, </w:t>
      </w:r>
    </w:p>
    <w:p w:rsidR="008E1F69" w:rsidRDefault="008E1F69" w:rsidP="00FE38F8">
      <w:pPr>
        <w:spacing w:after="0" w:line="480" w:lineRule="auto"/>
        <w:rPr>
          <w:rFonts w:ascii="Arial" w:hAnsi="Arial" w:cs="Arial"/>
          <w:sz w:val="24"/>
          <w:szCs w:val="24"/>
        </w:rPr>
      </w:pPr>
    </w:p>
    <w:p w:rsidR="00B54C1B" w:rsidRDefault="008E1F69" w:rsidP="00FE38F8">
      <w:pPr>
        <w:spacing w:after="0" w:line="480" w:lineRule="auto"/>
        <w:ind w:left="720"/>
        <w:rPr>
          <w:rFonts w:ascii="Arial" w:hAnsi="Arial" w:cs="Arial"/>
          <w:sz w:val="24"/>
          <w:szCs w:val="24"/>
        </w:rPr>
      </w:pPr>
      <w:r w:rsidRPr="008E1F69">
        <w:rPr>
          <w:rFonts w:ascii="Arial" w:hAnsi="Arial" w:cs="Arial"/>
          <w:i/>
          <w:sz w:val="24"/>
          <w:szCs w:val="24"/>
        </w:rPr>
        <w:t>It is hard enough for a North East of 2.6 million people and only 29 MPs to make an impact in a highly centralised structure centred on London some 250 miles away. It is even harder for three Combined Authorities each to get a hearing, while the local authorities, battered by austerity, have almost no influence.</w:t>
      </w:r>
      <w:r>
        <w:rPr>
          <w:rFonts w:ascii="Arial" w:hAnsi="Arial" w:cs="Arial"/>
          <w:sz w:val="24"/>
          <w:szCs w:val="24"/>
        </w:rPr>
        <w:t xml:space="preserve"> (Ibid: 848)</w:t>
      </w:r>
      <w:r w:rsidR="00C37D92">
        <w:rPr>
          <w:rFonts w:ascii="Arial" w:hAnsi="Arial" w:cs="Arial"/>
          <w:sz w:val="24"/>
          <w:szCs w:val="24"/>
        </w:rPr>
        <w:t xml:space="preserve"> </w:t>
      </w:r>
    </w:p>
    <w:p w:rsidR="007A3310" w:rsidRDefault="007A3310" w:rsidP="00FE38F8">
      <w:pPr>
        <w:spacing w:after="0" w:line="480" w:lineRule="auto"/>
        <w:rPr>
          <w:rFonts w:ascii="Arial" w:hAnsi="Arial" w:cs="Arial"/>
          <w:sz w:val="24"/>
          <w:szCs w:val="24"/>
        </w:rPr>
      </w:pPr>
      <w:r>
        <w:rPr>
          <w:rFonts w:ascii="Arial" w:hAnsi="Arial" w:cs="Arial"/>
          <w:sz w:val="24"/>
          <w:szCs w:val="24"/>
        </w:rPr>
        <w:t xml:space="preserve">This is </w:t>
      </w:r>
      <w:r w:rsidR="008E1F69">
        <w:rPr>
          <w:rFonts w:ascii="Arial" w:hAnsi="Arial" w:cs="Arial"/>
          <w:sz w:val="24"/>
          <w:szCs w:val="24"/>
        </w:rPr>
        <w:t>mirrored by</w:t>
      </w:r>
      <w:r>
        <w:rPr>
          <w:rFonts w:ascii="Arial" w:hAnsi="Arial" w:cs="Arial"/>
          <w:sz w:val="24"/>
          <w:szCs w:val="24"/>
        </w:rPr>
        <w:t xml:space="preserve"> Jeffery et al (2014), who showed how Scotland were seen to have preserved advantages as a result of the devolution settlement as well as a degree of resentment towards the EU. </w:t>
      </w:r>
    </w:p>
    <w:p w:rsidR="007A3310" w:rsidRDefault="007A3310" w:rsidP="00FE38F8">
      <w:pPr>
        <w:spacing w:after="0" w:line="480" w:lineRule="auto"/>
        <w:rPr>
          <w:rFonts w:ascii="Arial" w:hAnsi="Arial" w:cs="Arial"/>
          <w:sz w:val="24"/>
          <w:szCs w:val="24"/>
        </w:rPr>
      </w:pPr>
    </w:p>
    <w:p w:rsidR="00BD6E73" w:rsidRDefault="008E1F69" w:rsidP="00FE38F8">
      <w:pPr>
        <w:spacing w:after="0" w:line="480" w:lineRule="auto"/>
        <w:rPr>
          <w:rFonts w:ascii="Arial" w:hAnsi="Arial" w:cs="Arial"/>
          <w:sz w:val="24"/>
          <w:szCs w:val="24"/>
        </w:rPr>
      </w:pPr>
      <w:r>
        <w:rPr>
          <w:rFonts w:ascii="Arial" w:hAnsi="Arial" w:cs="Arial"/>
          <w:sz w:val="24"/>
          <w:szCs w:val="24"/>
        </w:rPr>
        <w:t>The North-East is again significant in this context as it was the only region to hold a referendum on the establishment of a directly elected regional assembly (which was very significantly rejected by</w:t>
      </w:r>
      <w:r w:rsidR="000A05E3">
        <w:rPr>
          <w:rFonts w:ascii="Arial" w:hAnsi="Arial" w:cs="Arial"/>
          <w:sz w:val="24"/>
          <w:szCs w:val="24"/>
        </w:rPr>
        <w:t xml:space="preserve"> 77.9%</w:t>
      </w:r>
      <w:r>
        <w:rPr>
          <w:rFonts w:ascii="Arial" w:hAnsi="Arial" w:cs="Arial"/>
          <w:sz w:val="24"/>
          <w:szCs w:val="24"/>
        </w:rPr>
        <w:t xml:space="preserve"> the electorate</w:t>
      </w:r>
      <w:r w:rsidR="00E46581">
        <w:rPr>
          <w:rFonts w:ascii="Arial" w:hAnsi="Arial" w:cs="Arial"/>
          <w:sz w:val="24"/>
          <w:szCs w:val="24"/>
        </w:rPr>
        <w:t>)</w:t>
      </w:r>
      <w:r w:rsidR="000A05E3">
        <w:rPr>
          <w:rFonts w:ascii="Arial" w:hAnsi="Arial" w:cs="Arial"/>
          <w:sz w:val="24"/>
          <w:szCs w:val="24"/>
        </w:rPr>
        <w:t xml:space="preserve">. Yet there continue to be calls for greater regional devolution and policy has already shifted </w:t>
      </w:r>
      <w:r w:rsidR="00E46581">
        <w:rPr>
          <w:rFonts w:ascii="Arial" w:hAnsi="Arial" w:cs="Arial"/>
          <w:sz w:val="24"/>
          <w:szCs w:val="24"/>
        </w:rPr>
        <w:t>with the development of</w:t>
      </w:r>
      <w:r w:rsidR="000A05E3">
        <w:rPr>
          <w:rFonts w:ascii="Arial" w:hAnsi="Arial" w:cs="Arial"/>
          <w:sz w:val="24"/>
          <w:szCs w:val="24"/>
        </w:rPr>
        <w:t xml:space="preserve"> </w:t>
      </w:r>
      <w:r w:rsidR="000A05E3" w:rsidRPr="000A05E3">
        <w:rPr>
          <w:rFonts w:ascii="Arial" w:hAnsi="Arial" w:cs="Arial"/>
          <w:sz w:val="24"/>
          <w:szCs w:val="24"/>
        </w:rPr>
        <w:t>Devolution Deals</w:t>
      </w:r>
      <w:r w:rsidR="00E46581">
        <w:rPr>
          <w:rFonts w:ascii="Arial" w:hAnsi="Arial" w:cs="Arial"/>
          <w:sz w:val="24"/>
          <w:szCs w:val="24"/>
        </w:rPr>
        <w:t xml:space="preserve">, the </w:t>
      </w:r>
      <w:r w:rsidR="000A05E3" w:rsidRPr="000A05E3">
        <w:rPr>
          <w:rFonts w:ascii="Arial" w:hAnsi="Arial" w:cs="Arial"/>
          <w:sz w:val="24"/>
          <w:szCs w:val="24"/>
        </w:rPr>
        <w:t>Northern Powerhouse agenda</w:t>
      </w:r>
      <w:r w:rsidR="00E46581">
        <w:rPr>
          <w:rFonts w:ascii="Arial" w:hAnsi="Arial" w:cs="Arial"/>
          <w:sz w:val="24"/>
          <w:szCs w:val="24"/>
        </w:rPr>
        <w:t xml:space="preserve"> and </w:t>
      </w:r>
      <w:r w:rsidR="000A05E3" w:rsidRPr="000A05E3">
        <w:rPr>
          <w:rFonts w:ascii="Arial" w:hAnsi="Arial" w:cs="Arial"/>
          <w:sz w:val="24"/>
          <w:szCs w:val="24"/>
        </w:rPr>
        <w:t>legislation on English Votes for English Laws</w:t>
      </w:r>
      <w:r w:rsidR="00B81F6D">
        <w:rPr>
          <w:rFonts w:ascii="Arial" w:hAnsi="Arial" w:cs="Arial"/>
          <w:sz w:val="24"/>
          <w:szCs w:val="24"/>
        </w:rPr>
        <w:t xml:space="preserve"> (Giovannini 2016)</w:t>
      </w:r>
      <w:r w:rsidR="00E46581">
        <w:rPr>
          <w:rFonts w:ascii="Arial" w:hAnsi="Arial" w:cs="Arial"/>
          <w:sz w:val="24"/>
          <w:szCs w:val="24"/>
        </w:rPr>
        <w:t>.</w:t>
      </w:r>
    </w:p>
    <w:p w:rsidR="00BD6E73" w:rsidRDefault="00BD6E73" w:rsidP="00FE38F8">
      <w:pPr>
        <w:spacing w:after="0" w:line="480" w:lineRule="auto"/>
        <w:rPr>
          <w:rFonts w:ascii="Arial" w:hAnsi="Arial" w:cs="Arial"/>
          <w:sz w:val="24"/>
          <w:szCs w:val="24"/>
        </w:rPr>
      </w:pPr>
    </w:p>
    <w:p w:rsidR="00BD6E73" w:rsidRPr="009934AC" w:rsidRDefault="009934AC" w:rsidP="00FE38F8">
      <w:pPr>
        <w:pStyle w:val="ListParagraph"/>
        <w:numPr>
          <w:ilvl w:val="1"/>
          <w:numId w:val="14"/>
        </w:numPr>
        <w:spacing w:after="0" w:line="480" w:lineRule="auto"/>
        <w:rPr>
          <w:rFonts w:ascii="Arial" w:hAnsi="Arial" w:cs="Arial"/>
          <w:sz w:val="24"/>
          <w:szCs w:val="24"/>
        </w:rPr>
      </w:pPr>
      <w:r w:rsidRPr="009934AC">
        <w:rPr>
          <w:rFonts w:ascii="Arial" w:hAnsi="Arial" w:cs="Arial"/>
          <w:sz w:val="24"/>
          <w:szCs w:val="24"/>
        </w:rPr>
        <w:t>The role of universities</w:t>
      </w:r>
    </w:p>
    <w:p w:rsidR="00645A67" w:rsidRDefault="009934AC" w:rsidP="00FE38F8">
      <w:pPr>
        <w:spacing w:after="0" w:line="480" w:lineRule="auto"/>
        <w:rPr>
          <w:rFonts w:ascii="Arial" w:hAnsi="Arial" w:cs="Arial"/>
          <w:sz w:val="24"/>
          <w:szCs w:val="24"/>
        </w:rPr>
      </w:pPr>
      <w:r>
        <w:rPr>
          <w:rFonts w:ascii="Arial" w:hAnsi="Arial" w:cs="Arial"/>
          <w:sz w:val="24"/>
          <w:szCs w:val="24"/>
        </w:rPr>
        <w:lastRenderedPageBreak/>
        <w:t xml:space="preserve">Brexit poses </w:t>
      </w:r>
      <w:r w:rsidR="00645A67">
        <w:rPr>
          <w:rFonts w:ascii="Arial" w:hAnsi="Arial" w:cs="Arial"/>
          <w:sz w:val="24"/>
          <w:szCs w:val="24"/>
        </w:rPr>
        <w:t xml:space="preserve">particular implications for universities. In this section we will explore the current context of universities in the North-East before going on, in the next section, to consider how best universities might respond to these particular challenges. </w:t>
      </w:r>
    </w:p>
    <w:p w:rsidR="004307BF" w:rsidRDefault="004307BF" w:rsidP="00FE38F8">
      <w:pPr>
        <w:spacing w:after="0" w:line="480" w:lineRule="auto"/>
        <w:rPr>
          <w:rFonts w:ascii="Arial" w:hAnsi="Arial" w:cs="Arial"/>
          <w:sz w:val="24"/>
          <w:szCs w:val="24"/>
        </w:rPr>
      </w:pPr>
    </w:p>
    <w:p w:rsidR="004307BF" w:rsidRDefault="004307BF" w:rsidP="00FE38F8">
      <w:pPr>
        <w:spacing w:after="0" w:line="480" w:lineRule="auto"/>
        <w:rPr>
          <w:rFonts w:ascii="Arial" w:hAnsi="Arial" w:cs="Arial"/>
          <w:sz w:val="24"/>
          <w:szCs w:val="24"/>
        </w:rPr>
      </w:pPr>
      <w:r>
        <w:rPr>
          <w:rFonts w:ascii="Arial" w:hAnsi="Arial" w:cs="Arial"/>
          <w:sz w:val="24"/>
          <w:szCs w:val="24"/>
        </w:rPr>
        <w:t xml:space="preserve">Across the UK it is widely recognised that universities benefit greatly from UK membership of the European Union. </w:t>
      </w:r>
      <w:r w:rsidR="00B54C1B">
        <w:rPr>
          <w:rFonts w:ascii="Arial" w:hAnsi="Arial" w:cs="Arial"/>
          <w:sz w:val="24"/>
          <w:szCs w:val="24"/>
        </w:rPr>
        <w:t>U</w:t>
      </w:r>
      <w:r w:rsidRPr="004307BF">
        <w:rPr>
          <w:rFonts w:ascii="Arial" w:hAnsi="Arial" w:cs="Arial"/>
          <w:sz w:val="24"/>
          <w:szCs w:val="24"/>
        </w:rPr>
        <w:t>niversities</w:t>
      </w:r>
      <w:r>
        <w:rPr>
          <w:rFonts w:ascii="Arial" w:hAnsi="Arial" w:cs="Arial"/>
          <w:sz w:val="24"/>
          <w:szCs w:val="24"/>
        </w:rPr>
        <w:t xml:space="preserve"> </w:t>
      </w:r>
      <w:r w:rsidR="00B54C1B">
        <w:rPr>
          <w:rFonts w:ascii="Arial" w:hAnsi="Arial" w:cs="Arial"/>
          <w:sz w:val="24"/>
          <w:szCs w:val="24"/>
        </w:rPr>
        <w:t xml:space="preserve">across the UK </w:t>
      </w:r>
      <w:r w:rsidRPr="004307BF">
        <w:rPr>
          <w:rFonts w:ascii="Arial" w:hAnsi="Arial" w:cs="Arial"/>
          <w:sz w:val="24"/>
          <w:szCs w:val="24"/>
        </w:rPr>
        <w:t>receive</w:t>
      </w:r>
      <w:r>
        <w:rPr>
          <w:rFonts w:ascii="Arial" w:hAnsi="Arial" w:cs="Arial"/>
          <w:sz w:val="24"/>
          <w:szCs w:val="24"/>
        </w:rPr>
        <w:t xml:space="preserve"> </w:t>
      </w:r>
      <w:r w:rsidRPr="004307BF">
        <w:rPr>
          <w:rFonts w:ascii="Arial" w:hAnsi="Arial" w:cs="Arial"/>
          <w:sz w:val="24"/>
          <w:szCs w:val="24"/>
        </w:rPr>
        <w:t>£1</w:t>
      </w:r>
      <w:r>
        <w:rPr>
          <w:rFonts w:ascii="Arial" w:hAnsi="Arial" w:cs="Arial"/>
          <w:sz w:val="24"/>
          <w:szCs w:val="24"/>
        </w:rPr>
        <w:t xml:space="preserve"> </w:t>
      </w:r>
      <w:r w:rsidRPr="004307BF">
        <w:rPr>
          <w:rFonts w:ascii="Arial" w:hAnsi="Arial" w:cs="Arial"/>
          <w:sz w:val="24"/>
          <w:szCs w:val="24"/>
        </w:rPr>
        <w:t>billion</w:t>
      </w:r>
      <w:r>
        <w:rPr>
          <w:rFonts w:ascii="Arial" w:hAnsi="Arial" w:cs="Arial"/>
          <w:sz w:val="24"/>
          <w:szCs w:val="24"/>
        </w:rPr>
        <w:t xml:space="preserve"> </w:t>
      </w:r>
      <w:r w:rsidRPr="004307BF">
        <w:rPr>
          <w:rFonts w:ascii="Arial" w:hAnsi="Arial" w:cs="Arial"/>
          <w:sz w:val="24"/>
          <w:szCs w:val="24"/>
        </w:rPr>
        <w:t>a</w:t>
      </w:r>
      <w:r>
        <w:rPr>
          <w:rFonts w:ascii="Arial" w:hAnsi="Arial" w:cs="Arial"/>
          <w:sz w:val="24"/>
          <w:szCs w:val="24"/>
        </w:rPr>
        <w:t xml:space="preserve"> </w:t>
      </w:r>
      <w:r w:rsidRPr="004307BF">
        <w:rPr>
          <w:rFonts w:ascii="Arial" w:hAnsi="Arial" w:cs="Arial"/>
          <w:sz w:val="24"/>
          <w:szCs w:val="24"/>
        </w:rPr>
        <w:t>year</w:t>
      </w:r>
      <w:r>
        <w:rPr>
          <w:rFonts w:ascii="Arial" w:hAnsi="Arial" w:cs="Arial"/>
          <w:sz w:val="24"/>
          <w:szCs w:val="24"/>
        </w:rPr>
        <w:t xml:space="preserve"> </w:t>
      </w:r>
      <w:r w:rsidRPr="004307BF">
        <w:rPr>
          <w:rFonts w:ascii="Arial" w:hAnsi="Arial" w:cs="Arial"/>
          <w:sz w:val="24"/>
          <w:szCs w:val="24"/>
        </w:rPr>
        <w:t>through</w:t>
      </w:r>
      <w:r>
        <w:rPr>
          <w:rFonts w:ascii="Arial" w:hAnsi="Arial" w:cs="Arial"/>
          <w:sz w:val="24"/>
          <w:szCs w:val="24"/>
        </w:rPr>
        <w:t xml:space="preserve"> </w:t>
      </w:r>
      <w:r w:rsidRPr="004307BF">
        <w:rPr>
          <w:rFonts w:ascii="Arial" w:hAnsi="Arial" w:cs="Arial"/>
          <w:sz w:val="24"/>
          <w:szCs w:val="24"/>
        </w:rPr>
        <w:t>program</w:t>
      </w:r>
      <w:r w:rsidR="00B54C1B">
        <w:rPr>
          <w:rFonts w:ascii="Arial" w:hAnsi="Arial" w:cs="Arial"/>
          <w:sz w:val="24"/>
          <w:szCs w:val="24"/>
        </w:rPr>
        <w:t>me</w:t>
      </w:r>
      <w:r w:rsidRPr="004307BF">
        <w:rPr>
          <w:rFonts w:ascii="Arial" w:hAnsi="Arial" w:cs="Arial"/>
          <w:sz w:val="24"/>
          <w:szCs w:val="24"/>
        </w:rPr>
        <w:t>s</w:t>
      </w:r>
      <w:r w:rsidR="00B54C1B">
        <w:rPr>
          <w:rFonts w:ascii="Arial" w:hAnsi="Arial" w:cs="Arial"/>
          <w:sz w:val="24"/>
          <w:szCs w:val="24"/>
        </w:rPr>
        <w:t xml:space="preserve"> </w:t>
      </w:r>
      <w:r w:rsidRPr="004307BF">
        <w:rPr>
          <w:rFonts w:ascii="Arial" w:hAnsi="Arial" w:cs="Arial"/>
          <w:sz w:val="24"/>
          <w:szCs w:val="24"/>
        </w:rPr>
        <w:t>such</w:t>
      </w:r>
      <w:r w:rsidR="00B54C1B">
        <w:rPr>
          <w:rFonts w:ascii="Arial" w:hAnsi="Arial" w:cs="Arial"/>
          <w:sz w:val="24"/>
          <w:szCs w:val="24"/>
        </w:rPr>
        <w:t xml:space="preserve"> </w:t>
      </w:r>
      <w:r w:rsidRPr="004307BF">
        <w:rPr>
          <w:rFonts w:ascii="Arial" w:hAnsi="Arial" w:cs="Arial"/>
          <w:sz w:val="24"/>
          <w:szCs w:val="24"/>
        </w:rPr>
        <w:t>as</w:t>
      </w:r>
      <w:r w:rsidR="00B54C1B">
        <w:rPr>
          <w:rFonts w:ascii="Arial" w:hAnsi="Arial" w:cs="Arial"/>
          <w:sz w:val="24"/>
          <w:szCs w:val="24"/>
        </w:rPr>
        <w:t xml:space="preserve"> </w:t>
      </w:r>
      <w:r w:rsidRPr="004307BF">
        <w:rPr>
          <w:rFonts w:ascii="Arial" w:hAnsi="Arial" w:cs="Arial"/>
          <w:sz w:val="24"/>
          <w:szCs w:val="24"/>
        </w:rPr>
        <w:t>Horizon</w:t>
      </w:r>
      <w:r w:rsidR="00B54C1B">
        <w:rPr>
          <w:rFonts w:ascii="Arial" w:hAnsi="Arial" w:cs="Arial"/>
          <w:sz w:val="24"/>
          <w:szCs w:val="24"/>
        </w:rPr>
        <w:t xml:space="preserve"> </w:t>
      </w:r>
      <w:r w:rsidRPr="004307BF">
        <w:rPr>
          <w:rFonts w:ascii="Arial" w:hAnsi="Arial" w:cs="Arial"/>
          <w:sz w:val="24"/>
          <w:szCs w:val="24"/>
        </w:rPr>
        <w:t>2020</w:t>
      </w:r>
      <w:r w:rsidR="00B54C1B">
        <w:rPr>
          <w:rFonts w:ascii="Arial" w:hAnsi="Arial" w:cs="Arial"/>
          <w:sz w:val="24"/>
          <w:szCs w:val="24"/>
        </w:rPr>
        <w:t xml:space="preserve"> </w:t>
      </w:r>
      <w:r w:rsidRPr="004307BF">
        <w:rPr>
          <w:rFonts w:ascii="Arial" w:hAnsi="Arial" w:cs="Arial"/>
          <w:sz w:val="24"/>
          <w:szCs w:val="24"/>
        </w:rPr>
        <w:t>and</w:t>
      </w:r>
      <w:r w:rsidR="00B54C1B">
        <w:rPr>
          <w:rFonts w:ascii="Arial" w:hAnsi="Arial" w:cs="Arial"/>
          <w:sz w:val="24"/>
          <w:szCs w:val="24"/>
        </w:rPr>
        <w:t xml:space="preserve"> as much as </w:t>
      </w:r>
      <w:r w:rsidRPr="004307BF">
        <w:rPr>
          <w:rFonts w:ascii="Arial" w:hAnsi="Arial" w:cs="Arial"/>
          <w:sz w:val="24"/>
          <w:szCs w:val="24"/>
        </w:rPr>
        <w:t>19.7</w:t>
      </w:r>
      <w:r w:rsidR="00B54C1B">
        <w:rPr>
          <w:rFonts w:ascii="Arial" w:hAnsi="Arial" w:cs="Arial"/>
          <w:sz w:val="24"/>
          <w:szCs w:val="24"/>
        </w:rPr>
        <w:t xml:space="preserve"> </w:t>
      </w:r>
      <w:r w:rsidRPr="004307BF">
        <w:rPr>
          <w:rFonts w:ascii="Arial" w:hAnsi="Arial" w:cs="Arial"/>
          <w:sz w:val="24"/>
          <w:szCs w:val="24"/>
        </w:rPr>
        <w:t>percent</w:t>
      </w:r>
      <w:r w:rsidR="00B54C1B">
        <w:rPr>
          <w:rFonts w:ascii="Arial" w:hAnsi="Arial" w:cs="Arial"/>
          <w:sz w:val="24"/>
          <w:szCs w:val="24"/>
        </w:rPr>
        <w:t xml:space="preserve"> </w:t>
      </w:r>
      <w:r w:rsidRPr="004307BF">
        <w:rPr>
          <w:rFonts w:ascii="Arial" w:hAnsi="Arial" w:cs="Arial"/>
          <w:sz w:val="24"/>
          <w:szCs w:val="24"/>
        </w:rPr>
        <w:t>of</w:t>
      </w:r>
      <w:r w:rsidR="00B54C1B">
        <w:rPr>
          <w:rFonts w:ascii="Arial" w:hAnsi="Arial" w:cs="Arial"/>
          <w:sz w:val="24"/>
          <w:szCs w:val="24"/>
        </w:rPr>
        <w:t xml:space="preserve"> </w:t>
      </w:r>
      <w:r w:rsidRPr="004307BF">
        <w:rPr>
          <w:rFonts w:ascii="Arial" w:hAnsi="Arial" w:cs="Arial"/>
          <w:sz w:val="24"/>
          <w:szCs w:val="24"/>
        </w:rPr>
        <w:t>all</w:t>
      </w:r>
      <w:r w:rsidR="00B54C1B">
        <w:rPr>
          <w:rFonts w:ascii="Arial" w:hAnsi="Arial" w:cs="Arial"/>
          <w:sz w:val="24"/>
          <w:szCs w:val="24"/>
        </w:rPr>
        <w:t xml:space="preserve"> research and development funding comes </w:t>
      </w:r>
      <w:r w:rsidRPr="004307BF">
        <w:rPr>
          <w:rFonts w:ascii="Arial" w:hAnsi="Arial" w:cs="Arial"/>
          <w:sz w:val="24"/>
          <w:szCs w:val="24"/>
        </w:rPr>
        <w:t>from</w:t>
      </w:r>
      <w:r w:rsidR="00B54C1B">
        <w:rPr>
          <w:rFonts w:ascii="Arial" w:hAnsi="Arial" w:cs="Arial"/>
          <w:sz w:val="24"/>
          <w:szCs w:val="24"/>
        </w:rPr>
        <w:t xml:space="preserve"> </w:t>
      </w:r>
      <w:r w:rsidRPr="004307BF">
        <w:rPr>
          <w:rFonts w:ascii="Arial" w:hAnsi="Arial" w:cs="Arial"/>
          <w:sz w:val="24"/>
          <w:szCs w:val="24"/>
        </w:rPr>
        <w:t>outside</w:t>
      </w:r>
      <w:r w:rsidR="00B54C1B">
        <w:rPr>
          <w:rFonts w:ascii="Arial" w:hAnsi="Arial" w:cs="Arial"/>
          <w:sz w:val="24"/>
          <w:szCs w:val="24"/>
        </w:rPr>
        <w:t xml:space="preserve"> </w:t>
      </w:r>
      <w:r w:rsidRPr="004307BF">
        <w:rPr>
          <w:rFonts w:ascii="Arial" w:hAnsi="Arial" w:cs="Arial"/>
          <w:sz w:val="24"/>
          <w:szCs w:val="24"/>
        </w:rPr>
        <w:t>the</w:t>
      </w:r>
      <w:r w:rsidR="00B54C1B">
        <w:rPr>
          <w:rFonts w:ascii="Arial" w:hAnsi="Arial" w:cs="Arial"/>
          <w:sz w:val="24"/>
          <w:szCs w:val="24"/>
        </w:rPr>
        <w:t xml:space="preserve"> </w:t>
      </w:r>
      <w:r w:rsidRPr="004307BF">
        <w:rPr>
          <w:rFonts w:ascii="Arial" w:hAnsi="Arial" w:cs="Arial"/>
          <w:sz w:val="24"/>
          <w:szCs w:val="24"/>
        </w:rPr>
        <w:t>country,</w:t>
      </w:r>
      <w:r w:rsidR="00B54C1B">
        <w:rPr>
          <w:rFonts w:ascii="Arial" w:hAnsi="Arial" w:cs="Arial"/>
          <w:sz w:val="24"/>
          <w:szCs w:val="24"/>
        </w:rPr>
        <w:t xml:space="preserve"> particularly from the EU (</w:t>
      </w:r>
      <w:proofErr w:type="spellStart"/>
      <w:r w:rsidR="00B54C1B">
        <w:rPr>
          <w:rFonts w:ascii="Arial" w:hAnsi="Arial" w:cs="Arial"/>
          <w:sz w:val="24"/>
          <w:szCs w:val="24"/>
        </w:rPr>
        <w:t>Marginson</w:t>
      </w:r>
      <w:proofErr w:type="spellEnd"/>
      <w:r w:rsidR="00B54C1B">
        <w:rPr>
          <w:rFonts w:ascii="Arial" w:hAnsi="Arial" w:cs="Arial"/>
          <w:sz w:val="24"/>
          <w:szCs w:val="24"/>
        </w:rPr>
        <w:t>, 2018).</w:t>
      </w:r>
    </w:p>
    <w:p w:rsidR="00645A67" w:rsidRDefault="00645A67" w:rsidP="00FE38F8">
      <w:pPr>
        <w:spacing w:after="0" w:line="480" w:lineRule="auto"/>
        <w:rPr>
          <w:rFonts w:ascii="Arial" w:hAnsi="Arial" w:cs="Arial"/>
          <w:sz w:val="24"/>
          <w:szCs w:val="24"/>
        </w:rPr>
      </w:pPr>
    </w:p>
    <w:p w:rsidR="00971258" w:rsidRDefault="00B54C1B" w:rsidP="00FE38F8">
      <w:pPr>
        <w:spacing w:after="0" w:line="480" w:lineRule="auto"/>
        <w:rPr>
          <w:rFonts w:ascii="Arial" w:hAnsi="Arial" w:cs="Arial"/>
          <w:sz w:val="24"/>
          <w:szCs w:val="24"/>
        </w:rPr>
      </w:pPr>
      <w:r>
        <w:rPr>
          <w:rFonts w:ascii="Arial" w:hAnsi="Arial" w:cs="Arial"/>
          <w:sz w:val="24"/>
          <w:szCs w:val="24"/>
        </w:rPr>
        <w:t>Within the</w:t>
      </w:r>
      <w:r w:rsidR="003C6DE9">
        <w:rPr>
          <w:rFonts w:ascii="Arial" w:hAnsi="Arial" w:cs="Arial"/>
          <w:sz w:val="24"/>
          <w:szCs w:val="24"/>
        </w:rPr>
        <w:t xml:space="preserve"> North</w:t>
      </w:r>
      <w:r w:rsidR="0034029A">
        <w:rPr>
          <w:rFonts w:ascii="Arial" w:hAnsi="Arial" w:cs="Arial"/>
          <w:sz w:val="24"/>
          <w:szCs w:val="24"/>
        </w:rPr>
        <w:t>-</w:t>
      </w:r>
      <w:r w:rsidR="003C6DE9">
        <w:rPr>
          <w:rFonts w:ascii="Arial" w:hAnsi="Arial" w:cs="Arial"/>
          <w:sz w:val="24"/>
          <w:szCs w:val="24"/>
        </w:rPr>
        <w:t xml:space="preserve">East </w:t>
      </w:r>
      <w:r>
        <w:rPr>
          <w:rFonts w:ascii="Arial" w:hAnsi="Arial" w:cs="Arial"/>
          <w:sz w:val="24"/>
          <w:szCs w:val="24"/>
        </w:rPr>
        <w:t>region there are</w:t>
      </w:r>
      <w:r w:rsidR="003C6DE9">
        <w:rPr>
          <w:rFonts w:ascii="Arial" w:hAnsi="Arial" w:cs="Arial"/>
          <w:sz w:val="24"/>
          <w:szCs w:val="24"/>
        </w:rPr>
        <w:t xml:space="preserve"> five universities</w:t>
      </w:r>
      <w:r w:rsidR="00B47D7E">
        <w:rPr>
          <w:rFonts w:ascii="Arial" w:hAnsi="Arial" w:cs="Arial"/>
          <w:sz w:val="24"/>
          <w:szCs w:val="24"/>
        </w:rPr>
        <w:t xml:space="preserve"> (</w:t>
      </w:r>
      <w:r w:rsidR="003C6DE9">
        <w:rPr>
          <w:rFonts w:ascii="Arial" w:hAnsi="Arial" w:cs="Arial"/>
          <w:sz w:val="24"/>
          <w:szCs w:val="24"/>
        </w:rPr>
        <w:t>Durham, Newcastle, Northumbria</w:t>
      </w:r>
      <w:r w:rsidR="008C18DF">
        <w:rPr>
          <w:rFonts w:ascii="Arial" w:hAnsi="Arial" w:cs="Arial"/>
          <w:sz w:val="24"/>
          <w:szCs w:val="24"/>
        </w:rPr>
        <w:t xml:space="preserve">, </w:t>
      </w:r>
      <w:proofErr w:type="spellStart"/>
      <w:r w:rsidR="003C6DE9">
        <w:rPr>
          <w:rFonts w:ascii="Arial" w:hAnsi="Arial" w:cs="Arial"/>
          <w:sz w:val="24"/>
          <w:szCs w:val="24"/>
        </w:rPr>
        <w:t>Teeside</w:t>
      </w:r>
      <w:proofErr w:type="spellEnd"/>
      <w:r w:rsidR="003C6DE9">
        <w:rPr>
          <w:rFonts w:ascii="Arial" w:hAnsi="Arial" w:cs="Arial"/>
          <w:sz w:val="24"/>
          <w:szCs w:val="24"/>
        </w:rPr>
        <w:t xml:space="preserve"> and Sunderland</w:t>
      </w:r>
      <w:r w:rsidR="00B47D7E">
        <w:rPr>
          <w:rFonts w:ascii="Arial" w:hAnsi="Arial" w:cs="Arial"/>
          <w:sz w:val="24"/>
          <w:szCs w:val="24"/>
        </w:rPr>
        <w:t>)</w:t>
      </w:r>
      <w:r w:rsidR="003C6DE9">
        <w:rPr>
          <w:rFonts w:ascii="Arial" w:hAnsi="Arial" w:cs="Arial"/>
          <w:sz w:val="24"/>
          <w:szCs w:val="24"/>
        </w:rPr>
        <w:t xml:space="preserve"> as well as over twenty colleges. The five universities in the region employ over 14,000 staff and generate another 15,000 jobs through their activities (Universities UK</w:t>
      </w:r>
      <w:r w:rsidR="00B47D7E">
        <w:rPr>
          <w:rFonts w:ascii="Arial" w:hAnsi="Arial" w:cs="Arial"/>
          <w:sz w:val="24"/>
          <w:szCs w:val="24"/>
        </w:rPr>
        <w:t>,</w:t>
      </w:r>
      <w:r w:rsidR="003C6DE9">
        <w:rPr>
          <w:rFonts w:ascii="Arial" w:hAnsi="Arial" w:cs="Arial"/>
          <w:sz w:val="24"/>
          <w:szCs w:val="24"/>
        </w:rPr>
        <w:t xml:space="preserve"> 2014). </w:t>
      </w:r>
      <w:r w:rsidR="008C18DF">
        <w:rPr>
          <w:rFonts w:ascii="Arial" w:hAnsi="Arial" w:cs="Arial"/>
          <w:sz w:val="24"/>
          <w:szCs w:val="24"/>
        </w:rPr>
        <w:t xml:space="preserve">The impact of Brexit is significant as </w:t>
      </w:r>
      <w:r w:rsidR="00AA2A5D">
        <w:rPr>
          <w:rFonts w:ascii="Arial" w:hAnsi="Arial" w:cs="Arial"/>
          <w:sz w:val="24"/>
          <w:szCs w:val="24"/>
        </w:rPr>
        <w:t>it is estimated that a significant proportion of staff, and particularly research-active staff, at these universities are non-UK EU nationals.</w:t>
      </w:r>
      <w:r w:rsidR="00260214">
        <w:rPr>
          <w:rFonts w:ascii="Arial" w:hAnsi="Arial" w:cs="Arial"/>
          <w:sz w:val="24"/>
          <w:szCs w:val="24"/>
        </w:rPr>
        <w:t xml:space="preserve"> Estimates</w:t>
      </w:r>
      <w:r w:rsidR="00971258">
        <w:rPr>
          <w:rFonts w:ascii="Arial" w:hAnsi="Arial" w:cs="Arial"/>
          <w:sz w:val="24"/>
          <w:szCs w:val="24"/>
        </w:rPr>
        <w:t xml:space="preserve"> suggest that up to 18% of staff</w:t>
      </w:r>
      <w:r w:rsidR="00260214">
        <w:rPr>
          <w:rFonts w:ascii="Arial" w:hAnsi="Arial" w:cs="Arial"/>
          <w:sz w:val="24"/>
          <w:szCs w:val="24"/>
        </w:rPr>
        <w:t xml:space="preserve"> </w:t>
      </w:r>
      <w:r w:rsidR="00971258">
        <w:rPr>
          <w:rFonts w:ascii="Arial" w:hAnsi="Arial" w:cs="Arial"/>
          <w:sz w:val="24"/>
          <w:szCs w:val="24"/>
        </w:rPr>
        <w:t xml:space="preserve">employed by some universities in the North-East are </w:t>
      </w:r>
      <w:r w:rsidR="00260214">
        <w:rPr>
          <w:rFonts w:ascii="Arial" w:hAnsi="Arial" w:cs="Arial"/>
          <w:sz w:val="24"/>
          <w:szCs w:val="24"/>
        </w:rPr>
        <w:t xml:space="preserve">non-UK EU nationals </w:t>
      </w:r>
      <w:r w:rsidR="00971258">
        <w:rPr>
          <w:rFonts w:ascii="Arial" w:hAnsi="Arial" w:cs="Arial"/>
          <w:sz w:val="24"/>
          <w:szCs w:val="24"/>
        </w:rPr>
        <w:t>(North East Brexit Group 2018)</w:t>
      </w:r>
      <w:r>
        <w:rPr>
          <w:rFonts w:ascii="Arial" w:hAnsi="Arial" w:cs="Arial"/>
          <w:sz w:val="24"/>
          <w:szCs w:val="24"/>
        </w:rPr>
        <w:t xml:space="preserve">. </w:t>
      </w:r>
      <w:r w:rsidR="00971258">
        <w:rPr>
          <w:rFonts w:ascii="Arial" w:hAnsi="Arial" w:cs="Arial"/>
          <w:sz w:val="24"/>
          <w:szCs w:val="24"/>
        </w:rPr>
        <w:t>The economic value of universities in the North-East is estimated to be a</w:t>
      </w:r>
      <w:r w:rsidR="003C6DE9">
        <w:rPr>
          <w:rFonts w:ascii="Arial" w:hAnsi="Arial" w:cs="Arial"/>
          <w:sz w:val="24"/>
          <w:szCs w:val="24"/>
        </w:rPr>
        <w:t xml:space="preserve"> </w:t>
      </w:r>
      <w:r w:rsidR="003C6DE9" w:rsidRPr="00DE6B18">
        <w:rPr>
          <w:rFonts w:ascii="Arial" w:hAnsi="Arial" w:cs="Arial"/>
          <w:sz w:val="24"/>
          <w:szCs w:val="24"/>
        </w:rPr>
        <w:t>G</w:t>
      </w:r>
      <w:r w:rsidR="003C6DE9">
        <w:rPr>
          <w:rFonts w:ascii="Arial" w:hAnsi="Arial" w:cs="Arial"/>
          <w:sz w:val="24"/>
          <w:szCs w:val="24"/>
        </w:rPr>
        <w:t xml:space="preserve">ross </w:t>
      </w:r>
      <w:r w:rsidR="003C6DE9" w:rsidRPr="00DE6B18">
        <w:rPr>
          <w:rFonts w:ascii="Arial" w:hAnsi="Arial" w:cs="Arial"/>
          <w:sz w:val="24"/>
          <w:szCs w:val="24"/>
        </w:rPr>
        <w:t>V</w:t>
      </w:r>
      <w:r w:rsidR="003C6DE9">
        <w:rPr>
          <w:rFonts w:ascii="Arial" w:hAnsi="Arial" w:cs="Arial"/>
          <w:sz w:val="24"/>
          <w:szCs w:val="24"/>
        </w:rPr>
        <w:t xml:space="preserve">alue </w:t>
      </w:r>
      <w:r w:rsidR="003C6DE9" w:rsidRPr="00DE6B18">
        <w:rPr>
          <w:rFonts w:ascii="Arial" w:hAnsi="Arial" w:cs="Arial"/>
          <w:sz w:val="24"/>
          <w:szCs w:val="24"/>
        </w:rPr>
        <w:t>A</w:t>
      </w:r>
      <w:r w:rsidR="003C6DE9">
        <w:rPr>
          <w:rFonts w:ascii="Arial" w:hAnsi="Arial" w:cs="Arial"/>
          <w:sz w:val="24"/>
          <w:szCs w:val="24"/>
        </w:rPr>
        <w:t>dded (GVA)</w:t>
      </w:r>
      <w:r w:rsidR="003C6DE9" w:rsidRPr="00DE6B18">
        <w:rPr>
          <w:rFonts w:ascii="Arial" w:hAnsi="Arial" w:cs="Arial"/>
          <w:sz w:val="24"/>
          <w:szCs w:val="24"/>
        </w:rPr>
        <w:t xml:space="preserve"> of nearly £1.6 billion,</w:t>
      </w:r>
      <w:r w:rsidR="003C6DE9">
        <w:rPr>
          <w:rFonts w:ascii="Arial" w:hAnsi="Arial" w:cs="Arial"/>
          <w:sz w:val="24"/>
          <w:szCs w:val="24"/>
        </w:rPr>
        <w:t xml:space="preserve"> </w:t>
      </w:r>
      <w:r w:rsidR="003C6DE9" w:rsidRPr="00DE6B18">
        <w:rPr>
          <w:rFonts w:ascii="Arial" w:hAnsi="Arial" w:cs="Arial"/>
          <w:sz w:val="24"/>
          <w:szCs w:val="24"/>
        </w:rPr>
        <w:t>equivalent to 3.8% of</w:t>
      </w:r>
      <w:r w:rsidR="003C6DE9">
        <w:rPr>
          <w:rFonts w:ascii="Arial" w:hAnsi="Arial" w:cs="Arial"/>
          <w:sz w:val="24"/>
          <w:szCs w:val="24"/>
        </w:rPr>
        <w:t xml:space="preserve"> the</w:t>
      </w:r>
      <w:r w:rsidR="003C6DE9" w:rsidRPr="00DE6B18">
        <w:rPr>
          <w:rFonts w:ascii="Arial" w:hAnsi="Arial" w:cs="Arial"/>
          <w:sz w:val="24"/>
          <w:szCs w:val="24"/>
        </w:rPr>
        <w:t xml:space="preserve"> total 2011 North East GVA</w:t>
      </w:r>
      <w:r w:rsidR="003C6DE9">
        <w:rPr>
          <w:rFonts w:ascii="Arial" w:hAnsi="Arial" w:cs="Arial"/>
          <w:sz w:val="24"/>
          <w:szCs w:val="24"/>
        </w:rPr>
        <w:t xml:space="preserve"> (</w:t>
      </w:r>
      <w:r w:rsidR="00971258">
        <w:rPr>
          <w:rFonts w:ascii="Arial" w:hAnsi="Arial" w:cs="Arial"/>
          <w:sz w:val="24"/>
          <w:szCs w:val="24"/>
        </w:rPr>
        <w:t>Universities UK,</w:t>
      </w:r>
      <w:r w:rsidR="003C6DE9">
        <w:rPr>
          <w:rFonts w:ascii="Arial" w:hAnsi="Arial" w:cs="Arial"/>
          <w:sz w:val="24"/>
          <w:szCs w:val="24"/>
        </w:rPr>
        <w:t xml:space="preserve"> 2014)</w:t>
      </w:r>
      <w:r w:rsidR="003C6DE9" w:rsidRPr="00DE6B18">
        <w:rPr>
          <w:rFonts w:ascii="Arial" w:hAnsi="Arial" w:cs="Arial"/>
          <w:sz w:val="24"/>
          <w:szCs w:val="24"/>
        </w:rPr>
        <w:t>.</w:t>
      </w:r>
      <w:r w:rsidR="003C6DE9">
        <w:rPr>
          <w:rFonts w:ascii="Arial" w:hAnsi="Arial" w:cs="Arial"/>
          <w:sz w:val="24"/>
          <w:szCs w:val="24"/>
        </w:rPr>
        <w:t xml:space="preserve"> This is higher than in any other region of England meaning that any threat to the UK university sector represents a disproportionately greater threat to the North-East economy.</w:t>
      </w:r>
      <w:r w:rsidR="00971258">
        <w:rPr>
          <w:rFonts w:ascii="Arial" w:hAnsi="Arial" w:cs="Arial"/>
          <w:sz w:val="24"/>
          <w:szCs w:val="24"/>
        </w:rPr>
        <w:t xml:space="preserve"> </w:t>
      </w:r>
    </w:p>
    <w:p w:rsidR="00971258" w:rsidRDefault="00971258" w:rsidP="00FE38F8">
      <w:pPr>
        <w:spacing w:after="0" w:line="480" w:lineRule="auto"/>
        <w:rPr>
          <w:rFonts w:ascii="Arial" w:hAnsi="Arial" w:cs="Arial"/>
          <w:sz w:val="24"/>
          <w:szCs w:val="24"/>
        </w:rPr>
      </w:pPr>
    </w:p>
    <w:p w:rsidR="00971258" w:rsidRDefault="007A3310" w:rsidP="00FE38F8">
      <w:pPr>
        <w:spacing w:after="0" w:line="480" w:lineRule="auto"/>
        <w:rPr>
          <w:rFonts w:ascii="Arial" w:hAnsi="Arial" w:cs="Arial"/>
          <w:sz w:val="24"/>
          <w:szCs w:val="24"/>
        </w:rPr>
      </w:pPr>
      <w:r>
        <w:rPr>
          <w:rFonts w:ascii="Arial" w:hAnsi="Arial" w:cs="Arial"/>
          <w:sz w:val="24"/>
          <w:szCs w:val="24"/>
        </w:rPr>
        <w:lastRenderedPageBreak/>
        <w:t>It has been noted for some time that universities have an important regional role (Charles, 2003) and that new universities in particular are already making contributions to local and regional development (Glasson, 2003)</w:t>
      </w:r>
      <w:r w:rsidR="00211114">
        <w:rPr>
          <w:rFonts w:ascii="Arial" w:hAnsi="Arial" w:cs="Arial"/>
          <w:sz w:val="24"/>
          <w:szCs w:val="24"/>
        </w:rPr>
        <w:t xml:space="preserve">. </w:t>
      </w:r>
      <w:r w:rsidR="004307BF">
        <w:rPr>
          <w:rFonts w:ascii="Arial" w:hAnsi="Arial" w:cs="Arial"/>
          <w:sz w:val="24"/>
          <w:szCs w:val="24"/>
        </w:rPr>
        <w:t>In this regard there has been growing interest in the idea of universities as anchor institutions (Goddard et al 2014) and their potential role in developing place-based leadership and regional development activities (</w:t>
      </w:r>
      <w:proofErr w:type="spellStart"/>
      <w:r w:rsidR="004307BF">
        <w:rPr>
          <w:rFonts w:ascii="Arial" w:hAnsi="Arial" w:cs="Arial"/>
          <w:sz w:val="24"/>
          <w:szCs w:val="24"/>
        </w:rPr>
        <w:t>Colledge</w:t>
      </w:r>
      <w:proofErr w:type="spellEnd"/>
      <w:r w:rsidR="004307BF">
        <w:rPr>
          <w:rFonts w:ascii="Arial" w:hAnsi="Arial" w:cs="Arial"/>
          <w:sz w:val="24"/>
          <w:szCs w:val="24"/>
        </w:rPr>
        <w:t xml:space="preserve"> 2015). </w:t>
      </w:r>
      <w:r w:rsidR="00211114">
        <w:rPr>
          <w:rFonts w:ascii="Arial" w:hAnsi="Arial" w:cs="Arial"/>
          <w:sz w:val="24"/>
          <w:szCs w:val="24"/>
        </w:rPr>
        <w:t>This role would seem to be particularly important in the North-East where it has been shown that universities disproportionally highly compared to other regions.</w:t>
      </w:r>
      <w:r>
        <w:rPr>
          <w:rFonts w:ascii="Arial" w:hAnsi="Arial" w:cs="Arial"/>
          <w:sz w:val="24"/>
          <w:szCs w:val="24"/>
        </w:rPr>
        <w:t xml:space="preserve"> </w:t>
      </w:r>
      <w:r w:rsidR="00971258">
        <w:rPr>
          <w:rFonts w:ascii="Arial" w:hAnsi="Arial" w:cs="Arial"/>
          <w:sz w:val="24"/>
          <w:szCs w:val="24"/>
        </w:rPr>
        <w:t>How universities may respond to these challenges is the focus of the next section.</w:t>
      </w:r>
    </w:p>
    <w:p w:rsidR="00BD6E73" w:rsidRDefault="00BD6E73" w:rsidP="00FE38F8">
      <w:pPr>
        <w:spacing w:after="0" w:line="480" w:lineRule="auto"/>
        <w:rPr>
          <w:rFonts w:ascii="Arial" w:hAnsi="Arial" w:cs="Arial"/>
          <w:sz w:val="24"/>
          <w:szCs w:val="24"/>
        </w:rPr>
      </w:pPr>
    </w:p>
    <w:bookmarkEnd w:id="0"/>
    <w:p w:rsidR="00B73555" w:rsidRPr="00971258" w:rsidRDefault="00B73555" w:rsidP="00FE38F8">
      <w:pPr>
        <w:spacing w:after="0" w:line="480" w:lineRule="auto"/>
        <w:rPr>
          <w:rFonts w:ascii="Arial" w:hAnsi="Arial" w:cs="Arial"/>
          <w:sz w:val="24"/>
          <w:szCs w:val="24"/>
        </w:rPr>
      </w:pPr>
    </w:p>
    <w:p w:rsidR="00B73555" w:rsidRPr="004307BF" w:rsidRDefault="00B73555" w:rsidP="00FE38F8">
      <w:pPr>
        <w:pStyle w:val="ListParagraph"/>
        <w:numPr>
          <w:ilvl w:val="0"/>
          <w:numId w:val="4"/>
        </w:numPr>
        <w:spacing w:after="0" w:line="480" w:lineRule="auto"/>
        <w:rPr>
          <w:rFonts w:ascii="Arial" w:hAnsi="Arial" w:cs="Arial"/>
          <w:sz w:val="24"/>
          <w:szCs w:val="24"/>
        </w:rPr>
      </w:pPr>
      <w:r w:rsidRPr="004307BF">
        <w:rPr>
          <w:rFonts w:ascii="Arial" w:hAnsi="Arial" w:cs="Arial"/>
          <w:b/>
          <w:sz w:val="24"/>
          <w:szCs w:val="24"/>
        </w:rPr>
        <w:t>What next</w:t>
      </w:r>
      <w:r w:rsidR="004307BF" w:rsidRPr="004307BF">
        <w:rPr>
          <w:rFonts w:ascii="Arial" w:hAnsi="Arial" w:cs="Arial"/>
          <w:b/>
          <w:sz w:val="24"/>
          <w:szCs w:val="24"/>
        </w:rPr>
        <w:t xml:space="preserve"> for Universities in the North-East</w:t>
      </w:r>
      <w:r w:rsidRPr="004307BF">
        <w:rPr>
          <w:rFonts w:ascii="Arial" w:hAnsi="Arial" w:cs="Arial"/>
          <w:b/>
          <w:sz w:val="24"/>
          <w:szCs w:val="24"/>
        </w:rPr>
        <w:t>?</w:t>
      </w:r>
      <w:r w:rsidR="00D436E3" w:rsidRPr="004307BF">
        <w:rPr>
          <w:rFonts w:ascii="Arial" w:hAnsi="Arial" w:cs="Arial"/>
          <w:sz w:val="24"/>
          <w:szCs w:val="24"/>
        </w:rPr>
        <w:t xml:space="preserve"> </w:t>
      </w:r>
    </w:p>
    <w:p w:rsidR="00766BC1" w:rsidRPr="0021785D" w:rsidRDefault="00766BC1" w:rsidP="00FE38F8">
      <w:pPr>
        <w:spacing w:after="0" w:line="480" w:lineRule="auto"/>
        <w:rPr>
          <w:rFonts w:ascii="Arial" w:hAnsi="Arial" w:cs="Arial"/>
          <w:color w:val="000000" w:themeColor="text1"/>
          <w:sz w:val="24"/>
          <w:szCs w:val="24"/>
        </w:rPr>
      </w:pPr>
    </w:p>
    <w:p w:rsidR="00766BC1" w:rsidRPr="0021785D" w:rsidRDefault="00766BC1" w:rsidP="00766BC1">
      <w:pPr>
        <w:spacing w:after="0" w:line="480" w:lineRule="auto"/>
        <w:rPr>
          <w:rFonts w:ascii="Arial" w:hAnsi="Arial" w:cs="Arial"/>
          <w:color w:val="000000" w:themeColor="text1"/>
          <w:sz w:val="24"/>
          <w:szCs w:val="24"/>
        </w:rPr>
      </w:pPr>
      <w:r w:rsidRPr="0021785D">
        <w:rPr>
          <w:rFonts w:ascii="Arial" w:hAnsi="Arial" w:cs="Arial"/>
          <w:color w:val="000000" w:themeColor="text1"/>
          <w:sz w:val="24"/>
          <w:szCs w:val="24"/>
        </w:rPr>
        <w:t>3.1 The resurgence of regionalism</w:t>
      </w:r>
    </w:p>
    <w:p w:rsidR="00995987" w:rsidRPr="0021785D" w:rsidRDefault="00995987" w:rsidP="00FE38F8">
      <w:pPr>
        <w:spacing w:after="0" w:line="480" w:lineRule="auto"/>
        <w:rPr>
          <w:rFonts w:ascii="Arial" w:hAnsi="Arial" w:cs="Arial"/>
          <w:color w:val="000000" w:themeColor="text1"/>
          <w:sz w:val="24"/>
          <w:szCs w:val="24"/>
        </w:rPr>
      </w:pPr>
      <w:r w:rsidRPr="0021785D">
        <w:rPr>
          <w:rFonts w:ascii="Arial" w:hAnsi="Arial" w:cs="Arial"/>
          <w:color w:val="000000" w:themeColor="text1"/>
          <w:sz w:val="24"/>
          <w:szCs w:val="24"/>
        </w:rPr>
        <w:t xml:space="preserve">The </w:t>
      </w:r>
      <w:r w:rsidR="00034F0C" w:rsidRPr="0021785D">
        <w:rPr>
          <w:rFonts w:ascii="Arial" w:hAnsi="Arial" w:cs="Arial"/>
          <w:color w:val="000000" w:themeColor="text1"/>
          <w:sz w:val="24"/>
          <w:szCs w:val="24"/>
        </w:rPr>
        <w:t>prominence of constitutional issues within UK politics, as symbolised by both the Scottish Independence Referendum in 2014 and the EU Referendum in 2016,</w:t>
      </w:r>
      <w:r w:rsidRPr="0021785D">
        <w:rPr>
          <w:rFonts w:ascii="Arial" w:hAnsi="Arial" w:cs="Arial"/>
          <w:color w:val="000000" w:themeColor="text1"/>
          <w:sz w:val="24"/>
          <w:szCs w:val="24"/>
        </w:rPr>
        <w:t xml:space="preserve"> ha</w:t>
      </w:r>
      <w:r w:rsidR="00034F0C" w:rsidRPr="0021785D">
        <w:rPr>
          <w:rFonts w:ascii="Arial" w:hAnsi="Arial" w:cs="Arial"/>
          <w:color w:val="000000" w:themeColor="text1"/>
          <w:sz w:val="24"/>
          <w:szCs w:val="24"/>
        </w:rPr>
        <w:t>s intensified calls for greater devolution within England</w:t>
      </w:r>
      <w:r w:rsidR="00B27542" w:rsidRPr="0021785D">
        <w:rPr>
          <w:rFonts w:ascii="Arial" w:hAnsi="Arial" w:cs="Arial"/>
          <w:color w:val="000000" w:themeColor="text1"/>
          <w:sz w:val="24"/>
          <w:szCs w:val="24"/>
        </w:rPr>
        <w:t xml:space="preserve"> (and indeed greater devolved powers for Scotland, Wales and Northern Ireland). In the case of England</w:t>
      </w:r>
      <w:r w:rsidR="00606BD1" w:rsidRPr="0021785D">
        <w:rPr>
          <w:rFonts w:ascii="Arial" w:hAnsi="Arial" w:cs="Arial"/>
          <w:color w:val="000000" w:themeColor="text1"/>
          <w:sz w:val="24"/>
          <w:szCs w:val="24"/>
        </w:rPr>
        <w:t>,</w:t>
      </w:r>
      <w:r w:rsidR="00B27542" w:rsidRPr="0021785D">
        <w:rPr>
          <w:rFonts w:ascii="Arial" w:hAnsi="Arial" w:cs="Arial"/>
          <w:color w:val="000000" w:themeColor="text1"/>
          <w:sz w:val="24"/>
          <w:szCs w:val="24"/>
        </w:rPr>
        <w:t xml:space="preserve"> the Scottish Independence Referendum was quickly followed by calls from the then Prime Minister David Cameron for English Votes for English Laws (EVEL) in 2014</w:t>
      </w:r>
      <w:r w:rsidR="00FC68EF" w:rsidRPr="0021785D">
        <w:rPr>
          <w:rFonts w:ascii="Arial" w:hAnsi="Arial" w:cs="Arial"/>
          <w:color w:val="000000" w:themeColor="text1"/>
          <w:sz w:val="24"/>
          <w:szCs w:val="24"/>
        </w:rPr>
        <w:t xml:space="preserve"> (Jeffery et al 2014)</w:t>
      </w:r>
      <w:r w:rsidR="00B27542" w:rsidRPr="0021785D">
        <w:rPr>
          <w:rFonts w:ascii="Arial" w:hAnsi="Arial" w:cs="Arial"/>
          <w:color w:val="000000" w:themeColor="text1"/>
          <w:sz w:val="24"/>
          <w:szCs w:val="24"/>
        </w:rPr>
        <w:t xml:space="preserve">. This was included in the </w:t>
      </w:r>
      <w:r w:rsidR="006A121E" w:rsidRPr="0021785D">
        <w:rPr>
          <w:rFonts w:ascii="Arial" w:hAnsi="Arial" w:cs="Arial"/>
          <w:color w:val="000000" w:themeColor="text1"/>
          <w:sz w:val="24"/>
          <w:szCs w:val="24"/>
        </w:rPr>
        <w:t xml:space="preserve">UK </w:t>
      </w:r>
      <w:r w:rsidR="00B27542" w:rsidRPr="0021785D">
        <w:rPr>
          <w:rFonts w:ascii="Arial" w:hAnsi="Arial" w:cs="Arial"/>
          <w:color w:val="000000" w:themeColor="text1"/>
          <w:sz w:val="24"/>
          <w:szCs w:val="24"/>
        </w:rPr>
        <w:t>Conservative Party manifesto for the General Election in 2015 and new procedures to allow for MP’s representing English constituencies to have a veto on laws only affecting England were approved by the UK Parliament in October 2015.</w:t>
      </w:r>
    </w:p>
    <w:p w:rsidR="00FC68EF" w:rsidRPr="0021785D" w:rsidRDefault="00FC68EF" w:rsidP="00FE38F8">
      <w:pPr>
        <w:spacing w:after="0" w:line="480" w:lineRule="auto"/>
        <w:rPr>
          <w:rFonts w:ascii="Arial" w:hAnsi="Arial" w:cs="Arial"/>
          <w:color w:val="000000" w:themeColor="text1"/>
          <w:sz w:val="24"/>
          <w:szCs w:val="24"/>
        </w:rPr>
      </w:pPr>
    </w:p>
    <w:p w:rsidR="00B27542" w:rsidRPr="0021785D" w:rsidRDefault="00B27542" w:rsidP="00FE38F8">
      <w:pPr>
        <w:spacing w:after="0" w:line="480" w:lineRule="auto"/>
        <w:rPr>
          <w:rFonts w:ascii="Arial" w:hAnsi="Arial" w:cs="Arial"/>
          <w:color w:val="000000" w:themeColor="text1"/>
          <w:sz w:val="24"/>
          <w:szCs w:val="24"/>
        </w:rPr>
      </w:pPr>
    </w:p>
    <w:p w:rsidR="00B27542" w:rsidRDefault="00B27542" w:rsidP="00FE38F8">
      <w:pPr>
        <w:spacing w:after="0" w:line="480" w:lineRule="auto"/>
        <w:rPr>
          <w:rFonts w:ascii="Arial" w:hAnsi="Arial" w:cs="Arial"/>
          <w:color w:val="000000" w:themeColor="text1"/>
          <w:sz w:val="24"/>
          <w:szCs w:val="24"/>
        </w:rPr>
      </w:pPr>
      <w:r w:rsidRPr="0021785D">
        <w:rPr>
          <w:rFonts w:ascii="Arial" w:hAnsi="Arial" w:cs="Arial"/>
          <w:color w:val="000000" w:themeColor="text1"/>
          <w:sz w:val="24"/>
          <w:szCs w:val="24"/>
        </w:rPr>
        <w:t xml:space="preserve">The sense that ‘metropolitan elites’ of London were the main beneficiaries of EU membership was perpetrated widely as part of the Leave campaign in 2016 (Billing et al. 2019). Such claims were </w:t>
      </w:r>
      <w:r w:rsidR="00A364F8">
        <w:rPr>
          <w:rFonts w:ascii="Arial" w:hAnsi="Arial" w:cs="Arial"/>
          <w:color w:val="000000" w:themeColor="text1"/>
          <w:sz w:val="24"/>
          <w:szCs w:val="24"/>
        </w:rPr>
        <w:t xml:space="preserve">later </w:t>
      </w:r>
      <w:r w:rsidRPr="0021785D">
        <w:rPr>
          <w:rFonts w:ascii="Arial" w:hAnsi="Arial" w:cs="Arial"/>
          <w:color w:val="000000" w:themeColor="text1"/>
          <w:sz w:val="24"/>
          <w:szCs w:val="24"/>
        </w:rPr>
        <w:t xml:space="preserve">proven to be false (Los et al. 2017) but </w:t>
      </w:r>
      <w:r w:rsidR="009302B1" w:rsidRPr="0021785D">
        <w:rPr>
          <w:rFonts w:ascii="Arial" w:hAnsi="Arial" w:cs="Arial"/>
          <w:color w:val="000000" w:themeColor="text1"/>
          <w:sz w:val="24"/>
          <w:szCs w:val="24"/>
        </w:rPr>
        <w:t xml:space="preserve">served to highlight </w:t>
      </w:r>
      <w:r w:rsidR="00FC68EF" w:rsidRPr="0021785D">
        <w:rPr>
          <w:rFonts w:ascii="Arial" w:hAnsi="Arial" w:cs="Arial"/>
          <w:color w:val="000000" w:themeColor="text1"/>
          <w:sz w:val="24"/>
          <w:szCs w:val="24"/>
        </w:rPr>
        <w:t xml:space="preserve">the sense of disillusionment amongst some at the </w:t>
      </w:r>
      <w:r w:rsidR="00A364F8">
        <w:rPr>
          <w:rFonts w:ascii="Arial" w:hAnsi="Arial" w:cs="Arial"/>
          <w:color w:val="000000" w:themeColor="text1"/>
          <w:sz w:val="24"/>
          <w:szCs w:val="24"/>
        </w:rPr>
        <w:t>sense of disenfranchisement</w:t>
      </w:r>
      <w:r w:rsidR="00236501">
        <w:rPr>
          <w:rFonts w:ascii="Arial" w:hAnsi="Arial" w:cs="Arial"/>
          <w:color w:val="000000" w:themeColor="text1"/>
          <w:sz w:val="24"/>
          <w:szCs w:val="24"/>
        </w:rPr>
        <w:t xml:space="preserve"> and </w:t>
      </w:r>
      <w:r w:rsidR="006B1419">
        <w:rPr>
          <w:rFonts w:ascii="Arial" w:hAnsi="Arial" w:cs="Arial"/>
          <w:color w:val="000000" w:themeColor="text1"/>
          <w:sz w:val="24"/>
          <w:szCs w:val="24"/>
        </w:rPr>
        <w:t xml:space="preserve">reflect a </w:t>
      </w:r>
      <w:r w:rsidR="009E2E2F">
        <w:rPr>
          <w:rFonts w:ascii="Arial" w:hAnsi="Arial" w:cs="Arial"/>
          <w:color w:val="000000" w:themeColor="text1"/>
          <w:sz w:val="24"/>
          <w:szCs w:val="24"/>
        </w:rPr>
        <w:t>long-standing</w:t>
      </w:r>
      <w:r w:rsidR="006B1419">
        <w:rPr>
          <w:rFonts w:ascii="Arial" w:hAnsi="Arial" w:cs="Arial"/>
          <w:color w:val="000000" w:themeColor="text1"/>
          <w:sz w:val="24"/>
          <w:szCs w:val="24"/>
        </w:rPr>
        <w:t xml:space="preserve"> </w:t>
      </w:r>
      <w:r w:rsidR="00236501">
        <w:rPr>
          <w:rFonts w:ascii="Arial" w:hAnsi="Arial" w:cs="Arial"/>
          <w:color w:val="000000" w:themeColor="text1"/>
          <w:sz w:val="24"/>
          <w:szCs w:val="24"/>
        </w:rPr>
        <w:t>dissatisfaction at how England is governed within the UK (Jeffery et al. 2014).</w:t>
      </w:r>
    </w:p>
    <w:p w:rsidR="00A364F8" w:rsidRDefault="00A364F8" w:rsidP="00FE38F8">
      <w:pPr>
        <w:spacing w:after="0" w:line="480" w:lineRule="auto"/>
        <w:rPr>
          <w:rFonts w:ascii="Arial" w:hAnsi="Arial" w:cs="Arial"/>
          <w:color w:val="000000" w:themeColor="text1"/>
          <w:sz w:val="24"/>
          <w:szCs w:val="24"/>
        </w:rPr>
      </w:pPr>
    </w:p>
    <w:p w:rsidR="007C78AF" w:rsidRDefault="006B1419" w:rsidP="00FE38F8">
      <w:pPr>
        <w:spacing w:after="0" w:line="480" w:lineRule="auto"/>
        <w:rPr>
          <w:rFonts w:ascii="Arial" w:hAnsi="Arial" w:cs="Arial"/>
          <w:color w:val="FF0000"/>
          <w:sz w:val="24"/>
          <w:szCs w:val="24"/>
        </w:rPr>
      </w:pPr>
      <w:r>
        <w:rPr>
          <w:rFonts w:ascii="Arial" w:hAnsi="Arial" w:cs="Arial"/>
          <w:color w:val="000000" w:themeColor="text1"/>
          <w:sz w:val="24"/>
          <w:szCs w:val="24"/>
        </w:rPr>
        <w:t>In this context significant powers were devolved to the Manchester City Region in 2014-15. The Greater Manchester Combined Authority</w:t>
      </w:r>
      <w:r w:rsidR="009E2E2F">
        <w:rPr>
          <w:rFonts w:ascii="Arial" w:hAnsi="Arial" w:cs="Arial"/>
          <w:color w:val="000000" w:themeColor="text1"/>
          <w:sz w:val="24"/>
          <w:szCs w:val="24"/>
        </w:rPr>
        <w:t xml:space="preserve"> (GMCA)</w:t>
      </w:r>
      <w:r>
        <w:rPr>
          <w:rFonts w:ascii="Arial" w:hAnsi="Arial" w:cs="Arial"/>
          <w:color w:val="000000" w:themeColor="text1"/>
          <w:sz w:val="24"/>
          <w:szCs w:val="24"/>
        </w:rPr>
        <w:t xml:space="preserve">, encompassing 10 local authorities, had been in place since 2011 </w:t>
      </w:r>
      <w:r w:rsidR="00C775BA">
        <w:rPr>
          <w:rFonts w:ascii="Arial" w:hAnsi="Arial" w:cs="Arial"/>
          <w:color w:val="000000" w:themeColor="text1"/>
          <w:sz w:val="24"/>
          <w:szCs w:val="24"/>
        </w:rPr>
        <w:t xml:space="preserve">but further powers </w:t>
      </w:r>
      <w:r w:rsidR="00B166FB">
        <w:rPr>
          <w:rFonts w:ascii="Arial" w:hAnsi="Arial" w:cs="Arial"/>
          <w:color w:val="000000" w:themeColor="text1"/>
          <w:sz w:val="24"/>
          <w:szCs w:val="24"/>
        </w:rPr>
        <w:t>have been</w:t>
      </w:r>
      <w:r w:rsidR="00C775BA">
        <w:rPr>
          <w:rFonts w:ascii="Arial" w:hAnsi="Arial" w:cs="Arial"/>
          <w:color w:val="000000" w:themeColor="text1"/>
          <w:sz w:val="24"/>
          <w:szCs w:val="24"/>
        </w:rPr>
        <w:t xml:space="preserve"> devolved </w:t>
      </w:r>
      <w:r w:rsidR="00EB5C25">
        <w:rPr>
          <w:rFonts w:ascii="Arial" w:hAnsi="Arial" w:cs="Arial"/>
          <w:color w:val="000000" w:themeColor="text1"/>
          <w:sz w:val="24"/>
          <w:szCs w:val="24"/>
        </w:rPr>
        <w:t xml:space="preserve">since then, arguably </w:t>
      </w:r>
      <w:r w:rsidR="00C775BA">
        <w:rPr>
          <w:rFonts w:ascii="Arial" w:hAnsi="Arial" w:cs="Arial"/>
          <w:color w:val="000000" w:themeColor="text1"/>
          <w:sz w:val="24"/>
          <w:szCs w:val="24"/>
        </w:rPr>
        <w:t>in response to the Scottish refer</w:t>
      </w:r>
      <w:r w:rsidR="009E2E2F">
        <w:rPr>
          <w:rFonts w:ascii="Arial" w:hAnsi="Arial" w:cs="Arial"/>
          <w:color w:val="000000" w:themeColor="text1"/>
          <w:sz w:val="24"/>
          <w:szCs w:val="24"/>
        </w:rPr>
        <w:t>endum (</w:t>
      </w:r>
      <w:r w:rsidR="00E15B46">
        <w:rPr>
          <w:rFonts w:ascii="Arial" w:hAnsi="Arial" w:cs="Arial"/>
          <w:color w:val="000000" w:themeColor="text1"/>
          <w:sz w:val="24"/>
          <w:szCs w:val="24"/>
        </w:rPr>
        <w:t xml:space="preserve">Fenwick 2015; </w:t>
      </w:r>
      <w:proofErr w:type="spellStart"/>
      <w:r w:rsidR="00EB5C25">
        <w:rPr>
          <w:rFonts w:ascii="Arial" w:hAnsi="Arial" w:cs="Arial"/>
          <w:color w:val="000000" w:themeColor="text1"/>
          <w:sz w:val="24"/>
          <w:szCs w:val="24"/>
        </w:rPr>
        <w:t>Kenealy</w:t>
      </w:r>
      <w:proofErr w:type="spellEnd"/>
      <w:r w:rsidR="00EB5C25">
        <w:rPr>
          <w:rFonts w:ascii="Arial" w:hAnsi="Arial" w:cs="Arial"/>
          <w:color w:val="000000" w:themeColor="text1"/>
          <w:sz w:val="24"/>
          <w:szCs w:val="24"/>
        </w:rPr>
        <w:t xml:space="preserve"> 2016).</w:t>
      </w:r>
      <w:r w:rsidR="00223F3C">
        <w:rPr>
          <w:rFonts w:ascii="Arial" w:hAnsi="Arial" w:cs="Arial"/>
          <w:color w:val="000000" w:themeColor="text1"/>
          <w:sz w:val="24"/>
          <w:szCs w:val="24"/>
        </w:rPr>
        <w:t xml:space="preserve"> Undoubtedly GMCA remains a model that dominates discussion around Combined Authorities although not always well received by others (Shutt and Liddle 2019). Following the model set out by Manchester</w:t>
      </w:r>
      <w:r w:rsidR="00DC68E2">
        <w:rPr>
          <w:rFonts w:ascii="Arial" w:hAnsi="Arial" w:cs="Arial"/>
          <w:color w:val="000000" w:themeColor="text1"/>
          <w:sz w:val="24"/>
          <w:szCs w:val="24"/>
        </w:rPr>
        <w:t xml:space="preserve"> Fenwick and </w:t>
      </w:r>
      <w:proofErr w:type="spellStart"/>
      <w:r w:rsidR="00DC68E2">
        <w:rPr>
          <w:rFonts w:ascii="Arial" w:hAnsi="Arial" w:cs="Arial"/>
          <w:color w:val="000000" w:themeColor="text1"/>
          <w:sz w:val="24"/>
          <w:szCs w:val="24"/>
        </w:rPr>
        <w:t>Elcock</w:t>
      </w:r>
      <w:proofErr w:type="spellEnd"/>
      <w:r w:rsidR="00DC68E2">
        <w:rPr>
          <w:rFonts w:ascii="Arial" w:hAnsi="Arial" w:cs="Arial"/>
          <w:color w:val="000000" w:themeColor="text1"/>
          <w:sz w:val="24"/>
          <w:szCs w:val="24"/>
        </w:rPr>
        <w:t xml:space="preserve"> (2018)</w:t>
      </w:r>
      <w:r w:rsidR="000F2952">
        <w:rPr>
          <w:rFonts w:ascii="Arial" w:hAnsi="Arial" w:cs="Arial"/>
          <w:color w:val="000000" w:themeColor="text1"/>
          <w:sz w:val="24"/>
          <w:szCs w:val="24"/>
        </w:rPr>
        <w:t xml:space="preserve"> </w:t>
      </w:r>
      <w:r w:rsidR="00223F3C">
        <w:rPr>
          <w:rFonts w:ascii="Arial" w:hAnsi="Arial" w:cs="Arial"/>
          <w:color w:val="000000" w:themeColor="text1"/>
          <w:sz w:val="24"/>
          <w:szCs w:val="24"/>
        </w:rPr>
        <w:t xml:space="preserve">note that </w:t>
      </w:r>
      <w:r w:rsidR="000F2952">
        <w:rPr>
          <w:rFonts w:ascii="Arial" w:hAnsi="Arial" w:cs="Arial"/>
          <w:color w:val="000000" w:themeColor="text1"/>
          <w:sz w:val="24"/>
          <w:szCs w:val="24"/>
        </w:rPr>
        <w:t xml:space="preserve">further devolution of powers is likely even if a fully federalised UK is </w:t>
      </w:r>
      <w:r w:rsidR="0024796D">
        <w:rPr>
          <w:rFonts w:ascii="Arial" w:hAnsi="Arial" w:cs="Arial"/>
          <w:color w:val="000000" w:themeColor="text1"/>
          <w:sz w:val="24"/>
          <w:szCs w:val="24"/>
        </w:rPr>
        <w:t xml:space="preserve">impossible to </w:t>
      </w:r>
      <w:r w:rsidR="00E15B46">
        <w:rPr>
          <w:rFonts w:ascii="Arial" w:hAnsi="Arial" w:cs="Arial"/>
          <w:color w:val="000000" w:themeColor="text1"/>
          <w:sz w:val="24"/>
          <w:szCs w:val="24"/>
        </w:rPr>
        <w:t>envisage</w:t>
      </w:r>
      <w:r w:rsidR="0024796D">
        <w:rPr>
          <w:rFonts w:ascii="Arial" w:hAnsi="Arial" w:cs="Arial"/>
          <w:color w:val="000000" w:themeColor="text1"/>
          <w:sz w:val="24"/>
          <w:szCs w:val="24"/>
        </w:rPr>
        <w:t>.</w:t>
      </w:r>
    </w:p>
    <w:p w:rsidR="007C78AF" w:rsidRDefault="007C78AF" w:rsidP="00FE38F8">
      <w:pPr>
        <w:spacing w:after="0" w:line="480" w:lineRule="auto"/>
        <w:rPr>
          <w:rFonts w:ascii="Arial" w:hAnsi="Arial" w:cs="Arial"/>
          <w:color w:val="FF0000"/>
          <w:sz w:val="24"/>
          <w:szCs w:val="24"/>
        </w:rPr>
      </w:pPr>
    </w:p>
    <w:p w:rsidR="007C78AF" w:rsidRPr="00F61A9E" w:rsidRDefault="00E15B46" w:rsidP="002A6E6B">
      <w:pPr>
        <w:spacing w:after="0" w:line="480" w:lineRule="auto"/>
        <w:rPr>
          <w:rFonts w:ascii="Arial" w:hAnsi="Arial" w:cs="Arial"/>
          <w:color w:val="000000" w:themeColor="text1"/>
          <w:sz w:val="24"/>
          <w:szCs w:val="24"/>
        </w:rPr>
      </w:pPr>
      <w:r w:rsidRPr="00E15B46">
        <w:rPr>
          <w:rFonts w:ascii="Arial" w:hAnsi="Arial" w:cs="Arial"/>
          <w:color w:val="000000" w:themeColor="text1"/>
          <w:sz w:val="24"/>
          <w:szCs w:val="24"/>
        </w:rPr>
        <w:t>Although</w:t>
      </w:r>
      <w:r>
        <w:rPr>
          <w:rFonts w:ascii="Arial" w:hAnsi="Arial" w:cs="Arial"/>
          <w:color w:val="000000" w:themeColor="text1"/>
          <w:sz w:val="24"/>
          <w:szCs w:val="24"/>
        </w:rPr>
        <w:t xml:space="preserve"> much has changed since both referendums of 2014 and 2016 in relation to the development of combined authorities, elected mayors and local industrial strategies it has been argued that their development has been “</w:t>
      </w:r>
      <w:r w:rsidRPr="00E15B46">
        <w:rPr>
          <w:rFonts w:ascii="Arial" w:hAnsi="Arial" w:cs="Arial"/>
          <w:color w:val="000000" w:themeColor="text1"/>
          <w:sz w:val="24"/>
          <w:szCs w:val="24"/>
        </w:rPr>
        <w:t>nascent and patchy</w:t>
      </w:r>
      <w:r>
        <w:rPr>
          <w:rFonts w:ascii="Arial" w:hAnsi="Arial" w:cs="Arial"/>
          <w:color w:val="000000" w:themeColor="text1"/>
          <w:sz w:val="24"/>
          <w:szCs w:val="24"/>
        </w:rPr>
        <w:t>” (Dickinson and Cox 2016</w:t>
      </w:r>
      <w:r w:rsidR="00892548">
        <w:rPr>
          <w:rFonts w:ascii="Arial" w:hAnsi="Arial" w:cs="Arial"/>
          <w:color w:val="000000" w:themeColor="text1"/>
          <w:sz w:val="24"/>
          <w:szCs w:val="24"/>
        </w:rPr>
        <w:t>: 3</w:t>
      </w:r>
      <w:r>
        <w:rPr>
          <w:rFonts w:ascii="Arial" w:hAnsi="Arial" w:cs="Arial"/>
          <w:color w:val="000000" w:themeColor="text1"/>
          <w:sz w:val="24"/>
          <w:szCs w:val="24"/>
        </w:rPr>
        <w:t>).</w:t>
      </w:r>
      <w:r w:rsidR="00DF4703">
        <w:rPr>
          <w:rFonts w:ascii="Arial" w:hAnsi="Arial" w:cs="Arial"/>
          <w:color w:val="000000" w:themeColor="text1"/>
          <w:sz w:val="24"/>
          <w:szCs w:val="24"/>
        </w:rPr>
        <w:t xml:space="preserve"> Others have described the development of combined authorities as “prolonged and patchy” (Liddle and Shutt </w:t>
      </w:r>
      <w:r w:rsidR="00B22110">
        <w:rPr>
          <w:rFonts w:ascii="Arial" w:hAnsi="Arial" w:cs="Arial"/>
          <w:color w:val="000000" w:themeColor="text1"/>
          <w:sz w:val="24"/>
          <w:szCs w:val="24"/>
        </w:rPr>
        <w:t>2019: 91</w:t>
      </w:r>
      <w:r w:rsidR="00DF4703">
        <w:rPr>
          <w:rFonts w:ascii="Arial" w:hAnsi="Arial" w:cs="Arial"/>
          <w:color w:val="000000" w:themeColor="text1"/>
          <w:sz w:val="24"/>
          <w:szCs w:val="24"/>
        </w:rPr>
        <w:t>)</w:t>
      </w:r>
      <w:r w:rsidR="00B22110">
        <w:rPr>
          <w:rFonts w:ascii="Arial" w:hAnsi="Arial" w:cs="Arial"/>
          <w:color w:val="000000" w:themeColor="text1"/>
          <w:sz w:val="24"/>
          <w:szCs w:val="24"/>
        </w:rPr>
        <w:t>.</w:t>
      </w:r>
      <w:r>
        <w:rPr>
          <w:rFonts w:ascii="Arial" w:hAnsi="Arial" w:cs="Arial"/>
          <w:color w:val="000000" w:themeColor="text1"/>
          <w:sz w:val="24"/>
          <w:szCs w:val="24"/>
        </w:rPr>
        <w:t xml:space="preserve"> </w:t>
      </w:r>
      <w:r w:rsidR="00B22110">
        <w:rPr>
          <w:rFonts w:ascii="Arial" w:hAnsi="Arial" w:cs="Arial"/>
          <w:color w:val="000000" w:themeColor="text1"/>
          <w:sz w:val="24"/>
          <w:szCs w:val="24"/>
        </w:rPr>
        <w:t>T</w:t>
      </w:r>
      <w:r w:rsidR="00892548">
        <w:rPr>
          <w:rFonts w:ascii="Arial" w:hAnsi="Arial" w:cs="Arial"/>
          <w:color w:val="000000" w:themeColor="text1"/>
          <w:sz w:val="24"/>
          <w:szCs w:val="24"/>
        </w:rPr>
        <w:t xml:space="preserve">he IPPR have argued </w:t>
      </w:r>
      <w:r w:rsidR="00223F3C">
        <w:rPr>
          <w:rFonts w:ascii="Arial" w:hAnsi="Arial" w:cs="Arial"/>
          <w:color w:val="000000" w:themeColor="text1"/>
          <w:sz w:val="24"/>
          <w:szCs w:val="24"/>
        </w:rPr>
        <w:t>that Combined Authorities located in the North of England should cooperate within a new</w:t>
      </w:r>
      <w:r w:rsidR="002A6E6B" w:rsidRPr="002A6E6B">
        <w:rPr>
          <w:rFonts w:ascii="Arial" w:hAnsi="Arial" w:cs="Arial"/>
          <w:color w:val="000000" w:themeColor="text1"/>
          <w:sz w:val="24"/>
          <w:szCs w:val="24"/>
        </w:rPr>
        <w:t xml:space="preserve"> Northern Brexit</w:t>
      </w:r>
      <w:r w:rsidR="002A6E6B">
        <w:rPr>
          <w:rFonts w:ascii="Arial" w:hAnsi="Arial" w:cs="Arial"/>
          <w:color w:val="000000" w:themeColor="text1"/>
          <w:sz w:val="24"/>
          <w:szCs w:val="24"/>
        </w:rPr>
        <w:t xml:space="preserve"> </w:t>
      </w:r>
      <w:r w:rsidR="002A6E6B" w:rsidRPr="002A6E6B">
        <w:rPr>
          <w:rFonts w:ascii="Arial" w:hAnsi="Arial" w:cs="Arial"/>
          <w:color w:val="000000" w:themeColor="text1"/>
          <w:sz w:val="24"/>
          <w:szCs w:val="24"/>
        </w:rPr>
        <w:t>Negotiating Committee</w:t>
      </w:r>
      <w:r w:rsidR="002A6E6B">
        <w:rPr>
          <w:rFonts w:ascii="Arial" w:hAnsi="Arial" w:cs="Arial"/>
          <w:color w:val="000000" w:themeColor="text1"/>
          <w:sz w:val="24"/>
          <w:szCs w:val="24"/>
        </w:rPr>
        <w:t xml:space="preserve"> </w:t>
      </w:r>
      <w:r w:rsidR="00896AFB">
        <w:rPr>
          <w:rFonts w:ascii="Arial" w:hAnsi="Arial" w:cs="Arial"/>
          <w:color w:val="000000" w:themeColor="text1"/>
          <w:sz w:val="24"/>
          <w:szCs w:val="24"/>
        </w:rPr>
        <w:t>(ibid 2016)</w:t>
      </w:r>
      <w:r w:rsidR="002A6E6B">
        <w:rPr>
          <w:rFonts w:ascii="Arial" w:hAnsi="Arial" w:cs="Arial"/>
          <w:color w:val="000000" w:themeColor="text1"/>
          <w:sz w:val="24"/>
          <w:szCs w:val="24"/>
        </w:rPr>
        <w:t xml:space="preserve">. </w:t>
      </w:r>
      <w:r w:rsidR="00EF5DFA">
        <w:rPr>
          <w:rFonts w:ascii="Arial" w:hAnsi="Arial" w:cs="Arial"/>
          <w:color w:val="000000" w:themeColor="text1"/>
          <w:sz w:val="24"/>
          <w:szCs w:val="24"/>
        </w:rPr>
        <w:t xml:space="preserve">Others have </w:t>
      </w:r>
      <w:r w:rsidR="00EF5DFA">
        <w:rPr>
          <w:rFonts w:ascii="Arial" w:hAnsi="Arial" w:cs="Arial"/>
          <w:color w:val="000000" w:themeColor="text1"/>
          <w:sz w:val="24"/>
          <w:szCs w:val="24"/>
        </w:rPr>
        <w:lastRenderedPageBreak/>
        <w:t xml:space="preserve">highlighted how </w:t>
      </w:r>
      <w:r w:rsidR="00EF5DFA" w:rsidRPr="00F61A9E">
        <w:rPr>
          <w:rFonts w:ascii="Arial" w:hAnsi="Arial" w:cs="Arial"/>
          <w:color w:val="000000" w:themeColor="text1"/>
          <w:sz w:val="24"/>
          <w:szCs w:val="24"/>
        </w:rPr>
        <w:t xml:space="preserve">greater devolution of </w:t>
      </w:r>
      <w:r w:rsidR="00AC3985" w:rsidRPr="00F61A9E">
        <w:rPr>
          <w:rFonts w:ascii="Arial" w:hAnsi="Arial" w:cs="Arial"/>
          <w:color w:val="000000" w:themeColor="text1"/>
          <w:sz w:val="24"/>
          <w:szCs w:val="24"/>
        </w:rPr>
        <w:t>powers to the regions</w:t>
      </w:r>
      <w:r w:rsidR="00896AFB" w:rsidRPr="00F61A9E">
        <w:rPr>
          <w:rFonts w:ascii="Arial" w:hAnsi="Arial" w:cs="Arial"/>
          <w:color w:val="000000" w:themeColor="text1"/>
          <w:sz w:val="24"/>
          <w:szCs w:val="24"/>
        </w:rPr>
        <w:t xml:space="preserve"> is essential within a post-Brexit UK </w:t>
      </w:r>
      <w:r w:rsidR="00DF711C" w:rsidRPr="00F61A9E">
        <w:rPr>
          <w:rFonts w:ascii="Arial" w:hAnsi="Arial" w:cs="Arial"/>
          <w:color w:val="000000" w:themeColor="text1"/>
          <w:sz w:val="24"/>
          <w:szCs w:val="24"/>
        </w:rPr>
        <w:t xml:space="preserve">but that Brexit itself is “leading to both further governance centralization and also the stalling of many policy arenas” (Billing et al 2019: 757). </w:t>
      </w:r>
      <w:r w:rsidR="00223F3C" w:rsidRPr="00F61A9E">
        <w:rPr>
          <w:rFonts w:ascii="Arial" w:hAnsi="Arial" w:cs="Arial"/>
          <w:color w:val="000000" w:themeColor="text1"/>
          <w:sz w:val="24"/>
          <w:szCs w:val="24"/>
        </w:rPr>
        <w:t>Within this it is important to consider the role that universities may play.</w:t>
      </w:r>
    </w:p>
    <w:p w:rsidR="007C78AF" w:rsidRPr="00F61A9E" w:rsidRDefault="007C78AF" w:rsidP="00FE38F8">
      <w:pPr>
        <w:spacing w:after="0" w:line="480" w:lineRule="auto"/>
        <w:rPr>
          <w:rFonts w:ascii="Arial" w:hAnsi="Arial" w:cs="Arial"/>
          <w:color w:val="000000" w:themeColor="text1"/>
          <w:sz w:val="24"/>
          <w:szCs w:val="24"/>
        </w:rPr>
      </w:pPr>
    </w:p>
    <w:p w:rsidR="00995987" w:rsidRPr="00F61A9E" w:rsidRDefault="00CE7069"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3.2 HE reforms and the challenge of Brexit</w:t>
      </w:r>
    </w:p>
    <w:p w:rsidR="00481347" w:rsidRPr="00F61A9E" w:rsidRDefault="00F450BF"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 xml:space="preserve">In a context of </w:t>
      </w:r>
      <w:r w:rsidR="000475F6" w:rsidRPr="00F61A9E">
        <w:rPr>
          <w:rFonts w:ascii="Arial" w:hAnsi="Arial" w:cs="Arial"/>
          <w:color w:val="000000" w:themeColor="text1"/>
          <w:sz w:val="24"/>
          <w:szCs w:val="24"/>
        </w:rPr>
        <w:t>Brexit</w:t>
      </w:r>
      <w:r w:rsidRPr="00F61A9E">
        <w:rPr>
          <w:rFonts w:ascii="Arial" w:hAnsi="Arial" w:cs="Arial"/>
          <w:color w:val="000000" w:themeColor="text1"/>
          <w:sz w:val="24"/>
          <w:szCs w:val="24"/>
        </w:rPr>
        <w:t xml:space="preserve">, UK government has sought to mitigate university </w:t>
      </w:r>
      <w:r w:rsidR="00356982" w:rsidRPr="00F61A9E">
        <w:rPr>
          <w:rFonts w:ascii="Arial" w:hAnsi="Arial" w:cs="Arial"/>
          <w:color w:val="000000" w:themeColor="text1"/>
          <w:sz w:val="24"/>
          <w:szCs w:val="24"/>
        </w:rPr>
        <w:t>risk</w:t>
      </w:r>
      <w:r w:rsidR="000475F6" w:rsidRPr="00F61A9E">
        <w:rPr>
          <w:rFonts w:ascii="Arial" w:hAnsi="Arial" w:cs="Arial"/>
          <w:color w:val="000000" w:themeColor="text1"/>
          <w:sz w:val="24"/>
          <w:szCs w:val="24"/>
        </w:rPr>
        <w:t xml:space="preserve"> </w:t>
      </w:r>
      <w:r w:rsidR="00356982" w:rsidRPr="00F61A9E">
        <w:rPr>
          <w:rFonts w:ascii="Arial" w:hAnsi="Arial" w:cs="Arial"/>
          <w:color w:val="000000" w:themeColor="text1"/>
          <w:sz w:val="24"/>
          <w:szCs w:val="24"/>
        </w:rPr>
        <w:t xml:space="preserve">through </w:t>
      </w:r>
      <w:r w:rsidR="00481347" w:rsidRPr="00F61A9E">
        <w:rPr>
          <w:rFonts w:ascii="Arial" w:hAnsi="Arial" w:cs="Arial"/>
          <w:color w:val="000000" w:themeColor="text1"/>
          <w:sz w:val="24"/>
          <w:szCs w:val="24"/>
        </w:rPr>
        <w:t xml:space="preserve">the development of </w:t>
      </w:r>
      <w:r w:rsidR="00356982" w:rsidRPr="00F61A9E">
        <w:rPr>
          <w:rFonts w:ascii="Arial" w:hAnsi="Arial" w:cs="Arial"/>
          <w:color w:val="000000" w:themeColor="text1"/>
          <w:sz w:val="24"/>
          <w:szCs w:val="24"/>
        </w:rPr>
        <w:t xml:space="preserve">Higher Education </w:t>
      </w:r>
      <w:r w:rsidR="00481347" w:rsidRPr="00F61A9E">
        <w:rPr>
          <w:rFonts w:ascii="Arial" w:hAnsi="Arial" w:cs="Arial"/>
          <w:color w:val="000000" w:themeColor="text1"/>
          <w:sz w:val="24"/>
          <w:szCs w:val="24"/>
        </w:rPr>
        <w:t>policies</w:t>
      </w:r>
      <w:r w:rsidR="0059177C" w:rsidRPr="00F61A9E">
        <w:rPr>
          <w:rFonts w:ascii="Arial" w:hAnsi="Arial" w:cs="Arial"/>
          <w:color w:val="000000" w:themeColor="text1"/>
          <w:sz w:val="24"/>
          <w:szCs w:val="24"/>
        </w:rPr>
        <w:t xml:space="preserve"> that seek to secure the future of the university sector</w:t>
      </w:r>
      <w:r w:rsidR="00481347" w:rsidRPr="00F61A9E">
        <w:rPr>
          <w:rFonts w:ascii="Arial" w:hAnsi="Arial" w:cs="Arial"/>
          <w:color w:val="000000" w:themeColor="text1"/>
          <w:sz w:val="24"/>
          <w:szCs w:val="24"/>
        </w:rPr>
        <w:t xml:space="preserve">. The Higher Education </w:t>
      </w:r>
      <w:r w:rsidR="00356982" w:rsidRPr="00F61A9E">
        <w:rPr>
          <w:rFonts w:ascii="Arial" w:hAnsi="Arial" w:cs="Arial"/>
          <w:color w:val="000000" w:themeColor="text1"/>
          <w:sz w:val="24"/>
          <w:szCs w:val="24"/>
        </w:rPr>
        <w:t xml:space="preserve">White Paper – </w:t>
      </w:r>
      <w:r w:rsidR="00356982" w:rsidRPr="00F61A9E">
        <w:rPr>
          <w:rFonts w:ascii="Arial" w:hAnsi="Arial" w:cs="Arial"/>
          <w:i/>
          <w:color w:val="000000" w:themeColor="text1"/>
          <w:sz w:val="24"/>
          <w:szCs w:val="24"/>
        </w:rPr>
        <w:t>Success as a Knowledge Economy: Teaching Excellence, Social Mobility and Student Choice</w:t>
      </w:r>
      <w:r w:rsidR="00356982" w:rsidRPr="00F61A9E">
        <w:rPr>
          <w:rFonts w:ascii="Arial" w:hAnsi="Arial" w:cs="Arial"/>
          <w:color w:val="000000" w:themeColor="text1"/>
          <w:sz w:val="24"/>
          <w:szCs w:val="24"/>
        </w:rPr>
        <w:t xml:space="preserve"> (DBIS, 2016)</w:t>
      </w:r>
      <w:r w:rsidR="00481347" w:rsidRPr="00F61A9E">
        <w:rPr>
          <w:rFonts w:ascii="Arial" w:hAnsi="Arial" w:cs="Arial"/>
          <w:color w:val="000000" w:themeColor="text1"/>
          <w:sz w:val="24"/>
          <w:szCs w:val="24"/>
        </w:rPr>
        <w:t xml:space="preserve"> exemplifies </w:t>
      </w:r>
      <w:r w:rsidR="0059177C" w:rsidRPr="00F61A9E">
        <w:rPr>
          <w:rFonts w:ascii="Arial" w:hAnsi="Arial" w:cs="Arial"/>
          <w:color w:val="000000" w:themeColor="text1"/>
          <w:sz w:val="24"/>
          <w:szCs w:val="24"/>
        </w:rPr>
        <w:t>a</w:t>
      </w:r>
      <w:r w:rsidR="00481347" w:rsidRPr="00F61A9E">
        <w:rPr>
          <w:rFonts w:ascii="Arial" w:hAnsi="Arial" w:cs="Arial"/>
          <w:color w:val="000000" w:themeColor="text1"/>
          <w:sz w:val="24"/>
          <w:szCs w:val="24"/>
        </w:rPr>
        <w:t xml:space="preserve"> need for universities to thrive</w:t>
      </w:r>
      <w:r w:rsidR="0059177C" w:rsidRPr="00F61A9E">
        <w:rPr>
          <w:rFonts w:ascii="Arial" w:hAnsi="Arial" w:cs="Arial"/>
          <w:color w:val="000000" w:themeColor="text1"/>
          <w:sz w:val="24"/>
          <w:szCs w:val="24"/>
        </w:rPr>
        <w:t xml:space="preserve"> in Brexit</w:t>
      </w:r>
      <w:r w:rsidRPr="00F61A9E">
        <w:rPr>
          <w:rFonts w:ascii="Arial" w:hAnsi="Arial" w:cs="Arial"/>
          <w:color w:val="000000" w:themeColor="text1"/>
          <w:sz w:val="24"/>
          <w:szCs w:val="24"/>
        </w:rPr>
        <w:t xml:space="preserve">. </w:t>
      </w:r>
      <w:r w:rsidR="004B2829" w:rsidRPr="00F61A9E">
        <w:rPr>
          <w:rFonts w:ascii="Arial" w:hAnsi="Arial" w:cs="Arial"/>
          <w:color w:val="000000" w:themeColor="text1"/>
          <w:sz w:val="24"/>
          <w:szCs w:val="24"/>
        </w:rPr>
        <w:t xml:space="preserve">In considering the </w:t>
      </w:r>
      <w:r w:rsidR="0059177C" w:rsidRPr="00F61A9E">
        <w:rPr>
          <w:rFonts w:ascii="Arial" w:hAnsi="Arial" w:cs="Arial"/>
          <w:color w:val="000000" w:themeColor="text1"/>
          <w:sz w:val="24"/>
          <w:szCs w:val="24"/>
        </w:rPr>
        <w:t>consequences</w:t>
      </w:r>
      <w:r w:rsidR="004B2829" w:rsidRPr="00F61A9E">
        <w:rPr>
          <w:rFonts w:ascii="Arial" w:hAnsi="Arial" w:cs="Arial"/>
          <w:color w:val="000000" w:themeColor="text1"/>
          <w:sz w:val="24"/>
          <w:szCs w:val="24"/>
        </w:rPr>
        <w:t xml:space="preserve"> of Brexit</w:t>
      </w:r>
      <w:r w:rsidR="00481347" w:rsidRPr="00F61A9E">
        <w:rPr>
          <w:rFonts w:ascii="Arial" w:hAnsi="Arial" w:cs="Arial"/>
          <w:color w:val="000000" w:themeColor="text1"/>
          <w:sz w:val="24"/>
          <w:szCs w:val="24"/>
        </w:rPr>
        <w:t xml:space="preserve"> on the UK higher education sector</w:t>
      </w:r>
      <w:r w:rsidR="004B2829" w:rsidRPr="00F61A9E">
        <w:rPr>
          <w:rFonts w:ascii="Arial" w:hAnsi="Arial" w:cs="Arial"/>
          <w:color w:val="000000" w:themeColor="text1"/>
          <w:sz w:val="24"/>
          <w:szCs w:val="24"/>
        </w:rPr>
        <w:t xml:space="preserve">, Mayhew, (2017, S156) </w:t>
      </w:r>
      <w:r w:rsidR="00481347" w:rsidRPr="00F61A9E">
        <w:rPr>
          <w:rFonts w:ascii="Arial" w:hAnsi="Arial" w:cs="Arial"/>
          <w:color w:val="000000" w:themeColor="text1"/>
          <w:sz w:val="24"/>
          <w:szCs w:val="24"/>
        </w:rPr>
        <w:t xml:space="preserve">predicts a </w:t>
      </w:r>
      <w:r w:rsidR="0059177C" w:rsidRPr="00F61A9E">
        <w:rPr>
          <w:rFonts w:ascii="Arial" w:hAnsi="Arial" w:cs="Arial"/>
          <w:color w:val="000000" w:themeColor="text1"/>
          <w:sz w:val="24"/>
          <w:szCs w:val="24"/>
        </w:rPr>
        <w:t>number</w:t>
      </w:r>
      <w:r w:rsidR="00481347" w:rsidRPr="00F61A9E">
        <w:rPr>
          <w:rFonts w:ascii="Arial" w:hAnsi="Arial" w:cs="Arial"/>
          <w:color w:val="000000" w:themeColor="text1"/>
          <w:sz w:val="24"/>
          <w:szCs w:val="24"/>
        </w:rPr>
        <w:t xml:space="preserve"> of facets </w:t>
      </w:r>
      <w:r w:rsidR="0059177C" w:rsidRPr="00F61A9E">
        <w:rPr>
          <w:rFonts w:ascii="Arial" w:hAnsi="Arial" w:cs="Arial"/>
          <w:color w:val="000000" w:themeColor="text1"/>
          <w:sz w:val="24"/>
          <w:szCs w:val="24"/>
        </w:rPr>
        <w:t>comprising</w:t>
      </w:r>
      <w:r w:rsidR="00481347" w:rsidRPr="00F61A9E">
        <w:rPr>
          <w:rFonts w:ascii="Arial" w:hAnsi="Arial" w:cs="Arial"/>
          <w:color w:val="000000" w:themeColor="text1"/>
          <w:sz w:val="24"/>
          <w:szCs w:val="24"/>
        </w:rPr>
        <w:t xml:space="preserve"> </w:t>
      </w:r>
      <w:r w:rsidR="0059177C" w:rsidRPr="00F61A9E">
        <w:rPr>
          <w:rFonts w:ascii="Arial" w:hAnsi="Arial" w:cs="Arial"/>
          <w:color w:val="000000" w:themeColor="text1"/>
          <w:sz w:val="24"/>
          <w:szCs w:val="24"/>
        </w:rPr>
        <w:t xml:space="preserve">of </w:t>
      </w:r>
      <w:r w:rsidR="004B2829" w:rsidRPr="00F61A9E">
        <w:rPr>
          <w:rFonts w:ascii="Arial" w:hAnsi="Arial" w:cs="Arial"/>
          <w:color w:val="000000" w:themeColor="text1"/>
          <w:sz w:val="24"/>
          <w:szCs w:val="24"/>
        </w:rPr>
        <w:t>“massive uncertainty” and “several areas of t</w:t>
      </w:r>
      <w:r w:rsidRPr="00F61A9E">
        <w:rPr>
          <w:rFonts w:ascii="Arial" w:hAnsi="Arial" w:cs="Arial"/>
          <w:color w:val="000000" w:themeColor="text1"/>
          <w:sz w:val="24"/>
          <w:szCs w:val="24"/>
        </w:rPr>
        <w:t>hreat</w:t>
      </w:r>
      <w:r w:rsidR="004B2829" w:rsidRPr="00F61A9E">
        <w:rPr>
          <w:rFonts w:ascii="Arial" w:hAnsi="Arial" w:cs="Arial"/>
          <w:color w:val="000000" w:themeColor="text1"/>
          <w:sz w:val="24"/>
          <w:szCs w:val="24"/>
        </w:rPr>
        <w:t>”</w:t>
      </w:r>
      <w:r w:rsidR="0059177C" w:rsidRPr="00F61A9E">
        <w:rPr>
          <w:rFonts w:ascii="Arial" w:hAnsi="Arial" w:cs="Arial"/>
          <w:color w:val="000000" w:themeColor="text1"/>
          <w:sz w:val="24"/>
          <w:szCs w:val="24"/>
        </w:rPr>
        <w:t xml:space="preserve"> that drive reflection</w:t>
      </w:r>
      <w:r w:rsidR="004B2829" w:rsidRPr="00F61A9E">
        <w:rPr>
          <w:rFonts w:ascii="Arial" w:hAnsi="Arial" w:cs="Arial"/>
          <w:color w:val="000000" w:themeColor="text1"/>
          <w:sz w:val="24"/>
          <w:szCs w:val="24"/>
        </w:rPr>
        <w:t xml:space="preserve">. </w:t>
      </w:r>
      <w:r w:rsidR="009302B1" w:rsidRPr="00F61A9E">
        <w:rPr>
          <w:rFonts w:ascii="Arial" w:hAnsi="Arial" w:cs="Arial"/>
          <w:color w:val="000000" w:themeColor="text1"/>
          <w:sz w:val="24"/>
          <w:szCs w:val="24"/>
        </w:rPr>
        <w:t>F</w:t>
      </w:r>
      <w:r w:rsidR="00481347" w:rsidRPr="00F61A9E">
        <w:rPr>
          <w:rFonts w:ascii="Arial" w:hAnsi="Arial" w:cs="Arial"/>
          <w:color w:val="000000" w:themeColor="text1"/>
          <w:sz w:val="24"/>
          <w:szCs w:val="24"/>
        </w:rPr>
        <w:t xml:space="preserve">our overarching </w:t>
      </w:r>
      <w:r w:rsidR="0059177C" w:rsidRPr="00F61A9E">
        <w:rPr>
          <w:rFonts w:ascii="Arial" w:hAnsi="Arial" w:cs="Arial"/>
          <w:color w:val="000000" w:themeColor="text1"/>
          <w:sz w:val="24"/>
          <w:szCs w:val="24"/>
        </w:rPr>
        <w:t>pressures</w:t>
      </w:r>
      <w:r w:rsidR="00481347" w:rsidRPr="00F61A9E">
        <w:rPr>
          <w:rFonts w:ascii="Arial" w:hAnsi="Arial" w:cs="Arial"/>
          <w:color w:val="000000" w:themeColor="text1"/>
          <w:sz w:val="24"/>
          <w:szCs w:val="24"/>
        </w:rPr>
        <w:t xml:space="preserve"> </w:t>
      </w:r>
      <w:r w:rsidR="009302B1" w:rsidRPr="00F61A9E">
        <w:rPr>
          <w:rFonts w:ascii="Arial" w:hAnsi="Arial" w:cs="Arial"/>
          <w:color w:val="000000" w:themeColor="text1"/>
          <w:sz w:val="24"/>
          <w:szCs w:val="24"/>
        </w:rPr>
        <w:t xml:space="preserve">have been identified in relation to universities post-Brexit: the number of EU students in the UK; access to research funding; ability to attract staff from EU countries; and the ability of UK students to study abroad (Corbett 2016; MacKay 2016; Mayhew 2017). </w:t>
      </w:r>
      <w:r w:rsidR="00481347" w:rsidRPr="00F61A9E">
        <w:rPr>
          <w:rFonts w:ascii="Arial" w:hAnsi="Arial" w:cs="Arial"/>
          <w:color w:val="000000" w:themeColor="text1"/>
          <w:sz w:val="24"/>
          <w:szCs w:val="24"/>
        </w:rPr>
        <w:t xml:space="preserve"> </w:t>
      </w:r>
    </w:p>
    <w:p w:rsidR="003A644A" w:rsidRPr="00F61A9E" w:rsidRDefault="003A644A" w:rsidP="00FE38F8">
      <w:pPr>
        <w:spacing w:after="0" w:line="480" w:lineRule="auto"/>
        <w:rPr>
          <w:rFonts w:ascii="Arial" w:hAnsi="Arial" w:cs="Arial"/>
          <w:color w:val="000000" w:themeColor="text1"/>
          <w:sz w:val="24"/>
          <w:szCs w:val="24"/>
        </w:rPr>
      </w:pPr>
    </w:p>
    <w:p w:rsidR="00FC7490" w:rsidRPr="00F61A9E" w:rsidRDefault="003A644A" w:rsidP="00104013">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More recently the</w:t>
      </w:r>
      <w:r w:rsidRPr="00F61A9E">
        <w:rPr>
          <w:color w:val="000000" w:themeColor="text1"/>
        </w:rPr>
        <w:t xml:space="preserve"> </w:t>
      </w:r>
      <w:r w:rsidRPr="00F61A9E">
        <w:rPr>
          <w:rFonts w:ascii="Arial" w:hAnsi="Arial" w:cs="Arial"/>
          <w:color w:val="000000" w:themeColor="text1"/>
          <w:sz w:val="24"/>
          <w:szCs w:val="24"/>
        </w:rPr>
        <w:t xml:space="preserve">Review of Post-18 Education and Funding, known as the </w:t>
      </w:r>
      <w:proofErr w:type="spellStart"/>
      <w:r w:rsidRPr="00F61A9E">
        <w:rPr>
          <w:rFonts w:ascii="Arial" w:hAnsi="Arial" w:cs="Arial"/>
          <w:color w:val="000000" w:themeColor="text1"/>
          <w:sz w:val="24"/>
          <w:szCs w:val="24"/>
        </w:rPr>
        <w:t>Augar</w:t>
      </w:r>
      <w:proofErr w:type="spellEnd"/>
      <w:r w:rsidRPr="00F61A9E">
        <w:rPr>
          <w:rFonts w:ascii="Arial" w:hAnsi="Arial" w:cs="Arial"/>
          <w:color w:val="000000" w:themeColor="text1"/>
          <w:sz w:val="24"/>
          <w:szCs w:val="24"/>
        </w:rPr>
        <w:t xml:space="preserve"> Review after the panel chair, has recommended changes</w:t>
      </w:r>
      <w:r w:rsidR="004A17FB" w:rsidRPr="00F61A9E">
        <w:rPr>
          <w:rFonts w:ascii="Arial" w:hAnsi="Arial" w:cs="Arial"/>
          <w:color w:val="000000" w:themeColor="text1"/>
          <w:sz w:val="24"/>
          <w:szCs w:val="24"/>
        </w:rPr>
        <w:t xml:space="preserve"> especially in relation to the funding of higher education. </w:t>
      </w:r>
      <w:r w:rsidR="003211C6" w:rsidRPr="00F61A9E">
        <w:rPr>
          <w:rFonts w:ascii="Arial" w:hAnsi="Arial" w:cs="Arial"/>
          <w:color w:val="000000" w:themeColor="text1"/>
          <w:sz w:val="24"/>
          <w:szCs w:val="24"/>
        </w:rPr>
        <w:t>The</w:t>
      </w:r>
      <w:r w:rsidR="00104013" w:rsidRPr="00F61A9E">
        <w:rPr>
          <w:rFonts w:ascii="Arial" w:hAnsi="Arial" w:cs="Arial"/>
          <w:color w:val="000000" w:themeColor="text1"/>
          <w:sz w:val="24"/>
          <w:szCs w:val="24"/>
        </w:rPr>
        <w:t xml:space="preserve"> recommendations include reducing tuition fees, extending the repayment period and reducing the income threshold for tuition loan repayments and reintroducing maintenance grants for disadvantaged students. The impact on universities would be felt most in areas such as the North-East</w:t>
      </w:r>
      <w:r w:rsidR="00347FF4" w:rsidRPr="00F61A9E">
        <w:rPr>
          <w:rFonts w:ascii="Arial" w:hAnsi="Arial" w:cs="Arial"/>
          <w:color w:val="000000" w:themeColor="text1"/>
          <w:sz w:val="24"/>
          <w:szCs w:val="24"/>
        </w:rPr>
        <w:t xml:space="preserve"> (where graduate salaries are typically lower than in London and the South-East)</w:t>
      </w:r>
      <w:r w:rsidR="00104013" w:rsidRPr="00F61A9E">
        <w:rPr>
          <w:rFonts w:ascii="Arial" w:hAnsi="Arial" w:cs="Arial"/>
          <w:color w:val="000000" w:themeColor="text1"/>
          <w:sz w:val="24"/>
          <w:szCs w:val="24"/>
        </w:rPr>
        <w:t xml:space="preserve"> </w:t>
      </w:r>
      <w:r w:rsidR="00347FF4" w:rsidRPr="00F61A9E">
        <w:rPr>
          <w:rFonts w:ascii="Arial" w:hAnsi="Arial" w:cs="Arial"/>
          <w:color w:val="000000" w:themeColor="text1"/>
          <w:sz w:val="24"/>
          <w:szCs w:val="24"/>
        </w:rPr>
        <w:t>as well as</w:t>
      </w:r>
      <w:r w:rsidR="00104013" w:rsidRPr="00F61A9E">
        <w:rPr>
          <w:rFonts w:ascii="Arial" w:hAnsi="Arial" w:cs="Arial"/>
          <w:color w:val="000000" w:themeColor="text1"/>
          <w:sz w:val="24"/>
          <w:szCs w:val="24"/>
        </w:rPr>
        <w:t xml:space="preserve"> </w:t>
      </w:r>
      <w:r w:rsidR="00104013" w:rsidRPr="00F61A9E">
        <w:rPr>
          <w:rFonts w:ascii="Arial" w:hAnsi="Arial" w:cs="Arial"/>
          <w:color w:val="000000" w:themeColor="text1"/>
          <w:sz w:val="24"/>
          <w:szCs w:val="24"/>
        </w:rPr>
        <w:lastRenderedPageBreak/>
        <w:t xml:space="preserve">in courses relating to the public sector, such as nursing. </w:t>
      </w:r>
      <w:r w:rsidR="00FC7490" w:rsidRPr="00F61A9E">
        <w:rPr>
          <w:rFonts w:ascii="Arial" w:hAnsi="Arial" w:cs="Arial"/>
          <w:color w:val="000000" w:themeColor="text1"/>
          <w:sz w:val="24"/>
          <w:szCs w:val="24"/>
        </w:rPr>
        <w:t xml:space="preserve">Yet the recommendations have yet to be adopted by the UK Government </w:t>
      </w:r>
      <w:r w:rsidR="000E01FA" w:rsidRPr="00F61A9E">
        <w:rPr>
          <w:rFonts w:ascii="Arial" w:hAnsi="Arial" w:cs="Arial"/>
          <w:color w:val="000000" w:themeColor="text1"/>
          <w:sz w:val="24"/>
          <w:szCs w:val="24"/>
        </w:rPr>
        <w:t>and within the Cabinet there would seem to be a range of views.</w:t>
      </w:r>
      <w:r w:rsidR="00361629" w:rsidRPr="00F61A9E">
        <w:rPr>
          <w:rFonts w:ascii="Arial" w:hAnsi="Arial" w:cs="Arial"/>
          <w:color w:val="000000" w:themeColor="text1"/>
          <w:sz w:val="24"/>
          <w:szCs w:val="24"/>
        </w:rPr>
        <w:t xml:space="preserve"> For example</w:t>
      </w:r>
      <w:r w:rsidR="000E01FA" w:rsidRPr="00F61A9E">
        <w:rPr>
          <w:rFonts w:ascii="Arial" w:hAnsi="Arial" w:cs="Arial"/>
          <w:color w:val="000000" w:themeColor="text1"/>
          <w:sz w:val="24"/>
          <w:szCs w:val="24"/>
        </w:rPr>
        <w:t xml:space="preserve"> Jo Johnson MP, </w:t>
      </w:r>
      <w:r w:rsidR="000A1CC3" w:rsidRPr="00F61A9E">
        <w:rPr>
          <w:rFonts w:ascii="Arial" w:hAnsi="Arial" w:cs="Arial"/>
          <w:color w:val="000000" w:themeColor="text1"/>
          <w:sz w:val="24"/>
          <w:szCs w:val="24"/>
        </w:rPr>
        <w:t xml:space="preserve">the current Minister of State at the Department for Business, Energy and Industrial Strategy and Department for Education, </w:t>
      </w:r>
      <w:r w:rsidR="000E01FA" w:rsidRPr="00F61A9E">
        <w:rPr>
          <w:rFonts w:ascii="Arial" w:hAnsi="Arial" w:cs="Arial"/>
          <w:color w:val="000000" w:themeColor="text1"/>
          <w:sz w:val="24"/>
          <w:szCs w:val="24"/>
        </w:rPr>
        <w:t>recently</w:t>
      </w:r>
      <w:r w:rsidR="000A1CC3" w:rsidRPr="00F61A9E">
        <w:rPr>
          <w:rFonts w:ascii="Arial" w:hAnsi="Arial" w:cs="Arial"/>
          <w:color w:val="000000" w:themeColor="text1"/>
          <w:sz w:val="24"/>
          <w:szCs w:val="24"/>
        </w:rPr>
        <w:t xml:space="preserve"> </w:t>
      </w:r>
      <w:r w:rsidR="00361629" w:rsidRPr="00F61A9E">
        <w:rPr>
          <w:rFonts w:ascii="Arial" w:hAnsi="Arial" w:cs="Arial"/>
          <w:color w:val="000000" w:themeColor="text1"/>
          <w:sz w:val="24"/>
          <w:szCs w:val="24"/>
        </w:rPr>
        <w:t>tweeted</w:t>
      </w:r>
      <w:r w:rsidR="000A1CC3" w:rsidRPr="00F61A9E">
        <w:rPr>
          <w:rFonts w:ascii="Arial" w:hAnsi="Arial" w:cs="Arial"/>
          <w:color w:val="000000" w:themeColor="text1"/>
          <w:sz w:val="24"/>
          <w:szCs w:val="24"/>
        </w:rPr>
        <w:t>:</w:t>
      </w:r>
    </w:p>
    <w:p w:rsidR="00FC7490" w:rsidRPr="00F61A9E" w:rsidRDefault="00FC7490" w:rsidP="000A1CC3">
      <w:pPr>
        <w:spacing w:after="0" w:line="480" w:lineRule="auto"/>
        <w:ind w:left="720"/>
        <w:rPr>
          <w:rFonts w:ascii="Arial" w:hAnsi="Arial" w:cs="Arial"/>
          <w:color w:val="000000" w:themeColor="text1"/>
          <w:sz w:val="24"/>
          <w:szCs w:val="24"/>
        </w:rPr>
      </w:pPr>
      <w:r w:rsidRPr="00F61A9E">
        <w:rPr>
          <w:rFonts w:ascii="Arial" w:hAnsi="Arial" w:cs="Arial"/>
          <w:color w:val="000000" w:themeColor="text1"/>
          <w:sz w:val="24"/>
          <w:szCs w:val="24"/>
        </w:rPr>
        <w:t>“</w:t>
      </w:r>
      <w:proofErr w:type="spellStart"/>
      <w:r w:rsidRPr="00F61A9E">
        <w:rPr>
          <w:rFonts w:ascii="Arial" w:hAnsi="Arial" w:cs="Arial"/>
          <w:color w:val="000000" w:themeColor="text1"/>
          <w:sz w:val="24"/>
          <w:szCs w:val="24"/>
        </w:rPr>
        <w:t>Augar</w:t>
      </w:r>
      <w:proofErr w:type="spellEnd"/>
      <w:r w:rsidRPr="00F61A9E">
        <w:rPr>
          <w:rFonts w:ascii="Arial" w:hAnsi="Arial" w:cs="Arial"/>
          <w:color w:val="000000" w:themeColor="text1"/>
          <w:sz w:val="24"/>
          <w:szCs w:val="24"/>
        </w:rPr>
        <w:t xml:space="preserve"> (as predicated) will destabilise </w:t>
      </w:r>
      <w:proofErr w:type="spellStart"/>
      <w:r w:rsidRPr="00F61A9E">
        <w:rPr>
          <w:rFonts w:ascii="Arial" w:hAnsi="Arial" w:cs="Arial"/>
          <w:color w:val="000000" w:themeColor="text1"/>
          <w:sz w:val="24"/>
          <w:szCs w:val="24"/>
        </w:rPr>
        <w:t>uni</w:t>
      </w:r>
      <w:proofErr w:type="spellEnd"/>
      <w:r w:rsidRPr="00F61A9E">
        <w:rPr>
          <w:rFonts w:ascii="Arial" w:hAnsi="Arial" w:cs="Arial"/>
          <w:color w:val="000000" w:themeColor="text1"/>
          <w:sz w:val="24"/>
          <w:szCs w:val="24"/>
        </w:rPr>
        <w:t xml:space="preserve"> finances, imperil many courses &amp; reverse progress in widening access. Reducing fees to £7.5k will leave funding hole HMT won’t fill + benefit only highest earning grads at expense of general taxpayer. Bad policy, bad politics” </w:t>
      </w:r>
      <w:r w:rsidR="000A1CC3" w:rsidRPr="00F61A9E">
        <w:rPr>
          <w:rFonts w:ascii="Arial" w:hAnsi="Arial" w:cs="Arial"/>
          <w:color w:val="000000" w:themeColor="text1"/>
          <w:sz w:val="24"/>
          <w:szCs w:val="24"/>
        </w:rPr>
        <w:t>(Johnson, 2019</w:t>
      </w:r>
      <w:r w:rsidR="000E01FA" w:rsidRPr="00F61A9E">
        <w:rPr>
          <w:rFonts w:ascii="Arial" w:hAnsi="Arial" w:cs="Arial"/>
          <w:color w:val="000000" w:themeColor="text1"/>
          <w:sz w:val="24"/>
          <w:szCs w:val="24"/>
        </w:rPr>
        <w:t>)</w:t>
      </w:r>
      <w:r w:rsidR="005040FD" w:rsidRPr="00F61A9E">
        <w:rPr>
          <w:rFonts w:ascii="Arial" w:hAnsi="Arial" w:cs="Arial"/>
          <w:color w:val="000000" w:themeColor="text1"/>
          <w:sz w:val="24"/>
          <w:szCs w:val="24"/>
        </w:rPr>
        <w:t>.</w:t>
      </w:r>
    </w:p>
    <w:p w:rsidR="005040FD" w:rsidRPr="00F61A9E" w:rsidRDefault="005040FD" w:rsidP="005040FD">
      <w:pPr>
        <w:spacing w:after="0" w:line="480" w:lineRule="auto"/>
        <w:rPr>
          <w:rFonts w:ascii="Arial" w:hAnsi="Arial" w:cs="Arial"/>
          <w:color w:val="000000" w:themeColor="text1"/>
          <w:sz w:val="24"/>
          <w:szCs w:val="24"/>
        </w:rPr>
      </w:pPr>
    </w:p>
    <w:p w:rsidR="007A1210" w:rsidRPr="00F61A9E" w:rsidRDefault="005040FD" w:rsidP="0063754E">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 xml:space="preserve">At the same time Universities UK have argued </w:t>
      </w:r>
      <w:r w:rsidR="0063754E" w:rsidRPr="00F61A9E">
        <w:rPr>
          <w:rFonts w:ascii="Arial" w:hAnsi="Arial" w:cs="Arial"/>
          <w:color w:val="000000" w:themeColor="text1"/>
          <w:sz w:val="24"/>
          <w:szCs w:val="24"/>
        </w:rPr>
        <w:t xml:space="preserve">for a wide range of measures </w:t>
      </w:r>
      <w:r w:rsidRPr="00F61A9E">
        <w:rPr>
          <w:rFonts w:ascii="Arial" w:hAnsi="Arial" w:cs="Arial"/>
          <w:color w:val="000000" w:themeColor="text1"/>
          <w:sz w:val="24"/>
          <w:szCs w:val="24"/>
        </w:rPr>
        <w:t xml:space="preserve">that the UK Government must </w:t>
      </w:r>
      <w:r w:rsidR="0063754E" w:rsidRPr="00F61A9E">
        <w:rPr>
          <w:rFonts w:ascii="Arial" w:hAnsi="Arial" w:cs="Arial"/>
          <w:color w:val="000000" w:themeColor="text1"/>
          <w:sz w:val="24"/>
          <w:szCs w:val="24"/>
        </w:rPr>
        <w:t>put in place prior to Brexit. These include acting to</w:t>
      </w:r>
      <w:r w:rsidRPr="00F61A9E">
        <w:rPr>
          <w:rFonts w:ascii="Arial" w:hAnsi="Arial" w:cs="Arial"/>
          <w:color w:val="000000" w:themeColor="text1"/>
          <w:sz w:val="24"/>
          <w:szCs w:val="24"/>
        </w:rPr>
        <w:t xml:space="preserve"> support EU students and staff, </w:t>
      </w:r>
      <w:r w:rsidR="0063754E" w:rsidRPr="00F61A9E">
        <w:rPr>
          <w:rFonts w:ascii="Arial" w:hAnsi="Arial" w:cs="Arial"/>
          <w:color w:val="000000" w:themeColor="text1"/>
          <w:sz w:val="24"/>
          <w:szCs w:val="24"/>
        </w:rPr>
        <w:t>ensure access to research funding is sustained, and “creating a UK Shared Prosperity Fund (UKSPF) that is informed by the expertise and experience of universities, sufficiently accounting for devolved / regional need”</w:t>
      </w:r>
      <w:r w:rsidR="00AB560B" w:rsidRPr="00F61A9E">
        <w:rPr>
          <w:rFonts w:ascii="Arial" w:hAnsi="Arial" w:cs="Arial"/>
          <w:color w:val="000000" w:themeColor="text1"/>
          <w:sz w:val="24"/>
          <w:szCs w:val="24"/>
        </w:rPr>
        <w:t xml:space="preserve"> (Universities UK 2018)</w:t>
      </w:r>
      <w:r w:rsidR="0063754E" w:rsidRPr="00F61A9E">
        <w:rPr>
          <w:rFonts w:ascii="Arial" w:hAnsi="Arial" w:cs="Arial"/>
          <w:color w:val="000000" w:themeColor="text1"/>
          <w:sz w:val="24"/>
          <w:szCs w:val="24"/>
        </w:rPr>
        <w:t>. With the later of these measures we can see how universities may play a greater role within regional governance structures post-Brexit.</w:t>
      </w:r>
      <w:r w:rsidR="00AB560B" w:rsidRPr="00F61A9E">
        <w:rPr>
          <w:rFonts w:ascii="Arial" w:hAnsi="Arial" w:cs="Arial"/>
          <w:color w:val="000000" w:themeColor="text1"/>
          <w:sz w:val="24"/>
          <w:szCs w:val="24"/>
        </w:rPr>
        <w:t xml:space="preserve"> </w:t>
      </w:r>
    </w:p>
    <w:p w:rsidR="007A1210" w:rsidRPr="00F61A9E" w:rsidRDefault="007A1210" w:rsidP="0063754E">
      <w:pPr>
        <w:spacing w:after="0" w:line="480" w:lineRule="auto"/>
        <w:rPr>
          <w:rFonts w:ascii="Arial" w:hAnsi="Arial" w:cs="Arial"/>
          <w:color w:val="000000" w:themeColor="text1"/>
          <w:sz w:val="24"/>
          <w:szCs w:val="24"/>
        </w:rPr>
      </w:pPr>
    </w:p>
    <w:p w:rsidR="005040FD" w:rsidRPr="00F61A9E" w:rsidRDefault="007A1210" w:rsidP="0063754E">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 xml:space="preserve">Universities UK </w:t>
      </w:r>
      <w:r w:rsidR="00AB560B" w:rsidRPr="00F61A9E">
        <w:rPr>
          <w:rFonts w:ascii="Arial" w:hAnsi="Arial" w:cs="Arial"/>
          <w:color w:val="000000" w:themeColor="text1"/>
          <w:sz w:val="24"/>
          <w:szCs w:val="24"/>
        </w:rPr>
        <w:t>have also suggested a greater role for degree apprenticeships</w:t>
      </w:r>
      <w:r w:rsidR="00D21FBA" w:rsidRPr="00F61A9E">
        <w:rPr>
          <w:rFonts w:ascii="Arial" w:hAnsi="Arial" w:cs="Arial"/>
          <w:color w:val="000000" w:themeColor="text1"/>
          <w:sz w:val="24"/>
          <w:szCs w:val="24"/>
        </w:rPr>
        <w:t xml:space="preserve"> arguing that “the system should develop to meet current and future demand for higher level skills in areas such as digital technology, management, </w:t>
      </w:r>
      <w:r w:rsidR="00D21FBA" w:rsidRPr="00F61A9E">
        <w:rPr>
          <w:rFonts w:ascii="Arial" w:hAnsi="Arial" w:cs="Arial"/>
          <w:i/>
          <w:color w:val="000000" w:themeColor="text1"/>
          <w:sz w:val="24"/>
          <w:szCs w:val="24"/>
        </w:rPr>
        <w:t>public services, and to boost regional economies</w:t>
      </w:r>
      <w:r w:rsidR="00D21FBA" w:rsidRPr="00F61A9E">
        <w:rPr>
          <w:rFonts w:ascii="Arial" w:hAnsi="Arial" w:cs="Arial"/>
          <w:color w:val="000000" w:themeColor="text1"/>
          <w:sz w:val="24"/>
          <w:szCs w:val="24"/>
        </w:rPr>
        <w:t xml:space="preserve">” [emphasis added] (Universities UK, 2019: 3). This includes a recommendation that degree apprenticeships are embedded within local industrial strategies. The skills shortages currently experienced across the public </w:t>
      </w:r>
      <w:r w:rsidR="00D21FBA" w:rsidRPr="00F61A9E">
        <w:rPr>
          <w:rFonts w:ascii="Arial" w:hAnsi="Arial" w:cs="Arial"/>
          <w:color w:val="000000" w:themeColor="text1"/>
          <w:sz w:val="24"/>
          <w:szCs w:val="24"/>
        </w:rPr>
        <w:lastRenderedPageBreak/>
        <w:t>sector, including in health, social care and policing, are likely to be exacerbated by Brexit and so the role of degree apprenticeships may become even more important.</w:t>
      </w:r>
    </w:p>
    <w:p w:rsidR="00AB560B" w:rsidRPr="00F61A9E" w:rsidRDefault="00AB560B" w:rsidP="00FE38F8">
      <w:pPr>
        <w:spacing w:after="0" w:line="480" w:lineRule="auto"/>
        <w:rPr>
          <w:rFonts w:ascii="Arial" w:hAnsi="Arial" w:cs="Arial"/>
          <w:color w:val="000000" w:themeColor="text1"/>
          <w:sz w:val="24"/>
          <w:szCs w:val="24"/>
        </w:rPr>
      </w:pPr>
    </w:p>
    <w:p w:rsidR="00CE7069" w:rsidRPr="00F61A9E" w:rsidRDefault="00CE7069"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3.3 University responses to Brexit</w:t>
      </w:r>
    </w:p>
    <w:p w:rsidR="00392353" w:rsidRPr="00F61A9E" w:rsidRDefault="003F0254"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 xml:space="preserve">The </w:t>
      </w:r>
      <w:r w:rsidR="003F0EFF" w:rsidRPr="00F61A9E">
        <w:rPr>
          <w:rFonts w:ascii="Arial" w:hAnsi="Arial" w:cs="Arial"/>
          <w:color w:val="000000" w:themeColor="text1"/>
          <w:sz w:val="24"/>
          <w:szCs w:val="24"/>
        </w:rPr>
        <w:t xml:space="preserve">North East Universities </w:t>
      </w:r>
      <w:r w:rsidR="002F3706" w:rsidRPr="00F61A9E">
        <w:rPr>
          <w:rFonts w:ascii="Arial" w:hAnsi="Arial" w:cs="Arial"/>
          <w:color w:val="000000" w:themeColor="text1"/>
          <w:sz w:val="24"/>
          <w:szCs w:val="24"/>
        </w:rPr>
        <w:t xml:space="preserve">response to </w:t>
      </w:r>
      <w:r w:rsidR="003F0EFF" w:rsidRPr="00F61A9E">
        <w:rPr>
          <w:rFonts w:ascii="Arial" w:hAnsi="Arial" w:cs="Arial"/>
          <w:color w:val="000000" w:themeColor="text1"/>
          <w:sz w:val="24"/>
          <w:szCs w:val="24"/>
        </w:rPr>
        <w:t xml:space="preserve">Brexit </w:t>
      </w:r>
      <w:r w:rsidR="002F3706" w:rsidRPr="00F61A9E">
        <w:rPr>
          <w:rFonts w:ascii="Arial" w:hAnsi="Arial" w:cs="Arial"/>
          <w:color w:val="000000" w:themeColor="text1"/>
          <w:sz w:val="24"/>
          <w:szCs w:val="24"/>
        </w:rPr>
        <w:t xml:space="preserve">and </w:t>
      </w:r>
      <w:r w:rsidRPr="00F61A9E">
        <w:rPr>
          <w:rFonts w:ascii="Arial" w:hAnsi="Arial" w:cs="Arial"/>
          <w:color w:val="000000" w:themeColor="text1"/>
          <w:sz w:val="24"/>
          <w:szCs w:val="24"/>
        </w:rPr>
        <w:t>fluctuations</w:t>
      </w:r>
      <w:r w:rsidR="002F3706" w:rsidRPr="00F61A9E">
        <w:rPr>
          <w:rFonts w:ascii="Arial" w:hAnsi="Arial" w:cs="Arial"/>
          <w:color w:val="000000" w:themeColor="text1"/>
          <w:sz w:val="24"/>
          <w:szCs w:val="24"/>
        </w:rPr>
        <w:t xml:space="preserve"> in the market have </w:t>
      </w:r>
      <w:r w:rsidRPr="00F61A9E">
        <w:rPr>
          <w:rFonts w:ascii="Arial" w:hAnsi="Arial" w:cs="Arial"/>
          <w:color w:val="000000" w:themeColor="text1"/>
          <w:sz w:val="24"/>
          <w:szCs w:val="24"/>
        </w:rPr>
        <w:t xml:space="preserve">sought to </w:t>
      </w:r>
      <w:r w:rsidR="00392353" w:rsidRPr="00F61A9E">
        <w:rPr>
          <w:rFonts w:ascii="Arial" w:hAnsi="Arial" w:cs="Arial"/>
          <w:color w:val="000000" w:themeColor="text1"/>
          <w:sz w:val="24"/>
          <w:szCs w:val="24"/>
        </w:rPr>
        <w:t xml:space="preserve">transform </w:t>
      </w:r>
      <w:r w:rsidRPr="00F61A9E">
        <w:rPr>
          <w:rFonts w:ascii="Arial" w:hAnsi="Arial" w:cs="Arial"/>
          <w:color w:val="000000" w:themeColor="text1"/>
          <w:sz w:val="24"/>
          <w:szCs w:val="24"/>
        </w:rPr>
        <w:t>b</w:t>
      </w:r>
      <w:r w:rsidR="00392353" w:rsidRPr="00F61A9E">
        <w:rPr>
          <w:rFonts w:ascii="Arial" w:hAnsi="Arial" w:cs="Arial"/>
          <w:color w:val="000000" w:themeColor="text1"/>
          <w:sz w:val="24"/>
          <w:szCs w:val="24"/>
        </w:rPr>
        <w:t xml:space="preserve">ranch campuses towards </w:t>
      </w:r>
      <w:r w:rsidRPr="00F61A9E">
        <w:rPr>
          <w:rFonts w:ascii="Arial" w:hAnsi="Arial" w:cs="Arial"/>
          <w:color w:val="000000" w:themeColor="text1"/>
          <w:sz w:val="24"/>
          <w:szCs w:val="24"/>
        </w:rPr>
        <w:t xml:space="preserve">the expansion of </w:t>
      </w:r>
      <w:r w:rsidR="00392353" w:rsidRPr="00F61A9E">
        <w:rPr>
          <w:rFonts w:ascii="Arial" w:hAnsi="Arial" w:cs="Arial"/>
          <w:color w:val="000000" w:themeColor="text1"/>
          <w:sz w:val="24"/>
          <w:szCs w:val="24"/>
        </w:rPr>
        <w:t xml:space="preserve">university activities through extending </w:t>
      </w:r>
      <w:r w:rsidR="00246C0E" w:rsidRPr="00F61A9E">
        <w:rPr>
          <w:rFonts w:ascii="Arial" w:hAnsi="Arial" w:cs="Arial"/>
          <w:color w:val="000000" w:themeColor="text1"/>
          <w:sz w:val="24"/>
          <w:szCs w:val="24"/>
        </w:rPr>
        <w:t xml:space="preserve">outreach and </w:t>
      </w:r>
      <w:r w:rsidRPr="00F61A9E">
        <w:rPr>
          <w:rFonts w:ascii="Arial" w:hAnsi="Arial" w:cs="Arial"/>
          <w:color w:val="000000" w:themeColor="text1"/>
          <w:sz w:val="24"/>
          <w:szCs w:val="24"/>
        </w:rPr>
        <w:t xml:space="preserve">third </w:t>
      </w:r>
      <w:r w:rsidR="004A783A" w:rsidRPr="00F61A9E">
        <w:rPr>
          <w:rFonts w:ascii="Arial" w:hAnsi="Arial" w:cs="Arial"/>
          <w:color w:val="000000" w:themeColor="text1"/>
          <w:sz w:val="24"/>
          <w:szCs w:val="24"/>
        </w:rPr>
        <w:t xml:space="preserve">mission </w:t>
      </w:r>
      <w:r w:rsidRPr="00F61A9E">
        <w:rPr>
          <w:rFonts w:ascii="Arial" w:hAnsi="Arial" w:cs="Arial"/>
          <w:color w:val="000000" w:themeColor="text1"/>
          <w:sz w:val="24"/>
          <w:szCs w:val="24"/>
        </w:rPr>
        <w:t>activities</w:t>
      </w:r>
      <w:r w:rsidR="00B22110" w:rsidRPr="00F61A9E">
        <w:rPr>
          <w:rFonts w:ascii="Arial" w:hAnsi="Arial" w:cs="Arial"/>
          <w:color w:val="000000" w:themeColor="text1"/>
          <w:sz w:val="24"/>
          <w:szCs w:val="24"/>
        </w:rPr>
        <w:t>. This includes a number of universities that have established campuses within EU countries</w:t>
      </w:r>
      <w:r w:rsidR="00B23AB0" w:rsidRPr="00F61A9E">
        <w:rPr>
          <w:rFonts w:ascii="Arial" w:hAnsi="Arial" w:cs="Arial"/>
          <w:color w:val="000000" w:themeColor="text1"/>
          <w:sz w:val="24"/>
          <w:szCs w:val="24"/>
        </w:rPr>
        <w:t xml:space="preserve"> (</w:t>
      </w:r>
      <w:r w:rsidR="00B22110" w:rsidRPr="00F61A9E">
        <w:rPr>
          <w:rFonts w:ascii="Arial" w:hAnsi="Arial" w:cs="Arial"/>
          <w:color w:val="000000" w:themeColor="text1"/>
          <w:sz w:val="24"/>
          <w:szCs w:val="24"/>
        </w:rPr>
        <w:t>Adams 2016</w:t>
      </w:r>
      <w:r w:rsidR="00B23AB0" w:rsidRPr="00F61A9E">
        <w:rPr>
          <w:rFonts w:ascii="Arial" w:hAnsi="Arial" w:cs="Arial"/>
          <w:color w:val="000000" w:themeColor="text1"/>
          <w:sz w:val="24"/>
          <w:szCs w:val="24"/>
        </w:rPr>
        <w:t>)</w:t>
      </w:r>
      <w:r w:rsidRPr="00F61A9E">
        <w:rPr>
          <w:rFonts w:ascii="Arial" w:hAnsi="Arial" w:cs="Arial"/>
          <w:color w:val="000000" w:themeColor="text1"/>
          <w:sz w:val="24"/>
          <w:szCs w:val="24"/>
        </w:rPr>
        <w:t>. University s</w:t>
      </w:r>
      <w:r w:rsidR="00246C0E" w:rsidRPr="00F61A9E">
        <w:rPr>
          <w:rFonts w:ascii="Arial" w:hAnsi="Arial" w:cs="Arial"/>
          <w:color w:val="000000" w:themeColor="text1"/>
          <w:sz w:val="24"/>
          <w:szCs w:val="24"/>
        </w:rPr>
        <w:t xml:space="preserve">tatements </w:t>
      </w:r>
      <w:r w:rsidRPr="00F61A9E">
        <w:rPr>
          <w:rFonts w:ascii="Arial" w:hAnsi="Arial" w:cs="Arial"/>
          <w:color w:val="000000" w:themeColor="text1"/>
          <w:sz w:val="24"/>
          <w:szCs w:val="24"/>
        </w:rPr>
        <w:t xml:space="preserve">have begun to </w:t>
      </w:r>
      <w:r w:rsidR="00392353" w:rsidRPr="00F61A9E">
        <w:rPr>
          <w:rFonts w:ascii="Arial" w:hAnsi="Arial" w:cs="Arial"/>
          <w:color w:val="000000" w:themeColor="text1"/>
          <w:sz w:val="24"/>
          <w:szCs w:val="24"/>
        </w:rPr>
        <w:t xml:space="preserve">incorporate strategic </w:t>
      </w:r>
      <w:r w:rsidR="00246C0E" w:rsidRPr="00F61A9E">
        <w:rPr>
          <w:rFonts w:ascii="Arial" w:hAnsi="Arial" w:cs="Arial"/>
          <w:color w:val="000000" w:themeColor="text1"/>
          <w:sz w:val="24"/>
          <w:szCs w:val="24"/>
        </w:rPr>
        <w:t xml:space="preserve">economic </w:t>
      </w:r>
      <w:r w:rsidR="00392353" w:rsidRPr="00F61A9E">
        <w:rPr>
          <w:rFonts w:ascii="Arial" w:hAnsi="Arial" w:cs="Arial"/>
          <w:color w:val="000000" w:themeColor="text1"/>
          <w:sz w:val="24"/>
          <w:szCs w:val="24"/>
        </w:rPr>
        <w:t>plan</w:t>
      </w:r>
      <w:r w:rsidRPr="00F61A9E">
        <w:rPr>
          <w:rFonts w:ascii="Arial" w:hAnsi="Arial" w:cs="Arial"/>
          <w:color w:val="000000" w:themeColor="text1"/>
          <w:sz w:val="24"/>
          <w:szCs w:val="24"/>
        </w:rPr>
        <w:t>s</w:t>
      </w:r>
      <w:r w:rsidR="00392353" w:rsidRPr="00F61A9E">
        <w:rPr>
          <w:rFonts w:ascii="Arial" w:hAnsi="Arial" w:cs="Arial"/>
          <w:color w:val="000000" w:themeColor="text1"/>
          <w:sz w:val="24"/>
          <w:szCs w:val="24"/>
        </w:rPr>
        <w:t xml:space="preserve"> and </w:t>
      </w:r>
      <w:r w:rsidRPr="00F61A9E">
        <w:rPr>
          <w:rFonts w:ascii="Arial" w:hAnsi="Arial" w:cs="Arial"/>
          <w:color w:val="000000" w:themeColor="text1"/>
          <w:sz w:val="24"/>
          <w:szCs w:val="24"/>
        </w:rPr>
        <w:t xml:space="preserve">create a </w:t>
      </w:r>
      <w:r w:rsidR="004A783A" w:rsidRPr="00F61A9E">
        <w:rPr>
          <w:rFonts w:ascii="Arial" w:hAnsi="Arial" w:cs="Arial"/>
          <w:color w:val="000000" w:themeColor="text1"/>
          <w:sz w:val="24"/>
          <w:szCs w:val="24"/>
        </w:rPr>
        <w:t xml:space="preserve">vision </w:t>
      </w:r>
      <w:r w:rsidR="00246C0E" w:rsidRPr="00F61A9E">
        <w:rPr>
          <w:rFonts w:ascii="Arial" w:hAnsi="Arial" w:cs="Arial"/>
          <w:color w:val="000000" w:themeColor="text1"/>
          <w:sz w:val="24"/>
          <w:szCs w:val="24"/>
        </w:rPr>
        <w:t xml:space="preserve">for </w:t>
      </w:r>
      <w:r w:rsidR="003F0EFF" w:rsidRPr="00F61A9E">
        <w:rPr>
          <w:rFonts w:ascii="Arial" w:hAnsi="Arial" w:cs="Arial"/>
          <w:color w:val="000000" w:themeColor="text1"/>
          <w:sz w:val="24"/>
          <w:szCs w:val="24"/>
        </w:rPr>
        <w:t xml:space="preserve">economic growth </w:t>
      </w:r>
      <w:r w:rsidRPr="00F61A9E">
        <w:rPr>
          <w:rFonts w:ascii="Arial" w:hAnsi="Arial" w:cs="Arial"/>
          <w:color w:val="000000" w:themeColor="text1"/>
          <w:sz w:val="24"/>
          <w:szCs w:val="24"/>
        </w:rPr>
        <w:t xml:space="preserve">that </w:t>
      </w:r>
      <w:r w:rsidR="004A783A" w:rsidRPr="00F61A9E">
        <w:rPr>
          <w:rFonts w:ascii="Arial" w:hAnsi="Arial" w:cs="Arial"/>
          <w:color w:val="000000" w:themeColor="text1"/>
          <w:sz w:val="24"/>
          <w:szCs w:val="24"/>
        </w:rPr>
        <w:t>respond</w:t>
      </w:r>
      <w:r w:rsidRPr="00F61A9E">
        <w:rPr>
          <w:rFonts w:ascii="Arial" w:hAnsi="Arial" w:cs="Arial"/>
          <w:color w:val="000000" w:themeColor="text1"/>
          <w:sz w:val="24"/>
          <w:szCs w:val="24"/>
        </w:rPr>
        <w:t>s</w:t>
      </w:r>
      <w:r w:rsidR="004A783A" w:rsidRPr="00F61A9E">
        <w:rPr>
          <w:rFonts w:ascii="Arial" w:hAnsi="Arial" w:cs="Arial"/>
          <w:color w:val="000000" w:themeColor="text1"/>
          <w:sz w:val="24"/>
          <w:szCs w:val="24"/>
        </w:rPr>
        <w:t xml:space="preserve"> </w:t>
      </w:r>
      <w:r w:rsidR="003F0EFF" w:rsidRPr="00F61A9E">
        <w:rPr>
          <w:rFonts w:ascii="Arial" w:hAnsi="Arial" w:cs="Arial"/>
          <w:color w:val="000000" w:themeColor="text1"/>
          <w:sz w:val="24"/>
          <w:szCs w:val="24"/>
        </w:rPr>
        <w:t xml:space="preserve">to regional economic </w:t>
      </w:r>
      <w:r w:rsidR="00392353" w:rsidRPr="00F61A9E">
        <w:rPr>
          <w:rFonts w:ascii="Arial" w:hAnsi="Arial" w:cs="Arial"/>
          <w:color w:val="000000" w:themeColor="text1"/>
          <w:sz w:val="24"/>
          <w:szCs w:val="24"/>
        </w:rPr>
        <w:t xml:space="preserve">development </w:t>
      </w:r>
      <w:r w:rsidR="003F0EFF" w:rsidRPr="00F61A9E">
        <w:rPr>
          <w:rFonts w:ascii="Arial" w:hAnsi="Arial" w:cs="Arial"/>
          <w:color w:val="000000" w:themeColor="text1"/>
          <w:sz w:val="24"/>
          <w:szCs w:val="24"/>
        </w:rPr>
        <w:t>need</w:t>
      </w:r>
      <w:r w:rsidR="00B23AB0" w:rsidRPr="00F61A9E">
        <w:rPr>
          <w:rFonts w:ascii="Arial" w:hAnsi="Arial" w:cs="Arial"/>
          <w:color w:val="000000" w:themeColor="text1"/>
          <w:sz w:val="24"/>
          <w:szCs w:val="24"/>
        </w:rPr>
        <w:t xml:space="preserve"> (</w:t>
      </w:r>
      <w:r w:rsidR="00347FF4" w:rsidRPr="00F61A9E">
        <w:rPr>
          <w:rFonts w:ascii="Arial" w:hAnsi="Arial" w:cs="Arial"/>
          <w:color w:val="000000" w:themeColor="text1"/>
          <w:sz w:val="24"/>
          <w:szCs w:val="24"/>
        </w:rPr>
        <w:t>REFERENCE</w:t>
      </w:r>
      <w:r w:rsidR="00B23AB0" w:rsidRPr="00F61A9E">
        <w:rPr>
          <w:rFonts w:ascii="Arial" w:hAnsi="Arial" w:cs="Arial"/>
          <w:color w:val="000000" w:themeColor="text1"/>
          <w:sz w:val="24"/>
          <w:szCs w:val="24"/>
        </w:rPr>
        <w:t>)</w:t>
      </w:r>
      <w:r w:rsidR="003F0EFF" w:rsidRPr="00F61A9E">
        <w:rPr>
          <w:rFonts w:ascii="Arial" w:hAnsi="Arial" w:cs="Arial"/>
          <w:color w:val="000000" w:themeColor="text1"/>
          <w:sz w:val="24"/>
          <w:szCs w:val="24"/>
        </w:rPr>
        <w:t xml:space="preserve">. </w:t>
      </w:r>
      <w:r w:rsidR="00392353" w:rsidRPr="00F61A9E">
        <w:rPr>
          <w:rFonts w:ascii="Arial" w:hAnsi="Arial" w:cs="Arial"/>
          <w:color w:val="000000" w:themeColor="text1"/>
          <w:sz w:val="24"/>
          <w:szCs w:val="24"/>
        </w:rPr>
        <w:t>Th</w:t>
      </w:r>
      <w:r w:rsidR="00125F52" w:rsidRPr="00F61A9E">
        <w:rPr>
          <w:rFonts w:ascii="Arial" w:hAnsi="Arial" w:cs="Arial"/>
          <w:color w:val="000000" w:themeColor="text1"/>
          <w:sz w:val="24"/>
          <w:szCs w:val="24"/>
        </w:rPr>
        <w:t xml:space="preserve">e development of </w:t>
      </w:r>
      <w:r w:rsidR="00392353" w:rsidRPr="00F61A9E">
        <w:rPr>
          <w:rFonts w:ascii="Arial" w:hAnsi="Arial" w:cs="Arial"/>
          <w:color w:val="000000" w:themeColor="text1"/>
          <w:sz w:val="24"/>
          <w:szCs w:val="24"/>
        </w:rPr>
        <w:t xml:space="preserve">universities towards </w:t>
      </w:r>
      <w:r w:rsidRPr="00F61A9E">
        <w:rPr>
          <w:rFonts w:ascii="Arial" w:hAnsi="Arial" w:cs="Arial"/>
          <w:color w:val="000000" w:themeColor="text1"/>
          <w:sz w:val="24"/>
          <w:szCs w:val="24"/>
        </w:rPr>
        <w:t xml:space="preserve">a more extensive role for regional </w:t>
      </w:r>
      <w:r w:rsidR="00392353" w:rsidRPr="00F61A9E">
        <w:rPr>
          <w:rFonts w:ascii="Arial" w:hAnsi="Arial" w:cs="Arial"/>
          <w:color w:val="000000" w:themeColor="text1"/>
          <w:sz w:val="24"/>
          <w:szCs w:val="24"/>
        </w:rPr>
        <w:t>engagement</w:t>
      </w:r>
      <w:r w:rsidR="00125F52" w:rsidRPr="00F61A9E">
        <w:rPr>
          <w:rFonts w:ascii="Arial" w:hAnsi="Arial" w:cs="Arial"/>
          <w:color w:val="000000" w:themeColor="text1"/>
          <w:sz w:val="24"/>
          <w:szCs w:val="24"/>
        </w:rPr>
        <w:t xml:space="preserve"> may prove key to ensuring the benefits of greater devolution towards the regions are realised.</w:t>
      </w:r>
      <w:r w:rsidR="00392353" w:rsidRPr="00F61A9E">
        <w:rPr>
          <w:rFonts w:ascii="Arial" w:hAnsi="Arial" w:cs="Arial"/>
          <w:color w:val="000000" w:themeColor="text1"/>
          <w:sz w:val="24"/>
          <w:szCs w:val="24"/>
        </w:rPr>
        <w:t xml:space="preserve"> </w:t>
      </w:r>
      <w:r w:rsidRPr="00F61A9E">
        <w:rPr>
          <w:rFonts w:ascii="Arial" w:hAnsi="Arial" w:cs="Arial"/>
          <w:color w:val="000000" w:themeColor="text1"/>
          <w:sz w:val="24"/>
          <w:szCs w:val="24"/>
        </w:rPr>
        <w:t xml:space="preserve">As providers of research and knowledge exchange, </w:t>
      </w:r>
      <w:r w:rsidR="003F0EFF" w:rsidRPr="00F61A9E">
        <w:rPr>
          <w:rFonts w:ascii="Arial" w:hAnsi="Arial" w:cs="Arial"/>
          <w:color w:val="000000" w:themeColor="text1"/>
          <w:sz w:val="24"/>
          <w:szCs w:val="24"/>
        </w:rPr>
        <w:t>universities</w:t>
      </w:r>
      <w:r w:rsidRPr="00F61A9E">
        <w:rPr>
          <w:rFonts w:ascii="Arial" w:hAnsi="Arial" w:cs="Arial"/>
          <w:color w:val="000000" w:themeColor="text1"/>
          <w:sz w:val="24"/>
          <w:szCs w:val="24"/>
        </w:rPr>
        <w:t xml:space="preserve"> have begun to </w:t>
      </w:r>
      <w:r w:rsidR="002F3706" w:rsidRPr="00F61A9E">
        <w:rPr>
          <w:rFonts w:ascii="Arial" w:hAnsi="Arial" w:cs="Arial"/>
          <w:color w:val="000000" w:themeColor="text1"/>
          <w:sz w:val="24"/>
          <w:szCs w:val="24"/>
        </w:rPr>
        <w:t>facilitat</w:t>
      </w:r>
      <w:r w:rsidRPr="00F61A9E">
        <w:rPr>
          <w:rFonts w:ascii="Arial" w:hAnsi="Arial" w:cs="Arial"/>
          <w:color w:val="000000" w:themeColor="text1"/>
          <w:sz w:val="24"/>
          <w:szCs w:val="24"/>
        </w:rPr>
        <w:t>e</w:t>
      </w:r>
      <w:r w:rsidR="002F3706" w:rsidRPr="00F61A9E">
        <w:rPr>
          <w:rFonts w:ascii="Arial" w:hAnsi="Arial" w:cs="Arial"/>
          <w:color w:val="000000" w:themeColor="text1"/>
          <w:sz w:val="24"/>
          <w:szCs w:val="24"/>
        </w:rPr>
        <w:t xml:space="preserve"> economic growth </w:t>
      </w:r>
      <w:r w:rsidRPr="00F61A9E">
        <w:rPr>
          <w:rFonts w:ascii="Arial" w:hAnsi="Arial" w:cs="Arial"/>
          <w:color w:val="000000" w:themeColor="text1"/>
          <w:sz w:val="24"/>
          <w:szCs w:val="24"/>
        </w:rPr>
        <w:t xml:space="preserve">through evolving university </w:t>
      </w:r>
      <w:r w:rsidR="00392353" w:rsidRPr="00F61A9E">
        <w:rPr>
          <w:rFonts w:ascii="Arial" w:hAnsi="Arial" w:cs="Arial"/>
          <w:color w:val="000000" w:themeColor="text1"/>
          <w:sz w:val="24"/>
          <w:szCs w:val="24"/>
        </w:rPr>
        <w:t xml:space="preserve">research capabilities </w:t>
      </w:r>
      <w:r w:rsidRPr="00F61A9E">
        <w:rPr>
          <w:rFonts w:ascii="Arial" w:hAnsi="Arial" w:cs="Arial"/>
          <w:color w:val="000000" w:themeColor="text1"/>
          <w:sz w:val="24"/>
          <w:szCs w:val="24"/>
        </w:rPr>
        <w:t xml:space="preserve">that </w:t>
      </w:r>
      <w:r w:rsidR="004A783A" w:rsidRPr="00F61A9E">
        <w:rPr>
          <w:rFonts w:ascii="Arial" w:hAnsi="Arial" w:cs="Arial"/>
          <w:color w:val="000000" w:themeColor="text1"/>
          <w:sz w:val="24"/>
          <w:szCs w:val="24"/>
        </w:rPr>
        <w:t>foster</w:t>
      </w:r>
      <w:r w:rsidR="002F3706" w:rsidRPr="00F61A9E">
        <w:rPr>
          <w:rFonts w:ascii="Arial" w:hAnsi="Arial" w:cs="Arial"/>
          <w:color w:val="000000" w:themeColor="text1"/>
          <w:sz w:val="24"/>
          <w:szCs w:val="24"/>
        </w:rPr>
        <w:t xml:space="preserve"> </w:t>
      </w:r>
      <w:r w:rsidR="00912F4E" w:rsidRPr="00F61A9E">
        <w:rPr>
          <w:rFonts w:ascii="Arial" w:hAnsi="Arial" w:cs="Arial"/>
          <w:color w:val="000000" w:themeColor="text1"/>
          <w:sz w:val="24"/>
          <w:szCs w:val="24"/>
        </w:rPr>
        <w:t>innovation</w:t>
      </w:r>
      <w:r w:rsidR="002F3706" w:rsidRPr="00F61A9E">
        <w:rPr>
          <w:rFonts w:ascii="Arial" w:hAnsi="Arial" w:cs="Arial"/>
          <w:color w:val="000000" w:themeColor="text1"/>
          <w:sz w:val="24"/>
          <w:szCs w:val="24"/>
        </w:rPr>
        <w:t xml:space="preserve">, </w:t>
      </w:r>
      <w:r w:rsidR="00912F4E" w:rsidRPr="00F61A9E">
        <w:rPr>
          <w:rFonts w:ascii="Arial" w:hAnsi="Arial" w:cs="Arial"/>
          <w:color w:val="000000" w:themeColor="text1"/>
          <w:sz w:val="24"/>
          <w:szCs w:val="24"/>
        </w:rPr>
        <w:t xml:space="preserve">entrepreneurship </w:t>
      </w:r>
      <w:r w:rsidR="002F3706" w:rsidRPr="00F61A9E">
        <w:rPr>
          <w:rFonts w:ascii="Arial" w:hAnsi="Arial" w:cs="Arial"/>
          <w:color w:val="000000" w:themeColor="text1"/>
          <w:sz w:val="24"/>
          <w:szCs w:val="24"/>
        </w:rPr>
        <w:t xml:space="preserve">and </w:t>
      </w:r>
      <w:r w:rsidR="00D50A0A" w:rsidRPr="00F61A9E">
        <w:rPr>
          <w:rFonts w:ascii="Arial" w:hAnsi="Arial" w:cs="Arial"/>
          <w:color w:val="000000" w:themeColor="text1"/>
          <w:sz w:val="24"/>
          <w:szCs w:val="24"/>
        </w:rPr>
        <w:t xml:space="preserve">new technologies. </w:t>
      </w:r>
      <w:r w:rsidRPr="00F61A9E">
        <w:rPr>
          <w:rFonts w:ascii="Arial" w:hAnsi="Arial" w:cs="Arial"/>
          <w:color w:val="000000" w:themeColor="text1"/>
          <w:sz w:val="24"/>
          <w:szCs w:val="24"/>
        </w:rPr>
        <w:t xml:space="preserve">Policies have sought to </w:t>
      </w:r>
      <w:r w:rsidR="00392353" w:rsidRPr="00F61A9E">
        <w:rPr>
          <w:rFonts w:ascii="Arial" w:hAnsi="Arial" w:cs="Arial"/>
          <w:color w:val="000000" w:themeColor="text1"/>
          <w:sz w:val="24"/>
          <w:szCs w:val="24"/>
        </w:rPr>
        <w:t xml:space="preserve">evolve </w:t>
      </w:r>
      <w:r w:rsidR="002F3706" w:rsidRPr="00F61A9E">
        <w:rPr>
          <w:rFonts w:ascii="Arial" w:hAnsi="Arial" w:cs="Arial"/>
          <w:color w:val="000000" w:themeColor="text1"/>
          <w:sz w:val="24"/>
          <w:szCs w:val="24"/>
        </w:rPr>
        <w:t>wide</w:t>
      </w:r>
      <w:r w:rsidR="0042061F" w:rsidRPr="00F61A9E">
        <w:rPr>
          <w:rFonts w:ascii="Arial" w:hAnsi="Arial" w:cs="Arial"/>
          <w:color w:val="000000" w:themeColor="text1"/>
          <w:sz w:val="24"/>
          <w:szCs w:val="24"/>
        </w:rPr>
        <w:t>r</w:t>
      </w:r>
      <w:r w:rsidR="002F3706" w:rsidRPr="00F61A9E">
        <w:rPr>
          <w:rFonts w:ascii="Arial" w:hAnsi="Arial" w:cs="Arial"/>
          <w:color w:val="000000" w:themeColor="text1"/>
          <w:sz w:val="24"/>
          <w:szCs w:val="24"/>
        </w:rPr>
        <w:t xml:space="preserve"> collaboration </w:t>
      </w:r>
      <w:r w:rsidR="00392353" w:rsidRPr="00F61A9E">
        <w:rPr>
          <w:rFonts w:ascii="Arial" w:hAnsi="Arial" w:cs="Arial"/>
          <w:color w:val="000000" w:themeColor="text1"/>
          <w:sz w:val="24"/>
          <w:szCs w:val="24"/>
        </w:rPr>
        <w:t xml:space="preserve">and </w:t>
      </w:r>
      <w:r w:rsidR="0042061F" w:rsidRPr="00F61A9E">
        <w:rPr>
          <w:rFonts w:ascii="Arial" w:hAnsi="Arial" w:cs="Arial"/>
          <w:color w:val="000000" w:themeColor="text1"/>
          <w:sz w:val="24"/>
          <w:szCs w:val="24"/>
        </w:rPr>
        <w:t xml:space="preserve">networks </w:t>
      </w:r>
      <w:r w:rsidR="002F3706" w:rsidRPr="00F61A9E">
        <w:rPr>
          <w:rFonts w:ascii="Arial" w:hAnsi="Arial" w:cs="Arial"/>
          <w:color w:val="000000" w:themeColor="text1"/>
          <w:sz w:val="24"/>
          <w:szCs w:val="24"/>
        </w:rPr>
        <w:t>with businesses</w:t>
      </w:r>
      <w:r w:rsidR="0042061F" w:rsidRPr="00F61A9E">
        <w:rPr>
          <w:rFonts w:ascii="Arial" w:hAnsi="Arial" w:cs="Arial"/>
          <w:color w:val="000000" w:themeColor="text1"/>
          <w:sz w:val="24"/>
          <w:szCs w:val="24"/>
        </w:rPr>
        <w:t xml:space="preserve"> </w:t>
      </w:r>
      <w:r w:rsidR="00392353" w:rsidRPr="00F61A9E">
        <w:rPr>
          <w:rFonts w:ascii="Arial" w:hAnsi="Arial" w:cs="Arial"/>
          <w:color w:val="000000" w:themeColor="text1"/>
          <w:sz w:val="24"/>
          <w:szCs w:val="24"/>
        </w:rPr>
        <w:t xml:space="preserve">and </w:t>
      </w:r>
      <w:r w:rsidR="006D6203" w:rsidRPr="00F61A9E">
        <w:rPr>
          <w:rFonts w:ascii="Arial" w:hAnsi="Arial" w:cs="Arial"/>
          <w:color w:val="000000" w:themeColor="text1"/>
          <w:sz w:val="24"/>
          <w:szCs w:val="24"/>
        </w:rPr>
        <w:t xml:space="preserve">public </w:t>
      </w:r>
      <w:r w:rsidR="00392353" w:rsidRPr="00F61A9E">
        <w:rPr>
          <w:rFonts w:ascii="Arial" w:hAnsi="Arial" w:cs="Arial"/>
          <w:color w:val="000000" w:themeColor="text1"/>
          <w:sz w:val="24"/>
          <w:szCs w:val="24"/>
        </w:rPr>
        <w:t xml:space="preserve">agencies </w:t>
      </w:r>
      <w:r w:rsidR="0042061F" w:rsidRPr="00F61A9E">
        <w:rPr>
          <w:rFonts w:ascii="Arial" w:hAnsi="Arial" w:cs="Arial"/>
          <w:color w:val="000000" w:themeColor="text1"/>
          <w:sz w:val="24"/>
          <w:szCs w:val="24"/>
        </w:rPr>
        <w:t xml:space="preserve">through research that contributes to </w:t>
      </w:r>
      <w:r w:rsidR="006D6203" w:rsidRPr="00F61A9E">
        <w:rPr>
          <w:rFonts w:ascii="Arial" w:hAnsi="Arial" w:cs="Arial"/>
          <w:color w:val="000000" w:themeColor="text1"/>
          <w:sz w:val="24"/>
          <w:szCs w:val="24"/>
        </w:rPr>
        <w:t xml:space="preserve">building an evidence base of </w:t>
      </w:r>
      <w:r w:rsidR="0042061F" w:rsidRPr="00F61A9E">
        <w:rPr>
          <w:rFonts w:ascii="Arial" w:hAnsi="Arial" w:cs="Arial"/>
          <w:color w:val="000000" w:themeColor="text1"/>
          <w:sz w:val="24"/>
          <w:szCs w:val="24"/>
        </w:rPr>
        <w:t>local</w:t>
      </w:r>
      <w:r w:rsidR="006D6203" w:rsidRPr="00F61A9E">
        <w:rPr>
          <w:rFonts w:ascii="Arial" w:hAnsi="Arial" w:cs="Arial"/>
          <w:color w:val="000000" w:themeColor="text1"/>
          <w:sz w:val="24"/>
          <w:szCs w:val="24"/>
        </w:rPr>
        <w:t xml:space="preserve"> economic </w:t>
      </w:r>
      <w:r w:rsidR="0042061F" w:rsidRPr="00F61A9E">
        <w:rPr>
          <w:rFonts w:ascii="Arial" w:hAnsi="Arial" w:cs="Arial"/>
          <w:color w:val="000000" w:themeColor="text1"/>
          <w:sz w:val="24"/>
          <w:szCs w:val="24"/>
        </w:rPr>
        <w:t>challenges</w:t>
      </w:r>
      <w:r w:rsidR="002F3706" w:rsidRPr="00F61A9E">
        <w:rPr>
          <w:rFonts w:ascii="Arial" w:hAnsi="Arial" w:cs="Arial"/>
          <w:color w:val="000000" w:themeColor="text1"/>
          <w:sz w:val="24"/>
          <w:szCs w:val="24"/>
        </w:rPr>
        <w:t xml:space="preserve">. </w:t>
      </w:r>
    </w:p>
    <w:p w:rsidR="00CE7069" w:rsidRPr="00F61A9E" w:rsidRDefault="00CE7069" w:rsidP="00FE38F8">
      <w:pPr>
        <w:spacing w:after="0" w:line="480" w:lineRule="auto"/>
        <w:rPr>
          <w:rFonts w:ascii="Arial" w:hAnsi="Arial" w:cs="Arial"/>
          <w:color w:val="000000" w:themeColor="text1"/>
          <w:sz w:val="24"/>
          <w:szCs w:val="24"/>
        </w:rPr>
      </w:pPr>
    </w:p>
    <w:p w:rsidR="00A40ADD" w:rsidRPr="00F61A9E" w:rsidRDefault="00A40ADD"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 xml:space="preserve">Overcoming barriers to regional and community engagement have led North East university contributions to adopt a strategic leadership approach and evolve roles that stimulate and bring together external knowledge interactions and research networks to enable global knowledge exchange. Restraints for North East universities in facilitating economic development include closing the cultural gap between universities and businesses. </w:t>
      </w:r>
    </w:p>
    <w:p w:rsidR="00CE7069" w:rsidRPr="00F61A9E" w:rsidRDefault="00CE7069" w:rsidP="00FE38F8">
      <w:pPr>
        <w:spacing w:after="0" w:line="480" w:lineRule="auto"/>
        <w:rPr>
          <w:rFonts w:ascii="Arial" w:hAnsi="Arial" w:cs="Arial"/>
          <w:color w:val="000000" w:themeColor="text1"/>
          <w:sz w:val="24"/>
          <w:szCs w:val="24"/>
        </w:rPr>
      </w:pPr>
    </w:p>
    <w:p w:rsidR="00A40ADD" w:rsidRPr="00F61A9E" w:rsidRDefault="003F0EFF"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 xml:space="preserve">North East Universities </w:t>
      </w:r>
      <w:r w:rsidR="006D6203" w:rsidRPr="00F61A9E">
        <w:rPr>
          <w:rFonts w:ascii="Arial" w:hAnsi="Arial" w:cs="Arial"/>
          <w:color w:val="000000" w:themeColor="text1"/>
          <w:sz w:val="24"/>
          <w:szCs w:val="24"/>
        </w:rPr>
        <w:t xml:space="preserve">response </w:t>
      </w:r>
      <w:r w:rsidR="000367DD" w:rsidRPr="00F61A9E">
        <w:rPr>
          <w:rFonts w:ascii="Arial" w:hAnsi="Arial" w:cs="Arial"/>
          <w:color w:val="000000" w:themeColor="text1"/>
          <w:sz w:val="24"/>
          <w:szCs w:val="24"/>
        </w:rPr>
        <w:t xml:space="preserve">to </w:t>
      </w:r>
      <w:r w:rsidR="006D6203" w:rsidRPr="00F61A9E">
        <w:rPr>
          <w:rFonts w:ascii="Arial" w:hAnsi="Arial" w:cs="Arial"/>
          <w:color w:val="000000" w:themeColor="text1"/>
          <w:sz w:val="24"/>
          <w:szCs w:val="24"/>
        </w:rPr>
        <w:t xml:space="preserve">overcoming the barriers to regional </w:t>
      </w:r>
      <w:r w:rsidR="000367DD" w:rsidRPr="00F61A9E">
        <w:rPr>
          <w:rFonts w:ascii="Arial" w:hAnsi="Arial" w:cs="Arial"/>
          <w:color w:val="000000" w:themeColor="text1"/>
          <w:sz w:val="24"/>
          <w:szCs w:val="24"/>
        </w:rPr>
        <w:t>economic</w:t>
      </w:r>
      <w:r w:rsidR="0042061F" w:rsidRPr="00F61A9E">
        <w:rPr>
          <w:rFonts w:ascii="Arial" w:hAnsi="Arial" w:cs="Arial"/>
          <w:color w:val="000000" w:themeColor="text1"/>
          <w:sz w:val="24"/>
          <w:szCs w:val="24"/>
        </w:rPr>
        <w:t xml:space="preserve"> development</w:t>
      </w:r>
      <w:r w:rsidR="000367DD" w:rsidRPr="00F61A9E">
        <w:rPr>
          <w:rFonts w:ascii="Arial" w:hAnsi="Arial" w:cs="Arial"/>
          <w:color w:val="000000" w:themeColor="text1"/>
          <w:sz w:val="24"/>
          <w:szCs w:val="24"/>
        </w:rPr>
        <w:t xml:space="preserve"> need </w:t>
      </w:r>
      <w:r w:rsidR="006D6203" w:rsidRPr="00F61A9E">
        <w:rPr>
          <w:rFonts w:ascii="Arial" w:hAnsi="Arial" w:cs="Arial"/>
          <w:color w:val="000000" w:themeColor="text1"/>
          <w:sz w:val="24"/>
          <w:szCs w:val="24"/>
        </w:rPr>
        <w:t xml:space="preserve">has been to </w:t>
      </w:r>
      <w:r w:rsidR="0042061F" w:rsidRPr="00F61A9E">
        <w:rPr>
          <w:rFonts w:ascii="Arial" w:hAnsi="Arial" w:cs="Arial"/>
          <w:color w:val="000000" w:themeColor="text1"/>
          <w:sz w:val="24"/>
          <w:szCs w:val="24"/>
        </w:rPr>
        <w:t>facilitat</w:t>
      </w:r>
      <w:r w:rsidR="006D6203" w:rsidRPr="00F61A9E">
        <w:rPr>
          <w:rFonts w:ascii="Arial" w:hAnsi="Arial" w:cs="Arial"/>
          <w:color w:val="000000" w:themeColor="text1"/>
          <w:sz w:val="24"/>
          <w:szCs w:val="24"/>
        </w:rPr>
        <w:t>e</w:t>
      </w:r>
      <w:r w:rsidR="0042061F" w:rsidRPr="00F61A9E">
        <w:rPr>
          <w:rFonts w:ascii="Arial" w:hAnsi="Arial" w:cs="Arial"/>
          <w:color w:val="000000" w:themeColor="text1"/>
          <w:sz w:val="24"/>
          <w:szCs w:val="24"/>
        </w:rPr>
        <w:t xml:space="preserve"> </w:t>
      </w:r>
      <w:r w:rsidR="006D6203" w:rsidRPr="00F61A9E">
        <w:rPr>
          <w:rFonts w:ascii="Arial" w:hAnsi="Arial" w:cs="Arial"/>
          <w:color w:val="000000" w:themeColor="text1"/>
          <w:sz w:val="24"/>
          <w:szCs w:val="24"/>
        </w:rPr>
        <w:t xml:space="preserve">innovative </w:t>
      </w:r>
      <w:r w:rsidR="00912F4E" w:rsidRPr="00F61A9E">
        <w:rPr>
          <w:rFonts w:ascii="Arial" w:hAnsi="Arial" w:cs="Arial"/>
          <w:color w:val="000000" w:themeColor="text1"/>
          <w:sz w:val="24"/>
          <w:szCs w:val="24"/>
        </w:rPr>
        <w:t xml:space="preserve">partnerships </w:t>
      </w:r>
      <w:r w:rsidR="006D6203" w:rsidRPr="00F61A9E">
        <w:rPr>
          <w:rFonts w:ascii="Arial" w:hAnsi="Arial" w:cs="Arial"/>
          <w:color w:val="000000" w:themeColor="text1"/>
          <w:sz w:val="24"/>
          <w:szCs w:val="24"/>
        </w:rPr>
        <w:t>and collaborations. These partnerships e</w:t>
      </w:r>
      <w:r w:rsidR="0042061F" w:rsidRPr="00F61A9E">
        <w:rPr>
          <w:rFonts w:ascii="Arial" w:hAnsi="Arial" w:cs="Arial"/>
          <w:color w:val="000000" w:themeColor="text1"/>
          <w:sz w:val="24"/>
          <w:szCs w:val="24"/>
        </w:rPr>
        <w:t>volv</w:t>
      </w:r>
      <w:r w:rsidR="006D6203" w:rsidRPr="00F61A9E">
        <w:rPr>
          <w:rFonts w:ascii="Arial" w:hAnsi="Arial" w:cs="Arial"/>
          <w:color w:val="000000" w:themeColor="text1"/>
          <w:sz w:val="24"/>
          <w:szCs w:val="24"/>
        </w:rPr>
        <w:t>e</w:t>
      </w:r>
      <w:r w:rsidR="0042061F" w:rsidRPr="00F61A9E">
        <w:rPr>
          <w:rFonts w:ascii="Arial" w:hAnsi="Arial" w:cs="Arial"/>
          <w:color w:val="000000" w:themeColor="text1"/>
          <w:sz w:val="24"/>
          <w:szCs w:val="24"/>
        </w:rPr>
        <w:t xml:space="preserve"> </w:t>
      </w:r>
      <w:r w:rsidR="004A783A" w:rsidRPr="00F61A9E">
        <w:rPr>
          <w:rFonts w:ascii="Arial" w:hAnsi="Arial" w:cs="Arial"/>
          <w:color w:val="000000" w:themeColor="text1"/>
          <w:sz w:val="24"/>
          <w:szCs w:val="24"/>
        </w:rPr>
        <w:t xml:space="preserve">mutual </w:t>
      </w:r>
      <w:r w:rsidR="006D6203" w:rsidRPr="00F61A9E">
        <w:rPr>
          <w:rFonts w:ascii="Arial" w:hAnsi="Arial" w:cs="Arial"/>
          <w:color w:val="000000" w:themeColor="text1"/>
          <w:sz w:val="24"/>
          <w:szCs w:val="24"/>
        </w:rPr>
        <w:t xml:space="preserve">interactions </w:t>
      </w:r>
      <w:r w:rsidR="004A783A" w:rsidRPr="00F61A9E">
        <w:rPr>
          <w:rFonts w:ascii="Arial" w:hAnsi="Arial" w:cs="Arial"/>
          <w:color w:val="000000" w:themeColor="text1"/>
          <w:sz w:val="24"/>
          <w:szCs w:val="24"/>
        </w:rPr>
        <w:t xml:space="preserve">with </w:t>
      </w:r>
      <w:r w:rsidR="0042061F" w:rsidRPr="00F61A9E">
        <w:rPr>
          <w:rFonts w:ascii="Arial" w:hAnsi="Arial" w:cs="Arial"/>
          <w:color w:val="000000" w:themeColor="text1"/>
          <w:sz w:val="24"/>
          <w:szCs w:val="24"/>
        </w:rPr>
        <w:t xml:space="preserve">external </w:t>
      </w:r>
      <w:r w:rsidR="006D6203" w:rsidRPr="00F61A9E">
        <w:rPr>
          <w:rFonts w:ascii="Arial" w:hAnsi="Arial" w:cs="Arial"/>
          <w:color w:val="000000" w:themeColor="text1"/>
          <w:sz w:val="24"/>
          <w:szCs w:val="24"/>
        </w:rPr>
        <w:t>local and global partner organisations, public agencies and industry to advance the “knowledge economy”</w:t>
      </w:r>
      <w:r w:rsidR="000367DD" w:rsidRPr="00F61A9E">
        <w:rPr>
          <w:rFonts w:ascii="Arial" w:hAnsi="Arial" w:cs="Arial"/>
          <w:color w:val="000000" w:themeColor="text1"/>
          <w:sz w:val="24"/>
          <w:szCs w:val="24"/>
        </w:rPr>
        <w:t>.</w:t>
      </w:r>
      <w:r w:rsidR="00D44F9C" w:rsidRPr="00F61A9E">
        <w:rPr>
          <w:rFonts w:ascii="Arial" w:hAnsi="Arial" w:cs="Arial"/>
          <w:color w:val="000000" w:themeColor="text1"/>
          <w:sz w:val="24"/>
          <w:szCs w:val="24"/>
        </w:rPr>
        <w:t xml:space="preserve"> </w:t>
      </w:r>
      <w:r w:rsidR="00912F4E" w:rsidRPr="00F61A9E">
        <w:rPr>
          <w:rFonts w:ascii="Arial" w:hAnsi="Arial" w:cs="Arial"/>
          <w:color w:val="000000" w:themeColor="text1"/>
          <w:sz w:val="24"/>
          <w:szCs w:val="24"/>
        </w:rPr>
        <w:t xml:space="preserve">Examples </w:t>
      </w:r>
      <w:r w:rsidR="00392353" w:rsidRPr="00F61A9E">
        <w:rPr>
          <w:rFonts w:ascii="Arial" w:hAnsi="Arial" w:cs="Arial"/>
          <w:color w:val="000000" w:themeColor="text1"/>
          <w:sz w:val="24"/>
          <w:szCs w:val="24"/>
        </w:rPr>
        <w:t xml:space="preserve">of </w:t>
      </w:r>
      <w:r w:rsidR="00F2494D" w:rsidRPr="00F61A9E">
        <w:rPr>
          <w:rFonts w:ascii="Arial" w:hAnsi="Arial" w:cs="Arial"/>
          <w:color w:val="000000" w:themeColor="text1"/>
          <w:sz w:val="24"/>
          <w:szCs w:val="24"/>
        </w:rPr>
        <w:t xml:space="preserve">university- industry linkages and </w:t>
      </w:r>
      <w:r w:rsidR="006D6203" w:rsidRPr="00F61A9E">
        <w:rPr>
          <w:rFonts w:ascii="Arial" w:hAnsi="Arial" w:cs="Arial"/>
          <w:color w:val="000000" w:themeColor="text1"/>
          <w:sz w:val="24"/>
          <w:szCs w:val="24"/>
        </w:rPr>
        <w:t xml:space="preserve">entrepreneurial activities </w:t>
      </w:r>
      <w:r w:rsidR="00F2494D" w:rsidRPr="00F61A9E">
        <w:rPr>
          <w:rFonts w:ascii="Arial" w:hAnsi="Arial" w:cs="Arial"/>
          <w:color w:val="000000" w:themeColor="text1"/>
          <w:sz w:val="24"/>
          <w:szCs w:val="24"/>
        </w:rPr>
        <w:t xml:space="preserve">to advance </w:t>
      </w:r>
      <w:r w:rsidR="006D6203" w:rsidRPr="00F61A9E">
        <w:rPr>
          <w:rFonts w:ascii="Arial" w:hAnsi="Arial" w:cs="Arial"/>
          <w:color w:val="000000" w:themeColor="text1"/>
          <w:sz w:val="24"/>
          <w:szCs w:val="24"/>
        </w:rPr>
        <w:t xml:space="preserve">research </w:t>
      </w:r>
      <w:r w:rsidR="00F2494D" w:rsidRPr="00F61A9E">
        <w:rPr>
          <w:rFonts w:ascii="Arial" w:hAnsi="Arial" w:cs="Arial"/>
          <w:color w:val="000000" w:themeColor="text1"/>
          <w:sz w:val="24"/>
          <w:szCs w:val="24"/>
        </w:rPr>
        <w:t>and knowledge interactions between university researchers and industry illustrate benefits can be gained (</w:t>
      </w:r>
      <w:proofErr w:type="spellStart"/>
      <w:r w:rsidR="00F2494D" w:rsidRPr="00F61A9E">
        <w:rPr>
          <w:rFonts w:ascii="Arial" w:hAnsi="Arial" w:cs="Arial"/>
          <w:color w:val="000000" w:themeColor="text1"/>
          <w:sz w:val="24"/>
          <w:szCs w:val="24"/>
        </w:rPr>
        <w:t>D’Este</w:t>
      </w:r>
      <w:proofErr w:type="spellEnd"/>
      <w:r w:rsidR="00F2494D" w:rsidRPr="00F61A9E">
        <w:rPr>
          <w:rFonts w:ascii="Arial" w:hAnsi="Arial" w:cs="Arial"/>
          <w:color w:val="000000" w:themeColor="text1"/>
          <w:sz w:val="24"/>
          <w:szCs w:val="24"/>
        </w:rPr>
        <w:t xml:space="preserve"> and Patel, 2007; Boardman, 2009). I</w:t>
      </w:r>
      <w:r w:rsidR="006D6203" w:rsidRPr="00F61A9E">
        <w:rPr>
          <w:rFonts w:ascii="Arial" w:hAnsi="Arial" w:cs="Arial"/>
          <w:color w:val="000000" w:themeColor="text1"/>
          <w:sz w:val="24"/>
          <w:szCs w:val="24"/>
        </w:rPr>
        <w:t xml:space="preserve">nitiatives </w:t>
      </w:r>
      <w:r w:rsidR="00F2494D" w:rsidRPr="00F61A9E">
        <w:rPr>
          <w:rFonts w:ascii="Arial" w:hAnsi="Arial" w:cs="Arial"/>
          <w:color w:val="000000" w:themeColor="text1"/>
          <w:sz w:val="24"/>
          <w:szCs w:val="24"/>
        </w:rPr>
        <w:t xml:space="preserve">to </w:t>
      </w:r>
      <w:r w:rsidR="00355B5B" w:rsidRPr="00F61A9E">
        <w:rPr>
          <w:rFonts w:ascii="Arial" w:hAnsi="Arial" w:cs="Arial"/>
          <w:color w:val="000000" w:themeColor="text1"/>
          <w:sz w:val="24"/>
          <w:szCs w:val="24"/>
        </w:rPr>
        <w:t xml:space="preserve">enhance productivity (Lin and Bozeman, 2005) </w:t>
      </w:r>
      <w:r w:rsidR="00F2494D" w:rsidRPr="00F61A9E">
        <w:rPr>
          <w:rFonts w:ascii="Arial" w:hAnsi="Arial" w:cs="Arial"/>
          <w:color w:val="000000" w:themeColor="text1"/>
          <w:sz w:val="24"/>
          <w:szCs w:val="24"/>
        </w:rPr>
        <w:t xml:space="preserve">advance university engaging with industry collaborations </w:t>
      </w:r>
      <w:r w:rsidR="006D6203" w:rsidRPr="00F61A9E">
        <w:rPr>
          <w:rFonts w:ascii="Arial" w:hAnsi="Arial" w:cs="Arial"/>
          <w:color w:val="000000" w:themeColor="text1"/>
          <w:sz w:val="24"/>
          <w:szCs w:val="24"/>
        </w:rPr>
        <w:t xml:space="preserve">as </w:t>
      </w:r>
      <w:r w:rsidR="00912F4E" w:rsidRPr="00F61A9E">
        <w:rPr>
          <w:rFonts w:ascii="Arial" w:hAnsi="Arial" w:cs="Arial"/>
          <w:color w:val="000000" w:themeColor="text1"/>
          <w:sz w:val="24"/>
          <w:szCs w:val="24"/>
        </w:rPr>
        <w:t>science parks</w:t>
      </w:r>
      <w:r w:rsidR="00F2494D" w:rsidRPr="00F61A9E">
        <w:rPr>
          <w:rFonts w:ascii="Arial" w:hAnsi="Arial" w:cs="Arial"/>
          <w:color w:val="000000" w:themeColor="text1"/>
          <w:sz w:val="24"/>
          <w:szCs w:val="24"/>
        </w:rPr>
        <w:t xml:space="preserve"> to advance innovation and science based technologies (Meyer-</w:t>
      </w:r>
      <w:proofErr w:type="spellStart"/>
      <w:r w:rsidR="00F2494D" w:rsidRPr="00F61A9E">
        <w:rPr>
          <w:rFonts w:ascii="Arial" w:hAnsi="Arial" w:cs="Arial"/>
          <w:color w:val="000000" w:themeColor="text1"/>
          <w:sz w:val="24"/>
          <w:szCs w:val="24"/>
        </w:rPr>
        <w:t>Krahmer</w:t>
      </w:r>
      <w:proofErr w:type="spellEnd"/>
      <w:r w:rsidR="00F2494D" w:rsidRPr="00F61A9E">
        <w:rPr>
          <w:rFonts w:ascii="Arial" w:hAnsi="Arial" w:cs="Arial"/>
          <w:color w:val="000000" w:themeColor="text1"/>
          <w:sz w:val="24"/>
          <w:szCs w:val="24"/>
        </w:rPr>
        <w:t xml:space="preserve"> and </w:t>
      </w:r>
      <w:proofErr w:type="spellStart"/>
      <w:r w:rsidR="00F2494D" w:rsidRPr="00F61A9E">
        <w:rPr>
          <w:rFonts w:ascii="Arial" w:hAnsi="Arial" w:cs="Arial"/>
          <w:color w:val="000000" w:themeColor="text1"/>
          <w:sz w:val="24"/>
          <w:szCs w:val="24"/>
        </w:rPr>
        <w:t>Schmoch</w:t>
      </w:r>
      <w:proofErr w:type="spellEnd"/>
      <w:r w:rsidR="00F2494D" w:rsidRPr="00F61A9E">
        <w:rPr>
          <w:rFonts w:ascii="Arial" w:hAnsi="Arial" w:cs="Arial"/>
          <w:color w:val="000000" w:themeColor="text1"/>
          <w:sz w:val="24"/>
          <w:szCs w:val="24"/>
        </w:rPr>
        <w:t xml:space="preserve">, 1998; Marques </w:t>
      </w:r>
      <w:r w:rsidR="00406DD7" w:rsidRPr="00F61A9E">
        <w:rPr>
          <w:rFonts w:ascii="Arial" w:hAnsi="Arial" w:cs="Arial"/>
          <w:color w:val="000000" w:themeColor="text1"/>
          <w:sz w:val="24"/>
          <w:szCs w:val="24"/>
        </w:rPr>
        <w:t xml:space="preserve">et al., </w:t>
      </w:r>
      <w:r w:rsidR="00F2494D" w:rsidRPr="00F61A9E">
        <w:rPr>
          <w:rFonts w:ascii="Arial" w:hAnsi="Arial" w:cs="Arial"/>
          <w:color w:val="000000" w:themeColor="text1"/>
          <w:sz w:val="24"/>
          <w:szCs w:val="24"/>
        </w:rPr>
        <w:t>2006)</w:t>
      </w:r>
      <w:r w:rsidR="00912F4E" w:rsidRPr="00F61A9E">
        <w:rPr>
          <w:rFonts w:ascii="Arial" w:hAnsi="Arial" w:cs="Arial"/>
          <w:color w:val="000000" w:themeColor="text1"/>
          <w:sz w:val="24"/>
          <w:szCs w:val="24"/>
        </w:rPr>
        <w:t xml:space="preserve">, </w:t>
      </w:r>
      <w:r w:rsidR="00F2494D" w:rsidRPr="00F61A9E">
        <w:rPr>
          <w:rFonts w:ascii="Arial" w:hAnsi="Arial" w:cs="Arial"/>
          <w:color w:val="000000" w:themeColor="text1"/>
          <w:sz w:val="24"/>
          <w:szCs w:val="24"/>
        </w:rPr>
        <w:t xml:space="preserve">university interactions with </w:t>
      </w:r>
      <w:r w:rsidR="00912F4E" w:rsidRPr="00F61A9E">
        <w:rPr>
          <w:rFonts w:ascii="Arial" w:hAnsi="Arial" w:cs="Arial"/>
          <w:color w:val="000000" w:themeColor="text1"/>
          <w:sz w:val="24"/>
          <w:szCs w:val="24"/>
        </w:rPr>
        <w:t>business</w:t>
      </w:r>
      <w:r w:rsidR="00F2494D" w:rsidRPr="00F61A9E">
        <w:rPr>
          <w:rFonts w:ascii="Arial" w:hAnsi="Arial" w:cs="Arial"/>
          <w:color w:val="000000" w:themeColor="text1"/>
          <w:sz w:val="24"/>
          <w:szCs w:val="24"/>
        </w:rPr>
        <w:t xml:space="preserve"> to advance applied research (</w:t>
      </w:r>
      <w:proofErr w:type="spellStart"/>
      <w:r w:rsidR="00F2494D" w:rsidRPr="00F61A9E">
        <w:rPr>
          <w:rFonts w:ascii="Arial" w:hAnsi="Arial" w:cs="Arial"/>
          <w:color w:val="000000" w:themeColor="text1"/>
          <w:sz w:val="24"/>
          <w:szCs w:val="24"/>
        </w:rPr>
        <w:t>Balconi</w:t>
      </w:r>
      <w:proofErr w:type="spellEnd"/>
      <w:r w:rsidR="00F2494D" w:rsidRPr="00F61A9E">
        <w:rPr>
          <w:rFonts w:ascii="Arial" w:hAnsi="Arial" w:cs="Arial"/>
          <w:color w:val="000000" w:themeColor="text1"/>
          <w:sz w:val="24"/>
          <w:szCs w:val="24"/>
        </w:rPr>
        <w:t xml:space="preserve"> and </w:t>
      </w:r>
      <w:proofErr w:type="spellStart"/>
      <w:r w:rsidR="00F2494D" w:rsidRPr="00F61A9E">
        <w:rPr>
          <w:rFonts w:ascii="Arial" w:hAnsi="Arial" w:cs="Arial"/>
          <w:color w:val="000000" w:themeColor="text1"/>
          <w:sz w:val="24"/>
          <w:szCs w:val="24"/>
        </w:rPr>
        <w:t>Laboranti</w:t>
      </w:r>
      <w:proofErr w:type="spellEnd"/>
      <w:r w:rsidR="00F2494D" w:rsidRPr="00F61A9E">
        <w:rPr>
          <w:rFonts w:ascii="Arial" w:hAnsi="Arial" w:cs="Arial"/>
          <w:color w:val="000000" w:themeColor="text1"/>
          <w:sz w:val="24"/>
          <w:szCs w:val="24"/>
        </w:rPr>
        <w:t>, 2006)</w:t>
      </w:r>
      <w:r w:rsidR="0042061F" w:rsidRPr="00F61A9E">
        <w:rPr>
          <w:rFonts w:ascii="Arial" w:hAnsi="Arial" w:cs="Arial"/>
          <w:color w:val="000000" w:themeColor="text1"/>
          <w:sz w:val="24"/>
          <w:szCs w:val="24"/>
        </w:rPr>
        <w:t xml:space="preserve">, </w:t>
      </w:r>
      <w:r w:rsidR="00816FA1" w:rsidRPr="00F61A9E">
        <w:rPr>
          <w:rFonts w:ascii="Arial" w:hAnsi="Arial" w:cs="Arial"/>
          <w:color w:val="000000" w:themeColor="text1"/>
          <w:sz w:val="24"/>
          <w:szCs w:val="24"/>
        </w:rPr>
        <w:t xml:space="preserve">as well enterprise </w:t>
      </w:r>
      <w:r w:rsidR="00392353" w:rsidRPr="00F61A9E">
        <w:rPr>
          <w:rFonts w:ascii="Arial" w:hAnsi="Arial" w:cs="Arial"/>
          <w:color w:val="000000" w:themeColor="text1"/>
          <w:sz w:val="24"/>
          <w:szCs w:val="24"/>
        </w:rPr>
        <w:t xml:space="preserve">incubator support services </w:t>
      </w:r>
      <w:r w:rsidR="0042061F" w:rsidRPr="00F61A9E">
        <w:rPr>
          <w:rFonts w:ascii="Arial" w:hAnsi="Arial" w:cs="Arial"/>
          <w:color w:val="000000" w:themeColor="text1"/>
          <w:sz w:val="24"/>
          <w:szCs w:val="24"/>
        </w:rPr>
        <w:t>and Living Lab</w:t>
      </w:r>
      <w:r w:rsidR="00816FA1" w:rsidRPr="00F61A9E">
        <w:rPr>
          <w:rFonts w:ascii="Arial" w:hAnsi="Arial" w:cs="Arial"/>
          <w:color w:val="000000" w:themeColor="text1"/>
          <w:sz w:val="24"/>
          <w:szCs w:val="24"/>
        </w:rPr>
        <w:t xml:space="preserve">s which act as intermediaries for institutions seeking </w:t>
      </w:r>
      <w:r w:rsidR="00A40ADD" w:rsidRPr="00F61A9E">
        <w:rPr>
          <w:rFonts w:ascii="Arial" w:hAnsi="Arial" w:cs="Arial"/>
          <w:color w:val="000000" w:themeColor="text1"/>
          <w:sz w:val="24"/>
          <w:szCs w:val="24"/>
        </w:rPr>
        <w:t xml:space="preserve">to commercialise Intellectual Property through </w:t>
      </w:r>
      <w:r w:rsidR="00816FA1" w:rsidRPr="00F61A9E">
        <w:rPr>
          <w:rFonts w:ascii="Arial" w:hAnsi="Arial" w:cs="Arial"/>
          <w:color w:val="000000" w:themeColor="text1"/>
          <w:sz w:val="24"/>
          <w:szCs w:val="24"/>
        </w:rPr>
        <w:t>engagement in “open innovation”</w:t>
      </w:r>
      <w:r w:rsidR="00A40ADD" w:rsidRPr="00F61A9E">
        <w:rPr>
          <w:rFonts w:ascii="Arial" w:hAnsi="Arial" w:cs="Arial"/>
          <w:color w:val="000000" w:themeColor="text1"/>
          <w:sz w:val="24"/>
          <w:szCs w:val="24"/>
        </w:rPr>
        <w:t xml:space="preserve"> business models</w:t>
      </w:r>
      <w:r w:rsidR="00816FA1" w:rsidRPr="00F61A9E">
        <w:rPr>
          <w:rFonts w:ascii="Arial" w:hAnsi="Arial" w:cs="Arial"/>
          <w:color w:val="000000" w:themeColor="text1"/>
          <w:sz w:val="24"/>
          <w:szCs w:val="24"/>
        </w:rPr>
        <w:t xml:space="preserve"> (</w:t>
      </w:r>
      <w:r w:rsidR="00A40ADD" w:rsidRPr="00F61A9E">
        <w:rPr>
          <w:rFonts w:ascii="Arial" w:hAnsi="Arial" w:cs="Arial"/>
          <w:color w:val="000000" w:themeColor="text1"/>
          <w:sz w:val="24"/>
          <w:szCs w:val="24"/>
        </w:rPr>
        <w:t>Chesbrough, 2006). E</w:t>
      </w:r>
      <w:r w:rsidR="00816FA1" w:rsidRPr="00F61A9E">
        <w:rPr>
          <w:rFonts w:ascii="Arial" w:hAnsi="Arial" w:cs="Arial"/>
          <w:color w:val="000000" w:themeColor="text1"/>
          <w:sz w:val="24"/>
          <w:szCs w:val="24"/>
        </w:rPr>
        <w:t xml:space="preserve">xamples include </w:t>
      </w:r>
      <w:r w:rsidR="00A40ADD" w:rsidRPr="00F61A9E">
        <w:rPr>
          <w:rFonts w:ascii="Arial" w:hAnsi="Arial" w:cs="Arial"/>
          <w:color w:val="000000" w:themeColor="text1"/>
          <w:sz w:val="24"/>
          <w:szCs w:val="24"/>
        </w:rPr>
        <w:t xml:space="preserve">Porter’s </w:t>
      </w:r>
      <w:r w:rsidR="00816FA1" w:rsidRPr="00F61A9E">
        <w:rPr>
          <w:rFonts w:ascii="Arial" w:hAnsi="Arial" w:cs="Arial"/>
          <w:color w:val="000000" w:themeColor="text1"/>
          <w:sz w:val="24"/>
          <w:szCs w:val="24"/>
        </w:rPr>
        <w:t xml:space="preserve">clusters that enable </w:t>
      </w:r>
      <w:r w:rsidR="00A40ADD" w:rsidRPr="00F61A9E">
        <w:rPr>
          <w:rFonts w:ascii="Arial" w:hAnsi="Arial" w:cs="Arial"/>
          <w:color w:val="000000" w:themeColor="text1"/>
          <w:sz w:val="24"/>
          <w:szCs w:val="24"/>
        </w:rPr>
        <w:t xml:space="preserve">university business </w:t>
      </w:r>
      <w:r w:rsidR="00816FA1" w:rsidRPr="00F61A9E">
        <w:rPr>
          <w:rFonts w:ascii="Arial" w:hAnsi="Arial" w:cs="Arial"/>
          <w:color w:val="000000" w:themeColor="text1"/>
          <w:sz w:val="24"/>
          <w:szCs w:val="24"/>
        </w:rPr>
        <w:t>knowledge transfer including Science Parks; Business Incubators; Technology Transfer Offices</w:t>
      </w:r>
      <w:r w:rsidR="00F731B2" w:rsidRPr="00F61A9E">
        <w:rPr>
          <w:rFonts w:ascii="Arial" w:hAnsi="Arial" w:cs="Arial"/>
          <w:color w:val="000000" w:themeColor="text1"/>
          <w:sz w:val="24"/>
          <w:szCs w:val="24"/>
        </w:rPr>
        <w:t>; Catapult Centres (Wilson, 2012)</w:t>
      </w:r>
      <w:r w:rsidR="00816FA1" w:rsidRPr="00F61A9E">
        <w:rPr>
          <w:rFonts w:ascii="Arial" w:hAnsi="Arial" w:cs="Arial"/>
          <w:color w:val="000000" w:themeColor="text1"/>
          <w:sz w:val="24"/>
          <w:szCs w:val="24"/>
        </w:rPr>
        <w:t xml:space="preserve"> </w:t>
      </w:r>
      <w:r w:rsidR="0042061F" w:rsidRPr="00F61A9E">
        <w:rPr>
          <w:rFonts w:ascii="Arial" w:hAnsi="Arial" w:cs="Arial"/>
          <w:color w:val="000000" w:themeColor="text1"/>
          <w:sz w:val="24"/>
          <w:szCs w:val="24"/>
        </w:rPr>
        <w:t>all of which strive to find solutions to regional problems</w:t>
      </w:r>
      <w:r w:rsidR="00912F4E" w:rsidRPr="00F61A9E">
        <w:rPr>
          <w:rFonts w:ascii="Arial" w:hAnsi="Arial" w:cs="Arial"/>
          <w:color w:val="000000" w:themeColor="text1"/>
          <w:sz w:val="24"/>
          <w:szCs w:val="24"/>
        </w:rPr>
        <w:t xml:space="preserve">. </w:t>
      </w:r>
    </w:p>
    <w:p w:rsidR="00CE7069" w:rsidRPr="00F61A9E" w:rsidRDefault="00CE7069" w:rsidP="00FE38F8">
      <w:pPr>
        <w:spacing w:after="0" w:line="480" w:lineRule="auto"/>
        <w:rPr>
          <w:rFonts w:ascii="Arial" w:hAnsi="Arial" w:cs="Arial"/>
          <w:color w:val="000000" w:themeColor="text1"/>
          <w:sz w:val="24"/>
          <w:szCs w:val="24"/>
        </w:rPr>
      </w:pPr>
    </w:p>
    <w:p w:rsidR="00CE7069" w:rsidRPr="00F61A9E" w:rsidRDefault="00CE7069"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3.4 The case of Northumbria University</w:t>
      </w:r>
    </w:p>
    <w:p w:rsidR="00125F52" w:rsidRPr="00F61A9E" w:rsidRDefault="00125F52"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 xml:space="preserve">There are a number of initiatives within Northumbria University which demonstrate how universities may </w:t>
      </w:r>
      <w:r w:rsidR="00415F24" w:rsidRPr="00F61A9E">
        <w:rPr>
          <w:rFonts w:ascii="Arial" w:hAnsi="Arial" w:cs="Arial"/>
          <w:color w:val="000000" w:themeColor="text1"/>
          <w:sz w:val="24"/>
          <w:szCs w:val="24"/>
        </w:rPr>
        <w:t>operate within these new multi-level governance systems as anchor institutions for regional development.</w:t>
      </w:r>
    </w:p>
    <w:p w:rsidR="00125F52" w:rsidRPr="00F61A9E" w:rsidRDefault="00125F52" w:rsidP="00FE38F8">
      <w:pPr>
        <w:spacing w:after="0" w:line="480" w:lineRule="auto"/>
        <w:rPr>
          <w:rFonts w:ascii="Arial" w:hAnsi="Arial" w:cs="Arial"/>
          <w:color w:val="000000" w:themeColor="text1"/>
          <w:sz w:val="24"/>
          <w:szCs w:val="24"/>
        </w:rPr>
      </w:pPr>
    </w:p>
    <w:p w:rsidR="00415F24" w:rsidRPr="00F61A9E" w:rsidRDefault="00912F4E"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lastRenderedPageBreak/>
        <w:t>Northumbria</w:t>
      </w:r>
      <w:r w:rsidR="00A40ADD" w:rsidRPr="00F61A9E">
        <w:rPr>
          <w:rFonts w:ascii="Arial" w:hAnsi="Arial" w:cs="Arial"/>
          <w:color w:val="000000" w:themeColor="text1"/>
          <w:sz w:val="24"/>
          <w:szCs w:val="24"/>
        </w:rPr>
        <w:t xml:space="preserve"> University</w:t>
      </w:r>
      <w:r w:rsidRPr="00F61A9E">
        <w:rPr>
          <w:rFonts w:ascii="Arial" w:hAnsi="Arial" w:cs="Arial"/>
          <w:color w:val="000000" w:themeColor="text1"/>
          <w:sz w:val="24"/>
          <w:szCs w:val="24"/>
        </w:rPr>
        <w:t xml:space="preserve">’s Business Clinic demonstrates university business engagement through offering students the opportunity to work on a live industry problem. These </w:t>
      </w:r>
      <w:r w:rsidR="002F3706" w:rsidRPr="00F61A9E">
        <w:rPr>
          <w:rFonts w:ascii="Arial" w:hAnsi="Arial" w:cs="Arial"/>
          <w:color w:val="000000" w:themeColor="text1"/>
          <w:sz w:val="24"/>
          <w:szCs w:val="24"/>
        </w:rPr>
        <w:t xml:space="preserve">diverse </w:t>
      </w:r>
      <w:r w:rsidRPr="00F61A9E">
        <w:rPr>
          <w:rFonts w:ascii="Arial" w:hAnsi="Arial" w:cs="Arial"/>
          <w:color w:val="000000" w:themeColor="text1"/>
          <w:sz w:val="24"/>
          <w:szCs w:val="24"/>
        </w:rPr>
        <w:t xml:space="preserve">partnerships offer mutual respect </w:t>
      </w:r>
      <w:r w:rsidR="003D27BD" w:rsidRPr="00F61A9E">
        <w:rPr>
          <w:rFonts w:ascii="Arial" w:hAnsi="Arial" w:cs="Arial"/>
          <w:color w:val="000000" w:themeColor="text1"/>
          <w:sz w:val="24"/>
          <w:szCs w:val="24"/>
        </w:rPr>
        <w:t xml:space="preserve">where students can work on a consultancy project that provides </w:t>
      </w:r>
      <w:r w:rsidRPr="00F61A9E">
        <w:rPr>
          <w:rFonts w:ascii="Arial" w:hAnsi="Arial" w:cs="Arial"/>
          <w:color w:val="000000" w:themeColor="text1"/>
          <w:sz w:val="24"/>
          <w:szCs w:val="24"/>
        </w:rPr>
        <w:t xml:space="preserve">a solution </w:t>
      </w:r>
      <w:r w:rsidR="003D27BD" w:rsidRPr="00F61A9E">
        <w:rPr>
          <w:rFonts w:ascii="Arial" w:hAnsi="Arial" w:cs="Arial"/>
          <w:color w:val="000000" w:themeColor="text1"/>
          <w:sz w:val="24"/>
          <w:szCs w:val="24"/>
        </w:rPr>
        <w:t xml:space="preserve">to a problem. This mode advances </w:t>
      </w:r>
      <w:r w:rsidRPr="00F61A9E">
        <w:rPr>
          <w:rFonts w:ascii="Arial" w:hAnsi="Arial" w:cs="Arial"/>
          <w:color w:val="000000" w:themeColor="text1"/>
          <w:sz w:val="24"/>
          <w:szCs w:val="24"/>
        </w:rPr>
        <w:t xml:space="preserve">student </w:t>
      </w:r>
      <w:r w:rsidR="003D27BD" w:rsidRPr="00F61A9E">
        <w:rPr>
          <w:rFonts w:ascii="Arial" w:hAnsi="Arial" w:cs="Arial"/>
          <w:color w:val="000000" w:themeColor="text1"/>
          <w:sz w:val="24"/>
          <w:szCs w:val="24"/>
        </w:rPr>
        <w:t xml:space="preserve">capabilities in learning applied skills as well as enhancing student prospects for </w:t>
      </w:r>
      <w:r w:rsidRPr="00F61A9E">
        <w:rPr>
          <w:rFonts w:ascii="Arial" w:hAnsi="Arial" w:cs="Arial"/>
          <w:color w:val="000000" w:themeColor="text1"/>
          <w:sz w:val="24"/>
          <w:szCs w:val="24"/>
        </w:rPr>
        <w:t xml:space="preserve">employability and </w:t>
      </w:r>
      <w:r w:rsidR="002F3706" w:rsidRPr="00F61A9E">
        <w:rPr>
          <w:rFonts w:ascii="Arial" w:hAnsi="Arial" w:cs="Arial"/>
          <w:color w:val="000000" w:themeColor="text1"/>
          <w:sz w:val="24"/>
          <w:szCs w:val="24"/>
        </w:rPr>
        <w:t xml:space="preserve">graduate </w:t>
      </w:r>
      <w:r w:rsidRPr="00F61A9E">
        <w:rPr>
          <w:rFonts w:ascii="Arial" w:hAnsi="Arial" w:cs="Arial"/>
          <w:color w:val="000000" w:themeColor="text1"/>
          <w:sz w:val="24"/>
          <w:szCs w:val="24"/>
        </w:rPr>
        <w:t xml:space="preserve">retention </w:t>
      </w:r>
      <w:r w:rsidR="002F3706" w:rsidRPr="00F61A9E">
        <w:rPr>
          <w:rFonts w:ascii="Arial" w:hAnsi="Arial" w:cs="Arial"/>
          <w:color w:val="000000" w:themeColor="text1"/>
          <w:sz w:val="24"/>
          <w:szCs w:val="24"/>
        </w:rPr>
        <w:t xml:space="preserve">after graduation </w:t>
      </w:r>
      <w:r w:rsidRPr="00F61A9E">
        <w:rPr>
          <w:rFonts w:ascii="Arial" w:hAnsi="Arial" w:cs="Arial"/>
          <w:color w:val="000000" w:themeColor="text1"/>
          <w:sz w:val="24"/>
          <w:szCs w:val="24"/>
        </w:rPr>
        <w:t xml:space="preserve">of key skills in the </w:t>
      </w:r>
      <w:r w:rsidR="002F3706" w:rsidRPr="00F61A9E">
        <w:rPr>
          <w:rFonts w:ascii="Arial" w:hAnsi="Arial" w:cs="Arial"/>
          <w:color w:val="000000" w:themeColor="text1"/>
          <w:sz w:val="24"/>
          <w:szCs w:val="24"/>
        </w:rPr>
        <w:t xml:space="preserve">North East </w:t>
      </w:r>
      <w:r w:rsidRPr="00F61A9E">
        <w:rPr>
          <w:rFonts w:ascii="Arial" w:hAnsi="Arial" w:cs="Arial"/>
          <w:color w:val="000000" w:themeColor="text1"/>
          <w:sz w:val="24"/>
          <w:szCs w:val="24"/>
        </w:rPr>
        <w:t xml:space="preserve">city region. </w:t>
      </w:r>
    </w:p>
    <w:p w:rsidR="00415F24" w:rsidRPr="00F61A9E" w:rsidRDefault="00415F24" w:rsidP="00FE38F8">
      <w:pPr>
        <w:spacing w:after="0" w:line="480" w:lineRule="auto"/>
        <w:rPr>
          <w:rFonts w:ascii="Arial" w:hAnsi="Arial" w:cs="Arial"/>
          <w:color w:val="000000" w:themeColor="text1"/>
          <w:sz w:val="24"/>
          <w:szCs w:val="24"/>
        </w:rPr>
      </w:pPr>
    </w:p>
    <w:p w:rsidR="00912F4E" w:rsidRPr="00F61A9E" w:rsidRDefault="00F731B2"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 xml:space="preserve">In 2017, to boost low skills aspiration and drive ambition and increase productivity the UK government introduced the apprenticeship levy for employers. </w:t>
      </w:r>
      <w:r w:rsidR="0005455E" w:rsidRPr="00F61A9E">
        <w:rPr>
          <w:rFonts w:ascii="Arial" w:hAnsi="Arial" w:cs="Arial"/>
          <w:color w:val="000000" w:themeColor="text1"/>
          <w:sz w:val="24"/>
          <w:szCs w:val="24"/>
        </w:rPr>
        <w:t xml:space="preserve">Developing </w:t>
      </w:r>
      <w:r w:rsidR="00392353" w:rsidRPr="00F61A9E">
        <w:rPr>
          <w:rFonts w:ascii="Arial" w:hAnsi="Arial" w:cs="Arial"/>
          <w:color w:val="000000" w:themeColor="text1"/>
          <w:sz w:val="24"/>
          <w:szCs w:val="24"/>
        </w:rPr>
        <w:t xml:space="preserve">a higher level skills base </w:t>
      </w:r>
      <w:r w:rsidR="0005455E" w:rsidRPr="00F61A9E">
        <w:rPr>
          <w:rFonts w:ascii="Arial" w:hAnsi="Arial" w:cs="Arial"/>
          <w:color w:val="000000" w:themeColor="text1"/>
          <w:sz w:val="24"/>
          <w:szCs w:val="24"/>
        </w:rPr>
        <w:t xml:space="preserve">was a key requirement of the Wilson Review  </w:t>
      </w:r>
    </w:p>
    <w:p w:rsidR="00CE7069" w:rsidRPr="00F61A9E" w:rsidRDefault="00CE7069" w:rsidP="00FE38F8">
      <w:pPr>
        <w:spacing w:after="0" w:line="480" w:lineRule="auto"/>
        <w:rPr>
          <w:rFonts w:ascii="Arial" w:hAnsi="Arial" w:cs="Arial"/>
          <w:color w:val="000000" w:themeColor="text1"/>
          <w:sz w:val="24"/>
          <w:szCs w:val="24"/>
        </w:rPr>
      </w:pPr>
    </w:p>
    <w:p w:rsidR="00D44F9C" w:rsidRPr="00F61A9E" w:rsidRDefault="00392353"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The prospect for university regional engagement needs to b</w:t>
      </w:r>
      <w:r w:rsidR="00D44F9C" w:rsidRPr="00F61A9E">
        <w:rPr>
          <w:rFonts w:ascii="Arial" w:hAnsi="Arial" w:cs="Arial"/>
          <w:color w:val="000000" w:themeColor="text1"/>
          <w:sz w:val="24"/>
          <w:szCs w:val="24"/>
        </w:rPr>
        <w:t xml:space="preserve">uild on local </w:t>
      </w:r>
      <w:r w:rsidR="004A783A" w:rsidRPr="00F61A9E">
        <w:rPr>
          <w:rFonts w:ascii="Arial" w:hAnsi="Arial" w:cs="Arial"/>
          <w:color w:val="000000" w:themeColor="text1"/>
          <w:sz w:val="24"/>
          <w:szCs w:val="24"/>
        </w:rPr>
        <w:t xml:space="preserve">regional </w:t>
      </w:r>
      <w:r w:rsidR="00D44F9C" w:rsidRPr="00F61A9E">
        <w:rPr>
          <w:rFonts w:ascii="Arial" w:hAnsi="Arial" w:cs="Arial"/>
          <w:color w:val="000000" w:themeColor="text1"/>
          <w:sz w:val="24"/>
          <w:szCs w:val="24"/>
        </w:rPr>
        <w:t>strengths</w:t>
      </w:r>
      <w:r w:rsidR="004A783A" w:rsidRPr="00F61A9E">
        <w:rPr>
          <w:rFonts w:ascii="Arial" w:hAnsi="Arial" w:cs="Arial"/>
          <w:color w:val="000000" w:themeColor="text1"/>
          <w:sz w:val="24"/>
          <w:szCs w:val="24"/>
        </w:rPr>
        <w:t xml:space="preserve">, </w:t>
      </w:r>
      <w:r w:rsidR="00D44F9C" w:rsidRPr="00F61A9E">
        <w:rPr>
          <w:rFonts w:ascii="Arial" w:hAnsi="Arial" w:cs="Arial"/>
          <w:color w:val="000000" w:themeColor="text1"/>
          <w:sz w:val="24"/>
          <w:szCs w:val="24"/>
        </w:rPr>
        <w:t xml:space="preserve">universities increasingly operate with a variety of sectors </w:t>
      </w:r>
      <w:r w:rsidR="004A783A" w:rsidRPr="00F61A9E">
        <w:rPr>
          <w:rFonts w:ascii="Arial" w:hAnsi="Arial" w:cs="Arial"/>
          <w:color w:val="000000" w:themeColor="text1"/>
          <w:sz w:val="24"/>
          <w:szCs w:val="24"/>
        </w:rPr>
        <w:t xml:space="preserve">and </w:t>
      </w:r>
      <w:r w:rsidR="00912F4E" w:rsidRPr="00F61A9E">
        <w:rPr>
          <w:rFonts w:ascii="Arial" w:hAnsi="Arial" w:cs="Arial"/>
          <w:color w:val="000000" w:themeColor="text1"/>
          <w:sz w:val="24"/>
          <w:szCs w:val="24"/>
        </w:rPr>
        <w:t xml:space="preserve">business </w:t>
      </w:r>
      <w:r w:rsidR="004A783A" w:rsidRPr="00F61A9E">
        <w:rPr>
          <w:rFonts w:ascii="Arial" w:hAnsi="Arial" w:cs="Arial"/>
          <w:color w:val="000000" w:themeColor="text1"/>
          <w:sz w:val="24"/>
          <w:szCs w:val="24"/>
        </w:rPr>
        <w:t xml:space="preserve">to facilitate </w:t>
      </w:r>
      <w:r w:rsidR="00912F4E" w:rsidRPr="00F61A9E">
        <w:rPr>
          <w:rFonts w:ascii="Arial" w:hAnsi="Arial" w:cs="Arial"/>
          <w:color w:val="000000" w:themeColor="text1"/>
          <w:sz w:val="24"/>
          <w:szCs w:val="24"/>
        </w:rPr>
        <w:t xml:space="preserve">student </w:t>
      </w:r>
      <w:r w:rsidR="004A783A" w:rsidRPr="00F61A9E">
        <w:rPr>
          <w:rFonts w:ascii="Arial" w:hAnsi="Arial" w:cs="Arial"/>
          <w:color w:val="000000" w:themeColor="text1"/>
          <w:sz w:val="24"/>
          <w:szCs w:val="24"/>
        </w:rPr>
        <w:t>entrepreneurship</w:t>
      </w:r>
      <w:r w:rsidR="00912F4E" w:rsidRPr="00F61A9E">
        <w:rPr>
          <w:rFonts w:ascii="Arial" w:hAnsi="Arial" w:cs="Arial"/>
          <w:color w:val="000000" w:themeColor="text1"/>
          <w:sz w:val="24"/>
          <w:szCs w:val="24"/>
        </w:rPr>
        <w:t xml:space="preserve"> including providing facilities for </w:t>
      </w:r>
      <w:r w:rsidR="00A40ADD" w:rsidRPr="00F61A9E">
        <w:rPr>
          <w:rFonts w:ascii="Arial" w:hAnsi="Arial" w:cs="Arial"/>
          <w:color w:val="000000" w:themeColor="text1"/>
          <w:sz w:val="24"/>
          <w:szCs w:val="24"/>
        </w:rPr>
        <w:t xml:space="preserve">business through </w:t>
      </w:r>
      <w:r w:rsidR="00912F4E" w:rsidRPr="00F61A9E">
        <w:rPr>
          <w:rFonts w:ascii="Arial" w:hAnsi="Arial" w:cs="Arial"/>
          <w:color w:val="000000" w:themeColor="text1"/>
          <w:sz w:val="24"/>
          <w:szCs w:val="24"/>
        </w:rPr>
        <w:t xml:space="preserve">start-up grants. </w:t>
      </w:r>
      <w:r w:rsidR="00F731B2" w:rsidRPr="00F61A9E">
        <w:rPr>
          <w:rFonts w:ascii="Arial" w:hAnsi="Arial" w:cs="Arial"/>
          <w:color w:val="000000" w:themeColor="text1"/>
          <w:sz w:val="24"/>
          <w:szCs w:val="24"/>
        </w:rPr>
        <w:t xml:space="preserve">Since 2012, </w:t>
      </w:r>
      <w:r w:rsidR="00912F4E" w:rsidRPr="00F61A9E">
        <w:rPr>
          <w:rFonts w:ascii="Arial" w:hAnsi="Arial" w:cs="Arial"/>
          <w:color w:val="000000" w:themeColor="text1"/>
          <w:sz w:val="24"/>
          <w:szCs w:val="24"/>
        </w:rPr>
        <w:t>Northumbria University has</w:t>
      </w:r>
      <w:r w:rsidR="00F731B2" w:rsidRPr="00F61A9E">
        <w:rPr>
          <w:rFonts w:ascii="Arial" w:hAnsi="Arial" w:cs="Arial"/>
          <w:color w:val="000000" w:themeColor="text1"/>
          <w:sz w:val="24"/>
          <w:szCs w:val="24"/>
        </w:rPr>
        <w:t xml:space="preserve"> seen </w:t>
      </w:r>
      <w:r w:rsidR="00912F4E" w:rsidRPr="00F61A9E">
        <w:rPr>
          <w:rFonts w:ascii="Arial" w:hAnsi="Arial" w:cs="Arial"/>
          <w:color w:val="000000" w:themeColor="text1"/>
          <w:sz w:val="24"/>
          <w:szCs w:val="24"/>
        </w:rPr>
        <w:t xml:space="preserve">an increase in </w:t>
      </w:r>
      <w:r w:rsidR="00F731B2" w:rsidRPr="00F61A9E">
        <w:rPr>
          <w:rFonts w:ascii="Arial" w:hAnsi="Arial" w:cs="Arial"/>
          <w:color w:val="000000" w:themeColor="text1"/>
          <w:sz w:val="24"/>
          <w:szCs w:val="24"/>
        </w:rPr>
        <w:t xml:space="preserve">the development of </w:t>
      </w:r>
      <w:r w:rsidR="00912F4E" w:rsidRPr="00F61A9E">
        <w:rPr>
          <w:rFonts w:ascii="Arial" w:hAnsi="Arial" w:cs="Arial"/>
          <w:color w:val="000000" w:themeColor="text1"/>
          <w:sz w:val="24"/>
          <w:szCs w:val="24"/>
        </w:rPr>
        <w:t>ent</w:t>
      </w:r>
      <w:r w:rsidR="00F731B2" w:rsidRPr="00F61A9E">
        <w:rPr>
          <w:rFonts w:ascii="Arial" w:hAnsi="Arial" w:cs="Arial"/>
          <w:color w:val="000000" w:themeColor="text1"/>
          <w:sz w:val="24"/>
          <w:szCs w:val="24"/>
        </w:rPr>
        <w:t>erprise and ent</w:t>
      </w:r>
      <w:r w:rsidR="00912F4E" w:rsidRPr="00F61A9E">
        <w:rPr>
          <w:rFonts w:ascii="Arial" w:hAnsi="Arial" w:cs="Arial"/>
          <w:color w:val="000000" w:themeColor="text1"/>
          <w:sz w:val="24"/>
          <w:szCs w:val="24"/>
        </w:rPr>
        <w:t>repreneurship programmes</w:t>
      </w:r>
      <w:r w:rsidRPr="00F61A9E">
        <w:rPr>
          <w:rFonts w:ascii="Arial" w:hAnsi="Arial" w:cs="Arial"/>
          <w:color w:val="000000" w:themeColor="text1"/>
          <w:sz w:val="24"/>
          <w:szCs w:val="24"/>
        </w:rPr>
        <w:t xml:space="preserve">. </w:t>
      </w:r>
      <w:r w:rsidR="00F731B2" w:rsidRPr="00F61A9E">
        <w:rPr>
          <w:rFonts w:ascii="Arial" w:hAnsi="Arial" w:cs="Arial"/>
          <w:color w:val="000000" w:themeColor="text1"/>
          <w:sz w:val="24"/>
          <w:szCs w:val="24"/>
        </w:rPr>
        <w:t xml:space="preserve">An </w:t>
      </w:r>
      <w:r w:rsidR="00912F4E" w:rsidRPr="00F61A9E">
        <w:rPr>
          <w:rFonts w:ascii="Arial" w:hAnsi="Arial" w:cs="Arial"/>
          <w:color w:val="000000" w:themeColor="text1"/>
          <w:sz w:val="24"/>
          <w:szCs w:val="24"/>
        </w:rPr>
        <w:t xml:space="preserve">increase in new forms of </w:t>
      </w:r>
      <w:r w:rsidR="00F731B2" w:rsidRPr="00F61A9E">
        <w:rPr>
          <w:rFonts w:ascii="Arial" w:hAnsi="Arial" w:cs="Arial"/>
          <w:color w:val="000000" w:themeColor="text1"/>
          <w:sz w:val="24"/>
          <w:szCs w:val="24"/>
        </w:rPr>
        <w:t>university business interactions as</w:t>
      </w:r>
      <w:r w:rsidR="00912F4E" w:rsidRPr="00F61A9E">
        <w:rPr>
          <w:rFonts w:ascii="Arial" w:hAnsi="Arial" w:cs="Arial"/>
          <w:color w:val="000000" w:themeColor="text1"/>
          <w:sz w:val="24"/>
          <w:szCs w:val="24"/>
        </w:rPr>
        <w:t xml:space="preserve"> </w:t>
      </w:r>
      <w:r w:rsidR="004A783A" w:rsidRPr="00F61A9E">
        <w:rPr>
          <w:rFonts w:ascii="Arial" w:hAnsi="Arial" w:cs="Arial"/>
          <w:color w:val="000000" w:themeColor="text1"/>
          <w:sz w:val="24"/>
          <w:szCs w:val="24"/>
        </w:rPr>
        <w:t xml:space="preserve">regional </w:t>
      </w:r>
      <w:r w:rsidR="00D44F9C" w:rsidRPr="00F61A9E">
        <w:rPr>
          <w:rFonts w:ascii="Arial" w:hAnsi="Arial" w:cs="Arial"/>
          <w:color w:val="000000" w:themeColor="text1"/>
          <w:sz w:val="24"/>
          <w:szCs w:val="24"/>
        </w:rPr>
        <w:t xml:space="preserve">businesses, local authorities, combined authorities, charities and mayor models to advance </w:t>
      </w:r>
      <w:r w:rsidR="00F731B2" w:rsidRPr="00F61A9E">
        <w:rPr>
          <w:rFonts w:ascii="Arial" w:hAnsi="Arial" w:cs="Arial"/>
          <w:color w:val="000000" w:themeColor="text1"/>
          <w:sz w:val="24"/>
          <w:szCs w:val="24"/>
        </w:rPr>
        <w:t xml:space="preserve">universities role in </w:t>
      </w:r>
      <w:r w:rsidR="00D44F9C" w:rsidRPr="00F61A9E">
        <w:rPr>
          <w:rFonts w:ascii="Arial" w:hAnsi="Arial" w:cs="Arial"/>
          <w:color w:val="000000" w:themeColor="text1"/>
          <w:sz w:val="24"/>
          <w:szCs w:val="24"/>
        </w:rPr>
        <w:t xml:space="preserve">civic </w:t>
      </w:r>
      <w:r w:rsidR="00F731B2" w:rsidRPr="00F61A9E">
        <w:rPr>
          <w:rFonts w:ascii="Arial" w:hAnsi="Arial" w:cs="Arial"/>
          <w:color w:val="000000" w:themeColor="text1"/>
          <w:sz w:val="24"/>
          <w:szCs w:val="24"/>
        </w:rPr>
        <w:t xml:space="preserve">society </w:t>
      </w:r>
      <w:r w:rsidR="00D44F9C" w:rsidRPr="00F61A9E">
        <w:rPr>
          <w:rFonts w:ascii="Arial" w:hAnsi="Arial" w:cs="Arial"/>
          <w:color w:val="000000" w:themeColor="text1"/>
          <w:sz w:val="24"/>
          <w:szCs w:val="24"/>
        </w:rPr>
        <w:t xml:space="preserve">engagement. </w:t>
      </w:r>
    </w:p>
    <w:p w:rsidR="00CE7069" w:rsidRPr="00F61A9E" w:rsidRDefault="00CE7069" w:rsidP="00FE38F8">
      <w:pPr>
        <w:spacing w:after="0" w:line="480" w:lineRule="auto"/>
        <w:rPr>
          <w:rFonts w:ascii="Arial" w:hAnsi="Arial" w:cs="Arial"/>
          <w:color w:val="000000" w:themeColor="text1"/>
          <w:sz w:val="24"/>
          <w:szCs w:val="24"/>
        </w:rPr>
      </w:pPr>
    </w:p>
    <w:p w:rsidR="000367DD" w:rsidRPr="00F61A9E" w:rsidRDefault="00D44F9C"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t xml:space="preserve">To counter this, North East universities </w:t>
      </w:r>
      <w:r w:rsidR="00912F4E" w:rsidRPr="00F61A9E">
        <w:rPr>
          <w:rFonts w:ascii="Arial" w:hAnsi="Arial" w:cs="Arial"/>
          <w:color w:val="000000" w:themeColor="text1"/>
          <w:sz w:val="24"/>
          <w:szCs w:val="24"/>
        </w:rPr>
        <w:t xml:space="preserve">have begun to embed locally in city regions </w:t>
      </w:r>
      <w:r w:rsidR="00F731B2" w:rsidRPr="00F61A9E">
        <w:rPr>
          <w:rFonts w:ascii="Arial" w:hAnsi="Arial" w:cs="Arial"/>
          <w:color w:val="000000" w:themeColor="text1"/>
          <w:sz w:val="24"/>
          <w:szCs w:val="24"/>
        </w:rPr>
        <w:t xml:space="preserve">and influence </w:t>
      </w:r>
      <w:r w:rsidR="00582296" w:rsidRPr="00F61A9E">
        <w:rPr>
          <w:rFonts w:ascii="Arial" w:hAnsi="Arial" w:cs="Arial"/>
          <w:color w:val="000000" w:themeColor="text1"/>
          <w:sz w:val="24"/>
          <w:szCs w:val="24"/>
        </w:rPr>
        <w:t xml:space="preserve">communities in their role of </w:t>
      </w:r>
      <w:r w:rsidR="004A783A" w:rsidRPr="00F61A9E">
        <w:rPr>
          <w:rFonts w:ascii="Arial" w:hAnsi="Arial" w:cs="Arial"/>
          <w:color w:val="000000" w:themeColor="text1"/>
          <w:sz w:val="24"/>
          <w:szCs w:val="24"/>
        </w:rPr>
        <w:t>anchor institutions</w:t>
      </w:r>
      <w:r w:rsidR="00582296" w:rsidRPr="00F61A9E">
        <w:rPr>
          <w:rFonts w:ascii="Arial" w:hAnsi="Arial" w:cs="Arial"/>
          <w:color w:val="000000" w:themeColor="text1"/>
          <w:sz w:val="24"/>
          <w:szCs w:val="24"/>
        </w:rPr>
        <w:t xml:space="preserve"> (Wilson, 2012)</w:t>
      </w:r>
      <w:r w:rsidR="00912F4E" w:rsidRPr="00F61A9E">
        <w:rPr>
          <w:rFonts w:ascii="Arial" w:hAnsi="Arial" w:cs="Arial"/>
          <w:color w:val="000000" w:themeColor="text1"/>
          <w:sz w:val="24"/>
          <w:szCs w:val="24"/>
        </w:rPr>
        <w:t xml:space="preserve">. Anchor institutions </w:t>
      </w:r>
      <w:r w:rsidR="00582296" w:rsidRPr="00F61A9E">
        <w:rPr>
          <w:rFonts w:ascii="Arial" w:hAnsi="Arial" w:cs="Arial"/>
          <w:color w:val="000000" w:themeColor="text1"/>
          <w:sz w:val="24"/>
          <w:szCs w:val="24"/>
        </w:rPr>
        <w:t xml:space="preserve">provide cultural benefits and build </w:t>
      </w:r>
      <w:r w:rsidRPr="00F61A9E">
        <w:rPr>
          <w:rFonts w:ascii="Arial" w:hAnsi="Arial" w:cs="Arial"/>
          <w:color w:val="000000" w:themeColor="text1"/>
          <w:sz w:val="24"/>
          <w:szCs w:val="24"/>
        </w:rPr>
        <w:t xml:space="preserve">on </w:t>
      </w:r>
      <w:r w:rsidR="004A783A" w:rsidRPr="00F61A9E">
        <w:rPr>
          <w:rFonts w:ascii="Arial" w:hAnsi="Arial" w:cs="Arial"/>
          <w:color w:val="000000" w:themeColor="text1"/>
          <w:sz w:val="24"/>
          <w:szCs w:val="24"/>
        </w:rPr>
        <w:t xml:space="preserve">historical past and </w:t>
      </w:r>
      <w:r w:rsidRPr="00F61A9E">
        <w:rPr>
          <w:rFonts w:ascii="Arial" w:hAnsi="Arial" w:cs="Arial"/>
          <w:color w:val="000000" w:themeColor="text1"/>
          <w:sz w:val="24"/>
          <w:szCs w:val="24"/>
        </w:rPr>
        <w:t xml:space="preserve">key strengths </w:t>
      </w:r>
      <w:r w:rsidR="00912F4E" w:rsidRPr="00F61A9E">
        <w:rPr>
          <w:rFonts w:ascii="Arial" w:hAnsi="Arial" w:cs="Arial"/>
          <w:color w:val="000000" w:themeColor="text1"/>
          <w:sz w:val="24"/>
          <w:szCs w:val="24"/>
        </w:rPr>
        <w:t xml:space="preserve">of the city region </w:t>
      </w:r>
      <w:r w:rsidRPr="00F61A9E">
        <w:rPr>
          <w:rFonts w:ascii="Arial" w:hAnsi="Arial" w:cs="Arial"/>
          <w:color w:val="000000" w:themeColor="text1"/>
          <w:sz w:val="24"/>
          <w:szCs w:val="24"/>
        </w:rPr>
        <w:t xml:space="preserve">to encourage regional </w:t>
      </w:r>
      <w:r w:rsidR="00912F4E" w:rsidRPr="00F61A9E">
        <w:rPr>
          <w:rFonts w:ascii="Arial" w:hAnsi="Arial" w:cs="Arial"/>
          <w:color w:val="000000" w:themeColor="text1"/>
          <w:sz w:val="24"/>
          <w:szCs w:val="24"/>
        </w:rPr>
        <w:t xml:space="preserve">growth </w:t>
      </w:r>
      <w:r w:rsidRPr="00F61A9E">
        <w:rPr>
          <w:rFonts w:ascii="Arial" w:hAnsi="Arial" w:cs="Arial"/>
          <w:color w:val="000000" w:themeColor="text1"/>
          <w:sz w:val="24"/>
          <w:szCs w:val="24"/>
        </w:rPr>
        <w:t xml:space="preserve">and academic entrepreneurship. </w:t>
      </w:r>
    </w:p>
    <w:p w:rsidR="00B73555" w:rsidRPr="00F61A9E" w:rsidRDefault="003F0EFF" w:rsidP="00FE38F8">
      <w:pPr>
        <w:spacing w:after="0" w:line="480" w:lineRule="auto"/>
        <w:rPr>
          <w:rFonts w:ascii="Arial" w:hAnsi="Arial" w:cs="Arial"/>
          <w:color w:val="000000" w:themeColor="text1"/>
          <w:sz w:val="24"/>
          <w:szCs w:val="24"/>
        </w:rPr>
      </w:pPr>
      <w:r w:rsidRPr="00F61A9E">
        <w:rPr>
          <w:rFonts w:ascii="Arial" w:hAnsi="Arial" w:cs="Arial"/>
          <w:color w:val="000000" w:themeColor="text1"/>
          <w:sz w:val="24"/>
          <w:szCs w:val="24"/>
        </w:rPr>
        <w:lastRenderedPageBreak/>
        <w:t xml:space="preserve">Examples of universities in the North East taking on regional development competitive roles </w:t>
      </w:r>
      <w:r w:rsidR="004A783A" w:rsidRPr="00F61A9E">
        <w:rPr>
          <w:rFonts w:ascii="Arial" w:hAnsi="Arial" w:cs="Arial"/>
          <w:color w:val="000000" w:themeColor="text1"/>
          <w:sz w:val="24"/>
          <w:szCs w:val="24"/>
        </w:rPr>
        <w:t xml:space="preserve">has </w:t>
      </w:r>
      <w:r w:rsidRPr="00F61A9E">
        <w:rPr>
          <w:rFonts w:ascii="Arial" w:hAnsi="Arial" w:cs="Arial"/>
          <w:color w:val="000000" w:themeColor="text1"/>
          <w:sz w:val="24"/>
          <w:szCs w:val="24"/>
        </w:rPr>
        <w:t xml:space="preserve">seen an increase in local collaborations with business markets with uncertainty of BREXIT </w:t>
      </w:r>
      <w:r w:rsidR="00435D2F" w:rsidRPr="00F61A9E">
        <w:rPr>
          <w:rFonts w:ascii="Arial" w:hAnsi="Arial" w:cs="Arial"/>
          <w:color w:val="000000" w:themeColor="text1"/>
          <w:sz w:val="24"/>
          <w:szCs w:val="24"/>
        </w:rPr>
        <w:t xml:space="preserve">have begun to take on regional </w:t>
      </w:r>
      <w:r w:rsidRPr="00F61A9E">
        <w:rPr>
          <w:rFonts w:ascii="Arial" w:hAnsi="Arial" w:cs="Arial"/>
          <w:color w:val="000000" w:themeColor="text1"/>
          <w:sz w:val="24"/>
          <w:szCs w:val="24"/>
        </w:rPr>
        <w:t xml:space="preserve">identities through greater collaboration </w:t>
      </w:r>
      <w:r w:rsidR="00435D2F" w:rsidRPr="00F61A9E">
        <w:rPr>
          <w:rFonts w:ascii="Arial" w:hAnsi="Arial" w:cs="Arial"/>
          <w:color w:val="000000" w:themeColor="text1"/>
          <w:sz w:val="24"/>
          <w:szCs w:val="24"/>
        </w:rPr>
        <w:t xml:space="preserve"> </w:t>
      </w:r>
    </w:p>
    <w:p w:rsidR="00582296" w:rsidRPr="00F61A9E" w:rsidRDefault="00582296" w:rsidP="00FE38F8">
      <w:pPr>
        <w:shd w:val="clear" w:color="auto" w:fill="FFFFFF"/>
        <w:spacing w:after="0" w:line="480" w:lineRule="auto"/>
        <w:rPr>
          <w:rFonts w:ascii="Arial" w:eastAsia="Times New Roman" w:hAnsi="Arial" w:cs="Arial"/>
          <w:color w:val="000000" w:themeColor="text1"/>
          <w:sz w:val="24"/>
          <w:szCs w:val="24"/>
          <w:lang w:val="en" w:eastAsia="en-GB"/>
        </w:rPr>
      </w:pPr>
    </w:p>
    <w:p w:rsidR="00B73555" w:rsidRPr="00F61A9E" w:rsidRDefault="00B73555" w:rsidP="00FE38F8">
      <w:pPr>
        <w:pStyle w:val="ListParagraph"/>
        <w:numPr>
          <w:ilvl w:val="0"/>
          <w:numId w:val="4"/>
        </w:numPr>
        <w:spacing w:after="0" w:line="480" w:lineRule="auto"/>
        <w:rPr>
          <w:rFonts w:ascii="Arial" w:hAnsi="Arial" w:cs="Arial"/>
          <w:b/>
          <w:color w:val="000000" w:themeColor="text1"/>
          <w:sz w:val="24"/>
          <w:szCs w:val="24"/>
        </w:rPr>
      </w:pPr>
      <w:r w:rsidRPr="00F61A9E">
        <w:rPr>
          <w:rFonts w:ascii="Arial" w:hAnsi="Arial" w:cs="Arial"/>
          <w:b/>
          <w:color w:val="000000" w:themeColor="text1"/>
          <w:sz w:val="24"/>
          <w:szCs w:val="24"/>
        </w:rPr>
        <w:t>Conclusion</w:t>
      </w:r>
    </w:p>
    <w:p w:rsidR="00356982" w:rsidRPr="00F61A9E" w:rsidRDefault="00C23F2D" w:rsidP="00FE38F8">
      <w:pPr>
        <w:spacing w:after="0" w:line="480" w:lineRule="auto"/>
        <w:rPr>
          <w:rFonts w:ascii="Arial" w:hAnsi="Arial" w:cs="Arial"/>
          <w:b/>
          <w:color w:val="000000" w:themeColor="text1"/>
          <w:sz w:val="24"/>
          <w:szCs w:val="24"/>
        </w:rPr>
      </w:pPr>
      <w:r w:rsidRPr="00F61A9E">
        <w:rPr>
          <w:rFonts w:ascii="Arial" w:hAnsi="Arial" w:cs="Arial"/>
          <w:color w:val="000000" w:themeColor="text1"/>
          <w:sz w:val="24"/>
          <w:szCs w:val="24"/>
        </w:rPr>
        <w:t>I</w:t>
      </w:r>
      <w:r w:rsidR="00356982" w:rsidRPr="00F61A9E">
        <w:rPr>
          <w:rFonts w:ascii="Arial" w:hAnsi="Arial" w:cs="Arial"/>
          <w:color w:val="000000" w:themeColor="text1"/>
          <w:sz w:val="24"/>
          <w:szCs w:val="24"/>
        </w:rPr>
        <w:t xml:space="preserve">n conclusion, Brexit </w:t>
      </w:r>
      <w:r w:rsidRPr="00F61A9E">
        <w:rPr>
          <w:rFonts w:ascii="Arial" w:hAnsi="Arial" w:cs="Arial"/>
          <w:color w:val="000000" w:themeColor="text1"/>
          <w:sz w:val="24"/>
          <w:szCs w:val="24"/>
        </w:rPr>
        <w:t xml:space="preserve">continues to threaten </w:t>
      </w:r>
      <w:r w:rsidR="00F450BF" w:rsidRPr="00F61A9E">
        <w:rPr>
          <w:rFonts w:ascii="Arial" w:hAnsi="Arial" w:cs="Arial"/>
          <w:color w:val="000000" w:themeColor="text1"/>
          <w:sz w:val="24"/>
          <w:szCs w:val="24"/>
        </w:rPr>
        <w:t xml:space="preserve">to challenge the </w:t>
      </w:r>
      <w:r w:rsidRPr="00F61A9E">
        <w:rPr>
          <w:rFonts w:ascii="Arial" w:hAnsi="Arial" w:cs="Arial"/>
          <w:color w:val="000000" w:themeColor="text1"/>
          <w:sz w:val="24"/>
          <w:szCs w:val="24"/>
        </w:rPr>
        <w:t>long-term position</w:t>
      </w:r>
      <w:r w:rsidR="00F450BF" w:rsidRPr="00F61A9E">
        <w:rPr>
          <w:rFonts w:ascii="Arial" w:hAnsi="Arial" w:cs="Arial"/>
          <w:color w:val="000000" w:themeColor="text1"/>
          <w:sz w:val="24"/>
          <w:szCs w:val="24"/>
        </w:rPr>
        <w:t xml:space="preserve">, </w:t>
      </w:r>
      <w:r w:rsidR="00052609" w:rsidRPr="00F61A9E">
        <w:rPr>
          <w:rFonts w:ascii="Arial" w:hAnsi="Arial" w:cs="Arial"/>
          <w:color w:val="000000" w:themeColor="text1"/>
          <w:sz w:val="24"/>
          <w:szCs w:val="24"/>
        </w:rPr>
        <w:t xml:space="preserve">mission </w:t>
      </w:r>
      <w:r w:rsidRPr="00F61A9E">
        <w:rPr>
          <w:rFonts w:ascii="Arial" w:hAnsi="Arial" w:cs="Arial"/>
          <w:color w:val="000000" w:themeColor="text1"/>
          <w:sz w:val="24"/>
          <w:szCs w:val="24"/>
        </w:rPr>
        <w:t xml:space="preserve">and sustainability of the </w:t>
      </w:r>
      <w:r w:rsidR="00356982" w:rsidRPr="00F61A9E">
        <w:rPr>
          <w:rFonts w:ascii="Arial" w:hAnsi="Arial" w:cs="Arial"/>
          <w:color w:val="000000" w:themeColor="text1"/>
          <w:sz w:val="24"/>
          <w:szCs w:val="24"/>
        </w:rPr>
        <w:t>universit</w:t>
      </w:r>
      <w:r w:rsidRPr="00F61A9E">
        <w:rPr>
          <w:rFonts w:ascii="Arial" w:hAnsi="Arial" w:cs="Arial"/>
          <w:color w:val="000000" w:themeColor="text1"/>
          <w:sz w:val="24"/>
          <w:szCs w:val="24"/>
        </w:rPr>
        <w:t>y sector</w:t>
      </w:r>
      <w:r w:rsidR="00F450BF" w:rsidRPr="00F61A9E">
        <w:rPr>
          <w:rFonts w:ascii="Arial" w:hAnsi="Arial" w:cs="Arial"/>
          <w:color w:val="000000" w:themeColor="text1"/>
          <w:sz w:val="24"/>
          <w:szCs w:val="24"/>
        </w:rPr>
        <w:t xml:space="preserve"> in the North East</w:t>
      </w:r>
      <w:r w:rsidR="00356982" w:rsidRPr="00F61A9E">
        <w:rPr>
          <w:rFonts w:ascii="Arial" w:hAnsi="Arial" w:cs="Arial"/>
          <w:color w:val="000000" w:themeColor="text1"/>
          <w:sz w:val="24"/>
          <w:szCs w:val="24"/>
        </w:rPr>
        <w:t xml:space="preserve">. </w:t>
      </w:r>
      <w:r w:rsidR="00052609" w:rsidRPr="00F61A9E">
        <w:rPr>
          <w:rFonts w:ascii="Arial" w:hAnsi="Arial" w:cs="Arial"/>
          <w:color w:val="000000" w:themeColor="text1"/>
          <w:sz w:val="24"/>
          <w:szCs w:val="24"/>
        </w:rPr>
        <w:t xml:space="preserve">Much anxiety over </w:t>
      </w:r>
      <w:r w:rsidR="00F450BF" w:rsidRPr="00F61A9E">
        <w:rPr>
          <w:rFonts w:ascii="Arial" w:hAnsi="Arial" w:cs="Arial"/>
          <w:color w:val="000000" w:themeColor="text1"/>
          <w:sz w:val="24"/>
          <w:szCs w:val="24"/>
        </w:rPr>
        <w:t xml:space="preserve">competition and the </w:t>
      </w:r>
      <w:r w:rsidR="00052609" w:rsidRPr="00F61A9E">
        <w:rPr>
          <w:rFonts w:ascii="Arial" w:hAnsi="Arial" w:cs="Arial"/>
          <w:color w:val="000000" w:themeColor="text1"/>
          <w:sz w:val="24"/>
          <w:szCs w:val="24"/>
        </w:rPr>
        <w:t xml:space="preserve">long term roles for </w:t>
      </w:r>
      <w:r w:rsidR="00F450BF" w:rsidRPr="00F61A9E">
        <w:rPr>
          <w:rFonts w:ascii="Arial" w:hAnsi="Arial" w:cs="Arial"/>
          <w:color w:val="000000" w:themeColor="text1"/>
          <w:sz w:val="24"/>
          <w:szCs w:val="24"/>
        </w:rPr>
        <w:t xml:space="preserve">the uniqueness of </w:t>
      </w:r>
      <w:r w:rsidR="00052609" w:rsidRPr="00F61A9E">
        <w:rPr>
          <w:rFonts w:ascii="Arial" w:hAnsi="Arial" w:cs="Arial"/>
          <w:color w:val="000000" w:themeColor="text1"/>
          <w:sz w:val="24"/>
          <w:szCs w:val="24"/>
        </w:rPr>
        <w:t xml:space="preserve">North East Universities remain, yet </w:t>
      </w:r>
      <w:r w:rsidR="00356982" w:rsidRPr="00F61A9E">
        <w:rPr>
          <w:rFonts w:ascii="Arial" w:hAnsi="Arial" w:cs="Arial"/>
          <w:color w:val="000000" w:themeColor="text1"/>
          <w:sz w:val="24"/>
          <w:szCs w:val="24"/>
        </w:rPr>
        <w:t xml:space="preserve">Northumbria University </w:t>
      </w:r>
      <w:r w:rsidR="00052609" w:rsidRPr="00F61A9E">
        <w:rPr>
          <w:rFonts w:ascii="Arial" w:hAnsi="Arial" w:cs="Arial"/>
          <w:color w:val="000000" w:themeColor="text1"/>
          <w:sz w:val="24"/>
          <w:szCs w:val="24"/>
        </w:rPr>
        <w:t xml:space="preserve">is leading the way in building on the success of </w:t>
      </w:r>
      <w:r w:rsidR="00052609" w:rsidRPr="00F61A9E">
        <w:rPr>
          <w:rFonts w:ascii="Arial" w:hAnsi="Arial" w:cs="Arial"/>
          <w:i/>
          <w:color w:val="000000" w:themeColor="text1"/>
          <w:sz w:val="24"/>
          <w:szCs w:val="24"/>
        </w:rPr>
        <w:t>Public Management and Public Policy</w:t>
      </w:r>
      <w:r w:rsidR="00052609" w:rsidRPr="00F61A9E">
        <w:rPr>
          <w:rFonts w:ascii="Arial" w:hAnsi="Arial" w:cs="Arial"/>
          <w:color w:val="000000" w:themeColor="text1"/>
          <w:sz w:val="24"/>
          <w:szCs w:val="24"/>
        </w:rPr>
        <w:t xml:space="preserve"> (3PM) Research </w:t>
      </w:r>
      <w:r w:rsidR="00F450BF" w:rsidRPr="00F61A9E">
        <w:rPr>
          <w:rFonts w:ascii="Arial" w:hAnsi="Arial" w:cs="Arial"/>
          <w:color w:val="000000" w:themeColor="text1"/>
          <w:sz w:val="24"/>
          <w:szCs w:val="24"/>
        </w:rPr>
        <w:t>I</w:t>
      </w:r>
      <w:r w:rsidR="00052609" w:rsidRPr="00F61A9E">
        <w:rPr>
          <w:rFonts w:ascii="Arial" w:hAnsi="Arial" w:cs="Arial"/>
          <w:color w:val="000000" w:themeColor="text1"/>
          <w:sz w:val="24"/>
          <w:szCs w:val="24"/>
        </w:rPr>
        <w:t>nterest Group which hosts important public events</w:t>
      </w:r>
      <w:r w:rsidR="00F450BF" w:rsidRPr="00F61A9E">
        <w:rPr>
          <w:rFonts w:ascii="Arial" w:hAnsi="Arial" w:cs="Arial"/>
          <w:color w:val="000000" w:themeColor="text1"/>
          <w:sz w:val="24"/>
          <w:szCs w:val="24"/>
        </w:rPr>
        <w:t xml:space="preserve">, </w:t>
      </w:r>
      <w:r w:rsidR="00052609" w:rsidRPr="00F61A9E">
        <w:rPr>
          <w:rFonts w:ascii="Arial" w:hAnsi="Arial" w:cs="Arial"/>
          <w:color w:val="000000" w:themeColor="text1"/>
          <w:sz w:val="24"/>
          <w:szCs w:val="24"/>
        </w:rPr>
        <w:t>bringing academic research closer to practice. Examples of 3PM research seminars include - Little Heresies Talks as well as hosting the JUC Annual Conference 2018 &amp; 2019. This has led to a</w:t>
      </w:r>
      <w:r w:rsidR="00356982" w:rsidRPr="00F61A9E">
        <w:rPr>
          <w:rFonts w:ascii="Arial" w:hAnsi="Arial" w:cs="Arial"/>
          <w:color w:val="000000" w:themeColor="text1"/>
          <w:sz w:val="24"/>
          <w:szCs w:val="24"/>
        </w:rPr>
        <w:t xml:space="preserve"> </w:t>
      </w:r>
      <w:r w:rsidRPr="00F61A9E">
        <w:rPr>
          <w:rFonts w:ascii="Arial" w:hAnsi="Arial" w:cs="Arial"/>
          <w:color w:val="000000" w:themeColor="text1"/>
          <w:sz w:val="24"/>
          <w:szCs w:val="24"/>
        </w:rPr>
        <w:t xml:space="preserve">newly created </w:t>
      </w:r>
      <w:r w:rsidR="00052609" w:rsidRPr="00F61A9E">
        <w:rPr>
          <w:rFonts w:ascii="Arial" w:hAnsi="Arial" w:cs="Arial"/>
          <w:color w:val="000000" w:themeColor="text1"/>
          <w:sz w:val="24"/>
          <w:szCs w:val="24"/>
        </w:rPr>
        <w:t xml:space="preserve">Northern </w:t>
      </w:r>
      <w:r w:rsidR="00356982" w:rsidRPr="00F61A9E">
        <w:rPr>
          <w:rFonts w:ascii="Arial" w:hAnsi="Arial" w:cs="Arial"/>
          <w:i/>
          <w:color w:val="000000" w:themeColor="text1"/>
          <w:sz w:val="24"/>
          <w:szCs w:val="24"/>
        </w:rPr>
        <w:t>Centre for Public Governance</w:t>
      </w:r>
      <w:r w:rsidR="00356982" w:rsidRPr="00F61A9E">
        <w:rPr>
          <w:rFonts w:ascii="Arial" w:hAnsi="Arial" w:cs="Arial"/>
          <w:color w:val="000000" w:themeColor="text1"/>
          <w:sz w:val="24"/>
          <w:szCs w:val="24"/>
        </w:rPr>
        <w:t xml:space="preserve"> </w:t>
      </w:r>
      <w:r w:rsidR="00052609" w:rsidRPr="00F61A9E">
        <w:rPr>
          <w:rFonts w:ascii="Arial" w:hAnsi="Arial" w:cs="Arial"/>
          <w:color w:val="000000" w:themeColor="text1"/>
          <w:sz w:val="24"/>
          <w:szCs w:val="24"/>
        </w:rPr>
        <w:t xml:space="preserve">which has begun to extend the </w:t>
      </w:r>
      <w:r w:rsidRPr="00F61A9E">
        <w:rPr>
          <w:rFonts w:ascii="Arial" w:hAnsi="Arial" w:cs="Arial"/>
          <w:color w:val="000000" w:themeColor="text1"/>
          <w:sz w:val="24"/>
          <w:szCs w:val="24"/>
        </w:rPr>
        <w:t xml:space="preserve">university </w:t>
      </w:r>
      <w:r w:rsidR="00052609" w:rsidRPr="00F61A9E">
        <w:rPr>
          <w:rFonts w:ascii="Arial" w:hAnsi="Arial" w:cs="Arial"/>
          <w:color w:val="000000" w:themeColor="text1"/>
          <w:sz w:val="24"/>
          <w:szCs w:val="24"/>
        </w:rPr>
        <w:t xml:space="preserve">role as lead provider of innovative education through </w:t>
      </w:r>
      <w:r w:rsidR="00F450BF" w:rsidRPr="00F61A9E">
        <w:rPr>
          <w:rFonts w:ascii="Arial" w:hAnsi="Arial" w:cs="Arial"/>
          <w:color w:val="000000" w:themeColor="text1"/>
          <w:sz w:val="24"/>
          <w:szCs w:val="24"/>
        </w:rPr>
        <w:t xml:space="preserve">engagement in government apprenticeship </w:t>
      </w:r>
      <w:r w:rsidR="00052609" w:rsidRPr="00F61A9E">
        <w:rPr>
          <w:rFonts w:ascii="Arial" w:hAnsi="Arial" w:cs="Arial"/>
          <w:color w:val="000000" w:themeColor="text1"/>
          <w:sz w:val="24"/>
          <w:szCs w:val="24"/>
        </w:rPr>
        <w:t xml:space="preserve">programmes as the MSc Strategic Leadership for Public Leadership which continues to strengthen partnership working with employers and agencies across the region. These innovative modules are CMI certified, professionally relevant and academically robust SLMDA programme. This places Northumbria </w:t>
      </w:r>
      <w:r w:rsidRPr="00F61A9E">
        <w:rPr>
          <w:rFonts w:ascii="Arial" w:hAnsi="Arial" w:cs="Arial"/>
          <w:color w:val="000000" w:themeColor="text1"/>
          <w:sz w:val="24"/>
          <w:szCs w:val="24"/>
        </w:rPr>
        <w:t xml:space="preserve">in unique place as centre for excellence in public policy and public management. The expansion of </w:t>
      </w:r>
      <w:r w:rsidR="00356982" w:rsidRPr="00F61A9E">
        <w:rPr>
          <w:rFonts w:ascii="Arial" w:hAnsi="Arial" w:cs="Arial"/>
          <w:color w:val="000000" w:themeColor="text1"/>
          <w:sz w:val="24"/>
          <w:szCs w:val="24"/>
        </w:rPr>
        <w:t>universit</w:t>
      </w:r>
      <w:r w:rsidRPr="00F61A9E">
        <w:rPr>
          <w:rFonts w:ascii="Arial" w:hAnsi="Arial" w:cs="Arial"/>
          <w:color w:val="000000" w:themeColor="text1"/>
          <w:sz w:val="24"/>
          <w:szCs w:val="24"/>
        </w:rPr>
        <w:t xml:space="preserve">y mission and </w:t>
      </w:r>
      <w:r w:rsidR="00356982" w:rsidRPr="00F61A9E">
        <w:rPr>
          <w:rFonts w:ascii="Arial" w:hAnsi="Arial" w:cs="Arial"/>
          <w:color w:val="000000" w:themeColor="text1"/>
          <w:sz w:val="24"/>
          <w:szCs w:val="24"/>
        </w:rPr>
        <w:t xml:space="preserve">strategic role in </w:t>
      </w:r>
      <w:r w:rsidRPr="00F61A9E">
        <w:rPr>
          <w:rFonts w:ascii="Arial" w:hAnsi="Arial" w:cs="Arial"/>
          <w:color w:val="000000" w:themeColor="text1"/>
          <w:sz w:val="24"/>
          <w:szCs w:val="24"/>
        </w:rPr>
        <w:t xml:space="preserve">regional </w:t>
      </w:r>
      <w:r w:rsidR="00356982" w:rsidRPr="00F61A9E">
        <w:rPr>
          <w:rFonts w:ascii="Arial" w:hAnsi="Arial" w:cs="Arial"/>
          <w:color w:val="000000" w:themeColor="text1"/>
          <w:sz w:val="24"/>
          <w:szCs w:val="24"/>
        </w:rPr>
        <w:t xml:space="preserve">economic growth </w:t>
      </w:r>
      <w:r w:rsidRPr="00F61A9E">
        <w:rPr>
          <w:rFonts w:ascii="Arial" w:hAnsi="Arial" w:cs="Arial"/>
          <w:color w:val="000000" w:themeColor="text1"/>
          <w:sz w:val="24"/>
          <w:szCs w:val="24"/>
        </w:rPr>
        <w:t xml:space="preserve">offers engagement with </w:t>
      </w:r>
      <w:r w:rsidR="00356982" w:rsidRPr="00F61A9E">
        <w:rPr>
          <w:rFonts w:ascii="Arial" w:hAnsi="Arial" w:cs="Arial"/>
          <w:color w:val="000000" w:themeColor="text1"/>
          <w:sz w:val="24"/>
          <w:szCs w:val="24"/>
        </w:rPr>
        <w:t xml:space="preserve">local </w:t>
      </w:r>
      <w:r w:rsidRPr="00F61A9E">
        <w:rPr>
          <w:rFonts w:ascii="Arial" w:hAnsi="Arial" w:cs="Arial"/>
          <w:color w:val="000000" w:themeColor="text1"/>
          <w:sz w:val="24"/>
          <w:szCs w:val="24"/>
        </w:rPr>
        <w:t xml:space="preserve">communities. </w:t>
      </w:r>
      <w:r w:rsidR="00356982" w:rsidRPr="00F61A9E">
        <w:rPr>
          <w:rFonts w:ascii="Arial" w:hAnsi="Arial" w:cs="Arial"/>
          <w:color w:val="000000" w:themeColor="text1"/>
          <w:sz w:val="24"/>
          <w:szCs w:val="24"/>
        </w:rPr>
        <w:t xml:space="preserve">Greater emphasis has placed on Northumbria University </w:t>
      </w:r>
      <w:r w:rsidRPr="00F61A9E">
        <w:rPr>
          <w:rFonts w:ascii="Arial" w:hAnsi="Arial" w:cs="Arial"/>
          <w:color w:val="000000" w:themeColor="text1"/>
          <w:sz w:val="24"/>
          <w:szCs w:val="24"/>
        </w:rPr>
        <w:t xml:space="preserve">high in the rankings </w:t>
      </w:r>
      <w:r w:rsidR="00052609" w:rsidRPr="00F61A9E">
        <w:rPr>
          <w:rFonts w:ascii="Arial" w:hAnsi="Arial" w:cs="Arial"/>
          <w:color w:val="000000" w:themeColor="text1"/>
          <w:sz w:val="24"/>
          <w:szCs w:val="24"/>
        </w:rPr>
        <w:t xml:space="preserve">and maintained their capabilities </w:t>
      </w:r>
      <w:r w:rsidR="00356982" w:rsidRPr="00F61A9E">
        <w:rPr>
          <w:rFonts w:ascii="Arial" w:hAnsi="Arial" w:cs="Arial"/>
          <w:color w:val="000000" w:themeColor="text1"/>
          <w:sz w:val="24"/>
          <w:szCs w:val="24"/>
        </w:rPr>
        <w:t xml:space="preserve">to extend their teaching and research reach </w:t>
      </w:r>
      <w:r w:rsidRPr="00F61A9E">
        <w:rPr>
          <w:rFonts w:ascii="Arial" w:hAnsi="Arial" w:cs="Arial"/>
          <w:color w:val="000000" w:themeColor="text1"/>
          <w:sz w:val="24"/>
          <w:szCs w:val="24"/>
        </w:rPr>
        <w:t>beyond regional</w:t>
      </w:r>
      <w:r w:rsidR="00052609" w:rsidRPr="00F61A9E">
        <w:rPr>
          <w:rFonts w:ascii="Arial" w:hAnsi="Arial" w:cs="Arial"/>
          <w:color w:val="000000" w:themeColor="text1"/>
          <w:sz w:val="24"/>
          <w:szCs w:val="24"/>
        </w:rPr>
        <w:t xml:space="preserve"> economic growth.</w:t>
      </w:r>
      <w:r w:rsidR="00052609" w:rsidRPr="00F61A9E">
        <w:rPr>
          <w:rFonts w:ascii="Arial" w:hAnsi="Arial" w:cs="Arial"/>
          <w:b/>
          <w:color w:val="000000" w:themeColor="text1"/>
          <w:sz w:val="24"/>
          <w:szCs w:val="24"/>
        </w:rPr>
        <w:t xml:space="preserve"> </w:t>
      </w:r>
    </w:p>
    <w:p w:rsidR="00971258" w:rsidRPr="00F61A9E" w:rsidRDefault="00971258" w:rsidP="00971258">
      <w:pPr>
        <w:rPr>
          <w:rFonts w:ascii="Arial" w:hAnsi="Arial" w:cs="Arial"/>
          <w:color w:val="000000" w:themeColor="text1"/>
          <w:sz w:val="24"/>
          <w:szCs w:val="24"/>
        </w:rPr>
      </w:pPr>
    </w:p>
    <w:p w:rsidR="00971258" w:rsidRPr="00F61A9E" w:rsidRDefault="00971258" w:rsidP="00971258">
      <w:pPr>
        <w:spacing w:after="0" w:line="240" w:lineRule="auto"/>
        <w:rPr>
          <w:rFonts w:ascii="Arial" w:hAnsi="Arial" w:cs="Arial"/>
          <w:b/>
          <w:color w:val="000000" w:themeColor="text1"/>
          <w:sz w:val="24"/>
          <w:szCs w:val="24"/>
        </w:rPr>
      </w:pPr>
      <w:r w:rsidRPr="00F61A9E">
        <w:rPr>
          <w:rFonts w:ascii="Arial" w:hAnsi="Arial" w:cs="Arial"/>
          <w:b/>
          <w:color w:val="000000" w:themeColor="text1"/>
          <w:sz w:val="24"/>
          <w:szCs w:val="24"/>
        </w:rPr>
        <w:t>References</w:t>
      </w:r>
    </w:p>
    <w:p w:rsidR="00971258" w:rsidRPr="00F61A9E" w:rsidRDefault="00971258" w:rsidP="00971258">
      <w:pPr>
        <w:spacing w:after="0" w:line="240" w:lineRule="auto"/>
        <w:rPr>
          <w:rFonts w:ascii="Arial" w:hAnsi="Arial" w:cs="Arial"/>
          <w:color w:val="000000" w:themeColor="text1"/>
          <w:sz w:val="24"/>
          <w:szCs w:val="24"/>
        </w:rPr>
      </w:pPr>
    </w:p>
    <w:p w:rsidR="00D21FBA" w:rsidRPr="00223F3C" w:rsidRDefault="00D21FBA" w:rsidP="00B22110">
      <w:pPr>
        <w:spacing w:after="0" w:line="240" w:lineRule="auto"/>
        <w:rPr>
          <w:rFonts w:ascii="Arial" w:hAnsi="Arial" w:cs="Arial"/>
          <w:color w:val="FF0000"/>
          <w:sz w:val="24"/>
          <w:szCs w:val="24"/>
        </w:rPr>
      </w:pPr>
      <w:r w:rsidRPr="00F61A9E">
        <w:rPr>
          <w:rFonts w:ascii="Arial" w:hAnsi="Arial" w:cs="Arial"/>
          <w:color w:val="000000" w:themeColor="text1"/>
          <w:sz w:val="24"/>
          <w:szCs w:val="24"/>
        </w:rPr>
        <w:t xml:space="preserve">Adams, R. (2016) “UK universities draw up plans for EU campuses ahead of Brexit”. Guardian, 22 September 2016. Available at: </w:t>
      </w:r>
      <w:hyperlink r:id="rId7" w:history="1">
        <w:r w:rsidRPr="00223F3C">
          <w:rPr>
            <w:rStyle w:val="Hyperlink"/>
            <w:rFonts w:ascii="Arial" w:hAnsi="Arial" w:cs="Arial"/>
            <w:sz w:val="24"/>
            <w:szCs w:val="24"/>
          </w:rPr>
          <w:t>https://www.theguardian.com/education/2016/sep/22/ukuniversities-mull-eu-campuses-in-new-era-of-uncertainty</w:t>
        </w:r>
      </w:hyperlink>
    </w:p>
    <w:p w:rsidR="00D21FBA" w:rsidRPr="00F61A9E" w:rsidRDefault="00D21FBA" w:rsidP="00B22110">
      <w:pPr>
        <w:shd w:val="clear" w:color="auto" w:fill="FFFFFF"/>
        <w:spacing w:after="0" w:line="240" w:lineRule="auto"/>
        <w:rPr>
          <w:rFonts w:ascii="Arial" w:eastAsia="Times New Roman" w:hAnsi="Arial" w:cs="Arial"/>
          <w:color w:val="000000" w:themeColor="text1"/>
          <w:sz w:val="24"/>
          <w:szCs w:val="24"/>
          <w:lang w:val="en" w:eastAsia="en-GB"/>
        </w:rPr>
      </w:pPr>
      <w:proofErr w:type="spellStart"/>
      <w:r w:rsidRPr="00F61A9E">
        <w:rPr>
          <w:rFonts w:ascii="Arial" w:eastAsia="Times New Roman" w:hAnsi="Arial" w:cs="Arial"/>
          <w:color w:val="000000" w:themeColor="text1"/>
          <w:sz w:val="24"/>
          <w:szCs w:val="24"/>
          <w:lang w:val="en" w:eastAsia="en-GB"/>
        </w:rPr>
        <w:t>Balconi</w:t>
      </w:r>
      <w:proofErr w:type="spellEnd"/>
      <w:r w:rsidRPr="00F61A9E">
        <w:rPr>
          <w:rFonts w:ascii="Arial" w:eastAsia="Times New Roman" w:hAnsi="Arial" w:cs="Arial"/>
          <w:color w:val="000000" w:themeColor="text1"/>
          <w:sz w:val="24"/>
          <w:szCs w:val="24"/>
          <w:lang w:val="en" w:eastAsia="en-GB"/>
        </w:rPr>
        <w:t xml:space="preserve">, M. and </w:t>
      </w:r>
      <w:proofErr w:type="spellStart"/>
      <w:r w:rsidRPr="00F61A9E">
        <w:rPr>
          <w:rFonts w:ascii="Arial" w:eastAsia="Times New Roman" w:hAnsi="Arial" w:cs="Arial"/>
          <w:color w:val="000000" w:themeColor="text1"/>
          <w:sz w:val="24"/>
          <w:szCs w:val="24"/>
          <w:lang w:val="en" w:eastAsia="en-GB"/>
        </w:rPr>
        <w:t>Laboranti</w:t>
      </w:r>
      <w:proofErr w:type="spellEnd"/>
      <w:r w:rsidRPr="00F61A9E">
        <w:rPr>
          <w:rFonts w:ascii="Arial" w:eastAsia="Times New Roman" w:hAnsi="Arial" w:cs="Arial"/>
          <w:color w:val="000000" w:themeColor="text1"/>
          <w:sz w:val="24"/>
          <w:szCs w:val="24"/>
          <w:lang w:val="en" w:eastAsia="en-GB"/>
        </w:rPr>
        <w:t>, A. (2006) University–industry interactions in applied research: The case of microelectronics, Research Policy, 35(10), 1616-1630.</w:t>
      </w:r>
    </w:p>
    <w:p w:rsidR="00D21FBA" w:rsidRPr="00223F3C" w:rsidRDefault="00D21FBA" w:rsidP="00B22110">
      <w:pPr>
        <w:spacing w:after="0" w:line="240" w:lineRule="auto"/>
        <w:rPr>
          <w:rFonts w:ascii="Arial" w:hAnsi="Arial" w:cs="Arial"/>
          <w:sz w:val="24"/>
          <w:szCs w:val="24"/>
        </w:rPr>
      </w:pPr>
      <w:r w:rsidRPr="00F61A9E">
        <w:rPr>
          <w:rFonts w:ascii="Arial" w:hAnsi="Arial" w:cs="Arial"/>
          <w:color w:val="000000" w:themeColor="text1"/>
          <w:sz w:val="24"/>
          <w:szCs w:val="24"/>
        </w:rPr>
        <w:t>Billing, C., McCann, P. &amp; Ortega-</w:t>
      </w:r>
      <w:proofErr w:type="spellStart"/>
      <w:r w:rsidRPr="00F61A9E">
        <w:rPr>
          <w:rFonts w:ascii="Arial" w:hAnsi="Arial" w:cs="Arial"/>
          <w:color w:val="000000" w:themeColor="text1"/>
          <w:sz w:val="24"/>
          <w:szCs w:val="24"/>
        </w:rPr>
        <w:t>Argilés</w:t>
      </w:r>
      <w:proofErr w:type="spellEnd"/>
      <w:r w:rsidRPr="00F61A9E">
        <w:rPr>
          <w:rFonts w:ascii="Arial" w:hAnsi="Arial" w:cs="Arial"/>
          <w:color w:val="000000" w:themeColor="text1"/>
          <w:sz w:val="24"/>
          <w:szCs w:val="24"/>
        </w:rPr>
        <w:t xml:space="preserve">, R. (2019) Interregional inequalities and UK </w:t>
      </w:r>
      <w:r w:rsidRPr="00223F3C">
        <w:rPr>
          <w:rFonts w:ascii="Arial" w:hAnsi="Arial" w:cs="Arial"/>
          <w:sz w:val="24"/>
          <w:szCs w:val="24"/>
        </w:rPr>
        <w:t>sub-national governance responses to Brexit, Regional Studies, 53:5, 741-760, DOI: </w:t>
      </w:r>
      <w:hyperlink r:id="rId8" w:history="1">
        <w:r w:rsidRPr="00223F3C">
          <w:rPr>
            <w:rStyle w:val="Hyperlink"/>
            <w:rFonts w:ascii="Arial" w:hAnsi="Arial" w:cs="Arial"/>
            <w:sz w:val="24"/>
            <w:szCs w:val="24"/>
          </w:rPr>
          <w:t>10.1080/00343404.2018.1554246</w:t>
        </w:r>
      </w:hyperlink>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Billing, C., McCann, P. &amp; Ortega-</w:t>
      </w:r>
      <w:proofErr w:type="spellStart"/>
      <w:r w:rsidRPr="00223F3C">
        <w:rPr>
          <w:rFonts w:ascii="Arial" w:hAnsi="Arial" w:cs="Arial"/>
          <w:sz w:val="24"/>
          <w:szCs w:val="24"/>
        </w:rPr>
        <w:t>Argilés</w:t>
      </w:r>
      <w:proofErr w:type="spellEnd"/>
      <w:r w:rsidRPr="00223F3C">
        <w:rPr>
          <w:rFonts w:ascii="Arial" w:hAnsi="Arial" w:cs="Arial"/>
          <w:sz w:val="24"/>
          <w:szCs w:val="24"/>
        </w:rPr>
        <w:t>, R. (2019) Interregional inequalities and UK sub-national governance responses to Brexit, Regional Studies, 53:5, 741-760, DOI: </w:t>
      </w:r>
      <w:hyperlink r:id="rId9" w:history="1">
        <w:r w:rsidRPr="00223F3C">
          <w:rPr>
            <w:rStyle w:val="Hyperlink"/>
            <w:rFonts w:ascii="Arial" w:hAnsi="Arial" w:cs="Arial"/>
            <w:sz w:val="24"/>
            <w:szCs w:val="24"/>
          </w:rPr>
          <w:t>10.1080/00343404.2018.1554246</w:t>
        </w:r>
      </w:hyperlink>
    </w:p>
    <w:p w:rsidR="00D21FBA" w:rsidRPr="00223F3C" w:rsidRDefault="00D21FBA" w:rsidP="00B22110">
      <w:pPr>
        <w:spacing w:after="0" w:line="240" w:lineRule="auto"/>
        <w:rPr>
          <w:rFonts w:ascii="Arial" w:hAnsi="Arial" w:cs="Arial"/>
          <w:color w:val="FF0000"/>
          <w:sz w:val="24"/>
          <w:szCs w:val="24"/>
        </w:rPr>
      </w:pPr>
      <w:r w:rsidRPr="00F61A9E">
        <w:rPr>
          <w:rFonts w:ascii="Arial" w:hAnsi="Arial" w:cs="Arial"/>
          <w:color w:val="000000" w:themeColor="text1"/>
          <w:sz w:val="24"/>
          <w:szCs w:val="24"/>
        </w:rPr>
        <w:t>Billing, C., McCann, P. &amp; Ortega-</w:t>
      </w:r>
      <w:proofErr w:type="spellStart"/>
      <w:r w:rsidRPr="00F61A9E">
        <w:rPr>
          <w:rFonts w:ascii="Arial" w:hAnsi="Arial" w:cs="Arial"/>
          <w:color w:val="000000" w:themeColor="text1"/>
          <w:sz w:val="24"/>
          <w:szCs w:val="24"/>
        </w:rPr>
        <w:t>Argilés</w:t>
      </w:r>
      <w:proofErr w:type="spellEnd"/>
      <w:r w:rsidRPr="00F61A9E">
        <w:rPr>
          <w:rFonts w:ascii="Arial" w:hAnsi="Arial" w:cs="Arial"/>
          <w:color w:val="000000" w:themeColor="text1"/>
          <w:sz w:val="24"/>
          <w:szCs w:val="24"/>
        </w:rPr>
        <w:t>, R. (2019) Interregional inequalities and UK sub-national governance responses to Brexit, Regional Studies, 53:5, 741-760, DOI: </w:t>
      </w:r>
      <w:hyperlink r:id="rId10" w:history="1">
        <w:r w:rsidRPr="00223F3C">
          <w:rPr>
            <w:rStyle w:val="Hyperlink"/>
            <w:rFonts w:ascii="Arial" w:hAnsi="Arial" w:cs="Arial"/>
            <w:sz w:val="24"/>
            <w:szCs w:val="24"/>
          </w:rPr>
          <w:t>10.1080/00343404.2018.1554246</w:t>
        </w:r>
      </w:hyperlink>
    </w:p>
    <w:p w:rsidR="00D21FBA" w:rsidRPr="00F61A9E" w:rsidRDefault="00D21FBA" w:rsidP="00B22110">
      <w:pPr>
        <w:shd w:val="clear" w:color="auto" w:fill="FFFFFF"/>
        <w:spacing w:after="0" w:line="240" w:lineRule="auto"/>
        <w:rPr>
          <w:rFonts w:ascii="Arial" w:eastAsia="Times New Roman" w:hAnsi="Arial" w:cs="Arial"/>
          <w:color w:val="000000" w:themeColor="text1"/>
          <w:sz w:val="24"/>
          <w:szCs w:val="24"/>
          <w:lang w:val="en" w:eastAsia="en-GB"/>
        </w:rPr>
      </w:pPr>
      <w:r w:rsidRPr="00F61A9E">
        <w:rPr>
          <w:rFonts w:ascii="Arial" w:eastAsia="Times New Roman" w:hAnsi="Arial" w:cs="Arial"/>
          <w:color w:val="000000" w:themeColor="text1"/>
          <w:sz w:val="24"/>
          <w:szCs w:val="24"/>
          <w:lang w:val="en" w:eastAsia="en-GB"/>
        </w:rPr>
        <w:t xml:space="preserve">Boardman, P.C (2009) “Government centrality to university-industry interactions: university research centers and the industry involvement of academic researchers”, </w:t>
      </w:r>
      <w:r w:rsidRPr="00F61A9E">
        <w:rPr>
          <w:rFonts w:ascii="Arial" w:eastAsia="Times New Roman" w:hAnsi="Arial" w:cs="Arial"/>
          <w:i/>
          <w:color w:val="000000" w:themeColor="text1"/>
          <w:sz w:val="24"/>
          <w:szCs w:val="24"/>
          <w:lang w:val="en" w:eastAsia="en-GB"/>
        </w:rPr>
        <w:t>Research Policy</w:t>
      </w:r>
      <w:r w:rsidRPr="00F61A9E">
        <w:rPr>
          <w:rFonts w:ascii="Arial" w:eastAsia="Times New Roman" w:hAnsi="Arial" w:cs="Arial"/>
          <w:color w:val="000000" w:themeColor="text1"/>
          <w:sz w:val="24"/>
          <w:szCs w:val="24"/>
          <w:lang w:val="en" w:eastAsia="en-GB"/>
        </w:rPr>
        <w:t xml:space="preserve">, 38, 1505-1516. </w:t>
      </w:r>
    </w:p>
    <w:p w:rsidR="00D21FBA" w:rsidRPr="00223F3C" w:rsidRDefault="00D21FBA" w:rsidP="00B22110">
      <w:pPr>
        <w:spacing w:after="0" w:line="240" w:lineRule="auto"/>
        <w:rPr>
          <w:rFonts w:ascii="Arial" w:hAnsi="Arial" w:cs="Arial"/>
          <w:sz w:val="24"/>
          <w:szCs w:val="24"/>
        </w:rPr>
      </w:pPr>
      <w:r w:rsidRPr="00F61A9E">
        <w:rPr>
          <w:rFonts w:ascii="Arial" w:hAnsi="Arial" w:cs="Arial"/>
          <w:color w:val="000000" w:themeColor="text1"/>
          <w:sz w:val="24"/>
          <w:szCs w:val="24"/>
        </w:rPr>
        <w:t xml:space="preserve">Bromley-Davenport, H., </w:t>
      </w:r>
      <w:proofErr w:type="spellStart"/>
      <w:r w:rsidRPr="00F61A9E">
        <w:rPr>
          <w:rFonts w:ascii="Arial" w:hAnsi="Arial" w:cs="Arial"/>
          <w:color w:val="000000" w:themeColor="text1"/>
          <w:sz w:val="24"/>
          <w:szCs w:val="24"/>
        </w:rPr>
        <w:t>MacLeavy</w:t>
      </w:r>
      <w:proofErr w:type="spellEnd"/>
      <w:r w:rsidRPr="00F61A9E">
        <w:rPr>
          <w:rFonts w:ascii="Arial" w:hAnsi="Arial" w:cs="Arial"/>
          <w:color w:val="000000" w:themeColor="text1"/>
          <w:sz w:val="24"/>
          <w:szCs w:val="24"/>
        </w:rPr>
        <w:t xml:space="preserve">, J., &amp; Manley, D. (2018). Brexit in Sunderland: The production of difference and division in </w:t>
      </w:r>
      <w:r w:rsidRPr="00223F3C">
        <w:rPr>
          <w:rFonts w:ascii="Arial" w:hAnsi="Arial" w:cs="Arial"/>
          <w:sz w:val="24"/>
          <w:szCs w:val="24"/>
        </w:rPr>
        <w:t>the UK referendum on European Union membership. </w:t>
      </w:r>
      <w:r w:rsidRPr="00223F3C">
        <w:rPr>
          <w:rFonts w:ascii="Arial" w:hAnsi="Arial" w:cs="Arial"/>
          <w:i/>
          <w:iCs/>
          <w:sz w:val="24"/>
          <w:szCs w:val="24"/>
        </w:rPr>
        <w:t>Environment and Planning C: Politics and Space</w:t>
      </w:r>
      <w:r w:rsidRPr="00223F3C">
        <w:rPr>
          <w:rFonts w:ascii="Arial" w:hAnsi="Arial" w:cs="Arial"/>
          <w:sz w:val="24"/>
          <w:szCs w:val="24"/>
        </w:rPr>
        <w:t>. </w:t>
      </w:r>
      <w:hyperlink r:id="rId11" w:history="1">
        <w:r w:rsidRPr="00223F3C">
          <w:rPr>
            <w:rStyle w:val="Hyperlink"/>
            <w:rFonts w:ascii="Arial" w:hAnsi="Arial" w:cs="Arial"/>
            <w:sz w:val="24"/>
            <w:szCs w:val="24"/>
          </w:rPr>
          <w:t>https://doi.org/10.1177/0263774X18804225</w:t>
        </w:r>
      </w:hyperlink>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Charles, D. (2003). Universities and Territorial Development: Reshaping the Regional Role of UK Universities. </w:t>
      </w:r>
      <w:r w:rsidRPr="00223F3C">
        <w:rPr>
          <w:rFonts w:ascii="Arial" w:hAnsi="Arial" w:cs="Arial"/>
          <w:i/>
          <w:iCs/>
          <w:sz w:val="24"/>
          <w:szCs w:val="24"/>
        </w:rPr>
        <w:t>Local Economy</w:t>
      </w:r>
      <w:r w:rsidRPr="00223F3C">
        <w:rPr>
          <w:rFonts w:ascii="Arial" w:hAnsi="Arial" w:cs="Arial"/>
          <w:sz w:val="24"/>
          <w:szCs w:val="24"/>
        </w:rPr>
        <w:t>, </w:t>
      </w:r>
      <w:r w:rsidRPr="00223F3C">
        <w:rPr>
          <w:rFonts w:ascii="Arial" w:hAnsi="Arial" w:cs="Arial"/>
          <w:i/>
          <w:iCs/>
          <w:sz w:val="24"/>
          <w:szCs w:val="24"/>
        </w:rPr>
        <w:t>18</w:t>
      </w:r>
      <w:r w:rsidRPr="00223F3C">
        <w:rPr>
          <w:rFonts w:ascii="Arial" w:hAnsi="Arial" w:cs="Arial"/>
          <w:sz w:val="24"/>
          <w:szCs w:val="24"/>
        </w:rPr>
        <w:t>(1), 7–20. </w:t>
      </w:r>
      <w:hyperlink r:id="rId12" w:history="1">
        <w:r w:rsidRPr="00223F3C">
          <w:rPr>
            <w:rStyle w:val="Hyperlink"/>
            <w:rFonts w:ascii="Arial" w:hAnsi="Arial" w:cs="Arial"/>
            <w:sz w:val="24"/>
            <w:szCs w:val="24"/>
          </w:rPr>
          <w:t>https://doi.org/10.1080/0269094032000073780</w:t>
        </w:r>
      </w:hyperlink>
    </w:p>
    <w:p w:rsidR="00D21FBA" w:rsidRPr="00F61A9E" w:rsidRDefault="00D21FBA" w:rsidP="00B22110">
      <w:pPr>
        <w:spacing w:after="0" w:line="240" w:lineRule="auto"/>
        <w:rPr>
          <w:rFonts w:ascii="Arial" w:eastAsia="Times New Roman" w:hAnsi="Arial" w:cs="Arial"/>
          <w:color w:val="000000" w:themeColor="text1"/>
          <w:sz w:val="24"/>
          <w:szCs w:val="24"/>
          <w:lang w:val="en" w:eastAsia="en-GB"/>
        </w:rPr>
      </w:pPr>
      <w:r w:rsidRPr="00F61A9E">
        <w:rPr>
          <w:rFonts w:ascii="Arial" w:hAnsi="Arial" w:cs="Arial"/>
          <w:color w:val="000000" w:themeColor="text1"/>
          <w:sz w:val="24"/>
          <w:szCs w:val="24"/>
          <w:lang w:val="en-US"/>
        </w:rPr>
        <w:t>Chesbrough, H., (2006) Open business models: How to thrive in the new innovation landscape, Boston: Harvard Business School Press.</w:t>
      </w:r>
    </w:p>
    <w:p w:rsidR="00D21FBA" w:rsidRPr="00F61A9E" w:rsidRDefault="00D21FBA" w:rsidP="00B22110">
      <w:pPr>
        <w:spacing w:after="0" w:line="240" w:lineRule="auto"/>
        <w:rPr>
          <w:rFonts w:ascii="Arial" w:hAnsi="Arial" w:cs="Arial"/>
          <w:color w:val="000000" w:themeColor="text1"/>
          <w:sz w:val="24"/>
          <w:szCs w:val="24"/>
        </w:rPr>
      </w:pPr>
      <w:proofErr w:type="spellStart"/>
      <w:r w:rsidRPr="00F61A9E">
        <w:rPr>
          <w:rFonts w:ascii="Arial" w:hAnsi="Arial" w:cs="Arial"/>
          <w:color w:val="000000" w:themeColor="text1"/>
          <w:sz w:val="24"/>
          <w:szCs w:val="24"/>
        </w:rPr>
        <w:t>Colledge</w:t>
      </w:r>
      <w:proofErr w:type="spellEnd"/>
      <w:r w:rsidRPr="00F61A9E">
        <w:rPr>
          <w:rFonts w:ascii="Arial" w:hAnsi="Arial" w:cs="Arial"/>
          <w:color w:val="000000" w:themeColor="text1"/>
          <w:sz w:val="24"/>
          <w:szCs w:val="24"/>
        </w:rPr>
        <w:t>, B (2015) </w:t>
      </w:r>
      <w:r w:rsidRPr="00F61A9E">
        <w:rPr>
          <w:rFonts w:ascii="Arial" w:hAnsi="Arial" w:cs="Arial"/>
          <w:i/>
          <w:iCs/>
          <w:color w:val="000000" w:themeColor="text1"/>
          <w:sz w:val="24"/>
          <w:szCs w:val="24"/>
        </w:rPr>
        <w:t>Anchoring the Northern Powerhouse: Understanding anchor institutions and their contribution within a complex urban and regional system.</w:t>
      </w:r>
      <w:r w:rsidRPr="00F61A9E">
        <w:rPr>
          <w:rFonts w:ascii="Arial" w:hAnsi="Arial" w:cs="Arial"/>
          <w:color w:val="000000" w:themeColor="text1"/>
          <w:sz w:val="24"/>
          <w:szCs w:val="24"/>
        </w:rPr>
        <w:t xml:space="preserve"> Conference Proceedings of the Regional Studies Association Winter Conference November 2015, </w:t>
      </w:r>
      <w:proofErr w:type="spellStart"/>
      <w:r w:rsidRPr="00F61A9E">
        <w:rPr>
          <w:rFonts w:ascii="Arial" w:hAnsi="Arial" w:cs="Arial"/>
          <w:color w:val="000000" w:themeColor="text1"/>
          <w:sz w:val="24"/>
          <w:szCs w:val="24"/>
        </w:rPr>
        <w:t>Novemb</w:t>
      </w:r>
      <w:proofErr w:type="spellEnd"/>
      <w:r w:rsidRPr="00F61A9E">
        <w:rPr>
          <w:rFonts w:ascii="Arial" w:hAnsi="Arial" w:cs="Arial"/>
          <w:color w:val="000000" w:themeColor="text1"/>
          <w:sz w:val="24"/>
          <w:szCs w:val="24"/>
        </w:rPr>
        <w:t>. 54 - 63 (10).</w:t>
      </w:r>
    </w:p>
    <w:p w:rsidR="00D21FBA" w:rsidRPr="00223F3C" w:rsidRDefault="00D21FBA" w:rsidP="00B22110">
      <w:pPr>
        <w:spacing w:after="0" w:line="240" w:lineRule="auto"/>
        <w:rPr>
          <w:rFonts w:ascii="Arial" w:hAnsi="Arial" w:cs="Arial"/>
          <w:color w:val="FF0000"/>
          <w:sz w:val="24"/>
          <w:szCs w:val="24"/>
        </w:rPr>
      </w:pPr>
      <w:r w:rsidRPr="00F61A9E">
        <w:rPr>
          <w:rFonts w:ascii="Arial" w:hAnsi="Arial" w:cs="Arial"/>
          <w:color w:val="000000" w:themeColor="text1"/>
          <w:sz w:val="24"/>
          <w:szCs w:val="24"/>
        </w:rPr>
        <w:t xml:space="preserve">Corbett, A. (2016) “But we can’t do it alone: the future of British universities post-Brexit” London School of Economics, 21 September 2016. Available at: </w:t>
      </w:r>
      <w:hyperlink r:id="rId13" w:history="1">
        <w:r w:rsidRPr="00223F3C">
          <w:rPr>
            <w:rStyle w:val="Hyperlink"/>
            <w:rFonts w:ascii="Arial" w:hAnsi="Arial" w:cs="Arial"/>
            <w:sz w:val="24"/>
            <w:szCs w:val="24"/>
          </w:rPr>
          <w:t>http://blogs.lse.ac.uk/brexit/2016/09/21/but-we-cant-do-it-alone-the-future-of-british-universitiespost-brexit/</w:t>
        </w:r>
      </w:hyperlink>
    </w:p>
    <w:p w:rsidR="00D21FBA" w:rsidRPr="00F61A9E" w:rsidRDefault="00D21FBA" w:rsidP="00B22110">
      <w:pPr>
        <w:spacing w:after="0" w:line="240" w:lineRule="auto"/>
        <w:rPr>
          <w:rFonts w:ascii="Arial" w:eastAsia="Times New Roman" w:hAnsi="Arial" w:cs="Arial"/>
          <w:color w:val="000000" w:themeColor="text1"/>
          <w:sz w:val="24"/>
          <w:szCs w:val="24"/>
          <w:lang w:val="en" w:eastAsia="en-GB"/>
        </w:rPr>
      </w:pPr>
      <w:proofErr w:type="spellStart"/>
      <w:r w:rsidRPr="00F61A9E">
        <w:rPr>
          <w:rFonts w:ascii="Arial" w:eastAsia="Times New Roman" w:hAnsi="Arial" w:cs="Arial"/>
          <w:color w:val="000000" w:themeColor="text1"/>
          <w:sz w:val="24"/>
          <w:szCs w:val="24"/>
          <w:lang w:val="en" w:eastAsia="en-GB"/>
        </w:rPr>
        <w:t>D’Este</w:t>
      </w:r>
      <w:proofErr w:type="spellEnd"/>
      <w:r w:rsidRPr="00F61A9E">
        <w:rPr>
          <w:rFonts w:ascii="Arial" w:eastAsia="Times New Roman" w:hAnsi="Arial" w:cs="Arial"/>
          <w:color w:val="000000" w:themeColor="text1"/>
          <w:sz w:val="24"/>
          <w:szCs w:val="24"/>
          <w:lang w:val="en" w:eastAsia="en-GB"/>
        </w:rPr>
        <w:t>, P. and Patel, P. (2007), University–industry linkages in the UK: What are the factors underlying the variety of interactions with industry</w:t>
      </w:r>
      <w:proofErr w:type="gramStart"/>
      <w:r w:rsidRPr="00F61A9E">
        <w:rPr>
          <w:rFonts w:ascii="Arial" w:eastAsia="Times New Roman" w:hAnsi="Arial" w:cs="Arial"/>
          <w:color w:val="000000" w:themeColor="text1"/>
          <w:sz w:val="24"/>
          <w:szCs w:val="24"/>
          <w:lang w:val="en" w:eastAsia="en-GB"/>
        </w:rPr>
        <w:t>?,</w:t>
      </w:r>
      <w:proofErr w:type="gramEnd"/>
      <w:r w:rsidRPr="00F61A9E">
        <w:rPr>
          <w:rFonts w:ascii="Arial" w:eastAsia="Times New Roman" w:hAnsi="Arial" w:cs="Arial"/>
          <w:color w:val="000000" w:themeColor="text1"/>
          <w:sz w:val="24"/>
          <w:szCs w:val="24"/>
          <w:lang w:val="en" w:eastAsia="en-GB"/>
        </w:rPr>
        <w:t xml:space="preserve"> </w:t>
      </w:r>
      <w:r w:rsidRPr="00F61A9E">
        <w:rPr>
          <w:rFonts w:ascii="Arial" w:eastAsia="Times New Roman" w:hAnsi="Arial" w:cs="Arial"/>
          <w:i/>
          <w:color w:val="000000" w:themeColor="text1"/>
          <w:sz w:val="24"/>
          <w:szCs w:val="24"/>
          <w:lang w:val="en" w:eastAsia="en-GB"/>
        </w:rPr>
        <w:t>Research Policy</w:t>
      </w:r>
      <w:r w:rsidRPr="00F61A9E">
        <w:rPr>
          <w:rFonts w:ascii="Arial" w:eastAsia="Times New Roman" w:hAnsi="Arial" w:cs="Arial"/>
          <w:color w:val="000000" w:themeColor="text1"/>
          <w:sz w:val="24"/>
          <w:szCs w:val="24"/>
          <w:lang w:val="en" w:eastAsia="en-GB"/>
        </w:rPr>
        <w:t>, 36(9),1295-1313.</w:t>
      </w:r>
    </w:p>
    <w:p w:rsidR="00D21FBA" w:rsidRPr="00F61A9E" w:rsidRDefault="00D21FBA" w:rsidP="00B22110">
      <w:pPr>
        <w:shd w:val="clear" w:color="auto" w:fill="FFFFFF"/>
        <w:spacing w:after="0" w:line="240" w:lineRule="auto"/>
        <w:rPr>
          <w:rFonts w:ascii="Arial" w:eastAsia="Times New Roman" w:hAnsi="Arial" w:cs="Arial"/>
          <w:color w:val="000000" w:themeColor="text1"/>
          <w:sz w:val="24"/>
          <w:szCs w:val="24"/>
          <w:lang w:val="en" w:eastAsia="en-GB"/>
        </w:rPr>
      </w:pPr>
      <w:r w:rsidRPr="00F61A9E">
        <w:rPr>
          <w:rFonts w:ascii="Arial" w:eastAsia="Times New Roman" w:hAnsi="Arial" w:cs="Arial"/>
          <w:color w:val="000000" w:themeColor="text1"/>
          <w:sz w:val="24"/>
          <w:szCs w:val="24"/>
          <w:lang w:val="en" w:eastAsia="en-GB"/>
        </w:rPr>
        <w:t>Department for Business, Innovation and Skills (2016) Success as a Knowledge Economy: Teaching Excellence, Social Mobility and Student Choice, Higher Education White Paper.</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 xml:space="preserve">Dhingra, S., Machin, S., &amp; Overman, H. (2017). Local Economic Effects of Brexit. National Institute Economic Review, 242(1), R24–R36. </w:t>
      </w:r>
      <w:hyperlink r:id="rId14" w:history="1">
        <w:r w:rsidRPr="00223F3C">
          <w:rPr>
            <w:rStyle w:val="Hyperlink"/>
            <w:rFonts w:ascii="Arial" w:hAnsi="Arial" w:cs="Arial"/>
            <w:sz w:val="24"/>
            <w:szCs w:val="24"/>
          </w:rPr>
          <w:t>https://doi.org/10.1177/002795011724200112</w:t>
        </w:r>
      </w:hyperlink>
      <w:r w:rsidRPr="00223F3C">
        <w:rPr>
          <w:rFonts w:ascii="Arial" w:hAnsi="Arial" w:cs="Arial"/>
          <w:sz w:val="24"/>
          <w:szCs w:val="24"/>
        </w:rPr>
        <w:t xml:space="preserve"> </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lastRenderedPageBreak/>
        <w:t>Dhingra, S., Machin, S., &amp; Overman, H. (2017). Local Economic Effects of Brexit. </w:t>
      </w:r>
      <w:r w:rsidRPr="00223F3C">
        <w:rPr>
          <w:rFonts w:ascii="Arial" w:hAnsi="Arial" w:cs="Arial"/>
          <w:i/>
          <w:iCs/>
          <w:sz w:val="24"/>
          <w:szCs w:val="24"/>
        </w:rPr>
        <w:t>National Institute Economic Review</w:t>
      </w:r>
      <w:r w:rsidRPr="00223F3C">
        <w:rPr>
          <w:rFonts w:ascii="Arial" w:hAnsi="Arial" w:cs="Arial"/>
          <w:sz w:val="24"/>
          <w:szCs w:val="24"/>
        </w:rPr>
        <w:t>, </w:t>
      </w:r>
      <w:r w:rsidRPr="00223F3C">
        <w:rPr>
          <w:rFonts w:ascii="Arial" w:hAnsi="Arial" w:cs="Arial"/>
          <w:i/>
          <w:iCs/>
          <w:sz w:val="24"/>
          <w:szCs w:val="24"/>
        </w:rPr>
        <w:t>242</w:t>
      </w:r>
      <w:r w:rsidRPr="00223F3C">
        <w:rPr>
          <w:rFonts w:ascii="Arial" w:hAnsi="Arial" w:cs="Arial"/>
          <w:sz w:val="24"/>
          <w:szCs w:val="24"/>
        </w:rPr>
        <w:t>(1), R24–R36. </w:t>
      </w:r>
      <w:hyperlink r:id="rId15" w:history="1">
        <w:r w:rsidRPr="00223F3C">
          <w:rPr>
            <w:rStyle w:val="Hyperlink"/>
            <w:rFonts w:ascii="Arial" w:hAnsi="Arial" w:cs="Arial"/>
            <w:sz w:val="24"/>
            <w:szCs w:val="24"/>
          </w:rPr>
          <w:t>https://doi.org/10.1177/002795011724200112</w:t>
        </w:r>
      </w:hyperlink>
    </w:p>
    <w:p w:rsidR="00D21FBA" w:rsidRPr="00E15B46" w:rsidRDefault="00D21FBA" w:rsidP="00B22110">
      <w:pPr>
        <w:spacing w:after="0" w:line="240" w:lineRule="auto"/>
        <w:rPr>
          <w:rFonts w:ascii="Arial" w:hAnsi="Arial" w:cs="Arial"/>
          <w:color w:val="000000" w:themeColor="text1"/>
          <w:sz w:val="24"/>
          <w:szCs w:val="24"/>
        </w:rPr>
      </w:pPr>
      <w:r w:rsidRPr="00E15B46">
        <w:rPr>
          <w:rFonts w:ascii="Arial" w:hAnsi="Arial" w:cs="Arial"/>
          <w:color w:val="000000" w:themeColor="text1"/>
          <w:sz w:val="24"/>
          <w:szCs w:val="24"/>
        </w:rPr>
        <w:t>Dickinson, S. and Cox, E. (2016) Brexit North: Se</w:t>
      </w:r>
      <w:r w:rsidRPr="00223F3C">
        <w:rPr>
          <w:rFonts w:ascii="Arial" w:hAnsi="Arial" w:cs="Arial"/>
          <w:color w:val="000000" w:themeColor="text1"/>
          <w:sz w:val="24"/>
          <w:szCs w:val="24"/>
        </w:rPr>
        <w:t>c</w:t>
      </w:r>
      <w:r w:rsidRPr="00E15B46">
        <w:rPr>
          <w:rFonts w:ascii="Arial" w:hAnsi="Arial" w:cs="Arial"/>
          <w:color w:val="000000" w:themeColor="text1"/>
          <w:sz w:val="24"/>
          <w:szCs w:val="24"/>
        </w:rPr>
        <w:t xml:space="preserve">uring a United Voice at the Negotiating Table. IPPR North. Available online at: </w:t>
      </w:r>
      <w:hyperlink r:id="rId16" w:history="1">
        <w:r w:rsidRPr="00E15B46">
          <w:rPr>
            <w:rStyle w:val="Hyperlink"/>
            <w:rFonts w:ascii="Arial" w:hAnsi="Arial" w:cs="Arial"/>
            <w:sz w:val="24"/>
            <w:szCs w:val="24"/>
          </w:rPr>
          <w:t>https://www.ippr.org/files/publications/pdf/Brexit-North_Oct2016.pdf</w:t>
        </w:r>
      </w:hyperlink>
      <w:r w:rsidRPr="00E15B46">
        <w:rPr>
          <w:rFonts w:ascii="Arial" w:hAnsi="Arial" w:cs="Arial"/>
          <w:color w:val="000000" w:themeColor="text1"/>
          <w:sz w:val="24"/>
          <w:szCs w:val="24"/>
        </w:rPr>
        <w:t xml:space="preserve"> (accessed 24 July 2019)</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Dorling, Danny, Stuart, Ben and Stubbs, Joshua (2016) </w:t>
      </w:r>
      <w:r w:rsidRPr="00223F3C">
        <w:rPr>
          <w:rFonts w:ascii="Arial" w:hAnsi="Arial" w:cs="Arial"/>
          <w:i/>
          <w:iCs/>
          <w:sz w:val="24"/>
          <w:szCs w:val="24"/>
        </w:rPr>
        <w:t>Don’t mention this around the Christmas table: Brexit, inequality and the demographic divide.</w:t>
      </w:r>
      <w:r w:rsidRPr="00223F3C">
        <w:rPr>
          <w:rFonts w:ascii="Arial" w:hAnsi="Arial" w:cs="Arial"/>
          <w:sz w:val="24"/>
          <w:szCs w:val="24"/>
        </w:rPr>
        <w:t> </w:t>
      </w:r>
      <w:r w:rsidRPr="00223F3C">
        <w:rPr>
          <w:rFonts w:ascii="Arial" w:hAnsi="Arial" w:cs="Arial"/>
          <w:i/>
          <w:iCs/>
          <w:sz w:val="24"/>
          <w:szCs w:val="24"/>
        </w:rPr>
        <w:t>LSE European Politics and Policy (EUROPP) Blog</w:t>
      </w:r>
      <w:r w:rsidRPr="00223F3C">
        <w:rPr>
          <w:rFonts w:ascii="Arial" w:hAnsi="Arial" w:cs="Arial"/>
          <w:sz w:val="24"/>
          <w:szCs w:val="24"/>
        </w:rPr>
        <w:t xml:space="preserve"> (21 Dec 2016). Blog Entry available at: </w:t>
      </w:r>
      <w:hyperlink r:id="rId17" w:history="1">
        <w:r w:rsidRPr="00223F3C">
          <w:rPr>
            <w:rStyle w:val="Hyperlink"/>
            <w:rFonts w:ascii="Arial" w:hAnsi="Arial" w:cs="Arial"/>
            <w:sz w:val="24"/>
            <w:szCs w:val="24"/>
          </w:rPr>
          <w:t>http://blogs.lse.ac.uk/europpblog/2016/12/21/christmas-table-brexit-inequality-demographic-divide/</w:t>
        </w:r>
      </w:hyperlink>
      <w:r w:rsidRPr="00223F3C">
        <w:rPr>
          <w:rFonts w:ascii="Arial" w:hAnsi="Arial" w:cs="Arial"/>
          <w:sz w:val="24"/>
          <w:szCs w:val="24"/>
        </w:rPr>
        <w:t xml:space="preserve"> </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Elliott, L. (2017) No wonder the north is angry. Here’s a plan to bridge the bitter Brexit divide. The Guardian. November 16, Retrieved from</w:t>
      </w:r>
    </w:p>
    <w:p w:rsidR="00D21FBA" w:rsidRPr="00223F3C" w:rsidRDefault="00D21FBA" w:rsidP="00B22110">
      <w:pPr>
        <w:spacing w:after="0" w:line="240" w:lineRule="auto"/>
        <w:rPr>
          <w:rFonts w:ascii="Arial" w:hAnsi="Arial" w:cs="Arial"/>
          <w:sz w:val="24"/>
          <w:szCs w:val="24"/>
        </w:rPr>
      </w:pPr>
      <w:proofErr w:type="spellStart"/>
      <w:r w:rsidRPr="00223F3C">
        <w:rPr>
          <w:rFonts w:ascii="Arial" w:hAnsi="Arial" w:cs="Arial"/>
          <w:sz w:val="24"/>
          <w:szCs w:val="24"/>
        </w:rPr>
        <w:t>Erturk</w:t>
      </w:r>
      <w:proofErr w:type="spellEnd"/>
      <w:r w:rsidRPr="00223F3C">
        <w:rPr>
          <w:rFonts w:ascii="Arial" w:hAnsi="Arial" w:cs="Arial"/>
          <w:sz w:val="24"/>
          <w:szCs w:val="24"/>
        </w:rPr>
        <w:t>, I., Froud, J., Johal, S., Leaver, A. and Williams, K. (2012) “Accounting for national success and failure: Rethinking the UK case”, Acc</w:t>
      </w:r>
      <w:r w:rsidRPr="00223F3C">
        <w:rPr>
          <w:rFonts w:ascii="Arial" w:hAnsi="Arial" w:cs="Arial"/>
          <w:i/>
          <w:sz w:val="24"/>
          <w:szCs w:val="24"/>
        </w:rPr>
        <w:t>ounting Forum</w:t>
      </w:r>
      <w:r w:rsidRPr="00223F3C">
        <w:rPr>
          <w:rFonts w:ascii="Arial" w:hAnsi="Arial" w:cs="Arial"/>
          <w:sz w:val="24"/>
          <w:szCs w:val="24"/>
        </w:rPr>
        <w:t>, 36 (1): 5-17. DOI: 10.1016/j.accfor.2012.01.004.</w:t>
      </w:r>
    </w:p>
    <w:p w:rsidR="00D21FBA" w:rsidRPr="000F2952" w:rsidRDefault="00D21FBA" w:rsidP="00B22110">
      <w:pPr>
        <w:spacing w:after="0" w:line="240" w:lineRule="auto"/>
        <w:rPr>
          <w:rFonts w:ascii="Arial" w:hAnsi="Arial" w:cs="Arial"/>
          <w:color w:val="000000" w:themeColor="text1"/>
          <w:sz w:val="24"/>
          <w:szCs w:val="24"/>
        </w:rPr>
      </w:pPr>
      <w:r w:rsidRPr="000F2952">
        <w:rPr>
          <w:rFonts w:ascii="Arial" w:hAnsi="Arial" w:cs="Arial"/>
          <w:color w:val="000000" w:themeColor="text1"/>
          <w:sz w:val="24"/>
          <w:szCs w:val="24"/>
        </w:rPr>
        <w:t xml:space="preserve">Fenwick, J. &amp; </w:t>
      </w:r>
      <w:proofErr w:type="spellStart"/>
      <w:r w:rsidRPr="000F2952">
        <w:rPr>
          <w:rFonts w:ascii="Arial" w:hAnsi="Arial" w:cs="Arial"/>
          <w:color w:val="000000" w:themeColor="text1"/>
          <w:sz w:val="24"/>
          <w:szCs w:val="24"/>
        </w:rPr>
        <w:t>Elcock</w:t>
      </w:r>
      <w:proofErr w:type="spellEnd"/>
      <w:r w:rsidRPr="000F2952">
        <w:rPr>
          <w:rFonts w:ascii="Arial" w:hAnsi="Arial" w:cs="Arial"/>
          <w:color w:val="000000" w:themeColor="text1"/>
          <w:sz w:val="24"/>
          <w:szCs w:val="24"/>
        </w:rPr>
        <w:t>, H. (2018) Devolution and federalism in England, Public Money &amp; Management,38:3, 175-184, DOI: </w:t>
      </w:r>
      <w:hyperlink r:id="rId18" w:history="1">
        <w:r w:rsidRPr="000F2952">
          <w:rPr>
            <w:rStyle w:val="Hyperlink"/>
            <w:rFonts w:ascii="Arial" w:hAnsi="Arial" w:cs="Arial"/>
            <w:sz w:val="24"/>
            <w:szCs w:val="24"/>
          </w:rPr>
          <w:t>10.1080/09540962.2018.1434335</w:t>
        </w:r>
      </w:hyperlink>
    </w:p>
    <w:p w:rsidR="00D21FBA" w:rsidRPr="00223F3C" w:rsidRDefault="00D21FBA" w:rsidP="00B22110">
      <w:pPr>
        <w:spacing w:after="0" w:line="240" w:lineRule="auto"/>
        <w:rPr>
          <w:rFonts w:ascii="Arial" w:hAnsi="Arial" w:cs="Arial"/>
          <w:color w:val="000000" w:themeColor="text1"/>
          <w:sz w:val="24"/>
          <w:szCs w:val="24"/>
        </w:rPr>
      </w:pPr>
      <w:r w:rsidRPr="00223F3C">
        <w:rPr>
          <w:rFonts w:ascii="Arial" w:hAnsi="Arial" w:cs="Arial"/>
          <w:color w:val="000000" w:themeColor="text1"/>
          <w:sz w:val="24"/>
          <w:szCs w:val="24"/>
        </w:rPr>
        <w:t>Fenwick, J. (2015) The problem of sub-national governance in England, Public Money &amp; Management,35:1, 7-14, DOI: </w:t>
      </w:r>
      <w:hyperlink r:id="rId19" w:history="1">
        <w:r w:rsidRPr="00223F3C">
          <w:rPr>
            <w:rStyle w:val="Hyperlink"/>
            <w:rFonts w:ascii="Arial" w:hAnsi="Arial" w:cs="Arial"/>
            <w:sz w:val="24"/>
            <w:szCs w:val="24"/>
          </w:rPr>
          <w:t>10.1080/09540962.2015.986859</w:t>
        </w:r>
      </w:hyperlink>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Giovannini, A. (2016), Towards a ‘New English Regionalism’ in the North? The Case of Yorkshire First. The Political Quarterly, 87: 590-600. doi:</w:t>
      </w:r>
      <w:hyperlink r:id="rId20" w:history="1">
        <w:r w:rsidRPr="00223F3C">
          <w:rPr>
            <w:rStyle w:val="Hyperlink"/>
            <w:rFonts w:ascii="Arial" w:hAnsi="Arial" w:cs="Arial"/>
            <w:sz w:val="24"/>
            <w:szCs w:val="24"/>
          </w:rPr>
          <w:t>10.1111/1467-923X.12279</w:t>
        </w:r>
      </w:hyperlink>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Glasson, J. (2003) The Widening Local and Regional Development Impacts of the Modern Universities - A Tale of Two Cities (and North-South Perspectives), Local Economy, 18:1, 21-37, DOI: 10.1080/0269094032000073799</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Goddard, J., Coombes, M., Kempton, L. and Vallance, P. (2014) Universities as anchor institutions in cities in a turbulent funding environment: vulnerable institutions and vulnerable places in England, </w:t>
      </w:r>
      <w:r w:rsidRPr="00223F3C">
        <w:rPr>
          <w:rFonts w:ascii="Arial" w:hAnsi="Arial" w:cs="Arial"/>
          <w:i/>
          <w:iCs/>
          <w:sz w:val="24"/>
          <w:szCs w:val="24"/>
        </w:rPr>
        <w:t>Cambridge Journal of Regions, Economy and Society</w:t>
      </w:r>
      <w:r w:rsidRPr="00223F3C">
        <w:rPr>
          <w:rFonts w:ascii="Arial" w:hAnsi="Arial" w:cs="Arial"/>
          <w:sz w:val="24"/>
          <w:szCs w:val="24"/>
        </w:rPr>
        <w:t>, Volume 7, Issue 2, July 2014, Pages 307–325, </w:t>
      </w:r>
      <w:hyperlink r:id="rId21" w:history="1">
        <w:r w:rsidRPr="00223F3C">
          <w:rPr>
            <w:rStyle w:val="Hyperlink"/>
            <w:rFonts w:ascii="Arial" w:hAnsi="Arial" w:cs="Arial"/>
            <w:sz w:val="24"/>
            <w:szCs w:val="24"/>
          </w:rPr>
          <w:t>https://doi.org/10.1093/cjres/rsu004</w:t>
        </w:r>
      </w:hyperlink>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Goodwin, M. J. and Heath, O. (2016), The 2016 Referendum, Brexit and the Left Behind: An Aggregate</w:t>
      </w:r>
      <w:r w:rsidRPr="00223F3C">
        <w:rPr>
          <w:rFonts w:ascii="Cambria Math" w:hAnsi="Cambria Math" w:cs="Cambria Math"/>
          <w:sz w:val="24"/>
          <w:szCs w:val="24"/>
        </w:rPr>
        <w:t>‐</w:t>
      </w:r>
      <w:r w:rsidRPr="00223F3C">
        <w:rPr>
          <w:rFonts w:ascii="Arial" w:hAnsi="Arial" w:cs="Arial"/>
          <w:sz w:val="24"/>
          <w:szCs w:val="24"/>
        </w:rPr>
        <w:t>level Analysis of the Result. The Political Quarterly, 87: 323-332. doi:</w:t>
      </w:r>
      <w:hyperlink r:id="rId22" w:history="1">
        <w:r w:rsidRPr="00223F3C">
          <w:rPr>
            <w:rStyle w:val="Hyperlink"/>
            <w:rFonts w:ascii="Arial" w:hAnsi="Arial" w:cs="Arial"/>
            <w:sz w:val="24"/>
            <w:szCs w:val="24"/>
          </w:rPr>
          <w:t>10.1111/1467-923X.12285</w:t>
        </w:r>
      </w:hyperlink>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 xml:space="preserve">Harris, R., &amp; Charlton, M. (2016). Voting out of the European Union: Exploring the geography of Leave. Environment and Planning A: Economy and Space, 48(11), 2116–2128. </w:t>
      </w:r>
      <w:hyperlink r:id="rId23" w:history="1">
        <w:r w:rsidRPr="00223F3C">
          <w:rPr>
            <w:rStyle w:val="Hyperlink"/>
            <w:rFonts w:ascii="Arial" w:hAnsi="Arial" w:cs="Arial"/>
            <w:sz w:val="24"/>
            <w:szCs w:val="24"/>
          </w:rPr>
          <w:t>https://doi.org/10.1177/0308518X16665844</w:t>
        </w:r>
      </w:hyperlink>
      <w:r w:rsidRPr="00223F3C">
        <w:rPr>
          <w:rFonts w:ascii="Arial" w:hAnsi="Arial" w:cs="Arial"/>
          <w:sz w:val="24"/>
          <w:szCs w:val="24"/>
        </w:rPr>
        <w:t xml:space="preserve"> </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Harris, R., &amp; Charlton, M. (2016). Voting out of the European Union: Exploring the geography of Leave. </w:t>
      </w:r>
      <w:r w:rsidRPr="00223F3C">
        <w:rPr>
          <w:rFonts w:ascii="Arial" w:hAnsi="Arial" w:cs="Arial"/>
          <w:i/>
          <w:iCs/>
          <w:sz w:val="24"/>
          <w:szCs w:val="24"/>
        </w:rPr>
        <w:t>Environment and Planning A: Economy and Space</w:t>
      </w:r>
      <w:r w:rsidRPr="00223F3C">
        <w:rPr>
          <w:rFonts w:ascii="Arial" w:hAnsi="Arial" w:cs="Arial"/>
          <w:sz w:val="24"/>
          <w:szCs w:val="24"/>
        </w:rPr>
        <w:t>, </w:t>
      </w:r>
      <w:r w:rsidRPr="00223F3C">
        <w:rPr>
          <w:rFonts w:ascii="Arial" w:hAnsi="Arial" w:cs="Arial"/>
          <w:i/>
          <w:iCs/>
          <w:sz w:val="24"/>
          <w:szCs w:val="24"/>
        </w:rPr>
        <w:t>48</w:t>
      </w:r>
      <w:r w:rsidRPr="00223F3C">
        <w:rPr>
          <w:rFonts w:ascii="Arial" w:hAnsi="Arial" w:cs="Arial"/>
          <w:sz w:val="24"/>
          <w:szCs w:val="24"/>
        </w:rPr>
        <w:t>(11), 2116–2128. </w:t>
      </w:r>
      <w:hyperlink r:id="rId24" w:history="1">
        <w:r w:rsidRPr="00223F3C">
          <w:rPr>
            <w:rStyle w:val="Hyperlink"/>
            <w:rFonts w:ascii="Arial" w:hAnsi="Arial" w:cs="Arial"/>
            <w:sz w:val="24"/>
            <w:szCs w:val="24"/>
          </w:rPr>
          <w:t>https://doi.org/10.1177/0308518X16665844</w:t>
        </w:r>
      </w:hyperlink>
    </w:p>
    <w:p w:rsidR="00D21FBA" w:rsidRPr="00223F3C" w:rsidRDefault="00F61A9E" w:rsidP="00B22110">
      <w:pPr>
        <w:spacing w:after="0" w:line="240" w:lineRule="auto"/>
        <w:rPr>
          <w:rFonts w:ascii="Arial" w:hAnsi="Arial" w:cs="Arial"/>
          <w:sz w:val="24"/>
          <w:szCs w:val="24"/>
        </w:rPr>
      </w:pPr>
      <w:hyperlink r:id="rId25" w:history="1">
        <w:r w:rsidR="00D21FBA" w:rsidRPr="00223F3C">
          <w:rPr>
            <w:rStyle w:val="Hyperlink"/>
            <w:rFonts w:ascii="Arial" w:hAnsi="Arial" w:cs="Arial"/>
            <w:sz w:val="24"/>
            <w:szCs w:val="24"/>
          </w:rPr>
          <w:t>https://www.theguardian.com/commentisfree/2017/nov/16/anger-north-brexit-vision-bridge-north-south-divide</w:t>
        </w:r>
      </w:hyperlink>
      <w:r w:rsidR="00D21FBA" w:rsidRPr="00223F3C">
        <w:rPr>
          <w:rFonts w:ascii="Arial" w:hAnsi="Arial" w:cs="Arial"/>
          <w:sz w:val="24"/>
          <w:szCs w:val="24"/>
        </w:rPr>
        <w:t xml:space="preserve"> </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Hudson, R., &amp; Williams, A. (1995). Divided Britain (second edition). Chichester: Wily.</w:t>
      </w:r>
    </w:p>
    <w:p w:rsidR="00D21FBA" w:rsidRPr="00F61A9E" w:rsidRDefault="00D21FBA" w:rsidP="00B22110">
      <w:pPr>
        <w:spacing w:after="0" w:line="240" w:lineRule="auto"/>
        <w:rPr>
          <w:rFonts w:ascii="Arial" w:hAnsi="Arial" w:cs="Arial"/>
          <w:color w:val="000000" w:themeColor="text1"/>
          <w:sz w:val="24"/>
          <w:szCs w:val="24"/>
        </w:rPr>
      </w:pPr>
      <w:r w:rsidRPr="00F61A9E">
        <w:rPr>
          <w:rFonts w:ascii="Arial" w:hAnsi="Arial" w:cs="Arial"/>
          <w:color w:val="000000" w:themeColor="text1"/>
          <w:sz w:val="24"/>
          <w:szCs w:val="24"/>
        </w:rPr>
        <w:t>Jeffery, C., Wyn Jones, R., Henderson, A., Scully, R., &amp; Lodge, G. (2014). Taking England Seriously: The New English Politics. ESRC Scottish Centre on Constitutional Change.</w:t>
      </w:r>
    </w:p>
    <w:p w:rsidR="00D21FBA" w:rsidRPr="00223F3C" w:rsidRDefault="00D21FBA" w:rsidP="00B22110">
      <w:pPr>
        <w:spacing w:after="0" w:line="240" w:lineRule="auto"/>
        <w:rPr>
          <w:rFonts w:ascii="Arial" w:hAnsi="Arial" w:cs="Arial"/>
          <w:sz w:val="24"/>
          <w:szCs w:val="24"/>
        </w:rPr>
      </w:pPr>
      <w:r w:rsidRPr="00F61A9E">
        <w:rPr>
          <w:rFonts w:ascii="Arial" w:hAnsi="Arial" w:cs="Arial"/>
          <w:color w:val="000000" w:themeColor="text1"/>
          <w:sz w:val="24"/>
          <w:szCs w:val="24"/>
        </w:rPr>
        <w:t xml:space="preserve">Jeffery, C.; Jones, R.W.; Henderson, A.; Scully, R. and Lodge, G. (2014), Taking England Seriously: The New English Politics </w:t>
      </w:r>
      <w:r w:rsidRPr="00223F3C">
        <w:rPr>
          <w:rFonts w:ascii="Arial" w:hAnsi="Arial" w:cs="Arial"/>
          <w:sz w:val="24"/>
          <w:szCs w:val="24"/>
        </w:rPr>
        <w:t xml:space="preserve">(The Future of England Survey 2014, online at: </w:t>
      </w:r>
      <w:hyperlink r:id="rId26" w:history="1">
        <w:r w:rsidRPr="00223F3C">
          <w:rPr>
            <w:rStyle w:val="Hyperlink"/>
            <w:rFonts w:ascii="Arial" w:hAnsi="Arial" w:cs="Arial"/>
            <w:sz w:val="24"/>
            <w:szCs w:val="24"/>
          </w:rPr>
          <w:t>http://www.centreonconstitutionalchange.ac.uk/sites/default/files/news/Taking%20England%20Seriously_The%20New%20English%20Politics.pdf</w:t>
        </w:r>
      </w:hyperlink>
      <w:r w:rsidRPr="00223F3C">
        <w:rPr>
          <w:rFonts w:ascii="Arial" w:hAnsi="Arial" w:cs="Arial"/>
          <w:sz w:val="24"/>
          <w:szCs w:val="24"/>
        </w:rPr>
        <w:t xml:space="preserve">  accessed 16/06/19).</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 xml:space="preserve">Jessop, B., </w:t>
      </w:r>
      <w:proofErr w:type="spellStart"/>
      <w:r w:rsidRPr="00223F3C">
        <w:rPr>
          <w:rFonts w:ascii="Arial" w:hAnsi="Arial" w:cs="Arial"/>
          <w:sz w:val="24"/>
          <w:szCs w:val="24"/>
        </w:rPr>
        <w:t>Bonnett</w:t>
      </w:r>
      <w:proofErr w:type="spellEnd"/>
      <w:r w:rsidRPr="00223F3C">
        <w:rPr>
          <w:rFonts w:ascii="Arial" w:hAnsi="Arial" w:cs="Arial"/>
          <w:sz w:val="24"/>
          <w:szCs w:val="24"/>
        </w:rPr>
        <w:t>, K., Bromley, S., &amp; Ling, T. (1988). Thatcherism: A tale of two nations. Cambridge, UK: Polity.</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 xml:space="preserve">Johnson, D. (2015b) “It’s regional inequality, stupid”, New Stateman, 20 March. Available online: </w:t>
      </w:r>
      <w:hyperlink r:id="rId27" w:history="1">
        <w:r w:rsidRPr="00223F3C">
          <w:rPr>
            <w:rStyle w:val="Hyperlink"/>
            <w:rFonts w:ascii="Arial" w:hAnsi="Arial" w:cs="Arial"/>
            <w:sz w:val="24"/>
            <w:szCs w:val="24"/>
          </w:rPr>
          <w:t>https://www.newstatesman.com/politics/2015/03/its-regional-inequality-stupid</w:t>
        </w:r>
      </w:hyperlink>
      <w:r w:rsidRPr="00223F3C">
        <w:rPr>
          <w:rFonts w:ascii="Arial" w:hAnsi="Arial" w:cs="Arial"/>
          <w:sz w:val="24"/>
          <w:szCs w:val="24"/>
        </w:rPr>
        <w:t xml:space="preserve"> </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 xml:space="preserve">Johnson, D. 2015a “Tackling Britain’s Regional Inequalities”, in Union21, </w:t>
      </w:r>
      <w:r w:rsidRPr="00223F3C">
        <w:rPr>
          <w:rFonts w:ascii="Arial" w:hAnsi="Arial" w:cs="Arial"/>
          <w:i/>
          <w:sz w:val="24"/>
          <w:szCs w:val="24"/>
        </w:rPr>
        <w:t xml:space="preserve">Rebalancing </w:t>
      </w:r>
      <w:proofErr w:type="gramStart"/>
      <w:r w:rsidRPr="00223F3C">
        <w:rPr>
          <w:rFonts w:ascii="Arial" w:hAnsi="Arial" w:cs="Arial"/>
          <w:i/>
          <w:sz w:val="24"/>
          <w:szCs w:val="24"/>
        </w:rPr>
        <w:t>The</w:t>
      </w:r>
      <w:proofErr w:type="gramEnd"/>
      <w:r w:rsidRPr="00223F3C">
        <w:rPr>
          <w:rFonts w:ascii="Arial" w:hAnsi="Arial" w:cs="Arial"/>
          <w:i/>
          <w:sz w:val="24"/>
          <w:szCs w:val="24"/>
        </w:rPr>
        <w:t xml:space="preserve"> Economy: New Thinking on Britain’s Regional Inequalities</w:t>
      </w:r>
      <w:r w:rsidRPr="00223F3C">
        <w:rPr>
          <w:rFonts w:ascii="Arial" w:hAnsi="Arial" w:cs="Arial"/>
          <w:sz w:val="24"/>
          <w:szCs w:val="24"/>
        </w:rPr>
        <w:t xml:space="preserve">. London, Union21. Available online at: </w:t>
      </w:r>
      <w:hyperlink r:id="rId28" w:history="1">
        <w:r w:rsidRPr="00223F3C">
          <w:rPr>
            <w:rStyle w:val="Hyperlink"/>
            <w:rFonts w:ascii="Arial" w:hAnsi="Arial" w:cs="Arial"/>
            <w:sz w:val="24"/>
            <w:szCs w:val="24"/>
          </w:rPr>
          <w:t>http://unions21.org.uk/files1/UNIONS21_24809_proofC.pdf</w:t>
        </w:r>
      </w:hyperlink>
      <w:r w:rsidRPr="00223F3C">
        <w:rPr>
          <w:rFonts w:ascii="Arial" w:hAnsi="Arial" w:cs="Arial"/>
          <w:sz w:val="24"/>
          <w:szCs w:val="24"/>
        </w:rPr>
        <w:t xml:space="preserve"> (accessed 26/06/2019)</w:t>
      </w:r>
    </w:p>
    <w:p w:rsidR="00D21FBA" w:rsidRPr="007123B4" w:rsidRDefault="00D21FBA" w:rsidP="007123B4">
      <w:pPr>
        <w:spacing w:after="0" w:line="240" w:lineRule="auto"/>
        <w:rPr>
          <w:rFonts w:ascii="Arial" w:hAnsi="Arial" w:cs="Arial"/>
          <w:color w:val="000000" w:themeColor="text1"/>
          <w:sz w:val="24"/>
          <w:szCs w:val="24"/>
        </w:rPr>
      </w:pPr>
      <w:r w:rsidRPr="007123B4">
        <w:rPr>
          <w:rFonts w:ascii="Arial" w:hAnsi="Arial" w:cs="Arial"/>
          <w:color w:val="000000" w:themeColor="text1"/>
          <w:sz w:val="24"/>
          <w:szCs w:val="24"/>
        </w:rPr>
        <w:t xml:space="preserve">Johnson, J. (2019) [Twitter] May 29. Available at: </w:t>
      </w:r>
      <w:hyperlink r:id="rId29" w:history="1">
        <w:r w:rsidRPr="007123B4">
          <w:rPr>
            <w:rStyle w:val="Hyperlink"/>
            <w:rFonts w:ascii="Arial" w:hAnsi="Arial" w:cs="Arial"/>
            <w:sz w:val="24"/>
            <w:szCs w:val="24"/>
          </w:rPr>
          <w:t>https://twitter.com/JoJohnsonUK/status/1133773288579260416</w:t>
        </w:r>
      </w:hyperlink>
      <w:r w:rsidRPr="007123B4">
        <w:rPr>
          <w:rFonts w:ascii="Arial" w:hAnsi="Arial" w:cs="Arial"/>
          <w:color w:val="000000" w:themeColor="text1"/>
          <w:sz w:val="24"/>
          <w:szCs w:val="24"/>
        </w:rPr>
        <w:t xml:space="preserve"> (Accessed: 22 July 2019).</w:t>
      </w:r>
    </w:p>
    <w:p w:rsidR="00D21FBA" w:rsidRPr="00223F3C" w:rsidRDefault="00D21FBA" w:rsidP="00B22110">
      <w:pPr>
        <w:spacing w:after="0" w:line="240" w:lineRule="auto"/>
        <w:rPr>
          <w:rFonts w:ascii="Arial" w:hAnsi="Arial" w:cs="Arial"/>
          <w:color w:val="000000" w:themeColor="text1"/>
          <w:sz w:val="24"/>
          <w:szCs w:val="24"/>
        </w:rPr>
      </w:pPr>
      <w:proofErr w:type="spellStart"/>
      <w:r w:rsidRPr="00223F3C">
        <w:rPr>
          <w:rFonts w:ascii="Arial" w:hAnsi="Arial" w:cs="Arial"/>
          <w:color w:val="000000" w:themeColor="text1"/>
          <w:sz w:val="24"/>
          <w:szCs w:val="24"/>
        </w:rPr>
        <w:t>Kenealy</w:t>
      </w:r>
      <w:proofErr w:type="spellEnd"/>
      <w:r w:rsidRPr="00223F3C">
        <w:rPr>
          <w:rFonts w:ascii="Arial" w:hAnsi="Arial" w:cs="Arial"/>
          <w:color w:val="000000" w:themeColor="text1"/>
          <w:sz w:val="24"/>
          <w:szCs w:val="24"/>
        </w:rPr>
        <w:t>, D. (2016), A Tale of One City: The </w:t>
      </w:r>
      <w:proofErr w:type="spellStart"/>
      <w:r w:rsidRPr="00223F3C">
        <w:rPr>
          <w:rFonts w:ascii="Arial" w:hAnsi="Arial" w:cs="Arial"/>
          <w:i/>
          <w:iCs/>
          <w:color w:val="000000" w:themeColor="text1"/>
          <w:sz w:val="24"/>
          <w:szCs w:val="24"/>
        </w:rPr>
        <w:t>Devo</w:t>
      </w:r>
      <w:proofErr w:type="spellEnd"/>
      <w:r w:rsidRPr="00223F3C">
        <w:rPr>
          <w:rFonts w:ascii="Arial" w:hAnsi="Arial" w:cs="Arial"/>
          <w:i/>
          <w:iCs/>
          <w:color w:val="000000" w:themeColor="text1"/>
          <w:sz w:val="24"/>
          <w:szCs w:val="24"/>
        </w:rPr>
        <w:t xml:space="preserve"> </w:t>
      </w:r>
      <w:proofErr w:type="spellStart"/>
      <w:r w:rsidRPr="00223F3C">
        <w:rPr>
          <w:rFonts w:ascii="Arial" w:hAnsi="Arial" w:cs="Arial"/>
          <w:i/>
          <w:iCs/>
          <w:color w:val="000000" w:themeColor="text1"/>
          <w:sz w:val="24"/>
          <w:szCs w:val="24"/>
        </w:rPr>
        <w:t>Manc</w:t>
      </w:r>
      <w:proofErr w:type="spellEnd"/>
      <w:r w:rsidRPr="00223F3C">
        <w:rPr>
          <w:rFonts w:ascii="Arial" w:hAnsi="Arial" w:cs="Arial"/>
          <w:color w:val="000000" w:themeColor="text1"/>
          <w:sz w:val="24"/>
          <w:szCs w:val="24"/>
        </w:rPr>
        <w:t> Deal and Its Implications for English Devolution. The Political Quarterly, 87: 572-581. doi:</w:t>
      </w:r>
      <w:hyperlink r:id="rId30" w:history="1">
        <w:r w:rsidRPr="00223F3C">
          <w:rPr>
            <w:rStyle w:val="Hyperlink"/>
            <w:rFonts w:ascii="Arial" w:hAnsi="Arial" w:cs="Arial"/>
            <w:sz w:val="24"/>
            <w:szCs w:val="24"/>
          </w:rPr>
          <w:t>10.1111/1467-923X.12278</w:t>
        </w:r>
      </w:hyperlink>
    </w:p>
    <w:p w:rsidR="00D21FBA" w:rsidRPr="00F61A9E" w:rsidRDefault="00D21FBA" w:rsidP="00B22110">
      <w:pPr>
        <w:spacing w:after="0" w:line="240" w:lineRule="auto"/>
        <w:rPr>
          <w:rFonts w:ascii="Arial" w:eastAsia="Times New Roman" w:hAnsi="Arial" w:cs="Arial"/>
          <w:color w:val="000000" w:themeColor="text1"/>
          <w:sz w:val="24"/>
          <w:szCs w:val="24"/>
          <w:lang w:val="en" w:eastAsia="en-GB"/>
        </w:rPr>
      </w:pPr>
      <w:r w:rsidRPr="00F61A9E">
        <w:rPr>
          <w:rFonts w:ascii="Arial" w:eastAsia="Times New Roman" w:hAnsi="Arial" w:cs="Arial"/>
          <w:color w:val="000000" w:themeColor="text1"/>
          <w:sz w:val="24"/>
          <w:szCs w:val="24"/>
          <w:lang w:val="en" w:eastAsia="en-GB"/>
        </w:rPr>
        <w:t xml:space="preserve">Lee, S. and Bozeman, B. (2005) </w:t>
      </w:r>
      <w:r w:rsidRPr="00F61A9E">
        <w:rPr>
          <w:rFonts w:ascii="Arial" w:eastAsia="Times New Roman" w:hAnsi="Arial" w:cs="Arial"/>
          <w:bCs/>
          <w:color w:val="000000" w:themeColor="text1"/>
          <w:sz w:val="24"/>
          <w:szCs w:val="24"/>
          <w:lang w:val="en" w:eastAsia="en-GB"/>
        </w:rPr>
        <w:t>The effects of scientific collaboration on productivity</w:t>
      </w:r>
      <w:r w:rsidRPr="00F61A9E">
        <w:rPr>
          <w:rFonts w:ascii="Arial" w:eastAsia="Times New Roman" w:hAnsi="Arial" w:cs="Arial"/>
          <w:color w:val="000000" w:themeColor="text1"/>
          <w:sz w:val="24"/>
          <w:szCs w:val="24"/>
          <w:lang w:val="en" w:eastAsia="en-GB"/>
        </w:rPr>
        <w:t>, Social Studies of Science, 35 (5), 673-702.</w:t>
      </w:r>
    </w:p>
    <w:p w:rsidR="00D21FBA" w:rsidRPr="00223F3C" w:rsidRDefault="00D21FBA" w:rsidP="00B22110">
      <w:pPr>
        <w:spacing w:after="0" w:line="240" w:lineRule="auto"/>
        <w:rPr>
          <w:rFonts w:ascii="Arial" w:hAnsi="Arial" w:cs="Arial"/>
          <w:sz w:val="24"/>
          <w:szCs w:val="24"/>
        </w:rPr>
      </w:pPr>
      <w:r w:rsidRPr="00F61A9E">
        <w:rPr>
          <w:rFonts w:ascii="Arial" w:hAnsi="Arial" w:cs="Arial"/>
          <w:color w:val="000000" w:themeColor="text1"/>
          <w:sz w:val="24"/>
          <w:szCs w:val="24"/>
        </w:rPr>
        <w:t xml:space="preserve">Lewis, J., &amp; Townsend, A. (1989). Introduction: The emergence of an </w:t>
      </w:r>
      <w:r w:rsidRPr="00223F3C">
        <w:rPr>
          <w:rFonts w:ascii="Arial" w:hAnsi="Arial" w:cs="Arial"/>
          <w:sz w:val="24"/>
          <w:szCs w:val="24"/>
        </w:rPr>
        <w:t>issue. In J. Lewis &amp; A. Townsend (Eds.), The North-South divide (pp. 20–60). London: Paul Chapman.</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 xml:space="preserve">Los, B., McCann, P., </w:t>
      </w:r>
      <w:proofErr w:type="spellStart"/>
      <w:r w:rsidRPr="00223F3C">
        <w:rPr>
          <w:rFonts w:ascii="Arial" w:hAnsi="Arial" w:cs="Arial"/>
          <w:sz w:val="24"/>
          <w:szCs w:val="24"/>
        </w:rPr>
        <w:t>Springford</w:t>
      </w:r>
      <w:proofErr w:type="spellEnd"/>
      <w:r w:rsidRPr="00223F3C">
        <w:rPr>
          <w:rFonts w:ascii="Arial" w:hAnsi="Arial" w:cs="Arial"/>
          <w:sz w:val="24"/>
          <w:szCs w:val="24"/>
        </w:rPr>
        <w:t xml:space="preserve">, J. &amp; </w:t>
      </w:r>
      <w:proofErr w:type="spellStart"/>
      <w:r w:rsidRPr="00223F3C">
        <w:rPr>
          <w:rFonts w:ascii="Arial" w:hAnsi="Arial" w:cs="Arial"/>
          <w:sz w:val="24"/>
          <w:szCs w:val="24"/>
        </w:rPr>
        <w:t>Thissen</w:t>
      </w:r>
      <w:proofErr w:type="spellEnd"/>
      <w:r w:rsidRPr="00223F3C">
        <w:rPr>
          <w:rFonts w:ascii="Arial" w:hAnsi="Arial" w:cs="Arial"/>
          <w:sz w:val="24"/>
          <w:szCs w:val="24"/>
        </w:rPr>
        <w:t>, M. (2017) The mismatch between local voting and the local economic consequences of Brexit, Regional Studies, 51:5, 786-799, DOI: </w:t>
      </w:r>
      <w:hyperlink r:id="rId31" w:history="1">
        <w:r w:rsidRPr="00223F3C">
          <w:rPr>
            <w:rStyle w:val="Hyperlink"/>
            <w:rFonts w:ascii="Arial" w:hAnsi="Arial" w:cs="Arial"/>
            <w:sz w:val="24"/>
            <w:szCs w:val="24"/>
          </w:rPr>
          <w:t>10.1080/00343404.2017.1287350</w:t>
        </w:r>
      </w:hyperlink>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 xml:space="preserve">Los, B., McCann, P., </w:t>
      </w:r>
      <w:proofErr w:type="spellStart"/>
      <w:r w:rsidRPr="00223F3C">
        <w:rPr>
          <w:rFonts w:ascii="Arial" w:hAnsi="Arial" w:cs="Arial"/>
          <w:sz w:val="24"/>
          <w:szCs w:val="24"/>
        </w:rPr>
        <w:t>Springford</w:t>
      </w:r>
      <w:proofErr w:type="spellEnd"/>
      <w:r w:rsidRPr="00223F3C">
        <w:rPr>
          <w:rFonts w:ascii="Arial" w:hAnsi="Arial" w:cs="Arial"/>
          <w:sz w:val="24"/>
          <w:szCs w:val="24"/>
        </w:rPr>
        <w:t xml:space="preserve">, J. &amp; </w:t>
      </w:r>
      <w:proofErr w:type="spellStart"/>
      <w:r w:rsidRPr="00223F3C">
        <w:rPr>
          <w:rFonts w:ascii="Arial" w:hAnsi="Arial" w:cs="Arial"/>
          <w:sz w:val="24"/>
          <w:szCs w:val="24"/>
        </w:rPr>
        <w:t>Thissen</w:t>
      </w:r>
      <w:proofErr w:type="spellEnd"/>
      <w:r w:rsidRPr="00223F3C">
        <w:rPr>
          <w:rFonts w:ascii="Arial" w:hAnsi="Arial" w:cs="Arial"/>
          <w:sz w:val="24"/>
          <w:szCs w:val="24"/>
        </w:rPr>
        <w:t>, M. (2017) The mismatch between local voting and the local economic consequences of Brexit, Regional Studies, 51:5, 786-799, DOI: </w:t>
      </w:r>
      <w:hyperlink r:id="rId32" w:history="1">
        <w:r w:rsidRPr="00223F3C">
          <w:rPr>
            <w:rStyle w:val="Hyperlink"/>
            <w:rFonts w:ascii="Arial" w:hAnsi="Arial" w:cs="Arial"/>
            <w:sz w:val="24"/>
            <w:szCs w:val="24"/>
          </w:rPr>
          <w:t>10.1080/00343404.2017.1287350</w:t>
        </w:r>
      </w:hyperlink>
    </w:p>
    <w:p w:rsidR="00D21FBA" w:rsidRPr="00F61A9E" w:rsidRDefault="00D21FBA" w:rsidP="00B22110">
      <w:pPr>
        <w:spacing w:after="0" w:line="240" w:lineRule="auto"/>
        <w:rPr>
          <w:rFonts w:ascii="Arial" w:hAnsi="Arial" w:cs="Arial"/>
          <w:color w:val="000000" w:themeColor="text1"/>
          <w:sz w:val="24"/>
          <w:szCs w:val="24"/>
        </w:rPr>
      </w:pPr>
      <w:r w:rsidRPr="00F61A9E">
        <w:rPr>
          <w:rFonts w:ascii="Arial" w:hAnsi="Arial" w:cs="Arial"/>
          <w:color w:val="000000" w:themeColor="text1"/>
          <w:sz w:val="24"/>
          <w:szCs w:val="24"/>
        </w:rPr>
        <w:t>Los, B., McCann, P., </w:t>
      </w:r>
      <w:proofErr w:type="spellStart"/>
      <w:r w:rsidRPr="00F61A9E">
        <w:rPr>
          <w:rFonts w:ascii="Arial" w:hAnsi="Arial" w:cs="Arial"/>
          <w:color w:val="000000" w:themeColor="text1"/>
          <w:sz w:val="24"/>
          <w:szCs w:val="24"/>
        </w:rPr>
        <w:t>Springford</w:t>
      </w:r>
      <w:proofErr w:type="spellEnd"/>
      <w:r w:rsidRPr="00F61A9E">
        <w:rPr>
          <w:rFonts w:ascii="Arial" w:hAnsi="Arial" w:cs="Arial"/>
          <w:color w:val="000000" w:themeColor="text1"/>
          <w:sz w:val="24"/>
          <w:szCs w:val="24"/>
        </w:rPr>
        <w:t>, J., &amp; </w:t>
      </w:r>
      <w:proofErr w:type="spellStart"/>
      <w:r w:rsidRPr="00F61A9E">
        <w:rPr>
          <w:rFonts w:ascii="Arial" w:hAnsi="Arial" w:cs="Arial"/>
          <w:color w:val="000000" w:themeColor="text1"/>
          <w:sz w:val="24"/>
          <w:szCs w:val="24"/>
        </w:rPr>
        <w:t>Thissen</w:t>
      </w:r>
      <w:proofErr w:type="spellEnd"/>
      <w:r w:rsidRPr="00F61A9E">
        <w:rPr>
          <w:rFonts w:ascii="Arial" w:hAnsi="Arial" w:cs="Arial"/>
          <w:color w:val="000000" w:themeColor="text1"/>
          <w:sz w:val="24"/>
          <w:szCs w:val="24"/>
        </w:rPr>
        <w:t>, M. (2017). The mismatch between local voting and the local economic consequences of Brexit. </w:t>
      </w:r>
      <w:r w:rsidRPr="00F61A9E">
        <w:rPr>
          <w:rFonts w:ascii="Arial" w:hAnsi="Arial" w:cs="Arial"/>
          <w:i/>
          <w:iCs/>
          <w:color w:val="000000" w:themeColor="text1"/>
          <w:sz w:val="24"/>
          <w:szCs w:val="24"/>
        </w:rPr>
        <w:t>Regional Studies</w:t>
      </w:r>
      <w:r w:rsidRPr="00F61A9E">
        <w:rPr>
          <w:rFonts w:ascii="Arial" w:hAnsi="Arial" w:cs="Arial"/>
          <w:color w:val="000000" w:themeColor="text1"/>
          <w:sz w:val="24"/>
          <w:szCs w:val="24"/>
        </w:rPr>
        <w:t xml:space="preserve">, </w:t>
      </w:r>
      <w:r w:rsidRPr="00F61A9E">
        <w:rPr>
          <w:rFonts w:ascii="Arial" w:hAnsi="Arial" w:cs="Arial"/>
          <w:i/>
          <w:iCs/>
          <w:color w:val="000000" w:themeColor="text1"/>
          <w:sz w:val="24"/>
          <w:szCs w:val="24"/>
        </w:rPr>
        <w:t>51</w:t>
      </w:r>
      <w:r w:rsidRPr="00F61A9E">
        <w:rPr>
          <w:rFonts w:ascii="Arial" w:hAnsi="Arial" w:cs="Arial"/>
          <w:color w:val="000000" w:themeColor="text1"/>
          <w:sz w:val="24"/>
          <w:szCs w:val="24"/>
        </w:rPr>
        <w:t xml:space="preserve">(5), 786–799. </w:t>
      </w:r>
      <w:proofErr w:type="spellStart"/>
      <w:r w:rsidRPr="00F61A9E">
        <w:rPr>
          <w:rFonts w:ascii="Arial" w:hAnsi="Arial" w:cs="Arial"/>
          <w:color w:val="000000" w:themeColor="text1"/>
          <w:sz w:val="24"/>
          <w:szCs w:val="24"/>
        </w:rPr>
        <w:t>doi</w:t>
      </w:r>
      <w:proofErr w:type="spellEnd"/>
      <w:r w:rsidRPr="00F61A9E">
        <w:rPr>
          <w:rFonts w:ascii="Arial" w:hAnsi="Arial" w:cs="Arial"/>
          <w:color w:val="000000" w:themeColor="text1"/>
          <w:sz w:val="24"/>
          <w:szCs w:val="24"/>
        </w:rPr>
        <w:t>: 10.1080/00343404.2017.1287350</w:t>
      </w:r>
    </w:p>
    <w:p w:rsidR="00D21FBA" w:rsidRPr="00223F3C" w:rsidRDefault="00D21FBA" w:rsidP="00B22110">
      <w:pPr>
        <w:spacing w:after="0" w:line="240" w:lineRule="auto"/>
        <w:rPr>
          <w:rFonts w:ascii="Arial" w:hAnsi="Arial" w:cs="Arial"/>
          <w:color w:val="FF0000"/>
          <w:sz w:val="24"/>
          <w:szCs w:val="24"/>
        </w:rPr>
      </w:pPr>
      <w:r w:rsidRPr="00F61A9E">
        <w:rPr>
          <w:rFonts w:ascii="Arial" w:hAnsi="Arial" w:cs="Arial"/>
          <w:color w:val="000000" w:themeColor="text1"/>
          <w:sz w:val="24"/>
          <w:szCs w:val="24"/>
        </w:rPr>
        <w:t xml:space="preserve">MacKay, B. (2016) “How might Brexit impact on Britain’s universities.” Centre for Constitutional Change, 6 September 2016. Available at: </w:t>
      </w:r>
      <w:hyperlink r:id="rId33" w:history="1">
        <w:r w:rsidRPr="00223F3C">
          <w:rPr>
            <w:rStyle w:val="Hyperlink"/>
            <w:rFonts w:ascii="Arial" w:hAnsi="Arial" w:cs="Arial"/>
            <w:sz w:val="24"/>
            <w:szCs w:val="24"/>
          </w:rPr>
          <w:t>http://www.centreonconstitutionalchange.ac.uk/blog/how-might-brexit-impactbritain%E2%80%99s-universities</w:t>
        </w:r>
      </w:hyperlink>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MacLeod, G. &amp; Jones, M. (2018) Explaining ‘Brexit capital’: uneven development and the austerity state, Space and Polity, 22:2, 111-136, DOI: </w:t>
      </w:r>
      <w:hyperlink r:id="rId34" w:history="1">
        <w:r w:rsidRPr="00223F3C">
          <w:rPr>
            <w:rStyle w:val="Hyperlink"/>
            <w:rFonts w:ascii="Arial" w:hAnsi="Arial" w:cs="Arial"/>
            <w:sz w:val="24"/>
            <w:szCs w:val="24"/>
          </w:rPr>
          <w:t>10.1080/13562576.2018.1535272</w:t>
        </w:r>
      </w:hyperlink>
    </w:p>
    <w:p w:rsidR="00D21FBA" w:rsidRPr="00223F3C" w:rsidRDefault="00D21FBA" w:rsidP="00B22110">
      <w:pPr>
        <w:spacing w:after="0" w:line="240" w:lineRule="auto"/>
        <w:rPr>
          <w:rFonts w:ascii="Arial" w:hAnsi="Arial" w:cs="Arial"/>
          <w:sz w:val="24"/>
          <w:szCs w:val="24"/>
        </w:rPr>
      </w:pPr>
      <w:proofErr w:type="spellStart"/>
      <w:r w:rsidRPr="00223F3C">
        <w:rPr>
          <w:rFonts w:ascii="Arial" w:hAnsi="Arial" w:cs="Arial"/>
          <w:sz w:val="24"/>
          <w:szCs w:val="24"/>
        </w:rPr>
        <w:t>Marginson</w:t>
      </w:r>
      <w:proofErr w:type="spellEnd"/>
      <w:r w:rsidRPr="00223F3C">
        <w:rPr>
          <w:rFonts w:ascii="Arial" w:hAnsi="Arial" w:cs="Arial"/>
          <w:sz w:val="24"/>
          <w:szCs w:val="24"/>
        </w:rPr>
        <w:t>, S. (2017). Brexit: Challenges for Universities in Hard Times. </w:t>
      </w:r>
      <w:r w:rsidRPr="00223F3C">
        <w:rPr>
          <w:rFonts w:ascii="Arial" w:hAnsi="Arial" w:cs="Arial"/>
          <w:i/>
          <w:iCs/>
          <w:sz w:val="24"/>
          <w:szCs w:val="24"/>
        </w:rPr>
        <w:t>International Higher Education</w:t>
      </w:r>
      <w:r w:rsidRPr="00223F3C">
        <w:rPr>
          <w:rFonts w:ascii="Arial" w:hAnsi="Arial" w:cs="Arial"/>
          <w:sz w:val="24"/>
          <w:szCs w:val="24"/>
        </w:rPr>
        <w:t>, (88), 8-10. https://doi.org/10.6017/ihe.2017.88.9682</w:t>
      </w:r>
    </w:p>
    <w:p w:rsidR="00D21FBA" w:rsidRPr="00F61A9E" w:rsidRDefault="00D21FBA" w:rsidP="00B22110">
      <w:pPr>
        <w:spacing w:after="0" w:line="240" w:lineRule="auto"/>
        <w:rPr>
          <w:rFonts w:ascii="Arial" w:hAnsi="Arial" w:cs="Arial"/>
          <w:color w:val="000000" w:themeColor="text1"/>
          <w:sz w:val="24"/>
          <w:szCs w:val="24"/>
        </w:rPr>
      </w:pPr>
      <w:r w:rsidRPr="00F61A9E">
        <w:rPr>
          <w:rFonts w:ascii="Arial" w:eastAsia="Times New Roman" w:hAnsi="Arial" w:cs="Arial"/>
          <w:color w:val="000000" w:themeColor="text1"/>
          <w:sz w:val="24"/>
          <w:szCs w:val="24"/>
          <w:lang w:val="en" w:eastAsia="en-GB"/>
        </w:rPr>
        <w:t xml:space="preserve">Marques, J.P.C.; </w:t>
      </w:r>
      <w:proofErr w:type="spellStart"/>
      <w:r w:rsidRPr="00F61A9E">
        <w:rPr>
          <w:rFonts w:ascii="Arial" w:eastAsia="Times New Roman" w:hAnsi="Arial" w:cs="Arial"/>
          <w:color w:val="000000" w:themeColor="text1"/>
          <w:sz w:val="24"/>
          <w:szCs w:val="24"/>
          <w:lang w:val="en" w:eastAsia="en-GB"/>
        </w:rPr>
        <w:t>Caraça</w:t>
      </w:r>
      <w:proofErr w:type="spellEnd"/>
      <w:r w:rsidRPr="00F61A9E">
        <w:rPr>
          <w:rFonts w:ascii="Arial" w:eastAsia="Times New Roman" w:hAnsi="Arial" w:cs="Arial"/>
          <w:color w:val="000000" w:themeColor="text1"/>
          <w:sz w:val="24"/>
          <w:szCs w:val="24"/>
          <w:lang w:val="en" w:eastAsia="en-GB"/>
        </w:rPr>
        <w:t xml:space="preserve">, J.M.G. and </w:t>
      </w:r>
      <w:proofErr w:type="spellStart"/>
      <w:r w:rsidRPr="00F61A9E">
        <w:rPr>
          <w:rFonts w:ascii="Arial" w:eastAsia="Times New Roman" w:hAnsi="Arial" w:cs="Arial"/>
          <w:color w:val="000000" w:themeColor="text1"/>
          <w:sz w:val="24"/>
          <w:szCs w:val="24"/>
          <w:lang w:val="en" w:eastAsia="en-GB"/>
        </w:rPr>
        <w:t>Diz</w:t>
      </w:r>
      <w:proofErr w:type="spellEnd"/>
      <w:r w:rsidRPr="00F61A9E">
        <w:rPr>
          <w:rFonts w:ascii="Arial" w:eastAsia="Times New Roman" w:hAnsi="Arial" w:cs="Arial"/>
          <w:color w:val="000000" w:themeColor="text1"/>
          <w:sz w:val="24"/>
          <w:szCs w:val="24"/>
          <w:lang w:val="en" w:eastAsia="en-GB"/>
        </w:rPr>
        <w:t xml:space="preserve">, H. (2006) How can university–industry–government interactions change the innovation scenario in Portugal?—the case of the University of Coimbra, </w:t>
      </w:r>
      <w:proofErr w:type="spellStart"/>
      <w:r w:rsidRPr="00F61A9E">
        <w:rPr>
          <w:rFonts w:ascii="Arial" w:eastAsia="Times New Roman" w:hAnsi="Arial" w:cs="Arial"/>
          <w:i/>
          <w:color w:val="000000" w:themeColor="text1"/>
          <w:sz w:val="24"/>
          <w:szCs w:val="24"/>
          <w:lang w:val="en" w:eastAsia="en-GB"/>
        </w:rPr>
        <w:t>Technovation</w:t>
      </w:r>
      <w:proofErr w:type="spellEnd"/>
      <w:r w:rsidRPr="00F61A9E">
        <w:rPr>
          <w:rFonts w:ascii="Arial" w:eastAsia="Times New Roman" w:hAnsi="Arial" w:cs="Arial"/>
          <w:color w:val="000000" w:themeColor="text1"/>
          <w:sz w:val="24"/>
          <w:szCs w:val="24"/>
          <w:lang w:val="en" w:eastAsia="en-GB"/>
        </w:rPr>
        <w:t>, 26(4), 534, 542.</w:t>
      </w:r>
      <w:r w:rsidRPr="00F61A9E">
        <w:rPr>
          <w:rFonts w:ascii="Arial" w:hAnsi="Arial" w:cs="Arial"/>
          <w:color w:val="000000" w:themeColor="text1"/>
          <w:sz w:val="24"/>
          <w:szCs w:val="24"/>
        </w:rPr>
        <w:t xml:space="preserve"> </w:t>
      </w:r>
    </w:p>
    <w:p w:rsidR="00D21FBA" w:rsidRPr="00F61A9E" w:rsidRDefault="00D21FBA" w:rsidP="00B22110">
      <w:pPr>
        <w:spacing w:after="0" w:line="240" w:lineRule="auto"/>
        <w:rPr>
          <w:rFonts w:ascii="Arial" w:hAnsi="Arial" w:cs="Arial"/>
          <w:color w:val="000000" w:themeColor="text1"/>
          <w:sz w:val="24"/>
          <w:szCs w:val="24"/>
        </w:rPr>
      </w:pPr>
      <w:r w:rsidRPr="00F61A9E">
        <w:rPr>
          <w:rFonts w:ascii="Arial" w:hAnsi="Arial" w:cs="Arial"/>
          <w:color w:val="000000" w:themeColor="text1"/>
          <w:sz w:val="24"/>
          <w:szCs w:val="24"/>
        </w:rPr>
        <w:t>Martin, R., Pike, A., Tyler, P., &amp; Gardiner, B. (2016). Spatially rebalancing the UK economy: Towards a New policy model? Regional Studies, 50(2), 342–357.</w:t>
      </w:r>
    </w:p>
    <w:p w:rsidR="00D21FBA" w:rsidRPr="00F61A9E" w:rsidRDefault="00D21FBA" w:rsidP="00B22110">
      <w:pPr>
        <w:shd w:val="clear" w:color="auto" w:fill="FFFFFF"/>
        <w:spacing w:after="0" w:line="240" w:lineRule="auto"/>
        <w:rPr>
          <w:rFonts w:ascii="Arial" w:eastAsia="Times New Roman" w:hAnsi="Arial" w:cs="Arial"/>
          <w:color w:val="000000" w:themeColor="text1"/>
          <w:sz w:val="24"/>
          <w:szCs w:val="24"/>
          <w:lang w:val="en" w:eastAsia="en-GB"/>
        </w:rPr>
      </w:pPr>
      <w:r w:rsidRPr="00F61A9E">
        <w:rPr>
          <w:rFonts w:ascii="Arial" w:eastAsia="Times New Roman" w:hAnsi="Arial" w:cs="Arial"/>
          <w:color w:val="000000" w:themeColor="text1"/>
          <w:sz w:val="24"/>
          <w:szCs w:val="24"/>
          <w:lang w:val="en" w:eastAsia="en-GB"/>
        </w:rPr>
        <w:t xml:space="preserve">Mayhew, K. (2017) UK Higher Education and Brexit, </w:t>
      </w:r>
      <w:r w:rsidRPr="00F61A9E">
        <w:rPr>
          <w:rFonts w:ascii="Arial" w:eastAsia="Times New Roman" w:hAnsi="Arial" w:cs="Arial"/>
          <w:i/>
          <w:color w:val="000000" w:themeColor="text1"/>
          <w:sz w:val="24"/>
          <w:szCs w:val="24"/>
          <w:lang w:val="en" w:eastAsia="en-GB"/>
        </w:rPr>
        <w:t>Oxford Review of Economic Policy</w:t>
      </w:r>
      <w:r w:rsidRPr="00F61A9E">
        <w:rPr>
          <w:rFonts w:ascii="Arial" w:eastAsia="Times New Roman" w:hAnsi="Arial" w:cs="Arial"/>
          <w:color w:val="000000" w:themeColor="text1"/>
          <w:sz w:val="24"/>
          <w:szCs w:val="24"/>
          <w:lang w:val="en" w:eastAsia="en-GB"/>
        </w:rPr>
        <w:t xml:space="preserve">, 33(S1), S155-S161. </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Menon, A. and Salter, J.P. (2016) Brexit: initial reflections, </w:t>
      </w:r>
      <w:r w:rsidRPr="00223F3C">
        <w:rPr>
          <w:rFonts w:ascii="Arial" w:hAnsi="Arial" w:cs="Arial"/>
          <w:i/>
          <w:iCs/>
          <w:sz w:val="24"/>
          <w:szCs w:val="24"/>
        </w:rPr>
        <w:t>International Affairs</w:t>
      </w:r>
      <w:r w:rsidRPr="00223F3C">
        <w:rPr>
          <w:rFonts w:ascii="Arial" w:hAnsi="Arial" w:cs="Arial"/>
          <w:sz w:val="24"/>
          <w:szCs w:val="24"/>
        </w:rPr>
        <w:t>, Volume 92, Issue 6, Pages 1297–1318, </w:t>
      </w:r>
      <w:hyperlink r:id="rId35" w:history="1">
        <w:r w:rsidRPr="00223F3C">
          <w:rPr>
            <w:rStyle w:val="Hyperlink"/>
            <w:rFonts w:ascii="Arial" w:hAnsi="Arial" w:cs="Arial"/>
            <w:sz w:val="24"/>
            <w:szCs w:val="24"/>
          </w:rPr>
          <w:t>https://doi.org/10.1111/1468-2346.12745</w:t>
        </w:r>
      </w:hyperlink>
    </w:p>
    <w:p w:rsidR="00D21FBA" w:rsidRPr="00F61A9E" w:rsidRDefault="00D21FBA" w:rsidP="00B22110">
      <w:pPr>
        <w:spacing w:after="0" w:line="240" w:lineRule="auto"/>
        <w:rPr>
          <w:rFonts w:ascii="Arial" w:eastAsia="Times New Roman" w:hAnsi="Arial" w:cs="Arial"/>
          <w:color w:val="000000" w:themeColor="text1"/>
          <w:sz w:val="24"/>
          <w:szCs w:val="24"/>
          <w:lang w:val="en" w:eastAsia="en-GB"/>
        </w:rPr>
      </w:pPr>
      <w:r w:rsidRPr="00F61A9E">
        <w:rPr>
          <w:rFonts w:ascii="Arial" w:eastAsia="Times New Roman" w:hAnsi="Arial" w:cs="Arial"/>
          <w:color w:val="000000" w:themeColor="text1"/>
          <w:sz w:val="24"/>
          <w:szCs w:val="24"/>
          <w:lang w:val="en" w:eastAsia="en-GB"/>
        </w:rPr>
        <w:lastRenderedPageBreak/>
        <w:t>Meyer-</w:t>
      </w:r>
      <w:proofErr w:type="spellStart"/>
      <w:r w:rsidRPr="00F61A9E">
        <w:rPr>
          <w:rFonts w:ascii="Arial" w:eastAsia="Times New Roman" w:hAnsi="Arial" w:cs="Arial"/>
          <w:color w:val="000000" w:themeColor="text1"/>
          <w:sz w:val="24"/>
          <w:szCs w:val="24"/>
          <w:lang w:val="en" w:eastAsia="en-GB"/>
        </w:rPr>
        <w:t>Krahmer</w:t>
      </w:r>
      <w:proofErr w:type="spellEnd"/>
      <w:r w:rsidRPr="00F61A9E">
        <w:rPr>
          <w:rFonts w:ascii="Arial" w:eastAsia="Times New Roman" w:hAnsi="Arial" w:cs="Arial"/>
          <w:color w:val="000000" w:themeColor="text1"/>
          <w:sz w:val="24"/>
          <w:szCs w:val="24"/>
          <w:lang w:val="en" w:eastAsia="en-GB"/>
        </w:rPr>
        <w:t xml:space="preserve">, F. </w:t>
      </w:r>
      <w:proofErr w:type="spellStart"/>
      <w:r w:rsidRPr="00F61A9E">
        <w:rPr>
          <w:rFonts w:ascii="Arial" w:eastAsia="Times New Roman" w:hAnsi="Arial" w:cs="Arial"/>
          <w:color w:val="000000" w:themeColor="text1"/>
          <w:sz w:val="24"/>
          <w:szCs w:val="24"/>
          <w:lang w:val="en" w:eastAsia="en-GB"/>
        </w:rPr>
        <w:t>Schmoch</w:t>
      </w:r>
      <w:proofErr w:type="spellEnd"/>
      <w:r w:rsidRPr="00F61A9E">
        <w:rPr>
          <w:rFonts w:ascii="Arial" w:eastAsia="Times New Roman" w:hAnsi="Arial" w:cs="Arial"/>
          <w:color w:val="000000" w:themeColor="text1"/>
          <w:sz w:val="24"/>
          <w:szCs w:val="24"/>
          <w:lang w:val="en" w:eastAsia="en-GB"/>
        </w:rPr>
        <w:t xml:space="preserve">, U. (1998) Science-based technologies: university–industry interactions in four fields, Research Policy, 27(8), 835-851. </w:t>
      </w:r>
    </w:p>
    <w:p w:rsidR="00D21FBA" w:rsidRPr="00223F3C" w:rsidRDefault="00D21FBA" w:rsidP="00B22110">
      <w:pPr>
        <w:spacing w:after="0" w:line="240" w:lineRule="auto"/>
        <w:rPr>
          <w:rFonts w:ascii="Arial" w:eastAsia="Times New Roman" w:hAnsi="Arial" w:cs="Arial"/>
          <w:color w:val="FF0000"/>
          <w:sz w:val="24"/>
          <w:szCs w:val="24"/>
          <w:lang w:val="en" w:eastAsia="en-GB"/>
        </w:rPr>
      </w:pPr>
      <w:r w:rsidRPr="00F61A9E">
        <w:rPr>
          <w:rFonts w:ascii="Arial" w:hAnsi="Arial" w:cs="Arial"/>
          <w:color w:val="000000" w:themeColor="text1"/>
          <w:sz w:val="24"/>
          <w:szCs w:val="24"/>
        </w:rPr>
        <w:t xml:space="preserve">North East Brexit Group (2018) Leaving the EU. </w:t>
      </w:r>
      <w:r w:rsidRPr="00223F3C">
        <w:rPr>
          <w:rFonts w:ascii="Arial" w:hAnsi="Arial" w:cs="Arial"/>
          <w:sz w:val="24"/>
          <w:szCs w:val="24"/>
        </w:rPr>
        <w:t>A review of evidence about</w:t>
      </w:r>
      <w:r w:rsidRPr="00223F3C">
        <w:rPr>
          <w:rFonts w:ascii="Arial" w:eastAsia="Times New Roman" w:hAnsi="Arial" w:cs="Arial"/>
          <w:color w:val="FF0000"/>
          <w:sz w:val="24"/>
          <w:szCs w:val="24"/>
          <w:lang w:val="en" w:eastAsia="en-GB"/>
        </w:rPr>
        <w:t xml:space="preserve"> </w:t>
      </w:r>
      <w:r w:rsidRPr="00223F3C">
        <w:rPr>
          <w:rFonts w:ascii="Arial" w:hAnsi="Arial" w:cs="Arial"/>
          <w:sz w:val="24"/>
          <w:szCs w:val="24"/>
        </w:rPr>
        <w:t xml:space="preserve">opportunities, challenges and risks to the North East economy and its key sectors with recommendations for action. Newcastle Upon Tyne, North East LEP. Accessed online here: </w:t>
      </w:r>
      <w:hyperlink r:id="rId36" w:history="1">
        <w:r w:rsidRPr="00223F3C">
          <w:rPr>
            <w:rStyle w:val="Hyperlink"/>
            <w:rFonts w:ascii="Arial" w:hAnsi="Arial" w:cs="Arial"/>
            <w:sz w:val="24"/>
            <w:szCs w:val="24"/>
          </w:rPr>
          <w:t>https://www.nelep.co.uk/wp-content/uploads/2018/06/nel377-sector-study-a4-final-version.pdf</w:t>
        </w:r>
      </w:hyperlink>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Robinson F and Shaw K (1994) Quangos in the North of England. Durham: Durham University/UNISON.</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Robinson, F, Shaw, K, Hopwood, B. (2000) Who Runs the North East. Durham: Durham University.</w:t>
      </w:r>
    </w:p>
    <w:p w:rsidR="00D21FBA" w:rsidRPr="00223F3C" w:rsidRDefault="00D21FBA" w:rsidP="00B22110">
      <w:pPr>
        <w:spacing w:after="0" w:line="240" w:lineRule="auto"/>
        <w:rPr>
          <w:rStyle w:val="Hyperlink"/>
          <w:rFonts w:ascii="Arial" w:hAnsi="Arial" w:cs="Arial"/>
          <w:sz w:val="24"/>
          <w:szCs w:val="24"/>
        </w:rPr>
      </w:pPr>
      <w:r w:rsidRPr="00223F3C">
        <w:rPr>
          <w:rFonts w:ascii="Arial" w:hAnsi="Arial" w:cs="Arial"/>
          <w:sz w:val="24"/>
          <w:szCs w:val="24"/>
        </w:rPr>
        <w:t>Rushton, Peter (2017) The Myth and Reality of Brexit City: Sunderland and the 2016 Referendum. Working Paper. University of Sunderland.  Downloaded from: </w:t>
      </w:r>
      <w:hyperlink r:id="rId37" w:history="1">
        <w:r w:rsidRPr="00223F3C">
          <w:rPr>
            <w:rStyle w:val="Hyperlink"/>
            <w:rFonts w:ascii="Arial" w:hAnsi="Arial" w:cs="Arial"/>
            <w:sz w:val="24"/>
            <w:szCs w:val="24"/>
          </w:rPr>
          <w:t>http://sure.sunderland.ac.uk/id/eprint/9234/</w:t>
        </w:r>
      </w:hyperlink>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Shaw, K, Robinson, F (2011) Don’t mention the “R Word”: The end of regionalism in the North East? Town and Country Planning 80(12): 534–538.</w:t>
      </w:r>
    </w:p>
    <w:p w:rsidR="00D21FBA" w:rsidRPr="00223F3C" w:rsidRDefault="00D21FBA" w:rsidP="00B22110">
      <w:pPr>
        <w:spacing w:after="0" w:line="240" w:lineRule="auto"/>
        <w:rPr>
          <w:rFonts w:ascii="Arial" w:hAnsi="Arial" w:cs="Arial"/>
          <w:sz w:val="24"/>
          <w:szCs w:val="24"/>
        </w:rPr>
      </w:pPr>
      <w:r w:rsidRPr="00223F3C">
        <w:rPr>
          <w:rFonts w:ascii="Arial" w:hAnsi="Arial" w:cs="Arial"/>
          <w:sz w:val="24"/>
          <w:szCs w:val="24"/>
        </w:rPr>
        <w:t>Shaw, K., &amp; Robinson, F. (2018). Whatever happened to the North East? Reflections on the end of regionalism in England. </w:t>
      </w:r>
      <w:r w:rsidRPr="00223F3C">
        <w:rPr>
          <w:rFonts w:ascii="Arial" w:hAnsi="Arial" w:cs="Arial"/>
          <w:i/>
          <w:iCs/>
          <w:sz w:val="24"/>
          <w:szCs w:val="24"/>
        </w:rPr>
        <w:t>Local Economy</w:t>
      </w:r>
      <w:r w:rsidRPr="00223F3C">
        <w:rPr>
          <w:rFonts w:ascii="Arial" w:hAnsi="Arial" w:cs="Arial"/>
          <w:sz w:val="24"/>
          <w:szCs w:val="24"/>
        </w:rPr>
        <w:t>, </w:t>
      </w:r>
      <w:r w:rsidRPr="00223F3C">
        <w:rPr>
          <w:rFonts w:ascii="Arial" w:hAnsi="Arial" w:cs="Arial"/>
          <w:i/>
          <w:iCs/>
          <w:sz w:val="24"/>
          <w:szCs w:val="24"/>
        </w:rPr>
        <w:t>33</w:t>
      </w:r>
      <w:r w:rsidRPr="00223F3C">
        <w:rPr>
          <w:rFonts w:ascii="Arial" w:hAnsi="Arial" w:cs="Arial"/>
          <w:sz w:val="24"/>
          <w:szCs w:val="24"/>
        </w:rPr>
        <w:t>(8), 842–861. </w:t>
      </w:r>
      <w:hyperlink r:id="rId38" w:history="1">
        <w:r w:rsidRPr="00223F3C">
          <w:rPr>
            <w:rStyle w:val="Hyperlink"/>
            <w:rFonts w:ascii="Arial" w:hAnsi="Arial" w:cs="Arial"/>
            <w:sz w:val="24"/>
            <w:szCs w:val="24"/>
          </w:rPr>
          <w:t>https://doi.org/10.1177/0269094218819789</w:t>
        </w:r>
      </w:hyperlink>
    </w:p>
    <w:p w:rsidR="00D21FBA" w:rsidRPr="00223F3C" w:rsidRDefault="00D21FBA" w:rsidP="00971258">
      <w:pPr>
        <w:spacing w:after="0" w:line="240" w:lineRule="auto"/>
        <w:rPr>
          <w:rFonts w:ascii="Arial" w:hAnsi="Arial" w:cs="Arial"/>
          <w:color w:val="000000" w:themeColor="text1"/>
          <w:sz w:val="24"/>
          <w:szCs w:val="24"/>
        </w:rPr>
      </w:pPr>
      <w:r w:rsidRPr="00223F3C">
        <w:rPr>
          <w:rFonts w:ascii="Arial" w:hAnsi="Arial" w:cs="Arial"/>
          <w:color w:val="000000" w:themeColor="text1"/>
          <w:sz w:val="24"/>
          <w:szCs w:val="24"/>
        </w:rPr>
        <w:t>Shutt, J., &amp; Liddle, J. (2019). Are Combined Authorities in England strategic and fit for purpose? </w:t>
      </w:r>
      <w:r w:rsidRPr="00223F3C">
        <w:rPr>
          <w:rFonts w:ascii="Arial" w:hAnsi="Arial" w:cs="Arial"/>
          <w:i/>
          <w:iCs/>
          <w:color w:val="000000" w:themeColor="text1"/>
          <w:sz w:val="24"/>
          <w:szCs w:val="24"/>
        </w:rPr>
        <w:t>Local Economy</w:t>
      </w:r>
      <w:r w:rsidRPr="00223F3C">
        <w:rPr>
          <w:rFonts w:ascii="Arial" w:hAnsi="Arial" w:cs="Arial"/>
          <w:color w:val="000000" w:themeColor="text1"/>
          <w:sz w:val="24"/>
          <w:szCs w:val="24"/>
        </w:rPr>
        <w:t>, </w:t>
      </w:r>
      <w:r w:rsidRPr="00223F3C">
        <w:rPr>
          <w:rFonts w:ascii="Arial" w:hAnsi="Arial" w:cs="Arial"/>
          <w:i/>
          <w:iCs/>
          <w:color w:val="000000" w:themeColor="text1"/>
          <w:sz w:val="24"/>
          <w:szCs w:val="24"/>
        </w:rPr>
        <w:t>34</w:t>
      </w:r>
      <w:r w:rsidRPr="00223F3C">
        <w:rPr>
          <w:rFonts w:ascii="Arial" w:hAnsi="Arial" w:cs="Arial"/>
          <w:color w:val="000000" w:themeColor="text1"/>
          <w:sz w:val="24"/>
          <w:szCs w:val="24"/>
        </w:rPr>
        <w:t>(2), 196–207. </w:t>
      </w:r>
      <w:hyperlink r:id="rId39" w:history="1">
        <w:r w:rsidRPr="00223F3C">
          <w:rPr>
            <w:rStyle w:val="Hyperlink"/>
            <w:rFonts w:ascii="Arial" w:hAnsi="Arial" w:cs="Arial"/>
            <w:sz w:val="24"/>
            <w:szCs w:val="24"/>
          </w:rPr>
          <w:t>https://doi.org/10.1177/0269094219839956</w:t>
        </w:r>
      </w:hyperlink>
    </w:p>
    <w:p w:rsidR="00D21FBA" w:rsidRPr="00223F3C" w:rsidRDefault="00D21FBA" w:rsidP="00B22110">
      <w:pPr>
        <w:spacing w:after="0" w:line="240" w:lineRule="auto"/>
        <w:rPr>
          <w:rFonts w:ascii="Arial" w:hAnsi="Arial" w:cs="Arial"/>
          <w:color w:val="000000" w:themeColor="text1"/>
          <w:sz w:val="24"/>
          <w:szCs w:val="24"/>
        </w:rPr>
      </w:pPr>
      <w:r w:rsidRPr="00223F3C">
        <w:rPr>
          <w:rFonts w:ascii="Arial" w:hAnsi="Arial" w:cs="Arial"/>
          <w:color w:val="000000" w:themeColor="text1"/>
          <w:sz w:val="24"/>
          <w:szCs w:val="24"/>
        </w:rPr>
        <w:t>Shutt, J., &amp; Liddle, J. (2019). Combined Authorities in England. Moving beyond devolution: Developing strategic local government for a more sustainable future? </w:t>
      </w:r>
      <w:r w:rsidRPr="00223F3C">
        <w:rPr>
          <w:rFonts w:ascii="Arial" w:hAnsi="Arial" w:cs="Arial"/>
          <w:i/>
          <w:iCs/>
          <w:color w:val="000000" w:themeColor="text1"/>
          <w:sz w:val="24"/>
          <w:szCs w:val="24"/>
        </w:rPr>
        <w:t>Local Economy</w:t>
      </w:r>
      <w:r w:rsidRPr="00223F3C">
        <w:rPr>
          <w:rFonts w:ascii="Arial" w:hAnsi="Arial" w:cs="Arial"/>
          <w:color w:val="000000" w:themeColor="text1"/>
          <w:sz w:val="24"/>
          <w:szCs w:val="24"/>
        </w:rPr>
        <w:t>, </w:t>
      </w:r>
      <w:r w:rsidRPr="00223F3C">
        <w:rPr>
          <w:rFonts w:ascii="Arial" w:hAnsi="Arial" w:cs="Arial"/>
          <w:i/>
          <w:iCs/>
          <w:color w:val="000000" w:themeColor="text1"/>
          <w:sz w:val="24"/>
          <w:szCs w:val="24"/>
        </w:rPr>
        <w:t>34</w:t>
      </w:r>
      <w:r w:rsidRPr="00223F3C">
        <w:rPr>
          <w:rFonts w:ascii="Arial" w:hAnsi="Arial" w:cs="Arial"/>
          <w:color w:val="000000" w:themeColor="text1"/>
          <w:sz w:val="24"/>
          <w:szCs w:val="24"/>
        </w:rPr>
        <w:t>(2), 91–93. </w:t>
      </w:r>
      <w:hyperlink r:id="rId40" w:history="1">
        <w:r w:rsidRPr="00223F3C">
          <w:rPr>
            <w:rStyle w:val="Hyperlink"/>
            <w:rFonts w:ascii="Arial" w:hAnsi="Arial" w:cs="Arial"/>
            <w:sz w:val="24"/>
            <w:szCs w:val="24"/>
          </w:rPr>
          <w:t>https://doi.org/10.1177/0269094219839966</w:t>
        </w:r>
      </w:hyperlink>
    </w:p>
    <w:p w:rsidR="00D21FBA" w:rsidRDefault="00D21FBA" w:rsidP="00971258">
      <w:pPr>
        <w:spacing w:after="0" w:line="240" w:lineRule="auto"/>
        <w:rPr>
          <w:rStyle w:val="Hyperlink"/>
          <w:rFonts w:ascii="Arial" w:hAnsi="Arial" w:cs="Arial"/>
          <w:color w:val="000000" w:themeColor="text1"/>
          <w:sz w:val="24"/>
          <w:szCs w:val="24"/>
          <w:u w:val="none"/>
        </w:rPr>
      </w:pPr>
      <w:r w:rsidRPr="00AB560B">
        <w:rPr>
          <w:rStyle w:val="Hyperlink"/>
          <w:rFonts w:ascii="Arial" w:hAnsi="Arial" w:cs="Arial"/>
          <w:color w:val="000000" w:themeColor="text1"/>
          <w:sz w:val="24"/>
          <w:szCs w:val="24"/>
          <w:u w:val="none"/>
        </w:rPr>
        <w:t xml:space="preserve">Universities UK (2018) How can the government ensure universities are best placed to maximise their contribution to a successful and global UK post-EU exit? Available at: </w:t>
      </w:r>
      <w:hyperlink r:id="rId41" w:history="1">
        <w:r w:rsidRPr="00D35EEE">
          <w:rPr>
            <w:rStyle w:val="Hyperlink"/>
            <w:rFonts w:ascii="Arial" w:hAnsi="Arial" w:cs="Arial"/>
            <w:sz w:val="24"/>
            <w:szCs w:val="24"/>
          </w:rPr>
          <w:t>https://www.universitiesuk.ac.uk/policy-and-analysis/reports/Documents/2018/brexit-briefing-march-18.pdf</w:t>
        </w:r>
      </w:hyperlink>
      <w:r>
        <w:rPr>
          <w:rStyle w:val="Hyperlink"/>
          <w:rFonts w:ascii="Arial" w:hAnsi="Arial" w:cs="Arial"/>
          <w:color w:val="000000" w:themeColor="text1"/>
          <w:sz w:val="24"/>
          <w:szCs w:val="24"/>
          <w:u w:val="none"/>
        </w:rPr>
        <w:t xml:space="preserve"> </w:t>
      </w:r>
      <w:r w:rsidRPr="00AB560B">
        <w:rPr>
          <w:rStyle w:val="Hyperlink"/>
          <w:rFonts w:ascii="Arial" w:hAnsi="Arial" w:cs="Arial"/>
          <w:color w:val="000000" w:themeColor="text1"/>
          <w:sz w:val="24"/>
          <w:szCs w:val="24"/>
          <w:u w:val="none"/>
        </w:rPr>
        <w:t>(accessed 21 July 2019)</w:t>
      </w:r>
    </w:p>
    <w:p w:rsidR="00D21FBA" w:rsidRPr="00D21FBA" w:rsidRDefault="00D21FBA" w:rsidP="00D21FBA">
      <w:pPr>
        <w:spacing w:after="0" w:line="240" w:lineRule="auto"/>
        <w:rPr>
          <w:rFonts w:ascii="Arial" w:hAnsi="Arial" w:cs="Arial"/>
          <w:color w:val="000000" w:themeColor="text1"/>
          <w:sz w:val="24"/>
          <w:szCs w:val="24"/>
        </w:rPr>
      </w:pPr>
      <w:r w:rsidRPr="00D21FBA">
        <w:rPr>
          <w:rFonts w:ascii="Arial" w:hAnsi="Arial" w:cs="Arial"/>
          <w:color w:val="000000" w:themeColor="text1"/>
          <w:sz w:val="24"/>
          <w:szCs w:val="24"/>
        </w:rPr>
        <w:t xml:space="preserve">Universities UK (2019). The future of degree apprenticeships. Available at </w:t>
      </w:r>
      <w:hyperlink r:id="rId42" w:history="1">
        <w:r w:rsidRPr="00D21FBA">
          <w:rPr>
            <w:rStyle w:val="Hyperlink"/>
            <w:rFonts w:ascii="Arial" w:hAnsi="Arial" w:cs="Arial"/>
            <w:sz w:val="24"/>
            <w:szCs w:val="24"/>
          </w:rPr>
          <w:t>https://www.universitiesuk.ac.uk/policy-and-analysis/reports/Documents/2019/future-degree-apprenticeships.pdf</w:t>
        </w:r>
      </w:hyperlink>
      <w:r w:rsidRPr="00D21FBA">
        <w:rPr>
          <w:rFonts w:ascii="Arial" w:hAnsi="Arial" w:cs="Arial"/>
          <w:color w:val="000000" w:themeColor="text1"/>
          <w:sz w:val="24"/>
          <w:szCs w:val="24"/>
        </w:rPr>
        <w:t xml:space="preserve"> (accessed 23 July 2019)</w:t>
      </w:r>
    </w:p>
    <w:p w:rsidR="00D21FBA" w:rsidRPr="00F61A9E" w:rsidRDefault="00D21FBA" w:rsidP="00B22110">
      <w:pPr>
        <w:shd w:val="clear" w:color="auto" w:fill="FFFFFF"/>
        <w:spacing w:after="0" w:line="240" w:lineRule="auto"/>
        <w:rPr>
          <w:rFonts w:ascii="Arial" w:hAnsi="Arial" w:cs="Arial"/>
          <w:color w:val="000000" w:themeColor="text1"/>
          <w:sz w:val="24"/>
          <w:szCs w:val="24"/>
        </w:rPr>
      </w:pPr>
      <w:bookmarkStart w:id="2" w:name="_GoBack"/>
      <w:r w:rsidRPr="00F61A9E">
        <w:rPr>
          <w:rFonts w:ascii="Arial" w:hAnsi="Arial" w:cs="Arial"/>
          <w:color w:val="000000" w:themeColor="text1"/>
          <w:sz w:val="24"/>
          <w:szCs w:val="24"/>
        </w:rPr>
        <w:t>Wilson, T. (2012) A review of business-university collaboration: the Wilson Review, Crown Copyright, London.</w:t>
      </w:r>
    </w:p>
    <w:bookmarkEnd w:id="2"/>
    <w:p w:rsidR="00D21FBA" w:rsidRPr="00F61A9E" w:rsidRDefault="00D21FBA" w:rsidP="00971258">
      <w:pPr>
        <w:spacing w:after="0" w:line="240" w:lineRule="auto"/>
        <w:rPr>
          <w:rStyle w:val="Hyperlink"/>
          <w:rFonts w:ascii="Arial" w:hAnsi="Arial" w:cs="Arial"/>
          <w:color w:val="000000" w:themeColor="text1"/>
          <w:sz w:val="24"/>
          <w:szCs w:val="24"/>
          <w:u w:val="none"/>
        </w:rPr>
      </w:pPr>
    </w:p>
    <w:sectPr w:rsidR="00D21FBA" w:rsidRPr="00F61A9E" w:rsidSect="009F3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2A5"/>
    <w:multiLevelType w:val="multilevel"/>
    <w:tmpl w:val="041C0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6D5251"/>
    <w:multiLevelType w:val="hybridMultilevel"/>
    <w:tmpl w:val="22CE90FA"/>
    <w:lvl w:ilvl="0" w:tplc="806C32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435EA"/>
    <w:multiLevelType w:val="multilevel"/>
    <w:tmpl w:val="041C0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464244"/>
    <w:multiLevelType w:val="hybridMultilevel"/>
    <w:tmpl w:val="E016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41D90"/>
    <w:multiLevelType w:val="multilevel"/>
    <w:tmpl w:val="041C0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5821DC"/>
    <w:multiLevelType w:val="hybridMultilevel"/>
    <w:tmpl w:val="78445196"/>
    <w:lvl w:ilvl="0" w:tplc="89A298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C43BC"/>
    <w:multiLevelType w:val="multilevel"/>
    <w:tmpl w:val="041C0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AC1E4E"/>
    <w:multiLevelType w:val="multilevel"/>
    <w:tmpl w:val="041C0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7D61D2"/>
    <w:multiLevelType w:val="multilevel"/>
    <w:tmpl w:val="041C0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2855EA"/>
    <w:multiLevelType w:val="multilevel"/>
    <w:tmpl w:val="041C0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F922CA"/>
    <w:multiLevelType w:val="multilevel"/>
    <w:tmpl w:val="AB12879A"/>
    <w:lvl w:ilvl="0">
      <w:start w:val="1"/>
      <w:numFmt w:val="decimal"/>
      <w:lvlText w:val="%1."/>
      <w:lvlJc w:val="left"/>
      <w:pPr>
        <w:ind w:left="360" w:hanging="360"/>
      </w:pPr>
      <w:rPr>
        <w:rFonts w:hint="default"/>
        <w:b/>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2615FFC"/>
    <w:multiLevelType w:val="multilevel"/>
    <w:tmpl w:val="0122AE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D8481F"/>
    <w:multiLevelType w:val="multilevel"/>
    <w:tmpl w:val="BE3CBCB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92B2EEF"/>
    <w:multiLevelType w:val="hybridMultilevel"/>
    <w:tmpl w:val="3716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7A15D6"/>
    <w:multiLevelType w:val="hybridMultilevel"/>
    <w:tmpl w:val="EE164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0"/>
  </w:num>
  <w:num w:numId="5">
    <w:abstractNumId w:val="13"/>
  </w:num>
  <w:num w:numId="6">
    <w:abstractNumId w:val="8"/>
  </w:num>
  <w:num w:numId="7">
    <w:abstractNumId w:val="0"/>
  </w:num>
  <w:num w:numId="8">
    <w:abstractNumId w:val="7"/>
  </w:num>
  <w:num w:numId="9">
    <w:abstractNumId w:val="9"/>
  </w:num>
  <w:num w:numId="10">
    <w:abstractNumId w:val="4"/>
  </w:num>
  <w:num w:numId="11">
    <w:abstractNumId w:val="2"/>
  </w:num>
  <w:num w:numId="12">
    <w:abstractNumId w:val="6"/>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09"/>
    <w:rsid w:val="00004E2B"/>
    <w:rsid w:val="0001678C"/>
    <w:rsid w:val="00033C8B"/>
    <w:rsid w:val="00034F0C"/>
    <w:rsid w:val="000367DD"/>
    <w:rsid w:val="000475F6"/>
    <w:rsid w:val="00052609"/>
    <w:rsid w:val="0005455E"/>
    <w:rsid w:val="00060F69"/>
    <w:rsid w:val="00062097"/>
    <w:rsid w:val="00065F78"/>
    <w:rsid w:val="00073F58"/>
    <w:rsid w:val="00074E5A"/>
    <w:rsid w:val="000855D5"/>
    <w:rsid w:val="000A05E3"/>
    <w:rsid w:val="000A1CC3"/>
    <w:rsid w:val="000E01FA"/>
    <w:rsid w:val="000F2952"/>
    <w:rsid w:val="00104013"/>
    <w:rsid w:val="00125F52"/>
    <w:rsid w:val="00182A23"/>
    <w:rsid w:val="00187C09"/>
    <w:rsid w:val="001C5F64"/>
    <w:rsid w:val="00211114"/>
    <w:rsid w:val="00217025"/>
    <w:rsid w:val="0021785D"/>
    <w:rsid w:val="00223F3C"/>
    <w:rsid w:val="00227004"/>
    <w:rsid w:val="00234C47"/>
    <w:rsid w:val="00236501"/>
    <w:rsid w:val="00246C0E"/>
    <w:rsid w:val="0024796D"/>
    <w:rsid w:val="00250E5B"/>
    <w:rsid w:val="00260214"/>
    <w:rsid w:val="002902D1"/>
    <w:rsid w:val="00297DAD"/>
    <w:rsid w:val="002A1465"/>
    <w:rsid w:val="002A6E6B"/>
    <w:rsid w:val="002C0806"/>
    <w:rsid w:val="002F0553"/>
    <w:rsid w:val="002F3706"/>
    <w:rsid w:val="003211C6"/>
    <w:rsid w:val="00323838"/>
    <w:rsid w:val="0034029A"/>
    <w:rsid w:val="00347FF4"/>
    <w:rsid w:val="00355B5B"/>
    <w:rsid w:val="00356982"/>
    <w:rsid w:val="00361629"/>
    <w:rsid w:val="00392353"/>
    <w:rsid w:val="003A644A"/>
    <w:rsid w:val="003A69F2"/>
    <w:rsid w:val="003B3CCD"/>
    <w:rsid w:val="003C6DE9"/>
    <w:rsid w:val="003D27BD"/>
    <w:rsid w:val="003D3A72"/>
    <w:rsid w:val="003E03F3"/>
    <w:rsid w:val="003F0254"/>
    <w:rsid w:val="003F0EFF"/>
    <w:rsid w:val="00406DD7"/>
    <w:rsid w:val="00415F24"/>
    <w:rsid w:val="0042061F"/>
    <w:rsid w:val="00422854"/>
    <w:rsid w:val="004307BF"/>
    <w:rsid w:val="00435D2F"/>
    <w:rsid w:val="004560A5"/>
    <w:rsid w:val="00470456"/>
    <w:rsid w:val="00481347"/>
    <w:rsid w:val="00485202"/>
    <w:rsid w:val="004A17FB"/>
    <w:rsid w:val="004A7584"/>
    <w:rsid w:val="004A783A"/>
    <w:rsid w:val="004B2829"/>
    <w:rsid w:val="004E6D9B"/>
    <w:rsid w:val="005030C9"/>
    <w:rsid w:val="005040FD"/>
    <w:rsid w:val="00504247"/>
    <w:rsid w:val="00533C0D"/>
    <w:rsid w:val="00534177"/>
    <w:rsid w:val="00534B44"/>
    <w:rsid w:val="005548AB"/>
    <w:rsid w:val="00560186"/>
    <w:rsid w:val="00582296"/>
    <w:rsid w:val="005857F0"/>
    <w:rsid w:val="0059177C"/>
    <w:rsid w:val="00597187"/>
    <w:rsid w:val="00597279"/>
    <w:rsid w:val="005B5542"/>
    <w:rsid w:val="005B7397"/>
    <w:rsid w:val="00606BD1"/>
    <w:rsid w:val="00615624"/>
    <w:rsid w:val="00624689"/>
    <w:rsid w:val="0063754E"/>
    <w:rsid w:val="00645A67"/>
    <w:rsid w:val="006A1019"/>
    <w:rsid w:val="006A121E"/>
    <w:rsid w:val="006B1419"/>
    <w:rsid w:val="006B7B25"/>
    <w:rsid w:val="006C52E2"/>
    <w:rsid w:val="006C66B0"/>
    <w:rsid w:val="006D6203"/>
    <w:rsid w:val="006F203D"/>
    <w:rsid w:val="007123B4"/>
    <w:rsid w:val="00714492"/>
    <w:rsid w:val="00720504"/>
    <w:rsid w:val="0072494C"/>
    <w:rsid w:val="00731921"/>
    <w:rsid w:val="007343DC"/>
    <w:rsid w:val="00740451"/>
    <w:rsid w:val="00743C32"/>
    <w:rsid w:val="007444F4"/>
    <w:rsid w:val="00766BC1"/>
    <w:rsid w:val="0077634A"/>
    <w:rsid w:val="00783148"/>
    <w:rsid w:val="007A1210"/>
    <w:rsid w:val="007A1311"/>
    <w:rsid w:val="007A3310"/>
    <w:rsid w:val="007A6329"/>
    <w:rsid w:val="007A6E27"/>
    <w:rsid w:val="007C3744"/>
    <w:rsid w:val="007C428E"/>
    <w:rsid w:val="007C4CF2"/>
    <w:rsid w:val="007C78AF"/>
    <w:rsid w:val="007D5923"/>
    <w:rsid w:val="00816FA1"/>
    <w:rsid w:val="00817B95"/>
    <w:rsid w:val="008338E6"/>
    <w:rsid w:val="00840936"/>
    <w:rsid w:val="00857FE9"/>
    <w:rsid w:val="00871F49"/>
    <w:rsid w:val="00892548"/>
    <w:rsid w:val="00896AFB"/>
    <w:rsid w:val="008C18DF"/>
    <w:rsid w:val="008E1F69"/>
    <w:rsid w:val="00907F57"/>
    <w:rsid w:val="00912F4E"/>
    <w:rsid w:val="00915B46"/>
    <w:rsid w:val="00917A2B"/>
    <w:rsid w:val="00921876"/>
    <w:rsid w:val="00922F50"/>
    <w:rsid w:val="009302B1"/>
    <w:rsid w:val="0096616A"/>
    <w:rsid w:val="00971258"/>
    <w:rsid w:val="009934AC"/>
    <w:rsid w:val="00995987"/>
    <w:rsid w:val="009A6CB5"/>
    <w:rsid w:val="009A7C6A"/>
    <w:rsid w:val="009B5937"/>
    <w:rsid w:val="009D2A52"/>
    <w:rsid w:val="009E2E2F"/>
    <w:rsid w:val="009F30DC"/>
    <w:rsid w:val="00A11E5B"/>
    <w:rsid w:val="00A364F8"/>
    <w:rsid w:val="00A40ADD"/>
    <w:rsid w:val="00A42065"/>
    <w:rsid w:val="00AA0239"/>
    <w:rsid w:val="00AA2A5D"/>
    <w:rsid w:val="00AB560B"/>
    <w:rsid w:val="00AC3985"/>
    <w:rsid w:val="00B166FB"/>
    <w:rsid w:val="00B22110"/>
    <w:rsid w:val="00B23AB0"/>
    <w:rsid w:val="00B27542"/>
    <w:rsid w:val="00B318BB"/>
    <w:rsid w:val="00B34384"/>
    <w:rsid w:val="00B3631C"/>
    <w:rsid w:val="00B4083F"/>
    <w:rsid w:val="00B47D7E"/>
    <w:rsid w:val="00B54C1B"/>
    <w:rsid w:val="00B73555"/>
    <w:rsid w:val="00B81F6D"/>
    <w:rsid w:val="00B979DC"/>
    <w:rsid w:val="00BC0C07"/>
    <w:rsid w:val="00BC10E9"/>
    <w:rsid w:val="00BC4CF4"/>
    <w:rsid w:val="00BD6E73"/>
    <w:rsid w:val="00C21D7E"/>
    <w:rsid w:val="00C23F2D"/>
    <w:rsid w:val="00C37D92"/>
    <w:rsid w:val="00C37E55"/>
    <w:rsid w:val="00C6598C"/>
    <w:rsid w:val="00C76549"/>
    <w:rsid w:val="00C775BA"/>
    <w:rsid w:val="00C965BA"/>
    <w:rsid w:val="00CB4F96"/>
    <w:rsid w:val="00CE551D"/>
    <w:rsid w:val="00CE7069"/>
    <w:rsid w:val="00CF74D6"/>
    <w:rsid w:val="00D0429C"/>
    <w:rsid w:val="00D13F59"/>
    <w:rsid w:val="00D21FBA"/>
    <w:rsid w:val="00D32328"/>
    <w:rsid w:val="00D436E3"/>
    <w:rsid w:val="00D44F9C"/>
    <w:rsid w:val="00D50A0A"/>
    <w:rsid w:val="00D62196"/>
    <w:rsid w:val="00D64E09"/>
    <w:rsid w:val="00D94B60"/>
    <w:rsid w:val="00D95E1B"/>
    <w:rsid w:val="00D97EF6"/>
    <w:rsid w:val="00DC68E2"/>
    <w:rsid w:val="00DE6B18"/>
    <w:rsid w:val="00DF00EC"/>
    <w:rsid w:val="00DF4703"/>
    <w:rsid w:val="00DF711C"/>
    <w:rsid w:val="00E15B46"/>
    <w:rsid w:val="00E3056F"/>
    <w:rsid w:val="00E42330"/>
    <w:rsid w:val="00E46581"/>
    <w:rsid w:val="00E46EE4"/>
    <w:rsid w:val="00E51473"/>
    <w:rsid w:val="00E675D5"/>
    <w:rsid w:val="00E80661"/>
    <w:rsid w:val="00E87BA0"/>
    <w:rsid w:val="00E902B5"/>
    <w:rsid w:val="00EA7F9D"/>
    <w:rsid w:val="00EB5C25"/>
    <w:rsid w:val="00EF5DFA"/>
    <w:rsid w:val="00F2494D"/>
    <w:rsid w:val="00F275E2"/>
    <w:rsid w:val="00F33DF9"/>
    <w:rsid w:val="00F450BF"/>
    <w:rsid w:val="00F61A9E"/>
    <w:rsid w:val="00F66A26"/>
    <w:rsid w:val="00F731B2"/>
    <w:rsid w:val="00F93C0F"/>
    <w:rsid w:val="00FC68EF"/>
    <w:rsid w:val="00FC7490"/>
    <w:rsid w:val="00FE38F8"/>
    <w:rsid w:val="00FE47CD"/>
    <w:rsid w:val="00FF1F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FA6FC-DDB5-43E8-A87E-DC30A48E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DC"/>
  </w:style>
  <w:style w:type="paragraph" w:styleId="Heading1">
    <w:name w:val="heading 1"/>
    <w:basedOn w:val="Normal"/>
    <w:next w:val="Normal"/>
    <w:link w:val="Heading1Char"/>
    <w:uiPriority w:val="9"/>
    <w:qFormat/>
    <w:rsid w:val="00533C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B59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9F2"/>
    <w:pPr>
      <w:ind w:left="720"/>
      <w:contextualSpacing/>
    </w:pPr>
  </w:style>
  <w:style w:type="character" w:styleId="Hyperlink">
    <w:name w:val="Hyperlink"/>
    <w:basedOn w:val="DefaultParagraphFont"/>
    <w:uiPriority w:val="99"/>
    <w:unhideWhenUsed/>
    <w:rsid w:val="006B7B25"/>
    <w:rPr>
      <w:color w:val="0563C1" w:themeColor="hyperlink"/>
      <w:u w:val="single"/>
    </w:rPr>
  </w:style>
  <w:style w:type="character" w:customStyle="1" w:styleId="UnresolvedMention1">
    <w:name w:val="Unresolved Mention1"/>
    <w:basedOn w:val="DefaultParagraphFont"/>
    <w:uiPriority w:val="99"/>
    <w:semiHidden/>
    <w:unhideWhenUsed/>
    <w:rsid w:val="006B7B25"/>
    <w:rPr>
      <w:color w:val="808080"/>
      <w:shd w:val="clear" w:color="auto" w:fill="E6E6E6"/>
    </w:rPr>
  </w:style>
  <w:style w:type="paragraph" w:styleId="BalloonText">
    <w:name w:val="Balloon Text"/>
    <w:basedOn w:val="Normal"/>
    <w:link w:val="BalloonTextChar"/>
    <w:uiPriority w:val="99"/>
    <w:semiHidden/>
    <w:unhideWhenUsed/>
    <w:rsid w:val="0072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94C"/>
    <w:rPr>
      <w:rFonts w:ascii="Segoe UI" w:hAnsi="Segoe UI" w:cs="Segoe UI"/>
      <w:sz w:val="18"/>
      <w:szCs w:val="18"/>
    </w:rPr>
  </w:style>
  <w:style w:type="character" w:customStyle="1" w:styleId="Heading3Char">
    <w:name w:val="Heading 3 Char"/>
    <w:basedOn w:val="DefaultParagraphFont"/>
    <w:link w:val="Heading3"/>
    <w:uiPriority w:val="9"/>
    <w:rsid w:val="009B593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33C0D"/>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C21D7E"/>
    <w:rPr>
      <w:color w:val="605E5C"/>
      <w:shd w:val="clear" w:color="auto" w:fill="E1DFDD"/>
    </w:rPr>
  </w:style>
  <w:style w:type="character" w:styleId="FollowedHyperlink">
    <w:name w:val="FollowedHyperlink"/>
    <w:basedOn w:val="DefaultParagraphFont"/>
    <w:uiPriority w:val="99"/>
    <w:semiHidden/>
    <w:unhideWhenUsed/>
    <w:rsid w:val="00D0429C"/>
    <w:rPr>
      <w:color w:val="954F72" w:themeColor="followedHyperlink"/>
      <w:u w:val="single"/>
    </w:rPr>
  </w:style>
  <w:style w:type="character" w:customStyle="1" w:styleId="UnresolvedMention">
    <w:name w:val="Unresolved Mention"/>
    <w:basedOn w:val="DefaultParagraphFont"/>
    <w:uiPriority w:val="99"/>
    <w:semiHidden/>
    <w:unhideWhenUsed/>
    <w:rsid w:val="00B27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3400">
      <w:bodyDiv w:val="1"/>
      <w:marLeft w:val="0"/>
      <w:marRight w:val="0"/>
      <w:marTop w:val="0"/>
      <w:marBottom w:val="0"/>
      <w:divBdr>
        <w:top w:val="none" w:sz="0" w:space="0" w:color="auto"/>
        <w:left w:val="none" w:sz="0" w:space="0" w:color="auto"/>
        <w:bottom w:val="none" w:sz="0" w:space="0" w:color="auto"/>
        <w:right w:val="none" w:sz="0" w:space="0" w:color="auto"/>
      </w:divBdr>
    </w:div>
    <w:div w:id="311906103">
      <w:bodyDiv w:val="1"/>
      <w:marLeft w:val="0"/>
      <w:marRight w:val="0"/>
      <w:marTop w:val="0"/>
      <w:marBottom w:val="0"/>
      <w:divBdr>
        <w:top w:val="none" w:sz="0" w:space="0" w:color="auto"/>
        <w:left w:val="none" w:sz="0" w:space="0" w:color="auto"/>
        <w:bottom w:val="none" w:sz="0" w:space="0" w:color="auto"/>
        <w:right w:val="none" w:sz="0" w:space="0" w:color="auto"/>
      </w:divBdr>
    </w:div>
    <w:div w:id="357321701">
      <w:bodyDiv w:val="1"/>
      <w:marLeft w:val="0"/>
      <w:marRight w:val="0"/>
      <w:marTop w:val="0"/>
      <w:marBottom w:val="0"/>
      <w:divBdr>
        <w:top w:val="none" w:sz="0" w:space="0" w:color="auto"/>
        <w:left w:val="none" w:sz="0" w:space="0" w:color="auto"/>
        <w:bottom w:val="none" w:sz="0" w:space="0" w:color="auto"/>
        <w:right w:val="none" w:sz="0" w:space="0" w:color="auto"/>
      </w:divBdr>
      <w:divsChild>
        <w:div w:id="1501582990">
          <w:marLeft w:val="0"/>
          <w:marRight w:val="0"/>
          <w:marTop w:val="0"/>
          <w:marBottom w:val="0"/>
          <w:divBdr>
            <w:top w:val="none" w:sz="0" w:space="0" w:color="auto"/>
            <w:left w:val="none" w:sz="0" w:space="0" w:color="auto"/>
            <w:bottom w:val="none" w:sz="0" w:space="0" w:color="auto"/>
            <w:right w:val="none" w:sz="0" w:space="0" w:color="auto"/>
          </w:divBdr>
        </w:div>
      </w:divsChild>
    </w:div>
    <w:div w:id="369843347">
      <w:bodyDiv w:val="1"/>
      <w:marLeft w:val="0"/>
      <w:marRight w:val="0"/>
      <w:marTop w:val="0"/>
      <w:marBottom w:val="0"/>
      <w:divBdr>
        <w:top w:val="none" w:sz="0" w:space="0" w:color="auto"/>
        <w:left w:val="none" w:sz="0" w:space="0" w:color="auto"/>
        <w:bottom w:val="none" w:sz="0" w:space="0" w:color="auto"/>
        <w:right w:val="none" w:sz="0" w:space="0" w:color="auto"/>
      </w:divBdr>
      <w:divsChild>
        <w:div w:id="362444856">
          <w:marLeft w:val="0"/>
          <w:marRight w:val="0"/>
          <w:marTop w:val="0"/>
          <w:marBottom w:val="0"/>
          <w:divBdr>
            <w:top w:val="none" w:sz="0" w:space="0" w:color="auto"/>
            <w:left w:val="none" w:sz="0" w:space="0" w:color="auto"/>
            <w:bottom w:val="none" w:sz="0" w:space="0" w:color="auto"/>
            <w:right w:val="none" w:sz="0" w:space="0" w:color="auto"/>
          </w:divBdr>
          <w:divsChild>
            <w:div w:id="1968046311">
              <w:marLeft w:val="0"/>
              <w:marRight w:val="0"/>
              <w:marTop w:val="0"/>
              <w:marBottom w:val="0"/>
              <w:divBdr>
                <w:top w:val="none" w:sz="0" w:space="0" w:color="auto"/>
                <w:left w:val="none" w:sz="0" w:space="0" w:color="auto"/>
                <w:bottom w:val="none" w:sz="0" w:space="0" w:color="auto"/>
                <w:right w:val="none" w:sz="0" w:space="0" w:color="auto"/>
              </w:divBdr>
              <w:divsChild>
                <w:div w:id="374736586">
                  <w:marLeft w:val="0"/>
                  <w:marRight w:val="0"/>
                  <w:marTop w:val="0"/>
                  <w:marBottom w:val="0"/>
                  <w:divBdr>
                    <w:top w:val="none" w:sz="0" w:space="0" w:color="auto"/>
                    <w:left w:val="none" w:sz="0" w:space="0" w:color="auto"/>
                    <w:bottom w:val="none" w:sz="0" w:space="0" w:color="auto"/>
                    <w:right w:val="none" w:sz="0" w:space="0" w:color="auto"/>
                  </w:divBdr>
                  <w:divsChild>
                    <w:div w:id="64570980">
                      <w:marLeft w:val="0"/>
                      <w:marRight w:val="0"/>
                      <w:marTop w:val="0"/>
                      <w:marBottom w:val="0"/>
                      <w:divBdr>
                        <w:top w:val="none" w:sz="0" w:space="0" w:color="auto"/>
                        <w:left w:val="none" w:sz="0" w:space="0" w:color="auto"/>
                        <w:bottom w:val="none" w:sz="0" w:space="0" w:color="auto"/>
                        <w:right w:val="none" w:sz="0" w:space="0" w:color="auto"/>
                      </w:divBdr>
                      <w:divsChild>
                        <w:div w:id="1326787507">
                          <w:marLeft w:val="0"/>
                          <w:marRight w:val="0"/>
                          <w:marTop w:val="0"/>
                          <w:marBottom w:val="0"/>
                          <w:divBdr>
                            <w:top w:val="none" w:sz="0" w:space="0" w:color="auto"/>
                            <w:left w:val="none" w:sz="0" w:space="0" w:color="auto"/>
                            <w:bottom w:val="none" w:sz="0" w:space="0" w:color="auto"/>
                            <w:right w:val="none" w:sz="0" w:space="0" w:color="auto"/>
                          </w:divBdr>
                          <w:divsChild>
                            <w:div w:id="1526098119">
                              <w:marLeft w:val="0"/>
                              <w:marRight w:val="0"/>
                              <w:marTop w:val="0"/>
                              <w:marBottom w:val="0"/>
                              <w:divBdr>
                                <w:top w:val="none" w:sz="0" w:space="0" w:color="auto"/>
                                <w:left w:val="none" w:sz="0" w:space="0" w:color="auto"/>
                                <w:bottom w:val="none" w:sz="0" w:space="0" w:color="auto"/>
                                <w:right w:val="none" w:sz="0" w:space="0" w:color="auto"/>
                              </w:divBdr>
                              <w:divsChild>
                                <w:div w:id="394395777">
                                  <w:marLeft w:val="0"/>
                                  <w:marRight w:val="0"/>
                                  <w:marTop w:val="0"/>
                                  <w:marBottom w:val="0"/>
                                  <w:divBdr>
                                    <w:top w:val="none" w:sz="0" w:space="0" w:color="auto"/>
                                    <w:left w:val="none" w:sz="0" w:space="0" w:color="auto"/>
                                    <w:bottom w:val="none" w:sz="0" w:space="0" w:color="auto"/>
                                    <w:right w:val="none" w:sz="0" w:space="0" w:color="auto"/>
                                  </w:divBdr>
                                  <w:divsChild>
                                    <w:div w:id="1676810582">
                                      <w:marLeft w:val="0"/>
                                      <w:marRight w:val="0"/>
                                      <w:marTop w:val="0"/>
                                      <w:marBottom w:val="0"/>
                                      <w:divBdr>
                                        <w:top w:val="none" w:sz="0" w:space="0" w:color="auto"/>
                                        <w:left w:val="none" w:sz="0" w:space="0" w:color="auto"/>
                                        <w:bottom w:val="none" w:sz="0" w:space="0" w:color="auto"/>
                                        <w:right w:val="none" w:sz="0" w:space="0" w:color="auto"/>
                                      </w:divBdr>
                                      <w:divsChild>
                                        <w:div w:id="938607232">
                                          <w:marLeft w:val="0"/>
                                          <w:marRight w:val="0"/>
                                          <w:marTop w:val="0"/>
                                          <w:marBottom w:val="0"/>
                                          <w:divBdr>
                                            <w:top w:val="none" w:sz="0" w:space="0" w:color="auto"/>
                                            <w:left w:val="none" w:sz="0" w:space="0" w:color="auto"/>
                                            <w:bottom w:val="none" w:sz="0" w:space="0" w:color="auto"/>
                                            <w:right w:val="none" w:sz="0" w:space="0" w:color="auto"/>
                                          </w:divBdr>
                                          <w:divsChild>
                                            <w:div w:id="2138720202">
                                              <w:marLeft w:val="0"/>
                                              <w:marRight w:val="0"/>
                                              <w:marTop w:val="0"/>
                                              <w:marBottom w:val="0"/>
                                              <w:divBdr>
                                                <w:top w:val="none" w:sz="0" w:space="0" w:color="auto"/>
                                                <w:left w:val="none" w:sz="0" w:space="0" w:color="auto"/>
                                                <w:bottom w:val="none" w:sz="0" w:space="0" w:color="auto"/>
                                                <w:right w:val="none" w:sz="0" w:space="0" w:color="auto"/>
                                              </w:divBdr>
                                              <w:divsChild>
                                                <w:div w:id="1670012541">
                                                  <w:marLeft w:val="0"/>
                                                  <w:marRight w:val="0"/>
                                                  <w:marTop w:val="0"/>
                                                  <w:marBottom w:val="0"/>
                                                  <w:divBdr>
                                                    <w:top w:val="none" w:sz="0" w:space="0" w:color="auto"/>
                                                    <w:left w:val="none" w:sz="0" w:space="0" w:color="auto"/>
                                                    <w:bottom w:val="none" w:sz="0" w:space="0" w:color="auto"/>
                                                    <w:right w:val="none" w:sz="0" w:space="0" w:color="auto"/>
                                                  </w:divBdr>
                                                  <w:divsChild>
                                                    <w:div w:id="1558277060">
                                                      <w:marLeft w:val="0"/>
                                                      <w:marRight w:val="0"/>
                                                      <w:marTop w:val="0"/>
                                                      <w:marBottom w:val="0"/>
                                                      <w:divBdr>
                                                        <w:top w:val="none" w:sz="0" w:space="0" w:color="auto"/>
                                                        <w:left w:val="none" w:sz="0" w:space="0" w:color="auto"/>
                                                        <w:bottom w:val="none" w:sz="0" w:space="0" w:color="auto"/>
                                                        <w:right w:val="none" w:sz="0" w:space="0" w:color="auto"/>
                                                      </w:divBdr>
                                                      <w:divsChild>
                                                        <w:div w:id="335497737">
                                                          <w:marLeft w:val="0"/>
                                                          <w:marRight w:val="0"/>
                                                          <w:marTop w:val="0"/>
                                                          <w:marBottom w:val="0"/>
                                                          <w:divBdr>
                                                            <w:top w:val="none" w:sz="0" w:space="0" w:color="auto"/>
                                                            <w:left w:val="none" w:sz="0" w:space="0" w:color="auto"/>
                                                            <w:bottom w:val="none" w:sz="0" w:space="0" w:color="auto"/>
                                                            <w:right w:val="none" w:sz="0" w:space="0" w:color="auto"/>
                                                          </w:divBdr>
                                                          <w:divsChild>
                                                            <w:div w:id="95059941">
                                                              <w:marLeft w:val="0"/>
                                                              <w:marRight w:val="0"/>
                                                              <w:marTop w:val="0"/>
                                                              <w:marBottom w:val="0"/>
                                                              <w:divBdr>
                                                                <w:top w:val="none" w:sz="0" w:space="0" w:color="auto"/>
                                                                <w:left w:val="none" w:sz="0" w:space="0" w:color="auto"/>
                                                                <w:bottom w:val="none" w:sz="0" w:space="0" w:color="auto"/>
                                                                <w:right w:val="none" w:sz="0" w:space="0" w:color="auto"/>
                                                              </w:divBdr>
                                                              <w:divsChild>
                                                                <w:div w:id="2099670514">
                                                                  <w:marLeft w:val="0"/>
                                                                  <w:marRight w:val="0"/>
                                                                  <w:marTop w:val="0"/>
                                                                  <w:marBottom w:val="0"/>
                                                                  <w:divBdr>
                                                                    <w:top w:val="none" w:sz="0" w:space="0" w:color="auto"/>
                                                                    <w:left w:val="none" w:sz="0" w:space="0" w:color="auto"/>
                                                                    <w:bottom w:val="none" w:sz="0" w:space="0" w:color="auto"/>
                                                                    <w:right w:val="none" w:sz="0" w:space="0" w:color="auto"/>
                                                                  </w:divBdr>
                                                                  <w:divsChild>
                                                                    <w:div w:id="911503865">
                                                                      <w:marLeft w:val="0"/>
                                                                      <w:marRight w:val="0"/>
                                                                      <w:marTop w:val="0"/>
                                                                      <w:marBottom w:val="0"/>
                                                                      <w:divBdr>
                                                                        <w:top w:val="none" w:sz="0" w:space="0" w:color="auto"/>
                                                                        <w:left w:val="none" w:sz="0" w:space="0" w:color="auto"/>
                                                                        <w:bottom w:val="none" w:sz="0" w:space="0" w:color="auto"/>
                                                                        <w:right w:val="none" w:sz="0" w:space="0" w:color="auto"/>
                                                                      </w:divBdr>
                                                                      <w:divsChild>
                                                                        <w:div w:id="1980263109">
                                                                          <w:marLeft w:val="0"/>
                                                                          <w:marRight w:val="0"/>
                                                                          <w:marTop w:val="0"/>
                                                                          <w:marBottom w:val="0"/>
                                                                          <w:divBdr>
                                                                            <w:top w:val="none" w:sz="0" w:space="0" w:color="auto"/>
                                                                            <w:left w:val="none" w:sz="0" w:space="0" w:color="auto"/>
                                                                            <w:bottom w:val="none" w:sz="0" w:space="0" w:color="auto"/>
                                                                            <w:right w:val="none" w:sz="0" w:space="0" w:color="auto"/>
                                                                          </w:divBdr>
                                                                          <w:divsChild>
                                                                            <w:div w:id="2046446387">
                                                                              <w:marLeft w:val="0"/>
                                                                              <w:marRight w:val="0"/>
                                                                              <w:marTop w:val="0"/>
                                                                              <w:marBottom w:val="0"/>
                                                                              <w:divBdr>
                                                                                <w:top w:val="none" w:sz="0" w:space="0" w:color="auto"/>
                                                                                <w:left w:val="none" w:sz="0" w:space="0" w:color="auto"/>
                                                                                <w:bottom w:val="none" w:sz="0" w:space="0" w:color="auto"/>
                                                                                <w:right w:val="none" w:sz="0" w:space="0" w:color="auto"/>
                                                                              </w:divBdr>
                                                                            </w:div>
                                                                          </w:divsChild>
                                                                        </w:div>
                                                                        <w:div w:id="911962864">
                                                                          <w:marLeft w:val="0"/>
                                                                          <w:marRight w:val="0"/>
                                                                          <w:marTop w:val="0"/>
                                                                          <w:marBottom w:val="0"/>
                                                                          <w:divBdr>
                                                                            <w:top w:val="none" w:sz="0" w:space="0" w:color="auto"/>
                                                                            <w:left w:val="none" w:sz="0" w:space="0" w:color="auto"/>
                                                                            <w:bottom w:val="none" w:sz="0" w:space="0" w:color="auto"/>
                                                                            <w:right w:val="none" w:sz="0" w:space="0" w:color="auto"/>
                                                                          </w:divBdr>
                                                                        </w:div>
                                                                        <w:div w:id="217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84756">
      <w:bodyDiv w:val="1"/>
      <w:marLeft w:val="0"/>
      <w:marRight w:val="0"/>
      <w:marTop w:val="0"/>
      <w:marBottom w:val="0"/>
      <w:divBdr>
        <w:top w:val="none" w:sz="0" w:space="0" w:color="auto"/>
        <w:left w:val="none" w:sz="0" w:space="0" w:color="auto"/>
        <w:bottom w:val="none" w:sz="0" w:space="0" w:color="auto"/>
        <w:right w:val="none" w:sz="0" w:space="0" w:color="auto"/>
      </w:divBdr>
      <w:divsChild>
        <w:div w:id="1587230321">
          <w:marLeft w:val="0"/>
          <w:marRight w:val="0"/>
          <w:marTop w:val="0"/>
          <w:marBottom w:val="0"/>
          <w:divBdr>
            <w:top w:val="none" w:sz="0" w:space="0" w:color="auto"/>
            <w:left w:val="none" w:sz="0" w:space="0" w:color="auto"/>
            <w:bottom w:val="none" w:sz="0" w:space="0" w:color="auto"/>
            <w:right w:val="none" w:sz="0" w:space="0" w:color="auto"/>
          </w:divBdr>
        </w:div>
        <w:div w:id="618027996">
          <w:marLeft w:val="0"/>
          <w:marRight w:val="0"/>
          <w:marTop w:val="0"/>
          <w:marBottom w:val="0"/>
          <w:divBdr>
            <w:top w:val="none" w:sz="0" w:space="0" w:color="auto"/>
            <w:left w:val="none" w:sz="0" w:space="0" w:color="auto"/>
            <w:bottom w:val="none" w:sz="0" w:space="0" w:color="auto"/>
            <w:right w:val="none" w:sz="0" w:space="0" w:color="auto"/>
          </w:divBdr>
        </w:div>
        <w:div w:id="619647101">
          <w:marLeft w:val="0"/>
          <w:marRight w:val="0"/>
          <w:marTop w:val="0"/>
          <w:marBottom w:val="0"/>
          <w:divBdr>
            <w:top w:val="none" w:sz="0" w:space="0" w:color="auto"/>
            <w:left w:val="none" w:sz="0" w:space="0" w:color="auto"/>
            <w:bottom w:val="none" w:sz="0" w:space="0" w:color="auto"/>
            <w:right w:val="none" w:sz="0" w:space="0" w:color="auto"/>
          </w:divBdr>
        </w:div>
        <w:div w:id="684481164">
          <w:marLeft w:val="0"/>
          <w:marRight w:val="0"/>
          <w:marTop w:val="0"/>
          <w:marBottom w:val="0"/>
          <w:divBdr>
            <w:top w:val="none" w:sz="0" w:space="0" w:color="auto"/>
            <w:left w:val="none" w:sz="0" w:space="0" w:color="auto"/>
            <w:bottom w:val="none" w:sz="0" w:space="0" w:color="auto"/>
            <w:right w:val="none" w:sz="0" w:space="0" w:color="auto"/>
          </w:divBdr>
        </w:div>
        <w:div w:id="1229340922">
          <w:marLeft w:val="0"/>
          <w:marRight w:val="0"/>
          <w:marTop w:val="0"/>
          <w:marBottom w:val="0"/>
          <w:divBdr>
            <w:top w:val="none" w:sz="0" w:space="0" w:color="auto"/>
            <w:left w:val="none" w:sz="0" w:space="0" w:color="auto"/>
            <w:bottom w:val="none" w:sz="0" w:space="0" w:color="auto"/>
            <w:right w:val="none" w:sz="0" w:space="0" w:color="auto"/>
          </w:divBdr>
        </w:div>
        <w:div w:id="1144154459">
          <w:marLeft w:val="0"/>
          <w:marRight w:val="0"/>
          <w:marTop w:val="0"/>
          <w:marBottom w:val="0"/>
          <w:divBdr>
            <w:top w:val="none" w:sz="0" w:space="0" w:color="auto"/>
            <w:left w:val="none" w:sz="0" w:space="0" w:color="auto"/>
            <w:bottom w:val="none" w:sz="0" w:space="0" w:color="auto"/>
            <w:right w:val="none" w:sz="0" w:space="0" w:color="auto"/>
          </w:divBdr>
        </w:div>
        <w:div w:id="34236636">
          <w:marLeft w:val="0"/>
          <w:marRight w:val="0"/>
          <w:marTop w:val="0"/>
          <w:marBottom w:val="0"/>
          <w:divBdr>
            <w:top w:val="none" w:sz="0" w:space="0" w:color="auto"/>
            <w:left w:val="none" w:sz="0" w:space="0" w:color="auto"/>
            <w:bottom w:val="none" w:sz="0" w:space="0" w:color="auto"/>
            <w:right w:val="none" w:sz="0" w:space="0" w:color="auto"/>
          </w:divBdr>
        </w:div>
        <w:div w:id="2024434577">
          <w:marLeft w:val="0"/>
          <w:marRight w:val="0"/>
          <w:marTop w:val="0"/>
          <w:marBottom w:val="0"/>
          <w:divBdr>
            <w:top w:val="none" w:sz="0" w:space="0" w:color="auto"/>
            <w:left w:val="none" w:sz="0" w:space="0" w:color="auto"/>
            <w:bottom w:val="none" w:sz="0" w:space="0" w:color="auto"/>
            <w:right w:val="none" w:sz="0" w:space="0" w:color="auto"/>
          </w:divBdr>
        </w:div>
        <w:div w:id="1424373312">
          <w:marLeft w:val="0"/>
          <w:marRight w:val="0"/>
          <w:marTop w:val="0"/>
          <w:marBottom w:val="0"/>
          <w:divBdr>
            <w:top w:val="none" w:sz="0" w:space="0" w:color="auto"/>
            <w:left w:val="none" w:sz="0" w:space="0" w:color="auto"/>
            <w:bottom w:val="none" w:sz="0" w:space="0" w:color="auto"/>
            <w:right w:val="none" w:sz="0" w:space="0" w:color="auto"/>
          </w:divBdr>
        </w:div>
        <w:div w:id="1277713503">
          <w:marLeft w:val="0"/>
          <w:marRight w:val="0"/>
          <w:marTop w:val="0"/>
          <w:marBottom w:val="0"/>
          <w:divBdr>
            <w:top w:val="none" w:sz="0" w:space="0" w:color="auto"/>
            <w:left w:val="none" w:sz="0" w:space="0" w:color="auto"/>
            <w:bottom w:val="none" w:sz="0" w:space="0" w:color="auto"/>
            <w:right w:val="none" w:sz="0" w:space="0" w:color="auto"/>
          </w:divBdr>
        </w:div>
        <w:div w:id="1309630648">
          <w:marLeft w:val="0"/>
          <w:marRight w:val="0"/>
          <w:marTop w:val="0"/>
          <w:marBottom w:val="0"/>
          <w:divBdr>
            <w:top w:val="none" w:sz="0" w:space="0" w:color="auto"/>
            <w:left w:val="none" w:sz="0" w:space="0" w:color="auto"/>
            <w:bottom w:val="none" w:sz="0" w:space="0" w:color="auto"/>
            <w:right w:val="none" w:sz="0" w:space="0" w:color="auto"/>
          </w:divBdr>
        </w:div>
        <w:div w:id="599263523">
          <w:marLeft w:val="0"/>
          <w:marRight w:val="0"/>
          <w:marTop w:val="0"/>
          <w:marBottom w:val="0"/>
          <w:divBdr>
            <w:top w:val="none" w:sz="0" w:space="0" w:color="auto"/>
            <w:left w:val="none" w:sz="0" w:space="0" w:color="auto"/>
            <w:bottom w:val="none" w:sz="0" w:space="0" w:color="auto"/>
            <w:right w:val="none" w:sz="0" w:space="0" w:color="auto"/>
          </w:divBdr>
        </w:div>
        <w:div w:id="176042403">
          <w:marLeft w:val="0"/>
          <w:marRight w:val="0"/>
          <w:marTop w:val="0"/>
          <w:marBottom w:val="0"/>
          <w:divBdr>
            <w:top w:val="none" w:sz="0" w:space="0" w:color="auto"/>
            <w:left w:val="none" w:sz="0" w:space="0" w:color="auto"/>
            <w:bottom w:val="none" w:sz="0" w:space="0" w:color="auto"/>
            <w:right w:val="none" w:sz="0" w:space="0" w:color="auto"/>
          </w:divBdr>
        </w:div>
        <w:div w:id="1467242078">
          <w:marLeft w:val="0"/>
          <w:marRight w:val="0"/>
          <w:marTop w:val="0"/>
          <w:marBottom w:val="0"/>
          <w:divBdr>
            <w:top w:val="none" w:sz="0" w:space="0" w:color="auto"/>
            <w:left w:val="none" w:sz="0" w:space="0" w:color="auto"/>
            <w:bottom w:val="none" w:sz="0" w:space="0" w:color="auto"/>
            <w:right w:val="none" w:sz="0" w:space="0" w:color="auto"/>
          </w:divBdr>
        </w:div>
        <w:div w:id="2112121276">
          <w:marLeft w:val="0"/>
          <w:marRight w:val="0"/>
          <w:marTop w:val="0"/>
          <w:marBottom w:val="0"/>
          <w:divBdr>
            <w:top w:val="none" w:sz="0" w:space="0" w:color="auto"/>
            <w:left w:val="none" w:sz="0" w:space="0" w:color="auto"/>
            <w:bottom w:val="none" w:sz="0" w:space="0" w:color="auto"/>
            <w:right w:val="none" w:sz="0" w:space="0" w:color="auto"/>
          </w:divBdr>
        </w:div>
        <w:div w:id="2056808960">
          <w:marLeft w:val="0"/>
          <w:marRight w:val="0"/>
          <w:marTop w:val="0"/>
          <w:marBottom w:val="0"/>
          <w:divBdr>
            <w:top w:val="none" w:sz="0" w:space="0" w:color="auto"/>
            <w:left w:val="none" w:sz="0" w:space="0" w:color="auto"/>
            <w:bottom w:val="none" w:sz="0" w:space="0" w:color="auto"/>
            <w:right w:val="none" w:sz="0" w:space="0" w:color="auto"/>
          </w:divBdr>
        </w:div>
        <w:div w:id="481313133">
          <w:marLeft w:val="0"/>
          <w:marRight w:val="0"/>
          <w:marTop w:val="0"/>
          <w:marBottom w:val="0"/>
          <w:divBdr>
            <w:top w:val="none" w:sz="0" w:space="0" w:color="auto"/>
            <w:left w:val="none" w:sz="0" w:space="0" w:color="auto"/>
            <w:bottom w:val="none" w:sz="0" w:space="0" w:color="auto"/>
            <w:right w:val="none" w:sz="0" w:space="0" w:color="auto"/>
          </w:divBdr>
        </w:div>
        <w:div w:id="190998649">
          <w:marLeft w:val="0"/>
          <w:marRight w:val="0"/>
          <w:marTop w:val="0"/>
          <w:marBottom w:val="0"/>
          <w:divBdr>
            <w:top w:val="none" w:sz="0" w:space="0" w:color="auto"/>
            <w:left w:val="none" w:sz="0" w:space="0" w:color="auto"/>
            <w:bottom w:val="none" w:sz="0" w:space="0" w:color="auto"/>
            <w:right w:val="none" w:sz="0" w:space="0" w:color="auto"/>
          </w:divBdr>
        </w:div>
        <w:div w:id="118424551">
          <w:marLeft w:val="0"/>
          <w:marRight w:val="0"/>
          <w:marTop w:val="0"/>
          <w:marBottom w:val="0"/>
          <w:divBdr>
            <w:top w:val="none" w:sz="0" w:space="0" w:color="auto"/>
            <w:left w:val="none" w:sz="0" w:space="0" w:color="auto"/>
            <w:bottom w:val="none" w:sz="0" w:space="0" w:color="auto"/>
            <w:right w:val="none" w:sz="0" w:space="0" w:color="auto"/>
          </w:divBdr>
        </w:div>
        <w:div w:id="1082604768">
          <w:marLeft w:val="0"/>
          <w:marRight w:val="0"/>
          <w:marTop w:val="0"/>
          <w:marBottom w:val="0"/>
          <w:divBdr>
            <w:top w:val="none" w:sz="0" w:space="0" w:color="auto"/>
            <w:left w:val="none" w:sz="0" w:space="0" w:color="auto"/>
            <w:bottom w:val="none" w:sz="0" w:space="0" w:color="auto"/>
            <w:right w:val="none" w:sz="0" w:space="0" w:color="auto"/>
          </w:divBdr>
        </w:div>
        <w:div w:id="2005863113">
          <w:marLeft w:val="0"/>
          <w:marRight w:val="0"/>
          <w:marTop w:val="0"/>
          <w:marBottom w:val="0"/>
          <w:divBdr>
            <w:top w:val="none" w:sz="0" w:space="0" w:color="auto"/>
            <w:left w:val="none" w:sz="0" w:space="0" w:color="auto"/>
            <w:bottom w:val="none" w:sz="0" w:space="0" w:color="auto"/>
            <w:right w:val="none" w:sz="0" w:space="0" w:color="auto"/>
          </w:divBdr>
        </w:div>
        <w:div w:id="1286695475">
          <w:marLeft w:val="0"/>
          <w:marRight w:val="0"/>
          <w:marTop w:val="0"/>
          <w:marBottom w:val="0"/>
          <w:divBdr>
            <w:top w:val="none" w:sz="0" w:space="0" w:color="auto"/>
            <w:left w:val="none" w:sz="0" w:space="0" w:color="auto"/>
            <w:bottom w:val="none" w:sz="0" w:space="0" w:color="auto"/>
            <w:right w:val="none" w:sz="0" w:space="0" w:color="auto"/>
          </w:divBdr>
        </w:div>
        <w:div w:id="1318146594">
          <w:marLeft w:val="0"/>
          <w:marRight w:val="0"/>
          <w:marTop w:val="0"/>
          <w:marBottom w:val="0"/>
          <w:divBdr>
            <w:top w:val="none" w:sz="0" w:space="0" w:color="auto"/>
            <w:left w:val="none" w:sz="0" w:space="0" w:color="auto"/>
            <w:bottom w:val="none" w:sz="0" w:space="0" w:color="auto"/>
            <w:right w:val="none" w:sz="0" w:space="0" w:color="auto"/>
          </w:divBdr>
        </w:div>
        <w:div w:id="85461696">
          <w:marLeft w:val="0"/>
          <w:marRight w:val="0"/>
          <w:marTop w:val="0"/>
          <w:marBottom w:val="0"/>
          <w:divBdr>
            <w:top w:val="none" w:sz="0" w:space="0" w:color="auto"/>
            <w:left w:val="none" w:sz="0" w:space="0" w:color="auto"/>
            <w:bottom w:val="none" w:sz="0" w:space="0" w:color="auto"/>
            <w:right w:val="none" w:sz="0" w:space="0" w:color="auto"/>
          </w:divBdr>
        </w:div>
        <w:div w:id="2103715344">
          <w:marLeft w:val="0"/>
          <w:marRight w:val="0"/>
          <w:marTop w:val="0"/>
          <w:marBottom w:val="0"/>
          <w:divBdr>
            <w:top w:val="none" w:sz="0" w:space="0" w:color="auto"/>
            <w:left w:val="none" w:sz="0" w:space="0" w:color="auto"/>
            <w:bottom w:val="none" w:sz="0" w:space="0" w:color="auto"/>
            <w:right w:val="none" w:sz="0" w:space="0" w:color="auto"/>
          </w:divBdr>
        </w:div>
        <w:div w:id="1433086950">
          <w:marLeft w:val="0"/>
          <w:marRight w:val="0"/>
          <w:marTop w:val="0"/>
          <w:marBottom w:val="0"/>
          <w:divBdr>
            <w:top w:val="none" w:sz="0" w:space="0" w:color="auto"/>
            <w:left w:val="none" w:sz="0" w:space="0" w:color="auto"/>
            <w:bottom w:val="none" w:sz="0" w:space="0" w:color="auto"/>
            <w:right w:val="none" w:sz="0" w:space="0" w:color="auto"/>
          </w:divBdr>
        </w:div>
        <w:div w:id="921791082">
          <w:marLeft w:val="0"/>
          <w:marRight w:val="0"/>
          <w:marTop w:val="0"/>
          <w:marBottom w:val="0"/>
          <w:divBdr>
            <w:top w:val="none" w:sz="0" w:space="0" w:color="auto"/>
            <w:left w:val="none" w:sz="0" w:space="0" w:color="auto"/>
            <w:bottom w:val="none" w:sz="0" w:space="0" w:color="auto"/>
            <w:right w:val="none" w:sz="0" w:space="0" w:color="auto"/>
          </w:divBdr>
        </w:div>
        <w:div w:id="161092151">
          <w:marLeft w:val="0"/>
          <w:marRight w:val="0"/>
          <w:marTop w:val="0"/>
          <w:marBottom w:val="0"/>
          <w:divBdr>
            <w:top w:val="none" w:sz="0" w:space="0" w:color="auto"/>
            <w:left w:val="none" w:sz="0" w:space="0" w:color="auto"/>
            <w:bottom w:val="none" w:sz="0" w:space="0" w:color="auto"/>
            <w:right w:val="none" w:sz="0" w:space="0" w:color="auto"/>
          </w:divBdr>
        </w:div>
        <w:div w:id="1480807413">
          <w:marLeft w:val="0"/>
          <w:marRight w:val="0"/>
          <w:marTop w:val="0"/>
          <w:marBottom w:val="0"/>
          <w:divBdr>
            <w:top w:val="none" w:sz="0" w:space="0" w:color="auto"/>
            <w:left w:val="none" w:sz="0" w:space="0" w:color="auto"/>
            <w:bottom w:val="none" w:sz="0" w:space="0" w:color="auto"/>
            <w:right w:val="none" w:sz="0" w:space="0" w:color="auto"/>
          </w:divBdr>
        </w:div>
        <w:div w:id="190385312">
          <w:marLeft w:val="0"/>
          <w:marRight w:val="0"/>
          <w:marTop w:val="0"/>
          <w:marBottom w:val="0"/>
          <w:divBdr>
            <w:top w:val="none" w:sz="0" w:space="0" w:color="auto"/>
            <w:left w:val="none" w:sz="0" w:space="0" w:color="auto"/>
            <w:bottom w:val="none" w:sz="0" w:space="0" w:color="auto"/>
            <w:right w:val="none" w:sz="0" w:space="0" w:color="auto"/>
          </w:divBdr>
        </w:div>
        <w:div w:id="1902641705">
          <w:marLeft w:val="0"/>
          <w:marRight w:val="0"/>
          <w:marTop w:val="0"/>
          <w:marBottom w:val="0"/>
          <w:divBdr>
            <w:top w:val="none" w:sz="0" w:space="0" w:color="auto"/>
            <w:left w:val="none" w:sz="0" w:space="0" w:color="auto"/>
            <w:bottom w:val="none" w:sz="0" w:space="0" w:color="auto"/>
            <w:right w:val="none" w:sz="0" w:space="0" w:color="auto"/>
          </w:divBdr>
        </w:div>
        <w:div w:id="2016880862">
          <w:marLeft w:val="0"/>
          <w:marRight w:val="0"/>
          <w:marTop w:val="0"/>
          <w:marBottom w:val="0"/>
          <w:divBdr>
            <w:top w:val="none" w:sz="0" w:space="0" w:color="auto"/>
            <w:left w:val="none" w:sz="0" w:space="0" w:color="auto"/>
            <w:bottom w:val="none" w:sz="0" w:space="0" w:color="auto"/>
            <w:right w:val="none" w:sz="0" w:space="0" w:color="auto"/>
          </w:divBdr>
        </w:div>
        <w:div w:id="1557398350">
          <w:marLeft w:val="0"/>
          <w:marRight w:val="0"/>
          <w:marTop w:val="0"/>
          <w:marBottom w:val="0"/>
          <w:divBdr>
            <w:top w:val="none" w:sz="0" w:space="0" w:color="auto"/>
            <w:left w:val="none" w:sz="0" w:space="0" w:color="auto"/>
            <w:bottom w:val="none" w:sz="0" w:space="0" w:color="auto"/>
            <w:right w:val="none" w:sz="0" w:space="0" w:color="auto"/>
          </w:divBdr>
        </w:div>
        <w:div w:id="1536430372">
          <w:marLeft w:val="0"/>
          <w:marRight w:val="0"/>
          <w:marTop w:val="0"/>
          <w:marBottom w:val="0"/>
          <w:divBdr>
            <w:top w:val="none" w:sz="0" w:space="0" w:color="auto"/>
            <w:left w:val="none" w:sz="0" w:space="0" w:color="auto"/>
            <w:bottom w:val="none" w:sz="0" w:space="0" w:color="auto"/>
            <w:right w:val="none" w:sz="0" w:space="0" w:color="auto"/>
          </w:divBdr>
        </w:div>
        <w:div w:id="399132466">
          <w:marLeft w:val="0"/>
          <w:marRight w:val="0"/>
          <w:marTop w:val="0"/>
          <w:marBottom w:val="0"/>
          <w:divBdr>
            <w:top w:val="none" w:sz="0" w:space="0" w:color="auto"/>
            <w:left w:val="none" w:sz="0" w:space="0" w:color="auto"/>
            <w:bottom w:val="none" w:sz="0" w:space="0" w:color="auto"/>
            <w:right w:val="none" w:sz="0" w:space="0" w:color="auto"/>
          </w:divBdr>
        </w:div>
        <w:div w:id="1405295793">
          <w:marLeft w:val="0"/>
          <w:marRight w:val="0"/>
          <w:marTop w:val="0"/>
          <w:marBottom w:val="0"/>
          <w:divBdr>
            <w:top w:val="none" w:sz="0" w:space="0" w:color="auto"/>
            <w:left w:val="none" w:sz="0" w:space="0" w:color="auto"/>
            <w:bottom w:val="none" w:sz="0" w:space="0" w:color="auto"/>
            <w:right w:val="none" w:sz="0" w:space="0" w:color="auto"/>
          </w:divBdr>
        </w:div>
        <w:div w:id="1368070997">
          <w:marLeft w:val="0"/>
          <w:marRight w:val="0"/>
          <w:marTop w:val="0"/>
          <w:marBottom w:val="0"/>
          <w:divBdr>
            <w:top w:val="none" w:sz="0" w:space="0" w:color="auto"/>
            <w:left w:val="none" w:sz="0" w:space="0" w:color="auto"/>
            <w:bottom w:val="none" w:sz="0" w:space="0" w:color="auto"/>
            <w:right w:val="none" w:sz="0" w:space="0" w:color="auto"/>
          </w:divBdr>
        </w:div>
        <w:div w:id="440875723">
          <w:marLeft w:val="0"/>
          <w:marRight w:val="0"/>
          <w:marTop w:val="0"/>
          <w:marBottom w:val="0"/>
          <w:divBdr>
            <w:top w:val="none" w:sz="0" w:space="0" w:color="auto"/>
            <w:left w:val="none" w:sz="0" w:space="0" w:color="auto"/>
            <w:bottom w:val="none" w:sz="0" w:space="0" w:color="auto"/>
            <w:right w:val="none" w:sz="0" w:space="0" w:color="auto"/>
          </w:divBdr>
        </w:div>
        <w:div w:id="602033427">
          <w:marLeft w:val="0"/>
          <w:marRight w:val="0"/>
          <w:marTop w:val="0"/>
          <w:marBottom w:val="0"/>
          <w:divBdr>
            <w:top w:val="none" w:sz="0" w:space="0" w:color="auto"/>
            <w:left w:val="none" w:sz="0" w:space="0" w:color="auto"/>
            <w:bottom w:val="none" w:sz="0" w:space="0" w:color="auto"/>
            <w:right w:val="none" w:sz="0" w:space="0" w:color="auto"/>
          </w:divBdr>
        </w:div>
        <w:div w:id="2028631585">
          <w:marLeft w:val="0"/>
          <w:marRight w:val="0"/>
          <w:marTop w:val="0"/>
          <w:marBottom w:val="0"/>
          <w:divBdr>
            <w:top w:val="none" w:sz="0" w:space="0" w:color="auto"/>
            <w:left w:val="none" w:sz="0" w:space="0" w:color="auto"/>
            <w:bottom w:val="none" w:sz="0" w:space="0" w:color="auto"/>
            <w:right w:val="none" w:sz="0" w:space="0" w:color="auto"/>
          </w:divBdr>
        </w:div>
        <w:div w:id="2109497066">
          <w:marLeft w:val="0"/>
          <w:marRight w:val="0"/>
          <w:marTop w:val="0"/>
          <w:marBottom w:val="0"/>
          <w:divBdr>
            <w:top w:val="none" w:sz="0" w:space="0" w:color="auto"/>
            <w:left w:val="none" w:sz="0" w:space="0" w:color="auto"/>
            <w:bottom w:val="none" w:sz="0" w:space="0" w:color="auto"/>
            <w:right w:val="none" w:sz="0" w:space="0" w:color="auto"/>
          </w:divBdr>
        </w:div>
        <w:div w:id="1797868240">
          <w:marLeft w:val="0"/>
          <w:marRight w:val="0"/>
          <w:marTop w:val="0"/>
          <w:marBottom w:val="0"/>
          <w:divBdr>
            <w:top w:val="none" w:sz="0" w:space="0" w:color="auto"/>
            <w:left w:val="none" w:sz="0" w:space="0" w:color="auto"/>
            <w:bottom w:val="none" w:sz="0" w:space="0" w:color="auto"/>
            <w:right w:val="none" w:sz="0" w:space="0" w:color="auto"/>
          </w:divBdr>
        </w:div>
        <w:div w:id="773595754">
          <w:marLeft w:val="0"/>
          <w:marRight w:val="0"/>
          <w:marTop w:val="0"/>
          <w:marBottom w:val="0"/>
          <w:divBdr>
            <w:top w:val="none" w:sz="0" w:space="0" w:color="auto"/>
            <w:left w:val="none" w:sz="0" w:space="0" w:color="auto"/>
            <w:bottom w:val="none" w:sz="0" w:space="0" w:color="auto"/>
            <w:right w:val="none" w:sz="0" w:space="0" w:color="auto"/>
          </w:divBdr>
        </w:div>
        <w:div w:id="1619604276">
          <w:marLeft w:val="0"/>
          <w:marRight w:val="0"/>
          <w:marTop w:val="0"/>
          <w:marBottom w:val="0"/>
          <w:divBdr>
            <w:top w:val="none" w:sz="0" w:space="0" w:color="auto"/>
            <w:left w:val="none" w:sz="0" w:space="0" w:color="auto"/>
            <w:bottom w:val="none" w:sz="0" w:space="0" w:color="auto"/>
            <w:right w:val="none" w:sz="0" w:space="0" w:color="auto"/>
          </w:divBdr>
        </w:div>
        <w:div w:id="2052149759">
          <w:marLeft w:val="0"/>
          <w:marRight w:val="0"/>
          <w:marTop w:val="0"/>
          <w:marBottom w:val="0"/>
          <w:divBdr>
            <w:top w:val="none" w:sz="0" w:space="0" w:color="auto"/>
            <w:left w:val="none" w:sz="0" w:space="0" w:color="auto"/>
            <w:bottom w:val="none" w:sz="0" w:space="0" w:color="auto"/>
            <w:right w:val="none" w:sz="0" w:space="0" w:color="auto"/>
          </w:divBdr>
        </w:div>
        <w:div w:id="959729492">
          <w:marLeft w:val="0"/>
          <w:marRight w:val="0"/>
          <w:marTop w:val="0"/>
          <w:marBottom w:val="0"/>
          <w:divBdr>
            <w:top w:val="none" w:sz="0" w:space="0" w:color="auto"/>
            <w:left w:val="none" w:sz="0" w:space="0" w:color="auto"/>
            <w:bottom w:val="none" w:sz="0" w:space="0" w:color="auto"/>
            <w:right w:val="none" w:sz="0" w:space="0" w:color="auto"/>
          </w:divBdr>
        </w:div>
        <w:div w:id="1721515126">
          <w:marLeft w:val="0"/>
          <w:marRight w:val="0"/>
          <w:marTop w:val="0"/>
          <w:marBottom w:val="0"/>
          <w:divBdr>
            <w:top w:val="none" w:sz="0" w:space="0" w:color="auto"/>
            <w:left w:val="none" w:sz="0" w:space="0" w:color="auto"/>
            <w:bottom w:val="none" w:sz="0" w:space="0" w:color="auto"/>
            <w:right w:val="none" w:sz="0" w:space="0" w:color="auto"/>
          </w:divBdr>
        </w:div>
        <w:div w:id="293412766">
          <w:marLeft w:val="0"/>
          <w:marRight w:val="0"/>
          <w:marTop w:val="0"/>
          <w:marBottom w:val="0"/>
          <w:divBdr>
            <w:top w:val="none" w:sz="0" w:space="0" w:color="auto"/>
            <w:left w:val="none" w:sz="0" w:space="0" w:color="auto"/>
            <w:bottom w:val="none" w:sz="0" w:space="0" w:color="auto"/>
            <w:right w:val="none" w:sz="0" w:space="0" w:color="auto"/>
          </w:divBdr>
        </w:div>
        <w:div w:id="2098020375">
          <w:marLeft w:val="0"/>
          <w:marRight w:val="0"/>
          <w:marTop w:val="0"/>
          <w:marBottom w:val="0"/>
          <w:divBdr>
            <w:top w:val="none" w:sz="0" w:space="0" w:color="auto"/>
            <w:left w:val="none" w:sz="0" w:space="0" w:color="auto"/>
            <w:bottom w:val="none" w:sz="0" w:space="0" w:color="auto"/>
            <w:right w:val="none" w:sz="0" w:space="0" w:color="auto"/>
          </w:divBdr>
        </w:div>
        <w:div w:id="1352098918">
          <w:marLeft w:val="0"/>
          <w:marRight w:val="0"/>
          <w:marTop w:val="0"/>
          <w:marBottom w:val="0"/>
          <w:divBdr>
            <w:top w:val="none" w:sz="0" w:space="0" w:color="auto"/>
            <w:left w:val="none" w:sz="0" w:space="0" w:color="auto"/>
            <w:bottom w:val="none" w:sz="0" w:space="0" w:color="auto"/>
            <w:right w:val="none" w:sz="0" w:space="0" w:color="auto"/>
          </w:divBdr>
        </w:div>
        <w:div w:id="1150249607">
          <w:marLeft w:val="0"/>
          <w:marRight w:val="0"/>
          <w:marTop w:val="0"/>
          <w:marBottom w:val="0"/>
          <w:divBdr>
            <w:top w:val="none" w:sz="0" w:space="0" w:color="auto"/>
            <w:left w:val="none" w:sz="0" w:space="0" w:color="auto"/>
            <w:bottom w:val="none" w:sz="0" w:space="0" w:color="auto"/>
            <w:right w:val="none" w:sz="0" w:space="0" w:color="auto"/>
          </w:divBdr>
        </w:div>
        <w:div w:id="1697657878">
          <w:marLeft w:val="0"/>
          <w:marRight w:val="0"/>
          <w:marTop w:val="0"/>
          <w:marBottom w:val="0"/>
          <w:divBdr>
            <w:top w:val="none" w:sz="0" w:space="0" w:color="auto"/>
            <w:left w:val="none" w:sz="0" w:space="0" w:color="auto"/>
            <w:bottom w:val="none" w:sz="0" w:space="0" w:color="auto"/>
            <w:right w:val="none" w:sz="0" w:space="0" w:color="auto"/>
          </w:divBdr>
        </w:div>
        <w:div w:id="1014571572">
          <w:marLeft w:val="0"/>
          <w:marRight w:val="0"/>
          <w:marTop w:val="0"/>
          <w:marBottom w:val="0"/>
          <w:divBdr>
            <w:top w:val="none" w:sz="0" w:space="0" w:color="auto"/>
            <w:left w:val="none" w:sz="0" w:space="0" w:color="auto"/>
            <w:bottom w:val="none" w:sz="0" w:space="0" w:color="auto"/>
            <w:right w:val="none" w:sz="0" w:space="0" w:color="auto"/>
          </w:divBdr>
        </w:div>
        <w:div w:id="1196191622">
          <w:marLeft w:val="0"/>
          <w:marRight w:val="0"/>
          <w:marTop w:val="0"/>
          <w:marBottom w:val="0"/>
          <w:divBdr>
            <w:top w:val="none" w:sz="0" w:space="0" w:color="auto"/>
            <w:left w:val="none" w:sz="0" w:space="0" w:color="auto"/>
            <w:bottom w:val="none" w:sz="0" w:space="0" w:color="auto"/>
            <w:right w:val="none" w:sz="0" w:space="0" w:color="auto"/>
          </w:divBdr>
        </w:div>
        <w:div w:id="277571478">
          <w:marLeft w:val="0"/>
          <w:marRight w:val="0"/>
          <w:marTop w:val="0"/>
          <w:marBottom w:val="0"/>
          <w:divBdr>
            <w:top w:val="none" w:sz="0" w:space="0" w:color="auto"/>
            <w:left w:val="none" w:sz="0" w:space="0" w:color="auto"/>
            <w:bottom w:val="none" w:sz="0" w:space="0" w:color="auto"/>
            <w:right w:val="none" w:sz="0" w:space="0" w:color="auto"/>
          </w:divBdr>
        </w:div>
        <w:div w:id="2119442004">
          <w:marLeft w:val="0"/>
          <w:marRight w:val="0"/>
          <w:marTop w:val="0"/>
          <w:marBottom w:val="0"/>
          <w:divBdr>
            <w:top w:val="none" w:sz="0" w:space="0" w:color="auto"/>
            <w:left w:val="none" w:sz="0" w:space="0" w:color="auto"/>
            <w:bottom w:val="none" w:sz="0" w:space="0" w:color="auto"/>
            <w:right w:val="none" w:sz="0" w:space="0" w:color="auto"/>
          </w:divBdr>
        </w:div>
        <w:div w:id="320306815">
          <w:marLeft w:val="0"/>
          <w:marRight w:val="0"/>
          <w:marTop w:val="0"/>
          <w:marBottom w:val="0"/>
          <w:divBdr>
            <w:top w:val="none" w:sz="0" w:space="0" w:color="auto"/>
            <w:left w:val="none" w:sz="0" w:space="0" w:color="auto"/>
            <w:bottom w:val="none" w:sz="0" w:space="0" w:color="auto"/>
            <w:right w:val="none" w:sz="0" w:space="0" w:color="auto"/>
          </w:divBdr>
        </w:div>
        <w:div w:id="1860897521">
          <w:marLeft w:val="0"/>
          <w:marRight w:val="0"/>
          <w:marTop w:val="0"/>
          <w:marBottom w:val="0"/>
          <w:divBdr>
            <w:top w:val="none" w:sz="0" w:space="0" w:color="auto"/>
            <w:left w:val="none" w:sz="0" w:space="0" w:color="auto"/>
            <w:bottom w:val="none" w:sz="0" w:space="0" w:color="auto"/>
            <w:right w:val="none" w:sz="0" w:space="0" w:color="auto"/>
          </w:divBdr>
        </w:div>
        <w:div w:id="1092240702">
          <w:marLeft w:val="0"/>
          <w:marRight w:val="0"/>
          <w:marTop w:val="0"/>
          <w:marBottom w:val="0"/>
          <w:divBdr>
            <w:top w:val="none" w:sz="0" w:space="0" w:color="auto"/>
            <w:left w:val="none" w:sz="0" w:space="0" w:color="auto"/>
            <w:bottom w:val="none" w:sz="0" w:space="0" w:color="auto"/>
            <w:right w:val="none" w:sz="0" w:space="0" w:color="auto"/>
          </w:divBdr>
        </w:div>
        <w:div w:id="1906987029">
          <w:marLeft w:val="0"/>
          <w:marRight w:val="0"/>
          <w:marTop w:val="0"/>
          <w:marBottom w:val="0"/>
          <w:divBdr>
            <w:top w:val="none" w:sz="0" w:space="0" w:color="auto"/>
            <w:left w:val="none" w:sz="0" w:space="0" w:color="auto"/>
            <w:bottom w:val="none" w:sz="0" w:space="0" w:color="auto"/>
            <w:right w:val="none" w:sz="0" w:space="0" w:color="auto"/>
          </w:divBdr>
        </w:div>
        <w:div w:id="1744183012">
          <w:marLeft w:val="0"/>
          <w:marRight w:val="0"/>
          <w:marTop w:val="0"/>
          <w:marBottom w:val="0"/>
          <w:divBdr>
            <w:top w:val="none" w:sz="0" w:space="0" w:color="auto"/>
            <w:left w:val="none" w:sz="0" w:space="0" w:color="auto"/>
            <w:bottom w:val="none" w:sz="0" w:space="0" w:color="auto"/>
            <w:right w:val="none" w:sz="0" w:space="0" w:color="auto"/>
          </w:divBdr>
        </w:div>
        <w:div w:id="739405325">
          <w:marLeft w:val="0"/>
          <w:marRight w:val="0"/>
          <w:marTop w:val="0"/>
          <w:marBottom w:val="0"/>
          <w:divBdr>
            <w:top w:val="none" w:sz="0" w:space="0" w:color="auto"/>
            <w:left w:val="none" w:sz="0" w:space="0" w:color="auto"/>
            <w:bottom w:val="none" w:sz="0" w:space="0" w:color="auto"/>
            <w:right w:val="none" w:sz="0" w:space="0" w:color="auto"/>
          </w:divBdr>
        </w:div>
        <w:div w:id="159003529">
          <w:marLeft w:val="0"/>
          <w:marRight w:val="0"/>
          <w:marTop w:val="0"/>
          <w:marBottom w:val="0"/>
          <w:divBdr>
            <w:top w:val="none" w:sz="0" w:space="0" w:color="auto"/>
            <w:left w:val="none" w:sz="0" w:space="0" w:color="auto"/>
            <w:bottom w:val="none" w:sz="0" w:space="0" w:color="auto"/>
            <w:right w:val="none" w:sz="0" w:space="0" w:color="auto"/>
          </w:divBdr>
        </w:div>
      </w:divsChild>
    </w:div>
    <w:div w:id="613287236">
      <w:bodyDiv w:val="1"/>
      <w:marLeft w:val="0"/>
      <w:marRight w:val="0"/>
      <w:marTop w:val="0"/>
      <w:marBottom w:val="0"/>
      <w:divBdr>
        <w:top w:val="none" w:sz="0" w:space="0" w:color="auto"/>
        <w:left w:val="none" w:sz="0" w:space="0" w:color="auto"/>
        <w:bottom w:val="none" w:sz="0" w:space="0" w:color="auto"/>
        <w:right w:val="none" w:sz="0" w:space="0" w:color="auto"/>
      </w:divBdr>
    </w:div>
    <w:div w:id="707527268">
      <w:bodyDiv w:val="1"/>
      <w:marLeft w:val="0"/>
      <w:marRight w:val="0"/>
      <w:marTop w:val="0"/>
      <w:marBottom w:val="0"/>
      <w:divBdr>
        <w:top w:val="none" w:sz="0" w:space="0" w:color="auto"/>
        <w:left w:val="none" w:sz="0" w:space="0" w:color="auto"/>
        <w:bottom w:val="none" w:sz="0" w:space="0" w:color="auto"/>
        <w:right w:val="none" w:sz="0" w:space="0" w:color="auto"/>
      </w:divBdr>
      <w:divsChild>
        <w:div w:id="1522625461">
          <w:marLeft w:val="0"/>
          <w:marRight w:val="0"/>
          <w:marTop w:val="0"/>
          <w:marBottom w:val="0"/>
          <w:divBdr>
            <w:top w:val="none" w:sz="0" w:space="0" w:color="auto"/>
            <w:left w:val="none" w:sz="0" w:space="0" w:color="auto"/>
            <w:bottom w:val="none" w:sz="0" w:space="0" w:color="auto"/>
            <w:right w:val="none" w:sz="0" w:space="0" w:color="auto"/>
          </w:divBdr>
          <w:divsChild>
            <w:div w:id="1526484386">
              <w:marLeft w:val="0"/>
              <w:marRight w:val="0"/>
              <w:marTop w:val="100"/>
              <w:marBottom w:val="100"/>
              <w:divBdr>
                <w:top w:val="none" w:sz="0" w:space="0" w:color="auto"/>
                <w:left w:val="none" w:sz="0" w:space="0" w:color="auto"/>
                <w:bottom w:val="none" w:sz="0" w:space="0" w:color="auto"/>
                <w:right w:val="none" w:sz="0" w:space="0" w:color="auto"/>
              </w:divBdr>
              <w:divsChild>
                <w:div w:id="34157774">
                  <w:marLeft w:val="0"/>
                  <w:marRight w:val="0"/>
                  <w:marTop w:val="0"/>
                  <w:marBottom w:val="0"/>
                  <w:divBdr>
                    <w:top w:val="none" w:sz="0" w:space="0" w:color="auto"/>
                    <w:left w:val="none" w:sz="0" w:space="0" w:color="auto"/>
                    <w:bottom w:val="none" w:sz="0" w:space="0" w:color="auto"/>
                    <w:right w:val="none" w:sz="0" w:space="0" w:color="auto"/>
                  </w:divBdr>
                  <w:divsChild>
                    <w:div w:id="1505776953">
                      <w:marLeft w:val="0"/>
                      <w:marRight w:val="0"/>
                      <w:marTop w:val="0"/>
                      <w:marBottom w:val="0"/>
                      <w:divBdr>
                        <w:top w:val="none" w:sz="0" w:space="0" w:color="auto"/>
                        <w:left w:val="none" w:sz="0" w:space="0" w:color="auto"/>
                        <w:bottom w:val="none" w:sz="0" w:space="0" w:color="auto"/>
                        <w:right w:val="none" w:sz="0" w:space="0" w:color="auto"/>
                      </w:divBdr>
                      <w:divsChild>
                        <w:div w:id="1052651802">
                          <w:marLeft w:val="0"/>
                          <w:marRight w:val="0"/>
                          <w:marTop w:val="100"/>
                          <w:marBottom w:val="100"/>
                          <w:divBdr>
                            <w:top w:val="none" w:sz="0" w:space="0" w:color="auto"/>
                            <w:left w:val="none" w:sz="0" w:space="0" w:color="auto"/>
                            <w:bottom w:val="none" w:sz="0" w:space="0" w:color="auto"/>
                            <w:right w:val="none" w:sz="0" w:space="0" w:color="auto"/>
                          </w:divBdr>
                          <w:divsChild>
                            <w:div w:id="1167674201">
                              <w:marLeft w:val="0"/>
                              <w:marRight w:val="0"/>
                              <w:marTop w:val="0"/>
                              <w:marBottom w:val="0"/>
                              <w:divBdr>
                                <w:top w:val="none" w:sz="0" w:space="0" w:color="auto"/>
                                <w:left w:val="none" w:sz="0" w:space="0" w:color="auto"/>
                                <w:bottom w:val="none" w:sz="0" w:space="0" w:color="auto"/>
                                <w:right w:val="none" w:sz="0" w:space="0" w:color="auto"/>
                              </w:divBdr>
                            </w:div>
                            <w:div w:id="8588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55243">
      <w:bodyDiv w:val="1"/>
      <w:marLeft w:val="0"/>
      <w:marRight w:val="0"/>
      <w:marTop w:val="0"/>
      <w:marBottom w:val="0"/>
      <w:divBdr>
        <w:top w:val="none" w:sz="0" w:space="0" w:color="auto"/>
        <w:left w:val="none" w:sz="0" w:space="0" w:color="auto"/>
        <w:bottom w:val="none" w:sz="0" w:space="0" w:color="auto"/>
        <w:right w:val="none" w:sz="0" w:space="0" w:color="auto"/>
      </w:divBdr>
    </w:div>
    <w:div w:id="874003096">
      <w:bodyDiv w:val="1"/>
      <w:marLeft w:val="0"/>
      <w:marRight w:val="0"/>
      <w:marTop w:val="0"/>
      <w:marBottom w:val="0"/>
      <w:divBdr>
        <w:top w:val="none" w:sz="0" w:space="0" w:color="auto"/>
        <w:left w:val="none" w:sz="0" w:space="0" w:color="auto"/>
        <w:bottom w:val="none" w:sz="0" w:space="0" w:color="auto"/>
        <w:right w:val="none" w:sz="0" w:space="0" w:color="auto"/>
      </w:divBdr>
    </w:div>
    <w:div w:id="1118375150">
      <w:bodyDiv w:val="1"/>
      <w:marLeft w:val="0"/>
      <w:marRight w:val="0"/>
      <w:marTop w:val="0"/>
      <w:marBottom w:val="0"/>
      <w:divBdr>
        <w:top w:val="none" w:sz="0" w:space="0" w:color="auto"/>
        <w:left w:val="none" w:sz="0" w:space="0" w:color="auto"/>
        <w:bottom w:val="none" w:sz="0" w:space="0" w:color="auto"/>
        <w:right w:val="none" w:sz="0" w:space="0" w:color="auto"/>
      </w:divBdr>
    </w:div>
    <w:div w:id="1178041525">
      <w:bodyDiv w:val="1"/>
      <w:marLeft w:val="0"/>
      <w:marRight w:val="0"/>
      <w:marTop w:val="0"/>
      <w:marBottom w:val="0"/>
      <w:divBdr>
        <w:top w:val="none" w:sz="0" w:space="0" w:color="auto"/>
        <w:left w:val="none" w:sz="0" w:space="0" w:color="auto"/>
        <w:bottom w:val="none" w:sz="0" w:space="0" w:color="auto"/>
        <w:right w:val="none" w:sz="0" w:space="0" w:color="auto"/>
      </w:divBdr>
    </w:div>
    <w:div w:id="1197691745">
      <w:bodyDiv w:val="1"/>
      <w:marLeft w:val="0"/>
      <w:marRight w:val="0"/>
      <w:marTop w:val="0"/>
      <w:marBottom w:val="0"/>
      <w:divBdr>
        <w:top w:val="none" w:sz="0" w:space="0" w:color="auto"/>
        <w:left w:val="none" w:sz="0" w:space="0" w:color="auto"/>
        <w:bottom w:val="none" w:sz="0" w:space="0" w:color="auto"/>
        <w:right w:val="none" w:sz="0" w:space="0" w:color="auto"/>
      </w:divBdr>
    </w:div>
    <w:div w:id="1654673834">
      <w:bodyDiv w:val="1"/>
      <w:marLeft w:val="0"/>
      <w:marRight w:val="0"/>
      <w:marTop w:val="0"/>
      <w:marBottom w:val="0"/>
      <w:divBdr>
        <w:top w:val="none" w:sz="0" w:space="0" w:color="auto"/>
        <w:left w:val="none" w:sz="0" w:space="0" w:color="auto"/>
        <w:bottom w:val="none" w:sz="0" w:space="0" w:color="auto"/>
        <w:right w:val="none" w:sz="0" w:space="0" w:color="auto"/>
      </w:divBdr>
      <w:divsChild>
        <w:div w:id="5566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343404.2018.1554246" TargetMode="External"/><Relationship Id="rId13" Type="http://schemas.openxmlformats.org/officeDocument/2006/relationships/hyperlink" Target="http://blogs.lse.ac.uk/brexit/2016/09/21/but-we-cant-do-it-alone-the-future-of-british-universitiespost-brexit/" TargetMode="External"/><Relationship Id="rId18" Type="http://schemas.openxmlformats.org/officeDocument/2006/relationships/hyperlink" Target="https://doi.org/10.1080/09540962.2018.1434335" TargetMode="External"/><Relationship Id="rId26" Type="http://schemas.openxmlformats.org/officeDocument/2006/relationships/hyperlink" Target="http://www.centreonconstitutionalchange.ac.uk/sites/default/files/news/Taking%20England%20Seriously_The%20New%20English%20Politics.pdf" TargetMode="External"/><Relationship Id="rId39" Type="http://schemas.openxmlformats.org/officeDocument/2006/relationships/hyperlink" Target="https://doi.org/10.1177/0269094219839956" TargetMode="External"/><Relationship Id="rId3" Type="http://schemas.openxmlformats.org/officeDocument/2006/relationships/settings" Target="settings.xml"/><Relationship Id="rId21" Type="http://schemas.openxmlformats.org/officeDocument/2006/relationships/hyperlink" Target="https://doi.org/10.1093/cjres/rsu004" TargetMode="External"/><Relationship Id="rId34" Type="http://schemas.openxmlformats.org/officeDocument/2006/relationships/hyperlink" Target="https://doi.org/10.1080/13562576.2018.1535272" TargetMode="External"/><Relationship Id="rId42" Type="http://schemas.openxmlformats.org/officeDocument/2006/relationships/hyperlink" Target="https://www.universitiesuk.ac.uk/policy-and-analysis/reports/Documents/2019/future-degree-apprenticeships.pdf" TargetMode="External"/><Relationship Id="rId7" Type="http://schemas.openxmlformats.org/officeDocument/2006/relationships/hyperlink" Target="https://www.theguardian.com/education/2016/sep/22/ukuniversities-mull-eu-campuses-in-new-era-of-uncertainty" TargetMode="External"/><Relationship Id="rId12" Type="http://schemas.openxmlformats.org/officeDocument/2006/relationships/hyperlink" Target="https://doi.org/10.1080/0269094032000073780" TargetMode="External"/><Relationship Id="rId17" Type="http://schemas.openxmlformats.org/officeDocument/2006/relationships/hyperlink" Target="http://blogs.lse.ac.uk/europpblog/2016/12/21/christmas-table-brexit-inequality-demographic-divide/" TargetMode="External"/><Relationship Id="rId25" Type="http://schemas.openxmlformats.org/officeDocument/2006/relationships/hyperlink" Target="https://www.theguardian.com/commentisfree/2017/nov/16/anger-north-brexit-vision-bridge-north-south-divide" TargetMode="External"/><Relationship Id="rId33" Type="http://schemas.openxmlformats.org/officeDocument/2006/relationships/hyperlink" Target="http://www.centreonconstitutionalchange.ac.uk/blog/how-might-brexit-impactbritain%E2%80%99s-universities" TargetMode="External"/><Relationship Id="rId38" Type="http://schemas.openxmlformats.org/officeDocument/2006/relationships/hyperlink" Target="https://doi.org/10.1177/0269094218819789" TargetMode="External"/><Relationship Id="rId2" Type="http://schemas.openxmlformats.org/officeDocument/2006/relationships/styles" Target="styles.xml"/><Relationship Id="rId16" Type="http://schemas.openxmlformats.org/officeDocument/2006/relationships/hyperlink" Target="https://www.ippr.org/files/publications/pdf/Brexit-North_Oct2016.pdf" TargetMode="External"/><Relationship Id="rId20" Type="http://schemas.openxmlformats.org/officeDocument/2006/relationships/hyperlink" Target="https://doi.org/10.1111/1467-923X.12279" TargetMode="External"/><Relationship Id="rId29" Type="http://schemas.openxmlformats.org/officeDocument/2006/relationships/hyperlink" Target="https://twitter.com/JoJohnsonUK/status/1133773288579260416" TargetMode="External"/><Relationship Id="rId41" Type="http://schemas.openxmlformats.org/officeDocument/2006/relationships/hyperlink" Target="https://www.universitiesuk.ac.uk/policy-and-analysis/reports/Documents/2018/brexit-briefing-march-18.pdf" TargetMode="External"/><Relationship Id="rId1" Type="http://schemas.openxmlformats.org/officeDocument/2006/relationships/numbering" Target="numbering.xml"/><Relationship Id="rId6" Type="http://schemas.openxmlformats.org/officeDocument/2006/relationships/hyperlink" Target="mailto:lorraine.johnston@northumbria.ac.uk" TargetMode="External"/><Relationship Id="rId11" Type="http://schemas.openxmlformats.org/officeDocument/2006/relationships/hyperlink" Target="https://doi.org/10.1177/0263774X18804225" TargetMode="External"/><Relationship Id="rId24" Type="http://schemas.openxmlformats.org/officeDocument/2006/relationships/hyperlink" Target="https://doi.org/10.1177/0308518X16665844" TargetMode="External"/><Relationship Id="rId32" Type="http://schemas.openxmlformats.org/officeDocument/2006/relationships/hyperlink" Target="https://doi.org/10.1080/00343404.2017.1287350" TargetMode="External"/><Relationship Id="rId37" Type="http://schemas.openxmlformats.org/officeDocument/2006/relationships/hyperlink" Target="http://sure.sunderland.ac.uk/id/eprint/9234/" TargetMode="External"/><Relationship Id="rId40" Type="http://schemas.openxmlformats.org/officeDocument/2006/relationships/hyperlink" Target="https://doi.org/10.1177/0269094219839966" TargetMode="External"/><Relationship Id="rId5" Type="http://schemas.openxmlformats.org/officeDocument/2006/relationships/hyperlink" Target="mailto:ian.elliott@northumbria.ac.uk" TargetMode="External"/><Relationship Id="rId15" Type="http://schemas.openxmlformats.org/officeDocument/2006/relationships/hyperlink" Target="https://doi.org/10.1177/002795011724200112" TargetMode="External"/><Relationship Id="rId23" Type="http://schemas.openxmlformats.org/officeDocument/2006/relationships/hyperlink" Target="https://doi.org/10.1177/0308518X16665844" TargetMode="External"/><Relationship Id="rId28" Type="http://schemas.openxmlformats.org/officeDocument/2006/relationships/hyperlink" Target="http://unions21.org.uk/files1/UNIONS21_24809_proofC.pdf" TargetMode="External"/><Relationship Id="rId36" Type="http://schemas.openxmlformats.org/officeDocument/2006/relationships/hyperlink" Target="https://www.nelep.co.uk/wp-content/uploads/2018/06/nel377-sector-study-a4-final-version.pdf" TargetMode="External"/><Relationship Id="rId10" Type="http://schemas.openxmlformats.org/officeDocument/2006/relationships/hyperlink" Target="https://doi.org/10.1080/00343404.2018.1554246" TargetMode="External"/><Relationship Id="rId19" Type="http://schemas.openxmlformats.org/officeDocument/2006/relationships/hyperlink" Target="https://doi.org/10.1080/09540962.2015.986859" TargetMode="External"/><Relationship Id="rId31" Type="http://schemas.openxmlformats.org/officeDocument/2006/relationships/hyperlink" Target="https://doi.org/10.1080/00343404.2017.128735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00343404.2018.1554246" TargetMode="External"/><Relationship Id="rId14" Type="http://schemas.openxmlformats.org/officeDocument/2006/relationships/hyperlink" Target="https://doi.org/10.1177/002795011724200112" TargetMode="External"/><Relationship Id="rId22" Type="http://schemas.openxmlformats.org/officeDocument/2006/relationships/hyperlink" Target="https://doi.org/10.1111/1467-923X.12285" TargetMode="External"/><Relationship Id="rId27" Type="http://schemas.openxmlformats.org/officeDocument/2006/relationships/hyperlink" Target="https://www.newstatesman.com/politics/2015/03/its-regional-inequality-stupid" TargetMode="External"/><Relationship Id="rId30" Type="http://schemas.openxmlformats.org/officeDocument/2006/relationships/hyperlink" Target="https://doi.org/10.1111/1467-923X.12278" TargetMode="External"/><Relationship Id="rId35" Type="http://schemas.openxmlformats.org/officeDocument/2006/relationships/hyperlink" Target="https://doi.org/10.1111/1468-2346.1274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6197</Words>
  <Characters>35328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Elliott</dc:creator>
  <cp:keywords/>
  <dc:description/>
  <cp:lastModifiedBy>Ian Elliott</cp:lastModifiedBy>
  <cp:revision>2</cp:revision>
  <cp:lastPrinted>2018-12-09T18:03:00Z</cp:lastPrinted>
  <dcterms:created xsi:type="dcterms:W3CDTF">2019-11-20T07:52:00Z</dcterms:created>
  <dcterms:modified xsi:type="dcterms:W3CDTF">2019-11-20T07:52:00Z</dcterms:modified>
</cp:coreProperties>
</file>