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E1" w:rsidRDefault="00C52FE1" w:rsidP="00C52FE1">
      <w:pPr>
        <w:jc w:val="both"/>
        <w:rPr>
          <w:rFonts w:ascii="Times New Roman" w:hAnsi="Times New Roman" w:cs="Times New Roman"/>
          <w:sz w:val="24"/>
          <w:szCs w:val="24"/>
        </w:rPr>
      </w:pPr>
      <w:r>
        <w:rPr>
          <w:rFonts w:ascii="Times New Roman" w:hAnsi="Times New Roman" w:cs="Times New Roman"/>
          <w:b/>
          <w:bCs/>
          <w:sz w:val="24"/>
          <w:szCs w:val="24"/>
        </w:rPr>
        <w:t>Appeal (fresh evidence)</w:t>
      </w:r>
      <w:r>
        <w:rPr>
          <w:rFonts w:ascii="Times New Roman" w:hAnsi="Times New Roman" w:cs="Times New Roman"/>
          <w:sz w:val="24"/>
          <w:szCs w:val="24"/>
        </w:rPr>
        <w:t xml:space="preserve"> – </w:t>
      </w:r>
      <w:bookmarkStart w:id="0" w:name="_Hlk34210757"/>
      <w:r>
        <w:rPr>
          <w:rFonts w:ascii="Times New Roman" w:hAnsi="Times New Roman" w:cs="Times New Roman"/>
          <w:i/>
          <w:iCs/>
          <w:sz w:val="24"/>
          <w:szCs w:val="24"/>
        </w:rPr>
        <w:t>R. v Foy</w:t>
      </w:r>
      <w:r>
        <w:rPr>
          <w:rFonts w:ascii="Times New Roman" w:hAnsi="Times New Roman" w:cs="Times New Roman"/>
          <w:sz w:val="24"/>
          <w:szCs w:val="24"/>
        </w:rPr>
        <w:t xml:space="preserve"> [2020] EWCA Crim 270, unreported, 27 February 2020, CA</w:t>
      </w:r>
      <w:bookmarkEnd w:id="0"/>
      <w:r>
        <w:rPr>
          <w:rFonts w:ascii="Times New Roman" w:hAnsi="Times New Roman" w:cs="Times New Roman"/>
          <w:sz w:val="24"/>
          <w:szCs w:val="24"/>
        </w:rPr>
        <w:t>.</w:t>
      </w:r>
    </w:p>
    <w:p w:rsidR="00C52FE1" w:rsidRDefault="00C52FE1" w:rsidP="00C52FE1">
      <w:pPr>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fatally stabbed the victim on the streets of London. The victim, a French tourist, was unknown to the appellant, who was suffering from a psychotic episode at the time. On his own admission, he had been voluntarily ingesting huge quantities of alcohol and cocaine in the period before the killing. The sole defence advanced at trial to the charge of murder was lack of the necessary intent to kill or to cause really serious injury. Consideration had been given to running a partial defence of diminished responsibility under section 2 of the </w:t>
      </w:r>
      <w:r>
        <w:rPr>
          <w:rFonts w:ascii="Times New Roman" w:hAnsi="Times New Roman" w:cs="Times New Roman"/>
          <w:i/>
          <w:iCs/>
          <w:sz w:val="24"/>
          <w:szCs w:val="24"/>
        </w:rPr>
        <w:t>Homicide Act</w:t>
      </w:r>
      <w:r>
        <w:rPr>
          <w:rFonts w:ascii="Times New Roman" w:hAnsi="Times New Roman" w:cs="Times New Roman"/>
          <w:sz w:val="24"/>
          <w:szCs w:val="24"/>
        </w:rPr>
        <w:t xml:space="preserve"> 1957, but that was not supported by the appellant’s psychiatric expert. The appellant was convicted of murder. He appealed, seeking to rely on fresh evidence, namely the report of a different psychiatric expert, which was said to support a defence of diminished responsibility.</w:t>
      </w:r>
    </w:p>
    <w:p w:rsidR="00C52FE1" w:rsidRDefault="00C52FE1" w:rsidP="00C52FE1">
      <w:pPr>
        <w:ind w:firstLine="720"/>
        <w:jc w:val="both"/>
        <w:rPr>
          <w:rFonts w:ascii="Times New Roman" w:hAnsi="Times New Roman" w:cs="Times New Roman"/>
          <w:sz w:val="24"/>
          <w:szCs w:val="24"/>
        </w:rPr>
      </w:pPr>
      <w:r>
        <w:rPr>
          <w:rFonts w:ascii="Times New Roman" w:hAnsi="Times New Roman" w:cs="Times New Roman"/>
          <w:sz w:val="24"/>
          <w:szCs w:val="24"/>
        </w:rPr>
        <w:t xml:space="preserve">(1) The case was not one where a potential defence of diminished responsibility was overlooked. There had not been any legal error or oversight. The instructed expert, of acknowledged expertise, did not overlook or misunderstand relevant information, fail diligently to examine the relevant materials, or fail to reach a proper conclusion reasonably open to him. The case was not one where important new facts, materials or other developments had emerged since trial. It was, in its fundamentals, one where, following conviction, an attempt was made to instruct a new expert with a view to securing an opinion on diminished responsibility different from that of the previous expert instructed before trial. That amounted to expert shopping. Applying the general principles outlined in </w:t>
      </w:r>
      <w:r>
        <w:rPr>
          <w:rFonts w:ascii="Times New Roman" w:hAnsi="Times New Roman" w:cs="Times New Roman"/>
          <w:i/>
          <w:iCs/>
          <w:sz w:val="24"/>
          <w:szCs w:val="24"/>
        </w:rPr>
        <w:t>R. v Erskine</w:t>
      </w:r>
      <w:r>
        <w:rPr>
          <w:rFonts w:ascii="Times New Roman" w:hAnsi="Times New Roman" w:cs="Times New Roman"/>
          <w:sz w:val="24"/>
          <w:szCs w:val="24"/>
        </w:rPr>
        <w:t xml:space="preserve">; </w:t>
      </w:r>
      <w:r>
        <w:rPr>
          <w:rFonts w:ascii="Times New Roman" w:hAnsi="Times New Roman" w:cs="Times New Roman"/>
          <w:i/>
          <w:iCs/>
          <w:sz w:val="24"/>
          <w:szCs w:val="24"/>
        </w:rPr>
        <w:t>R. v Williams</w:t>
      </w:r>
      <w:r>
        <w:rPr>
          <w:rFonts w:ascii="Times New Roman" w:hAnsi="Times New Roman" w:cs="Times New Roman"/>
          <w:sz w:val="24"/>
          <w:szCs w:val="24"/>
        </w:rPr>
        <w:t xml:space="preserve">, CLW/09/28/1, [2009] EWCA Crim 1425, [2010] 1 W.L.R. 183, CA, </w:t>
      </w:r>
      <w:r>
        <w:rPr>
          <w:rFonts w:ascii="Times New Roman" w:hAnsi="Times New Roman" w:cs="Times New Roman"/>
          <w:i/>
          <w:iCs/>
          <w:sz w:val="24"/>
          <w:szCs w:val="24"/>
        </w:rPr>
        <w:t>R. v Evans (John Derek)</w:t>
      </w:r>
      <w:r>
        <w:rPr>
          <w:rFonts w:ascii="Times New Roman" w:hAnsi="Times New Roman" w:cs="Times New Roman"/>
          <w:sz w:val="24"/>
          <w:szCs w:val="24"/>
        </w:rPr>
        <w:t xml:space="preserve">, CLW/10/19/2,([2009] EWCA Crim 2243, [2010] </w:t>
      </w:r>
      <w:proofErr w:type="spellStart"/>
      <w:r>
        <w:rPr>
          <w:rFonts w:ascii="Times New Roman" w:hAnsi="Times New Roman" w:cs="Times New Roman"/>
          <w:sz w:val="24"/>
          <w:szCs w:val="24"/>
        </w:rPr>
        <w:t>Crim.L.R</w:t>
      </w:r>
      <w:proofErr w:type="spellEnd"/>
      <w:r>
        <w:rPr>
          <w:rFonts w:ascii="Times New Roman" w:hAnsi="Times New Roman" w:cs="Times New Roman"/>
          <w:sz w:val="24"/>
          <w:szCs w:val="24"/>
        </w:rPr>
        <w:t xml:space="preserve">. 491, CA, and </w:t>
      </w:r>
      <w:r>
        <w:rPr>
          <w:rFonts w:ascii="Times New Roman" w:hAnsi="Times New Roman" w:cs="Times New Roman"/>
          <w:i/>
          <w:iCs/>
          <w:sz w:val="24"/>
          <w:szCs w:val="24"/>
        </w:rPr>
        <w:t xml:space="preserve">R. v </w:t>
      </w:r>
      <w:proofErr w:type="spellStart"/>
      <w:r>
        <w:rPr>
          <w:rFonts w:ascii="Times New Roman" w:hAnsi="Times New Roman" w:cs="Times New Roman"/>
          <w:i/>
          <w:iCs/>
          <w:sz w:val="24"/>
          <w:szCs w:val="24"/>
        </w:rPr>
        <w:t>Challen</w:t>
      </w:r>
      <w:proofErr w:type="spellEnd"/>
      <w:r>
        <w:rPr>
          <w:rFonts w:ascii="Times New Roman" w:hAnsi="Times New Roman" w:cs="Times New Roman"/>
          <w:sz w:val="24"/>
          <w:szCs w:val="24"/>
        </w:rPr>
        <w:t xml:space="preserve">, CLW/19/38/1, [2019] EWCA Crim 916, [2019] </w:t>
      </w:r>
      <w:proofErr w:type="spellStart"/>
      <w:r>
        <w:rPr>
          <w:rFonts w:ascii="Times New Roman" w:hAnsi="Times New Roman" w:cs="Times New Roman"/>
          <w:sz w:val="24"/>
          <w:szCs w:val="24"/>
        </w:rPr>
        <w:t>Crim.L.R</w:t>
      </w:r>
      <w:proofErr w:type="spellEnd"/>
      <w:r>
        <w:rPr>
          <w:rFonts w:ascii="Times New Roman" w:hAnsi="Times New Roman" w:cs="Times New Roman"/>
          <w:sz w:val="24"/>
          <w:szCs w:val="24"/>
        </w:rPr>
        <w:t>. 980, CA, the case was not one in which it was appropriate to give permission to adduce this evidence.</w:t>
      </w:r>
    </w:p>
    <w:p w:rsidR="00C52FE1" w:rsidRDefault="00C52FE1" w:rsidP="00C52FE1">
      <w:pPr>
        <w:ind w:firstLine="720"/>
        <w:jc w:val="both"/>
        <w:rPr>
          <w:rFonts w:ascii="Times New Roman" w:hAnsi="Times New Roman" w:cs="Times New Roman"/>
          <w:sz w:val="24"/>
          <w:szCs w:val="24"/>
        </w:rPr>
      </w:pPr>
      <w:r>
        <w:rPr>
          <w:rFonts w:ascii="Times New Roman" w:hAnsi="Times New Roman" w:cs="Times New Roman"/>
          <w:sz w:val="24"/>
          <w:szCs w:val="24"/>
        </w:rPr>
        <w:t>(2) In any event, the proposed fresh evidence did not afford a viable defence of diminished responsibility that a jury, properly directed, could accept on the balance of probabilities. Reviewing the proposed evidence and excluding, as one must, the involvement of the voluntarily ingested alcohol and cocaine, there was no solid basis for asserting that the abnormality of mental functioning (the psychotic episode) arose from a recognised medical condition (it being common ground that the appellant did not suffer from alcohol or intoxicant dependency syndrome or paranoid schizophrenia) that substantially impaired the appellant’s ability in the relevant respects and that provided an explanation (in the sense of the 1957 Act, s.2) for his acts.</w:t>
      </w:r>
    </w:p>
    <w:p w:rsidR="00C52FE1" w:rsidRDefault="00C52FE1" w:rsidP="00C52FE1">
      <w:pPr>
        <w:ind w:firstLine="720"/>
        <w:jc w:val="both"/>
        <w:rPr>
          <w:rFonts w:ascii="Times New Roman" w:hAnsi="Times New Roman" w:cs="Times New Roman"/>
          <w:sz w:val="24"/>
          <w:szCs w:val="24"/>
        </w:rPr>
      </w:pPr>
      <w:r>
        <w:rPr>
          <w:rFonts w:ascii="Times New Roman" w:hAnsi="Times New Roman" w:cs="Times New Roman"/>
          <w:b/>
          <w:bCs/>
          <w:sz w:val="24"/>
          <w:szCs w:val="24"/>
        </w:rPr>
        <w:t>Key cases cited</w:t>
      </w:r>
      <w:r>
        <w:rPr>
          <w:rFonts w:ascii="Times New Roman" w:hAnsi="Times New Roman" w:cs="Times New Roman"/>
          <w:sz w:val="24"/>
          <w:szCs w:val="24"/>
        </w:rPr>
        <w:t xml:space="preserve">: </w:t>
      </w:r>
      <w:r>
        <w:rPr>
          <w:rFonts w:ascii="Times New Roman" w:hAnsi="Times New Roman" w:cs="Times New Roman"/>
          <w:sz w:val="24"/>
          <w:szCs w:val="24"/>
          <w:u w:val="single"/>
        </w:rPr>
        <w:t>Considered</w:t>
      </w:r>
      <w:r>
        <w:rPr>
          <w:rFonts w:ascii="Times New Roman" w:hAnsi="Times New Roman" w:cs="Times New Roman"/>
          <w:sz w:val="24"/>
          <w:szCs w:val="24"/>
        </w:rPr>
        <w:t xml:space="preserve"> – </w:t>
      </w:r>
      <w:r>
        <w:rPr>
          <w:rFonts w:ascii="Times New Roman" w:hAnsi="Times New Roman" w:cs="Times New Roman"/>
          <w:i/>
          <w:iCs/>
          <w:sz w:val="24"/>
          <w:szCs w:val="24"/>
        </w:rPr>
        <w:t xml:space="preserve">R. v </w:t>
      </w:r>
      <w:proofErr w:type="spellStart"/>
      <w:r>
        <w:rPr>
          <w:rFonts w:ascii="Times New Roman" w:hAnsi="Times New Roman" w:cs="Times New Roman"/>
          <w:i/>
          <w:iCs/>
          <w:sz w:val="24"/>
          <w:szCs w:val="24"/>
        </w:rPr>
        <w:t>Dietschmann</w:t>
      </w:r>
      <w:proofErr w:type="spellEnd"/>
      <w:r>
        <w:rPr>
          <w:rFonts w:ascii="Times New Roman" w:hAnsi="Times New Roman" w:cs="Times New Roman"/>
          <w:sz w:val="24"/>
          <w:szCs w:val="24"/>
        </w:rPr>
        <w:t xml:space="preserve">, CLW/03/09/5, [2003] UKHL 10, [2003] 1 A.C. 1209, HL; </w:t>
      </w:r>
      <w:r>
        <w:rPr>
          <w:rFonts w:ascii="Times New Roman" w:hAnsi="Times New Roman" w:cs="Times New Roman"/>
          <w:i/>
          <w:iCs/>
          <w:sz w:val="24"/>
          <w:szCs w:val="24"/>
        </w:rPr>
        <w:t>R. v Dowds</w:t>
      </w:r>
      <w:r>
        <w:rPr>
          <w:rFonts w:ascii="Times New Roman" w:hAnsi="Times New Roman" w:cs="Times New Roman"/>
          <w:sz w:val="24"/>
          <w:szCs w:val="24"/>
        </w:rPr>
        <w:t xml:space="preserve">, CLW/12/09/2, [2012] EWCA Crim 281, [2012] 1 W.L.R. 2576, CA; </w:t>
      </w:r>
      <w:r>
        <w:rPr>
          <w:rFonts w:ascii="Times New Roman" w:hAnsi="Times New Roman" w:cs="Times New Roman"/>
          <w:i/>
          <w:iCs/>
          <w:sz w:val="24"/>
          <w:szCs w:val="24"/>
        </w:rPr>
        <w:t>R. v Golds</w:t>
      </w:r>
      <w:r>
        <w:rPr>
          <w:rFonts w:ascii="Times New Roman" w:hAnsi="Times New Roman" w:cs="Times New Roman"/>
          <w:sz w:val="24"/>
          <w:szCs w:val="24"/>
        </w:rPr>
        <w:t xml:space="preserve">, CLW/16/44/2, [2016] UKSC 61, [2016] 1 W.L.R. 5231, SC; </w:t>
      </w:r>
      <w:r>
        <w:rPr>
          <w:rFonts w:ascii="Times New Roman" w:hAnsi="Times New Roman" w:cs="Times New Roman"/>
          <w:i/>
          <w:iCs/>
          <w:sz w:val="24"/>
          <w:szCs w:val="24"/>
        </w:rPr>
        <w:t>R. v Kay (Robert)</w:t>
      </w:r>
      <w:r>
        <w:rPr>
          <w:rFonts w:ascii="Times New Roman" w:hAnsi="Times New Roman" w:cs="Times New Roman"/>
          <w:sz w:val="24"/>
          <w:szCs w:val="24"/>
        </w:rPr>
        <w:t xml:space="preserve">; </w:t>
      </w:r>
      <w:r>
        <w:rPr>
          <w:rFonts w:ascii="Times New Roman" w:hAnsi="Times New Roman" w:cs="Times New Roman"/>
          <w:i/>
          <w:iCs/>
          <w:sz w:val="24"/>
          <w:szCs w:val="24"/>
        </w:rPr>
        <w:t>R. v Joyce (Trevor)</w:t>
      </w:r>
      <w:r>
        <w:rPr>
          <w:rFonts w:ascii="Times New Roman" w:hAnsi="Times New Roman" w:cs="Times New Roman"/>
          <w:sz w:val="24"/>
          <w:szCs w:val="24"/>
        </w:rPr>
        <w:t xml:space="preserve">, CLW/17/28/5, [2017] EWCA Crim 647, [2017] 4 W.L.R. 121, CA. Kay    </w:t>
      </w:r>
    </w:p>
    <w:p w:rsidR="00C52FE1" w:rsidRDefault="00C52FE1"/>
    <w:p w:rsidR="00C52FE1" w:rsidRPr="00C52FE1" w:rsidRDefault="00C52FE1">
      <w:pPr>
        <w:rPr>
          <w:b/>
        </w:rPr>
      </w:pPr>
      <w:r>
        <w:rPr>
          <w:b/>
        </w:rPr>
        <w:lastRenderedPageBreak/>
        <w:t>Comment:</w:t>
      </w:r>
      <w:bookmarkStart w:id="1" w:name="_GoBack"/>
      <w:bookmarkEnd w:id="1"/>
    </w:p>
    <w:p w:rsidR="007139BF" w:rsidRDefault="0006439A">
      <w:r>
        <w:t>In addition to</w:t>
      </w:r>
      <w:r w:rsidR="00A35BF0">
        <w:t xml:space="preserve"> affirming</w:t>
      </w:r>
      <w:r w:rsidR="00F6019F">
        <w:t xml:space="preserve"> the </w:t>
      </w:r>
      <w:r w:rsidR="00A35BF0">
        <w:t>well</w:t>
      </w:r>
      <w:r w:rsidR="00F6019F">
        <w:t xml:space="preserve">-established rule that voluntary intoxication is irrelevant on a charge of murder save where it </w:t>
      </w:r>
      <w:r w:rsidR="006760B1">
        <w:t>goes</w:t>
      </w:r>
      <w:r w:rsidR="00F6019F">
        <w:t xml:space="preserve"> to the issue of intent</w:t>
      </w:r>
      <w:r w:rsidR="00543C29">
        <w:t xml:space="preserve"> (</w:t>
      </w:r>
      <w:r w:rsidR="00A35BF0" w:rsidRPr="00A35BF0">
        <w:rPr>
          <w:i/>
        </w:rPr>
        <w:t xml:space="preserve">R v </w:t>
      </w:r>
      <w:proofErr w:type="spellStart"/>
      <w:r w:rsidR="00A35BF0" w:rsidRPr="00A35BF0">
        <w:rPr>
          <w:i/>
        </w:rPr>
        <w:t>Dietschmann</w:t>
      </w:r>
      <w:proofErr w:type="spellEnd"/>
      <w:r w:rsidR="00A35BF0">
        <w:t xml:space="preserve"> [2003] UKHL 10; </w:t>
      </w:r>
      <w:r w:rsidR="00A35BF0" w:rsidRPr="00A35BF0">
        <w:rPr>
          <w:i/>
        </w:rPr>
        <w:t>R v Dowds</w:t>
      </w:r>
      <w:r w:rsidR="00A35BF0">
        <w:t xml:space="preserve"> [2012] EWCA Crim 281; </w:t>
      </w:r>
      <w:r w:rsidR="00A35BF0" w:rsidRPr="00A35BF0">
        <w:rPr>
          <w:i/>
        </w:rPr>
        <w:t>R v Kay; R v Joyce</w:t>
      </w:r>
      <w:r w:rsidR="00A35BF0">
        <w:t xml:space="preserve"> [2017] EWCA Crim 647), this case</w:t>
      </w:r>
      <w:r w:rsidR="00930AA7">
        <w:t xml:space="preserve"> highlights </w:t>
      </w:r>
      <w:r w:rsidR="007139BF">
        <w:t>the risks and limitations of psychiatric opinion in addressing questions of law.</w:t>
      </w:r>
    </w:p>
    <w:p w:rsidR="00605C39" w:rsidRDefault="00930AA7" w:rsidP="00605C39">
      <w:r>
        <w:t>To establish a</w:t>
      </w:r>
      <w:r w:rsidR="00543C29">
        <w:t xml:space="preserve"> defence of </w:t>
      </w:r>
      <w:r>
        <w:t>d</w:t>
      </w:r>
      <w:r w:rsidR="00543C29">
        <w:t>iminished responsibility</w:t>
      </w:r>
      <w:r w:rsidR="00605C39">
        <w:t xml:space="preserve"> under s.2 of the Homicide Act 1957</w:t>
      </w:r>
      <w:r w:rsidR="00905BE4">
        <w:t xml:space="preserve"> (as amended by the Coroners and Justice Act 2009)</w:t>
      </w:r>
      <w:proofErr w:type="gramStart"/>
      <w:r w:rsidR="00605C39">
        <w:t>,</w:t>
      </w:r>
      <w:proofErr w:type="gramEnd"/>
      <w:r>
        <w:t xml:space="preserve"> the </w:t>
      </w:r>
      <w:r w:rsidR="008B52BD">
        <w:t>defendant</w:t>
      </w:r>
      <w:r>
        <w:t xml:space="preserve"> must prove</w:t>
      </w:r>
      <w:r w:rsidR="00605C39">
        <w:t xml:space="preserve"> that </w:t>
      </w:r>
      <w:r w:rsidR="008B52BD">
        <w:t>he</w:t>
      </w:r>
      <w:r w:rsidR="00605C39">
        <w:t xml:space="preserve"> was suffering from an abnormality of mental </w:t>
      </w:r>
      <w:r w:rsidR="00905BE4">
        <w:t>functioning</w:t>
      </w:r>
      <w:r w:rsidR="00A35BF0">
        <w:t xml:space="preserve"> </w:t>
      </w:r>
      <w:r w:rsidR="0006439A">
        <w:t>which</w:t>
      </w:r>
      <w:r w:rsidR="00905BE4">
        <w:t>:</w:t>
      </w:r>
    </w:p>
    <w:p w:rsidR="00605C39" w:rsidRDefault="00905BE4" w:rsidP="00A35BF0">
      <w:pPr>
        <w:ind w:left="567"/>
      </w:pPr>
      <w:r>
        <w:t>(a</w:t>
      </w:r>
      <w:r w:rsidR="00605C39">
        <w:t>)</w:t>
      </w:r>
      <w:r>
        <w:t xml:space="preserve"> </w:t>
      </w:r>
      <w:proofErr w:type="gramStart"/>
      <w:r w:rsidR="00605C39">
        <w:t>arose</w:t>
      </w:r>
      <w:proofErr w:type="gramEnd"/>
      <w:r w:rsidR="00605C39">
        <w:t xml:space="preserve"> from a recognised medical co</w:t>
      </w:r>
      <w:r>
        <w:t>ndition;</w:t>
      </w:r>
    </w:p>
    <w:p w:rsidR="00605C39" w:rsidRDefault="00605C39" w:rsidP="00A35BF0">
      <w:pPr>
        <w:ind w:left="567"/>
      </w:pPr>
      <w:r>
        <w:t>(b)</w:t>
      </w:r>
      <w:r w:rsidR="00905BE4">
        <w:t xml:space="preserve"> </w:t>
      </w:r>
      <w:proofErr w:type="gramStart"/>
      <w:r>
        <w:t>substantially</w:t>
      </w:r>
      <w:proofErr w:type="gramEnd"/>
      <w:r>
        <w:t xml:space="preserve"> impaired his ability understand the nature of his conduct, form a rational judgment or exercise self-control; and</w:t>
      </w:r>
    </w:p>
    <w:p w:rsidR="00605C39" w:rsidRDefault="00605C39" w:rsidP="00A35BF0">
      <w:pPr>
        <w:ind w:left="567"/>
      </w:pPr>
      <w:r>
        <w:t>(c)</w:t>
      </w:r>
      <w:r w:rsidR="00905BE4">
        <w:t xml:space="preserve"> </w:t>
      </w:r>
      <w:proofErr w:type="gramStart"/>
      <w:r>
        <w:t>provides</w:t>
      </w:r>
      <w:proofErr w:type="gramEnd"/>
      <w:r>
        <w:t xml:space="preserve"> an explanation for </w:t>
      </w:r>
      <w:r w:rsidR="00905BE4">
        <w:t>his</w:t>
      </w:r>
      <w:r>
        <w:t xml:space="preserve"> acts and omissions in doing or being a party to the killing.</w:t>
      </w:r>
    </w:p>
    <w:p w:rsidR="007139BF" w:rsidRDefault="007139BF" w:rsidP="00FF543F">
      <w:r>
        <w:t xml:space="preserve">The </w:t>
      </w:r>
      <w:r w:rsidR="00930AA7">
        <w:t>“</w:t>
      </w:r>
      <w:r>
        <w:t>recognised medical condition</w:t>
      </w:r>
      <w:r w:rsidR="00930AA7">
        <w:t>”</w:t>
      </w:r>
      <w:r>
        <w:t xml:space="preserve"> </w:t>
      </w:r>
      <w:r w:rsidR="00905BE4">
        <w:t xml:space="preserve">requirement </w:t>
      </w:r>
      <w:r w:rsidR="00930AA7">
        <w:t xml:space="preserve">was </w:t>
      </w:r>
      <w:r w:rsidR="00905BE4">
        <w:t xml:space="preserve">introduced </w:t>
      </w:r>
      <w:r w:rsidR="008B52BD">
        <w:t>in an effort to ensure that defences would be</w:t>
      </w:r>
      <w:r w:rsidR="00905BE4">
        <w:t xml:space="preserve"> </w:t>
      </w:r>
      <w:r>
        <w:t xml:space="preserve">“grounded in a valid medical diagnosis linked to the accepted classificatory systems which together encompass the recognised psychiatric and psychological conditions” (Ministry of Justice, </w:t>
      </w:r>
      <w:r>
        <w:rPr>
          <w:i/>
        </w:rPr>
        <w:t>Murder, Manslaughter and Infanticide</w:t>
      </w:r>
      <w:r>
        <w:t xml:space="preserve"> Consultation Paper</w:t>
      </w:r>
      <w:r w:rsidR="008922E8">
        <w:t xml:space="preserve">, July 2008, para. 49). </w:t>
      </w:r>
      <w:r w:rsidR="0006439A">
        <w:t xml:space="preserve">The “classificatory systems” </w:t>
      </w:r>
      <w:r w:rsidR="00FF543F">
        <w:t>currently in use in the UK are the</w:t>
      </w:r>
      <w:r w:rsidR="00A35BF0">
        <w:t xml:space="preserve"> DSM</w:t>
      </w:r>
      <w:r w:rsidR="00FF543F">
        <w:t>-5</w:t>
      </w:r>
      <w:r w:rsidR="0006439A">
        <w:t xml:space="preserve"> (</w:t>
      </w:r>
      <w:r w:rsidR="0006439A">
        <w:rPr>
          <w:i/>
        </w:rPr>
        <w:t>Diagnostic and Statistical Manual of Mental Disorders</w:t>
      </w:r>
      <w:r w:rsidR="0006439A">
        <w:t>,</w:t>
      </w:r>
      <w:r w:rsidR="0006439A">
        <w:rPr>
          <w:i/>
        </w:rPr>
        <w:t xml:space="preserve"> </w:t>
      </w:r>
      <w:r w:rsidR="00FF543F">
        <w:t>Fourth</w:t>
      </w:r>
      <w:r w:rsidR="0006439A" w:rsidRPr="008B52BD">
        <w:t xml:space="preserve"> Edition</w:t>
      </w:r>
      <w:r w:rsidR="0006439A">
        <w:t>, American Psychiatric Association 2013</w:t>
      </w:r>
      <w:r w:rsidR="0006439A">
        <w:t xml:space="preserve">) </w:t>
      </w:r>
      <w:r w:rsidR="00A35BF0">
        <w:t xml:space="preserve">and </w:t>
      </w:r>
      <w:r w:rsidR="0006439A">
        <w:t xml:space="preserve">the </w:t>
      </w:r>
      <w:r w:rsidR="00A35BF0">
        <w:t xml:space="preserve">ICD-10 </w:t>
      </w:r>
      <w:r w:rsidR="0006439A">
        <w:t>(</w:t>
      </w:r>
      <w:r w:rsidR="0006439A" w:rsidRPr="0006439A">
        <w:rPr>
          <w:i/>
        </w:rPr>
        <w:t>International Statistical Classification of Diseases and Related Health Problems</w:t>
      </w:r>
      <w:r w:rsidR="0006439A">
        <w:t>, Tenth Revision</w:t>
      </w:r>
      <w:r w:rsidR="00FF543F">
        <w:t>, World Health Organisation 2004</w:t>
      </w:r>
      <w:r w:rsidR="0006439A">
        <w:t>).</w:t>
      </w:r>
      <w:r w:rsidR="008922E8">
        <w:t xml:space="preserve"> </w:t>
      </w:r>
      <w:r w:rsidR="0006439A">
        <w:t xml:space="preserve">These </w:t>
      </w:r>
      <w:r w:rsidR="00FF543F">
        <w:t>systems</w:t>
      </w:r>
      <w:r w:rsidR="0006439A">
        <w:t xml:space="preserve"> </w:t>
      </w:r>
      <w:r w:rsidR="001E0063">
        <w:t>classify presentations</w:t>
      </w:r>
      <w:r w:rsidR="00FF543F">
        <w:t xml:space="preserve"> </w:t>
      </w:r>
      <w:r w:rsidR="001E0063">
        <w:t xml:space="preserve">and </w:t>
      </w:r>
      <w:r w:rsidR="008922E8">
        <w:t xml:space="preserve">are designed for use </w:t>
      </w:r>
      <w:r w:rsidR="00EB558A">
        <w:t>in clinical assessment</w:t>
      </w:r>
      <w:r w:rsidR="008922E8">
        <w:t xml:space="preserve"> and treatmen</w:t>
      </w:r>
      <w:r w:rsidR="001E0063">
        <w:t xml:space="preserve">t; they </w:t>
      </w:r>
      <w:r w:rsidR="008922E8">
        <w:t>have never been determinative of legal issues concerning mental disorder (</w:t>
      </w:r>
      <w:r w:rsidR="00A35BF0">
        <w:rPr>
          <w:i/>
        </w:rPr>
        <w:t xml:space="preserve">DL-H v Devon Partnership Trust </w:t>
      </w:r>
      <w:r w:rsidR="00A35BF0">
        <w:rPr>
          <w:rStyle w:val="cosearchdetaillevel1"/>
        </w:rPr>
        <w:t>[2010] UKUT 102 (AAC)</w:t>
      </w:r>
      <w:r w:rsidR="008922E8">
        <w:t>).</w:t>
      </w:r>
      <w:r w:rsidR="00FF543F">
        <w:t xml:space="preserve"> Indeed, the DSM-5</w:t>
      </w:r>
      <w:r w:rsidR="00801635">
        <w:t xml:space="preserve"> </w:t>
      </w:r>
      <w:r w:rsidR="008922E8">
        <w:t xml:space="preserve">is prefaced </w:t>
      </w:r>
      <w:r w:rsidR="008B52BD">
        <w:t>by</w:t>
      </w:r>
      <w:r w:rsidR="008922E8">
        <w:t xml:space="preserve"> a warning that it is not designed for use in forensic settings, </w:t>
      </w:r>
      <w:r w:rsidR="00724B18">
        <w:t>where</w:t>
      </w:r>
      <w:r w:rsidR="008922E8">
        <w:t xml:space="preserve"> “there is a risk that diagnostic information will be misused or misunderstood” due to the “imperfect fit between the questions of ultimate concern to the law and the information contained in a clinical diagnosis” (</w:t>
      </w:r>
      <w:r w:rsidR="0006439A">
        <w:t xml:space="preserve">DSM-5, </w:t>
      </w:r>
      <w:r w:rsidR="008922E8">
        <w:t>p.25).</w:t>
      </w:r>
    </w:p>
    <w:p w:rsidR="00EB558A" w:rsidRDefault="00FF5DE3" w:rsidP="00EB558A">
      <w:r>
        <w:t xml:space="preserve">The </w:t>
      </w:r>
      <w:r w:rsidR="009B650C">
        <w:t>problem with relying on psychiatric nomenclature in diminished responsibility cases was</w:t>
      </w:r>
      <w:r>
        <w:t xml:space="preserve"> </w:t>
      </w:r>
      <w:r w:rsidR="009B650C">
        <w:t>illustrated</w:t>
      </w:r>
      <w:r w:rsidR="00212836">
        <w:t xml:space="preserve"> shortly after the amendments to the </w:t>
      </w:r>
      <w:r w:rsidR="009B5775">
        <w:t xml:space="preserve">defence </w:t>
      </w:r>
      <w:r w:rsidR="00724B18">
        <w:t>were enacted</w:t>
      </w:r>
      <w:r w:rsidR="00905BE4">
        <w:t>.</w:t>
      </w:r>
      <w:r w:rsidR="00212836">
        <w:t xml:space="preserve"> </w:t>
      </w:r>
      <w:r w:rsidR="00905BE4">
        <w:t xml:space="preserve">In </w:t>
      </w:r>
      <w:r w:rsidR="009B5775">
        <w:rPr>
          <w:i/>
        </w:rPr>
        <w:t xml:space="preserve">R v Dowds </w:t>
      </w:r>
      <w:r w:rsidR="00FF543F">
        <w:t xml:space="preserve">(above) </w:t>
      </w:r>
      <w:r w:rsidR="00905BE4">
        <w:t xml:space="preserve">the defendant </w:t>
      </w:r>
      <w:r>
        <w:t>sought to argue that he</w:t>
      </w:r>
      <w:r w:rsidR="00212836">
        <w:t xml:space="preserve"> had</w:t>
      </w:r>
      <w:r>
        <w:t xml:space="preserve"> killed due to the recognised medical condition of “acute intoxication”. Acute intoxication </w:t>
      </w:r>
      <w:r w:rsidR="00905BE4">
        <w:t>does appear</w:t>
      </w:r>
      <w:r w:rsidR="00801635">
        <w:t xml:space="preserve"> in </w:t>
      </w:r>
      <w:r w:rsidR="00FF543F">
        <w:t xml:space="preserve">the </w:t>
      </w:r>
      <w:r w:rsidR="00724B18">
        <w:t>ICD-10</w:t>
      </w:r>
      <w:r w:rsidR="00EB558A">
        <w:t xml:space="preserve">, </w:t>
      </w:r>
      <w:r w:rsidR="00724B18">
        <w:t xml:space="preserve">but so do </w:t>
      </w:r>
      <w:r w:rsidR="008B52BD">
        <w:t>numerous</w:t>
      </w:r>
      <w:r w:rsidR="00EB558A">
        <w:t xml:space="preserve"> </w:t>
      </w:r>
      <w:proofErr w:type="gramStart"/>
      <w:r w:rsidR="00EB558A">
        <w:t>other</w:t>
      </w:r>
      <w:proofErr w:type="gramEnd"/>
      <w:r w:rsidR="00EB558A">
        <w:t xml:space="preserve"> “conditions” that </w:t>
      </w:r>
      <w:r w:rsidR="00212836">
        <w:t>would</w:t>
      </w:r>
      <w:r w:rsidR="00EB558A">
        <w:t xml:space="preserve"> be problematic if relied on in a forensic context. </w:t>
      </w:r>
      <w:r w:rsidR="009B5775">
        <w:t xml:space="preserve">In </w:t>
      </w:r>
      <w:r w:rsidR="00905BE4">
        <w:rPr>
          <w:i/>
        </w:rPr>
        <w:t>Dowds</w:t>
      </w:r>
      <w:r w:rsidR="009B5775">
        <w:t xml:space="preserve"> t</w:t>
      </w:r>
      <w:r w:rsidR="00EB558A">
        <w:t>he Court</w:t>
      </w:r>
      <w:r w:rsidR="009B5775">
        <w:t xml:space="preserve"> of Appeal</w:t>
      </w:r>
      <w:r w:rsidR="00EB558A">
        <w:t xml:space="preserve"> noted that ICD-10 included “'unhappiness' (R45.2), 'irritability and anger' (R45.4) 'suspiciousness and marked evasiveness' (R46.5), 'pyromania' (F63.1), 'paedophilia' (F65.4), '</w:t>
      </w:r>
      <w:proofErr w:type="spellStart"/>
      <w:r w:rsidR="00EB558A">
        <w:t>sado</w:t>
      </w:r>
      <w:proofErr w:type="spellEnd"/>
      <w:r w:rsidR="00EB558A">
        <w:t>-masochism' (F65.5) and 'kleptomania' (F63.2)”, while the</w:t>
      </w:r>
      <w:r w:rsidR="00801635">
        <w:t xml:space="preserve"> DSM-4</w:t>
      </w:r>
      <w:r w:rsidR="00EB558A">
        <w:t xml:space="preserve"> (as it then was) included “similar conditions and also </w:t>
      </w:r>
      <w:r w:rsidR="00EB558A" w:rsidRPr="00EB558A">
        <w:t>such</w:t>
      </w:r>
      <w:r w:rsidR="00EB558A">
        <w:t xml:space="preserve"> as </w:t>
      </w:r>
      <w:r w:rsidR="008B52BD">
        <w:t>(</w:t>
      </w:r>
      <w:r w:rsidR="008B52BD" w:rsidRPr="00EB558A">
        <w:rPr>
          <w:i/>
        </w:rPr>
        <w:t>sic</w:t>
      </w:r>
      <w:r w:rsidR="008B52BD">
        <w:t xml:space="preserve">) </w:t>
      </w:r>
      <w:r w:rsidR="00EB558A">
        <w:t>'exhibitionism' (569) 'sexual sadism' (573) and 'intermittent explosive disorder' (663/667)” (</w:t>
      </w:r>
      <w:r w:rsidR="00905BE4">
        <w:t>at</w:t>
      </w:r>
      <w:r w:rsidR="00EB558A">
        <w:t xml:space="preserve"> [31]).  As </w:t>
      </w:r>
      <w:r w:rsidR="00066798">
        <w:t>their Lordships</w:t>
      </w:r>
      <w:r w:rsidR="00EB558A">
        <w:t xml:space="preserve"> pointed out, the latter “may well be a medically useful description of something which underlies the vast majority of violent offending, but any suggestion that it could give rise to a defence, whether because it amounted to an impairment of mental functioning or otherwise, would, to say the least, demand extremely careful attention” (</w:t>
      </w:r>
      <w:r w:rsidR="00212836">
        <w:rPr>
          <w:i/>
        </w:rPr>
        <w:t xml:space="preserve">Dowds </w:t>
      </w:r>
      <w:r w:rsidR="00EB558A">
        <w:t>at [31]). Accordingly,</w:t>
      </w:r>
      <w:r w:rsidR="00212836">
        <w:t xml:space="preserve"> the Court held that</w:t>
      </w:r>
      <w:r w:rsidR="00EB558A">
        <w:t xml:space="preserve"> </w:t>
      </w:r>
      <w:bookmarkStart w:id="2" w:name="para40"/>
      <w:r w:rsidR="00EB558A">
        <w:t>“the presence of a 'recognised medical condition' is a necessary, but not always a sufficient, condition to raise the issue of diminished responsibility” (</w:t>
      </w:r>
      <w:r w:rsidR="00212836">
        <w:rPr>
          <w:i/>
        </w:rPr>
        <w:t xml:space="preserve">Dowds </w:t>
      </w:r>
      <w:r w:rsidR="00EB558A">
        <w:t>at [40]).</w:t>
      </w:r>
    </w:p>
    <w:p w:rsidR="00C524AA" w:rsidRDefault="00FF543F" w:rsidP="00EB558A">
      <w:pPr>
        <w:rPr>
          <w:bCs/>
        </w:rPr>
      </w:pPr>
      <w:r>
        <w:lastRenderedPageBreak/>
        <w:t>The</w:t>
      </w:r>
      <w:r w:rsidR="00902FAB">
        <w:t xml:space="preserve"> law does not debar a defendant who had voluntarily consumed drink or drugs at the time of killing from relying on diminished responsibility</w:t>
      </w:r>
      <w:r w:rsidR="00AE1687">
        <w:t xml:space="preserve"> but t</w:t>
      </w:r>
      <w:r w:rsidR="00902FAB">
        <w:t xml:space="preserve">he jury will be directed </w:t>
      </w:r>
      <w:r w:rsidR="00902FAB">
        <w:t>to discount the effects of the intoxication when deciding</w:t>
      </w:r>
      <w:r w:rsidR="00902FAB">
        <w:t xml:space="preserve"> whether </w:t>
      </w:r>
      <w:r w:rsidR="00AE1687">
        <w:t>the defence have proved each of the s.2 criteria to the required standard</w:t>
      </w:r>
      <w:r>
        <w:t xml:space="preserve"> (</w:t>
      </w:r>
      <w:r>
        <w:rPr>
          <w:i/>
        </w:rPr>
        <w:t xml:space="preserve">R v Joyce; R v Kay, </w:t>
      </w:r>
      <w:r>
        <w:t>above)</w:t>
      </w:r>
      <w:r w:rsidR="00AC6D90">
        <w:rPr>
          <w:bCs/>
        </w:rPr>
        <w:t>.</w:t>
      </w:r>
      <w:r w:rsidR="00D7058E" w:rsidRPr="00B4550D">
        <w:rPr>
          <w:bCs/>
          <w:i/>
        </w:rPr>
        <w:t xml:space="preserve"> </w:t>
      </w:r>
      <w:r w:rsidR="00D7058E" w:rsidRPr="00B4550D">
        <w:rPr>
          <w:bCs/>
        </w:rPr>
        <w:t>I</w:t>
      </w:r>
      <w:r w:rsidR="00D7058E" w:rsidRPr="00B4550D">
        <w:t xml:space="preserve">mportantly, the question is not whether the defendant would have killed but for the intoxication. </w:t>
      </w:r>
      <w:r w:rsidR="00D7058E" w:rsidRPr="00B4550D">
        <w:rPr>
          <w:bCs/>
        </w:rPr>
        <w:t>Instead, if the jury takes the view that the defendant might not have killed if he had not taken drink</w:t>
      </w:r>
      <w:r w:rsidR="00D7058E">
        <w:rPr>
          <w:bCs/>
        </w:rPr>
        <w:t xml:space="preserve"> or drugs</w:t>
      </w:r>
      <w:r w:rsidR="00D7058E" w:rsidRPr="00B4550D">
        <w:rPr>
          <w:bCs/>
        </w:rPr>
        <w:t>, then the question is whether despite the drink, his mental abnorma</w:t>
      </w:r>
      <w:r w:rsidR="00D7058E">
        <w:rPr>
          <w:bCs/>
        </w:rPr>
        <w:t xml:space="preserve">lity substantially impaired one of the specified abilities, and provides an explanation </w:t>
      </w:r>
      <w:r w:rsidR="00D7058E" w:rsidRPr="00B4550D">
        <w:rPr>
          <w:bCs/>
        </w:rPr>
        <w:t xml:space="preserve">for his </w:t>
      </w:r>
      <w:r w:rsidR="00D7058E">
        <w:rPr>
          <w:bCs/>
        </w:rPr>
        <w:t>conduct</w:t>
      </w:r>
      <w:r w:rsidR="00D7058E" w:rsidRPr="00B4550D">
        <w:rPr>
          <w:bCs/>
        </w:rPr>
        <w:t xml:space="preserve"> (</w:t>
      </w:r>
      <w:proofErr w:type="spellStart"/>
      <w:r w:rsidR="00D7058E" w:rsidRPr="00B4550D">
        <w:rPr>
          <w:bCs/>
          <w:i/>
        </w:rPr>
        <w:t>Dietschmann</w:t>
      </w:r>
      <w:proofErr w:type="spellEnd"/>
      <w:r w:rsidR="00D7058E" w:rsidRPr="00B4550D">
        <w:rPr>
          <w:bCs/>
          <w:i/>
        </w:rPr>
        <w:t xml:space="preserve">, </w:t>
      </w:r>
      <w:r w:rsidR="00D7058E" w:rsidRPr="00B4550D">
        <w:rPr>
          <w:bCs/>
        </w:rPr>
        <w:t>above,</w:t>
      </w:r>
      <w:r w:rsidR="00D7058E" w:rsidRPr="00B4550D">
        <w:rPr>
          <w:bCs/>
          <w:i/>
        </w:rPr>
        <w:t xml:space="preserve"> </w:t>
      </w:r>
      <w:r w:rsidR="00D7058E" w:rsidRPr="00B4550D">
        <w:rPr>
          <w:bCs/>
        </w:rPr>
        <w:t>at [41]</w:t>
      </w:r>
      <w:r w:rsidR="00D7058E">
        <w:rPr>
          <w:bCs/>
        </w:rPr>
        <w:t xml:space="preserve">; </w:t>
      </w:r>
      <w:r w:rsidR="00D7058E">
        <w:rPr>
          <w:bCs/>
          <w:i/>
        </w:rPr>
        <w:t>Dowds</w:t>
      </w:r>
      <w:r w:rsidR="00D7058E">
        <w:rPr>
          <w:bCs/>
        </w:rPr>
        <w:t>, above</w:t>
      </w:r>
      <w:r w:rsidR="00D7058E" w:rsidRPr="00B4550D">
        <w:rPr>
          <w:bCs/>
        </w:rPr>
        <w:t xml:space="preserve">). </w:t>
      </w:r>
      <w:r w:rsidR="00D7058E">
        <w:rPr>
          <w:bCs/>
        </w:rPr>
        <w:t>Both</w:t>
      </w:r>
      <w:r w:rsidR="00C524AA">
        <w:rPr>
          <w:bCs/>
        </w:rPr>
        <w:t xml:space="preserve"> the </w:t>
      </w:r>
      <w:r w:rsidR="00D7058E">
        <w:rPr>
          <w:bCs/>
        </w:rPr>
        <w:t>identification of an</w:t>
      </w:r>
      <w:r w:rsidR="00C524AA">
        <w:rPr>
          <w:bCs/>
        </w:rPr>
        <w:t xml:space="preserve"> underlying condition and, if</w:t>
      </w:r>
      <w:r w:rsidR="00D7058E">
        <w:rPr>
          <w:bCs/>
        </w:rPr>
        <w:t xml:space="preserve"> such a condition exists</w:t>
      </w:r>
      <w:r w:rsidR="00C524AA">
        <w:rPr>
          <w:bCs/>
        </w:rPr>
        <w:t xml:space="preserve">, </w:t>
      </w:r>
      <w:r>
        <w:rPr>
          <w:bCs/>
        </w:rPr>
        <w:t>the task of envisaging</w:t>
      </w:r>
      <w:r w:rsidR="00C524AA">
        <w:rPr>
          <w:bCs/>
        </w:rPr>
        <w:t xml:space="preserve"> a hypothetical, sober version of the defendant</w:t>
      </w:r>
      <w:r>
        <w:rPr>
          <w:bCs/>
        </w:rPr>
        <w:t>,</w:t>
      </w:r>
      <w:r w:rsidR="00C524AA">
        <w:rPr>
          <w:bCs/>
        </w:rPr>
        <w:t xml:space="preserve"> have caused difficulties in practice.</w:t>
      </w:r>
    </w:p>
    <w:p w:rsidR="00AE1687" w:rsidRDefault="00FF543F" w:rsidP="00EB558A">
      <w:r>
        <w:t xml:space="preserve">Where intoxication is a factor, the requisite condition </w:t>
      </w:r>
      <w:r w:rsidR="00AE1687">
        <w:t>may be related to alcohol abuse</w:t>
      </w:r>
      <w:r w:rsidR="00EE2C17">
        <w:t xml:space="preserve"> (as in </w:t>
      </w:r>
      <w:r w:rsidR="006113A1" w:rsidRPr="006113A1">
        <w:rPr>
          <w:i/>
        </w:rPr>
        <w:t>R v Stewart</w:t>
      </w:r>
      <w:r>
        <w:t>, above</w:t>
      </w:r>
      <w:r w:rsidR="00EE2C17">
        <w:t>)</w:t>
      </w:r>
      <w:r w:rsidR="00C524AA">
        <w:t xml:space="preserve">, </w:t>
      </w:r>
      <w:r w:rsidR="00EE2C17">
        <w:t xml:space="preserve">it may be </w:t>
      </w:r>
      <w:r w:rsidR="00AE1687">
        <w:t>an unrelated condition</w:t>
      </w:r>
      <w:r w:rsidR="00EE2C17">
        <w:t xml:space="preserve"> (</w:t>
      </w:r>
      <w:r w:rsidR="006113A1">
        <w:t xml:space="preserve">as in </w:t>
      </w:r>
      <w:r w:rsidR="006113A1">
        <w:rPr>
          <w:i/>
        </w:rPr>
        <w:t xml:space="preserve">R v </w:t>
      </w:r>
      <w:r w:rsidR="00EE2C17" w:rsidRPr="00EE2C17">
        <w:rPr>
          <w:i/>
        </w:rPr>
        <w:t>Joyce</w:t>
      </w:r>
      <w:r>
        <w:t>, above</w:t>
      </w:r>
      <w:r w:rsidR="00EE2C17">
        <w:t>)</w:t>
      </w:r>
      <w:r w:rsidR="00AE1687">
        <w:t xml:space="preserve">, or </w:t>
      </w:r>
      <w:r w:rsidR="00EE2C17">
        <w:t xml:space="preserve">it could be </w:t>
      </w:r>
      <w:r w:rsidR="00AE1687">
        <w:t xml:space="preserve">a combination of the two. </w:t>
      </w:r>
      <w:proofErr w:type="gramStart"/>
      <w:r w:rsidR="00EE2C17">
        <w:t xml:space="preserve">As regards the first of these, </w:t>
      </w:r>
      <w:r w:rsidR="00C524AA">
        <w:t xml:space="preserve">past judgments have </w:t>
      </w:r>
      <w:r w:rsidR="002636CD">
        <w:t>tended to refer</w:t>
      </w:r>
      <w:r w:rsidR="00C524AA">
        <w:t xml:space="preserve"> to </w:t>
      </w:r>
      <w:r w:rsidR="00834269">
        <w:t xml:space="preserve">alcohol or drug </w:t>
      </w:r>
      <w:r w:rsidR="00C524AA">
        <w:t>“d</w:t>
      </w:r>
      <w:r w:rsidR="00834269">
        <w:t>ependence”</w:t>
      </w:r>
      <w:r w:rsidR="006113A1">
        <w:t xml:space="preserve"> or </w:t>
      </w:r>
      <w:r w:rsidR="00834269">
        <w:t>“</w:t>
      </w:r>
      <w:r w:rsidR="006113A1">
        <w:t xml:space="preserve">dependency </w:t>
      </w:r>
      <w:r w:rsidR="00C524AA">
        <w:t>syndrome”.</w:t>
      </w:r>
      <w:proofErr w:type="gramEnd"/>
      <w:r w:rsidR="00AE1687">
        <w:t xml:space="preserve"> </w:t>
      </w:r>
      <w:r>
        <w:t xml:space="preserve">Although </w:t>
      </w:r>
      <w:r w:rsidR="002636CD">
        <w:t>the DSM-4 featured</w:t>
      </w:r>
      <w:r w:rsidR="00AE1687">
        <w:t xml:space="preserve"> “alcohol dependence” and “alcohol abuse” as two distinct disorders with different</w:t>
      </w:r>
      <w:r w:rsidR="002636CD">
        <w:t xml:space="preserve"> diagnostic criteria, t</w:t>
      </w:r>
      <w:r w:rsidR="00AE1687">
        <w:t xml:space="preserve">he DSM-5 integrates </w:t>
      </w:r>
      <w:r w:rsidR="00AC6D90">
        <w:t xml:space="preserve">them </w:t>
      </w:r>
      <w:r w:rsidR="002636CD">
        <w:t xml:space="preserve">into a single </w:t>
      </w:r>
      <w:r w:rsidR="00AE1687">
        <w:t>“alcohol use disorder”</w:t>
      </w:r>
      <w:r w:rsidR="002636CD">
        <w:t xml:space="preserve"> with mild, moderate and severe sub-classifications</w:t>
      </w:r>
      <w:r w:rsidR="00AE1687">
        <w:t xml:space="preserve">. </w:t>
      </w:r>
      <w:r w:rsidR="00834269">
        <w:t>In the present case, the</w:t>
      </w:r>
      <w:r w:rsidR="00AE1687">
        <w:t xml:space="preserve"> psychiatrist instructed by the defence prior to trial opined that</w:t>
      </w:r>
      <w:r w:rsidR="00AC6D90">
        <w:t xml:space="preserve"> the defendant had a</w:t>
      </w:r>
      <w:r w:rsidR="00AE1687">
        <w:t xml:space="preserve"> </w:t>
      </w:r>
      <w:bookmarkStart w:id="3" w:name="para25"/>
      <w:r w:rsidR="00AC6D90">
        <w:t>“</w:t>
      </w:r>
      <w:r w:rsidR="00AC6D90">
        <w:t>severe cocaine-use disorder and moderate alcohol-use disorder</w:t>
      </w:r>
      <w:r w:rsidR="00AC6D90">
        <w:t>”</w:t>
      </w:r>
      <w:bookmarkEnd w:id="3"/>
      <w:r w:rsidR="00AC6D90">
        <w:t xml:space="preserve"> (at [25]). </w:t>
      </w:r>
      <w:r w:rsidR="00834269">
        <w:t xml:space="preserve">Nevertheless, the Court stated that it was </w:t>
      </w:r>
      <w:bookmarkStart w:id="4" w:name="para79"/>
      <w:r w:rsidR="00834269">
        <w:t xml:space="preserve">“common ground … </w:t>
      </w:r>
      <w:r w:rsidR="00834269">
        <w:t>that the appellant did not suffer from alcohol or intoxicant dependency syndrome</w:t>
      </w:r>
      <w:bookmarkEnd w:id="4"/>
      <w:r w:rsidR="00834269">
        <w:t xml:space="preserve">” (at [79]). The judgment therefore fails to clarify the application of the law to cases in which there is an underlying medical condition related to </w:t>
      </w:r>
      <w:r w:rsidR="002636CD">
        <w:t>the consumption of alcohol or drugs</w:t>
      </w:r>
      <w:r w:rsidR="00834269">
        <w:t>.</w:t>
      </w:r>
    </w:p>
    <w:p w:rsidR="00EE2C17" w:rsidRDefault="00834269" w:rsidP="00834269">
      <w:r>
        <w:t xml:space="preserve">The “imperfect fit” between diagnostic criteria and questions of law is </w:t>
      </w:r>
      <w:r w:rsidR="00FF543F">
        <w:t>further</w:t>
      </w:r>
      <w:r>
        <w:t xml:space="preserve"> illustrated by the </w:t>
      </w:r>
      <w:r w:rsidR="002636CD">
        <w:t xml:space="preserve">disagreement between </w:t>
      </w:r>
      <w:r w:rsidR="00FF543F">
        <w:t xml:space="preserve">the </w:t>
      </w:r>
      <w:r w:rsidR="002636CD">
        <w:t>experts</w:t>
      </w:r>
      <w:r>
        <w:t xml:space="preserve"> </w:t>
      </w:r>
      <w:r w:rsidR="002636CD">
        <w:t xml:space="preserve">as to whether </w:t>
      </w:r>
      <w:r>
        <w:t>some other</w:t>
      </w:r>
      <w:r>
        <w:t xml:space="preserve"> </w:t>
      </w:r>
      <w:r>
        <w:t xml:space="preserve">recognised medical condition existed. </w:t>
      </w:r>
      <w:r>
        <w:t xml:space="preserve">Both the original </w:t>
      </w:r>
      <w:r w:rsidR="00FF543F">
        <w:t xml:space="preserve">psychiatrist instructed by the </w:t>
      </w:r>
      <w:r>
        <w:t xml:space="preserve">defence and the </w:t>
      </w:r>
      <w:r w:rsidR="002636CD">
        <w:t xml:space="preserve">psychiatrist </w:t>
      </w:r>
      <w:r w:rsidR="00FF543F">
        <w:t xml:space="preserve">instructed by the prosecution for the purposes of the appeal </w:t>
      </w:r>
      <w:r w:rsidR="002636CD">
        <w:t>were of the view</w:t>
      </w:r>
      <w:r>
        <w:t xml:space="preserve"> that </w:t>
      </w:r>
      <w:r>
        <w:t xml:space="preserve">the defendant </w:t>
      </w:r>
      <w:r w:rsidR="002636CD">
        <w:t xml:space="preserve">had </w:t>
      </w:r>
      <w:r>
        <w:t>killed during a psychotic episode</w:t>
      </w:r>
      <w:r>
        <w:t xml:space="preserve"> </w:t>
      </w:r>
      <w:r>
        <w:t xml:space="preserve">that </w:t>
      </w:r>
      <w:r>
        <w:t xml:space="preserve">was attributable to voluntary intoxication.  The new defence expert, Dr Joseph, argued that </w:t>
      </w:r>
      <w:r>
        <w:t>it</w:t>
      </w:r>
      <w:r>
        <w:t xml:space="preserve"> was “caused by the recognised medical condition of an acute psychotic episode”. </w:t>
      </w:r>
      <w:r w:rsidR="00EE2C17">
        <w:t xml:space="preserve">The Court </w:t>
      </w:r>
      <w:r>
        <w:t>initially regarded this approach as “</w:t>
      </w:r>
      <w:proofErr w:type="spellStart"/>
      <w:r>
        <w:t>tautologous</w:t>
      </w:r>
      <w:proofErr w:type="spellEnd"/>
      <w:r>
        <w:t xml:space="preserve"> – the abnormality of mental functioning here </w:t>
      </w:r>
      <w:r>
        <w:rPr>
          <w:i/>
        </w:rPr>
        <w:t>was</w:t>
      </w:r>
      <w:r>
        <w:t xml:space="preserve"> the acute psychotic episode” (at [87]</w:t>
      </w:r>
      <w:r w:rsidR="00FF543F">
        <w:t>, emphasis in original</w:t>
      </w:r>
      <w:r>
        <w:t>)</w:t>
      </w:r>
      <w:r w:rsidR="00FF543F">
        <w:t>.</w:t>
      </w:r>
      <w:r>
        <w:t xml:space="preserve"> </w:t>
      </w:r>
      <w:r w:rsidR="00FF543F">
        <w:t>During the hearing of the appeal, t</w:t>
      </w:r>
      <w:r>
        <w:t xml:space="preserve">he prosecution expert conceded that Dr Joseph’s view was “tenable” and the Court </w:t>
      </w:r>
      <w:r w:rsidR="00EE2C17">
        <w:t>subsequently appears to have accepted</w:t>
      </w:r>
      <w:r>
        <w:t xml:space="preserve"> that a tendency or predisposition to psychotic episodes is capable of amounting to a recognised medical condition</w:t>
      </w:r>
      <w:r w:rsidR="00EE2C17">
        <w:t xml:space="preserve">. </w:t>
      </w:r>
      <w:r w:rsidR="00FF543F">
        <w:t xml:space="preserve">The next question was whether, discounting the effects of intoxication, the underlying condition contributed significantly to the defendant’s conduct. </w:t>
      </w:r>
      <w:r w:rsidR="00EE2C17">
        <w:t xml:space="preserve">Dr Joseph contended that </w:t>
      </w:r>
      <w:r w:rsidR="00FF543F">
        <w:t>it did.</w:t>
      </w:r>
      <w:r w:rsidR="00EE2C17">
        <w:t xml:space="preserve"> </w:t>
      </w:r>
      <w:r w:rsidR="00FF543F">
        <w:t>T</w:t>
      </w:r>
      <w:r w:rsidR="00EE2C17">
        <w:t xml:space="preserve">he prosecution expert maintained that the </w:t>
      </w:r>
      <w:r w:rsidR="00FF543F">
        <w:t xml:space="preserve">entire </w:t>
      </w:r>
      <w:r w:rsidR="00EE2C17">
        <w:t>exercise of discounting the temporary effects of voluntary intoxication</w:t>
      </w:r>
      <w:r w:rsidR="00FF543F">
        <w:t>, as</w:t>
      </w:r>
      <w:r w:rsidR="00EE2C17">
        <w:t xml:space="preserve"> required by </w:t>
      </w:r>
      <w:proofErr w:type="spellStart"/>
      <w:r w:rsidR="00EE2C17">
        <w:rPr>
          <w:i/>
        </w:rPr>
        <w:t>Dietschmann</w:t>
      </w:r>
      <w:proofErr w:type="spellEnd"/>
      <w:r w:rsidR="00EE2C17">
        <w:rPr>
          <w:i/>
        </w:rPr>
        <w:t xml:space="preserve"> </w:t>
      </w:r>
      <w:r w:rsidR="00EE2C17">
        <w:t xml:space="preserve">was </w:t>
      </w:r>
      <w:r w:rsidR="00FF543F">
        <w:t>“</w:t>
      </w:r>
      <w:r w:rsidR="00EE2C17">
        <w:t>impossible</w:t>
      </w:r>
      <w:r w:rsidR="00FF543F">
        <w:t>”:</w:t>
      </w:r>
    </w:p>
    <w:p w:rsidR="00EE2C17" w:rsidRDefault="00EE2C17" w:rsidP="006760B1">
      <w:pPr>
        <w:ind w:left="567"/>
      </w:pPr>
      <w:r>
        <w:t>“</w:t>
      </w:r>
      <w:r>
        <w:t>It is impossible to separate out a psychotic disorder emerging independently from substance misuse from one arising in the context of substance misuse when such substance misuse clearl</w:t>
      </w:r>
      <w:r w:rsidR="006760B1">
        <w:t>y occurred at the material time</w:t>
      </w:r>
      <w:r>
        <w:t>”</w:t>
      </w:r>
      <w:r w:rsidR="006760B1">
        <w:t xml:space="preserve"> (at [46]).</w:t>
      </w:r>
    </w:p>
    <w:p w:rsidR="00D97F0B" w:rsidRPr="00B65360" w:rsidRDefault="00EE2C17">
      <w:r>
        <w:t>D</w:t>
      </w:r>
      <w:r w:rsidR="00834269">
        <w:t xml:space="preserve">r Joseph </w:t>
      </w:r>
      <w:r w:rsidR="006760B1">
        <w:t>accepted</w:t>
      </w:r>
      <w:r w:rsidR="00834269">
        <w:t xml:space="preserve"> that the opinion</w:t>
      </w:r>
      <w:r>
        <w:t>s</w:t>
      </w:r>
      <w:r w:rsidR="00834269">
        <w:t xml:space="preserve"> of the other two psychiatrists were “reasonably open to them; it was just that there was disagreement between them (‘which is not at all unusual in psychiatry’…)” </w:t>
      </w:r>
      <w:r w:rsidR="00834269">
        <w:lastRenderedPageBreak/>
        <w:t xml:space="preserve">(at [84]).  </w:t>
      </w:r>
      <w:r>
        <w:t xml:space="preserve">All of which suggests that the Law Commission’s concerns about the diminished responsibility defence have not been addressed effectively by the terms of the revised </w:t>
      </w:r>
      <w:r w:rsidR="006760B1">
        <w:t>plea: whether a defendant can find</w:t>
      </w:r>
      <w:r>
        <w:t xml:space="preserve"> a psychiatrist who will be prepared to testify that a recognised medical condition was responsible for his behaviour remains a “lottery”</w:t>
      </w:r>
      <w:r w:rsidR="00834269" w:rsidRPr="006760B1">
        <w:t xml:space="preserve"> (Law Com. No. 190, para. 5.43).</w:t>
      </w:r>
      <w:r w:rsidR="00834269">
        <w:t xml:space="preserve"> </w:t>
      </w:r>
      <w:bookmarkEnd w:id="2"/>
    </w:p>
    <w:sectPr w:rsidR="00D97F0B" w:rsidRPr="00B65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9F"/>
    <w:rsid w:val="0006439A"/>
    <w:rsid w:val="00066798"/>
    <w:rsid w:val="000B15E6"/>
    <w:rsid w:val="000F2FD6"/>
    <w:rsid w:val="001418D8"/>
    <w:rsid w:val="001E0063"/>
    <w:rsid w:val="00212836"/>
    <w:rsid w:val="002636CD"/>
    <w:rsid w:val="0026775E"/>
    <w:rsid w:val="002E7E7D"/>
    <w:rsid w:val="003C5FB1"/>
    <w:rsid w:val="003F3C3F"/>
    <w:rsid w:val="004145F4"/>
    <w:rsid w:val="00427B18"/>
    <w:rsid w:val="0049133A"/>
    <w:rsid w:val="00543C29"/>
    <w:rsid w:val="005A554A"/>
    <w:rsid w:val="005D7FD9"/>
    <w:rsid w:val="00605C39"/>
    <w:rsid w:val="006113A1"/>
    <w:rsid w:val="006760B1"/>
    <w:rsid w:val="007139BF"/>
    <w:rsid w:val="00723594"/>
    <w:rsid w:val="00724B18"/>
    <w:rsid w:val="007370E2"/>
    <w:rsid w:val="007A2099"/>
    <w:rsid w:val="00801635"/>
    <w:rsid w:val="00834269"/>
    <w:rsid w:val="008922E8"/>
    <w:rsid w:val="008B52BD"/>
    <w:rsid w:val="00902FAB"/>
    <w:rsid w:val="00905BE4"/>
    <w:rsid w:val="00925F7C"/>
    <w:rsid w:val="00930AA7"/>
    <w:rsid w:val="009B5775"/>
    <w:rsid w:val="009B650C"/>
    <w:rsid w:val="00A35422"/>
    <w:rsid w:val="00A35BF0"/>
    <w:rsid w:val="00AC6D90"/>
    <w:rsid w:val="00AE08F1"/>
    <w:rsid w:val="00AE1687"/>
    <w:rsid w:val="00B4550D"/>
    <w:rsid w:val="00B65360"/>
    <w:rsid w:val="00C524AA"/>
    <w:rsid w:val="00C52FE1"/>
    <w:rsid w:val="00C55DE1"/>
    <w:rsid w:val="00D7058E"/>
    <w:rsid w:val="00D97F0B"/>
    <w:rsid w:val="00DD3454"/>
    <w:rsid w:val="00E60D11"/>
    <w:rsid w:val="00EB558A"/>
    <w:rsid w:val="00EE2C17"/>
    <w:rsid w:val="00EF776A"/>
    <w:rsid w:val="00F55022"/>
    <w:rsid w:val="00F6019F"/>
    <w:rsid w:val="00FF543F"/>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E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35BF0"/>
    <w:rPr>
      <w:rFonts w:asciiTheme="majorHAnsi" w:eastAsiaTheme="majorEastAsia" w:hAnsiTheme="majorHAnsi" w:cstheme="majorBidi"/>
      <w:b/>
      <w:bCs/>
      <w:color w:val="4F81BD" w:themeColor="accent1"/>
    </w:rPr>
  </w:style>
  <w:style w:type="character" w:customStyle="1" w:styleId="cosearchdetaillevel1">
    <w:name w:val="co_search_detaillevel_1"/>
    <w:basedOn w:val="DefaultParagraphFont"/>
    <w:rsid w:val="00A35BF0"/>
  </w:style>
  <w:style w:type="character" w:styleId="Hyperlink">
    <w:name w:val="Hyperlink"/>
    <w:basedOn w:val="DefaultParagraphFont"/>
    <w:uiPriority w:val="99"/>
    <w:semiHidden/>
    <w:unhideWhenUsed/>
    <w:rsid w:val="00B4550D"/>
    <w:rPr>
      <w:color w:val="0000FF"/>
      <w:u w:val="single"/>
    </w:rPr>
  </w:style>
  <w:style w:type="paragraph" w:styleId="BalloonText">
    <w:name w:val="Balloon Text"/>
    <w:basedOn w:val="Normal"/>
    <w:link w:val="BalloonTextChar"/>
    <w:uiPriority w:val="99"/>
    <w:semiHidden/>
    <w:unhideWhenUsed/>
    <w:rsid w:val="0090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E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35BF0"/>
    <w:rPr>
      <w:rFonts w:asciiTheme="majorHAnsi" w:eastAsiaTheme="majorEastAsia" w:hAnsiTheme="majorHAnsi" w:cstheme="majorBidi"/>
      <w:b/>
      <w:bCs/>
      <w:color w:val="4F81BD" w:themeColor="accent1"/>
    </w:rPr>
  </w:style>
  <w:style w:type="character" w:customStyle="1" w:styleId="cosearchdetaillevel1">
    <w:name w:val="co_search_detaillevel_1"/>
    <w:basedOn w:val="DefaultParagraphFont"/>
    <w:rsid w:val="00A35BF0"/>
  </w:style>
  <w:style w:type="character" w:styleId="Hyperlink">
    <w:name w:val="Hyperlink"/>
    <w:basedOn w:val="DefaultParagraphFont"/>
    <w:uiPriority w:val="99"/>
    <w:semiHidden/>
    <w:unhideWhenUsed/>
    <w:rsid w:val="00B4550D"/>
    <w:rPr>
      <w:color w:val="0000FF"/>
      <w:u w:val="single"/>
    </w:rPr>
  </w:style>
  <w:style w:type="paragraph" w:styleId="BalloonText">
    <w:name w:val="Balloon Text"/>
    <w:basedOn w:val="Normal"/>
    <w:link w:val="BalloonTextChar"/>
    <w:uiPriority w:val="99"/>
    <w:semiHidden/>
    <w:unhideWhenUsed/>
    <w:rsid w:val="0090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4876">
      <w:bodyDiv w:val="1"/>
      <w:marLeft w:val="0"/>
      <w:marRight w:val="0"/>
      <w:marTop w:val="0"/>
      <w:marBottom w:val="0"/>
      <w:divBdr>
        <w:top w:val="none" w:sz="0" w:space="0" w:color="auto"/>
        <w:left w:val="none" w:sz="0" w:space="0" w:color="auto"/>
        <w:bottom w:val="none" w:sz="0" w:space="0" w:color="auto"/>
        <w:right w:val="none" w:sz="0" w:space="0" w:color="auto"/>
      </w:divBdr>
    </w:div>
    <w:div w:id="1069038843">
      <w:bodyDiv w:val="1"/>
      <w:marLeft w:val="0"/>
      <w:marRight w:val="0"/>
      <w:marTop w:val="0"/>
      <w:marBottom w:val="0"/>
      <w:divBdr>
        <w:top w:val="none" w:sz="0" w:space="0" w:color="auto"/>
        <w:left w:val="none" w:sz="0" w:space="0" w:color="auto"/>
        <w:bottom w:val="none" w:sz="0" w:space="0" w:color="auto"/>
        <w:right w:val="none" w:sz="0" w:space="0" w:color="auto"/>
      </w:divBdr>
    </w:div>
    <w:div w:id="1120732163">
      <w:bodyDiv w:val="1"/>
      <w:marLeft w:val="0"/>
      <w:marRight w:val="0"/>
      <w:marTop w:val="0"/>
      <w:marBottom w:val="0"/>
      <w:divBdr>
        <w:top w:val="none" w:sz="0" w:space="0" w:color="auto"/>
        <w:left w:val="none" w:sz="0" w:space="0" w:color="auto"/>
        <w:bottom w:val="none" w:sz="0" w:space="0" w:color="auto"/>
        <w:right w:val="none" w:sz="0" w:space="0" w:color="auto"/>
      </w:divBdr>
    </w:div>
    <w:div w:id="14545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2020-03-08T18:26:00Z</cp:lastPrinted>
  <dcterms:created xsi:type="dcterms:W3CDTF">2020-03-07T14:21:00Z</dcterms:created>
  <dcterms:modified xsi:type="dcterms:W3CDTF">2020-03-08T20:39:00Z</dcterms:modified>
</cp:coreProperties>
</file>